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E7" w:rsidRDefault="005F6C86" w:rsidP="00AC3B76">
      <w:pPr>
        <w:rPr>
          <w:b/>
          <w:sz w:val="32"/>
          <w:szCs w:val="32"/>
          <w:lang w:val="en-GB"/>
        </w:rPr>
      </w:pPr>
      <w:r>
        <w:rPr>
          <w:b/>
          <w:sz w:val="32"/>
          <w:szCs w:val="32"/>
          <w:lang w:val="en-GB"/>
        </w:rPr>
        <w:t>E</w:t>
      </w:r>
      <w:r w:rsidR="00AC3B76">
        <w:rPr>
          <w:b/>
          <w:sz w:val="32"/>
          <w:szCs w:val="32"/>
          <w:lang w:val="en-GB"/>
        </w:rPr>
        <w:t>XPLANATORY FACTORS OF CREDIT RISK: EMPERICAL EVIDENCE FROM TUNISIAN BANKS</w:t>
      </w:r>
    </w:p>
    <w:p w:rsidR="00F25928" w:rsidRPr="00425487" w:rsidRDefault="00F25928" w:rsidP="00AC3B76">
      <w:pPr>
        <w:rPr>
          <w:rFonts w:ascii="Times New Roman" w:hAnsi="Times New Roman" w:cs="Times New Roman"/>
          <w:b/>
          <w:sz w:val="20"/>
          <w:szCs w:val="20"/>
          <w:lang w:val="en-GB"/>
        </w:rPr>
      </w:pPr>
    </w:p>
    <w:p w:rsidR="00425487" w:rsidRPr="00425487" w:rsidRDefault="00425487" w:rsidP="00AC3B76">
      <w:pPr>
        <w:keepLines/>
        <w:widowControl w:val="0"/>
        <w:spacing w:after="0"/>
        <w:rPr>
          <w:rFonts w:ascii="Times New Roman" w:hAnsi="Times New Roman" w:cs="Times New Roman"/>
          <w:sz w:val="20"/>
          <w:szCs w:val="20"/>
        </w:rPr>
      </w:pPr>
      <w:proofErr w:type="spellStart"/>
      <w:r w:rsidRPr="00425487">
        <w:rPr>
          <w:rFonts w:ascii="Times New Roman" w:hAnsi="Times New Roman" w:cs="Times New Roman"/>
          <w:sz w:val="20"/>
          <w:szCs w:val="20"/>
        </w:rPr>
        <w:t>Ines</w:t>
      </w:r>
      <w:proofErr w:type="spellEnd"/>
      <w:r w:rsidRPr="00425487">
        <w:rPr>
          <w:rFonts w:ascii="Times New Roman" w:hAnsi="Times New Roman" w:cs="Times New Roman"/>
          <w:sz w:val="20"/>
          <w:szCs w:val="20"/>
        </w:rPr>
        <w:t xml:space="preserve"> </w:t>
      </w:r>
      <w:proofErr w:type="spellStart"/>
      <w:r w:rsidRPr="00425487">
        <w:rPr>
          <w:rFonts w:ascii="Times New Roman" w:hAnsi="Times New Roman" w:cs="Times New Roman"/>
          <w:sz w:val="20"/>
          <w:szCs w:val="20"/>
        </w:rPr>
        <w:t>Ghazouani</w:t>
      </w:r>
      <w:proofErr w:type="spellEnd"/>
      <w:r w:rsidRPr="00425487">
        <w:rPr>
          <w:rFonts w:ascii="Times New Roman" w:hAnsi="Times New Roman" w:cs="Times New Roman"/>
          <w:sz w:val="20"/>
          <w:szCs w:val="20"/>
        </w:rPr>
        <w:t xml:space="preserve"> Ben </w:t>
      </w:r>
      <w:proofErr w:type="spellStart"/>
      <w:r w:rsidRPr="00425487">
        <w:rPr>
          <w:rFonts w:ascii="Times New Roman" w:hAnsi="Times New Roman" w:cs="Times New Roman"/>
          <w:sz w:val="20"/>
          <w:szCs w:val="20"/>
        </w:rPr>
        <w:t>Ameur</w:t>
      </w:r>
      <w:proofErr w:type="spellEnd"/>
      <w:r w:rsidRPr="00425487">
        <w:rPr>
          <w:rFonts w:ascii="Times New Roman" w:hAnsi="Times New Roman" w:cs="Times New Roman"/>
          <w:sz w:val="20"/>
          <w:szCs w:val="20"/>
        </w:rPr>
        <w:t>, PhD.</w:t>
      </w:r>
    </w:p>
    <w:p w:rsidR="00425487" w:rsidRPr="00425487" w:rsidRDefault="00425487" w:rsidP="00AC3B76">
      <w:pPr>
        <w:keepLines/>
        <w:widowControl w:val="0"/>
        <w:spacing w:after="0"/>
        <w:rPr>
          <w:rFonts w:ascii="Times New Roman" w:hAnsi="Times New Roman" w:cs="Times New Roman"/>
          <w:sz w:val="20"/>
          <w:szCs w:val="20"/>
        </w:rPr>
      </w:pPr>
      <w:r w:rsidRPr="00425487">
        <w:rPr>
          <w:rFonts w:ascii="Times New Roman" w:hAnsi="Times New Roman" w:cs="Times New Roman"/>
          <w:sz w:val="20"/>
          <w:szCs w:val="20"/>
        </w:rPr>
        <w:t xml:space="preserve">Institut Supérieur de Gestion de Sousse, </w:t>
      </w:r>
      <w:proofErr w:type="spellStart"/>
      <w:r w:rsidRPr="00425487">
        <w:rPr>
          <w:rFonts w:ascii="Times New Roman" w:hAnsi="Times New Roman" w:cs="Times New Roman"/>
          <w:sz w:val="20"/>
          <w:szCs w:val="20"/>
        </w:rPr>
        <w:t>Tunisia</w:t>
      </w:r>
      <w:proofErr w:type="spellEnd"/>
    </w:p>
    <w:p w:rsidR="00425487" w:rsidRPr="00425487" w:rsidRDefault="00425487" w:rsidP="00AC3B76">
      <w:pPr>
        <w:keepLines/>
        <w:widowControl w:val="0"/>
        <w:spacing w:after="0"/>
        <w:rPr>
          <w:rFonts w:ascii="Times New Roman" w:hAnsi="Times New Roman" w:cs="Times New Roman"/>
          <w:b/>
          <w:sz w:val="20"/>
          <w:szCs w:val="20"/>
        </w:rPr>
      </w:pPr>
      <w:r w:rsidRPr="00425487">
        <w:rPr>
          <w:rFonts w:ascii="Times New Roman" w:hAnsi="Times New Roman" w:cs="Times New Roman"/>
          <w:sz w:val="20"/>
          <w:szCs w:val="20"/>
        </w:rPr>
        <w:t>E-mail: inesghazouani@hotmail.com</w:t>
      </w:r>
    </w:p>
    <w:p w:rsidR="00425487" w:rsidRPr="00732A14" w:rsidRDefault="00425487" w:rsidP="00AC3B76">
      <w:pPr>
        <w:keepLines/>
        <w:spacing w:after="0"/>
        <w:jc w:val="both"/>
        <w:rPr>
          <w:rFonts w:ascii="Times New Roman" w:hAnsi="Times New Roman" w:cs="Times New Roman"/>
          <w:b/>
        </w:rPr>
      </w:pPr>
    </w:p>
    <w:p w:rsidR="00730D6B" w:rsidRPr="003160A2" w:rsidRDefault="00730D6B" w:rsidP="00AC3B76">
      <w:pPr>
        <w:spacing w:after="0"/>
        <w:jc w:val="both"/>
        <w:rPr>
          <w:rFonts w:ascii="Times New Roman" w:hAnsi="Times New Roman" w:cs="Times New Roman"/>
          <w:b/>
        </w:rPr>
      </w:pPr>
    </w:p>
    <w:p w:rsidR="00F25928" w:rsidRPr="006E7A53" w:rsidRDefault="00F25928" w:rsidP="00AC3B76">
      <w:pPr>
        <w:rPr>
          <w:rFonts w:ascii="Times New Roman" w:hAnsi="Times New Roman" w:cs="Times New Roman"/>
          <w:b/>
        </w:rPr>
      </w:pPr>
      <w:r w:rsidRPr="006E7A53">
        <w:rPr>
          <w:rFonts w:ascii="Times New Roman" w:hAnsi="Times New Roman" w:cs="Times New Roman"/>
          <w:b/>
        </w:rPr>
        <w:t>A</w:t>
      </w:r>
      <w:r w:rsidR="00AC3B76" w:rsidRPr="006E7A53">
        <w:rPr>
          <w:rFonts w:ascii="Times New Roman" w:hAnsi="Times New Roman" w:cs="Times New Roman"/>
          <w:b/>
        </w:rPr>
        <w:t>BSTRACT</w:t>
      </w:r>
    </w:p>
    <w:p w:rsidR="00F25928" w:rsidRPr="00C151C9" w:rsidRDefault="00B93E57" w:rsidP="00AC3B76">
      <w:pPr>
        <w:widowControl w:val="0"/>
        <w:jc w:val="both"/>
        <w:rPr>
          <w:rFonts w:ascii="Times New Roman" w:hAnsi="Times New Roman" w:cs="Times New Roman"/>
          <w:lang w:val="en-GB"/>
        </w:rPr>
      </w:pPr>
      <w:r w:rsidRPr="00C151C9">
        <w:rPr>
          <w:rFonts w:ascii="Times New Roman" w:hAnsi="Times New Roman" w:cs="Times New Roman"/>
          <w:lang w:val="en-GB"/>
        </w:rPr>
        <w:t xml:space="preserve">In this paper we attempt to identify factors explaining Tunisian credit risk taking behaviour. Using GMM estimator technique as described by </w:t>
      </w:r>
      <w:proofErr w:type="spellStart"/>
      <w:r w:rsidRPr="00C151C9">
        <w:rPr>
          <w:rFonts w:ascii="Times New Roman" w:hAnsi="Times New Roman" w:cs="Times New Roman"/>
          <w:lang w:val="en-GB"/>
        </w:rPr>
        <w:t>Bundell</w:t>
      </w:r>
      <w:proofErr w:type="spellEnd"/>
      <w:r w:rsidRPr="00C151C9">
        <w:rPr>
          <w:rFonts w:ascii="Times New Roman" w:hAnsi="Times New Roman" w:cs="Times New Roman"/>
          <w:lang w:val="en-GB"/>
        </w:rPr>
        <w:t xml:space="preserve"> and Bond (1998) and retaining the main 10 commercial Tunisian banks during 2000-2013 </w:t>
      </w:r>
      <w:proofErr w:type="gramStart"/>
      <w:r w:rsidR="00730D6B">
        <w:rPr>
          <w:rFonts w:ascii="Times New Roman" w:hAnsi="Times New Roman" w:cs="Times New Roman"/>
          <w:lang w:val="en-GB"/>
        </w:rPr>
        <w:t>period</w:t>
      </w:r>
      <w:proofErr w:type="gramEnd"/>
      <w:r w:rsidRPr="00C151C9">
        <w:rPr>
          <w:rFonts w:ascii="Times New Roman" w:hAnsi="Times New Roman" w:cs="Times New Roman"/>
          <w:lang w:val="en-GB"/>
        </w:rPr>
        <w:t>, this paper examines bank specific, industry specific and macroeconomic factors that may influence bank credit risk.</w:t>
      </w:r>
    </w:p>
    <w:p w:rsidR="00B93E57" w:rsidRPr="00730D6B" w:rsidRDefault="00B93E57" w:rsidP="00AC3B76">
      <w:pPr>
        <w:autoSpaceDE w:val="0"/>
        <w:autoSpaceDN w:val="0"/>
        <w:adjustRightInd w:val="0"/>
        <w:spacing w:after="0"/>
        <w:jc w:val="both"/>
        <w:rPr>
          <w:rFonts w:ascii="Times New Roman" w:hAnsi="Times New Roman" w:cs="Times New Roman"/>
          <w:lang w:val="en-US"/>
        </w:rPr>
      </w:pPr>
      <w:r w:rsidRPr="00C151C9">
        <w:rPr>
          <w:rFonts w:ascii="Times New Roman" w:hAnsi="Times New Roman" w:cs="Times New Roman"/>
          <w:lang w:val="en-GB"/>
        </w:rPr>
        <w:t xml:space="preserve">Results suggest that credit risk in Tunisian banks is significantly influenced by </w:t>
      </w:r>
      <w:r w:rsidR="00732A14" w:rsidRPr="005277BB">
        <w:rPr>
          <w:rFonts w:ascii="Times New Roman" w:hAnsi="Times New Roman" w:cs="Times New Roman"/>
          <w:lang w:val="en-US"/>
        </w:rPr>
        <w:t>capital</w:t>
      </w:r>
      <w:r w:rsidR="00732A14">
        <w:rPr>
          <w:rFonts w:ascii="Times New Roman" w:hAnsi="Times New Roman" w:cs="Times New Roman"/>
          <w:lang w:val="en-US"/>
        </w:rPr>
        <w:t xml:space="preserve"> adequacy</w:t>
      </w:r>
      <w:r w:rsidR="00732A14" w:rsidRPr="005277BB">
        <w:rPr>
          <w:rFonts w:ascii="Times New Roman" w:hAnsi="Times New Roman" w:cs="Times New Roman"/>
          <w:lang w:val="en-US"/>
        </w:rPr>
        <w:t xml:space="preserve"> and operational efficiency</w:t>
      </w:r>
      <w:r w:rsidRPr="00C151C9">
        <w:rPr>
          <w:rFonts w:ascii="Times New Roman" w:hAnsi="Times New Roman" w:cs="Times New Roman"/>
          <w:lang w:val="en-GB"/>
        </w:rPr>
        <w:t>.</w:t>
      </w:r>
      <w:r w:rsidR="00732A14">
        <w:rPr>
          <w:rFonts w:ascii="Times New Roman" w:hAnsi="Times New Roman" w:cs="Times New Roman"/>
          <w:lang w:val="en-GB"/>
        </w:rPr>
        <w:t xml:space="preserve"> </w:t>
      </w:r>
      <w:r w:rsidR="00732A14" w:rsidRPr="00730D6B">
        <w:rPr>
          <w:rFonts w:ascii="Times New Roman" w:hAnsi="Times New Roman" w:cs="Times New Roman"/>
          <w:lang w:val="en-GB"/>
        </w:rPr>
        <w:t>Indeed, banks with adequate c</w:t>
      </w:r>
      <w:r w:rsidR="00D966C5">
        <w:rPr>
          <w:rFonts w:ascii="Times New Roman" w:hAnsi="Times New Roman" w:cs="Times New Roman"/>
          <w:lang w:val="en-GB"/>
        </w:rPr>
        <w:t>apital and efficient</w:t>
      </w:r>
      <w:r w:rsidR="00732A14" w:rsidRPr="00730D6B">
        <w:rPr>
          <w:rFonts w:ascii="Times New Roman" w:hAnsi="Times New Roman" w:cs="Times New Roman"/>
          <w:lang w:val="en-GB"/>
        </w:rPr>
        <w:t xml:space="preserve"> management seem </w:t>
      </w:r>
      <w:r w:rsidR="00E51E3F" w:rsidRPr="00730D6B">
        <w:rPr>
          <w:rFonts w:ascii="Times New Roman" w:hAnsi="Times New Roman" w:cs="Times New Roman"/>
          <w:lang w:val="en-GB"/>
        </w:rPr>
        <w:t>holding low credit risk</w:t>
      </w:r>
      <w:r w:rsidR="00D966C5">
        <w:rPr>
          <w:rFonts w:ascii="Times New Roman" w:hAnsi="Times New Roman" w:cs="Times New Roman"/>
          <w:lang w:val="en-GB"/>
        </w:rPr>
        <w:t xml:space="preserve"> level</w:t>
      </w:r>
      <w:r w:rsidR="00E51E3F" w:rsidRPr="00730D6B">
        <w:rPr>
          <w:rFonts w:ascii="Times New Roman" w:hAnsi="Times New Roman" w:cs="Times New Roman"/>
          <w:lang w:val="en-GB"/>
        </w:rPr>
        <w:t xml:space="preserve">. On the other hand, competitiveness among banks </w:t>
      </w:r>
      <w:r w:rsidR="00730D6B" w:rsidRPr="00730D6B">
        <w:rPr>
          <w:rFonts w:ascii="Times New Roman" w:hAnsi="Times New Roman" w:cs="Times New Roman"/>
          <w:lang w:val="en-GB"/>
        </w:rPr>
        <w:t>pushes</w:t>
      </w:r>
      <w:r w:rsidR="00E51E3F" w:rsidRPr="00730D6B">
        <w:rPr>
          <w:rFonts w:ascii="Times New Roman" w:hAnsi="Times New Roman" w:cs="Times New Roman"/>
          <w:lang w:val="en-GB"/>
        </w:rPr>
        <w:t xml:space="preserve"> risk-taking </w:t>
      </w:r>
      <w:r w:rsidR="00730D6B" w:rsidRPr="00730D6B">
        <w:rPr>
          <w:rFonts w:ascii="Times New Roman" w:hAnsi="Times New Roman" w:cs="Times New Roman"/>
          <w:lang w:val="en-GB"/>
        </w:rPr>
        <w:t>behaviour through</w:t>
      </w:r>
      <w:r w:rsidR="00E51E3F" w:rsidRPr="00730D6B">
        <w:rPr>
          <w:rFonts w:ascii="Times New Roman" w:hAnsi="Times New Roman" w:cs="Times New Roman"/>
          <w:lang w:val="en-GB"/>
        </w:rPr>
        <w:t xml:space="preserve"> developing </w:t>
      </w:r>
      <w:r w:rsidR="00E51E3F" w:rsidRPr="00730D6B">
        <w:rPr>
          <w:rFonts w:ascii="Times New Roman" w:eastAsia="Times New Roman" w:hAnsi="Times New Roman" w:cs="Times New Roman"/>
          <w:lang w:val="en-US" w:eastAsia="fr-FR"/>
        </w:rPr>
        <w:t>risky activities to compensate the loss of revenues.</w:t>
      </w:r>
      <w:r w:rsidR="00730D6B" w:rsidRPr="00730D6B">
        <w:rPr>
          <w:rFonts w:ascii="Times New Roman" w:eastAsia="Times New Roman" w:hAnsi="Times New Roman" w:cs="Times New Roman"/>
          <w:lang w:val="en-US" w:eastAsia="fr-FR"/>
        </w:rPr>
        <w:t xml:space="preserve"> </w:t>
      </w:r>
      <w:r w:rsidR="00730D6B" w:rsidRPr="00730D6B">
        <w:rPr>
          <w:rFonts w:ascii="Times New Roman" w:hAnsi="Times New Roman" w:cs="Times New Roman"/>
          <w:lang w:val="en-US"/>
        </w:rPr>
        <w:t xml:space="preserve">Finally, </w:t>
      </w:r>
      <w:r w:rsidR="0039168C">
        <w:rPr>
          <w:rFonts w:ascii="Times New Roman" w:hAnsi="Times New Roman" w:cs="Times New Roman"/>
          <w:lang w:val="en-US"/>
        </w:rPr>
        <w:t xml:space="preserve">we found that </w:t>
      </w:r>
      <w:r w:rsidR="0039168C" w:rsidRPr="00730D6B">
        <w:rPr>
          <w:rFonts w:ascii="Times New Roman" w:hAnsi="Times New Roman" w:cs="Times New Roman"/>
          <w:lang w:val="en-US"/>
        </w:rPr>
        <w:t>Tunisian</w:t>
      </w:r>
      <w:r w:rsidR="0039168C">
        <w:rPr>
          <w:rFonts w:ascii="Times New Roman" w:hAnsi="Times New Roman" w:cs="Times New Roman"/>
          <w:lang w:val="en-US"/>
        </w:rPr>
        <w:t xml:space="preserve"> </w:t>
      </w:r>
      <w:r w:rsidR="0039168C" w:rsidRPr="00730D6B">
        <w:rPr>
          <w:rFonts w:ascii="Times New Roman" w:hAnsi="Times New Roman" w:cs="Times New Roman"/>
          <w:lang w:val="en-US"/>
        </w:rPr>
        <w:t>ba</w:t>
      </w:r>
      <w:r w:rsidR="0039168C">
        <w:rPr>
          <w:rFonts w:ascii="Times New Roman" w:hAnsi="Times New Roman" w:cs="Times New Roman"/>
          <w:lang w:val="en-US"/>
        </w:rPr>
        <w:t xml:space="preserve">nk credit risk-taking decisions are essentially determined by </w:t>
      </w:r>
      <w:r w:rsidR="00730D6B" w:rsidRPr="00730D6B">
        <w:rPr>
          <w:rFonts w:ascii="Times New Roman" w:hAnsi="Times New Roman" w:cs="Times New Roman"/>
          <w:lang w:val="en-US"/>
        </w:rPr>
        <w:t>macroeconomic</w:t>
      </w:r>
      <w:r w:rsidR="00730D6B">
        <w:rPr>
          <w:rFonts w:ascii="Times New Roman" w:hAnsi="Times New Roman" w:cs="Times New Roman"/>
          <w:lang w:val="en-US"/>
        </w:rPr>
        <w:t xml:space="preserve"> </w:t>
      </w:r>
      <w:r w:rsidR="0039168C">
        <w:rPr>
          <w:rFonts w:ascii="Times New Roman" w:hAnsi="Times New Roman" w:cs="Times New Roman"/>
          <w:lang w:val="en-US"/>
        </w:rPr>
        <w:t>factor</w:t>
      </w:r>
      <w:r w:rsidR="00730D6B" w:rsidRPr="00730D6B">
        <w:rPr>
          <w:rFonts w:ascii="Times New Roman" w:hAnsi="Times New Roman" w:cs="Times New Roman"/>
          <w:lang w:val="en-US"/>
        </w:rPr>
        <w:t>s</w:t>
      </w:r>
      <w:r w:rsidR="0039168C">
        <w:rPr>
          <w:rFonts w:ascii="Times New Roman" w:hAnsi="Times New Roman" w:cs="Times New Roman"/>
          <w:lang w:val="en-US"/>
        </w:rPr>
        <w:t>.</w:t>
      </w:r>
      <w:r w:rsidR="00730D6B" w:rsidRPr="00730D6B">
        <w:rPr>
          <w:rFonts w:ascii="Times New Roman" w:hAnsi="Times New Roman" w:cs="Times New Roman"/>
          <w:lang w:val="en-US"/>
        </w:rPr>
        <w:t xml:space="preserve"> </w:t>
      </w:r>
    </w:p>
    <w:p w:rsidR="0046287F" w:rsidRDefault="0046287F" w:rsidP="00AC3B76">
      <w:pPr>
        <w:autoSpaceDE w:val="0"/>
        <w:autoSpaceDN w:val="0"/>
        <w:spacing w:after="80"/>
        <w:jc w:val="both"/>
        <w:rPr>
          <w:rStyle w:val="apple-style-span"/>
          <w:rFonts w:ascii="Times New Roman" w:hAnsi="Times New Roman" w:cs="Times New Roman"/>
          <w:b/>
          <w:lang w:val="en-US"/>
        </w:rPr>
      </w:pPr>
    </w:p>
    <w:p w:rsidR="00AC3B76" w:rsidRDefault="00AC3B76" w:rsidP="00AC3B76">
      <w:pPr>
        <w:autoSpaceDE w:val="0"/>
        <w:autoSpaceDN w:val="0"/>
        <w:adjustRightInd w:val="0"/>
        <w:spacing w:after="0"/>
        <w:jc w:val="left"/>
        <w:rPr>
          <w:rFonts w:ascii="Times New Roman" w:hAnsi="Times New Roman" w:cs="Times New Roman"/>
          <w:b/>
          <w:bCs/>
          <w:lang w:val="en-US"/>
        </w:rPr>
      </w:pPr>
      <w:r>
        <w:rPr>
          <w:rFonts w:ascii="Times New Roman" w:hAnsi="Times New Roman" w:cs="Times New Roman"/>
          <w:b/>
          <w:bCs/>
          <w:lang w:val="en-US"/>
        </w:rPr>
        <w:t xml:space="preserve">JEL: </w:t>
      </w:r>
      <w:r w:rsidR="00E4594C">
        <w:rPr>
          <w:rFonts w:ascii="Times New Roman" w:hAnsi="Times New Roman" w:cs="Times New Roman"/>
          <w:b/>
          <w:bCs/>
          <w:lang w:val="en-US"/>
        </w:rPr>
        <w:t>G21, G28, C33</w:t>
      </w:r>
    </w:p>
    <w:p w:rsidR="00AC3B76" w:rsidRDefault="00AC3B76" w:rsidP="00AC3B76">
      <w:pPr>
        <w:autoSpaceDE w:val="0"/>
        <w:autoSpaceDN w:val="0"/>
        <w:adjustRightInd w:val="0"/>
        <w:spacing w:after="0"/>
        <w:jc w:val="left"/>
        <w:rPr>
          <w:rFonts w:ascii="Times New Roman" w:hAnsi="Times New Roman" w:cs="Times New Roman"/>
          <w:b/>
          <w:bCs/>
          <w:lang w:val="en-US"/>
        </w:rPr>
      </w:pPr>
    </w:p>
    <w:p w:rsidR="00A97510" w:rsidRDefault="008F54F9" w:rsidP="00AC3B76">
      <w:pPr>
        <w:autoSpaceDE w:val="0"/>
        <w:autoSpaceDN w:val="0"/>
        <w:adjustRightInd w:val="0"/>
        <w:spacing w:after="0"/>
        <w:jc w:val="left"/>
        <w:rPr>
          <w:rStyle w:val="apple-style-span"/>
          <w:rFonts w:ascii="Times New Roman" w:hAnsi="Times New Roman" w:cs="Times New Roman"/>
          <w:b/>
          <w:lang w:val="en-US"/>
        </w:rPr>
      </w:pPr>
      <w:proofErr w:type="gramStart"/>
      <w:r w:rsidRPr="008F54F9">
        <w:rPr>
          <w:rFonts w:ascii="Times New Roman" w:hAnsi="Times New Roman" w:cs="Times New Roman"/>
          <w:b/>
          <w:bCs/>
          <w:lang w:val="en-US"/>
        </w:rPr>
        <w:t>K</w:t>
      </w:r>
      <w:r w:rsidR="00AC3B76">
        <w:rPr>
          <w:rFonts w:ascii="Times New Roman" w:hAnsi="Times New Roman" w:cs="Times New Roman"/>
          <w:b/>
          <w:bCs/>
          <w:lang w:val="en-US"/>
        </w:rPr>
        <w:t>EY WORDS:</w:t>
      </w:r>
      <w:r w:rsidRPr="008F54F9">
        <w:rPr>
          <w:rFonts w:ascii="Times New Roman" w:hAnsi="Times New Roman" w:cs="Times New Roman"/>
          <w:b/>
          <w:bCs/>
          <w:lang w:val="en-US"/>
        </w:rPr>
        <w:t xml:space="preserve"> </w:t>
      </w:r>
      <w:r>
        <w:rPr>
          <w:rFonts w:ascii="Times New Roman" w:hAnsi="Times New Roman" w:cs="Times New Roman"/>
          <w:lang w:val="en-US"/>
        </w:rPr>
        <w:t>Bank credit risk</w:t>
      </w:r>
      <w:r w:rsidRPr="008F54F9">
        <w:rPr>
          <w:rFonts w:ascii="Times New Roman" w:hAnsi="Times New Roman" w:cs="Times New Roman"/>
          <w:lang w:val="en-US"/>
        </w:rPr>
        <w:t xml:space="preserve">, capital regulation, </w:t>
      </w:r>
      <w:r>
        <w:rPr>
          <w:rFonts w:ascii="Times New Roman" w:hAnsi="Times New Roman" w:cs="Times New Roman"/>
          <w:lang w:val="en-US"/>
        </w:rPr>
        <w:t>macroeconomic, GMM System, Tunisia.</w:t>
      </w:r>
      <w:proofErr w:type="gramEnd"/>
    </w:p>
    <w:p w:rsidR="00F25928" w:rsidRPr="00C151C9" w:rsidRDefault="0046287F" w:rsidP="00AC3B76">
      <w:pPr>
        <w:spacing w:before="240"/>
        <w:jc w:val="both"/>
        <w:rPr>
          <w:rFonts w:ascii="Times New Roman" w:hAnsi="Times New Roman" w:cs="Times New Roman"/>
          <w:lang w:val="en-GB"/>
        </w:rPr>
      </w:pPr>
      <w:r w:rsidRPr="00C151C9">
        <w:rPr>
          <w:rStyle w:val="apple-style-span"/>
          <w:rFonts w:ascii="Times New Roman" w:hAnsi="Times New Roman" w:cs="Times New Roman"/>
          <w:b/>
          <w:lang w:val="en-US"/>
        </w:rPr>
        <w:t xml:space="preserve"> </w:t>
      </w:r>
      <w:r>
        <w:rPr>
          <w:rStyle w:val="apple-style-span"/>
          <w:rFonts w:ascii="Times New Roman" w:hAnsi="Times New Roman" w:cs="Times New Roman"/>
          <w:b/>
          <w:lang w:val="en-US"/>
        </w:rPr>
        <w:t>I</w:t>
      </w:r>
      <w:r w:rsidR="00AC3B76">
        <w:rPr>
          <w:rStyle w:val="apple-style-span"/>
          <w:rFonts w:ascii="Times New Roman" w:hAnsi="Times New Roman" w:cs="Times New Roman"/>
          <w:b/>
          <w:lang w:val="en-US"/>
        </w:rPr>
        <w:t>NTRODUCTION</w:t>
      </w:r>
    </w:p>
    <w:p w:rsidR="0017376A" w:rsidRPr="00BA5E32" w:rsidRDefault="007D4616" w:rsidP="00AC3B76">
      <w:pPr>
        <w:autoSpaceDE w:val="0"/>
        <w:autoSpaceDN w:val="0"/>
        <w:adjustRightInd w:val="0"/>
        <w:spacing w:before="240" w:line="276" w:lineRule="auto"/>
        <w:jc w:val="both"/>
        <w:rPr>
          <w:rFonts w:ascii="Times New Roman" w:hAnsi="Times New Roman" w:cs="Times New Roman"/>
          <w:lang w:val="en-US"/>
        </w:rPr>
      </w:pPr>
      <w:r w:rsidRPr="007D4616">
        <w:rPr>
          <w:rFonts w:ascii="Times New Roman" w:hAnsi="Times New Roman" w:cs="Times New Roman"/>
          <w:lang w:val="en-US"/>
        </w:rPr>
        <w:t xml:space="preserve">For years, the health of the financial sector </w:t>
      </w:r>
      <w:r>
        <w:rPr>
          <w:rFonts w:ascii="Times New Roman" w:hAnsi="Times New Roman" w:cs="Times New Roman"/>
          <w:lang w:val="en-US"/>
        </w:rPr>
        <w:t xml:space="preserve">is </w:t>
      </w:r>
      <w:r w:rsidRPr="007D4616">
        <w:rPr>
          <w:rFonts w:ascii="Times New Roman" w:hAnsi="Times New Roman" w:cs="Times New Roman"/>
          <w:lang w:val="en-US"/>
        </w:rPr>
        <w:t xml:space="preserve">a major concern of policy, especially in developing countries where failure in financial intermediation can disturb the development process. It is </w:t>
      </w:r>
      <w:r w:rsidR="003615C8">
        <w:rPr>
          <w:rFonts w:ascii="Times New Roman" w:hAnsi="Times New Roman" w:cs="Times New Roman"/>
          <w:lang w:val="en-US"/>
        </w:rPr>
        <w:t>prov</w:t>
      </w:r>
      <w:r w:rsidRPr="007D4616">
        <w:rPr>
          <w:rFonts w:ascii="Times New Roman" w:hAnsi="Times New Roman" w:cs="Times New Roman"/>
          <w:lang w:val="en-US"/>
        </w:rPr>
        <w:t xml:space="preserve">ed that the major economic upheavals </w:t>
      </w:r>
      <w:r w:rsidR="003615C8">
        <w:rPr>
          <w:rFonts w:ascii="Times New Roman" w:hAnsi="Times New Roman" w:cs="Times New Roman"/>
          <w:lang w:val="en-US"/>
        </w:rPr>
        <w:t>are the result of</w:t>
      </w:r>
      <w:r w:rsidRPr="007D4616">
        <w:rPr>
          <w:rFonts w:ascii="Times New Roman" w:hAnsi="Times New Roman" w:cs="Times New Roman"/>
          <w:lang w:val="en-US"/>
        </w:rPr>
        <w:t xml:space="preserve"> banking crisis.</w:t>
      </w:r>
      <w:r w:rsidR="0017376A">
        <w:rPr>
          <w:rFonts w:ascii="Times New Roman" w:hAnsi="Times New Roman" w:cs="Times New Roman"/>
          <w:lang w:val="en-US"/>
        </w:rPr>
        <w:t xml:space="preserve"> </w:t>
      </w:r>
      <w:r w:rsidR="003615C8">
        <w:rPr>
          <w:rFonts w:ascii="Times New Roman" w:hAnsi="Times New Roman" w:cs="Times New Roman"/>
          <w:lang w:val="en-US"/>
        </w:rPr>
        <w:t>T</w:t>
      </w:r>
      <w:r w:rsidRPr="007D4616">
        <w:rPr>
          <w:rFonts w:ascii="Times New Roman" w:hAnsi="Times New Roman" w:cs="Times New Roman"/>
          <w:lang w:val="en-US"/>
        </w:rPr>
        <w:t xml:space="preserve">he events </w:t>
      </w:r>
      <w:r w:rsidR="00AF46B8">
        <w:rPr>
          <w:rFonts w:ascii="Times New Roman" w:hAnsi="Times New Roman" w:cs="Times New Roman"/>
          <w:lang w:val="en-US"/>
        </w:rPr>
        <w:t xml:space="preserve">that took a place in Asia, </w:t>
      </w:r>
      <w:r w:rsidRPr="007D4616">
        <w:rPr>
          <w:rFonts w:ascii="Times New Roman" w:hAnsi="Times New Roman" w:cs="Times New Roman"/>
          <w:lang w:val="en-US"/>
        </w:rPr>
        <w:t>during the second half of the 1990s</w:t>
      </w:r>
      <w:r w:rsidR="00AF46B8">
        <w:rPr>
          <w:rFonts w:ascii="Times New Roman" w:hAnsi="Times New Roman" w:cs="Times New Roman"/>
          <w:lang w:val="en-US"/>
        </w:rPr>
        <w:t xml:space="preserve">, represent a good illustration that a week financial system associated with inadequate </w:t>
      </w:r>
      <w:r w:rsidRPr="007D4616">
        <w:rPr>
          <w:rFonts w:ascii="Times New Roman" w:hAnsi="Times New Roman" w:cs="Times New Roman"/>
          <w:lang w:val="en-US"/>
        </w:rPr>
        <w:t xml:space="preserve">macroeconomic policies </w:t>
      </w:r>
      <w:r w:rsidR="00AF46B8">
        <w:rPr>
          <w:rFonts w:ascii="Times New Roman" w:hAnsi="Times New Roman" w:cs="Times New Roman"/>
          <w:lang w:val="en-US"/>
        </w:rPr>
        <w:t xml:space="preserve">resulted in the outbreak of a crisis. There was also evidence that </w:t>
      </w:r>
      <w:r w:rsidRPr="007D4616">
        <w:rPr>
          <w:rFonts w:ascii="Times New Roman" w:hAnsi="Times New Roman" w:cs="Times New Roman"/>
          <w:lang w:val="en-US"/>
        </w:rPr>
        <w:t>the problems faced by Asia’s banking systems were the legacy of years of bad lending</w:t>
      </w:r>
      <w:r w:rsidR="003615C8">
        <w:rPr>
          <w:rFonts w:ascii="Times New Roman" w:hAnsi="Times New Roman" w:cs="Times New Roman"/>
          <w:lang w:val="en-US"/>
        </w:rPr>
        <w:t xml:space="preserve"> </w:t>
      </w:r>
      <w:r w:rsidRPr="007D4616">
        <w:rPr>
          <w:rFonts w:ascii="Times New Roman" w:hAnsi="Times New Roman" w:cs="Times New Roman"/>
          <w:lang w:val="en-US"/>
        </w:rPr>
        <w:t xml:space="preserve">practices </w:t>
      </w:r>
      <w:r w:rsidR="0017376A">
        <w:rPr>
          <w:rFonts w:ascii="Times New Roman" w:hAnsi="Times New Roman" w:cs="Times New Roman"/>
          <w:lang w:val="en-US"/>
        </w:rPr>
        <w:t>in an environment characterized by</w:t>
      </w:r>
      <w:r w:rsidRPr="007D4616">
        <w:rPr>
          <w:rFonts w:ascii="Times New Roman" w:hAnsi="Times New Roman" w:cs="Times New Roman"/>
          <w:lang w:val="en-US"/>
        </w:rPr>
        <w:t xml:space="preserve"> inadequate supervision and regulation that led to rapid lending growth and</w:t>
      </w:r>
      <w:r w:rsidR="003615C8">
        <w:rPr>
          <w:rFonts w:ascii="Times New Roman" w:hAnsi="Times New Roman" w:cs="Times New Roman"/>
          <w:lang w:val="en-US"/>
        </w:rPr>
        <w:t xml:space="preserve"> </w:t>
      </w:r>
      <w:r w:rsidRPr="007D4616">
        <w:rPr>
          <w:rFonts w:ascii="Times New Roman" w:hAnsi="Times New Roman" w:cs="Times New Roman"/>
          <w:lang w:val="en-US"/>
        </w:rPr>
        <w:t xml:space="preserve">excessive risk taking (Lindgren </w:t>
      </w:r>
      <w:r w:rsidRPr="007D4616">
        <w:rPr>
          <w:rFonts w:ascii="Times New Roman" w:hAnsi="Times New Roman" w:cs="Times New Roman"/>
          <w:i/>
          <w:iCs/>
          <w:lang w:val="en-US"/>
        </w:rPr>
        <w:t>et al</w:t>
      </w:r>
      <w:r w:rsidR="00F27B73">
        <w:rPr>
          <w:rFonts w:ascii="Times New Roman" w:hAnsi="Times New Roman" w:cs="Times New Roman"/>
          <w:lang w:val="en-US"/>
        </w:rPr>
        <w:t>., 1996</w:t>
      </w:r>
      <w:r w:rsidRPr="007D4616">
        <w:rPr>
          <w:rFonts w:ascii="Times New Roman" w:hAnsi="Times New Roman" w:cs="Times New Roman"/>
          <w:lang w:val="en-US"/>
        </w:rPr>
        <w:t xml:space="preserve">; </w:t>
      </w:r>
      <w:proofErr w:type="spellStart"/>
      <w:r w:rsidRPr="007D4616">
        <w:rPr>
          <w:rFonts w:ascii="Times New Roman" w:hAnsi="Times New Roman" w:cs="Times New Roman"/>
          <w:lang w:val="en-US"/>
        </w:rPr>
        <w:t>Caprio</w:t>
      </w:r>
      <w:proofErr w:type="spellEnd"/>
      <w:r w:rsidRPr="007D4616">
        <w:rPr>
          <w:rFonts w:ascii="Times New Roman" w:hAnsi="Times New Roman" w:cs="Times New Roman"/>
          <w:lang w:val="en-US"/>
        </w:rPr>
        <w:t xml:space="preserve"> and </w:t>
      </w:r>
      <w:proofErr w:type="spellStart"/>
      <w:r w:rsidRPr="007D4616">
        <w:rPr>
          <w:rFonts w:ascii="Times New Roman" w:hAnsi="Times New Roman" w:cs="Times New Roman"/>
          <w:lang w:val="en-US"/>
        </w:rPr>
        <w:t>Klingebiel</w:t>
      </w:r>
      <w:proofErr w:type="spellEnd"/>
      <w:r w:rsidRPr="007D4616">
        <w:rPr>
          <w:rFonts w:ascii="Times New Roman" w:hAnsi="Times New Roman" w:cs="Times New Roman"/>
          <w:lang w:val="en-US"/>
        </w:rPr>
        <w:t>, 2003)</w:t>
      </w:r>
      <w:r w:rsidR="00D01FCC" w:rsidRPr="00D01FCC">
        <w:rPr>
          <w:rFonts w:ascii="Helvetica" w:hAnsi="Helvetica" w:cs="Helvetica"/>
          <w:sz w:val="20"/>
          <w:szCs w:val="20"/>
          <w:lang w:val="en-US"/>
        </w:rPr>
        <w:t>.</w:t>
      </w:r>
      <w:r w:rsidR="00D01FCC">
        <w:rPr>
          <w:rFonts w:ascii="Times New Roman" w:hAnsi="Times New Roman" w:cs="Times New Roman"/>
          <w:lang w:val="en-US"/>
        </w:rPr>
        <w:t xml:space="preserve"> </w:t>
      </w:r>
      <w:r>
        <w:rPr>
          <w:rFonts w:ascii="Times New Roman" w:hAnsi="Times New Roman" w:cs="Times New Roman"/>
          <w:lang w:val="en-US"/>
        </w:rPr>
        <w:t>However,</w:t>
      </w:r>
      <w:r w:rsidR="0017376A">
        <w:rPr>
          <w:rFonts w:ascii="Times New Roman" w:hAnsi="Times New Roman" w:cs="Times New Roman"/>
          <w:lang w:val="en-US"/>
        </w:rPr>
        <w:t xml:space="preserve"> </w:t>
      </w:r>
      <w:r w:rsidRPr="007D4616">
        <w:rPr>
          <w:rFonts w:ascii="Times New Roman" w:hAnsi="Times New Roman" w:cs="Times New Roman"/>
          <w:lang w:val="en-US"/>
        </w:rPr>
        <w:t>there is limited work of operational relevance for</w:t>
      </w:r>
      <w:r w:rsidR="003615C8">
        <w:rPr>
          <w:rFonts w:ascii="Times New Roman" w:hAnsi="Times New Roman" w:cs="Times New Roman"/>
          <w:lang w:val="en-US"/>
        </w:rPr>
        <w:t xml:space="preserve"> </w:t>
      </w:r>
      <w:r w:rsidRPr="007D4616">
        <w:rPr>
          <w:rFonts w:ascii="Times New Roman" w:hAnsi="Times New Roman" w:cs="Times New Roman"/>
          <w:lang w:val="en-US"/>
        </w:rPr>
        <w:t>improving the functioning of financial sector</w:t>
      </w:r>
      <w:r w:rsidR="008314B6">
        <w:rPr>
          <w:rFonts w:ascii="Times New Roman" w:hAnsi="Times New Roman" w:cs="Times New Roman"/>
          <w:lang w:val="en-US"/>
        </w:rPr>
        <w:t xml:space="preserve"> and minimizing risk taking behavior</w:t>
      </w:r>
      <w:r w:rsidR="00D966C5">
        <w:rPr>
          <w:rFonts w:ascii="Times New Roman" w:hAnsi="Times New Roman" w:cs="Times New Roman"/>
          <w:lang w:val="en-US"/>
        </w:rPr>
        <w:t xml:space="preserve"> in developing countries</w:t>
      </w:r>
      <w:r w:rsidR="0017376A">
        <w:rPr>
          <w:rFonts w:ascii="Times New Roman" w:hAnsi="Times New Roman" w:cs="Times New Roman"/>
          <w:lang w:val="en-US"/>
        </w:rPr>
        <w:t>.</w:t>
      </w:r>
    </w:p>
    <w:p w:rsidR="00BA5E32" w:rsidRDefault="00872202" w:rsidP="00AC3B76">
      <w:pPr>
        <w:autoSpaceDE w:val="0"/>
        <w:autoSpaceDN w:val="0"/>
        <w:adjustRightInd w:val="0"/>
        <w:spacing w:before="240" w:line="276" w:lineRule="auto"/>
        <w:jc w:val="both"/>
        <w:rPr>
          <w:rFonts w:ascii="Times New Roman" w:hAnsi="Times New Roman" w:cs="Times New Roman"/>
          <w:lang w:val="en-GB"/>
        </w:rPr>
      </w:pPr>
      <w:r w:rsidRPr="00BA5E32">
        <w:rPr>
          <w:rFonts w:ascii="Times New Roman" w:hAnsi="Times New Roman" w:cs="Times New Roman"/>
          <w:lang w:val="en-US"/>
        </w:rPr>
        <w:t>Without a doubt, h</w:t>
      </w:r>
      <w:r w:rsidR="0017376A" w:rsidRPr="00BA5E32">
        <w:rPr>
          <w:rFonts w:ascii="Times New Roman" w:hAnsi="Times New Roman" w:cs="Times New Roman"/>
          <w:lang w:val="en-US"/>
        </w:rPr>
        <w:t xml:space="preserve">olding an effective risk management procedure is crucial for banking business. </w:t>
      </w:r>
      <w:r w:rsidRPr="00BA5E32">
        <w:rPr>
          <w:rFonts w:ascii="Times New Roman" w:hAnsi="Times New Roman" w:cs="Times New Roman"/>
          <w:lang w:val="en-US"/>
        </w:rPr>
        <w:t>I</w:t>
      </w:r>
      <w:r w:rsidR="0017376A" w:rsidRPr="00BA5E32">
        <w:rPr>
          <w:rFonts w:ascii="Times New Roman" w:hAnsi="Times New Roman" w:cs="Times New Roman"/>
          <w:lang w:val="en-US"/>
        </w:rPr>
        <w:t>n</w:t>
      </w:r>
      <w:r w:rsidR="0039168C">
        <w:rPr>
          <w:rFonts w:ascii="Times New Roman" w:hAnsi="Times New Roman" w:cs="Times New Roman"/>
          <w:lang w:val="en-US"/>
        </w:rPr>
        <w:t xml:space="preserve">deed, in </w:t>
      </w:r>
      <w:r w:rsidR="0017376A" w:rsidRPr="00BA5E32">
        <w:rPr>
          <w:rFonts w:ascii="Times New Roman" w:hAnsi="Times New Roman" w:cs="Times New Roman"/>
          <w:lang w:val="en-US"/>
        </w:rPr>
        <w:t xml:space="preserve">unpredictable and explosive atmosphere all banks are </w:t>
      </w:r>
      <w:r w:rsidRPr="00BA5E32">
        <w:rPr>
          <w:rFonts w:ascii="Times New Roman" w:hAnsi="Times New Roman" w:cs="Times New Roman"/>
          <w:lang w:val="en-US"/>
        </w:rPr>
        <w:t xml:space="preserve">exposed to </w:t>
      </w:r>
      <w:r w:rsidR="00CF69B0" w:rsidRPr="00BA5E32">
        <w:rPr>
          <w:rFonts w:ascii="Times New Roman" w:hAnsi="Times New Roman" w:cs="Times New Roman"/>
          <w:lang w:val="en-US"/>
        </w:rPr>
        <w:t>colossal</w:t>
      </w:r>
      <w:r w:rsidR="0017376A" w:rsidRPr="00BA5E32">
        <w:rPr>
          <w:rFonts w:ascii="Times New Roman" w:hAnsi="Times New Roman" w:cs="Times New Roman"/>
          <w:lang w:val="en-US"/>
        </w:rPr>
        <w:t xml:space="preserve"> risks like liquidity risk, operational risk, mar</w:t>
      </w:r>
      <w:r w:rsidR="00CF69B0">
        <w:rPr>
          <w:rFonts w:ascii="Times New Roman" w:hAnsi="Times New Roman" w:cs="Times New Roman"/>
          <w:lang w:val="en-US"/>
        </w:rPr>
        <w:t xml:space="preserve">ket risk, foreign exchange </w:t>
      </w:r>
      <w:proofErr w:type="spellStart"/>
      <w:r w:rsidR="00CF69B0">
        <w:rPr>
          <w:rFonts w:ascii="Times New Roman" w:hAnsi="Times New Roman" w:cs="Times New Roman"/>
          <w:lang w:val="en-US"/>
        </w:rPr>
        <w:t>risk</w:t>
      </w:r>
      <w:r w:rsidR="00CF69B0" w:rsidRPr="00BA5E32">
        <w:rPr>
          <w:rFonts w:ascii="Times New Roman" w:hAnsi="Times New Roman" w:cs="Times New Roman"/>
          <w:lang w:val="en-US"/>
        </w:rPr>
        <w:t>,interest</w:t>
      </w:r>
      <w:proofErr w:type="spellEnd"/>
      <w:r w:rsidR="00CF69B0" w:rsidRPr="00BA5E32">
        <w:rPr>
          <w:rFonts w:ascii="Times New Roman" w:hAnsi="Times New Roman" w:cs="Times New Roman"/>
          <w:lang w:val="en-US"/>
        </w:rPr>
        <w:t xml:space="preserve"> rate risk </w:t>
      </w:r>
      <w:r w:rsidR="0017376A" w:rsidRPr="00BA5E32">
        <w:rPr>
          <w:rFonts w:ascii="Times New Roman" w:hAnsi="Times New Roman" w:cs="Times New Roman"/>
          <w:lang w:val="en-US"/>
        </w:rPr>
        <w:t xml:space="preserve">and </w:t>
      </w:r>
      <w:r w:rsidR="00CF69B0" w:rsidRPr="00BA5E32">
        <w:rPr>
          <w:rFonts w:ascii="Times New Roman" w:hAnsi="Times New Roman" w:cs="Times New Roman"/>
          <w:lang w:val="en-US"/>
        </w:rPr>
        <w:t>credit risk</w:t>
      </w:r>
      <w:r w:rsidR="0017376A" w:rsidRPr="00BA5E32">
        <w:rPr>
          <w:rFonts w:ascii="Times New Roman" w:hAnsi="Times New Roman" w:cs="Times New Roman"/>
          <w:lang w:val="en-US"/>
        </w:rPr>
        <w:t xml:space="preserve">, which may </w:t>
      </w:r>
      <w:r w:rsidR="00CF69B0" w:rsidRPr="00BA5E32">
        <w:rPr>
          <w:rFonts w:ascii="Times New Roman" w:hAnsi="Times New Roman" w:cs="Times New Roman"/>
          <w:lang w:val="en-US"/>
        </w:rPr>
        <w:t>maybe</w:t>
      </w:r>
      <w:r w:rsidR="0017376A" w:rsidRPr="00BA5E32">
        <w:rPr>
          <w:rFonts w:ascii="Times New Roman" w:hAnsi="Times New Roman" w:cs="Times New Roman"/>
          <w:lang w:val="en-US"/>
        </w:rPr>
        <w:t xml:space="preserve"> affect the </w:t>
      </w:r>
      <w:r w:rsidR="00CF69B0" w:rsidRPr="00BA5E32">
        <w:rPr>
          <w:rFonts w:ascii="Times New Roman" w:hAnsi="Times New Roman" w:cs="Times New Roman"/>
          <w:lang w:val="en-US"/>
        </w:rPr>
        <w:t xml:space="preserve">successes </w:t>
      </w:r>
      <w:r w:rsidR="0017376A" w:rsidRPr="00BA5E32">
        <w:rPr>
          <w:rFonts w:ascii="Times New Roman" w:hAnsi="Times New Roman" w:cs="Times New Roman"/>
          <w:lang w:val="en-US"/>
        </w:rPr>
        <w:t xml:space="preserve">and </w:t>
      </w:r>
      <w:r w:rsidR="00CF69B0" w:rsidRPr="00BA5E32">
        <w:rPr>
          <w:rFonts w:ascii="Times New Roman" w:hAnsi="Times New Roman" w:cs="Times New Roman"/>
          <w:lang w:val="en-US"/>
        </w:rPr>
        <w:t xml:space="preserve">survival </w:t>
      </w:r>
      <w:r w:rsidR="0017376A" w:rsidRPr="00BA5E32">
        <w:rPr>
          <w:rFonts w:ascii="Times New Roman" w:hAnsi="Times New Roman" w:cs="Times New Roman"/>
          <w:lang w:val="en-US"/>
        </w:rPr>
        <w:t>of banks (</w:t>
      </w:r>
      <w:proofErr w:type="spellStart"/>
      <w:r w:rsidR="0017376A" w:rsidRPr="00BA5E32">
        <w:rPr>
          <w:rFonts w:ascii="Times New Roman" w:hAnsi="Times New Roman" w:cs="Times New Roman"/>
          <w:lang w:val="en-US"/>
        </w:rPr>
        <w:t>Ali,Akhtar</w:t>
      </w:r>
      <w:proofErr w:type="spellEnd"/>
      <w:r w:rsidR="0017376A" w:rsidRPr="00BA5E32">
        <w:rPr>
          <w:rFonts w:ascii="Times New Roman" w:hAnsi="Times New Roman" w:cs="Times New Roman"/>
          <w:lang w:val="en-US"/>
        </w:rPr>
        <w:t xml:space="preserve"> and Sadaqat,2011 and Al-</w:t>
      </w:r>
      <w:proofErr w:type="spellStart"/>
      <w:r w:rsidR="0017376A" w:rsidRPr="00BA5E32">
        <w:rPr>
          <w:rFonts w:ascii="Times New Roman" w:hAnsi="Times New Roman" w:cs="Times New Roman"/>
          <w:lang w:val="en-US"/>
        </w:rPr>
        <w:t>Tamimi</w:t>
      </w:r>
      <w:proofErr w:type="spellEnd"/>
      <w:r w:rsidR="0017376A" w:rsidRPr="00BA5E32">
        <w:rPr>
          <w:rFonts w:ascii="Times New Roman" w:hAnsi="Times New Roman" w:cs="Times New Roman"/>
          <w:lang w:val="en-US"/>
        </w:rPr>
        <w:t xml:space="preserve"> and Al- Mazrooei,2007).</w:t>
      </w:r>
      <w:r w:rsidR="00BA5E32" w:rsidRPr="00BA5E32">
        <w:rPr>
          <w:rFonts w:ascii="Times New Roman" w:hAnsi="Times New Roman" w:cs="Times New Roman"/>
          <w:lang w:val="en-GB"/>
        </w:rPr>
        <w:t xml:space="preserve"> </w:t>
      </w:r>
      <w:r w:rsidR="00BA5E32" w:rsidRPr="00C151C9">
        <w:rPr>
          <w:rFonts w:ascii="Times New Roman" w:hAnsi="Times New Roman" w:cs="Times New Roman"/>
          <w:lang w:val="en-GB"/>
        </w:rPr>
        <w:t xml:space="preserve">Credit risk management is </w:t>
      </w:r>
      <w:r w:rsidR="00CF69B0">
        <w:rPr>
          <w:rFonts w:ascii="Times New Roman" w:hAnsi="Times New Roman" w:cs="Times New Roman"/>
          <w:lang w:val="en-GB"/>
        </w:rPr>
        <w:t>considered as the major</w:t>
      </w:r>
      <w:r w:rsidR="00BA5E32" w:rsidRPr="00C151C9">
        <w:rPr>
          <w:rFonts w:ascii="Times New Roman" w:hAnsi="Times New Roman" w:cs="Times New Roman"/>
          <w:lang w:val="en-GB"/>
        </w:rPr>
        <w:t xml:space="preserve"> complex task in the financial </w:t>
      </w:r>
      <w:r w:rsidR="00237886" w:rsidRPr="00C151C9">
        <w:rPr>
          <w:rFonts w:ascii="Times New Roman" w:hAnsi="Times New Roman" w:cs="Times New Roman"/>
          <w:lang w:val="en-GB"/>
        </w:rPr>
        <w:t>business</w:t>
      </w:r>
      <w:r w:rsidR="00BA5E32" w:rsidRPr="00C151C9">
        <w:rPr>
          <w:rFonts w:ascii="Times New Roman" w:hAnsi="Times New Roman" w:cs="Times New Roman"/>
          <w:lang w:val="en-GB"/>
        </w:rPr>
        <w:t xml:space="preserve"> because of the </w:t>
      </w:r>
      <w:r w:rsidR="007658A2" w:rsidRPr="00C151C9">
        <w:rPr>
          <w:rFonts w:ascii="Times New Roman" w:hAnsi="Times New Roman" w:cs="Times New Roman"/>
          <w:lang w:val="en-GB"/>
        </w:rPr>
        <w:t>changeable</w:t>
      </w:r>
      <w:r w:rsidR="00BA5E32" w:rsidRPr="00C151C9">
        <w:rPr>
          <w:rFonts w:ascii="Times New Roman" w:hAnsi="Times New Roman" w:cs="Times New Roman"/>
          <w:lang w:val="en-GB"/>
        </w:rPr>
        <w:t xml:space="preserve"> nature of the macroeconomic factors coupled with banking industry or specific to particular bank factors. </w:t>
      </w:r>
    </w:p>
    <w:p w:rsidR="00A20B82" w:rsidRPr="00A97510" w:rsidRDefault="00111C8D" w:rsidP="00AC3B76">
      <w:pPr>
        <w:autoSpaceDE w:val="0"/>
        <w:autoSpaceDN w:val="0"/>
        <w:adjustRightInd w:val="0"/>
        <w:spacing w:before="240" w:after="0" w:line="276" w:lineRule="auto"/>
        <w:jc w:val="both"/>
        <w:rPr>
          <w:rFonts w:ascii="TimesNewRoman" w:hAnsi="TimesNewRoman" w:cs="TimesNewRoman"/>
          <w:sz w:val="20"/>
          <w:szCs w:val="20"/>
          <w:lang w:val="en-US"/>
        </w:rPr>
      </w:pPr>
      <w:r>
        <w:rPr>
          <w:rFonts w:ascii="Times New Roman" w:hAnsi="Times New Roman" w:cs="Times New Roman"/>
          <w:lang w:val="en-GB"/>
        </w:rPr>
        <w:t xml:space="preserve">Defined by </w:t>
      </w:r>
      <w:proofErr w:type="spellStart"/>
      <w:r>
        <w:rPr>
          <w:rFonts w:ascii="Times New Roman" w:hAnsi="Times New Roman" w:cs="Times New Roman"/>
          <w:lang w:val="en-GB"/>
        </w:rPr>
        <w:t>Greuning</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Bra</w:t>
      </w:r>
      <w:r w:rsidR="00BA5E32" w:rsidRPr="00C151C9">
        <w:rPr>
          <w:rFonts w:ascii="Times New Roman" w:hAnsi="Times New Roman" w:cs="Times New Roman"/>
          <w:lang w:val="en-GB"/>
        </w:rPr>
        <w:t>tonovic</w:t>
      </w:r>
      <w:proofErr w:type="spellEnd"/>
      <w:r w:rsidR="00BA5E32" w:rsidRPr="00C151C9">
        <w:rPr>
          <w:rFonts w:ascii="Times New Roman" w:hAnsi="Times New Roman" w:cs="Times New Roman"/>
          <w:lang w:val="en-GB"/>
        </w:rPr>
        <w:t xml:space="preserve"> (2004), credit risk is the probability that the borrower fail to honour the terms of loan agreement.</w:t>
      </w:r>
      <w:r w:rsidR="00BA5E32">
        <w:rPr>
          <w:rFonts w:ascii="Times New Roman" w:hAnsi="Times New Roman" w:cs="Times New Roman"/>
          <w:lang w:val="en-GB"/>
        </w:rPr>
        <w:t xml:space="preserve"> </w:t>
      </w:r>
      <w:r w:rsidR="00BA5E32" w:rsidRPr="00C151C9">
        <w:rPr>
          <w:rFonts w:ascii="Times New Roman" w:hAnsi="Times New Roman" w:cs="Times New Roman"/>
          <w:lang w:val="en-GB"/>
        </w:rPr>
        <w:t>Banks try to maximise</w:t>
      </w:r>
      <w:r w:rsidR="00411F52">
        <w:rPr>
          <w:rFonts w:ascii="Times New Roman" w:hAnsi="Times New Roman" w:cs="Times New Roman"/>
          <w:lang w:val="en-GB"/>
        </w:rPr>
        <w:t xml:space="preserve"> their profits, wish requires a</w:t>
      </w:r>
      <w:r w:rsidR="00BA5E32" w:rsidRPr="00C151C9">
        <w:rPr>
          <w:rFonts w:ascii="Times New Roman" w:hAnsi="Times New Roman" w:cs="Times New Roman"/>
          <w:lang w:val="en-GB"/>
        </w:rPr>
        <w:t xml:space="preserve"> </w:t>
      </w:r>
      <w:r w:rsidR="00411F52" w:rsidRPr="00C151C9">
        <w:rPr>
          <w:rFonts w:ascii="Times New Roman" w:hAnsi="Times New Roman" w:cs="Times New Roman"/>
          <w:lang w:val="en-GB"/>
        </w:rPr>
        <w:t>correct</w:t>
      </w:r>
      <w:r w:rsidR="00BA5E32" w:rsidRPr="00C151C9">
        <w:rPr>
          <w:rFonts w:ascii="Times New Roman" w:hAnsi="Times New Roman" w:cs="Times New Roman"/>
          <w:lang w:val="en-GB"/>
        </w:rPr>
        <w:t xml:space="preserve"> pricing of </w:t>
      </w:r>
      <w:r w:rsidR="00BA5E32" w:rsidRPr="00B30ACC">
        <w:rPr>
          <w:rFonts w:ascii="Times New Roman" w:hAnsi="Times New Roman" w:cs="Times New Roman"/>
          <w:lang w:val="en-GB"/>
        </w:rPr>
        <w:t>the risk contained in their assets portfolios. However, given the weight of loans on banks assets, some bank firms default while others do not.</w:t>
      </w:r>
      <w:r w:rsidR="00411F52" w:rsidRPr="00B30ACC">
        <w:rPr>
          <w:rFonts w:ascii="Times New Roman" w:hAnsi="Times New Roman" w:cs="Times New Roman"/>
          <w:lang w:val="en-GB"/>
        </w:rPr>
        <w:t xml:space="preserve"> </w:t>
      </w:r>
      <w:proofErr w:type="spellStart"/>
      <w:r w:rsidR="00411F52" w:rsidRPr="00B30ACC">
        <w:rPr>
          <w:rFonts w:ascii="Times New Roman" w:hAnsi="Times New Roman" w:cs="Times New Roman"/>
          <w:lang w:val="en-US"/>
        </w:rPr>
        <w:t>Zribi</w:t>
      </w:r>
      <w:proofErr w:type="spellEnd"/>
      <w:r w:rsidR="00411F52" w:rsidRPr="00B30ACC">
        <w:rPr>
          <w:rFonts w:ascii="Times New Roman" w:hAnsi="Times New Roman" w:cs="Times New Roman"/>
          <w:lang w:val="en-US"/>
        </w:rPr>
        <w:t xml:space="preserve"> and </w:t>
      </w:r>
      <w:proofErr w:type="spellStart"/>
      <w:r w:rsidR="00411F52" w:rsidRPr="00B30ACC">
        <w:rPr>
          <w:rFonts w:ascii="Times New Roman" w:hAnsi="Times New Roman" w:cs="Times New Roman"/>
          <w:lang w:val="en-US"/>
        </w:rPr>
        <w:t>Younes</w:t>
      </w:r>
      <w:proofErr w:type="spellEnd"/>
      <w:r w:rsidR="00411F52" w:rsidRPr="00B30ACC">
        <w:rPr>
          <w:rFonts w:ascii="Times New Roman" w:hAnsi="Times New Roman" w:cs="Times New Roman"/>
          <w:lang w:val="en-US"/>
        </w:rPr>
        <w:t xml:space="preserve"> (2011), suggest that credit risk in emerging economy banks is higher than that in developed </w:t>
      </w:r>
      <w:r w:rsidR="00B30ACC">
        <w:rPr>
          <w:rFonts w:ascii="Times New Roman" w:hAnsi="Times New Roman" w:cs="Times New Roman"/>
          <w:lang w:val="en-US"/>
        </w:rPr>
        <w:t>ones</w:t>
      </w:r>
      <w:r w:rsidR="00411F52" w:rsidRPr="00B30ACC">
        <w:rPr>
          <w:rFonts w:ascii="Times New Roman" w:hAnsi="Times New Roman" w:cs="Times New Roman"/>
          <w:lang w:val="en-US"/>
        </w:rPr>
        <w:t xml:space="preserve"> and that risk is </w:t>
      </w:r>
      <w:r w:rsidR="0014453E">
        <w:rPr>
          <w:rFonts w:ascii="Times New Roman" w:hAnsi="Times New Roman" w:cs="Times New Roman"/>
          <w:lang w:val="en-US"/>
        </w:rPr>
        <w:t>influenced</w:t>
      </w:r>
      <w:r w:rsidR="00411F52" w:rsidRPr="00B30ACC">
        <w:rPr>
          <w:rFonts w:ascii="Times New Roman" w:hAnsi="Times New Roman" w:cs="Times New Roman"/>
          <w:lang w:val="en-US"/>
        </w:rPr>
        <w:t xml:space="preserve"> by a </w:t>
      </w:r>
      <w:r w:rsidR="0014453E">
        <w:rPr>
          <w:rFonts w:ascii="Times New Roman" w:hAnsi="Times New Roman" w:cs="Times New Roman"/>
          <w:lang w:val="en-US"/>
        </w:rPr>
        <w:t>bigger</w:t>
      </w:r>
      <w:r w:rsidR="00411F52" w:rsidRPr="00B30ACC">
        <w:rPr>
          <w:rFonts w:ascii="Times New Roman" w:hAnsi="Times New Roman" w:cs="Times New Roman"/>
          <w:lang w:val="en-US"/>
        </w:rPr>
        <w:t xml:space="preserve"> number of bank-specific factors in </w:t>
      </w:r>
      <w:r w:rsidR="007C20A2">
        <w:rPr>
          <w:rFonts w:ascii="Times New Roman" w:hAnsi="Times New Roman" w:cs="Times New Roman"/>
          <w:lang w:val="en-US"/>
        </w:rPr>
        <w:t>developing</w:t>
      </w:r>
      <w:r w:rsidR="00411F52" w:rsidRPr="00B30ACC">
        <w:rPr>
          <w:rFonts w:ascii="Times New Roman" w:hAnsi="Times New Roman" w:cs="Times New Roman"/>
          <w:lang w:val="en-US"/>
        </w:rPr>
        <w:t xml:space="preserve"> economies compared to their counterparts in developed </w:t>
      </w:r>
      <w:r w:rsidR="00B30ACC">
        <w:rPr>
          <w:rFonts w:ascii="Times New Roman" w:hAnsi="Times New Roman" w:cs="Times New Roman"/>
          <w:lang w:val="en-US"/>
        </w:rPr>
        <w:t>ones</w:t>
      </w:r>
      <w:r w:rsidR="00411F52" w:rsidRPr="00B30ACC">
        <w:rPr>
          <w:rFonts w:ascii="Times New Roman" w:hAnsi="Times New Roman" w:cs="Times New Roman"/>
          <w:lang w:val="en-US"/>
        </w:rPr>
        <w:t>.</w:t>
      </w:r>
    </w:p>
    <w:p w:rsidR="00B30ACC" w:rsidRDefault="00B30ACC" w:rsidP="00AC3B76">
      <w:pPr>
        <w:autoSpaceDE w:val="0"/>
        <w:autoSpaceDN w:val="0"/>
        <w:adjustRightInd w:val="0"/>
        <w:spacing w:before="240" w:after="0" w:line="276" w:lineRule="auto"/>
        <w:jc w:val="both"/>
        <w:rPr>
          <w:rFonts w:ascii="Times New Roman" w:hAnsi="Times New Roman" w:cs="Times New Roman"/>
          <w:lang w:val="en-GB"/>
        </w:rPr>
      </w:pPr>
      <w:r>
        <w:rPr>
          <w:rFonts w:ascii="Times New Roman" w:hAnsi="Times New Roman" w:cs="Times New Roman"/>
          <w:lang w:val="en-GB"/>
        </w:rPr>
        <w:t>Thus, t</w:t>
      </w:r>
      <w:r w:rsidR="00A20B82" w:rsidRPr="00C151C9">
        <w:rPr>
          <w:rFonts w:ascii="Times New Roman" w:hAnsi="Times New Roman" w:cs="Times New Roman"/>
          <w:lang w:val="en-GB"/>
        </w:rPr>
        <w:t xml:space="preserve">he main motivation behind this study is to improve understanding of credit risk modelling at the micro </w:t>
      </w:r>
      <w:r w:rsidR="00A20B82" w:rsidRPr="008575DA">
        <w:rPr>
          <w:rFonts w:ascii="Times New Roman" w:hAnsi="Times New Roman" w:cs="Times New Roman"/>
          <w:lang w:val="en-GB"/>
        </w:rPr>
        <w:t>and macro levels.</w:t>
      </w:r>
      <w:r w:rsidR="008575DA" w:rsidRPr="008575DA">
        <w:rPr>
          <w:rFonts w:ascii="Times New Roman" w:hAnsi="Times New Roman" w:cs="Times New Roman"/>
          <w:lang w:val="en-US"/>
        </w:rPr>
        <w:t xml:space="preserve"> We are mainly interested by the Tunisian bank</w:t>
      </w:r>
      <w:r w:rsidR="007C20A2">
        <w:rPr>
          <w:rFonts w:ascii="Times New Roman" w:hAnsi="Times New Roman" w:cs="Times New Roman"/>
          <w:lang w:val="en-US"/>
        </w:rPr>
        <w:t>s</w:t>
      </w:r>
      <w:r w:rsidR="008575DA" w:rsidRPr="008575DA">
        <w:rPr>
          <w:rFonts w:ascii="Times New Roman" w:hAnsi="Times New Roman" w:cs="Times New Roman"/>
          <w:lang w:val="en-US"/>
        </w:rPr>
        <w:t xml:space="preserve"> </w:t>
      </w:r>
      <w:r w:rsidR="007C20A2">
        <w:rPr>
          <w:rFonts w:ascii="Times New Roman" w:hAnsi="Times New Roman" w:cs="Times New Roman"/>
          <w:lang w:val="en-US"/>
        </w:rPr>
        <w:t>case</w:t>
      </w:r>
      <w:r w:rsidR="008575DA" w:rsidRPr="008575DA">
        <w:rPr>
          <w:rFonts w:ascii="Times New Roman" w:hAnsi="Times New Roman" w:cs="Times New Roman"/>
          <w:lang w:val="en-US"/>
        </w:rPr>
        <w:t xml:space="preserve"> because </w:t>
      </w:r>
      <w:r w:rsidR="007C20A2">
        <w:rPr>
          <w:rFonts w:ascii="Times New Roman" w:hAnsi="Times New Roman" w:cs="Times New Roman"/>
          <w:lang w:val="en-US"/>
        </w:rPr>
        <w:t>they suffer</w:t>
      </w:r>
      <w:r w:rsidR="008575DA" w:rsidRPr="008575DA">
        <w:rPr>
          <w:rFonts w:ascii="Times New Roman" w:hAnsi="Times New Roman" w:cs="Times New Roman"/>
          <w:lang w:val="en-US"/>
        </w:rPr>
        <w:t xml:space="preserve"> from high credit risk </w:t>
      </w:r>
      <w:r w:rsidR="007C20A2">
        <w:rPr>
          <w:rFonts w:ascii="Times New Roman" w:hAnsi="Times New Roman" w:cs="Times New Roman"/>
          <w:lang w:val="en-US"/>
        </w:rPr>
        <w:lastRenderedPageBreak/>
        <w:t xml:space="preserve">levels </w:t>
      </w:r>
      <w:r w:rsidR="008575DA" w:rsidRPr="008575DA">
        <w:rPr>
          <w:rFonts w:ascii="Times New Roman" w:hAnsi="Times New Roman" w:cs="Times New Roman"/>
          <w:lang w:val="en-US"/>
        </w:rPr>
        <w:t>and low profitability</w:t>
      </w:r>
      <w:r w:rsidR="00AA3CBA">
        <w:rPr>
          <w:rFonts w:ascii="Times New Roman" w:hAnsi="Times New Roman" w:cs="Times New Roman"/>
          <w:lang w:val="en-US"/>
        </w:rPr>
        <w:t xml:space="preserve"> and</w:t>
      </w:r>
      <w:r w:rsidR="008575DA" w:rsidRPr="008575DA">
        <w:rPr>
          <w:rFonts w:ascii="Times New Roman" w:hAnsi="Times New Roman" w:cs="Times New Roman"/>
          <w:lang w:val="en-US"/>
        </w:rPr>
        <w:t xml:space="preserve"> liquidity.</w:t>
      </w:r>
      <w:r w:rsidR="00A20B82" w:rsidRPr="008575DA">
        <w:rPr>
          <w:rFonts w:ascii="Times New Roman" w:hAnsi="Times New Roman" w:cs="Times New Roman"/>
          <w:lang w:val="en-GB"/>
        </w:rPr>
        <w:t xml:space="preserve"> </w:t>
      </w:r>
      <w:r>
        <w:rPr>
          <w:rFonts w:ascii="Times New Roman" w:hAnsi="Times New Roman" w:cs="Times New Roman"/>
          <w:lang w:val="en-GB"/>
        </w:rPr>
        <w:t xml:space="preserve">While it has been proved that the credit risk is the key risk facing the Tunisian banks over the last years, the factors affecting risk taking behaviour have not been identified. </w:t>
      </w:r>
    </w:p>
    <w:p w:rsidR="008E24AD" w:rsidRPr="00A97510" w:rsidRDefault="00AA3CBA" w:rsidP="00AC3B76">
      <w:pPr>
        <w:autoSpaceDE w:val="0"/>
        <w:autoSpaceDN w:val="0"/>
        <w:adjustRightInd w:val="0"/>
        <w:spacing w:before="240" w:after="0" w:line="276" w:lineRule="auto"/>
        <w:jc w:val="both"/>
        <w:rPr>
          <w:rStyle w:val="apple-style-span"/>
          <w:rFonts w:ascii="TimesNewRoman" w:hAnsi="TimesNewRoman" w:cs="TimesNewRoman"/>
          <w:sz w:val="20"/>
          <w:szCs w:val="20"/>
          <w:lang w:val="en-US"/>
        </w:rPr>
      </w:pPr>
      <w:r>
        <w:rPr>
          <w:rFonts w:ascii="Times New Roman" w:hAnsi="Times New Roman" w:cs="Times New Roman"/>
          <w:lang w:val="en-GB"/>
        </w:rPr>
        <w:t>S</w:t>
      </w:r>
      <w:r w:rsidR="00A20B82" w:rsidRPr="008575DA">
        <w:rPr>
          <w:rFonts w:ascii="Times New Roman" w:hAnsi="Times New Roman" w:cs="Times New Roman"/>
          <w:lang w:val="en-GB"/>
        </w:rPr>
        <w:t>ection 2</w:t>
      </w:r>
      <w:r>
        <w:rPr>
          <w:rFonts w:ascii="Times New Roman" w:hAnsi="Times New Roman" w:cs="Times New Roman"/>
          <w:lang w:val="en-GB"/>
        </w:rPr>
        <w:t xml:space="preserve"> of this paper</w:t>
      </w:r>
      <w:r w:rsidR="00A20B82" w:rsidRPr="008575DA">
        <w:rPr>
          <w:rFonts w:ascii="Times New Roman" w:hAnsi="Times New Roman" w:cs="Times New Roman"/>
          <w:lang w:val="en-GB"/>
        </w:rPr>
        <w:t xml:space="preserve"> provides the review of the extant literature on credit risk determinants. Section 3 presents data, retained variables, econometric approaches and major empirical results. Finally</w:t>
      </w:r>
      <w:r w:rsidR="00A20B82" w:rsidRPr="00C151C9">
        <w:rPr>
          <w:rFonts w:ascii="Times New Roman" w:hAnsi="Times New Roman" w:cs="Times New Roman"/>
          <w:lang w:val="en-GB"/>
        </w:rPr>
        <w:t xml:space="preserve"> section </w:t>
      </w:r>
      <w:r w:rsidR="00D966C5">
        <w:rPr>
          <w:rFonts w:ascii="Times New Roman" w:hAnsi="Times New Roman" w:cs="Times New Roman"/>
          <w:lang w:val="en-GB"/>
        </w:rPr>
        <w:t xml:space="preserve">4 </w:t>
      </w:r>
      <w:r w:rsidR="00A20B82" w:rsidRPr="00C151C9">
        <w:rPr>
          <w:rFonts w:ascii="Times New Roman" w:hAnsi="Times New Roman" w:cs="Times New Roman"/>
          <w:lang w:val="en-GB"/>
        </w:rPr>
        <w:t>concludes.</w:t>
      </w:r>
    </w:p>
    <w:p w:rsidR="00C151C9" w:rsidRPr="00C151C9" w:rsidRDefault="00CE06CE" w:rsidP="00AC3B76">
      <w:pPr>
        <w:autoSpaceDE w:val="0"/>
        <w:autoSpaceDN w:val="0"/>
        <w:spacing w:before="240" w:after="80" w:line="276" w:lineRule="auto"/>
        <w:jc w:val="both"/>
        <w:rPr>
          <w:rFonts w:ascii="Times New Roman" w:hAnsi="Times New Roman" w:cs="Times New Roman"/>
          <w:b/>
          <w:lang w:val="en-US"/>
        </w:rPr>
      </w:pPr>
      <w:r w:rsidRPr="00C151C9">
        <w:rPr>
          <w:rStyle w:val="apple-style-span"/>
          <w:rFonts w:ascii="Times New Roman" w:hAnsi="Times New Roman" w:cs="Times New Roman"/>
          <w:b/>
          <w:lang w:val="en-US"/>
        </w:rPr>
        <w:t xml:space="preserve">2. </w:t>
      </w:r>
      <w:r w:rsidR="00483757">
        <w:rPr>
          <w:rStyle w:val="apple-style-span"/>
          <w:rFonts w:ascii="Times New Roman" w:hAnsi="Times New Roman" w:cs="Times New Roman"/>
          <w:b/>
          <w:lang w:val="en-US"/>
        </w:rPr>
        <w:t>L</w:t>
      </w:r>
      <w:r w:rsidRPr="00C151C9">
        <w:rPr>
          <w:rStyle w:val="apple-style-span"/>
          <w:rFonts w:ascii="Times New Roman" w:hAnsi="Times New Roman" w:cs="Times New Roman"/>
          <w:b/>
          <w:lang w:val="en-US"/>
        </w:rPr>
        <w:t>iterature review </w:t>
      </w:r>
      <w:r w:rsidR="00483757">
        <w:rPr>
          <w:rStyle w:val="apple-style-span"/>
          <w:rFonts w:ascii="Times New Roman" w:hAnsi="Times New Roman" w:cs="Times New Roman"/>
          <w:b/>
          <w:lang w:val="en-US"/>
        </w:rPr>
        <w:t>and hypothesis</w:t>
      </w:r>
    </w:p>
    <w:p w:rsidR="00FE148F" w:rsidRPr="00D152C9" w:rsidRDefault="00DF1592" w:rsidP="00AC3B76">
      <w:pPr>
        <w:spacing w:before="240" w:after="0" w:line="276" w:lineRule="auto"/>
        <w:jc w:val="both"/>
        <w:rPr>
          <w:rFonts w:ascii="Times New Roman" w:eastAsia="Times New Roman" w:hAnsi="Times New Roman" w:cs="Times New Roman"/>
          <w:lang w:val="en-US" w:eastAsia="fr-FR"/>
        </w:rPr>
      </w:pPr>
      <w:r w:rsidRPr="00D152C9">
        <w:rPr>
          <w:rFonts w:ascii="Times New Roman" w:eastAsia="Times New Roman" w:hAnsi="Times New Roman" w:cs="Times New Roman"/>
          <w:lang w:val="en-US" w:eastAsia="fr-FR"/>
        </w:rPr>
        <w:t xml:space="preserve">According to </w:t>
      </w:r>
      <w:r w:rsidRPr="00DF1592">
        <w:rPr>
          <w:rFonts w:ascii="Times New Roman" w:eastAsia="Times New Roman" w:hAnsi="Times New Roman" w:cs="Times New Roman"/>
          <w:lang w:val="en-US" w:eastAsia="fr-FR"/>
        </w:rPr>
        <w:t xml:space="preserve">Rose and Hudgins (2008) credit risk is the probability that financial institution’s loans, will decline in value and </w:t>
      </w:r>
      <w:r w:rsidRPr="00D152C9">
        <w:rPr>
          <w:rFonts w:ascii="Times New Roman" w:eastAsia="Times New Roman" w:hAnsi="Times New Roman" w:cs="Times New Roman"/>
          <w:lang w:val="en-US" w:eastAsia="fr-FR"/>
        </w:rPr>
        <w:t>possibly</w:t>
      </w:r>
      <w:r w:rsidR="00D966C5">
        <w:rPr>
          <w:rFonts w:ascii="Times New Roman" w:eastAsia="Times New Roman" w:hAnsi="Times New Roman" w:cs="Times New Roman"/>
          <w:lang w:val="en-US" w:eastAsia="fr-FR"/>
        </w:rPr>
        <w:t xml:space="preserve"> become worthless. Saunders and Cornet (</w:t>
      </w:r>
      <w:r w:rsidRPr="00DF1592">
        <w:rPr>
          <w:rFonts w:ascii="Times New Roman" w:eastAsia="Times New Roman" w:hAnsi="Times New Roman" w:cs="Times New Roman"/>
          <w:lang w:val="en-US" w:eastAsia="fr-FR"/>
        </w:rPr>
        <w:t>2008</w:t>
      </w:r>
      <w:r w:rsidR="00D966C5">
        <w:rPr>
          <w:rFonts w:ascii="Times New Roman" w:eastAsia="Times New Roman" w:hAnsi="Times New Roman" w:cs="Times New Roman"/>
          <w:lang w:val="en-US" w:eastAsia="fr-FR"/>
        </w:rPr>
        <w:t>) and Al-</w:t>
      </w:r>
      <w:proofErr w:type="spellStart"/>
      <w:r w:rsidR="00D966C5">
        <w:rPr>
          <w:rFonts w:ascii="Times New Roman" w:eastAsia="Times New Roman" w:hAnsi="Times New Roman" w:cs="Times New Roman"/>
          <w:lang w:val="en-US" w:eastAsia="fr-FR"/>
        </w:rPr>
        <w:t>Smadi</w:t>
      </w:r>
      <w:proofErr w:type="spellEnd"/>
      <w:r w:rsidR="00D966C5">
        <w:rPr>
          <w:rFonts w:ascii="Times New Roman" w:eastAsia="Times New Roman" w:hAnsi="Times New Roman" w:cs="Times New Roman"/>
          <w:lang w:val="en-US" w:eastAsia="fr-FR"/>
        </w:rPr>
        <w:t xml:space="preserve"> and</w:t>
      </w:r>
      <w:r w:rsidRPr="00DF1592">
        <w:rPr>
          <w:rFonts w:ascii="Times New Roman" w:eastAsia="Times New Roman" w:hAnsi="Times New Roman" w:cs="Times New Roman"/>
          <w:lang w:val="en-US" w:eastAsia="fr-FR"/>
        </w:rPr>
        <w:t xml:space="preserve"> Ahmed, </w:t>
      </w:r>
      <w:r w:rsidRPr="00D152C9">
        <w:rPr>
          <w:rFonts w:ascii="Times New Roman" w:eastAsia="Times New Roman" w:hAnsi="Times New Roman" w:cs="Times New Roman"/>
          <w:lang w:val="en-US" w:eastAsia="fr-FR"/>
        </w:rPr>
        <w:t>(</w:t>
      </w:r>
      <w:r w:rsidRPr="00DF1592">
        <w:rPr>
          <w:rFonts w:ascii="Times New Roman" w:eastAsia="Times New Roman" w:hAnsi="Times New Roman" w:cs="Times New Roman"/>
          <w:lang w:val="en-US" w:eastAsia="fr-FR"/>
        </w:rPr>
        <w:t>2009</w:t>
      </w:r>
      <w:r w:rsidRPr="00D152C9">
        <w:rPr>
          <w:rFonts w:ascii="Times New Roman" w:eastAsia="Times New Roman" w:hAnsi="Times New Roman" w:cs="Times New Roman"/>
          <w:lang w:val="en-US" w:eastAsia="fr-FR"/>
        </w:rPr>
        <w:t xml:space="preserve">) define </w:t>
      </w:r>
      <w:r w:rsidRPr="00DF1592">
        <w:rPr>
          <w:rFonts w:ascii="Times New Roman" w:eastAsia="Times New Roman" w:hAnsi="Times New Roman" w:cs="Times New Roman"/>
          <w:lang w:val="en-US" w:eastAsia="fr-FR"/>
        </w:rPr>
        <w:t xml:space="preserve">Credit risk as the </w:t>
      </w:r>
      <w:r w:rsidRPr="00D152C9">
        <w:rPr>
          <w:rFonts w:ascii="Times New Roman" w:eastAsia="Times New Roman" w:hAnsi="Times New Roman" w:cs="Times New Roman"/>
          <w:lang w:val="en-US" w:eastAsia="fr-FR"/>
        </w:rPr>
        <w:t>probability</w:t>
      </w:r>
      <w:r w:rsidRPr="00DF1592">
        <w:rPr>
          <w:rFonts w:ascii="Times New Roman" w:eastAsia="Times New Roman" w:hAnsi="Times New Roman" w:cs="Times New Roman"/>
          <w:lang w:val="en-US" w:eastAsia="fr-FR"/>
        </w:rPr>
        <w:t xml:space="preserve"> that the </w:t>
      </w:r>
      <w:r w:rsidR="005774E6">
        <w:rPr>
          <w:rFonts w:ascii="Times New Roman" w:eastAsia="Times New Roman" w:hAnsi="Times New Roman" w:cs="Times New Roman"/>
          <w:lang w:val="en-US" w:eastAsia="fr-FR"/>
        </w:rPr>
        <w:t>main or the</w:t>
      </w:r>
      <w:r w:rsidR="0019328F">
        <w:rPr>
          <w:rFonts w:ascii="Times New Roman" w:eastAsia="Times New Roman" w:hAnsi="Times New Roman" w:cs="Times New Roman"/>
          <w:lang w:val="en-US" w:eastAsia="fr-FR"/>
        </w:rPr>
        <w:t xml:space="preserve"> interests</w:t>
      </w:r>
      <w:r w:rsidRPr="00DF1592">
        <w:rPr>
          <w:rFonts w:ascii="Times New Roman" w:eastAsia="Times New Roman" w:hAnsi="Times New Roman" w:cs="Times New Roman"/>
          <w:lang w:val="en-US" w:eastAsia="fr-FR"/>
        </w:rPr>
        <w:t xml:space="preserve"> from loans </w:t>
      </w:r>
      <w:r w:rsidR="0019328F">
        <w:rPr>
          <w:rFonts w:ascii="Times New Roman" w:eastAsia="Times New Roman" w:hAnsi="Times New Roman" w:cs="Times New Roman"/>
          <w:lang w:val="en-US" w:eastAsia="fr-FR"/>
        </w:rPr>
        <w:t>granted</w:t>
      </w:r>
      <w:r w:rsidRPr="00DF1592">
        <w:rPr>
          <w:rFonts w:ascii="Times New Roman" w:eastAsia="Times New Roman" w:hAnsi="Times New Roman" w:cs="Times New Roman"/>
          <w:lang w:val="en-US" w:eastAsia="fr-FR"/>
        </w:rPr>
        <w:t xml:space="preserve"> by financial institutions not be paid in full. Credit risk</w:t>
      </w:r>
      <w:r w:rsidRPr="00D152C9">
        <w:rPr>
          <w:rFonts w:ascii="Times New Roman" w:eastAsia="Times New Roman" w:hAnsi="Times New Roman" w:cs="Times New Roman"/>
          <w:lang w:val="en-US" w:eastAsia="fr-FR"/>
        </w:rPr>
        <w:t xml:space="preserve"> </w:t>
      </w:r>
      <w:r w:rsidRPr="00DF1592">
        <w:rPr>
          <w:rFonts w:ascii="Times New Roman" w:eastAsia="Times New Roman" w:hAnsi="Times New Roman" w:cs="Times New Roman"/>
          <w:lang w:val="en-US" w:eastAsia="fr-FR"/>
        </w:rPr>
        <w:t xml:space="preserve">is the </w:t>
      </w:r>
      <w:r w:rsidR="0014453E" w:rsidRPr="00DF1592">
        <w:rPr>
          <w:rFonts w:ascii="Times New Roman" w:eastAsia="Times New Roman" w:hAnsi="Times New Roman" w:cs="Times New Roman"/>
          <w:lang w:val="en-US" w:eastAsia="fr-FR"/>
        </w:rPr>
        <w:t>most important</w:t>
      </w:r>
      <w:r w:rsidRPr="00DF1592">
        <w:rPr>
          <w:rFonts w:ascii="Times New Roman" w:eastAsia="Times New Roman" w:hAnsi="Times New Roman" w:cs="Times New Roman"/>
          <w:lang w:val="en-US" w:eastAsia="fr-FR"/>
        </w:rPr>
        <w:t xml:space="preserve"> cause of bank failures, and the most </w:t>
      </w:r>
      <w:r w:rsidR="00FE148F" w:rsidRPr="00D152C9">
        <w:rPr>
          <w:rFonts w:ascii="Times New Roman" w:eastAsia="Times New Roman" w:hAnsi="Times New Roman" w:cs="Times New Roman"/>
          <w:lang w:val="en-US" w:eastAsia="fr-FR"/>
        </w:rPr>
        <w:t>important</w:t>
      </w:r>
      <w:r w:rsidRPr="00DF1592">
        <w:rPr>
          <w:rFonts w:ascii="Times New Roman" w:eastAsia="Times New Roman" w:hAnsi="Times New Roman" w:cs="Times New Roman"/>
          <w:lang w:val="en-US" w:eastAsia="fr-FR"/>
        </w:rPr>
        <w:t xml:space="preserve"> risk facing banks' managers (</w:t>
      </w:r>
      <w:proofErr w:type="spellStart"/>
      <w:r w:rsidRPr="00DF1592">
        <w:rPr>
          <w:rFonts w:ascii="Times New Roman" w:eastAsia="Times New Roman" w:hAnsi="Times New Roman" w:cs="Times New Roman"/>
          <w:lang w:val="en-US" w:eastAsia="fr-FR"/>
        </w:rPr>
        <w:t>Gup</w:t>
      </w:r>
      <w:proofErr w:type="spellEnd"/>
      <w:r w:rsidRPr="00DF1592">
        <w:rPr>
          <w:rFonts w:ascii="Times New Roman" w:eastAsia="Times New Roman" w:hAnsi="Times New Roman" w:cs="Times New Roman"/>
          <w:lang w:val="en-US" w:eastAsia="fr-FR"/>
        </w:rPr>
        <w:t xml:space="preserve"> et al, 200</w:t>
      </w:r>
      <w:r w:rsidR="00111C8D">
        <w:rPr>
          <w:rFonts w:ascii="Times New Roman" w:eastAsia="Times New Roman" w:hAnsi="Times New Roman" w:cs="Times New Roman"/>
          <w:lang w:val="en-US" w:eastAsia="fr-FR"/>
        </w:rPr>
        <w:t>7</w:t>
      </w:r>
      <w:r w:rsidRPr="00DF1592">
        <w:rPr>
          <w:rFonts w:ascii="Times New Roman" w:eastAsia="Times New Roman" w:hAnsi="Times New Roman" w:cs="Times New Roman"/>
          <w:lang w:val="en-US" w:eastAsia="fr-FR"/>
        </w:rPr>
        <w:t>).</w:t>
      </w:r>
    </w:p>
    <w:p w:rsidR="00D152C9" w:rsidRPr="00D152C9" w:rsidRDefault="00BE1EFB" w:rsidP="00AC3B76">
      <w:pPr>
        <w:spacing w:before="240" w:after="0" w:line="276" w:lineRule="auto"/>
        <w:jc w:val="both"/>
        <w:rPr>
          <w:rFonts w:ascii="Times New Roman" w:eastAsia="Times New Roman" w:hAnsi="Times New Roman" w:cs="Times New Roman"/>
          <w:lang w:val="en-US" w:eastAsia="fr-FR"/>
        </w:rPr>
      </w:pPr>
      <w:r>
        <w:rPr>
          <w:rFonts w:ascii="Times New Roman" w:hAnsi="Times New Roman" w:cs="Times New Roman"/>
          <w:lang w:val="en-GB"/>
        </w:rPr>
        <w:t xml:space="preserve">Several studies </w:t>
      </w:r>
      <w:r w:rsidRPr="00D152C9">
        <w:rPr>
          <w:rFonts w:ascii="Times New Roman" w:hAnsi="Times New Roman" w:cs="Times New Roman"/>
          <w:lang w:val="en-GB"/>
        </w:rPr>
        <w:t>have</w:t>
      </w:r>
      <w:r w:rsidR="00FE148F" w:rsidRPr="00D152C9">
        <w:rPr>
          <w:rFonts w:ascii="Times New Roman" w:hAnsi="Times New Roman" w:cs="Times New Roman"/>
          <w:lang w:val="en-GB"/>
        </w:rPr>
        <w:t xml:space="preserve"> </w:t>
      </w:r>
      <w:r w:rsidR="00172F45">
        <w:rPr>
          <w:rFonts w:ascii="Times New Roman" w:hAnsi="Times New Roman" w:cs="Times New Roman"/>
          <w:lang w:val="en-GB"/>
        </w:rPr>
        <w:t>examined</w:t>
      </w:r>
      <w:r w:rsidR="00FE148F" w:rsidRPr="00D152C9">
        <w:rPr>
          <w:rFonts w:ascii="Times New Roman" w:hAnsi="Times New Roman" w:cs="Times New Roman"/>
          <w:lang w:val="en-GB"/>
        </w:rPr>
        <w:t xml:space="preserve"> factors </w:t>
      </w:r>
      <w:r>
        <w:rPr>
          <w:rFonts w:ascii="Times New Roman" w:hAnsi="Times New Roman" w:cs="Times New Roman"/>
          <w:lang w:val="en-GB"/>
        </w:rPr>
        <w:t xml:space="preserve">that </w:t>
      </w:r>
      <w:r w:rsidR="00172F45">
        <w:rPr>
          <w:rFonts w:ascii="Times New Roman" w:hAnsi="Times New Roman" w:cs="Times New Roman"/>
          <w:lang w:val="en-GB"/>
        </w:rPr>
        <w:t xml:space="preserve">may </w:t>
      </w:r>
      <w:r>
        <w:rPr>
          <w:rFonts w:ascii="Times New Roman" w:hAnsi="Times New Roman" w:cs="Times New Roman"/>
          <w:lang w:val="en-GB"/>
        </w:rPr>
        <w:t xml:space="preserve">affect </w:t>
      </w:r>
      <w:r w:rsidR="00FE148F" w:rsidRPr="00D152C9">
        <w:rPr>
          <w:rFonts w:ascii="Times New Roman" w:hAnsi="Times New Roman" w:cs="Times New Roman"/>
          <w:lang w:val="en-GB"/>
        </w:rPr>
        <w:t xml:space="preserve">banks’ credit risk in </w:t>
      </w:r>
      <w:r w:rsidR="00172F45" w:rsidRPr="00D152C9">
        <w:rPr>
          <w:rFonts w:ascii="Times New Roman" w:hAnsi="Times New Roman" w:cs="Times New Roman"/>
          <w:lang w:val="en-GB"/>
        </w:rPr>
        <w:t>various</w:t>
      </w:r>
      <w:r w:rsidR="00FE148F" w:rsidRPr="00D152C9">
        <w:rPr>
          <w:rFonts w:ascii="Times New Roman" w:hAnsi="Times New Roman" w:cs="Times New Roman"/>
          <w:lang w:val="en-GB"/>
        </w:rPr>
        <w:t xml:space="preserve"> countries around the world. While some </w:t>
      </w:r>
      <w:r w:rsidR="00172F45">
        <w:rPr>
          <w:rFonts w:ascii="Times New Roman" w:hAnsi="Times New Roman" w:cs="Times New Roman"/>
          <w:lang w:val="en-GB"/>
        </w:rPr>
        <w:t>researchers</w:t>
      </w:r>
      <w:r w:rsidR="00FE148F" w:rsidRPr="00D152C9">
        <w:rPr>
          <w:rFonts w:ascii="Times New Roman" w:hAnsi="Times New Roman" w:cs="Times New Roman"/>
          <w:lang w:val="en-GB"/>
        </w:rPr>
        <w:t xml:space="preserve"> focus on the understanding of credit risk taking behaviour in a particular and single country, others </w:t>
      </w:r>
      <w:r w:rsidR="00172F45">
        <w:rPr>
          <w:rFonts w:ascii="Times New Roman" w:hAnsi="Times New Roman" w:cs="Times New Roman"/>
          <w:lang w:val="en-GB"/>
        </w:rPr>
        <w:t xml:space="preserve">ones </w:t>
      </w:r>
      <w:r w:rsidR="00172F45" w:rsidRPr="00D152C9">
        <w:rPr>
          <w:rFonts w:ascii="Times New Roman" w:hAnsi="Times New Roman" w:cs="Times New Roman"/>
          <w:lang w:val="en-GB"/>
        </w:rPr>
        <w:t xml:space="preserve">give attention </w:t>
      </w:r>
      <w:r w:rsidR="00172F45">
        <w:rPr>
          <w:rFonts w:ascii="Times New Roman" w:hAnsi="Times New Roman" w:cs="Times New Roman"/>
          <w:lang w:val="en-GB"/>
        </w:rPr>
        <w:t>in</w:t>
      </w:r>
      <w:r w:rsidR="00FE148F" w:rsidRPr="00D152C9">
        <w:rPr>
          <w:rFonts w:ascii="Times New Roman" w:hAnsi="Times New Roman" w:cs="Times New Roman"/>
          <w:lang w:val="en-GB"/>
        </w:rPr>
        <w:t xml:space="preserve"> their studies </w:t>
      </w:r>
      <w:r w:rsidR="00172F45">
        <w:rPr>
          <w:rFonts w:ascii="Times New Roman" w:hAnsi="Times New Roman" w:cs="Times New Roman"/>
          <w:lang w:val="en-GB"/>
        </w:rPr>
        <w:t>to</w:t>
      </w:r>
      <w:r w:rsidR="00FE148F" w:rsidRPr="00D152C9">
        <w:rPr>
          <w:rFonts w:ascii="Times New Roman" w:hAnsi="Times New Roman" w:cs="Times New Roman"/>
          <w:lang w:val="en-GB"/>
        </w:rPr>
        <w:t xml:space="preserve"> a panel of countries. </w:t>
      </w:r>
      <w:r w:rsidR="00FD3F18">
        <w:rPr>
          <w:rFonts w:ascii="Times New Roman" w:hAnsi="Times New Roman" w:cs="Times New Roman"/>
          <w:lang w:val="en-GB"/>
        </w:rPr>
        <w:t xml:space="preserve">A closer review of previous literature allows us to identify three types of credit risk determinants; </w:t>
      </w:r>
      <w:r w:rsidR="00FE148F" w:rsidRPr="00DF1592">
        <w:rPr>
          <w:rFonts w:ascii="Times New Roman" w:eastAsia="Times New Roman" w:hAnsi="Times New Roman" w:cs="Times New Roman"/>
          <w:lang w:val="en-US" w:eastAsia="fr-FR"/>
        </w:rPr>
        <w:t>macroeconomic, industry-specific</w:t>
      </w:r>
      <w:r w:rsidR="00FE148F" w:rsidRPr="00D152C9">
        <w:rPr>
          <w:rFonts w:ascii="Times New Roman" w:eastAsia="Times New Roman" w:hAnsi="Times New Roman" w:cs="Times New Roman"/>
          <w:lang w:val="en-US" w:eastAsia="fr-FR"/>
        </w:rPr>
        <w:t xml:space="preserve"> and </w:t>
      </w:r>
      <w:r w:rsidR="00DF1592" w:rsidRPr="00DF1592">
        <w:rPr>
          <w:rFonts w:ascii="Times New Roman" w:eastAsia="Times New Roman" w:hAnsi="Times New Roman" w:cs="Times New Roman"/>
          <w:lang w:val="en-US" w:eastAsia="fr-FR"/>
        </w:rPr>
        <w:t>bank-specific</w:t>
      </w:r>
      <w:r w:rsidR="00FE148F" w:rsidRPr="00D152C9">
        <w:rPr>
          <w:rFonts w:ascii="Times New Roman" w:eastAsia="Times New Roman" w:hAnsi="Times New Roman" w:cs="Times New Roman"/>
          <w:lang w:val="en-US" w:eastAsia="fr-FR"/>
        </w:rPr>
        <w:t xml:space="preserve"> </w:t>
      </w:r>
      <w:r w:rsidR="00DF1592" w:rsidRPr="00DF1592">
        <w:rPr>
          <w:rFonts w:ascii="Times New Roman" w:eastAsia="Times New Roman" w:hAnsi="Times New Roman" w:cs="Times New Roman"/>
          <w:lang w:val="en-US" w:eastAsia="fr-FR"/>
        </w:rPr>
        <w:t xml:space="preserve">variables. </w:t>
      </w:r>
      <w:r w:rsidR="00D152C9" w:rsidRPr="00DF1592">
        <w:rPr>
          <w:rFonts w:ascii="Times New Roman" w:eastAsia="Times New Roman" w:hAnsi="Times New Roman" w:cs="Times New Roman"/>
          <w:lang w:val="en-US" w:eastAsia="fr-FR"/>
        </w:rPr>
        <w:t>Gross Domestic Product and</w:t>
      </w:r>
      <w:r w:rsidR="00D152C9" w:rsidRPr="00D152C9">
        <w:rPr>
          <w:rFonts w:ascii="Times New Roman" w:eastAsia="Times New Roman" w:hAnsi="Times New Roman" w:cs="Times New Roman"/>
          <w:lang w:val="en-US" w:eastAsia="fr-FR"/>
        </w:rPr>
        <w:t xml:space="preserve"> Inflation</w:t>
      </w:r>
      <w:r w:rsidR="00FE148F" w:rsidRPr="00DF1592">
        <w:rPr>
          <w:rFonts w:ascii="Times New Roman" w:eastAsia="Times New Roman" w:hAnsi="Times New Roman" w:cs="Times New Roman"/>
          <w:lang w:val="en-US" w:eastAsia="fr-FR"/>
        </w:rPr>
        <w:t xml:space="preserve"> </w:t>
      </w:r>
      <w:r w:rsidR="00FE148F" w:rsidRPr="00D152C9">
        <w:rPr>
          <w:rFonts w:ascii="Times New Roman" w:eastAsia="Times New Roman" w:hAnsi="Times New Roman" w:cs="Times New Roman"/>
          <w:lang w:val="en-US" w:eastAsia="fr-FR"/>
        </w:rPr>
        <w:t xml:space="preserve">are </w:t>
      </w:r>
      <w:r w:rsidR="00FE148F" w:rsidRPr="00DF1592">
        <w:rPr>
          <w:rFonts w:ascii="Times New Roman" w:eastAsia="Times New Roman" w:hAnsi="Times New Roman" w:cs="Times New Roman"/>
          <w:lang w:val="en-US" w:eastAsia="fr-FR"/>
        </w:rPr>
        <w:t xml:space="preserve">the </w:t>
      </w:r>
      <w:r w:rsidR="00FD3F18">
        <w:rPr>
          <w:rFonts w:ascii="Times New Roman" w:eastAsia="Times New Roman" w:hAnsi="Times New Roman" w:cs="Times New Roman"/>
          <w:lang w:val="en-US" w:eastAsia="fr-FR"/>
        </w:rPr>
        <w:t xml:space="preserve">most pertinent </w:t>
      </w:r>
      <w:r w:rsidR="00D966C5">
        <w:rPr>
          <w:rFonts w:ascii="Times New Roman" w:eastAsia="Times New Roman" w:hAnsi="Times New Roman" w:cs="Times New Roman"/>
          <w:lang w:val="en-US" w:eastAsia="fr-FR"/>
        </w:rPr>
        <w:t>macroeconomic</w:t>
      </w:r>
      <w:r w:rsidR="00FE148F" w:rsidRPr="00DF1592">
        <w:rPr>
          <w:rFonts w:ascii="Times New Roman" w:eastAsia="Times New Roman" w:hAnsi="Times New Roman" w:cs="Times New Roman"/>
          <w:lang w:val="en-US" w:eastAsia="fr-FR"/>
        </w:rPr>
        <w:t xml:space="preserve"> factors investigated</w:t>
      </w:r>
      <w:r w:rsidR="00FE148F" w:rsidRPr="00D152C9">
        <w:rPr>
          <w:rFonts w:ascii="Times New Roman" w:eastAsia="Times New Roman" w:hAnsi="Times New Roman" w:cs="Times New Roman"/>
          <w:lang w:val="en-US" w:eastAsia="fr-FR"/>
        </w:rPr>
        <w:t xml:space="preserve">.  </w:t>
      </w:r>
      <w:r w:rsidR="00D152C9" w:rsidRPr="00D152C9">
        <w:rPr>
          <w:rFonts w:ascii="Times New Roman" w:eastAsia="Times New Roman" w:hAnsi="Times New Roman" w:cs="Times New Roman"/>
          <w:lang w:val="en-US" w:eastAsia="fr-FR"/>
        </w:rPr>
        <w:t>Industry</w:t>
      </w:r>
      <w:r w:rsidR="00FE148F" w:rsidRPr="00DF1592">
        <w:rPr>
          <w:rFonts w:ascii="Times New Roman" w:eastAsia="Times New Roman" w:hAnsi="Times New Roman" w:cs="Times New Roman"/>
          <w:lang w:val="en-US" w:eastAsia="fr-FR"/>
        </w:rPr>
        <w:t xml:space="preserve"> specific factors </w:t>
      </w:r>
      <w:r w:rsidR="00172F45">
        <w:rPr>
          <w:rFonts w:ascii="Times New Roman" w:eastAsia="Times New Roman" w:hAnsi="Times New Roman" w:cs="Times New Roman"/>
          <w:lang w:val="en-US" w:eastAsia="fr-FR"/>
        </w:rPr>
        <w:t xml:space="preserve">mainly </w:t>
      </w:r>
      <w:r w:rsidR="00852AD5">
        <w:rPr>
          <w:rFonts w:ascii="Times New Roman" w:eastAsia="Times New Roman" w:hAnsi="Times New Roman" w:cs="Times New Roman"/>
          <w:lang w:val="en-US" w:eastAsia="fr-FR"/>
        </w:rPr>
        <w:t>mentioned in the earlier literature are</w:t>
      </w:r>
      <w:r w:rsidR="00FE148F" w:rsidRPr="00DF1592">
        <w:rPr>
          <w:rFonts w:ascii="Times New Roman" w:eastAsia="Times New Roman" w:hAnsi="Times New Roman" w:cs="Times New Roman"/>
          <w:lang w:val="en-US" w:eastAsia="fr-FR"/>
        </w:rPr>
        <w:t xml:space="preserve"> f</w:t>
      </w:r>
      <w:r w:rsidR="00FE148F" w:rsidRPr="00D152C9">
        <w:rPr>
          <w:rFonts w:ascii="Times New Roman" w:eastAsia="Times New Roman" w:hAnsi="Times New Roman" w:cs="Times New Roman"/>
          <w:lang w:val="en-US" w:eastAsia="fr-FR"/>
        </w:rPr>
        <w:t xml:space="preserve">inancial sector development and </w:t>
      </w:r>
      <w:r w:rsidR="00FE148F" w:rsidRPr="00DF1592">
        <w:rPr>
          <w:rFonts w:ascii="Times New Roman" w:eastAsia="Times New Roman" w:hAnsi="Times New Roman" w:cs="Times New Roman"/>
          <w:lang w:val="en-US" w:eastAsia="fr-FR"/>
        </w:rPr>
        <w:t>competition</w:t>
      </w:r>
      <w:r w:rsidR="00FE148F" w:rsidRPr="00D152C9">
        <w:rPr>
          <w:rFonts w:ascii="Times New Roman" w:eastAsia="Times New Roman" w:hAnsi="Times New Roman" w:cs="Times New Roman"/>
          <w:lang w:val="en-US" w:eastAsia="fr-FR"/>
        </w:rPr>
        <w:t xml:space="preserve">. </w:t>
      </w:r>
      <w:r w:rsidR="00D152C9" w:rsidRPr="00D152C9">
        <w:rPr>
          <w:rFonts w:ascii="Times New Roman" w:eastAsia="Times New Roman" w:hAnsi="Times New Roman" w:cs="Times New Roman"/>
          <w:lang w:val="en-US" w:eastAsia="fr-FR"/>
        </w:rPr>
        <w:t>While,</w:t>
      </w:r>
      <w:r w:rsidR="00FE148F" w:rsidRPr="00D152C9">
        <w:rPr>
          <w:rFonts w:ascii="Times New Roman" w:eastAsia="Times New Roman" w:hAnsi="Times New Roman" w:cs="Times New Roman"/>
          <w:lang w:val="en-US" w:eastAsia="fr-FR"/>
        </w:rPr>
        <w:t xml:space="preserve"> </w:t>
      </w:r>
      <w:r w:rsidR="00DF1592" w:rsidRPr="00DF1592">
        <w:rPr>
          <w:rFonts w:ascii="Times New Roman" w:eastAsia="Times New Roman" w:hAnsi="Times New Roman" w:cs="Times New Roman"/>
          <w:lang w:val="en-US" w:eastAsia="fr-FR"/>
        </w:rPr>
        <w:t>bank ownership</w:t>
      </w:r>
      <w:r w:rsidR="00FE148F" w:rsidRPr="00D152C9">
        <w:rPr>
          <w:rFonts w:ascii="Times New Roman" w:eastAsia="Times New Roman" w:hAnsi="Times New Roman" w:cs="Times New Roman"/>
          <w:lang w:val="en-US" w:eastAsia="fr-FR"/>
        </w:rPr>
        <w:t>,</w:t>
      </w:r>
      <w:r w:rsidR="00DF1592" w:rsidRPr="00D152C9">
        <w:rPr>
          <w:rFonts w:ascii="Times New Roman" w:eastAsia="Times New Roman" w:hAnsi="Times New Roman" w:cs="Times New Roman"/>
          <w:lang w:val="en-US" w:eastAsia="fr-FR"/>
        </w:rPr>
        <w:t xml:space="preserve"> management efficiency</w:t>
      </w:r>
      <w:r w:rsidR="00DF1592" w:rsidRPr="00DF1592">
        <w:rPr>
          <w:rFonts w:ascii="Times New Roman" w:eastAsia="Times New Roman" w:hAnsi="Times New Roman" w:cs="Times New Roman"/>
          <w:lang w:val="en-US" w:eastAsia="fr-FR"/>
        </w:rPr>
        <w:t>,</w:t>
      </w:r>
      <w:r w:rsidR="00FE148F" w:rsidRPr="00D152C9">
        <w:rPr>
          <w:rFonts w:ascii="Times New Roman" w:eastAsia="Times New Roman" w:hAnsi="Times New Roman" w:cs="Times New Roman"/>
          <w:lang w:val="en-US" w:eastAsia="fr-FR"/>
        </w:rPr>
        <w:t xml:space="preserve"> lagged profitability, bank size</w:t>
      </w:r>
      <w:r w:rsidR="00D152C9" w:rsidRPr="00D152C9">
        <w:rPr>
          <w:rFonts w:ascii="Times New Roman" w:eastAsia="Times New Roman" w:hAnsi="Times New Roman" w:cs="Times New Roman"/>
          <w:lang w:val="en-US" w:eastAsia="fr-FR"/>
        </w:rPr>
        <w:t xml:space="preserve"> and capital adequacy are the principal </w:t>
      </w:r>
      <w:r w:rsidR="00FD3F18" w:rsidRPr="00D152C9">
        <w:rPr>
          <w:rFonts w:ascii="Times New Roman" w:eastAsia="Times New Roman" w:hAnsi="Times New Roman" w:cs="Times New Roman"/>
          <w:lang w:val="en-US" w:eastAsia="fr-FR"/>
        </w:rPr>
        <w:t xml:space="preserve">bank specific factors </w:t>
      </w:r>
      <w:r w:rsidR="00D152C9" w:rsidRPr="00D152C9">
        <w:rPr>
          <w:rFonts w:ascii="Times New Roman" w:eastAsia="Times New Roman" w:hAnsi="Times New Roman" w:cs="Times New Roman"/>
          <w:lang w:val="en-US" w:eastAsia="fr-FR"/>
        </w:rPr>
        <w:t>affecting bank credit risk</w:t>
      </w:r>
      <w:r w:rsidR="00DF1592" w:rsidRPr="00DF1592">
        <w:rPr>
          <w:rFonts w:ascii="Times New Roman" w:eastAsia="Times New Roman" w:hAnsi="Times New Roman" w:cs="Times New Roman"/>
          <w:lang w:val="en-US" w:eastAsia="fr-FR"/>
        </w:rPr>
        <w:t>.</w:t>
      </w:r>
    </w:p>
    <w:p w:rsidR="008E24AD" w:rsidRDefault="00217488" w:rsidP="00AC3B76">
      <w:pPr>
        <w:autoSpaceDE w:val="0"/>
        <w:autoSpaceDN w:val="0"/>
        <w:adjustRightInd w:val="0"/>
        <w:spacing w:before="240" w:after="0" w:line="276" w:lineRule="auto"/>
        <w:jc w:val="both"/>
        <w:rPr>
          <w:rFonts w:ascii="Times New Roman" w:hAnsi="Times New Roman" w:cs="Times New Roman"/>
          <w:lang w:val="en-US"/>
        </w:rPr>
      </w:pPr>
      <w:r w:rsidRPr="006416E5">
        <w:rPr>
          <w:b/>
          <w:color w:val="000000"/>
          <w:lang w:val="en-US"/>
        </w:rPr>
        <w:t>2.</w:t>
      </w:r>
      <w:r>
        <w:rPr>
          <w:b/>
          <w:color w:val="000000"/>
          <w:lang w:val="en-US"/>
        </w:rPr>
        <w:t>1</w:t>
      </w:r>
      <w:r w:rsidRPr="006416E5">
        <w:rPr>
          <w:b/>
          <w:color w:val="000000"/>
          <w:lang w:val="en-US"/>
        </w:rPr>
        <w:t>. Macroeconomic factors</w:t>
      </w:r>
    </w:p>
    <w:p w:rsidR="00FD780C" w:rsidRPr="00384977" w:rsidRDefault="00FD780C" w:rsidP="00AC3B76">
      <w:pPr>
        <w:autoSpaceDE w:val="0"/>
        <w:autoSpaceDN w:val="0"/>
        <w:spacing w:before="240" w:after="80" w:line="276" w:lineRule="auto"/>
        <w:jc w:val="both"/>
        <w:rPr>
          <w:rFonts w:ascii="Times New Roman" w:hAnsi="Times New Roman" w:cs="Times New Roman"/>
          <w:lang w:val="en-US"/>
        </w:rPr>
      </w:pPr>
      <w:r>
        <w:rPr>
          <w:rFonts w:ascii="Times New Roman" w:hAnsi="Times New Roman" w:cs="Times New Roman"/>
          <w:lang w:val="en-US"/>
        </w:rPr>
        <w:t xml:space="preserve">According to </w:t>
      </w:r>
      <w:proofErr w:type="spellStart"/>
      <w:r>
        <w:rPr>
          <w:rFonts w:ascii="Times New Roman" w:hAnsi="Times New Roman" w:cs="Times New Roman"/>
          <w:lang w:val="en-US"/>
        </w:rPr>
        <w:t>Figlewski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Frydman</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Linag</w:t>
      </w:r>
      <w:proofErr w:type="spellEnd"/>
      <w:r>
        <w:rPr>
          <w:rFonts w:ascii="Times New Roman" w:hAnsi="Times New Roman" w:cs="Times New Roman"/>
          <w:lang w:val="en-US"/>
        </w:rPr>
        <w:t xml:space="preserve"> (2012) macroeconomic</w:t>
      </w:r>
      <w:r w:rsidR="00931309">
        <w:rPr>
          <w:rFonts w:ascii="Times New Roman" w:hAnsi="Times New Roman" w:cs="Times New Roman"/>
          <w:lang w:val="en-US"/>
        </w:rPr>
        <w:t xml:space="preserve"> factors are seem</w:t>
      </w:r>
      <w:r w:rsidR="00D62E4F">
        <w:rPr>
          <w:rFonts w:ascii="Times New Roman" w:hAnsi="Times New Roman" w:cs="Times New Roman"/>
          <w:lang w:val="en-US"/>
        </w:rPr>
        <w:t>ed</w:t>
      </w:r>
      <w:r w:rsidR="00931309">
        <w:rPr>
          <w:rFonts w:ascii="Times New Roman" w:hAnsi="Times New Roman" w:cs="Times New Roman"/>
          <w:lang w:val="en-US"/>
        </w:rPr>
        <w:t xml:space="preserve"> to explain the greatest impact on </w:t>
      </w:r>
      <w:r>
        <w:rPr>
          <w:rFonts w:ascii="Times New Roman" w:hAnsi="Times New Roman" w:cs="Times New Roman"/>
          <w:lang w:val="en-US"/>
        </w:rPr>
        <w:t>firms’</w:t>
      </w:r>
      <w:r w:rsidR="00931309">
        <w:rPr>
          <w:rFonts w:ascii="Times New Roman" w:hAnsi="Times New Roman" w:cs="Times New Roman"/>
          <w:lang w:val="en-US"/>
        </w:rPr>
        <w:t xml:space="preserve"> credit importance.  </w:t>
      </w:r>
      <w:r>
        <w:rPr>
          <w:rFonts w:ascii="Times New Roman" w:hAnsi="Times New Roman" w:cs="Times New Roman"/>
          <w:lang w:val="en-US"/>
        </w:rPr>
        <w:t xml:space="preserve">Jimenez and </w:t>
      </w:r>
      <w:proofErr w:type="spellStart"/>
      <w:r>
        <w:rPr>
          <w:rFonts w:ascii="Times New Roman" w:hAnsi="Times New Roman" w:cs="Times New Roman"/>
          <w:lang w:val="en-US"/>
        </w:rPr>
        <w:t>Saurina</w:t>
      </w:r>
      <w:proofErr w:type="spellEnd"/>
      <w:r>
        <w:rPr>
          <w:rFonts w:ascii="Times New Roman" w:hAnsi="Times New Roman" w:cs="Times New Roman"/>
          <w:lang w:val="en-US"/>
        </w:rPr>
        <w:t xml:space="preserve"> (2006)</w:t>
      </w:r>
      <w:r w:rsidRPr="00FD780C">
        <w:rPr>
          <w:rFonts w:ascii="Times New Roman" w:hAnsi="Times New Roman" w:cs="Times New Roman"/>
          <w:lang w:val="en-US"/>
        </w:rPr>
        <w:t xml:space="preserve"> observe that</w:t>
      </w:r>
      <w:r>
        <w:rPr>
          <w:rFonts w:ascii="Times New Roman" w:hAnsi="Times New Roman" w:cs="Times New Roman"/>
          <w:lang w:val="en-US"/>
        </w:rPr>
        <w:t xml:space="preserve"> </w:t>
      </w:r>
      <w:r w:rsidRPr="00FD780C">
        <w:rPr>
          <w:rFonts w:ascii="Times New Roman" w:hAnsi="Times New Roman" w:cs="Times New Roman"/>
          <w:lang w:val="en-US"/>
        </w:rPr>
        <w:t xml:space="preserve">banks' lending mistakes are </w:t>
      </w:r>
      <w:r w:rsidR="001A6ACA">
        <w:rPr>
          <w:rFonts w:ascii="Times New Roman" w:hAnsi="Times New Roman" w:cs="Times New Roman"/>
          <w:lang w:val="en-US"/>
        </w:rPr>
        <w:t>widespread</w:t>
      </w:r>
      <w:r w:rsidRPr="00FD780C">
        <w:rPr>
          <w:rFonts w:ascii="Times New Roman" w:hAnsi="Times New Roman" w:cs="Times New Roman"/>
          <w:lang w:val="en-US"/>
        </w:rPr>
        <w:t xml:space="preserve"> during </w:t>
      </w:r>
      <w:r w:rsidR="001A6ACA">
        <w:rPr>
          <w:rFonts w:ascii="Times New Roman" w:hAnsi="Times New Roman" w:cs="Times New Roman"/>
          <w:lang w:val="en-US"/>
        </w:rPr>
        <w:t>recovery</w:t>
      </w:r>
      <w:r w:rsidRPr="00FD780C">
        <w:rPr>
          <w:rFonts w:ascii="Times New Roman" w:hAnsi="Times New Roman" w:cs="Times New Roman"/>
          <w:lang w:val="en-US"/>
        </w:rPr>
        <w:t xml:space="preserve"> than in the midst of recession.</w:t>
      </w:r>
      <w:r w:rsidR="001A6ACA">
        <w:rPr>
          <w:rFonts w:ascii="Times New Roman" w:hAnsi="Times New Roman" w:cs="Times New Roman"/>
          <w:lang w:val="en-US"/>
        </w:rPr>
        <w:t xml:space="preserve"> </w:t>
      </w:r>
      <w:r w:rsidRPr="00FD780C">
        <w:rPr>
          <w:rFonts w:ascii="Times New Roman" w:hAnsi="Times New Roman" w:cs="Times New Roman"/>
          <w:lang w:val="en-US"/>
        </w:rPr>
        <w:t>Similarly, Al-</w:t>
      </w:r>
      <w:proofErr w:type="spellStart"/>
      <w:r w:rsidRPr="00FD780C">
        <w:rPr>
          <w:rFonts w:ascii="Times New Roman" w:hAnsi="Times New Roman" w:cs="Times New Roman"/>
          <w:lang w:val="en-US"/>
        </w:rPr>
        <w:t>Smadi</w:t>
      </w:r>
      <w:proofErr w:type="spellEnd"/>
      <w:r w:rsidRPr="00FD780C">
        <w:rPr>
          <w:rFonts w:ascii="Times New Roman" w:hAnsi="Times New Roman" w:cs="Times New Roman"/>
          <w:lang w:val="en-US"/>
        </w:rPr>
        <w:t xml:space="preserve"> and Ahmed</w:t>
      </w:r>
      <w:r>
        <w:rPr>
          <w:rFonts w:ascii="Times New Roman" w:hAnsi="Times New Roman" w:cs="Times New Roman"/>
          <w:lang w:val="en-US"/>
        </w:rPr>
        <w:t xml:space="preserve"> </w:t>
      </w:r>
      <w:r w:rsidRPr="00FD780C">
        <w:rPr>
          <w:rFonts w:ascii="Times New Roman" w:hAnsi="Times New Roman" w:cs="Times New Roman"/>
          <w:lang w:val="en-US"/>
        </w:rPr>
        <w:t xml:space="preserve">(2009) reveal that conditions associated with </w:t>
      </w:r>
      <w:r w:rsidR="001A6ACA">
        <w:rPr>
          <w:rFonts w:ascii="Times New Roman" w:hAnsi="Times New Roman" w:cs="Times New Roman"/>
          <w:lang w:val="en-US"/>
        </w:rPr>
        <w:t>favorable</w:t>
      </w:r>
      <w:r w:rsidRPr="00FD780C">
        <w:rPr>
          <w:rFonts w:ascii="Times New Roman" w:hAnsi="Times New Roman" w:cs="Times New Roman"/>
          <w:lang w:val="en-US"/>
        </w:rPr>
        <w:t xml:space="preserve"> economic periods </w:t>
      </w:r>
      <w:r w:rsidRPr="00384977">
        <w:rPr>
          <w:rFonts w:ascii="Times New Roman" w:hAnsi="Times New Roman" w:cs="Times New Roman"/>
          <w:lang w:val="en-US"/>
        </w:rPr>
        <w:t xml:space="preserve">contribute in </w:t>
      </w:r>
      <w:r w:rsidR="001A6ACA" w:rsidRPr="00384977">
        <w:rPr>
          <w:rFonts w:ascii="Times New Roman" w:hAnsi="Times New Roman" w:cs="Times New Roman"/>
          <w:lang w:val="en-US"/>
        </w:rPr>
        <w:t>diminishing</w:t>
      </w:r>
      <w:r w:rsidRPr="00384977">
        <w:rPr>
          <w:rFonts w:ascii="Times New Roman" w:hAnsi="Times New Roman" w:cs="Times New Roman"/>
          <w:lang w:val="en-US"/>
        </w:rPr>
        <w:t xml:space="preserve"> the banks' credit risk exposure. </w:t>
      </w:r>
    </w:p>
    <w:p w:rsidR="00384977" w:rsidRPr="00384977" w:rsidRDefault="00C14808" w:rsidP="006E7A53">
      <w:pPr>
        <w:autoSpaceDE w:val="0"/>
        <w:autoSpaceDN w:val="0"/>
        <w:adjustRightInd w:val="0"/>
        <w:spacing w:before="240" w:after="0" w:line="276" w:lineRule="auto"/>
        <w:jc w:val="both"/>
        <w:rPr>
          <w:rFonts w:ascii="Times New Roman" w:hAnsi="Times New Roman" w:cs="Times New Roman"/>
          <w:lang w:val="en-US"/>
        </w:rPr>
      </w:pPr>
      <w:r w:rsidRPr="00384977">
        <w:rPr>
          <w:rFonts w:ascii="Times New Roman" w:hAnsi="Times New Roman" w:cs="Times New Roman"/>
          <w:lang w:val="en-US"/>
        </w:rPr>
        <w:t xml:space="preserve">GDP growth rate is a macro </w:t>
      </w:r>
      <w:r w:rsidR="0032385F" w:rsidRPr="00384977">
        <w:rPr>
          <w:rFonts w:ascii="Times New Roman" w:hAnsi="Times New Roman" w:cs="Times New Roman"/>
          <w:lang w:val="en-US"/>
        </w:rPr>
        <w:t>factor</w:t>
      </w:r>
      <w:r w:rsidRPr="00384977">
        <w:rPr>
          <w:rFonts w:ascii="Times New Roman" w:hAnsi="Times New Roman" w:cs="Times New Roman"/>
          <w:lang w:val="en-US"/>
        </w:rPr>
        <w:t xml:space="preserve"> </w:t>
      </w:r>
      <w:r w:rsidR="0032385F" w:rsidRPr="00384977">
        <w:rPr>
          <w:rFonts w:ascii="Times New Roman" w:hAnsi="Times New Roman" w:cs="Times New Roman"/>
          <w:lang w:val="en-US"/>
        </w:rPr>
        <w:t>explaining</w:t>
      </w:r>
      <w:r w:rsidRPr="00384977">
        <w:rPr>
          <w:rFonts w:ascii="Times New Roman" w:hAnsi="Times New Roman" w:cs="Times New Roman"/>
          <w:lang w:val="en-US"/>
        </w:rPr>
        <w:t xml:space="preserve"> banks performance</w:t>
      </w:r>
      <w:r w:rsidR="0032385F" w:rsidRPr="00384977">
        <w:rPr>
          <w:rFonts w:ascii="Times New Roman" w:hAnsi="Times New Roman" w:cs="Times New Roman"/>
          <w:lang w:val="en-US"/>
        </w:rPr>
        <w:t xml:space="preserve"> and credit risk</w:t>
      </w:r>
      <w:r w:rsidRPr="00384977">
        <w:rPr>
          <w:rFonts w:ascii="Times New Roman" w:hAnsi="Times New Roman" w:cs="Times New Roman"/>
          <w:lang w:val="en-US"/>
        </w:rPr>
        <w:t>. On economic booms, inco</w:t>
      </w:r>
      <w:r w:rsidR="0032385F" w:rsidRPr="00384977">
        <w:rPr>
          <w:rFonts w:ascii="Times New Roman" w:hAnsi="Times New Roman" w:cs="Times New Roman"/>
          <w:lang w:val="en-US"/>
        </w:rPr>
        <w:t>mes are high and port</w:t>
      </w:r>
      <w:r w:rsidRPr="00384977">
        <w:rPr>
          <w:rFonts w:ascii="Times New Roman" w:hAnsi="Times New Roman" w:cs="Times New Roman"/>
          <w:lang w:val="en-US"/>
        </w:rPr>
        <w:t xml:space="preserve">folio at risk is minimal. On recession’s </w:t>
      </w:r>
      <w:r w:rsidR="0032385F" w:rsidRPr="00384977">
        <w:rPr>
          <w:rFonts w:ascii="Times New Roman" w:hAnsi="Times New Roman" w:cs="Times New Roman"/>
          <w:lang w:val="en-US"/>
        </w:rPr>
        <w:t>period</w:t>
      </w:r>
      <w:r w:rsidRPr="00384977">
        <w:rPr>
          <w:rFonts w:ascii="Times New Roman" w:hAnsi="Times New Roman" w:cs="Times New Roman"/>
          <w:lang w:val="en-US"/>
        </w:rPr>
        <w:t>, income</w:t>
      </w:r>
      <w:r w:rsidR="0032385F" w:rsidRPr="00384977">
        <w:rPr>
          <w:rFonts w:ascii="Times New Roman" w:hAnsi="Times New Roman" w:cs="Times New Roman"/>
          <w:lang w:val="en-US"/>
        </w:rPr>
        <w:t>s are low</w:t>
      </w:r>
      <w:r w:rsidRPr="00384977">
        <w:rPr>
          <w:rFonts w:ascii="Times New Roman" w:hAnsi="Times New Roman" w:cs="Times New Roman"/>
          <w:lang w:val="en-US"/>
        </w:rPr>
        <w:t xml:space="preserve"> and borrowers priorities on basic expenses at the expense of their credit obligations. </w:t>
      </w:r>
      <w:r w:rsidR="00AD651A" w:rsidRPr="00384977">
        <w:rPr>
          <w:rFonts w:ascii="Times New Roman" w:hAnsi="Times New Roman" w:cs="Times New Roman"/>
          <w:lang w:val="en-US"/>
        </w:rPr>
        <w:t>A</w:t>
      </w:r>
      <w:r w:rsidR="00384977" w:rsidRPr="00384977">
        <w:rPr>
          <w:rFonts w:ascii="Times New Roman" w:hAnsi="Times New Roman" w:cs="Times New Roman"/>
          <w:lang w:val="en-US"/>
        </w:rPr>
        <w:t>n</w:t>
      </w:r>
      <w:r w:rsidR="00AD651A" w:rsidRPr="00384977">
        <w:rPr>
          <w:rFonts w:ascii="Times New Roman" w:hAnsi="Times New Roman" w:cs="Times New Roman"/>
          <w:lang w:val="en-US"/>
        </w:rPr>
        <w:t xml:space="preserve"> </w:t>
      </w:r>
      <w:r w:rsidR="00384977" w:rsidRPr="00384977">
        <w:rPr>
          <w:rFonts w:ascii="Times New Roman" w:hAnsi="Times New Roman" w:cs="Times New Roman"/>
          <w:lang w:val="en-US"/>
        </w:rPr>
        <w:t>increase</w:t>
      </w:r>
      <w:r w:rsidR="00AD651A" w:rsidRPr="00384977">
        <w:rPr>
          <w:rFonts w:ascii="Times New Roman" w:hAnsi="Times New Roman" w:cs="Times New Roman"/>
          <w:lang w:val="en-US"/>
        </w:rPr>
        <w:t xml:space="preserve"> in per capita GDP signals </w:t>
      </w:r>
      <w:r w:rsidR="005008E7" w:rsidRPr="00384977">
        <w:rPr>
          <w:rFonts w:ascii="Times New Roman" w:hAnsi="Times New Roman" w:cs="Times New Roman"/>
          <w:lang w:val="en-US"/>
        </w:rPr>
        <w:t>increase</w:t>
      </w:r>
      <w:r w:rsidR="00AD651A" w:rsidRPr="00384977">
        <w:rPr>
          <w:rFonts w:ascii="Times New Roman" w:hAnsi="Times New Roman" w:cs="Times New Roman"/>
          <w:lang w:val="en-US"/>
        </w:rPr>
        <w:t xml:space="preserve"> in the economy and productivity (</w:t>
      </w:r>
      <w:proofErr w:type="spellStart"/>
      <w:r w:rsidR="00BA13F3">
        <w:rPr>
          <w:rFonts w:ascii="Times New Roman" w:hAnsi="Times New Roman" w:cs="Times New Roman"/>
          <w:lang w:val="en-US"/>
        </w:rPr>
        <w:t>Demirguc-Kunt</w:t>
      </w:r>
      <w:proofErr w:type="spellEnd"/>
      <w:r w:rsidR="00BA13F3">
        <w:rPr>
          <w:rFonts w:ascii="Times New Roman" w:hAnsi="Times New Roman" w:cs="Times New Roman"/>
          <w:lang w:val="en-US"/>
        </w:rPr>
        <w:t xml:space="preserve"> and Huizinga, 1999</w:t>
      </w:r>
      <w:r w:rsidR="00AD651A" w:rsidRPr="00384977">
        <w:rPr>
          <w:rFonts w:ascii="Times New Roman" w:hAnsi="Times New Roman" w:cs="Times New Roman"/>
          <w:lang w:val="en-US"/>
        </w:rPr>
        <w:t xml:space="preserve">). A higher GDP </w:t>
      </w:r>
      <w:r w:rsidR="00384977" w:rsidRPr="00384977">
        <w:rPr>
          <w:rFonts w:ascii="Times New Roman" w:hAnsi="Times New Roman" w:cs="Times New Roman"/>
          <w:lang w:val="en-US"/>
        </w:rPr>
        <w:t xml:space="preserve">per capita </w:t>
      </w:r>
      <w:r w:rsidR="00AD651A" w:rsidRPr="00384977">
        <w:rPr>
          <w:rFonts w:ascii="Times New Roman" w:hAnsi="Times New Roman" w:cs="Times New Roman"/>
          <w:lang w:val="en-US"/>
        </w:rPr>
        <w:t xml:space="preserve">is an indication of </w:t>
      </w:r>
      <w:r w:rsidR="00384977" w:rsidRPr="00384977">
        <w:rPr>
          <w:rFonts w:ascii="Times New Roman" w:hAnsi="Times New Roman" w:cs="Times New Roman"/>
          <w:lang w:val="en-US"/>
        </w:rPr>
        <w:t>raise</w:t>
      </w:r>
      <w:r w:rsidR="00AD651A" w:rsidRPr="00384977">
        <w:rPr>
          <w:rFonts w:ascii="Times New Roman" w:hAnsi="Times New Roman" w:cs="Times New Roman"/>
          <w:lang w:val="en-US"/>
        </w:rPr>
        <w:t xml:space="preserve"> in purchasing power and the ability of borrowers to </w:t>
      </w:r>
      <w:r w:rsidR="00611223">
        <w:rPr>
          <w:rFonts w:ascii="Times New Roman" w:hAnsi="Times New Roman" w:cs="Times New Roman"/>
          <w:lang w:val="en-US"/>
        </w:rPr>
        <w:t xml:space="preserve">honor </w:t>
      </w:r>
      <w:r w:rsidR="00AD651A" w:rsidRPr="00384977">
        <w:rPr>
          <w:rFonts w:ascii="Times New Roman" w:hAnsi="Times New Roman" w:cs="Times New Roman"/>
          <w:lang w:val="en-US"/>
        </w:rPr>
        <w:t xml:space="preserve">their loans. It also </w:t>
      </w:r>
      <w:r w:rsidR="00E44A7A">
        <w:rPr>
          <w:rFonts w:ascii="Times New Roman" w:hAnsi="Times New Roman" w:cs="Times New Roman"/>
          <w:lang w:val="en-US"/>
        </w:rPr>
        <w:t>reflects</w:t>
      </w:r>
      <w:r w:rsidR="00AD651A" w:rsidRPr="00384977">
        <w:rPr>
          <w:rFonts w:ascii="Times New Roman" w:hAnsi="Times New Roman" w:cs="Times New Roman"/>
          <w:lang w:val="en-US"/>
        </w:rPr>
        <w:t xml:space="preserve"> the</w:t>
      </w:r>
      <w:r w:rsidR="00E44A7A">
        <w:rPr>
          <w:rFonts w:ascii="Times New Roman" w:hAnsi="Times New Roman" w:cs="Times New Roman"/>
          <w:lang w:val="en-US"/>
        </w:rPr>
        <w:t xml:space="preserve"> improvement of the</w:t>
      </w:r>
      <w:r w:rsidR="00AD651A" w:rsidRPr="00384977">
        <w:rPr>
          <w:rFonts w:ascii="Times New Roman" w:hAnsi="Times New Roman" w:cs="Times New Roman"/>
          <w:lang w:val="en-US"/>
        </w:rPr>
        <w:t xml:space="preserve"> </w:t>
      </w:r>
      <w:r w:rsidR="00852AD5" w:rsidRPr="00384977">
        <w:rPr>
          <w:rFonts w:ascii="Times New Roman" w:hAnsi="Times New Roman" w:cs="Times New Roman"/>
          <w:lang w:val="en-US"/>
        </w:rPr>
        <w:t>capacity</w:t>
      </w:r>
      <w:r w:rsidR="00AD651A" w:rsidRPr="00384977">
        <w:rPr>
          <w:rFonts w:ascii="Times New Roman" w:hAnsi="Times New Roman" w:cs="Times New Roman"/>
          <w:lang w:val="en-US"/>
        </w:rPr>
        <w:t xml:space="preserve"> </w:t>
      </w:r>
      <w:r w:rsidR="00E44A7A">
        <w:rPr>
          <w:rFonts w:ascii="Times New Roman" w:hAnsi="Times New Roman" w:cs="Times New Roman"/>
          <w:lang w:val="en-US"/>
        </w:rPr>
        <w:t xml:space="preserve">of </w:t>
      </w:r>
      <w:r w:rsidR="00AD651A" w:rsidRPr="00384977">
        <w:rPr>
          <w:rFonts w:ascii="Times New Roman" w:hAnsi="Times New Roman" w:cs="Times New Roman"/>
          <w:lang w:val="en-US"/>
        </w:rPr>
        <w:t>savings.</w:t>
      </w:r>
      <w:r w:rsidR="00384977" w:rsidRPr="00384977">
        <w:rPr>
          <w:rFonts w:ascii="Times New Roman" w:hAnsi="Times New Roman" w:cs="Times New Roman"/>
          <w:lang w:val="en-US"/>
        </w:rPr>
        <w:t xml:space="preserve"> So, GDP per capita</w:t>
      </w:r>
      <w:r w:rsidR="00AD651A" w:rsidRPr="00384977">
        <w:rPr>
          <w:rFonts w:ascii="Times New Roman" w:hAnsi="Times New Roman" w:cs="Times New Roman"/>
          <w:lang w:val="en-US"/>
        </w:rPr>
        <w:t xml:space="preserve"> is supposed to </w:t>
      </w:r>
      <w:r w:rsidR="003E743D">
        <w:rPr>
          <w:rFonts w:ascii="Times New Roman" w:hAnsi="Times New Roman" w:cs="Times New Roman"/>
          <w:lang w:val="en-US"/>
        </w:rPr>
        <w:t>be negatively associated to</w:t>
      </w:r>
      <w:r w:rsidR="00AD651A" w:rsidRPr="00384977">
        <w:rPr>
          <w:rFonts w:ascii="Times New Roman" w:hAnsi="Times New Roman" w:cs="Times New Roman"/>
          <w:lang w:val="en-US"/>
        </w:rPr>
        <w:t xml:space="preserve"> credit risk. </w:t>
      </w:r>
      <w:r w:rsidR="0032385F" w:rsidRPr="00384977">
        <w:rPr>
          <w:rFonts w:ascii="Times New Roman" w:hAnsi="Times New Roman" w:cs="Times New Roman"/>
          <w:lang w:val="en-US"/>
        </w:rPr>
        <w:t>Accord</w:t>
      </w:r>
      <w:r w:rsidR="00D966C5">
        <w:rPr>
          <w:rFonts w:ascii="Times New Roman" w:hAnsi="Times New Roman" w:cs="Times New Roman"/>
          <w:lang w:val="en-US"/>
        </w:rPr>
        <w:t xml:space="preserve">ing to Vazquez, </w:t>
      </w:r>
      <w:proofErr w:type="spellStart"/>
      <w:r w:rsidR="00D966C5">
        <w:rPr>
          <w:rFonts w:ascii="Times New Roman" w:hAnsi="Times New Roman" w:cs="Times New Roman"/>
          <w:lang w:val="en-US"/>
        </w:rPr>
        <w:t>Tabak</w:t>
      </w:r>
      <w:proofErr w:type="spellEnd"/>
      <w:r w:rsidR="00D966C5">
        <w:rPr>
          <w:rFonts w:ascii="Times New Roman" w:hAnsi="Times New Roman" w:cs="Times New Roman"/>
          <w:lang w:val="en-US"/>
        </w:rPr>
        <w:t xml:space="preserve"> and </w:t>
      </w:r>
      <w:proofErr w:type="spellStart"/>
      <w:r w:rsidR="00D966C5">
        <w:rPr>
          <w:rFonts w:ascii="Times New Roman" w:hAnsi="Times New Roman" w:cs="Times New Roman"/>
          <w:lang w:val="en-US"/>
        </w:rPr>
        <w:t>Sauto</w:t>
      </w:r>
      <w:proofErr w:type="spellEnd"/>
      <w:r w:rsidR="0032385F" w:rsidRPr="00384977">
        <w:rPr>
          <w:rFonts w:ascii="Times New Roman" w:hAnsi="Times New Roman" w:cs="Times New Roman"/>
          <w:lang w:val="en-US"/>
        </w:rPr>
        <w:t xml:space="preserve"> (2012), there</w:t>
      </w:r>
      <w:r w:rsidRPr="00384977">
        <w:rPr>
          <w:rFonts w:ascii="Times New Roman" w:hAnsi="Times New Roman" w:cs="Times New Roman"/>
          <w:lang w:val="en-US"/>
        </w:rPr>
        <w:t xml:space="preserve"> exist</w:t>
      </w:r>
      <w:r w:rsidR="00217488" w:rsidRPr="00384977">
        <w:rPr>
          <w:rFonts w:ascii="Times New Roman" w:hAnsi="Times New Roman" w:cs="Times New Roman"/>
          <w:lang w:val="en-US"/>
        </w:rPr>
        <w:t>s</w:t>
      </w:r>
      <w:r w:rsidRPr="00384977">
        <w:rPr>
          <w:rFonts w:ascii="Times New Roman" w:hAnsi="Times New Roman" w:cs="Times New Roman"/>
          <w:lang w:val="en-US"/>
        </w:rPr>
        <w:t xml:space="preserve"> an inverse re</w:t>
      </w:r>
      <w:r w:rsidR="0032385F" w:rsidRPr="00384977">
        <w:rPr>
          <w:rFonts w:ascii="Times New Roman" w:hAnsi="Times New Roman" w:cs="Times New Roman"/>
          <w:lang w:val="en-US"/>
        </w:rPr>
        <w:t>lationship between GDP and NPL</w:t>
      </w:r>
      <w:r w:rsidRPr="00384977">
        <w:rPr>
          <w:rFonts w:ascii="Times New Roman" w:hAnsi="Times New Roman" w:cs="Times New Roman"/>
          <w:lang w:val="en-US"/>
        </w:rPr>
        <w:t xml:space="preserve">. </w:t>
      </w:r>
    </w:p>
    <w:p w:rsidR="00384977" w:rsidRDefault="0032385F" w:rsidP="00AC3B76">
      <w:pPr>
        <w:autoSpaceDE w:val="0"/>
        <w:autoSpaceDN w:val="0"/>
        <w:adjustRightInd w:val="0"/>
        <w:spacing w:before="240" w:after="0" w:line="276" w:lineRule="auto"/>
        <w:jc w:val="both"/>
        <w:rPr>
          <w:rFonts w:ascii="Times New Roman" w:hAnsi="Times New Roman" w:cs="Times New Roman"/>
          <w:lang w:val="en-US"/>
        </w:rPr>
      </w:pPr>
      <w:r w:rsidRPr="00384977">
        <w:rPr>
          <w:rFonts w:ascii="Times New Roman" w:hAnsi="Times New Roman" w:cs="Times New Roman"/>
          <w:lang w:val="en-US"/>
        </w:rPr>
        <w:t>In opposition</w:t>
      </w:r>
      <w:r w:rsidR="00C14808" w:rsidRPr="00384977">
        <w:rPr>
          <w:rFonts w:ascii="Times New Roman" w:hAnsi="Times New Roman" w:cs="Times New Roman"/>
          <w:lang w:val="en-US"/>
        </w:rPr>
        <w:t xml:space="preserve">, to the above </w:t>
      </w:r>
      <w:r w:rsidRPr="00384977">
        <w:rPr>
          <w:rFonts w:ascii="Times New Roman" w:hAnsi="Times New Roman" w:cs="Times New Roman"/>
          <w:lang w:val="en-US"/>
        </w:rPr>
        <w:t>impact</w:t>
      </w:r>
      <w:r w:rsidR="00C14808" w:rsidRPr="00384977">
        <w:rPr>
          <w:rFonts w:ascii="Times New Roman" w:hAnsi="Times New Roman" w:cs="Times New Roman"/>
          <w:lang w:val="en-US"/>
        </w:rPr>
        <w:t xml:space="preserve"> on GDP, researches show a positive relationship of inflation, unemployment and interest rate on NPL. High tendencies of credit risk go along with high inflation, unemployment and interest rates. </w:t>
      </w:r>
      <w:proofErr w:type="spellStart"/>
      <w:r w:rsidRPr="00384977">
        <w:rPr>
          <w:rFonts w:ascii="Times New Roman" w:hAnsi="Times New Roman" w:cs="Times New Roman"/>
          <w:lang w:val="en-US"/>
        </w:rPr>
        <w:t>Derbali</w:t>
      </w:r>
      <w:proofErr w:type="spellEnd"/>
      <w:r w:rsidRPr="00384977">
        <w:rPr>
          <w:rFonts w:ascii="Times New Roman" w:hAnsi="Times New Roman" w:cs="Times New Roman"/>
          <w:lang w:val="en-US"/>
        </w:rPr>
        <w:t xml:space="preserve"> (</w:t>
      </w:r>
      <w:r w:rsidR="00BD0671" w:rsidRPr="00384977">
        <w:rPr>
          <w:rFonts w:ascii="Times New Roman" w:hAnsi="Times New Roman" w:cs="Times New Roman"/>
          <w:lang w:val="en-US"/>
        </w:rPr>
        <w:t>2011</w:t>
      </w:r>
      <w:r w:rsidR="0031539A" w:rsidRPr="00384977">
        <w:rPr>
          <w:rFonts w:ascii="Times New Roman" w:hAnsi="Times New Roman" w:cs="Times New Roman"/>
          <w:lang w:val="en-US"/>
        </w:rPr>
        <w:t>)</w:t>
      </w:r>
      <w:r w:rsidRPr="00384977">
        <w:rPr>
          <w:rFonts w:ascii="Times New Roman" w:hAnsi="Times New Roman" w:cs="Times New Roman"/>
          <w:lang w:val="en-US"/>
        </w:rPr>
        <w:t xml:space="preserve"> suggests that t</w:t>
      </w:r>
      <w:r w:rsidR="00C14808" w:rsidRPr="00384977">
        <w:rPr>
          <w:rFonts w:ascii="Times New Roman" w:hAnsi="Times New Roman" w:cs="Times New Roman"/>
          <w:lang w:val="en-US"/>
        </w:rPr>
        <w:t xml:space="preserve">hese variables </w:t>
      </w:r>
      <w:r w:rsidR="00BD0671" w:rsidRPr="00384977">
        <w:rPr>
          <w:rFonts w:ascii="Times New Roman" w:hAnsi="Times New Roman" w:cs="Times New Roman"/>
          <w:lang w:val="en-US"/>
        </w:rPr>
        <w:t>limit</w:t>
      </w:r>
      <w:r w:rsidR="00C14808" w:rsidRPr="00384977">
        <w:rPr>
          <w:rFonts w:ascii="Times New Roman" w:hAnsi="Times New Roman" w:cs="Times New Roman"/>
          <w:lang w:val="en-US"/>
        </w:rPr>
        <w:t xml:space="preserve"> the borrower’s ability to borrow</w:t>
      </w:r>
      <w:r w:rsidR="00C14808" w:rsidRPr="00221FCF">
        <w:rPr>
          <w:rFonts w:ascii="Times New Roman" w:hAnsi="Times New Roman" w:cs="Times New Roman"/>
          <w:lang w:val="en-US"/>
        </w:rPr>
        <w:t xml:space="preserve"> and increase the cost of borrowing.</w:t>
      </w:r>
      <w:r w:rsidR="00384977" w:rsidRPr="00221FCF">
        <w:rPr>
          <w:rFonts w:ascii="Times New Roman" w:hAnsi="Times New Roman" w:cs="Times New Roman"/>
          <w:lang w:val="en-US"/>
        </w:rPr>
        <w:t xml:space="preserve"> </w:t>
      </w:r>
      <w:proofErr w:type="spellStart"/>
      <w:r w:rsidR="00BA13F3">
        <w:rPr>
          <w:rFonts w:ascii="Times New Roman" w:hAnsi="Times New Roman" w:cs="Times New Roman"/>
          <w:lang w:val="en-US"/>
        </w:rPr>
        <w:t>Demirguc-Kunt</w:t>
      </w:r>
      <w:proofErr w:type="spellEnd"/>
      <w:r w:rsidR="00BA13F3">
        <w:rPr>
          <w:rFonts w:ascii="Times New Roman" w:hAnsi="Times New Roman" w:cs="Times New Roman"/>
          <w:lang w:val="en-US"/>
        </w:rPr>
        <w:t xml:space="preserve"> and Huizinga (1999</w:t>
      </w:r>
      <w:r w:rsidR="00221FCF" w:rsidRPr="00221FCF">
        <w:rPr>
          <w:rFonts w:ascii="Times New Roman" w:hAnsi="Times New Roman" w:cs="Times New Roman"/>
          <w:lang w:val="en-US"/>
        </w:rPr>
        <w:t xml:space="preserve">) and </w:t>
      </w:r>
      <w:proofErr w:type="spellStart"/>
      <w:r w:rsidR="00384977" w:rsidRPr="00221FCF">
        <w:rPr>
          <w:rFonts w:ascii="Times New Roman" w:hAnsi="Times New Roman" w:cs="Times New Roman"/>
          <w:lang w:val="en-US"/>
        </w:rPr>
        <w:t>Athanasoglou</w:t>
      </w:r>
      <w:proofErr w:type="spellEnd"/>
      <w:r w:rsidR="00384977" w:rsidRPr="00221FCF">
        <w:rPr>
          <w:rFonts w:ascii="Times New Roman" w:hAnsi="Times New Roman" w:cs="Times New Roman"/>
          <w:lang w:val="en-US"/>
        </w:rPr>
        <w:t xml:space="preserve"> et al.</w:t>
      </w:r>
      <w:r w:rsidR="0031539A">
        <w:rPr>
          <w:rFonts w:ascii="Times New Roman" w:hAnsi="Times New Roman" w:cs="Times New Roman"/>
          <w:lang w:val="en-US"/>
        </w:rPr>
        <w:t xml:space="preserve"> </w:t>
      </w:r>
      <w:r w:rsidR="008E61F0">
        <w:rPr>
          <w:rFonts w:ascii="Times New Roman" w:hAnsi="Times New Roman" w:cs="Times New Roman"/>
          <w:lang w:val="en-US"/>
        </w:rPr>
        <w:t>(2010</w:t>
      </w:r>
      <w:r w:rsidR="00384977" w:rsidRPr="00221FCF">
        <w:rPr>
          <w:rFonts w:ascii="Times New Roman" w:hAnsi="Times New Roman" w:cs="Times New Roman"/>
          <w:lang w:val="en-US"/>
        </w:rPr>
        <w:t xml:space="preserve">) suggest that a widely used proxy for the macroeconomic environment </w:t>
      </w:r>
      <w:r w:rsidR="00177960">
        <w:rPr>
          <w:rFonts w:ascii="Times New Roman" w:hAnsi="Times New Roman" w:cs="Times New Roman"/>
          <w:lang w:val="en-US"/>
        </w:rPr>
        <w:t xml:space="preserve">effect </w:t>
      </w:r>
      <w:r w:rsidR="00384977" w:rsidRPr="00221FCF">
        <w:rPr>
          <w:rFonts w:ascii="Times New Roman" w:hAnsi="Times New Roman" w:cs="Times New Roman"/>
          <w:lang w:val="en-US"/>
        </w:rPr>
        <w:t xml:space="preserve">on bank profitability </w:t>
      </w:r>
      <w:r w:rsidR="00852AD5">
        <w:rPr>
          <w:rFonts w:ascii="Times New Roman" w:hAnsi="Times New Roman" w:cs="Times New Roman"/>
          <w:lang w:val="en-US"/>
        </w:rPr>
        <w:t xml:space="preserve">and risk taking </w:t>
      </w:r>
      <w:r w:rsidR="00384977" w:rsidRPr="00221FCF">
        <w:rPr>
          <w:rFonts w:ascii="Times New Roman" w:hAnsi="Times New Roman" w:cs="Times New Roman"/>
          <w:lang w:val="en-US"/>
        </w:rPr>
        <w:t xml:space="preserve">is inflation. And </w:t>
      </w:r>
      <w:r w:rsidR="00221FCF" w:rsidRPr="00221FCF">
        <w:rPr>
          <w:rFonts w:ascii="Times New Roman" w:hAnsi="Times New Roman" w:cs="Times New Roman"/>
          <w:lang w:val="en-US"/>
        </w:rPr>
        <w:t>they find a positive relationship between inflation and bank profitability, in their respective works. On the other hand</w:t>
      </w:r>
      <w:r w:rsidR="00221FCF">
        <w:rPr>
          <w:rFonts w:ascii="Times New Roman" w:hAnsi="Times New Roman" w:cs="Times New Roman"/>
          <w:lang w:val="en-US"/>
        </w:rPr>
        <w:t>,</w:t>
      </w:r>
      <w:r w:rsidR="00221FCF" w:rsidRPr="00221FCF">
        <w:rPr>
          <w:rFonts w:ascii="Times New Roman" w:hAnsi="Times New Roman" w:cs="Times New Roman"/>
          <w:lang w:val="en-US"/>
        </w:rPr>
        <w:t xml:space="preserve"> </w:t>
      </w:r>
      <w:proofErr w:type="spellStart"/>
      <w:r w:rsidR="00384977" w:rsidRPr="00221FCF">
        <w:rPr>
          <w:rFonts w:ascii="Times New Roman" w:hAnsi="Times New Roman" w:cs="Times New Roman"/>
          <w:lang w:val="en-US"/>
        </w:rPr>
        <w:t>Voridis</w:t>
      </w:r>
      <w:proofErr w:type="spellEnd"/>
      <w:r w:rsidR="00384977" w:rsidRPr="00221FCF">
        <w:rPr>
          <w:rFonts w:ascii="Times New Roman" w:hAnsi="Times New Roman" w:cs="Times New Roman"/>
          <w:lang w:val="en-US"/>
        </w:rPr>
        <w:t xml:space="preserve"> (1993) claims that uncertainty in the</w:t>
      </w:r>
      <w:r w:rsidR="00221FCF" w:rsidRPr="00221FCF">
        <w:rPr>
          <w:rFonts w:ascii="Times New Roman" w:hAnsi="Times New Roman" w:cs="Times New Roman"/>
          <w:lang w:val="en-US"/>
        </w:rPr>
        <w:t xml:space="preserve"> </w:t>
      </w:r>
      <w:r w:rsidR="00384977" w:rsidRPr="00221FCF">
        <w:rPr>
          <w:rFonts w:ascii="Times New Roman" w:hAnsi="Times New Roman" w:cs="Times New Roman"/>
          <w:lang w:val="en-US"/>
        </w:rPr>
        <w:t xml:space="preserve">economy </w:t>
      </w:r>
      <w:r w:rsidR="00177960">
        <w:rPr>
          <w:rFonts w:ascii="Times New Roman" w:hAnsi="Times New Roman" w:cs="Times New Roman"/>
          <w:lang w:val="en-US"/>
        </w:rPr>
        <w:t>enhances</w:t>
      </w:r>
      <w:r w:rsidR="00384977" w:rsidRPr="00221FCF">
        <w:rPr>
          <w:rFonts w:ascii="Times New Roman" w:hAnsi="Times New Roman" w:cs="Times New Roman"/>
          <w:lang w:val="en-US"/>
        </w:rPr>
        <w:t xml:space="preserve"> banks to ration credit and lead</w:t>
      </w:r>
      <w:r w:rsidR="00177960">
        <w:rPr>
          <w:rFonts w:ascii="Times New Roman" w:hAnsi="Times New Roman" w:cs="Times New Roman"/>
          <w:lang w:val="en-US"/>
        </w:rPr>
        <w:t>s</w:t>
      </w:r>
      <w:r w:rsidR="00384977" w:rsidRPr="00221FCF">
        <w:rPr>
          <w:rFonts w:ascii="Times New Roman" w:hAnsi="Times New Roman" w:cs="Times New Roman"/>
          <w:lang w:val="en-US"/>
        </w:rPr>
        <w:t xml:space="preserve"> to disequilibrium in credit markets. Al-</w:t>
      </w:r>
      <w:proofErr w:type="spellStart"/>
      <w:r w:rsidR="00384977" w:rsidRPr="00221FCF">
        <w:rPr>
          <w:rFonts w:ascii="Times New Roman" w:hAnsi="Times New Roman" w:cs="Times New Roman"/>
          <w:lang w:val="en-US"/>
        </w:rPr>
        <w:t>Smadi</w:t>
      </w:r>
      <w:proofErr w:type="spellEnd"/>
      <w:r w:rsidR="00384977" w:rsidRPr="00221FCF">
        <w:rPr>
          <w:rFonts w:ascii="Times New Roman" w:hAnsi="Times New Roman" w:cs="Times New Roman"/>
          <w:lang w:val="en-US"/>
        </w:rPr>
        <w:t xml:space="preserve"> and Ahmed</w:t>
      </w:r>
      <w:r w:rsidR="00221FCF" w:rsidRPr="00221FCF">
        <w:rPr>
          <w:rFonts w:ascii="Times New Roman" w:hAnsi="Times New Roman" w:cs="Times New Roman"/>
          <w:lang w:val="en-US"/>
        </w:rPr>
        <w:t xml:space="preserve"> </w:t>
      </w:r>
      <w:r w:rsidR="00384977" w:rsidRPr="00221FCF">
        <w:rPr>
          <w:rFonts w:ascii="Times New Roman" w:hAnsi="Times New Roman" w:cs="Times New Roman"/>
          <w:lang w:val="en-US"/>
        </w:rPr>
        <w:t xml:space="preserve">(2009) </w:t>
      </w:r>
      <w:r w:rsidR="00177960" w:rsidRPr="00221FCF">
        <w:rPr>
          <w:rFonts w:ascii="Times New Roman" w:hAnsi="Times New Roman" w:cs="Times New Roman"/>
          <w:lang w:val="en-US"/>
        </w:rPr>
        <w:t>relate</w:t>
      </w:r>
      <w:r w:rsidR="00384977" w:rsidRPr="00221FCF">
        <w:rPr>
          <w:rFonts w:ascii="Times New Roman" w:hAnsi="Times New Roman" w:cs="Times New Roman"/>
          <w:lang w:val="en-US"/>
        </w:rPr>
        <w:t xml:space="preserve"> high inflation </w:t>
      </w:r>
      <w:r w:rsidR="00177960">
        <w:rPr>
          <w:rFonts w:ascii="Times New Roman" w:hAnsi="Times New Roman" w:cs="Times New Roman"/>
          <w:lang w:val="en-US"/>
        </w:rPr>
        <w:t>to</w:t>
      </w:r>
      <w:r w:rsidR="00384977" w:rsidRPr="00221FCF">
        <w:rPr>
          <w:rFonts w:ascii="Times New Roman" w:hAnsi="Times New Roman" w:cs="Times New Roman"/>
          <w:lang w:val="en-US"/>
        </w:rPr>
        <w:t xml:space="preserve"> decrease in credit risk.</w:t>
      </w:r>
    </w:p>
    <w:p w:rsidR="00217488" w:rsidRPr="00217488" w:rsidRDefault="00217488" w:rsidP="00AC3B76">
      <w:pPr>
        <w:autoSpaceDE w:val="0"/>
        <w:autoSpaceDN w:val="0"/>
        <w:adjustRightInd w:val="0"/>
        <w:spacing w:before="240" w:line="276" w:lineRule="auto"/>
        <w:jc w:val="both"/>
        <w:rPr>
          <w:b/>
          <w:color w:val="000000"/>
          <w:lang w:val="en-US"/>
        </w:rPr>
      </w:pPr>
      <w:r w:rsidRPr="006416E5">
        <w:rPr>
          <w:b/>
          <w:color w:val="000000"/>
          <w:lang w:val="en-US"/>
        </w:rPr>
        <w:t>2.2. Industry-specific factors</w:t>
      </w:r>
    </w:p>
    <w:p w:rsidR="00711FFC" w:rsidRPr="007A34E5" w:rsidRDefault="00711FFC" w:rsidP="00AC3B76">
      <w:pPr>
        <w:autoSpaceDE w:val="0"/>
        <w:autoSpaceDN w:val="0"/>
        <w:adjustRightInd w:val="0"/>
        <w:spacing w:before="240" w:after="0" w:line="276" w:lineRule="auto"/>
        <w:jc w:val="both"/>
        <w:rPr>
          <w:rFonts w:ascii="Times New Roman" w:hAnsi="Times New Roman" w:cs="Times New Roman"/>
          <w:lang w:val="en-US"/>
        </w:rPr>
      </w:pPr>
      <w:r w:rsidRPr="009D6B8C">
        <w:rPr>
          <w:rFonts w:ascii="Times New Roman" w:hAnsi="Times New Roman" w:cs="Times New Roman"/>
          <w:lang w:val="en-US"/>
        </w:rPr>
        <w:t xml:space="preserve">Two industry-specific factors have been used in the major empirical literature: competition and financial sector development. </w:t>
      </w:r>
    </w:p>
    <w:p w:rsidR="000C22C1" w:rsidRPr="00F1193E" w:rsidRDefault="003A7458" w:rsidP="00AC3B76">
      <w:pPr>
        <w:spacing w:before="240" w:line="276" w:lineRule="auto"/>
        <w:jc w:val="both"/>
        <w:rPr>
          <w:rFonts w:ascii="Times New Roman" w:eastAsia="Times New Roman" w:hAnsi="Times New Roman" w:cs="Times New Roman"/>
          <w:lang w:val="en-US" w:eastAsia="fr-FR"/>
        </w:rPr>
      </w:pPr>
      <w:r w:rsidRPr="003A7458">
        <w:rPr>
          <w:rFonts w:ascii="Times New Roman" w:eastAsia="Times New Roman" w:hAnsi="Times New Roman" w:cs="Times New Roman"/>
          <w:lang w:val="en-US" w:eastAsia="fr-FR"/>
        </w:rPr>
        <w:lastRenderedPageBreak/>
        <w:t xml:space="preserve">The debate on the competition </w:t>
      </w:r>
      <w:r w:rsidR="00DF0DAD">
        <w:rPr>
          <w:rFonts w:ascii="Times New Roman" w:eastAsia="Times New Roman" w:hAnsi="Times New Roman" w:cs="Times New Roman"/>
          <w:lang w:val="en-US" w:eastAsia="fr-FR"/>
        </w:rPr>
        <w:t>impact on</w:t>
      </w:r>
      <w:r w:rsidRPr="003A7458">
        <w:rPr>
          <w:rFonts w:ascii="Times New Roman" w:eastAsia="Times New Roman" w:hAnsi="Times New Roman" w:cs="Times New Roman"/>
          <w:lang w:val="en-US" w:eastAsia="fr-FR"/>
        </w:rPr>
        <w:t xml:space="preserve"> </w:t>
      </w:r>
      <w:r w:rsidR="00DF0DAD">
        <w:rPr>
          <w:rFonts w:ascii="Times New Roman" w:eastAsia="Times New Roman" w:hAnsi="Times New Roman" w:cs="Times New Roman"/>
          <w:lang w:val="en-US" w:eastAsia="fr-FR"/>
        </w:rPr>
        <w:t xml:space="preserve">banks’ </w:t>
      </w:r>
      <w:r w:rsidRPr="003A7458">
        <w:rPr>
          <w:rFonts w:ascii="Times New Roman" w:eastAsia="Times New Roman" w:hAnsi="Times New Roman" w:cs="Times New Roman"/>
          <w:lang w:val="en-US" w:eastAsia="fr-FR"/>
        </w:rPr>
        <w:t xml:space="preserve">risk taking is not conclusive. </w:t>
      </w:r>
      <w:r w:rsidR="00DF0DAD">
        <w:rPr>
          <w:rFonts w:ascii="Times New Roman" w:eastAsia="Times New Roman" w:hAnsi="Times New Roman" w:cs="Times New Roman"/>
          <w:lang w:val="en-US" w:eastAsia="fr-FR"/>
        </w:rPr>
        <w:t>A large number of</w:t>
      </w:r>
      <w:r w:rsidRPr="003A7458">
        <w:rPr>
          <w:rFonts w:ascii="Times New Roman" w:eastAsia="Times New Roman" w:hAnsi="Times New Roman" w:cs="Times New Roman"/>
          <w:lang w:val="en-US" w:eastAsia="fr-FR"/>
        </w:rPr>
        <w:t xml:space="preserve"> </w:t>
      </w:r>
      <w:r w:rsidR="00DF0DAD">
        <w:rPr>
          <w:rFonts w:ascii="Times New Roman" w:eastAsia="Times New Roman" w:hAnsi="Times New Roman" w:cs="Times New Roman"/>
          <w:lang w:val="en-US" w:eastAsia="fr-FR"/>
        </w:rPr>
        <w:t xml:space="preserve">empirical </w:t>
      </w:r>
      <w:r w:rsidR="008F22A9">
        <w:rPr>
          <w:rFonts w:ascii="Times New Roman" w:eastAsia="Times New Roman" w:hAnsi="Times New Roman" w:cs="Times New Roman"/>
          <w:lang w:val="en-US" w:eastAsia="fr-FR"/>
        </w:rPr>
        <w:t>studies</w:t>
      </w:r>
      <w:r w:rsidRPr="003A7458">
        <w:rPr>
          <w:rFonts w:ascii="Times New Roman" w:eastAsia="Times New Roman" w:hAnsi="Times New Roman" w:cs="Times New Roman"/>
          <w:lang w:val="en-US" w:eastAsia="fr-FR"/>
        </w:rPr>
        <w:t xml:space="preserve"> </w:t>
      </w:r>
      <w:r w:rsidR="00DF0DAD">
        <w:rPr>
          <w:rFonts w:ascii="Times New Roman" w:eastAsia="Times New Roman" w:hAnsi="Times New Roman" w:cs="Times New Roman"/>
          <w:lang w:val="en-US" w:eastAsia="fr-FR"/>
        </w:rPr>
        <w:t xml:space="preserve">deal with </w:t>
      </w:r>
      <w:r w:rsidR="008F22A9">
        <w:rPr>
          <w:rFonts w:ascii="Times New Roman" w:eastAsia="Times New Roman" w:hAnsi="Times New Roman" w:cs="Times New Roman"/>
          <w:lang w:val="en-US" w:eastAsia="fr-FR"/>
        </w:rPr>
        <w:t xml:space="preserve">the nature of </w:t>
      </w:r>
      <w:r w:rsidR="00DF0DAD">
        <w:rPr>
          <w:rFonts w:ascii="Times New Roman" w:eastAsia="Times New Roman" w:hAnsi="Times New Roman" w:cs="Times New Roman"/>
          <w:lang w:val="en-US" w:eastAsia="fr-FR"/>
        </w:rPr>
        <w:t>relationship between risk taking and competition</w:t>
      </w:r>
      <w:r w:rsidR="008F22A9">
        <w:rPr>
          <w:rFonts w:ascii="Times New Roman" w:eastAsia="Times New Roman" w:hAnsi="Times New Roman" w:cs="Times New Roman"/>
          <w:lang w:val="en-US" w:eastAsia="fr-FR"/>
        </w:rPr>
        <w:t xml:space="preserve">, but </w:t>
      </w:r>
      <w:proofErr w:type="spellStart"/>
      <w:r w:rsidR="008F22A9">
        <w:rPr>
          <w:rFonts w:ascii="Times New Roman" w:eastAsia="Times New Roman" w:hAnsi="Times New Roman" w:cs="Times New Roman"/>
          <w:lang w:val="en-US" w:eastAsia="fr-FR"/>
        </w:rPr>
        <w:t>i</w:t>
      </w:r>
      <w:proofErr w:type="spellEnd"/>
      <w:r w:rsidRPr="003A7458">
        <w:rPr>
          <w:rFonts w:ascii="Times New Roman" w:eastAsia="Times New Roman" w:hAnsi="Times New Roman" w:cs="Times New Roman"/>
          <w:lang w:val="en-US" w:eastAsia="fr-FR"/>
        </w:rPr>
        <w:t xml:space="preserve"> p</w:t>
      </w:r>
      <w:r w:rsidR="008F22A9">
        <w:rPr>
          <w:rFonts w:ascii="Times New Roman" w:eastAsia="Times New Roman" w:hAnsi="Times New Roman" w:cs="Times New Roman"/>
          <w:lang w:val="en-US" w:eastAsia="fr-FR"/>
        </w:rPr>
        <w:t>rovide</w:t>
      </w:r>
      <w:r w:rsidRPr="007A34E5">
        <w:rPr>
          <w:rFonts w:ascii="Times New Roman" w:eastAsia="Times New Roman" w:hAnsi="Times New Roman" w:cs="Times New Roman"/>
          <w:lang w:val="en-US" w:eastAsia="fr-FR"/>
        </w:rPr>
        <w:t xml:space="preserve"> a series of </w:t>
      </w:r>
      <w:r w:rsidR="008F22A9" w:rsidRPr="007A34E5">
        <w:rPr>
          <w:rFonts w:ascii="Times New Roman" w:eastAsia="Times New Roman" w:hAnsi="Times New Roman" w:cs="Times New Roman"/>
          <w:lang w:val="en-US" w:eastAsia="fr-FR"/>
        </w:rPr>
        <w:t>divergent</w:t>
      </w:r>
      <w:r w:rsidRPr="007A34E5">
        <w:rPr>
          <w:rFonts w:ascii="Times New Roman" w:eastAsia="Times New Roman" w:hAnsi="Times New Roman" w:cs="Times New Roman"/>
          <w:lang w:val="en-US" w:eastAsia="fr-FR"/>
        </w:rPr>
        <w:t xml:space="preserve"> </w:t>
      </w:r>
      <w:r w:rsidRPr="003A7458">
        <w:rPr>
          <w:rFonts w:ascii="Times New Roman" w:eastAsia="Times New Roman" w:hAnsi="Times New Roman" w:cs="Times New Roman"/>
          <w:lang w:val="en-US" w:eastAsia="fr-FR"/>
        </w:rPr>
        <w:t>results.</w:t>
      </w:r>
      <w:r w:rsidRPr="007A34E5">
        <w:rPr>
          <w:rFonts w:ascii="Times New Roman" w:eastAsia="Times New Roman" w:hAnsi="Times New Roman" w:cs="Times New Roman"/>
          <w:lang w:val="en-US" w:eastAsia="fr-FR"/>
        </w:rPr>
        <w:t xml:space="preserve"> </w:t>
      </w:r>
      <w:r w:rsidR="007A34E5">
        <w:rPr>
          <w:rFonts w:ascii="Times New Roman" w:eastAsia="Times New Roman" w:hAnsi="Times New Roman" w:cs="Times New Roman"/>
          <w:lang w:val="en-US" w:eastAsia="fr-FR"/>
        </w:rPr>
        <w:t xml:space="preserve">According to </w:t>
      </w:r>
      <w:proofErr w:type="spellStart"/>
      <w:r w:rsidR="0072264A">
        <w:rPr>
          <w:rFonts w:ascii="Times New Roman" w:hAnsi="Times New Roman" w:cs="Times New Roman"/>
          <w:lang w:val="en-US"/>
        </w:rPr>
        <w:t>Demirguc-Kunt</w:t>
      </w:r>
      <w:proofErr w:type="spellEnd"/>
      <w:r w:rsidR="0072264A">
        <w:rPr>
          <w:rFonts w:ascii="Times New Roman" w:hAnsi="Times New Roman" w:cs="Times New Roman"/>
          <w:lang w:val="en-US"/>
        </w:rPr>
        <w:t xml:space="preserve"> and Huizinga (1999</w:t>
      </w:r>
      <w:r w:rsidR="00711FFC" w:rsidRPr="007A34E5">
        <w:rPr>
          <w:rFonts w:ascii="Times New Roman" w:hAnsi="Times New Roman" w:cs="Times New Roman"/>
          <w:lang w:val="en-US"/>
        </w:rPr>
        <w:t>), Rose and Hudgins (</w:t>
      </w:r>
      <w:r w:rsidR="003E1A16">
        <w:rPr>
          <w:rFonts w:ascii="Times New Roman" w:hAnsi="Times New Roman" w:cs="Times New Roman"/>
          <w:lang w:val="en-US"/>
        </w:rPr>
        <w:t xml:space="preserve">2008) and </w:t>
      </w:r>
      <w:proofErr w:type="spellStart"/>
      <w:r w:rsidR="003E1A16">
        <w:rPr>
          <w:rFonts w:ascii="Times New Roman" w:hAnsi="Times New Roman" w:cs="Times New Roman"/>
          <w:lang w:val="en-US"/>
        </w:rPr>
        <w:t>Anginer</w:t>
      </w:r>
      <w:proofErr w:type="spellEnd"/>
      <w:r w:rsidR="003E1A16">
        <w:rPr>
          <w:rFonts w:ascii="Times New Roman" w:hAnsi="Times New Roman" w:cs="Times New Roman"/>
          <w:lang w:val="en-US"/>
        </w:rPr>
        <w:t xml:space="preserve"> et al. (2014</w:t>
      </w:r>
      <w:r w:rsidR="007A34E5">
        <w:rPr>
          <w:rFonts w:ascii="Times New Roman" w:hAnsi="Times New Roman" w:cs="Times New Roman"/>
          <w:lang w:val="en-US"/>
        </w:rPr>
        <w:t xml:space="preserve">), </w:t>
      </w:r>
      <w:r w:rsidR="00711FFC" w:rsidRPr="007A34E5">
        <w:rPr>
          <w:rFonts w:ascii="Times New Roman" w:hAnsi="Times New Roman" w:cs="Times New Roman"/>
          <w:lang w:val="en-US"/>
        </w:rPr>
        <w:t>competition is excellent for the banking sector</w:t>
      </w:r>
      <w:r w:rsidR="000907DF" w:rsidRPr="007A34E5">
        <w:rPr>
          <w:rFonts w:ascii="Times New Roman" w:hAnsi="Times New Roman" w:cs="Times New Roman"/>
          <w:lang w:val="en-US"/>
        </w:rPr>
        <w:t xml:space="preserve">. </w:t>
      </w:r>
      <w:r w:rsidR="004C24AA" w:rsidRPr="007A34E5">
        <w:rPr>
          <w:rFonts w:ascii="Times New Roman" w:hAnsi="Times New Roman" w:cs="Times New Roman"/>
          <w:lang w:val="en-US"/>
        </w:rPr>
        <w:t>Indeed, g</w:t>
      </w:r>
      <w:r w:rsidR="00711FFC" w:rsidRPr="007A34E5">
        <w:rPr>
          <w:rFonts w:ascii="Times New Roman" w:hAnsi="Times New Roman" w:cs="Times New Roman"/>
          <w:lang w:val="en-US"/>
        </w:rPr>
        <w:t xml:space="preserve">reater competition </w:t>
      </w:r>
      <w:r w:rsidR="000907DF" w:rsidRPr="007A34E5">
        <w:rPr>
          <w:rFonts w:ascii="Times New Roman" w:hAnsi="Times New Roman" w:cs="Times New Roman"/>
          <w:lang w:val="en-US"/>
        </w:rPr>
        <w:t>may encourage</w:t>
      </w:r>
      <w:r w:rsidR="00711FFC" w:rsidRPr="007A34E5">
        <w:rPr>
          <w:rFonts w:ascii="Times New Roman" w:hAnsi="Times New Roman" w:cs="Times New Roman"/>
          <w:lang w:val="en-US"/>
        </w:rPr>
        <w:t xml:space="preserve"> banks to </w:t>
      </w:r>
      <w:r w:rsidR="000907DF" w:rsidRPr="007A34E5">
        <w:rPr>
          <w:rFonts w:ascii="Times New Roman" w:hAnsi="Times New Roman" w:cs="Times New Roman"/>
          <w:lang w:val="en-US"/>
        </w:rPr>
        <w:t>diversify</w:t>
      </w:r>
      <w:r w:rsidR="00711FFC" w:rsidRPr="007A34E5">
        <w:rPr>
          <w:rFonts w:ascii="Times New Roman" w:hAnsi="Times New Roman" w:cs="Times New Roman"/>
          <w:lang w:val="en-US"/>
        </w:rPr>
        <w:t xml:space="preserve"> </w:t>
      </w:r>
      <w:r w:rsidR="00582D89">
        <w:rPr>
          <w:rFonts w:ascii="Times New Roman" w:hAnsi="Times New Roman" w:cs="Times New Roman"/>
          <w:lang w:val="en-US"/>
        </w:rPr>
        <w:t xml:space="preserve">their </w:t>
      </w:r>
      <w:r w:rsidR="00711FFC" w:rsidRPr="007A34E5">
        <w:rPr>
          <w:rFonts w:ascii="Times New Roman" w:hAnsi="Times New Roman" w:cs="Times New Roman"/>
          <w:lang w:val="en-US"/>
        </w:rPr>
        <w:t xml:space="preserve">risk, making </w:t>
      </w:r>
      <w:r w:rsidR="00582D89">
        <w:rPr>
          <w:rFonts w:ascii="Times New Roman" w:hAnsi="Times New Roman" w:cs="Times New Roman"/>
          <w:lang w:val="en-US"/>
        </w:rPr>
        <w:t>them</w:t>
      </w:r>
      <w:r w:rsidR="00711FFC" w:rsidRPr="007A34E5">
        <w:rPr>
          <w:rFonts w:ascii="Times New Roman" w:hAnsi="Times New Roman" w:cs="Times New Roman"/>
          <w:lang w:val="en-US"/>
        </w:rPr>
        <w:t xml:space="preserve"> less fragile. </w:t>
      </w:r>
      <w:r w:rsidR="007A34E5">
        <w:rPr>
          <w:rFonts w:ascii="Times New Roman" w:hAnsi="Times New Roman" w:cs="Times New Roman"/>
          <w:lang w:val="en-US"/>
        </w:rPr>
        <w:t xml:space="preserve">Conversely, </w:t>
      </w:r>
      <w:proofErr w:type="spellStart"/>
      <w:r w:rsidR="007A34E5" w:rsidRPr="007A34E5">
        <w:rPr>
          <w:rFonts w:ascii="Times New Roman" w:eastAsia="Times New Roman" w:hAnsi="Times New Roman" w:cs="Times New Roman"/>
          <w:lang w:val="en-US" w:eastAsia="fr-FR"/>
        </w:rPr>
        <w:t>Caminal</w:t>
      </w:r>
      <w:proofErr w:type="spellEnd"/>
      <w:r w:rsidR="007A34E5" w:rsidRPr="007A34E5">
        <w:rPr>
          <w:rFonts w:ascii="Times New Roman" w:eastAsia="Times New Roman" w:hAnsi="Times New Roman" w:cs="Times New Roman"/>
          <w:lang w:val="en-US" w:eastAsia="fr-FR"/>
        </w:rPr>
        <w:t xml:space="preserve"> and </w:t>
      </w:r>
      <w:proofErr w:type="spellStart"/>
      <w:r w:rsidR="007A34E5" w:rsidRPr="007A34E5">
        <w:rPr>
          <w:rFonts w:ascii="Times New Roman" w:eastAsia="Times New Roman" w:hAnsi="Times New Roman" w:cs="Times New Roman"/>
          <w:lang w:val="en-US" w:eastAsia="fr-FR"/>
        </w:rPr>
        <w:t>Matutes</w:t>
      </w:r>
      <w:proofErr w:type="spellEnd"/>
      <w:r w:rsidR="007A34E5" w:rsidRPr="007A34E5">
        <w:rPr>
          <w:rFonts w:ascii="Times New Roman" w:eastAsia="Times New Roman" w:hAnsi="Times New Roman" w:cs="Times New Roman"/>
          <w:lang w:val="en-US" w:eastAsia="fr-FR"/>
        </w:rPr>
        <w:t xml:space="preserve"> (2002), </w:t>
      </w:r>
      <w:r w:rsidR="007A34E5">
        <w:rPr>
          <w:rFonts w:ascii="Times New Roman" w:eastAsia="Times New Roman" w:hAnsi="Times New Roman" w:cs="Times New Roman"/>
          <w:lang w:val="en-US" w:eastAsia="fr-FR"/>
        </w:rPr>
        <w:t xml:space="preserve">show that </w:t>
      </w:r>
      <w:r w:rsidR="007A34E5" w:rsidRPr="007A34E5">
        <w:rPr>
          <w:rFonts w:ascii="Times New Roman" w:eastAsia="Times New Roman" w:hAnsi="Times New Roman" w:cs="Times New Roman"/>
          <w:lang w:val="en-US" w:eastAsia="fr-FR"/>
        </w:rPr>
        <w:t xml:space="preserve">strong competition reduces credit rationing and increase the distribution of credits. </w:t>
      </w:r>
      <w:r w:rsidR="00582D89">
        <w:rPr>
          <w:rFonts w:ascii="Times New Roman" w:eastAsia="Times New Roman" w:hAnsi="Times New Roman" w:cs="Times New Roman"/>
          <w:lang w:val="en-US" w:eastAsia="fr-FR"/>
        </w:rPr>
        <w:t>So</w:t>
      </w:r>
      <w:r w:rsidR="007A34E5" w:rsidRPr="007A34E5">
        <w:rPr>
          <w:rFonts w:ascii="Times New Roman" w:eastAsia="Times New Roman" w:hAnsi="Times New Roman" w:cs="Times New Roman"/>
          <w:lang w:val="en-US" w:eastAsia="fr-FR"/>
        </w:rPr>
        <w:t>,</w:t>
      </w:r>
      <w:r w:rsidR="007A34E5">
        <w:rPr>
          <w:rFonts w:ascii="Times New Roman" w:eastAsia="Times New Roman" w:hAnsi="Times New Roman" w:cs="Times New Roman"/>
          <w:lang w:val="en-US" w:eastAsia="fr-FR"/>
        </w:rPr>
        <w:t xml:space="preserve"> </w:t>
      </w:r>
      <w:r w:rsidR="007A34E5" w:rsidRPr="007A34E5">
        <w:rPr>
          <w:rFonts w:ascii="Times New Roman" w:eastAsia="Times New Roman" w:hAnsi="Times New Roman" w:cs="Times New Roman"/>
          <w:lang w:val="en-US" w:eastAsia="fr-FR"/>
        </w:rPr>
        <w:t xml:space="preserve">banks may be engaged in riskier operations </w:t>
      </w:r>
      <w:r w:rsidR="004A7A09">
        <w:rPr>
          <w:rFonts w:ascii="Times New Roman" w:eastAsia="Times New Roman" w:hAnsi="Times New Roman" w:cs="Times New Roman"/>
          <w:lang w:val="en-US" w:eastAsia="fr-FR"/>
        </w:rPr>
        <w:t>to</w:t>
      </w:r>
      <w:r w:rsidR="007A34E5" w:rsidRPr="007A34E5">
        <w:rPr>
          <w:rFonts w:ascii="Times New Roman" w:eastAsia="Times New Roman" w:hAnsi="Times New Roman" w:cs="Times New Roman"/>
          <w:lang w:val="en-US" w:eastAsia="fr-FR"/>
        </w:rPr>
        <w:t xml:space="preserve"> increase </w:t>
      </w:r>
      <w:r w:rsidR="004A7A09">
        <w:rPr>
          <w:rFonts w:ascii="Times New Roman" w:eastAsia="Times New Roman" w:hAnsi="Times New Roman" w:cs="Times New Roman"/>
          <w:lang w:val="en-US" w:eastAsia="fr-FR"/>
        </w:rPr>
        <w:t>their profitability</w:t>
      </w:r>
      <w:r w:rsidR="007A34E5" w:rsidRPr="007A34E5">
        <w:rPr>
          <w:rFonts w:ascii="Times New Roman" w:eastAsia="Times New Roman" w:hAnsi="Times New Roman" w:cs="Times New Roman"/>
          <w:lang w:val="en-US" w:eastAsia="fr-FR"/>
        </w:rPr>
        <w:t xml:space="preserve">. </w:t>
      </w:r>
      <w:proofErr w:type="spellStart"/>
      <w:r w:rsidR="007A34E5" w:rsidRPr="007A34E5">
        <w:rPr>
          <w:rFonts w:ascii="Times New Roman" w:eastAsia="Times New Roman" w:hAnsi="Times New Roman" w:cs="Times New Roman"/>
          <w:lang w:val="en-US" w:eastAsia="fr-FR"/>
        </w:rPr>
        <w:t>Mishkin</w:t>
      </w:r>
      <w:proofErr w:type="spellEnd"/>
      <w:r w:rsidR="007A34E5" w:rsidRPr="007A34E5">
        <w:rPr>
          <w:rFonts w:ascii="Times New Roman" w:eastAsia="Times New Roman" w:hAnsi="Times New Roman" w:cs="Times New Roman"/>
          <w:lang w:val="en-US" w:eastAsia="fr-FR"/>
        </w:rPr>
        <w:t xml:space="preserve"> (1999) shows that a more concentrated banking structure is rewarded by government</w:t>
      </w:r>
      <w:r w:rsidR="004E0545">
        <w:rPr>
          <w:rFonts w:ascii="Times New Roman" w:eastAsia="Times New Roman" w:hAnsi="Times New Roman" w:cs="Times New Roman"/>
          <w:lang w:val="en-US" w:eastAsia="fr-FR"/>
        </w:rPr>
        <w:t xml:space="preserve">, which </w:t>
      </w:r>
      <w:r w:rsidR="007A34E5" w:rsidRPr="007A34E5">
        <w:rPr>
          <w:rFonts w:ascii="Times New Roman" w:eastAsia="Times New Roman" w:hAnsi="Times New Roman" w:cs="Times New Roman"/>
          <w:lang w:val="en-US" w:eastAsia="fr-FR"/>
        </w:rPr>
        <w:t xml:space="preserve">can create </w:t>
      </w:r>
      <w:r w:rsidR="004E0545" w:rsidRPr="007A34E5">
        <w:rPr>
          <w:rFonts w:ascii="Times New Roman" w:eastAsia="Times New Roman" w:hAnsi="Times New Roman" w:cs="Times New Roman"/>
          <w:lang w:val="en-US" w:eastAsia="fr-FR"/>
        </w:rPr>
        <w:t xml:space="preserve">moral hazard </w:t>
      </w:r>
      <w:r w:rsidR="007A34E5" w:rsidRPr="007A34E5">
        <w:rPr>
          <w:rFonts w:ascii="Times New Roman" w:eastAsia="Times New Roman" w:hAnsi="Times New Roman" w:cs="Times New Roman"/>
          <w:lang w:val="en-US" w:eastAsia="fr-FR"/>
        </w:rPr>
        <w:t>problems and encourage</w:t>
      </w:r>
      <w:r w:rsidR="00D966C5">
        <w:rPr>
          <w:rFonts w:ascii="Times New Roman" w:eastAsia="Times New Roman" w:hAnsi="Times New Roman" w:cs="Times New Roman"/>
          <w:lang w:val="en-US" w:eastAsia="fr-FR"/>
        </w:rPr>
        <w:t>s</w:t>
      </w:r>
      <w:r w:rsidR="007A34E5" w:rsidRPr="007A34E5">
        <w:rPr>
          <w:rFonts w:ascii="Times New Roman" w:eastAsia="Times New Roman" w:hAnsi="Times New Roman" w:cs="Times New Roman"/>
          <w:lang w:val="en-US" w:eastAsia="fr-FR"/>
        </w:rPr>
        <w:t xml:space="preserve"> banks to take more risk, and consequently increasing bank fragility.</w:t>
      </w:r>
    </w:p>
    <w:p w:rsidR="00711FFC" w:rsidRPr="00A97510" w:rsidRDefault="00D966C5" w:rsidP="00AC3B76">
      <w:pPr>
        <w:autoSpaceDE w:val="0"/>
        <w:autoSpaceDN w:val="0"/>
        <w:adjustRightInd w:val="0"/>
        <w:spacing w:before="240" w:after="0" w:line="276" w:lineRule="auto"/>
        <w:jc w:val="both"/>
        <w:rPr>
          <w:rFonts w:ascii="Times New Roman" w:hAnsi="Times New Roman" w:cs="Times New Roman"/>
          <w:lang w:val="en-US"/>
        </w:rPr>
      </w:pPr>
      <w:r>
        <w:rPr>
          <w:rFonts w:ascii="Times New Roman" w:hAnsi="Times New Roman" w:cs="Times New Roman"/>
          <w:lang w:val="en-US"/>
        </w:rPr>
        <w:t xml:space="preserve">Tennant </w:t>
      </w:r>
      <w:proofErr w:type="gramStart"/>
      <w:r>
        <w:rPr>
          <w:rFonts w:ascii="Times New Roman" w:hAnsi="Times New Roman" w:cs="Times New Roman"/>
          <w:lang w:val="en-US"/>
        </w:rPr>
        <w:t xml:space="preserve">and </w:t>
      </w:r>
      <w:r w:rsidR="00AF7148" w:rsidRPr="009D6B8C">
        <w:rPr>
          <w:rFonts w:ascii="Times New Roman" w:hAnsi="Times New Roman" w:cs="Times New Roman"/>
          <w:lang w:val="en-US"/>
        </w:rPr>
        <w:t xml:space="preserve"> </w:t>
      </w:r>
      <w:proofErr w:type="spellStart"/>
      <w:r w:rsidR="00AF7148" w:rsidRPr="009D6B8C">
        <w:rPr>
          <w:rFonts w:ascii="Times New Roman" w:hAnsi="Times New Roman" w:cs="Times New Roman"/>
          <w:lang w:val="en-US"/>
        </w:rPr>
        <w:t>Folawewo</w:t>
      </w:r>
      <w:proofErr w:type="spellEnd"/>
      <w:proofErr w:type="gramEnd"/>
      <w:r w:rsidR="00AF7148" w:rsidRPr="009D6B8C">
        <w:rPr>
          <w:rFonts w:ascii="Times New Roman" w:hAnsi="Times New Roman" w:cs="Times New Roman"/>
          <w:lang w:val="en-US"/>
        </w:rPr>
        <w:t xml:space="preserve"> (2008) exploit t</w:t>
      </w:r>
      <w:r w:rsidR="00711FFC" w:rsidRPr="009D6B8C">
        <w:rPr>
          <w:rFonts w:ascii="Times New Roman" w:hAnsi="Times New Roman" w:cs="Times New Roman"/>
          <w:lang w:val="en-US"/>
        </w:rPr>
        <w:t xml:space="preserve">wo indicators to represent financial sector </w:t>
      </w:r>
      <w:r w:rsidR="00AF7148" w:rsidRPr="009D6B8C">
        <w:rPr>
          <w:rFonts w:ascii="Times New Roman" w:hAnsi="Times New Roman" w:cs="Times New Roman"/>
          <w:lang w:val="en-US"/>
        </w:rPr>
        <w:t>development:</w:t>
      </w:r>
      <w:r w:rsidR="00711FFC" w:rsidRPr="009D6B8C">
        <w:rPr>
          <w:rFonts w:ascii="Times New Roman" w:hAnsi="Times New Roman" w:cs="Times New Roman"/>
          <w:lang w:val="en-US"/>
        </w:rPr>
        <w:t xml:space="preserve"> the ratios of M2+ to GDP and bank total asset to GDP. </w:t>
      </w:r>
      <w:r w:rsidR="004C24AA" w:rsidRPr="009D6B8C">
        <w:rPr>
          <w:rFonts w:ascii="Times New Roman" w:hAnsi="Times New Roman" w:cs="Times New Roman"/>
          <w:lang w:val="en-US"/>
        </w:rPr>
        <w:t xml:space="preserve">According to </w:t>
      </w:r>
      <w:r w:rsidR="00B86846">
        <w:rPr>
          <w:rFonts w:ascii="Times New Roman" w:hAnsi="Times New Roman" w:cs="Times New Roman"/>
          <w:lang w:val="en-US"/>
        </w:rPr>
        <w:t>the</w:t>
      </w:r>
      <w:r w:rsidR="00AF7148" w:rsidRPr="009D6B8C">
        <w:rPr>
          <w:rFonts w:ascii="Times New Roman" w:hAnsi="Times New Roman" w:cs="Times New Roman"/>
          <w:lang w:val="en-US"/>
        </w:rPr>
        <w:t xml:space="preserve">se authors, </w:t>
      </w:r>
      <w:r w:rsidR="004C24AA" w:rsidRPr="009D6B8C">
        <w:rPr>
          <w:rFonts w:ascii="Times New Roman" w:hAnsi="Times New Roman" w:cs="Times New Roman"/>
          <w:lang w:val="en-US"/>
        </w:rPr>
        <w:t>t</w:t>
      </w:r>
      <w:r w:rsidR="00711FFC" w:rsidRPr="009D6B8C">
        <w:rPr>
          <w:rFonts w:ascii="Times New Roman" w:hAnsi="Times New Roman" w:cs="Times New Roman"/>
          <w:lang w:val="en-US"/>
        </w:rPr>
        <w:t>he</w:t>
      </w:r>
      <w:r w:rsidR="00B86846">
        <w:rPr>
          <w:rFonts w:ascii="Times New Roman" w:hAnsi="Times New Roman" w:cs="Times New Roman"/>
          <w:lang w:val="en-US"/>
        </w:rPr>
        <w:t xml:space="preserve"> two</w:t>
      </w:r>
      <w:r w:rsidR="00711FFC" w:rsidRPr="009D6B8C">
        <w:rPr>
          <w:rFonts w:ascii="Times New Roman" w:hAnsi="Times New Roman" w:cs="Times New Roman"/>
          <w:lang w:val="en-US"/>
        </w:rPr>
        <w:t xml:space="preserve"> </w:t>
      </w:r>
      <w:r w:rsidR="004C24AA" w:rsidRPr="009D6B8C">
        <w:rPr>
          <w:rFonts w:ascii="Times New Roman" w:hAnsi="Times New Roman" w:cs="Times New Roman"/>
          <w:lang w:val="en-US"/>
        </w:rPr>
        <w:t>ratios</w:t>
      </w:r>
      <w:r w:rsidR="00711FFC" w:rsidRPr="009D6B8C">
        <w:rPr>
          <w:rFonts w:ascii="Times New Roman" w:hAnsi="Times New Roman" w:cs="Times New Roman"/>
          <w:lang w:val="en-US"/>
        </w:rPr>
        <w:t xml:space="preserve"> reflect the level of banking s</w:t>
      </w:r>
      <w:r w:rsidR="004C24AA" w:rsidRPr="009D6B8C">
        <w:rPr>
          <w:rFonts w:ascii="Times New Roman" w:hAnsi="Times New Roman" w:cs="Times New Roman"/>
          <w:lang w:val="en-US"/>
        </w:rPr>
        <w:t>ystem</w:t>
      </w:r>
      <w:r w:rsidR="00711FFC" w:rsidRPr="009D6B8C">
        <w:rPr>
          <w:rFonts w:ascii="Times New Roman" w:hAnsi="Times New Roman" w:cs="Times New Roman"/>
          <w:lang w:val="en-US"/>
        </w:rPr>
        <w:t xml:space="preserve"> </w:t>
      </w:r>
      <w:r w:rsidR="00F3574A" w:rsidRPr="009D6B8C">
        <w:rPr>
          <w:rFonts w:ascii="Times New Roman" w:hAnsi="Times New Roman" w:cs="Times New Roman"/>
          <w:lang w:val="en-US"/>
        </w:rPr>
        <w:t xml:space="preserve">development </w:t>
      </w:r>
      <w:r w:rsidR="00711FFC" w:rsidRPr="009D6B8C">
        <w:rPr>
          <w:rFonts w:ascii="Times New Roman" w:hAnsi="Times New Roman" w:cs="Times New Roman"/>
          <w:lang w:val="en-US"/>
        </w:rPr>
        <w:t>and the level of competition in wel</w:t>
      </w:r>
      <w:r w:rsidR="00AF7148" w:rsidRPr="009D6B8C">
        <w:rPr>
          <w:rFonts w:ascii="Times New Roman" w:hAnsi="Times New Roman" w:cs="Times New Roman"/>
          <w:lang w:val="en-US"/>
        </w:rPr>
        <w:t>l-developed banking sectors. A raise</w:t>
      </w:r>
      <w:r w:rsidR="00711FFC" w:rsidRPr="009D6B8C">
        <w:rPr>
          <w:rFonts w:ascii="Times New Roman" w:hAnsi="Times New Roman" w:cs="Times New Roman"/>
          <w:lang w:val="en-US"/>
        </w:rPr>
        <w:t xml:space="preserve"> </w:t>
      </w:r>
      <w:r w:rsidR="00AF7148" w:rsidRPr="009D6B8C">
        <w:rPr>
          <w:rFonts w:ascii="Times New Roman" w:hAnsi="Times New Roman" w:cs="Times New Roman"/>
          <w:lang w:val="en-US"/>
        </w:rPr>
        <w:t>of</w:t>
      </w:r>
      <w:r w:rsidR="00711FFC" w:rsidRPr="009D6B8C">
        <w:rPr>
          <w:rFonts w:ascii="Times New Roman" w:hAnsi="Times New Roman" w:cs="Times New Roman"/>
          <w:lang w:val="en-US"/>
        </w:rPr>
        <w:t xml:space="preserve"> any of these ratios </w:t>
      </w:r>
      <w:r w:rsidR="007E00D9">
        <w:rPr>
          <w:rFonts w:ascii="Times New Roman" w:hAnsi="Times New Roman" w:cs="Times New Roman"/>
          <w:lang w:val="en-US"/>
        </w:rPr>
        <w:t>indicates</w:t>
      </w:r>
      <w:r w:rsidR="00711FFC" w:rsidRPr="009D6B8C">
        <w:rPr>
          <w:rFonts w:ascii="Times New Roman" w:hAnsi="Times New Roman" w:cs="Times New Roman"/>
          <w:lang w:val="en-US"/>
        </w:rPr>
        <w:t xml:space="preserve"> improvement in the development financial sector. </w:t>
      </w:r>
      <w:proofErr w:type="spellStart"/>
      <w:r w:rsidR="00711FFC" w:rsidRPr="009D6B8C">
        <w:rPr>
          <w:rFonts w:ascii="Times New Roman" w:hAnsi="Times New Roman" w:cs="Times New Roman"/>
          <w:lang w:val="en-US"/>
        </w:rPr>
        <w:t>Ngugi</w:t>
      </w:r>
      <w:proofErr w:type="spellEnd"/>
      <w:r w:rsidR="00711FFC" w:rsidRPr="009D6B8C">
        <w:rPr>
          <w:rFonts w:ascii="Times New Roman" w:hAnsi="Times New Roman" w:cs="Times New Roman"/>
          <w:lang w:val="en-US"/>
        </w:rPr>
        <w:t xml:space="preserve"> (2001)</w:t>
      </w:r>
      <w:r w:rsidR="004C24AA" w:rsidRPr="009D6B8C">
        <w:rPr>
          <w:rFonts w:ascii="Times New Roman" w:hAnsi="Times New Roman" w:cs="Times New Roman"/>
          <w:lang w:val="en-US"/>
        </w:rPr>
        <w:t xml:space="preserve"> suggests that</w:t>
      </w:r>
      <w:r w:rsidR="00711FFC" w:rsidRPr="009D6B8C">
        <w:rPr>
          <w:rFonts w:ascii="Times New Roman" w:hAnsi="Times New Roman" w:cs="Times New Roman"/>
          <w:lang w:val="en-US"/>
        </w:rPr>
        <w:t xml:space="preserve"> </w:t>
      </w:r>
      <w:r w:rsidR="007E00D9">
        <w:rPr>
          <w:rFonts w:ascii="Times New Roman" w:hAnsi="Times New Roman" w:cs="Times New Roman"/>
          <w:lang w:val="en-US"/>
        </w:rPr>
        <w:t xml:space="preserve">an </w:t>
      </w:r>
      <w:r w:rsidR="00711FFC" w:rsidRPr="009D6B8C">
        <w:rPr>
          <w:rFonts w:ascii="Times New Roman" w:hAnsi="Times New Roman" w:cs="Times New Roman"/>
          <w:lang w:val="en-US"/>
        </w:rPr>
        <w:t>inefficien</w:t>
      </w:r>
      <w:r w:rsidR="007E00D9">
        <w:rPr>
          <w:rFonts w:ascii="Times New Roman" w:hAnsi="Times New Roman" w:cs="Times New Roman"/>
          <w:lang w:val="en-US"/>
        </w:rPr>
        <w:t>t</w:t>
      </w:r>
      <w:r w:rsidR="00711FFC" w:rsidRPr="009D6B8C">
        <w:rPr>
          <w:rFonts w:ascii="Times New Roman" w:hAnsi="Times New Roman" w:cs="Times New Roman"/>
          <w:lang w:val="en-US"/>
        </w:rPr>
        <w:t xml:space="preserve"> intermediation process </w:t>
      </w:r>
      <w:r w:rsidR="007E00D9">
        <w:rPr>
          <w:rFonts w:ascii="Times New Roman" w:hAnsi="Times New Roman" w:cs="Times New Roman"/>
          <w:lang w:val="en-US"/>
        </w:rPr>
        <w:t>reveals</w:t>
      </w:r>
      <w:r w:rsidR="00711FFC" w:rsidRPr="009D6B8C">
        <w:rPr>
          <w:rFonts w:ascii="Times New Roman" w:hAnsi="Times New Roman" w:cs="Times New Roman"/>
          <w:lang w:val="en-US"/>
        </w:rPr>
        <w:t xml:space="preserve"> a repressed financial system. This is because</w:t>
      </w:r>
      <w:r w:rsidR="00D85AA5">
        <w:rPr>
          <w:rFonts w:ascii="Times New Roman" w:hAnsi="Times New Roman" w:cs="Times New Roman"/>
          <w:lang w:val="en-US"/>
        </w:rPr>
        <w:t xml:space="preserve"> </w:t>
      </w:r>
      <w:r w:rsidR="00711FFC" w:rsidRPr="009D6B8C">
        <w:rPr>
          <w:rFonts w:ascii="Times New Roman" w:hAnsi="Times New Roman" w:cs="Times New Roman"/>
          <w:lang w:val="en-US"/>
        </w:rPr>
        <w:t xml:space="preserve">selective credit policies </w:t>
      </w:r>
      <w:r w:rsidR="007E00D9" w:rsidRPr="009D6B8C">
        <w:rPr>
          <w:rFonts w:ascii="Times New Roman" w:hAnsi="Times New Roman" w:cs="Times New Roman"/>
          <w:lang w:val="en-US"/>
        </w:rPr>
        <w:t>engage</w:t>
      </w:r>
      <w:r w:rsidR="00711FFC" w:rsidRPr="009D6B8C">
        <w:rPr>
          <w:rFonts w:ascii="Times New Roman" w:hAnsi="Times New Roman" w:cs="Times New Roman"/>
          <w:lang w:val="en-US"/>
        </w:rPr>
        <w:t xml:space="preserve"> </w:t>
      </w:r>
      <w:r w:rsidR="007E00D9" w:rsidRPr="009D6B8C">
        <w:rPr>
          <w:rFonts w:ascii="Times New Roman" w:hAnsi="Times New Roman" w:cs="Times New Roman"/>
          <w:lang w:val="en-US"/>
        </w:rPr>
        <w:t>considerable</w:t>
      </w:r>
      <w:r w:rsidR="009D477D">
        <w:rPr>
          <w:rFonts w:ascii="Times New Roman" w:hAnsi="Times New Roman" w:cs="Times New Roman"/>
          <w:lang w:val="en-US"/>
        </w:rPr>
        <w:t xml:space="preserve"> administrative costs</w:t>
      </w:r>
      <w:r w:rsidR="00711FFC" w:rsidRPr="009D6B8C">
        <w:rPr>
          <w:rFonts w:ascii="Times New Roman" w:hAnsi="Times New Roman" w:cs="Times New Roman"/>
          <w:lang w:val="en-US"/>
        </w:rPr>
        <w:t xml:space="preserve"> and interest rates to reflect the true cost of capital.</w:t>
      </w:r>
    </w:p>
    <w:p w:rsidR="00217488" w:rsidRDefault="00217488" w:rsidP="00AC3B76">
      <w:pPr>
        <w:autoSpaceDE w:val="0"/>
        <w:autoSpaceDN w:val="0"/>
        <w:adjustRightInd w:val="0"/>
        <w:spacing w:before="240" w:line="276" w:lineRule="auto"/>
        <w:jc w:val="both"/>
        <w:rPr>
          <w:b/>
          <w:color w:val="000000"/>
          <w:lang w:val="en-US"/>
        </w:rPr>
      </w:pPr>
      <w:r w:rsidRPr="006416E5">
        <w:rPr>
          <w:b/>
          <w:color w:val="000000"/>
          <w:lang w:val="en-US"/>
        </w:rPr>
        <w:t>2.</w:t>
      </w:r>
      <w:r>
        <w:rPr>
          <w:b/>
          <w:color w:val="000000"/>
          <w:lang w:val="en-US"/>
        </w:rPr>
        <w:t>3</w:t>
      </w:r>
      <w:r w:rsidRPr="006416E5">
        <w:rPr>
          <w:b/>
          <w:color w:val="000000"/>
          <w:lang w:val="en-US"/>
        </w:rPr>
        <w:t>. Bank’s specific factors</w:t>
      </w:r>
    </w:p>
    <w:p w:rsidR="0074528D" w:rsidRPr="00DF23F5" w:rsidRDefault="00960BDF" w:rsidP="00AC3B76">
      <w:pPr>
        <w:autoSpaceDE w:val="0"/>
        <w:autoSpaceDN w:val="0"/>
        <w:adjustRightInd w:val="0"/>
        <w:spacing w:before="240" w:after="0" w:line="276" w:lineRule="auto"/>
        <w:jc w:val="both"/>
        <w:rPr>
          <w:rFonts w:ascii="Times New Roman" w:hAnsi="Times New Roman" w:cs="Times New Roman"/>
          <w:lang w:val="en-US"/>
        </w:rPr>
      </w:pPr>
      <w:r w:rsidRPr="00960BDF">
        <w:rPr>
          <w:rFonts w:ascii="Times New Roman" w:hAnsi="Times New Roman" w:cs="Times New Roman"/>
          <w:lang w:val="en-US"/>
        </w:rPr>
        <w:t xml:space="preserve">Bank credit </w:t>
      </w:r>
      <w:r w:rsidR="00CD7D90">
        <w:rPr>
          <w:rFonts w:ascii="Times New Roman" w:hAnsi="Times New Roman" w:cs="Times New Roman"/>
          <w:lang w:val="en-US"/>
        </w:rPr>
        <w:t>risk</w:t>
      </w:r>
      <w:r w:rsidR="00A518BB" w:rsidRPr="00960BDF">
        <w:rPr>
          <w:rFonts w:ascii="Times New Roman" w:hAnsi="Times New Roman" w:cs="Times New Roman"/>
          <w:lang w:val="en-US"/>
        </w:rPr>
        <w:t xml:space="preserve"> may also arise due to internal weaknesses in a financial institution. Existing literature identifies </w:t>
      </w:r>
      <w:r w:rsidRPr="00960BDF">
        <w:rPr>
          <w:rFonts w:ascii="Times New Roman" w:hAnsi="Times New Roman" w:cs="Times New Roman"/>
          <w:lang w:val="en-US"/>
        </w:rPr>
        <w:t>numerous</w:t>
      </w:r>
      <w:r w:rsidR="00A518BB" w:rsidRPr="00960BDF">
        <w:rPr>
          <w:rFonts w:ascii="Times New Roman" w:hAnsi="Times New Roman" w:cs="Times New Roman"/>
          <w:lang w:val="en-US"/>
        </w:rPr>
        <w:t xml:space="preserve"> bank-specific factors that </w:t>
      </w:r>
      <w:r w:rsidRPr="00960BDF">
        <w:rPr>
          <w:rFonts w:ascii="Times New Roman" w:hAnsi="Times New Roman" w:cs="Times New Roman"/>
          <w:lang w:val="en-US"/>
        </w:rPr>
        <w:t xml:space="preserve">may </w:t>
      </w:r>
      <w:r w:rsidR="00A518BB" w:rsidRPr="00960BDF">
        <w:rPr>
          <w:rFonts w:ascii="Times New Roman" w:hAnsi="Times New Roman" w:cs="Times New Roman"/>
          <w:lang w:val="en-US"/>
        </w:rPr>
        <w:t>impact credit risk</w:t>
      </w:r>
      <w:r w:rsidRPr="00960BDF">
        <w:rPr>
          <w:rFonts w:ascii="Times New Roman" w:hAnsi="Times New Roman" w:cs="Times New Roman"/>
          <w:lang w:val="en-US"/>
        </w:rPr>
        <w:t>:</w:t>
      </w:r>
      <w:r w:rsidR="00A518BB" w:rsidRPr="00960BDF">
        <w:rPr>
          <w:rFonts w:ascii="Times New Roman" w:hAnsi="Times New Roman" w:cs="Times New Roman"/>
          <w:lang w:val="en-US"/>
        </w:rPr>
        <w:t xml:space="preserve"> </w:t>
      </w:r>
      <w:r w:rsidRPr="00960BDF">
        <w:rPr>
          <w:rFonts w:ascii="Times New Roman" w:hAnsi="Times New Roman" w:cs="Times New Roman"/>
          <w:lang w:val="en-US"/>
        </w:rPr>
        <w:t xml:space="preserve">bank profitability, </w:t>
      </w:r>
      <w:r w:rsidR="00CD7D90" w:rsidRPr="00960BDF">
        <w:rPr>
          <w:rFonts w:ascii="Times New Roman" w:hAnsi="Times New Roman" w:cs="Times New Roman"/>
          <w:lang w:val="en-US"/>
        </w:rPr>
        <w:t xml:space="preserve">bank size, </w:t>
      </w:r>
      <w:r w:rsidRPr="00960BDF">
        <w:rPr>
          <w:rFonts w:ascii="Times New Roman" w:hAnsi="Times New Roman" w:cs="Times New Roman"/>
          <w:lang w:val="en-US"/>
        </w:rPr>
        <w:t xml:space="preserve">efficiency of management, </w:t>
      </w:r>
      <w:r w:rsidR="00A518BB" w:rsidRPr="00960BDF">
        <w:rPr>
          <w:rFonts w:ascii="Times New Roman" w:hAnsi="Times New Roman" w:cs="Times New Roman"/>
          <w:lang w:val="en-US"/>
        </w:rPr>
        <w:t>bank</w:t>
      </w:r>
      <w:r w:rsidRPr="00960BDF">
        <w:rPr>
          <w:rFonts w:ascii="Times New Roman" w:hAnsi="Times New Roman" w:cs="Times New Roman"/>
          <w:lang w:val="en-US"/>
        </w:rPr>
        <w:t xml:space="preserve"> ownership structure</w:t>
      </w:r>
      <w:r w:rsidR="00A518BB" w:rsidRPr="00960BDF">
        <w:rPr>
          <w:rFonts w:ascii="Times New Roman" w:hAnsi="Times New Roman" w:cs="Times New Roman"/>
          <w:lang w:val="en-US"/>
        </w:rPr>
        <w:t>, deposit composition and quality, asset</w:t>
      </w:r>
      <w:r w:rsidR="00DF23F5">
        <w:rPr>
          <w:rFonts w:ascii="Times New Roman" w:hAnsi="Times New Roman" w:cs="Times New Roman"/>
          <w:lang w:val="en-US"/>
        </w:rPr>
        <w:t xml:space="preserve"> </w:t>
      </w:r>
      <w:r w:rsidR="00A518BB" w:rsidRPr="00960BDF">
        <w:rPr>
          <w:rFonts w:ascii="Times New Roman" w:hAnsi="Times New Roman" w:cs="Times New Roman"/>
          <w:lang w:val="en-US"/>
        </w:rPr>
        <w:t xml:space="preserve">quality, capital and bank reserve requirement. </w:t>
      </w:r>
    </w:p>
    <w:p w:rsidR="00361387" w:rsidRPr="004F7028" w:rsidRDefault="008F2880" w:rsidP="00AC3B76">
      <w:pPr>
        <w:spacing w:before="240" w:after="0" w:line="276" w:lineRule="auto"/>
        <w:jc w:val="both"/>
        <w:rPr>
          <w:rFonts w:ascii="Times New Roman" w:eastAsia="Times New Roman" w:hAnsi="Times New Roman" w:cs="Times New Roman"/>
          <w:lang w:val="en-US" w:eastAsia="fr-FR"/>
        </w:rPr>
      </w:pPr>
      <w:r w:rsidRPr="00DF23F5">
        <w:rPr>
          <w:rFonts w:ascii="Times New Roman" w:eastAsia="Times New Roman" w:hAnsi="Times New Roman" w:cs="Times New Roman"/>
          <w:lang w:val="en-US" w:eastAsia="fr-FR"/>
        </w:rPr>
        <w:t xml:space="preserve">Theoretically there is a </w:t>
      </w:r>
      <w:r w:rsidRPr="00625D7F">
        <w:rPr>
          <w:rFonts w:ascii="Times New Roman" w:eastAsia="Times New Roman" w:hAnsi="Times New Roman" w:cs="Times New Roman"/>
          <w:lang w:val="en-US" w:eastAsia="fr-FR"/>
        </w:rPr>
        <w:t>negative relationship betw</w:t>
      </w:r>
      <w:r w:rsidRPr="00DF23F5">
        <w:rPr>
          <w:rFonts w:ascii="Times New Roman" w:eastAsia="Times New Roman" w:hAnsi="Times New Roman" w:cs="Times New Roman"/>
          <w:lang w:val="en-US" w:eastAsia="fr-FR"/>
        </w:rPr>
        <w:t xml:space="preserve">een bank size and credit risk taking. Such a </w:t>
      </w:r>
      <w:r w:rsidRPr="00625D7F">
        <w:rPr>
          <w:rFonts w:ascii="Times New Roman" w:eastAsia="Times New Roman" w:hAnsi="Times New Roman" w:cs="Times New Roman"/>
          <w:lang w:val="en-US" w:eastAsia="fr-FR"/>
        </w:rPr>
        <w:t>relationship</w:t>
      </w:r>
      <w:r w:rsidRPr="00DF23F5">
        <w:rPr>
          <w:rFonts w:ascii="Times New Roman" w:eastAsia="Times New Roman" w:hAnsi="Times New Roman" w:cs="Times New Roman"/>
          <w:lang w:val="en-US" w:eastAsia="fr-FR"/>
        </w:rPr>
        <w:t xml:space="preserve"> can be</w:t>
      </w:r>
      <w:r w:rsidRPr="00625D7F">
        <w:rPr>
          <w:rFonts w:ascii="Times New Roman" w:eastAsia="Times New Roman" w:hAnsi="Times New Roman" w:cs="Times New Roman"/>
          <w:lang w:val="en-US" w:eastAsia="fr-FR"/>
        </w:rPr>
        <w:t xml:space="preserve"> justified by the </w:t>
      </w:r>
      <w:r w:rsidRPr="00DF23F5">
        <w:rPr>
          <w:rFonts w:ascii="Times New Roman" w:eastAsia="Times New Roman" w:hAnsi="Times New Roman" w:cs="Times New Roman"/>
          <w:lang w:val="en-US" w:eastAsia="fr-FR"/>
        </w:rPr>
        <w:t>fact</w:t>
      </w:r>
      <w:r w:rsidRPr="00625D7F">
        <w:rPr>
          <w:rFonts w:ascii="Times New Roman" w:eastAsia="Times New Roman" w:hAnsi="Times New Roman" w:cs="Times New Roman"/>
          <w:lang w:val="en-US" w:eastAsia="fr-FR"/>
        </w:rPr>
        <w:t xml:space="preserve"> that larger banks have the capability of holding more diversifiable portfolios</w:t>
      </w:r>
      <w:r w:rsidRPr="00DF23F5">
        <w:rPr>
          <w:rFonts w:ascii="Times New Roman" w:eastAsia="Times New Roman" w:hAnsi="Times New Roman" w:cs="Times New Roman"/>
          <w:lang w:val="en-US" w:eastAsia="fr-FR"/>
        </w:rPr>
        <w:t xml:space="preserve">. Then larger banks </w:t>
      </w:r>
      <w:r w:rsidRPr="00625D7F">
        <w:rPr>
          <w:rFonts w:ascii="Times New Roman" w:eastAsia="Times New Roman" w:hAnsi="Times New Roman" w:cs="Times New Roman"/>
          <w:lang w:val="en-US" w:eastAsia="fr-FR"/>
        </w:rPr>
        <w:t xml:space="preserve">are expected to have lower risks. Natural </w:t>
      </w:r>
      <w:r w:rsidR="001F7A82" w:rsidRPr="00DF23F5">
        <w:rPr>
          <w:rFonts w:ascii="Times New Roman" w:eastAsia="Times New Roman" w:hAnsi="Times New Roman" w:cs="Times New Roman"/>
          <w:lang w:val="en-US" w:eastAsia="fr-FR"/>
        </w:rPr>
        <w:t>logarithm of total assets has</w:t>
      </w:r>
      <w:r w:rsidRPr="00625D7F">
        <w:rPr>
          <w:rFonts w:ascii="Times New Roman" w:eastAsia="Times New Roman" w:hAnsi="Times New Roman" w:cs="Times New Roman"/>
          <w:lang w:val="en-US" w:eastAsia="fr-FR"/>
        </w:rPr>
        <w:t xml:space="preserve"> been used as</w:t>
      </w:r>
      <w:r w:rsidRPr="00DF23F5">
        <w:rPr>
          <w:rFonts w:ascii="Times New Roman" w:eastAsia="Times New Roman" w:hAnsi="Times New Roman" w:cs="Times New Roman"/>
          <w:lang w:val="en-US" w:eastAsia="fr-FR"/>
        </w:rPr>
        <w:t xml:space="preserve"> </w:t>
      </w:r>
      <w:r w:rsidR="00AC70F6">
        <w:rPr>
          <w:rFonts w:ascii="Times New Roman" w:eastAsia="Times New Roman" w:hAnsi="Times New Roman" w:cs="Times New Roman"/>
          <w:lang w:val="en-US" w:eastAsia="fr-FR"/>
        </w:rPr>
        <w:t xml:space="preserve">an indicator of </w:t>
      </w:r>
      <w:r w:rsidRPr="00625D7F">
        <w:rPr>
          <w:rFonts w:ascii="Times New Roman" w:eastAsia="Times New Roman" w:hAnsi="Times New Roman" w:cs="Times New Roman"/>
          <w:lang w:val="en-US" w:eastAsia="fr-FR"/>
        </w:rPr>
        <w:t xml:space="preserve">bank size in </w:t>
      </w:r>
      <w:r w:rsidR="00680180">
        <w:rPr>
          <w:rFonts w:ascii="Times New Roman" w:eastAsia="Times New Roman" w:hAnsi="Times New Roman" w:cs="Times New Roman"/>
          <w:lang w:val="en-US" w:eastAsia="fr-FR"/>
        </w:rPr>
        <w:t>a large body of literature</w:t>
      </w:r>
      <w:r w:rsidRPr="00DF23F5">
        <w:rPr>
          <w:rFonts w:ascii="Times New Roman" w:eastAsia="Times New Roman" w:hAnsi="Times New Roman" w:cs="Times New Roman"/>
          <w:lang w:val="en-US" w:eastAsia="fr-FR"/>
        </w:rPr>
        <w:t>.</w:t>
      </w:r>
      <w:r w:rsidRPr="00625D7F">
        <w:rPr>
          <w:rFonts w:ascii="Times New Roman" w:eastAsia="Times New Roman" w:hAnsi="Times New Roman" w:cs="Times New Roman"/>
          <w:lang w:val="en-US" w:eastAsia="fr-FR"/>
        </w:rPr>
        <w:t xml:space="preserve"> </w:t>
      </w:r>
      <w:r w:rsidRPr="00DF23F5">
        <w:rPr>
          <w:rFonts w:ascii="Times New Roman" w:eastAsia="Times New Roman" w:hAnsi="Times New Roman" w:cs="Times New Roman"/>
          <w:lang w:val="en-US" w:eastAsia="fr-FR"/>
        </w:rPr>
        <w:t xml:space="preserve"> </w:t>
      </w:r>
      <w:r w:rsidR="00680180">
        <w:rPr>
          <w:rFonts w:ascii="Times New Roman" w:eastAsia="Times New Roman" w:hAnsi="Times New Roman" w:cs="Times New Roman"/>
          <w:lang w:val="en-US" w:eastAsia="fr-FR"/>
        </w:rPr>
        <w:t xml:space="preserve">Considering </w:t>
      </w:r>
      <w:r w:rsidR="00680180" w:rsidRPr="00DF23F5">
        <w:rPr>
          <w:rFonts w:ascii="Times New Roman" w:eastAsia="Times New Roman" w:hAnsi="Times New Roman" w:cs="Times New Roman"/>
          <w:lang w:val="en-US" w:eastAsia="fr-FR"/>
        </w:rPr>
        <w:t>this</w:t>
      </w:r>
      <w:r w:rsidRPr="00DF23F5">
        <w:rPr>
          <w:rFonts w:ascii="Times New Roman" w:eastAsia="Times New Roman" w:hAnsi="Times New Roman" w:cs="Times New Roman"/>
          <w:lang w:val="en-US" w:eastAsia="fr-FR"/>
        </w:rPr>
        <w:t xml:space="preserve"> last proxy,</w:t>
      </w:r>
      <w:r w:rsidR="00DF23F5" w:rsidRPr="00DF23F5">
        <w:rPr>
          <w:rFonts w:ascii="Times New Roman" w:eastAsia="Times New Roman" w:hAnsi="Times New Roman" w:cs="Times New Roman"/>
          <w:lang w:val="en-US" w:eastAsia="fr-FR"/>
        </w:rPr>
        <w:t xml:space="preserve"> major </w:t>
      </w:r>
      <w:r w:rsidR="00625D7F" w:rsidRPr="00625D7F">
        <w:rPr>
          <w:rFonts w:ascii="Times New Roman" w:eastAsia="Times New Roman" w:hAnsi="Times New Roman" w:cs="Times New Roman"/>
          <w:lang w:val="en-US" w:eastAsia="fr-FR"/>
        </w:rPr>
        <w:t xml:space="preserve">studies report a negative </w:t>
      </w:r>
      <w:r w:rsidR="00680180" w:rsidRPr="00625D7F">
        <w:rPr>
          <w:rFonts w:ascii="Times New Roman" w:eastAsia="Times New Roman" w:hAnsi="Times New Roman" w:cs="Times New Roman"/>
          <w:lang w:val="en-US" w:eastAsia="fr-FR"/>
        </w:rPr>
        <w:t>relationship</w:t>
      </w:r>
      <w:r w:rsidR="00625D7F" w:rsidRPr="00625D7F">
        <w:rPr>
          <w:rFonts w:ascii="Times New Roman" w:eastAsia="Times New Roman" w:hAnsi="Times New Roman" w:cs="Times New Roman"/>
          <w:lang w:val="en-US" w:eastAsia="fr-FR"/>
        </w:rPr>
        <w:t xml:space="preserve"> between </w:t>
      </w:r>
      <w:r w:rsidR="00680180" w:rsidRPr="00625D7F">
        <w:rPr>
          <w:rFonts w:ascii="Times New Roman" w:eastAsia="Times New Roman" w:hAnsi="Times New Roman" w:cs="Times New Roman"/>
          <w:lang w:val="en-US" w:eastAsia="fr-FR"/>
        </w:rPr>
        <w:t xml:space="preserve">bank size </w:t>
      </w:r>
      <w:r w:rsidR="00625D7F" w:rsidRPr="00625D7F">
        <w:rPr>
          <w:rFonts w:ascii="Times New Roman" w:eastAsia="Times New Roman" w:hAnsi="Times New Roman" w:cs="Times New Roman"/>
          <w:lang w:val="en-US" w:eastAsia="fr-FR"/>
        </w:rPr>
        <w:t>and</w:t>
      </w:r>
      <w:r w:rsidR="00680180" w:rsidRPr="00680180">
        <w:rPr>
          <w:rFonts w:ascii="Times New Roman" w:eastAsia="Times New Roman" w:hAnsi="Times New Roman" w:cs="Times New Roman"/>
          <w:lang w:val="en-US" w:eastAsia="fr-FR"/>
        </w:rPr>
        <w:t xml:space="preserve"> </w:t>
      </w:r>
      <w:r w:rsidR="00680180" w:rsidRPr="00625D7F">
        <w:rPr>
          <w:rFonts w:ascii="Times New Roman" w:eastAsia="Times New Roman" w:hAnsi="Times New Roman" w:cs="Times New Roman"/>
          <w:lang w:val="en-US" w:eastAsia="fr-FR"/>
        </w:rPr>
        <w:t>credit risk</w:t>
      </w:r>
      <w:r w:rsidR="00960BDF" w:rsidRPr="00DF23F5">
        <w:rPr>
          <w:rFonts w:ascii="Times New Roman" w:eastAsia="Times New Roman" w:hAnsi="Times New Roman" w:cs="Times New Roman"/>
          <w:lang w:val="en-US" w:eastAsia="fr-FR"/>
        </w:rPr>
        <w:t>.</w:t>
      </w:r>
      <w:r w:rsidR="00625D7F" w:rsidRPr="00625D7F">
        <w:rPr>
          <w:rFonts w:ascii="Times New Roman" w:eastAsia="Times New Roman" w:hAnsi="Times New Roman" w:cs="Times New Roman"/>
          <w:lang w:val="en-US" w:eastAsia="fr-FR"/>
        </w:rPr>
        <w:t xml:space="preserve"> Saunders et al. (1990), Chen et al. (1998), </w:t>
      </w:r>
      <w:proofErr w:type="spellStart"/>
      <w:r w:rsidR="00625D7F" w:rsidRPr="00625D7F">
        <w:rPr>
          <w:rFonts w:ascii="Times New Roman" w:eastAsia="Times New Roman" w:hAnsi="Times New Roman" w:cs="Times New Roman"/>
          <w:lang w:val="en-US" w:eastAsia="fr-FR"/>
        </w:rPr>
        <w:t>Cebenoyan</w:t>
      </w:r>
      <w:proofErr w:type="spellEnd"/>
      <w:r w:rsidR="00625D7F" w:rsidRPr="00625D7F">
        <w:rPr>
          <w:rFonts w:ascii="Times New Roman" w:eastAsia="Times New Roman" w:hAnsi="Times New Roman" w:cs="Times New Roman"/>
          <w:lang w:val="en-US" w:eastAsia="fr-FR"/>
        </w:rPr>
        <w:t xml:space="preserve"> et al. (1999)</w:t>
      </w:r>
      <w:r w:rsidR="00960BDF" w:rsidRPr="00DF23F5">
        <w:rPr>
          <w:rFonts w:ascii="Times New Roman" w:eastAsia="Times New Roman" w:hAnsi="Times New Roman" w:cs="Times New Roman"/>
          <w:lang w:val="en-US" w:eastAsia="fr-FR"/>
        </w:rPr>
        <w:t>,</w:t>
      </w:r>
      <w:r w:rsidR="00625D7F" w:rsidRPr="00625D7F">
        <w:rPr>
          <w:rFonts w:ascii="Times New Roman" w:eastAsia="Times New Roman" w:hAnsi="Times New Roman" w:cs="Times New Roman"/>
          <w:lang w:val="en-US" w:eastAsia="fr-FR"/>
        </w:rPr>
        <w:t xml:space="preserve"> </w:t>
      </w:r>
      <w:proofErr w:type="spellStart"/>
      <w:r w:rsidR="00960BDF" w:rsidRPr="00DF23F5">
        <w:rPr>
          <w:rFonts w:ascii="Times New Roman" w:eastAsia="Times New Roman" w:hAnsi="Times New Roman" w:cs="Times New Roman"/>
          <w:lang w:val="en-US" w:eastAsia="fr-FR"/>
        </w:rPr>
        <w:t>Megginson</w:t>
      </w:r>
      <w:proofErr w:type="spellEnd"/>
      <w:r w:rsidR="00960BDF" w:rsidRPr="00DF23F5">
        <w:rPr>
          <w:rFonts w:ascii="Times New Roman" w:eastAsia="Times New Roman" w:hAnsi="Times New Roman" w:cs="Times New Roman"/>
          <w:lang w:val="en-US" w:eastAsia="fr-FR"/>
        </w:rPr>
        <w:t xml:space="preserve"> (2005)</w:t>
      </w:r>
      <w:r w:rsidRPr="00DF23F5">
        <w:rPr>
          <w:rFonts w:ascii="Times New Roman" w:eastAsia="Times New Roman" w:hAnsi="Times New Roman" w:cs="Times New Roman"/>
          <w:lang w:val="en-US" w:eastAsia="fr-FR"/>
        </w:rPr>
        <w:t>,</w:t>
      </w:r>
      <w:r w:rsidR="00625D7F" w:rsidRPr="00625D7F">
        <w:rPr>
          <w:rFonts w:ascii="Times New Roman" w:eastAsia="Times New Roman" w:hAnsi="Times New Roman" w:cs="Times New Roman"/>
          <w:lang w:val="en-US" w:eastAsia="fr-FR"/>
        </w:rPr>
        <w:t xml:space="preserve"> Salas</w:t>
      </w:r>
      <w:r w:rsidR="00625D7F" w:rsidRPr="00DF23F5">
        <w:rPr>
          <w:rFonts w:ascii="Times New Roman" w:eastAsia="Times New Roman" w:hAnsi="Times New Roman" w:cs="Times New Roman"/>
          <w:lang w:val="en-US" w:eastAsia="fr-FR"/>
        </w:rPr>
        <w:t xml:space="preserve"> </w:t>
      </w:r>
      <w:r w:rsidR="00C379B6">
        <w:rPr>
          <w:rFonts w:ascii="Times New Roman" w:eastAsia="Times New Roman" w:hAnsi="Times New Roman" w:cs="Times New Roman"/>
          <w:lang w:val="en-US" w:eastAsia="fr-FR"/>
        </w:rPr>
        <w:t xml:space="preserve">and </w:t>
      </w:r>
      <w:proofErr w:type="spellStart"/>
      <w:r w:rsidR="00C379B6">
        <w:rPr>
          <w:rFonts w:ascii="Times New Roman" w:eastAsia="Times New Roman" w:hAnsi="Times New Roman" w:cs="Times New Roman"/>
          <w:lang w:val="en-US" w:eastAsia="fr-FR"/>
        </w:rPr>
        <w:t>Saurina</w:t>
      </w:r>
      <w:proofErr w:type="spellEnd"/>
      <w:r w:rsidRPr="00DF23F5">
        <w:rPr>
          <w:rFonts w:ascii="Times New Roman" w:eastAsia="Times New Roman" w:hAnsi="Times New Roman" w:cs="Times New Roman"/>
          <w:lang w:val="en-US" w:eastAsia="fr-FR"/>
        </w:rPr>
        <w:t xml:space="preserve"> (2002)</w:t>
      </w:r>
      <w:r w:rsidR="00625D7F" w:rsidRPr="00625D7F">
        <w:rPr>
          <w:rFonts w:ascii="Times New Roman" w:eastAsia="Times New Roman" w:hAnsi="Times New Roman" w:cs="Times New Roman"/>
          <w:lang w:val="en-US" w:eastAsia="fr-FR"/>
        </w:rPr>
        <w:t xml:space="preserve"> </w:t>
      </w:r>
      <w:r w:rsidRPr="00625D7F">
        <w:rPr>
          <w:rFonts w:ascii="Times New Roman" w:eastAsia="Times New Roman" w:hAnsi="Times New Roman" w:cs="Times New Roman"/>
          <w:lang w:val="en-US" w:eastAsia="fr-FR"/>
        </w:rPr>
        <w:t>and</w:t>
      </w:r>
      <w:r w:rsidRPr="00DF23F5">
        <w:rPr>
          <w:rFonts w:ascii="Times New Roman" w:eastAsia="Times New Roman" w:hAnsi="Times New Roman" w:cs="Times New Roman"/>
          <w:lang w:val="en-US" w:eastAsia="fr-FR"/>
        </w:rPr>
        <w:t xml:space="preserve"> </w:t>
      </w:r>
      <w:proofErr w:type="spellStart"/>
      <w:r w:rsidR="00625D7F" w:rsidRPr="00625D7F">
        <w:rPr>
          <w:rFonts w:ascii="Times New Roman" w:eastAsia="Times New Roman" w:hAnsi="Times New Roman" w:cs="Times New Roman"/>
          <w:lang w:val="en-US" w:eastAsia="fr-FR"/>
        </w:rPr>
        <w:t>Hu</w:t>
      </w:r>
      <w:proofErr w:type="spellEnd"/>
      <w:r w:rsidR="00625D7F" w:rsidRPr="00625D7F">
        <w:rPr>
          <w:rFonts w:ascii="Times New Roman" w:eastAsia="Times New Roman" w:hAnsi="Times New Roman" w:cs="Times New Roman"/>
          <w:lang w:val="en-US" w:eastAsia="fr-FR"/>
        </w:rPr>
        <w:t xml:space="preserve"> et al (2006)</w:t>
      </w:r>
      <w:r w:rsidR="00960BDF" w:rsidRPr="00DF23F5">
        <w:rPr>
          <w:rFonts w:ascii="Times New Roman" w:eastAsia="Times New Roman" w:hAnsi="Times New Roman" w:cs="Times New Roman"/>
          <w:lang w:val="en-US" w:eastAsia="fr-FR"/>
        </w:rPr>
        <w:t xml:space="preserve"> </w:t>
      </w:r>
      <w:r w:rsidRPr="00DF23F5">
        <w:rPr>
          <w:rFonts w:ascii="Times New Roman" w:eastAsia="Times New Roman" w:hAnsi="Times New Roman" w:cs="Times New Roman"/>
          <w:lang w:val="en-US" w:eastAsia="fr-FR"/>
        </w:rPr>
        <w:t>illustrate</w:t>
      </w:r>
      <w:r w:rsidR="00625D7F" w:rsidRPr="00625D7F">
        <w:rPr>
          <w:rFonts w:ascii="Times New Roman" w:eastAsia="Times New Roman" w:hAnsi="Times New Roman" w:cs="Times New Roman"/>
          <w:lang w:val="en-US" w:eastAsia="fr-FR"/>
        </w:rPr>
        <w:t xml:space="preserve"> the inverse relationship</w:t>
      </w:r>
      <w:r w:rsidRPr="00DF23F5">
        <w:rPr>
          <w:rFonts w:ascii="Times New Roman" w:eastAsia="Times New Roman" w:hAnsi="Times New Roman" w:cs="Times New Roman"/>
          <w:lang w:val="en-US" w:eastAsia="fr-FR"/>
        </w:rPr>
        <w:t>. Their finding</w:t>
      </w:r>
      <w:r w:rsidR="00625D7F" w:rsidRPr="00625D7F">
        <w:rPr>
          <w:rFonts w:ascii="Times New Roman" w:eastAsia="Times New Roman" w:hAnsi="Times New Roman" w:cs="Times New Roman"/>
          <w:lang w:val="en-US" w:eastAsia="fr-FR"/>
        </w:rPr>
        <w:t xml:space="preserve"> means that large banks have better risk management strategies that </w:t>
      </w:r>
      <w:r w:rsidRPr="00DF23F5">
        <w:rPr>
          <w:rFonts w:ascii="Times New Roman" w:eastAsia="Times New Roman" w:hAnsi="Times New Roman" w:cs="Times New Roman"/>
          <w:lang w:val="en-US" w:eastAsia="fr-FR"/>
        </w:rPr>
        <w:t>usually turn</w:t>
      </w:r>
      <w:r w:rsidR="00625D7F" w:rsidRPr="00625D7F">
        <w:rPr>
          <w:rFonts w:ascii="Times New Roman" w:eastAsia="Times New Roman" w:hAnsi="Times New Roman" w:cs="Times New Roman"/>
          <w:lang w:val="en-US" w:eastAsia="fr-FR"/>
        </w:rPr>
        <w:t xml:space="preserve"> into more superior loan portfolios. </w:t>
      </w:r>
      <w:r w:rsidR="00DF23F5" w:rsidRPr="00DF23F5">
        <w:rPr>
          <w:rFonts w:ascii="Times New Roman" w:eastAsia="Times New Roman" w:hAnsi="Times New Roman" w:cs="Times New Roman"/>
          <w:lang w:val="en-US" w:eastAsia="fr-FR"/>
        </w:rPr>
        <w:t xml:space="preserve">However, </w:t>
      </w:r>
      <w:proofErr w:type="spellStart"/>
      <w:r w:rsidR="00C379B6">
        <w:rPr>
          <w:rFonts w:ascii="Times New Roman" w:eastAsia="Times New Roman" w:hAnsi="Times New Roman" w:cs="Times New Roman"/>
          <w:lang w:val="en-US" w:eastAsia="fr-FR"/>
        </w:rPr>
        <w:t>Rajan</w:t>
      </w:r>
      <w:proofErr w:type="spellEnd"/>
      <w:r w:rsidR="00C379B6">
        <w:rPr>
          <w:rFonts w:ascii="Times New Roman" w:eastAsia="Times New Roman" w:hAnsi="Times New Roman" w:cs="Times New Roman"/>
          <w:lang w:val="en-US" w:eastAsia="fr-FR"/>
        </w:rPr>
        <w:t xml:space="preserve"> and Dhal (2003) </w:t>
      </w:r>
      <w:r w:rsidR="00625D7F" w:rsidRPr="00625D7F">
        <w:rPr>
          <w:rFonts w:ascii="Times New Roman" w:eastAsia="Times New Roman" w:hAnsi="Times New Roman" w:cs="Times New Roman"/>
          <w:lang w:val="en-US" w:eastAsia="fr-FR"/>
        </w:rPr>
        <w:t xml:space="preserve">provide evidence of a positive </w:t>
      </w:r>
      <w:r w:rsidR="00C379B6">
        <w:rPr>
          <w:rFonts w:ascii="Times New Roman" w:eastAsia="Times New Roman" w:hAnsi="Times New Roman" w:cs="Times New Roman"/>
          <w:lang w:val="en-US" w:eastAsia="fr-FR"/>
        </w:rPr>
        <w:t xml:space="preserve">relationship between </w:t>
      </w:r>
      <w:r w:rsidR="00C379B6" w:rsidRPr="00625D7F">
        <w:rPr>
          <w:rFonts w:ascii="Times New Roman" w:eastAsia="Times New Roman" w:hAnsi="Times New Roman" w:cs="Times New Roman"/>
          <w:lang w:val="en-US" w:eastAsia="fr-FR"/>
        </w:rPr>
        <w:t>b</w:t>
      </w:r>
      <w:r w:rsidR="00C379B6">
        <w:rPr>
          <w:rFonts w:ascii="Times New Roman" w:eastAsia="Times New Roman" w:hAnsi="Times New Roman" w:cs="Times New Roman"/>
          <w:lang w:val="en-US" w:eastAsia="fr-FR"/>
        </w:rPr>
        <w:t xml:space="preserve">ank size </w:t>
      </w:r>
      <w:r w:rsidR="00C379B6" w:rsidRPr="00625D7F">
        <w:rPr>
          <w:rFonts w:ascii="Times New Roman" w:eastAsia="Times New Roman" w:hAnsi="Times New Roman" w:cs="Times New Roman"/>
          <w:lang w:val="en-US" w:eastAsia="fr-FR"/>
        </w:rPr>
        <w:t>and</w:t>
      </w:r>
      <w:r w:rsidR="00C379B6">
        <w:rPr>
          <w:rFonts w:ascii="Times New Roman" w:eastAsia="Times New Roman" w:hAnsi="Times New Roman" w:cs="Times New Roman"/>
          <w:lang w:val="en-US" w:eastAsia="fr-FR"/>
        </w:rPr>
        <w:t xml:space="preserve"> NPL</w:t>
      </w:r>
      <w:r w:rsidR="00625D7F" w:rsidRPr="00625D7F">
        <w:rPr>
          <w:rFonts w:ascii="Times New Roman" w:eastAsia="Times New Roman" w:hAnsi="Times New Roman" w:cs="Times New Roman"/>
          <w:lang w:val="en-US" w:eastAsia="fr-FR"/>
        </w:rPr>
        <w:t xml:space="preserve">. </w:t>
      </w:r>
    </w:p>
    <w:p w:rsidR="00361387" w:rsidRPr="00690020" w:rsidRDefault="00625D7F" w:rsidP="00AC3B76">
      <w:pPr>
        <w:spacing w:before="240" w:after="0" w:line="276" w:lineRule="auto"/>
        <w:jc w:val="both"/>
        <w:rPr>
          <w:rFonts w:ascii="Times New Roman" w:eastAsia="Times New Roman" w:hAnsi="Times New Roman" w:cs="Times New Roman"/>
          <w:lang w:val="en-US" w:eastAsia="fr-FR"/>
        </w:rPr>
      </w:pPr>
      <w:r w:rsidRPr="00625D7F">
        <w:rPr>
          <w:rFonts w:ascii="Times New Roman" w:eastAsia="Times New Roman" w:hAnsi="Times New Roman" w:cs="Times New Roman"/>
          <w:lang w:val="en-US" w:eastAsia="fr-FR"/>
        </w:rPr>
        <w:t xml:space="preserve">Regarding operating efficiency, </w:t>
      </w:r>
      <w:r w:rsidR="006B7542">
        <w:rPr>
          <w:rFonts w:ascii="Times New Roman" w:eastAsia="Times New Roman" w:hAnsi="Times New Roman" w:cs="Times New Roman"/>
          <w:lang w:val="en-US" w:eastAsia="fr-FR"/>
        </w:rPr>
        <w:t xml:space="preserve">Berger and De Young (1997) </w:t>
      </w:r>
      <w:r w:rsidR="006B7542" w:rsidRPr="00625D7F">
        <w:rPr>
          <w:rFonts w:ascii="Times New Roman" w:eastAsia="Times New Roman" w:hAnsi="Times New Roman" w:cs="Times New Roman"/>
          <w:lang w:val="en-US" w:eastAsia="fr-FR"/>
        </w:rPr>
        <w:t xml:space="preserve">argue that </w:t>
      </w:r>
      <w:r w:rsidR="006B7542" w:rsidRPr="004F7028">
        <w:rPr>
          <w:rFonts w:ascii="Times New Roman" w:eastAsia="Times New Roman" w:hAnsi="Times New Roman" w:cs="Times New Roman"/>
          <w:lang w:val="en-US" w:eastAsia="fr-FR"/>
        </w:rPr>
        <w:t>inefficient</w:t>
      </w:r>
      <w:r w:rsidR="006B7542" w:rsidRPr="00625D7F">
        <w:rPr>
          <w:rFonts w:ascii="Times New Roman" w:eastAsia="Times New Roman" w:hAnsi="Times New Roman" w:cs="Times New Roman"/>
          <w:lang w:val="en-US" w:eastAsia="fr-FR"/>
        </w:rPr>
        <w:t xml:space="preserve"> management of the banking </w:t>
      </w:r>
      <w:r w:rsidR="00FA194E">
        <w:rPr>
          <w:rFonts w:ascii="Times New Roman" w:eastAsia="Times New Roman" w:hAnsi="Times New Roman" w:cs="Times New Roman"/>
          <w:lang w:val="en-US" w:eastAsia="fr-FR"/>
        </w:rPr>
        <w:t>institutions</w:t>
      </w:r>
      <w:r w:rsidR="006B7542" w:rsidRPr="00625D7F">
        <w:rPr>
          <w:rFonts w:ascii="Times New Roman" w:eastAsia="Times New Roman" w:hAnsi="Times New Roman" w:cs="Times New Roman"/>
          <w:lang w:val="en-US" w:eastAsia="fr-FR"/>
        </w:rPr>
        <w:t xml:space="preserve"> affects granting loans</w:t>
      </w:r>
      <w:r w:rsidR="00FA194E">
        <w:rPr>
          <w:rFonts w:ascii="Times New Roman" w:eastAsia="Times New Roman" w:hAnsi="Times New Roman" w:cs="Times New Roman"/>
          <w:lang w:val="en-US" w:eastAsia="fr-FR"/>
        </w:rPr>
        <w:t>’</w:t>
      </w:r>
      <w:r w:rsidR="00FA194E" w:rsidRPr="00FA194E">
        <w:rPr>
          <w:rFonts w:ascii="Times New Roman" w:eastAsia="Times New Roman" w:hAnsi="Times New Roman" w:cs="Times New Roman"/>
          <w:lang w:val="en-US" w:eastAsia="fr-FR"/>
        </w:rPr>
        <w:t xml:space="preserve"> </w:t>
      </w:r>
      <w:r w:rsidR="00FA194E" w:rsidRPr="00625D7F">
        <w:rPr>
          <w:rFonts w:ascii="Times New Roman" w:eastAsia="Times New Roman" w:hAnsi="Times New Roman" w:cs="Times New Roman"/>
          <w:lang w:val="en-US" w:eastAsia="fr-FR"/>
        </w:rPr>
        <w:t>process</w:t>
      </w:r>
      <w:r w:rsidR="006B7542" w:rsidRPr="00625D7F">
        <w:rPr>
          <w:rFonts w:ascii="Times New Roman" w:eastAsia="Times New Roman" w:hAnsi="Times New Roman" w:cs="Times New Roman"/>
          <w:lang w:val="en-US" w:eastAsia="fr-FR"/>
        </w:rPr>
        <w:t xml:space="preserve">. </w:t>
      </w:r>
      <w:r w:rsidR="00FA194E">
        <w:rPr>
          <w:rFonts w:ascii="Times New Roman" w:eastAsia="Times New Roman" w:hAnsi="Times New Roman" w:cs="Times New Roman"/>
          <w:lang w:val="en-US" w:eastAsia="fr-FR"/>
        </w:rPr>
        <w:t>Indeed, inefficient</w:t>
      </w:r>
      <w:r w:rsidR="002A650A" w:rsidRPr="00625D7F">
        <w:rPr>
          <w:rFonts w:ascii="Times New Roman" w:eastAsia="Times New Roman" w:hAnsi="Times New Roman" w:cs="Times New Roman"/>
          <w:lang w:val="en-US" w:eastAsia="fr-FR"/>
        </w:rPr>
        <w:t xml:space="preserve"> management in the banking </w:t>
      </w:r>
      <w:r w:rsidR="00FA194E">
        <w:rPr>
          <w:rFonts w:ascii="Times New Roman" w:eastAsia="Times New Roman" w:hAnsi="Times New Roman" w:cs="Times New Roman"/>
          <w:lang w:val="en-US" w:eastAsia="fr-FR"/>
        </w:rPr>
        <w:t>firms</w:t>
      </w:r>
      <w:r w:rsidR="002A650A" w:rsidRPr="00625D7F">
        <w:rPr>
          <w:rFonts w:ascii="Times New Roman" w:eastAsia="Times New Roman" w:hAnsi="Times New Roman" w:cs="Times New Roman"/>
          <w:lang w:val="en-US" w:eastAsia="fr-FR"/>
        </w:rPr>
        <w:t xml:space="preserve"> results in bad</w:t>
      </w:r>
      <w:r w:rsidR="00FA194E">
        <w:rPr>
          <w:rFonts w:ascii="Times New Roman" w:eastAsia="Times New Roman" w:hAnsi="Times New Roman" w:cs="Times New Roman"/>
          <w:lang w:val="en-US" w:eastAsia="fr-FR"/>
        </w:rPr>
        <w:t xml:space="preserve"> quality loans, and therefore, increase</w:t>
      </w:r>
      <w:r w:rsidR="002A650A" w:rsidRPr="004F7028">
        <w:rPr>
          <w:rFonts w:ascii="Times New Roman" w:eastAsia="Times New Roman" w:hAnsi="Times New Roman" w:cs="Times New Roman"/>
          <w:lang w:val="en-US" w:eastAsia="fr-FR"/>
        </w:rPr>
        <w:t xml:space="preserve">s </w:t>
      </w:r>
      <w:r w:rsidR="002A650A" w:rsidRPr="00625D7F">
        <w:rPr>
          <w:rFonts w:ascii="Times New Roman" w:eastAsia="Times New Roman" w:hAnsi="Times New Roman" w:cs="Times New Roman"/>
          <w:lang w:val="en-US" w:eastAsia="fr-FR"/>
        </w:rPr>
        <w:t xml:space="preserve">the level of non-performing loans. The banks’ management might not </w:t>
      </w:r>
      <w:r w:rsidR="002A650A" w:rsidRPr="004F7028">
        <w:rPr>
          <w:rFonts w:ascii="Times New Roman" w:eastAsia="Times New Roman" w:hAnsi="Times New Roman" w:cs="Times New Roman"/>
          <w:lang w:val="en-US" w:eastAsia="fr-FR"/>
        </w:rPr>
        <w:t>correctly</w:t>
      </w:r>
      <w:r w:rsidR="002A650A" w:rsidRPr="00625D7F">
        <w:rPr>
          <w:rFonts w:ascii="Times New Roman" w:eastAsia="Times New Roman" w:hAnsi="Times New Roman" w:cs="Times New Roman"/>
          <w:lang w:val="en-US" w:eastAsia="fr-FR"/>
        </w:rPr>
        <w:t xml:space="preserve"> evaluate their customers’ credit </w:t>
      </w:r>
      <w:r w:rsidR="002A650A" w:rsidRPr="004F7028">
        <w:rPr>
          <w:rFonts w:ascii="Times New Roman" w:eastAsia="Times New Roman" w:hAnsi="Times New Roman" w:cs="Times New Roman"/>
          <w:lang w:val="en-US" w:eastAsia="fr-FR"/>
        </w:rPr>
        <w:t xml:space="preserve">claim due to their poor evaluation. </w:t>
      </w:r>
      <w:proofErr w:type="spellStart"/>
      <w:r w:rsidR="00D966C5">
        <w:rPr>
          <w:rFonts w:ascii="Times New Roman" w:eastAsia="Times New Roman" w:hAnsi="Times New Roman" w:cs="Times New Roman"/>
          <w:lang w:val="en-US" w:eastAsia="fr-FR"/>
        </w:rPr>
        <w:t>Lis</w:t>
      </w:r>
      <w:proofErr w:type="spellEnd"/>
      <w:r w:rsidR="00D966C5">
        <w:rPr>
          <w:rFonts w:ascii="Times New Roman" w:eastAsia="Times New Roman" w:hAnsi="Times New Roman" w:cs="Times New Roman"/>
          <w:lang w:val="en-US" w:eastAsia="fr-FR"/>
        </w:rPr>
        <w:t xml:space="preserve">, Pages and </w:t>
      </w:r>
      <w:proofErr w:type="spellStart"/>
      <w:r w:rsidR="00D966C5">
        <w:rPr>
          <w:rFonts w:ascii="Times New Roman" w:eastAsia="Times New Roman" w:hAnsi="Times New Roman" w:cs="Times New Roman"/>
          <w:lang w:val="en-US" w:eastAsia="fr-FR"/>
        </w:rPr>
        <w:t>Saurina</w:t>
      </w:r>
      <w:proofErr w:type="spellEnd"/>
      <w:r w:rsidR="002A650A" w:rsidRPr="00625D7F">
        <w:rPr>
          <w:rFonts w:ascii="Times New Roman" w:eastAsia="Times New Roman" w:hAnsi="Times New Roman" w:cs="Times New Roman"/>
          <w:lang w:val="en-US" w:eastAsia="fr-FR"/>
        </w:rPr>
        <w:t xml:space="preserve"> </w:t>
      </w:r>
      <w:r w:rsidR="002A650A" w:rsidRPr="004F7028">
        <w:rPr>
          <w:rFonts w:ascii="Times New Roman" w:eastAsia="Times New Roman" w:hAnsi="Times New Roman" w:cs="Times New Roman"/>
          <w:lang w:val="en-US" w:eastAsia="fr-FR"/>
        </w:rPr>
        <w:t>(</w:t>
      </w:r>
      <w:r w:rsidR="002A650A" w:rsidRPr="00625D7F">
        <w:rPr>
          <w:rFonts w:ascii="Times New Roman" w:eastAsia="Times New Roman" w:hAnsi="Times New Roman" w:cs="Times New Roman"/>
          <w:lang w:val="en-US" w:eastAsia="fr-FR"/>
        </w:rPr>
        <w:t>2000)</w:t>
      </w:r>
      <w:r w:rsidR="002A650A" w:rsidRPr="004F7028">
        <w:rPr>
          <w:rFonts w:ascii="Times New Roman" w:eastAsia="Times New Roman" w:hAnsi="Times New Roman" w:cs="Times New Roman"/>
          <w:lang w:val="en-US" w:eastAsia="fr-FR"/>
        </w:rPr>
        <w:t xml:space="preserve"> suggest that i</w:t>
      </w:r>
      <w:r w:rsidR="002A650A" w:rsidRPr="00625D7F">
        <w:rPr>
          <w:rFonts w:ascii="Times New Roman" w:eastAsia="Times New Roman" w:hAnsi="Times New Roman" w:cs="Times New Roman"/>
          <w:lang w:val="en-US" w:eastAsia="fr-FR"/>
        </w:rPr>
        <w:t>nefficient banks hold riskier portfolio</w:t>
      </w:r>
      <w:r w:rsidR="002A650A" w:rsidRPr="004F7028">
        <w:rPr>
          <w:rFonts w:ascii="Times New Roman" w:eastAsia="Times New Roman" w:hAnsi="Times New Roman" w:cs="Times New Roman"/>
          <w:lang w:val="en-US" w:eastAsia="fr-FR"/>
        </w:rPr>
        <w:t xml:space="preserve">. Salas and </w:t>
      </w:r>
      <w:proofErr w:type="spellStart"/>
      <w:r w:rsidR="002A650A" w:rsidRPr="004F7028">
        <w:rPr>
          <w:rFonts w:ascii="Times New Roman" w:eastAsia="Times New Roman" w:hAnsi="Times New Roman" w:cs="Times New Roman"/>
          <w:lang w:val="en-US" w:eastAsia="fr-FR"/>
        </w:rPr>
        <w:t>Saurina</w:t>
      </w:r>
      <w:proofErr w:type="spellEnd"/>
      <w:r w:rsidR="002A650A" w:rsidRPr="004F7028">
        <w:rPr>
          <w:rFonts w:ascii="Times New Roman" w:eastAsia="Times New Roman" w:hAnsi="Times New Roman" w:cs="Times New Roman"/>
          <w:lang w:val="en-US" w:eastAsia="fr-FR"/>
        </w:rPr>
        <w:t xml:space="preserve"> (</w:t>
      </w:r>
      <w:r w:rsidR="002A650A" w:rsidRPr="00625D7F">
        <w:rPr>
          <w:rFonts w:ascii="Times New Roman" w:eastAsia="Times New Roman" w:hAnsi="Times New Roman" w:cs="Times New Roman"/>
          <w:lang w:val="en-US" w:eastAsia="fr-FR"/>
        </w:rPr>
        <w:t>2002)</w:t>
      </w:r>
      <w:r w:rsidR="002A650A" w:rsidRPr="004F7028">
        <w:rPr>
          <w:rFonts w:ascii="Times New Roman" w:eastAsia="Times New Roman" w:hAnsi="Times New Roman" w:cs="Times New Roman"/>
          <w:lang w:val="en-US" w:eastAsia="fr-FR"/>
        </w:rPr>
        <w:t xml:space="preserve"> support the same hypothesis and </w:t>
      </w:r>
      <w:r w:rsidR="002D533E" w:rsidRPr="004F7028">
        <w:rPr>
          <w:rFonts w:ascii="Times New Roman" w:eastAsia="Times New Roman" w:hAnsi="Times New Roman" w:cs="Times New Roman"/>
          <w:lang w:val="en-US" w:eastAsia="fr-FR"/>
        </w:rPr>
        <w:t>affirm that</w:t>
      </w:r>
      <w:r w:rsidR="002A650A" w:rsidRPr="004F7028">
        <w:rPr>
          <w:rFonts w:ascii="Times New Roman" w:eastAsia="Times New Roman" w:hAnsi="Times New Roman" w:cs="Times New Roman"/>
          <w:lang w:val="en-US" w:eastAsia="fr-FR"/>
        </w:rPr>
        <w:t xml:space="preserve"> i</w:t>
      </w:r>
      <w:r w:rsidR="002A650A" w:rsidRPr="00625D7F">
        <w:rPr>
          <w:rFonts w:ascii="Times New Roman" w:eastAsia="Times New Roman" w:hAnsi="Times New Roman" w:cs="Times New Roman"/>
          <w:lang w:val="en-US" w:eastAsia="fr-FR"/>
        </w:rPr>
        <w:t xml:space="preserve">nefficient managers </w:t>
      </w:r>
      <w:r w:rsidR="002A650A" w:rsidRPr="0074528D">
        <w:rPr>
          <w:rFonts w:ascii="Times New Roman" w:eastAsia="Times New Roman" w:hAnsi="Times New Roman" w:cs="Times New Roman"/>
          <w:lang w:val="en-US" w:eastAsia="fr-FR"/>
        </w:rPr>
        <w:t xml:space="preserve">are unable to cope </w:t>
      </w:r>
      <w:r w:rsidR="002A650A" w:rsidRPr="00625D7F">
        <w:rPr>
          <w:rFonts w:ascii="Times New Roman" w:eastAsia="Times New Roman" w:hAnsi="Times New Roman" w:cs="Times New Roman"/>
          <w:lang w:val="en-US" w:eastAsia="fr-FR"/>
        </w:rPr>
        <w:t>successfully</w:t>
      </w:r>
      <w:r w:rsidR="002A650A" w:rsidRPr="004F7028">
        <w:rPr>
          <w:rFonts w:ascii="Times New Roman" w:eastAsia="Times New Roman" w:hAnsi="Times New Roman" w:cs="Times New Roman"/>
          <w:lang w:val="en-US" w:eastAsia="fr-FR"/>
        </w:rPr>
        <w:t xml:space="preserve"> </w:t>
      </w:r>
      <w:r w:rsidR="002A650A" w:rsidRPr="0074528D">
        <w:rPr>
          <w:rFonts w:ascii="Times New Roman" w:eastAsia="Times New Roman" w:hAnsi="Times New Roman" w:cs="Times New Roman"/>
          <w:lang w:val="en-US" w:eastAsia="fr-FR"/>
        </w:rPr>
        <w:t xml:space="preserve">with credit risk management </w:t>
      </w:r>
      <w:r w:rsidR="002A650A" w:rsidRPr="00625D7F">
        <w:rPr>
          <w:rFonts w:ascii="Times New Roman" w:eastAsia="Times New Roman" w:hAnsi="Times New Roman" w:cs="Times New Roman"/>
          <w:lang w:val="en-US" w:eastAsia="fr-FR"/>
        </w:rPr>
        <w:t xml:space="preserve">that will lower the banks’ credit quality and </w:t>
      </w:r>
      <w:r w:rsidR="002A650A" w:rsidRPr="004F7028">
        <w:rPr>
          <w:rFonts w:ascii="Times New Roman" w:eastAsia="Times New Roman" w:hAnsi="Times New Roman" w:cs="Times New Roman"/>
          <w:lang w:val="en-US" w:eastAsia="fr-FR"/>
        </w:rPr>
        <w:t>increase credit risk.</w:t>
      </w:r>
      <w:r w:rsidR="002D533E" w:rsidRPr="004F7028">
        <w:rPr>
          <w:rFonts w:ascii="Times New Roman" w:eastAsia="Times New Roman" w:hAnsi="Times New Roman" w:cs="Times New Roman"/>
          <w:lang w:val="en-US" w:eastAsia="fr-FR"/>
        </w:rPr>
        <w:t xml:space="preserve"> </w:t>
      </w:r>
      <w:r w:rsidRPr="00625D7F">
        <w:rPr>
          <w:rFonts w:ascii="Times New Roman" w:eastAsia="Times New Roman" w:hAnsi="Times New Roman" w:cs="Times New Roman"/>
          <w:lang w:val="en-US" w:eastAsia="fr-FR"/>
        </w:rPr>
        <w:t xml:space="preserve">Therefore, </w:t>
      </w:r>
      <w:r w:rsidR="00FA194E">
        <w:rPr>
          <w:rFonts w:ascii="Times New Roman" w:eastAsia="Times New Roman" w:hAnsi="Times New Roman" w:cs="Times New Roman"/>
          <w:lang w:val="en-US" w:eastAsia="fr-FR"/>
        </w:rPr>
        <w:t>poor management in banks</w:t>
      </w:r>
      <w:r w:rsidRPr="00625D7F">
        <w:rPr>
          <w:rFonts w:ascii="Times New Roman" w:eastAsia="Times New Roman" w:hAnsi="Times New Roman" w:cs="Times New Roman"/>
          <w:lang w:val="en-US" w:eastAsia="fr-FR"/>
        </w:rPr>
        <w:t xml:space="preserve"> might lead to higher non-performing loans.</w:t>
      </w:r>
      <w:r w:rsidR="002D533E" w:rsidRPr="004F7028">
        <w:rPr>
          <w:rFonts w:ascii="Times New Roman" w:eastAsia="Times New Roman" w:hAnsi="Times New Roman" w:cs="Times New Roman"/>
          <w:lang w:val="en-US" w:eastAsia="fr-FR"/>
        </w:rPr>
        <w:t xml:space="preserve"> However, more recently,</w:t>
      </w:r>
      <w:r w:rsidRPr="00625D7F">
        <w:rPr>
          <w:rFonts w:ascii="Times New Roman" w:eastAsia="Times New Roman" w:hAnsi="Times New Roman" w:cs="Times New Roman"/>
          <w:lang w:val="en-US" w:eastAsia="fr-FR"/>
        </w:rPr>
        <w:t xml:space="preserve"> </w:t>
      </w:r>
      <w:proofErr w:type="spellStart"/>
      <w:r w:rsidR="002D533E" w:rsidRPr="00625D7F">
        <w:rPr>
          <w:rFonts w:ascii="Times New Roman" w:eastAsia="Times New Roman" w:hAnsi="Times New Roman" w:cs="Times New Roman"/>
          <w:lang w:val="en-US" w:eastAsia="fr-FR"/>
        </w:rPr>
        <w:t>skills.Ali</w:t>
      </w:r>
      <w:proofErr w:type="spellEnd"/>
      <w:r w:rsidR="002D533E" w:rsidRPr="00625D7F">
        <w:rPr>
          <w:rFonts w:ascii="Times New Roman" w:eastAsia="Times New Roman" w:hAnsi="Times New Roman" w:cs="Times New Roman"/>
          <w:lang w:val="en-US" w:eastAsia="fr-FR"/>
        </w:rPr>
        <w:t xml:space="preserve">, </w:t>
      </w:r>
      <w:proofErr w:type="spellStart"/>
      <w:r w:rsidR="002D533E" w:rsidRPr="00625D7F">
        <w:rPr>
          <w:rFonts w:ascii="Times New Roman" w:eastAsia="Times New Roman" w:hAnsi="Times New Roman" w:cs="Times New Roman"/>
          <w:lang w:val="en-US" w:eastAsia="fr-FR"/>
        </w:rPr>
        <w:t>Akhtar</w:t>
      </w:r>
      <w:proofErr w:type="spellEnd"/>
      <w:r w:rsidR="002D533E" w:rsidRPr="00625D7F">
        <w:rPr>
          <w:rFonts w:ascii="Times New Roman" w:eastAsia="Times New Roman" w:hAnsi="Times New Roman" w:cs="Times New Roman"/>
          <w:lang w:val="en-US" w:eastAsia="fr-FR"/>
        </w:rPr>
        <w:t xml:space="preserve"> and </w:t>
      </w:r>
      <w:proofErr w:type="spellStart"/>
      <w:r w:rsidR="002D533E" w:rsidRPr="00625D7F">
        <w:rPr>
          <w:rFonts w:ascii="Times New Roman" w:eastAsia="Times New Roman" w:hAnsi="Times New Roman" w:cs="Times New Roman"/>
          <w:lang w:val="en-US" w:eastAsia="fr-FR"/>
        </w:rPr>
        <w:t>Sadaqat</w:t>
      </w:r>
      <w:proofErr w:type="spellEnd"/>
      <w:r w:rsidR="002D533E" w:rsidRPr="00625D7F">
        <w:rPr>
          <w:rFonts w:ascii="Times New Roman" w:eastAsia="Times New Roman" w:hAnsi="Times New Roman" w:cs="Times New Roman"/>
          <w:lang w:val="en-US" w:eastAsia="fr-FR"/>
        </w:rPr>
        <w:t xml:space="preserve"> (2011) </w:t>
      </w:r>
      <w:r w:rsidR="002D533E" w:rsidRPr="004F7028">
        <w:rPr>
          <w:rFonts w:ascii="Times New Roman" w:eastAsia="Times New Roman" w:hAnsi="Times New Roman" w:cs="Times New Roman"/>
          <w:lang w:val="en-US" w:eastAsia="fr-FR"/>
        </w:rPr>
        <w:t xml:space="preserve">find </w:t>
      </w:r>
      <w:r w:rsidR="002D533E" w:rsidRPr="00625D7F">
        <w:rPr>
          <w:rFonts w:ascii="Times New Roman" w:eastAsia="Times New Roman" w:hAnsi="Times New Roman" w:cs="Times New Roman"/>
          <w:lang w:val="en-US" w:eastAsia="fr-FR"/>
        </w:rPr>
        <w:t>a negativ</w:t>
      </w:r>
      <w:r w:rsidR="002D533E" w:rsidRPr="004F7028">
        <w:rPr>
          <w:rFonts w:ascii="Times New Roman" w:eastAsia="Times New Roman" w:hAnsi="Times New Roman" w:cs="Times New Roman"/>
          <w:lang w:val="en-US" w:eastAsia="fr-FR"/>
        </w:rPr>
        <w:t xml:space="preserve">e but insignificant </w:t>
      </w:r>
      <w:r w:rsidR="002D533E" w:rsidRPr="00625D7F">
        <w:rPr>
          <w:rFonts w:ascii="Times New Roman" w:eastAsia="Times New Roman" w:hAnsi="Times New Roman" w:cs="Times New Roman"/>
          <w:lang w:val="en-US" w:eastAsia="fr-FR"/>
        </w:rPr>
        <w:t>relationship with credit risk of Pakistan commercial banks.</w:t>
      </w:r>
    </w:p>
    <w:p w:rsidR="00361387" w:rsidRPr="00A76ED6" w:rsidRDefault="00361387" w:rsidP="00AC3B76">
      <w:pPr>
        <w:spacing w:before="240" w:after="0" w:line="276" w:lineRule="auto"/>
        <w:jc w:val="both"/>
        <w:rPr>
          <w:rFonts w:ascii="Times New Roman" w:eastAsia="Times New Roman" w:hAnsi="Times New Roman" w:cs="Times New Roman"/>
          <w:lang w:val="en-US" w:eastAsia="fr-FR"/>
        </w:rPr>
      </w:pPr>
      <w:r w:rsidRPr="00361387">
        <w:rPr>
          <w:rFonts w:ascii="Times New Roman" w:eastAsia="Times New Roman" w:hAnsi="Times New Roman" w:cs="Times New Roman"/>
          <w:lang w:val="en-US" w:eastAsia="fr-FR"/>
        </w:rPr>
        <w:t xml:space="preserve">The other important determinant </w:t>
      </w:r>
      <w:r w:rsidR="004F7028" w:rsidRPr="00690020">
        <w:rPr>
          <w:rFonts w:ascii="Times New Roman" w:eastAsia="Times New Roman" w:hAnsi="Times New Roman" w:cs="Times New Roman"/>
          <w:lang w:val="en-US" w:eastAsia="fr-FR"/>
        </w:rPr>
        <w:t>of management</w:t>
      </w:r>
      <w:r w:rsidRPr="00361387">
        <w:rPr>
          <w:rFonts w:ascii="Times New Roman" w:eastAsia="Times New Roman" w:hAnsi="Times New Roman" w:cs="Times New Roman"/>
          <w:lang w:val="en-US" w:eastAsia="fr-FR"/>
        </w:rPr>
        <w:t xml:space="preserve"> quality and riskiness of the strategy is the type </w:t>
      </w:r>
      <w:r w:rsidR="004F7028" w:rsidRPr="00690020">
        <w:rPr>
          <w:rFonts w:ascii="Times New Roman" w:eastAsia="Times New Roman" w:hAnsi="Times New Roman" w:cs="Times New Roman"/>
          <w:lang w:val="en-US" w:eastAsia="fr-FR"/>
        </w:rPr>
        <w:t xml:space="preserve">of bank ownership. </w:t>
      </w:r>
      <w:proofErr w:type="spellStart"/>
      <w:r w:rsidR="004F7028" w:rsidRPr="00690020">
        <w:rPr>
          <w:rFonts w:ascii="Times New Roman" w:eastAsia="Times New Roman" w:hAnsi="Times New Roman" w:cs="Times New Roman"/>
          <w:lang w:val="en-US" w:eastAsia="fr-FR"/>
        </w:rPr>
        <w:t>Micco</w:t>
      </w:r>
      <w:proofErr w:type="spellEnd"/>
      <w:r w:rsidR="004F7028" w:rsidRPr="00690020">
        <w:rPr>
          <w:rFonts w:ascii="Times New Roman" w:eastAsia="Times New Roman" w:hAnsi="Times New Roman" w:cs="Times New Roman"/>
          <w:lang w:val="en-US" w:eastAsia="fr-FR"/>
        </w:rPr>
        <w:t xml:space="preserve"> </w:t>
      </w:r>
      <w:r w:rsidR="000B3161" w:rsidRPr="00690020">
        <w:rPr>
          <w:rFonts w:ascii="Times New Roman" w:eastAsia="Times New Roman" w:hAnsi="Times New Roman" w:cs="Times New Roman"/>
          <w:lang w:val="en-US" w:eastAsia="fr-FR"/>
        </w:rPr>
        <w:t xml:space="preserve">et al. </w:t>
      </w:r>
      <w:r w:rsidR="004F7028" w:rsidRPr="00690020">
        <w:rPr>
          <w:rFonts w:ascii="Times New Roman" w:eastAsia="Times New Roman" w:hAnsi="Times New Roman" w:cs="Times New Roman"/>
          <w:lang w:val="en-US" w:eastAsia="fr-FR"/>
        </w:rPr>
        <w:t>(</w:t>
      </w:r>
      <w:r w:rsidR="008C0653">
        <w:rPr>
          <w:rFonts w:ascii="Times New Roman" w:eastAsia="Times New Roman" w:hAnsi="Times New Roman" w:cs="Times New Roman"/>
          <w:lang w:val="en-US" w:eastAsia="fr-FR"/>
        </w:rPr>
        <w:t>2006</w:t>
      </w:r>
      <w:r w:rsidR="004F7028" w:rsidRPr="00361387">
        <w:rPr>
          <w:rFonts w:ascii="Times New Roman" w:eastAsia="Times New Roman" w:hAnsi="Times New Roman" w:cs="Times New Roman"/>
          <w:lang w:val="en-US" w:eastAsia="fr-FR"/>
        </w:rPr>
        <w:t xml:space="preserve">) </w:t>
      </w:r>
      <w:r w:rsidR="000B3161" w:rsidRPr="00960BDF">
        <w:rPr>
          <w:rFonts w:ascii="Times New Roman" w:eastAsia="Times New Roman" w:hAnsi="Times New Roman" w:cs="Times New Roman"/>
          <w:lang w:val="en-US" w:eastAsia="fr-FR"/>
        </w:rPr>
        <w:t>analyze</w:t>
      </w:r>
      <w:r w:rsidR="000B3161" w:rsidRPr="00690020">
        <w:rPr>
          <w:rFonts w:ascii="Times New Roman" w:eastAsia="Times New Roman" w:hAnsi="Times New Roman" w:cs="Times New Roman"/>
          <w:lang w:val="en-US" w:eastAsia="fr-FR"/>
        </w:rPr>
        <w:t>d</w:t>
      </w:r>
      <w:r w:rsidR="000B3161" w:rsidRPr="00960BDF">
        <w:rPr>
          <w:rFonts w:ascii="Times New Roman" w:eastAsia="Times New Roman" w:hAnsi="Times New Roman" w:cs="Times New Roman"/>
          <w:lang w:val="en-US" w:eastAsia="fr-FR"/>
        </w:rPr>
        <w:t xml:space="preserve"> 119</w:t>
      </w:r>
      <w:r w:rsidR="000B3161" w:rsidRPr="00690020">
        <w:rPr>
          <w:rFonts w:ascii="Times New Roman" w:eastAsia="Times New Roman" w:hAnsi="Times New Roman" w:cs="Times New Roman"/>
          <w:lang w:val="en-US" w:eastAsia="fr-FR"/>
        </w:rPr>
        <w:t xml:space="preserve"> </w:t>
      </w:r>
      <w:r w:rsidR="000B3161" w:rsidRPr="00960BDF">
        <w:rPr>
          <w:rFonts w:ascii="Times New Roman" w:eastAsia="Times New Roman" w:hAnsi="Times New Roman" w:cs="Times New Roman"/>
          <w:lang w:val="en-US" w:eastAsia="fr-FR"/>
        </w:rPr>
        <w:t>countries</w:t>
      </w:r>
      <w:r w:rsidR="000B3161" w:rsidRPr="00690020">
        <w:rPr>
          <w:rFonts w:ascii="Times New Roman" w:eastAsia="Times New Roman" w:hAnsi="Times New Roman" w:cs="Times New Roman"/>
          <w:lang w:val="en-US" w:eastAsia="fr-FR"/>
        </w:rPr>
        <w:t xml:space="preserve">’ </w:t>
      </w:r>
      <w:r w:rsidR="000B3161" w:rsidRPr="00960BDF">
        <w:rPr>
          <w:rFonts w:ascii="Times New Roman" w:eastAsia="Times New Roman" w:hAnsi="Times New Roman" w:cs="Times New Roman"/>
          <w:lang w:val="en-US" w:eastAsia="fr-FR"/>
        </w:rPr>
        <w:t xml:space="preserve">financial institutions with different ownership </w:t>
      </w:r>
      <w:r w:rsidR="000B3161" w:rsidRPr="00690020">
        <w:rPr>
          <w:rFonts w:ascii="Times New Roman" w:eastAsia="Times New Roman" w:hAnsi="Times New Roman" w:cs="Times New Roman"/>
          <w:lang w:val="en-US" w:eastAsia="fr-FR"/>
        </w:rPr>
        <w:t xml:space="preserve">types. He </w:t>
      </w:r>
      <w:r w:rsidR="004F7028" w:rsidRPr="00361387">
        <w:rPr>
          <w:rFonts w:ascii="Times New Roman" w:eastAsia="Times New Roman" w:hAnsi="Times New Roman" w:cs="Times New Roman"/>
          <w:lang w:val="en-US" w:eastAsia="fr-FR"/>
        </w:rPr>
        <w:t>concluded that state-owned bank</w:t>
      </w:r>
      <w:r w:rsidR="00D966C5">
        <w:rPr>
          <w:rFonts w:ascii="Times New Roman" w:eastAsia="Times New Roman" w:hAnsi="Times New Roman" w:cs="Times New Roman"/>
          <w:lang w:val="en-US" w:eastAsia="fr-FR"/>
        </w:rPr>
        <w:t>s</w:t>
      </w:r>
      <w:r w:rsidR="004F7028" w:rsidRPr="00361387">
        <w:rPr>
          <w:rFonts w:ascii="Times New Roman" w:eastAsia="Times New Roman" w:hAnsi="Times New Roman" w:cs="Times New Roman"/>
          <w:lang w:val="en-US" w:eastAsia="fr-FR"/>
        </w:rPr>
        <w:t xml:space="preserve"> in</w:t>
      </w:r>
      <w:r w:rsidR="004F7028" w:rsidRPr="00690020">
        <w:rPr>
          <w:rFonts w:ascii="Times New Roman" w:eastAsia="Times New Roman" w:hAnsi="Times New Roman" w:cs="Times New Roman"/>
          <w:lang w:val="en-US" w:eastAsia="fr-FR"/>
        </w:rPr>
        <w:t xml:space="preserve"> </w:t>
      </w:r>
      <w:r w:rsidR="004F7028" w:rsidRPr="00361387">
        <w:rPr>
          <w:rFonts w:ascii="Times New Roman" w:eastAsia="Times New Roman" w:hAnsi="Times New Roman" w:cs="Times New Roman"/>
          <w:lang w:val="en-US" w:eastAsia="fr-FR"/>
        </w:rPr>
        <w:t>developing countries have hi</w:t>
      </w:r>
      <w:r w:rsidR="004F7028" w:rsidRPr="00690020">
        <w:rPr>
          <w:rFonts w:ascii="Times New Roman" w:eastAsia="Times New Roman" w:hAnsi="Times New Roman" w:cs="Times New Roman"/>
          <w:lang w:val="en-US" w:eastAsia="fr-FR"/>
        </w:rPr>
        <w:t xml:space="preserve">gher ratio of </w:t>
      </w:r>
      <w:r w:rsidR="004F7028" w:rsidRPr="00361387">
        <w:rPr>
          <w:rFonts w:ascii="Times New Roman" w:eastAsia="Times New Roman" w:hAnsi="Times New Roman" w:cs="Times New Roman"/>
          <w:lang w:val="en-US" w:eastAsia="fr-FR"/>
        </w:rPr>
        <w:t>nonperforming loans</w:t>
      </w:r>
      <w:r w:rsidR="000B3161" w:rsidRPr="00690020">
        <w:rPr>
          <w:rFonts w:ascii="Times New Roman" w:eastAsia="Times New Roman" w:hAnsi="Times New Roman" w:cs="Times New Roman"/>
          <w:lang w:val="en-US" w:eastAsia="fr-FR"/>
        </w:rPr>
        <w:t>.</w:t>
      </w:r>
      <w:r w:rsidR="004F7028" w:rsidRPr="00690020">
        <w:rPr>
          <w:rFonts w:ascii="Times New Roman" w:eastAsia="Times New Roman" w:hAnsi="Times New Roman" w:cs="Times New Roman"/>
          <w:lang w:val="en-US" w:eastAsia="fr-FR"/>
        </w:rPr>
        <w:t xml:space="preserve"> </w:t>
      </w:r>
      <w:proofErr w:type="spellStart"/>
      <w:r w:rsidR="000B3161" w:rsidRPr="00690020">
        <w:rPr>
          <w:rFonts w:ascii="Times New Roman" w:eastAsia="Times New Roman" w:hAnsi="Times New Roman" w:cs="Times New Roman"/>
          <w:lang w:val="en-US" w:eastAsia="fr-FR"/>
        </w:rPr>
        <w:t>Hu</w:t>
      </w:r>
      <w:proofErr w:type="spellEnd"/>
      <w:r w:rsidR="000B3161" w:rsidRPr="00690020">
        <w:rPr>
          <w:rFonts w:ascii="Times New Roman" w:eastAsia="Times New Roman" w:hAnsi="Times New Roman" w:cs="Times New Roman"/>
          <w:lang w:val="en-US" w:eastAsia="fr-FR"/>
        </w:rPr>
        <w:t xml:space="preserve"> et al. (2004) found</w:t>
      </w:r>
      <w:r w:rsidR="000B3161" w:rsidRPr="00960BDF">
        <w:rPr>
          <w:rFonts w:ascii="Times New Roman" w:eastAsia="Times New Roman" w:hAnsi="Times New Roman" w:cs="Times New Roman"/>
          <w:lang w:val="en-US" w:eastAsia="fr-FR"/>
        </w:rPr>
        <w:t xml:space="preserve"> a positive correlation between </w:t>
      </w:r>
      <w:r w:rsidR="00781A90">
        <w:rPr>
          <w:rFonts w:ascii="Times New Roman" w:eastAsia="Times New Roman" w:hAnsi="Times New Roman" w:cs="Times New Roman"/>
          <w:lang w:val="en-US" w:eastAsia="fr-FR"/>
        </w:rPr>
        <w:t xml:space="preserve">state owned </w:t>
      </w:r>
      <w:r w:rsidR="000B3161" w:rsidRPr="00960BDF">
        <w:rPr>
          <w:rFonts w:ascii="Times New Roman" w:eastAsia="Times New Roman" w:hAnsi="Times New Roman" w:cs="Times New Roman"/>
          <w:lang w:val="en-US" w:eastAsia="fr-FR"/>
        </w:rPr>
        <w:t>capital share and the level of non- performing loans</w:t>
      </w:r>
      <w:r w:rsidR="000B3161" w:rsidRPr="00690020">
        <w:rPr>
          <w:rFonts w:ascii="Times New Roman" w:eastAsia="Times New Roman" w:hAnsi="Times New Roman" w:cs="Times New Roman"/>
          <w:lang w:val="en-US" w:eastAsia="fr-FR"/>
        </w:rPr>
        <w:t xml:space="preserve"> using a panel of </w:t>
      </w:r>
      <w:r w:rsidR="000B3161" w:rsidRPr="00960BDF">
        <w:rPr>
          <w:rFonts w:ascii="Times New Roman" w:eastAsia="Times New Roman" w:hAnsi="Times New Roman" w:cs="Times New Roman"/>
          <w:lang w:val="en-US" w:eastAsia="fr-FR"/>
        </w:rPr>
        <w:t xml:space="preserve">Taiwanese banks. </w:t>
      </w:r>
      <w:proofErr w:type="spellStart"/>
      <w:r w:rsidRPr="00361387">
        <w:rPr>
          <w:rFonts w:ascii="Times New Roman" w:eastAsia="Times New Roman" w:hAnsi="Times New Roman" w:cs="Times New Roman"/>
          <w:lang w:val="en-US" w:eastAsia="fr-FR"/>
        </w:rPr>
        <w:t>Bou</w:t>
      </w:r>
      <w:r w:rsidR="004F7028" w:rsidRPr="00690020">
        <w:rPr>
          <w:rFonts w:ascii="Times New Roman" w:eastAsia="Times New Roman" w:hAnsi="Times New Roman" w:cs="Times New Roman"/>
          <w:lang w:val="en-US" w:eastAsia="fr-FR"/>
        </w:rPr>
        <w:t>driga</w:t>
      </w:r>
      <w:proofErr w:type="spellEnd"/>
      <w:r w:rsidR="004F7028" w:rsidRPr="00690020">
        <w:rPr>
          <w:rFonts w:ascii="Times New Roman" w:eastAsia="Times New Roman" w:hAnsi="Times New Roman" w:cs="Times New Roman"/>
          <w:lang w:val="en-US" w:eastAsia="fr-FR"/>
        </w:rPr>
        <w:t xml:space="preserve">, </w:t>
      </w:r>
      <w:proofErr w:type="spellStart"/>
      <w:r w:rsidR="004F7028" w:rsidRPr="00690020">
        <w:rPr>
          <w:rFonts w:ascii="Times New Roman" w:eastAsia="Times New Roman" w:hAnsi="Times New Roman" w:cs="Times New Roman"/>
          <w:lang w:val="en-US" w:eastAsia="fr-FR"/>
        </w:rPr>
        <w:t>Boulila</w:t>
      </w:r>
      <w:proofErr w:type="spellEnd"/>
      <w:r w:rsidR="004F7028" w:rsidRPr="00690020">
        <w:rPr>
          <w:rFonts w:ascii="Times New Roman" w:eastAsia="Times New Roman" w:hAnsi="Times New Roman" w:cs="Times New Roman"/>
          <w:lang w:val="en-US" w:eastAsia="fr-FR"/>
        </w:rPr>
        <w:t xml:space="preserve"> </w:t>
      </w:r>
      <w:proofErr w:type="spellStart"/>
      <w:r w:rsidR="004F7028" w:rsidRPr="00690020">
        <w:rPr>
          <w:rFonts w:ascii="Times New Roman" w:eastAsia="Times New Roman" w:hAnsi="Times New Roman" w:cs="Times New Roman"/>
          <w:lang w:val="en-US" w:eastAsia="fr-FR"/>
        </w:rPr>
        <w:t>Taktak</w:t>
      </w:r>
      <w:proofErr w:type="spellEnd"/>
      <w:r w:rsidR="004F7028" w:rsidRPr="00690020">
        <w:rPr>
          <w:rFonts w:ascii="Times New Roman" w:eastAsia="Times New Roman" w:hAnsi="Times New Roman" w:cs="Times New Roman"/>
          <w:lang w:val="en-US" w:eastAsia="fr-FR"/>
        </w:rPr>
        <w:t xml:space="preserve"> and </w:t>
      </w:r>
      <w:proofErr w:type="spellStart"/>
      <w:r w:rsidR="004F7028" w:rsidRPr="00690020">
        <w:rPr>
          <w:rFonts w:ascii="Times New Roman" w:eastAsia="Times New Roman" w:hAnsi="Times New Roman" w:cs="Times New Roman"/>
          <w:lang w:val="en-US" w:eastAsia="fr-FR"/>
        </w:rPr>
        <w:t>Jellouli</w:t>
      </w:r>
      <w:proofErr w:type="spellEnd"/>
      <w:r w:rsidRPr="00690020">
        <w:rPr>
          <w:rFonts w:ascii="Times New Roman" w:eastAsia="Times New Roman" w:hAnsi="Times New Roman" w:cs="Times New Roman"/>
          <w:lang w:val="en-US" w:eastAsia="fr-FR"/>
        </w:rPr>
        <w:t xml:space="preserve"> </w:t>
      </w:r>
      <w:r w:rsidR="004F7028" w:rsidRPr="00690020">
        <w:rPr>
          <w:rFonts w:ascii="Times New Roman" w:eastAsia="Times New Roman" w:hAnsi="Times New Roman" w:cs="Times New Roman"/>
          <w:lang w:val="en-US" w:eastAsia="fr-FR"/>
        </w:rPr>
        <w:t>(</w:t>
      </w:r>
      <w:r w:rsidRPr="00361387">
        <w:rPr>
          <w:rFonts w:ascii="Times New Roman" w:eastAsia="Times New Roman" w:hAnsi="Times New Roman" w:cs="Times New Roman"/>
          <w:lang w:val="en-US" w:eastAsia="fr-FR"/>
        </w:rPr>
        <w:t xml:space="preserve">2009) found that foreign </w:t>
      </w:r>
      <w:r w:rsidR="000B3161" w:rsidRPr="00690020">
        <w:rPr>
          <w:rFonts w:ascii="Times New Roman" w:eastAsia="Times New Roman" w:hAnsi="Times New Roman" w:cs="Times New Roman"/>
          <w:lang w:val="en-US" w:eastAsia="fr-FR"/>
        </w:rPr>
        <w:t>ownership has a positive</w:t>
      </w:r>
      <w:r w:rsidRPr="00690020">
        <w:rPr>
          <w:rFonts w:ascii="Times New Roman" w:eastAsia="Times New Roman" w:hAnsi="Times New Roman" w:cs="Times New Roman"/>
          <w:lang w:val="en-US" w:eastAsia="fr-FR"/>
        </w:rPr>
        <w:t xml:space="preserve"> </w:t>
      </w:r>
      <w:r w:rsidRPr="00361387">
        <w:rPr>
          <w:rFonts w:ascii="Times New Roman" w:eastAsia="Times New Roman" w:hAnsi="Times New Roman" w:cs="Times New Roman"/>
          <w:lang w:val="en-US" w:eastAsia="fr-FR"/>
        </w:rPr>
        <w:t xml:space="preserve">impact on loan quality as it promotes imports of human capital, management skills and technologies and provides opportunity to raise funds cheaply on international </w:t>
      </w:r>
      <w:r w:rsidR="004F7028" w:rsidRPr="00690020">
        <w:rPr>
          <w:rFonts w:ascii="Times New Roman" w:eastAsia="Times New Roman" w:hAnsi="Times New Roman" w:cs="Times New Roman"/>
          <w:lang w:val="en-US" w:eastAsia="fr-FR"/>
        </w:rPr>
        <w:t>markets.</w:t>
      </w:r>
      <w:r w:rsidRPr="00690020">
        <w:rPr>
          <w:rFonts w:ascii="Times New Roman" w:eastAsia="Times New Roman" w:hAnsi="Times New Roman" w:cs="Times New Roman"/>
          <w:lang w:val="en-US" w:eastAsia="fr-FR"/>
        </w:rPr>
        <w:t xml:space="preserve"> State banks are reported </w:t>
      </w:r>
      <w:r w:rsidRPr="00361387">
        <w:rPr>
          <w:rFonts w:ascii="Times New Roman" w:eastAsia="Times New Roman" w:hAnsi="Times New Roman" w:cs="Times New Roman"/>
          <w:lang w:val="en-US" w:eastAsia="fr-FR"/>
        </w:rPr>
        <w:t xml:space="preserve">to have more incentives to involve in risky projects since they are more </w:t>
      </w:r>
      <w:r w:rsidRPr="00690020">
        <w:rPr>
          <w:rFonts w:ascii="Times New Roman" w:eastAsia="Times New Roman" w:hAnsi="Times New Roman" w:cs="Times New Roman"/>
          <w:lang w:val="en-US" w:eastAsia="fr-FR"/>
        </w:rPr>
        <w:t xml:space="preserve">prone to «too big </w:t>
      </w:r>
      <w:r w:rsidRPr="00361387">
        <w:rPr>
          <w:rFonts w:ascii="Times New Roman" w:eastAsia="Times New Roman" w:hAnsi="Times New Roman" w:cs="Times New Roman"/>
          <w:lang w:val="en-US" w:eastAsia="fr-FR"/>
        </w:rPr>
        <w:t>to fail problem».</w:t>
      </w:r>
      <w:r w:rsidR="00690020" w:rsidRPr="00690020">
        <w:rPr>
          <w:rFonts w:ascii="Times New Roman" w:eastAsia="Times New Roman" w:hAnsi="Times New Roman" w:cs="Times New Roman"/>
          <w:lang w:val="en-US" w:eastAsia="fr-FR"/>
        </w:rPr>
        <w:t xml:space="preserve"> </w:t>
      </w:r>
      <w:r w:rsidR="00960BDF" w:rsidRPr="00960BDF">
        <w:rPr>
          <w:rFonts w:ascii="Times New Roman" w:eastAsia="Times New Roman" w:hAnsi="Times New Roman" w:cs="Times New Roman"/>
          <w:lang w:val="en-US" w:eastAsia="fr-FR"/>
        </w:rPr>
        <w:lastRenderedPageBreak/>
        <w:t xml:space="preserve">However, </w:t>
      </w:r>
      <w:proofErr w:type="spellStart"/>
      <w:r w:rsidR="00690020" w:rsidRPr="00960BDF">
        <w:rPr>
          <w:rFonts w:ascii="Times New Roman" w:eastAsia="Times New Roman" w:hAnsi="Times New Roman" w:cs="Times New Roman"/>
          <w:lang w:val="en-US" w:eastAsia="fr-FR"/>
        </w:rPr>
        <w:t>Hu</w:t>
      </w:r>
      <w:proofErr w:type="spellEnd"/>
      <w:r w:rsidR="00690020" w:rsidRPr="00960BDF">
        <w:rPr>
          <w:rFonts w:ascii="Times New Roman" w:eastAsia="Times New Roman" w:hAnsi="Times New Roman" w:cs="Times New Roman"/>
          <w:lang w:val="en-US" w:eastAsia="fr-FR"/>
        </w:rPr>
        <w:t xml:space="preserve"> et </w:t>
      </w:r>
      <w:r w:rsidR="00690020" w:rsidRPr="00690020">
        <w:rPr>
          <w:rFonts w:ascii="Times New Roman" w:eastAsia="Times New Roman" w:hAnsi="Times New Roman" w:cs="Times New Roman"/>
          <w:lang w:val="en-US" w:eastAsia="fr-FR"/>
        </w:rPr>
        <w:t xml:space="preserve">al (2006) using a panel dataset of commercial banks in Taiwan between 1996-1999 </w:t>
      </w:r>
      <w:r w:rsidR="00690020" w:rsidRPr="00960BDF">
        <w:rPr>
          <w:rFonts w:ascii="Times New Roman" w:eastAsia="Times New Roman" w:hAnsi="Times New Roman" w:cs="Times New Roman"/>
          <w:lang w:val="en-US" w:eastAsia="fr-FR"/>
        </w:rPr>
        <w:t>show</w:t>
      </w:r>
      <w:r w:rsidR="00690020" w:rsidRPr="00690020">
        <w:rPr>
          <w:rFonts w:ascii="Times New Roman" w:eastAsia="Times New Roman" w:hAnsi="Times New Roman" w:cs="Times New Roman"/>
          <w:lang w:val="en-US" w:eastAsia="fr-FR"/>
        </w:rPr>
        <w:t>ed</w:t>
      </w:r>
      <w:r w:rsidR="00690020" w:rsidRPr="00960BDF">
        <w:rPr>
          <w:rFonts w:ascii="Times New Roman" w:eastAsia="Times New Roman" w:hAnsi="Times New Roman" w:cs="Times New Roman"/>
          <w:lang w:val="en-US" w:eastAsia="fr-FR"/>
        </w:rPr>
        <w:t xml:space="preserve"> that banks with higher government ownership </w:t>
      </w:r>
      <w:r w:rsidR="00781A90">
        <w:rPr>
          <w:rFonts w:ascii="Times New Roman" w:eastAsia="Times New Roman" w:hAnsi="Times New Roman" w:cs="Times New Roman"/>
          <w:lang w:val="en-US" w:eastAsia="fr-FR"/>
        </w:rPr>
        <w:t>percentage record</w:t>
      </w:r>
      <w:r w:rsidR="00690020" w:rsidRPr="00960BDF">
        <w:rPr>
          <w:rFonts w:ascii="Times New Roman" w:eastAsia="Times New Roman" w:hAnsi="Times New Roman" w:cs="Times New Roman"/>
          <w:lang w:val="en-US" w:eastAsia="fr-FR"/>
        </w:rPr>
        <w:t xml:space="preserve"> lower non-performing loans. </w:t>
      </w:r>
      <w:r w:rsidR="00781A90">
        <w:rPr>
          <w:rFonts w:ascii="Times New Roman" w:eastAsia="Times New Roman" w:hAnsi="Times New Roman" w:cs="Times New Roman"/>
          <w:lang w:val="en-US" w:eastAsia="fr-FR"/>
        </w:rPr>
        <w:t>I</w:t>
      </w:r>
      <w:r w:rsidR="00781A90" w:rsidRPr="00960BDF">
        <w:rPr>
          <w:rFonts w:ascii="Times New Roman" w:eastAsia="Times New Roman" w:hAnsi="Times New Roman" w:cs="Times New Roman"/>
          <w:lang w:val="en-US" w:eastAsia="fr-FR"/>
        </w:rPr>
        <w:t>n recent times</w:t>
      </w:r>
      <w:r w:rsidR="00690020" w:rsidRPr="00690020">
        <w:rPr>
          <w:rFonts w:ascii="Times New Roman" w:eastAsia="Times New Roman" w:hAnsi="Times New Roman" w:cs="Times New Roman"/>
          <w:lang w:val="en-US" w:eastAsia="fr-FR"/>
        </w:rPr>
        <w:t xml:space="preserve">, </w:t>
      </w:r>
      <w:r w:rsidR="00960BDF" w:rsidRPr="00960BDF">
        <w:rPr>
          <w:rFonts w:ascii="Times New Roman" w:eastAsia="Times New Roman" w:hAnsi="Times New Roman" w:cs="Times New Roman"/>
          <w:lang w:val="en-US" w:eastAsia="fr-FR"/>
        </w:rPr>
        <w:t xml:space="preserve">Garcia-Marco and Robles-Fernandez (2007) </w:t>
      </w:r>
      <w:r w:rsidR="00690020" w:rsidRPr="00690020">
        <w:rPr>
          <w:rFonts w:ascii="Times New Roman" w:eastAsia="Times New Roman" w:hAnsi="Times New Roman" w:cs="Times New Roman"/>
          <w:lang w:val="en-US" w:eastAsia="fr-FR"/>
        </w:rPr>
        <w:t>provide evidence</w:t>
      </w:r>
      <w:r w:rsidR="00781A90">
        <w:rPr>
          <w:rFonts w:ascii="Times New Roman" w:eastAsia="Times New Roman" w:hAnsi="Times New Roman" w:cs="Times New Roman"/>
          <w:lang w:val="en-US" w:eastAsia="fr-FR"/>
        </w:rPr>
        <w:t xml:space="preserve"> that </w:t>
      </w:r>
      <w:r w:rsidR="00781A90" w:rsidRPr="00960BDF">
        <w:rPr>
          <w:rFonts w:ascii="Times New Roman" w:eastAsia="Times New Roman" w:hAnsi="Times New Roman" w:cs="Times New Roman"/>
          <w:lang w:val="en-US" w:eastAsia="fr-FR"/>
        </w:rPr>
        <w:t xml:space="preserve">private owned </w:t>
      </w:r>
      <w:r w:rsidR="00781A90">
        <w:rPr>
          <w:rFonts w:ascii="Times New Roman" w:eastAsia="Times New Roman" w:hAnsi="Times New Roman" w:cs="Times New Roman"/>
          <w:lang w:val="en-US" w:eastAsia="fr-FR"/>
        </w:rPr>
        <w:t>banks</w:t>
      </w:r>
      <w:r w:rsidR="00960BDF" w:rsidRPr="00960BDF">
        <w:rPr>
          <w:rFonts w:ascii="Times New Roman" w:eastAsia="Times New Roman" w:hAnsi="Times New Roman" w:cs="Times New Roman"/>
          <w:lang w:val="en-US" w:eastAsia="fr-FR"/>
        </w:rPr>
        <w:t xml:space="preserve"> are more exposed to risk than </w:t>
      </w:r>
      <w:r w:rsidR="00781A90" w:rsidRPr="00960BDF">
        <w:rPr>
          <w:rFonts w:ascii="Times New Roman" w:eastAsia="Times New Roman" w:hAnsi="Times New Roman" w:cs="Times New Roman"/>
          <w:lang w:val="en-US" w:eastAsia="fr-FR"/>
        </w:rPr>
        <w:t xml:space="preserve">state owned </w:t>
      </w:r>
      <w:r w:rsidR="00960BDF" w:rsidRPr="00960BDF">
        <w:rPr>
          <w:rFonts w:ascii="Times New Roman" w:eastAsia="Times New Roman" w:hAnsi="Times New Roman" w:cs="Times New Roman"/>
          <w:lang w:val="en-US" w:eastAsia="fr-FR"/>
        </w:rPr>
        <w:t xml:space="preserve">banks. </w:t>
      </w:r>
      <w:r w:rsidR="00525714">
        <w:rPr>
          <w:rFonts w:ascii="Times New Roman" w:eastAsia="Times New Roman" w:hAnsi="Times New Roman" w:cs="Times New Roman"/>
          <w:lang w:val="en-US" w:eastAsia="fr-FR"/>
        </w:rPr>
        <w:t xml:space="preserve">Nevertheless, </w:t>
      </w:r>
      <w:r w:rsidR="00960BDF" w:rsidRPr="00960BDF">
        <w:rPr>
          <w:rFonts w:ascii="Times New Roman" w:eastAsia="Times New Roman" w:hAnsi="Times New Roman" w:cs="Times New Roman"/>
          <w:lang w:val="en-US" w:eastAsia="fr-FR"/>
        </w:rPr>
        <w:t xml:space="preserve">Rainer and Paul (2007) </w:t>
      </w:r>
      <w:r w:rsidR="00525714">
        <w:rPr>
          <w:rFonts w:ascii="Times New Roman" w:eastAsia="Times New Roman" w:hAnsi="Times New Roman" w:cs="Times New Roman"/>
          <w:lang w:val="en-US" w:eastAsia="fr-FR"/>
        </w:rPr>
        <w:t>found</w:t>
      </w:r>
      <w:r w:rsidR="00690020" w:rsidRPr="00690020">
        <w:rPr>
          <w:rFonts w:ascii="Times New Roman" w:eastAsia="Times New Roman" w:hAnsi="Times New Roman" w:cs="Times New Roman"/>
          <w:lang w:val="en-US" w:eastAsia="fr-FR"/>
        </w:rPr>
        <w:t xml:space="preserve"> </w:t>
      </w:r>
      <w:r w:rsidR="00960BDF" w:rsidRPr="00960BDF">
        <w:rPr>
          <w:rFonts w:ascii="Times New Roman" w:eastAsia="Times New Roman" w:hAnsi="Times New Roman" w:cs="Times New Roman"/>
          <w:lang w:val="en-US" w:eastAsia="fr-FR"/>
        </w:rPr>
        <w:t>no indication</w:t>
      </w:r>
      <w:r w:rsidR="000B3161" w:rsidRPr="00690020">
        <w:rPr>
          <w:rFonts w:ascii="Times New Roman" w:eastAsia="Times New Roman" w:hAnsi="Times New Roman" w:cs="Times New Roman"/>
          <w:lang w:val="en-US" w:eastAsia="fr-FR"/>
        </w:rPr>
        <w:t xml:space="preserve"> </w:t>
      </w:r>
      <w:r w:rsidR="00960BDF" w:rsidRPr="00960BDF">
        <w:rPr>
          <w:rFonts w:ascii="Times New Roman" w:eastAsia="Times New Roman" w:hAnsi="Times New Roman" w:cs="Times New Roman"/>
          <w:lang w:val="en-US" w:eastAsia="fr-FR"/>
        </w:rPr>
        <w:t>of excessive risk taki</w:t>
      </w:r>
      <w:r w:rsidR="00525714">
        <w:rPr>
          <w:rFonts w:ascii="Times New Roman" w:eastAsia="Times New Roman" w:hAnsi="Times New Roman" w:cs="Times New Roman"/>
          <w:lang w:val="en-US" w:eastAsia="fr-FR"/>
        </w:rPr>
        <w:t xml:space="preserve">ng by any </w:t>
      </w:r>
      <w:r w:rsidR="00525714" w:rsidRPr="00960BDF">
        <w:rPr>
          <w:rFonts w:ascii="Times New Roman" w:eastAsia="Times New Roman" w:hAnsi="Times New Roman" w:cs="Times New Roman"/>
          <w:lang w:val="en-US" w:eastAsia="fr-FR"/>
        </w:rPr>
        <w:t>banks</w:t>
      </w:r>
      <w:r w:rsidR="00525714">
        <w:rPr>
          <w:rFonts w:ascii="Times New Roman" w:eastAsia="Times New Roman" w:hAnsi="Times New Roman" w:cs="Times New Roman"/>
          <w:lang w:val="en-US" w:eastAsia="fr-FR"/>
        </w:rPr>
        <w:t>’ specific ownership structure</w:t>
      </w:r>
      <w:r w:rsidR="00690020" w:rsidRPr="00CD7D90">
        <w:rPr>
          <w:rFonts w:ascii="Times New Roman" w:eastAsia="Times New Roman" w:hAnsi="Times New Roman" w:cs="Times New Roman"/>
          <w:lang w:val="en-US" w:eastAsia="fr-FR"/>
        </w:rPr>
        <w:t>.</w:t>
      </w:r>
    </w:p>
    <w:p w:rsidR="003160A2" w:rsidRPr="00A97510" w:rsidRDefault="00597BF2" w:rsidP="00AC3B76">
      <w:pPr>
        <w:autoSpaceDE w:val="0"/>
        <w:autoSpaceDN w:val="0"/>
        <w:adjustRightInd w:val="0"/>
        <w:spacing w:before="240" w:after="0" w:line="276" w:lineRule="auto"/>
        <w:jc w:val="both"/>
        <w:rPr>
          <w:rFonts w:ascii="Times New Roman" w:hAnsi="Times New Roman" w:cs="Times New Roman"/>
          <w:lang w:val="en-US"/>
        </w:rPr>
      </w:pPr>
      <w:r w:rsidRPr="00A76ED6">
        <w:rPr>
          <w:rFonts w:ascii="Times New Roman" w:eastAsia="Times New Roman" w:hAnsi="Times New Roman" w:cs="Times New Roman"/>
          <w:lang w:val="en-US" w:eastAsia="fr-FR"/>
        </w:rPr>
        <w:t xml:space="preserve">Considering </w:t>
      </w:r>
      <w:r w:rsidR="00CD7D90" w:rsidRPr="00A76ED6">
        <w:rPr>
          <w:rFonts w:ascii="Times New Roman" w:eastAsia="Times New Roman" w:hAnsi="Times New Roman" w:cs="Times New Roman"/>
          <w:lang w:val="en-US" w:eastAsia="fr-FR"/>
        </w:rPr>
        <w:t>capital adequacy</w:t>
      </w:r>
      <w:r w:rsidRPr="00A76ED6">
        <w:rPr>
          <w:rFonts w:ascii="Times New Roman" w:eastAsia="Times New Roman" w:hAnsi="Times New Roman" w:cs="Times New Roman"/>
          <w:lang w:val="en-US" w:eastAsia="fr-FR"/>
        </w:rPr>
        <w:t>, i</w:t>
      </w:r>
      <w:r w:rsidR="00361387" w:rsidRPr="00361387">
        <w:rPr>
          <w:rFonts w:ascii="Times New Roman" w:eastAsia="Times New Roman" w:hAnsi="Times New Roman" w:cs="Times New Roman"/>
          <w:lang w:val="en-US" w:eastAsia="fr-FR"/>
        </w:rPr>
        <w:t xml:space="preserve">t is </w:t>
      </w:r>
      <w:r w:rsidRPr="00A76ED6">
        <w:rPr>
          <w:rFonts w:ascii="Times New Roman" w:eastAsia="Times New Roman" w:hAnsi="Times New Roman" w:cs="Times New Roman"/>
          <w:lang w:val="en-US" w:eastAsia="fr-FR"/>
        </w:rPr>
        <w:t>commonly</w:t>
      </w:r>
      <w:r w:rsidR="00361387" w:rsidRPr="00361387">
        <w:rPr>
          <w:rFonts w:ascii="Times New Roman" w:eastAsia="Times New Roman" w:hAnsi="Times New Roman" w:cs="Times New Roman"/>
          <w:lang w:val="en-US" w:eastAsia="fr-FR"/>
        </w:rPr>
        <w:t xml:space="preserve"> accepted in literature that low capital adequacy ratio is associated with higher probability of bank’s default</w:t>
      </w:r>
      <w:r w:rsidRPr="00A76ED6">
        <w:rPr>
          <w:rFonts w:ascii="Times New Roman" w:eastAsia="Times New Roman" w:hAnsi="Times New Roman" w:cs="Times New Roman"/>
          <w:lang w:val="en-US" w:eastAsia="fr-FR"/>
        </w:rPr>
        <w:t>.</w:t>
      </w:r>
      <w:r w:rsidR="00361387" w:rsidRPr="00361387">
        <w:rPr>
          <w:rFonts w:ascii="Times New Roman" w:eastAsia="Times New Roman" w:hAnsi="Times New Roman" w:cs="Times New Roman"/>
          <w:lang w:val="en-US" w:eastAsia="fr-FR"/>
        </w:rPr>
        <w:t xml:space="preserve"> </w:t>
      </w:r>
      <w:r w:rsidRPr="00A76ED6">
        <w:rPr>
          <w:rFonts w:ascii="Times New Roman" w:eastAsia="Times New Roman" w:hAnsi="Times New Roman" w:cs="Times New Roman"/>
          <w:lang w:val="en-US" w:eastAsia="fr-FR"/>
        </w:rPr>
        <w:t xml:space="preserve">According to moral hazard theory, </w:t>
      </w:r>
      <w:r w:rsidR="00361387" w:rsidRPr="00361387">
        <w:rPr>
          <w:rFonts w:ascii="Times New Roman" w:eastAsia="Times New Roman" w:hAnsi="Times New Roman" w:cs="Times New Roman"/>
          <w:lang w:val="en-US" w:eastAsia="fr-FR"/>
        </w:rPr>
        <w:t xml:space="preserve">it may induce management to </w:t>
      </w:r>
      <w:r w:rsidRPr="00A76ED6">
        <w:rPr>
          <w:rFonts w:ascii="Times New Roman" w:eastAsia="Times New Roman" w:hAnsi="Times New Roman" w:cs="Times New Roman"/>
          <w:lang w:val="en-US" w:eastAsia="fr-FR"/>
        </w:rPr>
        <w:t>engage</w:t>
      </w:r>
      <w:r w:rsidR="00361387" w:rsidRPr="00361387">
        <w:rPr>
          <w:rFonts w:ascii="Times New Roman" w:eastAsia="Times New Roman" w:hAnsi="Times New Roman" w:cs="Times New Roman"/>
          <w:lang w:val="en-US" w:eastAsia="fr-FR"/>
        </w:rPr>
        <w:t xml:space="preserve"> in more risky</w:t>
      </w:r>
      <w:r w:rsidR="00FA73FB" w:rsidRPr="00A76ED6">
        <w:rPr>
          <w:rFonts w:ascii="Times New Roman" w:eastAsia="Times New Roman" w:hAnsi="Times New Roman" w:cs="Times New Roman"/>
          <w:lang w:val="en-US" w:eastAsia="fr-FR"/>
        </w:rPr>
        <w:t xml:space="preserve"> project</w:t>
      </w:r>
      <w:r w:rsidR="00361387" w:rsidRPr="00361387">
        <w:rPr>
          <w:rFonts w:ascii="Times New Roman" w:eastAsia="Times New Roman" w:hAnsi="Times New Roman" w:cs="Times New Roman"/>
          <w:lang w:val="en-US" w:eastAsia="fr-FR"/>
        </w:rPr>
        <w:t xml:space="preserve"> (Berger</w:t>
      </w:r>
      <w:r w:rsidRPr="00A76ED6">
        <w:rPr>
          <w:rFonts w:ascii="Times New Roman" w:eastAsia="Times New Roman" w:hAnsi="Times New Roman" w:cs="Times New Roman"/>
          <w:lang w:val="en-US" w:eastAsia="fr-FR"/>
        </w:rPr>
        <w:t xml:space="preserve"> and</w:t>
      </w:r>
      <w:r w:rsidR="00361387" w:rsidRPr="00361387">
        <w:rPr>
          <w:rFonts w:ascii="Times New Roman" w:eastAsia="Times New Roman" w:hAnsi="Times New Roman" w:cs="Times New Roman"/>
          <w:lang w:val="en-US" w:eastAsia="fr-FR"/>
        </w:rPr>
        <w:t xml:space="preserve"> </w:t>
      </w:r>
      <w:proofErr w:type="spellStart"/>
      <w:r w:rsidR="00361387" w:rsidRPr="00361387">
        <w:rPr>
          <w:rFonts w:ascii="Times New Roman" w:eastAsia="Times New Roman" w:hAnsi="Times New Roman" w:cs="Times New Roman"/>
          <w:lang w:val="en-US" w:eastAsia="fr-FR"/>
        </w:rPr>
        <w:t>DeYoung</w:t>
      </w:r>
      <w:proofErr w:type="spellEnd"/>
      <w:r w:rsidR="00D966C5">
        <w:rPr>
          <w:rFonts w:ascii="Times New Roman" w:eastAsia="Times New Roman" w:hAnsi="Times New Roman" w:cs="Times New Roman"/>
          <w:lang w:val="en-US" w:eastAsia="fr-FR"/>
        </w:rPr>
        <w:t>,</w:t>
      </w:r>
      <w:r w:rsidR="00361387" w:rsidRPr="00361387">
        <w:rPr>
          <w:rFonts w:ascii="Times New Roman" w:eastAsia="Times New Roman" w:hAnsi="Times New Roman" w:cs="Times New Roman"/>
          <w:lang w:val="en-US" w:eastAsia="fr-FR"/>
        </w:rPr>
        <w:t xml:space="preserve"> </w:t>
      </w:r>
      <w:r w:rsidR="00D966C5">
        <w:rPr>
          <w:rFonts w:ascii="Times New Roman" w:eastAsia="Times New Roman" w:hAnsi="Times New Roman" w:cs="Times New Roman"/>
          <w:lang w:val="en-US" w:eastAsia="fr-FR"/>
        </w:rPr>
        <w:t>1997</w:t>
      </w:r>
      <w:r w:rsidR="00361387" w:rsidRPr="00361387">
        <w:rPr>
          <w:rFonts w:ascii="Times New Roman" w:eastAsia="Times New Roman" w:hAnsi="Times New Roman" w:cs="Times New Roman"/>
          <w:lang w:val="en-US" w:eastAsia="fr-FR"/>
        </w:rPr>
        <w:t xml:space="preserve">). </w:t>
      </w:r>
      <w:r w:rsidRPr="00A76ED6">
        <w:rPr>
          <w:rFonts w:ascii="Times New Roman" w:eastAsia="Times New Roman" w:hAnsi="Times New Roman" w:cs="Times New Roman"/>
          <w:lang w:val="en-US" w:eastAsia="fr-FR"/>
        </w:rPr>
        <w:t xml:space="preserve">Salas and </w:t>
      </w:r>
      <w:proofErr w:type="spellStart"/>
      <w:r w:rsidRPr="00A76ED6">
        <w:rPr>
          <w:rFonts w:ascii="Times New Roman" w:eastAsia="Times New Roman" w:hAnsi="Times New Roman" w:cs="Times New Roman"/>
          <w:lang w:val="en-US" w:eastAsia="fr-FR"/>
        </w:rPr>
        <w:t>Saurina</w:t>
      </w:r>
      <w:proofErr w:type="spellEnd"/>
      <w:r w:rsidRPr="00A76ED6">
        <w:rPr>
          <w:rFonts w:ascii="Times New Roman" w:eastAsia="Times New Roman" w:hAnsi="Times New Roman" w:cs="Times New Roman"/>
          <w:lang w:val="en-US" w:eastAsia="fr-FR"/>
        </w:rPr>
        <w:t xml:space="preserve"> (2002) and </w:t>
      </w:r>
      <w:r w:rsidR="00361387" w:rsidRPr="00361387">
        <w:rPr>
          <w:rFonts w:ascii="Times New Roman" w:eastAsia="Times New Roman" w:hAnsi="Times New Roman" w:cs="Times New Roman"/>
          <w:lang w:val="en-US" w:eastAsia="fr-FR"/>
        </w:rPr>
        <w:t>Berger</w:t>
      </w:r>
      <w:r w:rsidRPr="00A76ED6">
        <w:rPr>
          <w:rFonts w:ascii="Times New Roman" w:eastAsia="Times New Roman" w:hAnsi="Times New Roman" w:cs="Times New Roman"/>
          <w:lang w:val="en-US" w:eastAsia="fr-FR"/>
        </w:rPr>
        <w:t xml:space="preserve"> and </w:t>
      </w:r>
      <w:proofErr w:type="spellStart"/>
      <w:r w:rsidRPr="00A76ED6">
        <w:rPr>
          <w:rFonts w:ascii="Times New Roman" w:eastAsia="Times New Roman" w:hAnsi="Times New Roman" w:cs="Times New Roman"/>
          <w:lang w:val="en-US" w:eastAsia="fr-FR"/>
        </w:rPr>
        <w:t>DeYoung</w:t>
      </w:r>
      <w:proofErr w:type="spellEnd"/>
      <w:r w:rsidRPr="00A76ED6">
        <w:rPr>
          <w:rFonts w:ascii="Times New Roman" w:eastAsia="Times New Roman" w:hAnsi="Times New Roman" w:cs="Times New Roman"/>
          <w:lang w:val="en-US" w:eastAsia="fr-FR"/>
        </w:rPr>
        <w:t xml:space="preserve"> (</w:t>
      </w:r>
      <w:r w:rsidR="00361387" w:rsidRPr="00361387">
        <w:rPr>
          <w:rFonts w:ascii="Times New Roman" w:eastAsia="Times New Roman" w:hAnsi="Times New Roman" w:cs="Times New Roman"/>
          <w:lang w:val="en-US" w:eastAsia="fr-FR"/>
        </w:rPr>
        <w:t>1997)</w:t>
      </w:r>
      <w:r w:rsidRPr="00A76ED6">
        <w:rPr>
          <w:rFonts w:ascii="Times New Roman" w:eastAsia="Times New Roman" w:hAnsi="Times New Roman" w:cs="Times New Roman"/>
          <w:lang w:val="en-US" w:eastAsia="fr-FR"/>
        </w:rPr>
        <w:t xml:space="preserve"> confirm this statement</w:t>
      </w:r>
      <w:r w:rsidR="00361387" w:rsidRPr="00361387">
        <w:rPr>
          <w:rFonts w:ascii="Times New Roman" w:eastAsia="Times New Roman" w:hAnsi="Times New Roman" w:cs="Times New Roman"/>
          <w:lang w:val="en-US" w:eastAsia="fr-FR"/>
        </w:rPr>
        <w:t>.</w:t>
      </w:r>
      <w:r w:rsidR="00FA73FB" w:rsidRPr="00A76ED6">
        <w:rPr>
          <w:rFonts w:ascii="Times New Roman" w:eastAsia="Times New Roman" w:hAnsi="Times New Roman" w:cs="Times New Roman"/>
          <w:lang w:val="en-US" w:eastAsia="fr-FR"/>
        </w:rPr>
        <w:t xml:space="preserve"> </w:t>
      </w:r>
      <w:r w:rsidR="00FA73FB" w:rsidRPr="00A76ED6">
        <w:rPr>
          <w:rFonts w:ascii="Times New Roman" w:hAnsi="Times New Roman" w:cs="Times New Roman"/>
          <w:lang w:val="en-US"/>
        </w:rPr>
        <w:t xml:space="preserve">Furlong and </w:t>
      </w:r>
      <w:proofErr w:type="spellStart"/>
      <w:r w:rsidR="00FA73FB" w:rsidRPr="00A76ED6">
        <w:rPr>
          <w:rFonts w:ascii="Times New Roman" w:hAnsi="Times New Roman" w:cs="Times New Roman"/>
          <w:lang w:val="en-US"/>
        </w:rPr>
        <w:t>Keely</w:t>
      </w:r>
      <w:proofErr w:type="spellEnd"/>
      <w:r w:rsidR="00FA73FB" w:rsidRPr="00A76ED6">
        <w:rPr>
          <w:rFonts w:ascii="Times New Roman" w:hAnsi="Times New Roman" w:cs="Times New Roman"/>
          <w:lang w:val="en-US"/>
        </w:rPr>
        <w:t xml:space="preserve"> (1989) and </w:t>
      </w:r>
      <w:proofErr w:type="spellStart"/>
      <w:r w:rsidR="00FA73FB" w:rsidRPr="00A76ED6">
        <w:rPr>
          <w:rFonts w:ascii="Times New Roman" w:hAnsi="Times New Roman" w:cs="Times New Roman"/>
          <w:lang w:val="en-US"/>
        </w:rPr>
        <w:t>Keely</w:t>
      </w:r>
      <w:proofErr w:type="spellEnd"/>
      <w:r w:rsidR="00FA73FB" w:rsidRPr="00A76ED6">
        <w:rPr>
          <w:rFonts w:ascii="Times New Roman" w:hAnsi="Times New Roman" w:cs="Times New Roman"/>
          <w:lang w:val="en-US"/>
        </w:rPr>
        <w:t xml:space="preserve"> and Furlong (1990) show that</w:t>
      </w:r>
      <w:r w:rsidR="008601D1">
        <w:rPr>
          <w:rFonts w:ascii="Times New Roman" w:hAnsi="Times New Roman" w:cs="Times New Roman"/>
          <w:lang w:val="en-US"/>
        </w:rPr>
        <w:t xml:space="preserve"> capital requirement</w:t>
      </w:r>
      <w:r w:rsidR="00FA73FB" w:rsidRPr="00A76ED6">
        <w:rPr>
          <w:rFonts w:ascii="Times New Roman" w:hAnsi="Times New Roman" w:cs="Times New Roman"/>
          <w:lang w:val="en-US"/>
        </w:rPr>
        <w:t xml:space="preserve"> may </w:t>
      </w:r>
      <w:r w:rsidR="00F12DDD" w:rsidRPr="00A76ED6">
        <w:rPr>
          <w:rFonts w:ascii="Times New Roman" w:hAnsi="Times New Roman" w:cs="Times New Roman"/>
          <w:lang w:val="en-US"/>
        </w:rPr>
        <w:t>reduce</w:t>
      </w:r>
      <w:r w:rsidR="00FA73FB" w:rsidRPr="00A76ED6">
        <w:rPr>
          <w:rFonts w:ascii="Times New Roman" w:hAnsi="Times New Roman" w:cs="Times New Roman"/>
          <w:lang w:val="en-US"/>
        </w:rPr>
        <w:t xml:space="preserve"> bank risk</w:t>
      </w:r>
      <w:r w:rsidR="00F12DDD">
        <w:rPr>
          <w:rFonts w:ascii="Times New Roman" w:hAnsi="Times New Roman" w:cs="Times New Roman"/>
          <w:lang w:val="en-US"/>
        </w:rPr>
        <w:t xml:space="preserve">s. Indeed, </w:t>
      </w:r>
      <w:r w:rsidR="00FA73FB" w:rsidRPr="00A76ED6">
        <w:rPr>
          <w:rFonts w:ascii="Times New Roman" w:hAnsi="Times New Roman" w:cs="Times New Roman"/>
          <w:lang w:val="en-US"/>
        </w:rPr>
        <w:t>the optio</w:t>
      </w:r>
      <w:r w:rsidR="00352DF2">
        <w:rPr>
          <w:rFonts w:ascii="Times New Roman" w:hAnsi="Times New Roman" w:cs="Times New Roman"/>
          <w:lang w:val="en-US"/>
        </w:rPr>
        <w:t xml:space="preserve">n value of deposit insurance </w:t>
      </w:r>
      <w:r w:rsidR="00FA73FB" w:rsidRPr="00A76ED6">
        <w:rPr>
          <w:rFonts w:ascii="Times New Roman" w:hAnsi="Times New Roman" w:cs="Times New Roman"/>
          <w:lang w:val="en-US"/>
        </w:rPr>
        <w:t>decreas</w:t>
      </w:r>
      <w:r w:rsidR="00352DF2">
        <w:rPr>
          <w:rFonts w:ascii="Times New Roman" w:hAnsi="Times New Roman" w:cs="Times New Roman"/>
          <w:lang w:val="en-US"/>
        </w:rPr>
        <w:t>e</w:t>
      </w:r>
      <w:r w:rsidR="00FA73FB" w:rsidRPr="00A76ED6">
        <w:rPr>
          <w:rFonts w:ascii="Times New Roman" w:hAnsi="Times New Roman" w:cs="Times New Roman"/>
          <w:lang w:val="en-US"/>
        </w:rPr>
        <w:t xml:space="preserve"> in a bank's leverage.</w:t>
      </w:r>
      <w:r w:rsidR="00A76ED6" w:rsidRPr="00A76ED6">
        <w:rPr>
          <w:rFonts w:ascii="Times New Roman" w:hAnsi="Times New Roman" w:cs="Times New Roman"/>
          <w:lang w:val="en-US"/>
        </w:rPr>
        <w:t xml:space="preserve"> </w:t>
      </w:r>
      <w:r w:rsidR="008601D1">
        <w:rPr>
          <w:rFonts w:ascii="Times New Roman" w:hAnsi="Times New Roman" w:cs="Times New Roman"/>
          <w:lang w:val="en-US"/>
        </w:rPr>
        <w:t>That’s why The Basle Accord</w:t>
      </w:r>
      <w:r w:rsidR="00FA73FB" w:rsidRPr="00A76ED6">
        <w:rPr>
          <w:rFonts w:ascii="Times New Roman" w:hAnsi="Times New Roman" w:cs="Times New Roman"/>
          <w:lang w:val="en-US"/>
        </w:rPr>
        <w:t xml:space="preserve"> </w:t>
      </w:r>
      <w:r w:rsidR="008601D1">
        <w:rPr>
          <w:rFonts w:ascii="Times New Roman" w:hAnsi="Times New Roman" w:cs="Times New Roman"/>
          <w:lang w:val="en-US"/>
        </w:rPr>
        <w:t>obliges</w:t>
      </w:r>
      <w:r w:rsidR="00FA73FB" w:rsidRPr="00A76ED6">
        <w:rPr>
          <w:rFonts w:ascii="Times New Roman" w:hAnsi="Times New Roman" w:cs="Times New Roman"/>
          <w:lang w:val="en-US"/>
        </w:rPr>
        <w:t xml:space="preserve"> banks to maintain a certain level of capital for risk-weighted assets. Nevertheless, </w:t>
      </w:r>
      <w:proofErr w:type="spellStart"/>
      <w:r w:rsidR="00FA73FB" w:rsidRPr="00A76ED6">
        <w:rPr>
          <w:rFonts w:ascii="Times New Roman" w:hAnsi="Times New Roman" w:cs="Times New Roman"/>
          <w:lang w:val="en-US"/>
        </w:rPr>
        <w:t>Kohen</w:t>
      </w:r>
      <w:proofErr w:type="spellEnd"/>
      <w:r w:rsidR="00FA73FB" w:rsidRPr="00A76ED6">
        <w:rPr>
          <w:rFonts w:ascii="Times New Roman" w:hAnsi="Times New Roman" w:cs="Times New Roman"/>
          <w:lang w:val="en-US"/>
        </w:rPr>
        <w:t xml:space="preserve"> and </w:t>
      </w:r>
      <w:proofErr w:type="spellStart"/>
      <w:r w:rsidR="00FA73FB" w:rsidRPr="00A76ED6">
        <w:rPr>
          <w:rFonts w:ascii="Times New Roman" w:hAnsi="Times New Roman" w:cs="Times New Roman"/>
          <w:lang w:val="en-US"/>
        </w:rPr>
        <w:t>Santomero</w:t>
      </w:r>
      <w:proofErr w:type="spellEnd"/>
      <w:r w:rsidR="00FA73FB" w:rsidRPr="00A76ED6">
        <w:rPr>
          <w:rFonts w:ascii="Times New Roman" w:hAnsi="Times New Roman" w:cs="Times New Roman"/>
          <w:lang w:val="en-US"/>
        </w:rPr>
        <w:t xml:space="preserve"> (1980) and Kim and </w:t>
      </w:r>
      <w:proofErr w:type="spellStart"/>
      <w:r w:rsidR="00FA73FB" w:rsidRPr="00A76ED6">
        <w:rPr>
          <w:rFonts w:ascii="Times New Roman" w:hAnsi="Times New Roman" w:cs="Times New Roman"/>
          <w:lang w:val="en-US"/>
        </w:rPr>
        <w:t>Santomero</w:t>
      </w:r>
      <w:proofErr w:type="spellEnd"/>
      <w:r w:rsidR="00FA73FB" w:rsidRPr="00A76ED6">
        <w:rPr>
          <w:rFonts w:ascii="Times New Roman" w:hAnsi="Times New Roman" w:cs="Times New Roman"/>
          <w:lang w:val="en-US"/>
        </w:rPr>
        <w:t xml:space="preserve"> (1988) </w:t>
      </w:r>
      <w:r w:rsidR="00A76ED6" w:rsidRPr="00A76ED6">
        <w:rPr>
          <w:rFonts w:ascii="Times New Roman" w:hAnsi="Times New Roman" w:cs="Times New Roman"/>
          <w:lang w:val="en-US"/>
        </w:rPr>
        <w:t>show</w:t>
      </w:r>
      <w:r w:rsidR="00FA73FB" w:rsidRPr="00A76ED6">
        <w:rPr>
          <w:rFonts w:ascii="Times New Roman" w:hAnsi="Times New Roman" w:cs="Times New Roman"/>
          <w:lang w:val="en-US"/>
        </w:rPr>
        <w:t xml:space="preserve"> </w:t>
      </w:r>
      <w:r w:rsidR="008601D1">
        <w:rPr>
          <w:rFonts w:ascii="Times New Roman" w:hAnsi="Times New Roman" w:cs="Times New Roman"/>
          <w:lang w:val="en-US"/>
        </w:rPr>
        <w:t xml:space="preserve">that </w:t>
      </w:r>
      <w:r w:rsidR="00FA73FB" w:rsidRPr="00A76ED6">
        <w:rPr>
          <w:rFonts w:ascii="Times New Roman" w:hAnsi="Times New Roman" w:cs="Times New Roman"/>
          <w:lang w:val="en-US"/>
        </w:rPr>
        <w:t>capita</w:t>
      </w:r>
      <w:r w:rsidR="008601D1">
        <w:rPr>
          <w:rFonts w:ascii="Times New Roman" w:hAnsi="Times New Roman" w:cs="Times New Roman"/>
          <w:lang w:val="en-US"/>
        </w:rPr>
        <w:t>l requirements</w:t>
      </w:r>
      <w:r w:rsidR="00FA73FB" w:rsidRPr="00A76ED6">
        <w:rPr>
          <w:rFonts w:ascii="Times New Roman" w:hAnsi="Times New Roman" w:cs="Times New Roman"/>
          <w:lang w:val="en-US"/>
        </w:rPr>
        <w:t xml:space="preserve"> </w:t>
      </w:r>
      <w:r w:rsidR="00A76ED6" w:rsidRPr="00A76ED6">
        <w:rPr>
          <w:rFonts w:ascii="Times New Roman" w:hAnsi="Times New Roman" w:cs="Times New Roman"/>
          <w:lang w:val="en-US"/>
        </w:rPr>
        <w:t xml:space="preserve">can be positively correlated to </w:t>
      </w:r>
      <w:r w:rsidR="00FA73FB" w:rsidRPr="00A76ED6">
        <w:rPr>
          <w:rFonts w:ascii="Times New Roman" w:hAnsi="Times New Roman" w:cs="Times New Roman"/>
          <w:lang w:val="en-US"/>
        </w:rPr>
        <w:t xml:space="preserve">risk taking at commercial banks. </w:t>
      </w:r>
      <w:r w:rsidR="00A76ED6" w:rsidRPr="00A76ED6">
        <w:rPr>
          <w:rFonts w:ascii="Times New Roman" w:hAnsi="Times New Roman" w:cs="Times New Roman"/>
          <w:lang w:val="en-US"/>
        </w:rPr>
        <w:t>Indeed, since</w:t>
      </w:r>
      <w:r w:rsidR="00FA73FB" w:rsidRPr="00A76ED6">
        <w:rPr>
          <w:rFonts w:ascii="Times New Roman" w:hAnsi="Times New Roman" w:cs="Times New Roman"/>
          <w:lang w:val="en-US"/>
        </w:rPr>
        <w:t xml:space="preserve"> the capital requirements restrict the risk-return frontier of a bank, the </w:t>
      </w:r>
      <w:r w:rsidR="00C61235" w:rsidRPr="00A76ED6">
        <w:rPr>
          <w:rFonts w:ascii="Times New Roman" w:hAnsi="Times New Roman" w:cs="Times New Roman"/>
          <w:lang w:val="en-US"/>
        </w:rPr>
        <w:t>obligatory</w:t>
      </w:r>
      <w:r w:rsidR="00FA73FB" w:rsidRPr="00A76ED6">
        <w:rPr>
          <w:rFonts w:ascii="Times New Roman" w:hAnsi="Times New Roman" w:cs="Times New Roman"/>
          <w:lang w:val="en-US"/>
        </w:rPr>
        <w:t xml:space="preserve"> reduction in leverage may </w:t>
      </w:r>
      <w:r w:rsidR="00C61235">
        <w:rPr>
          <w:rFonts w:ascii="Times New Roman" w:hAnsi="Times New Roman" w:cs="Times New Roman"/>
          <w:lang w:val="en-US"/>
        </w:rPr>
        <w:t>forces</w:t>
      </w:r>
      <w:r w:rsidR="00FA73FB" w:rsidRPr="00A76ED6">
        <w:rPr>
          <w:rFonts w:ascii="Times New Roman" w:hAnsi="Times New Roman" w:cs="Times New Roman"/>
          <w:lang w:val="en-US"/>
        </w:rPr>
        <w:t xml:space="preserve"> the bank to </w:t>
      </w:r>
      <w:r w:rsidR="00C61235" w:rsidRPr="00A76ED6">
        <w:rPr>
          <w:rFonts w:ascii="Times New Roman" w:hAnsi="Times New Roman" w:cs="Times New Roman"/>
          <w:lang w:val="en-US"/>
        </w:rPr>
        <w:t>ad</w:t>
      </w:r>
      <w:r w:rsidR="00C61235">
        <w:rPr>
          <w:rFonts w:ascii="Times New Roman" w:hAnsi="Times New Roman" w:cs="Times New Roman"/>
          <w:lang w:val="en-US"/>
        </w:rPr>
        <w:t>just</w:t>
      </w:r>
      <w:r w:rsidR="00FA73FB" w:rsidRPr="00A76ED6">
        <w:rPr>
          <w:rFonts w:ascii="Times New Roman" w:hAnsi="Times New Roman" w:cs="Times New Roman"/>
          <w:lang w:val="en-US"/>
        </w:rPr>
        <w:t xml:space="preserve"> the composition of its </w:t>
      </w:r>
      <w:r w:rsidR="00C61235" w:rsidRPr="00A76ED6">
        <w:rPr>
          <w:rFonts w:ascii="Times New Roman" w:hAnsi="Times New Roman" w:cs="Times New Roman"/>
          <w:lang w:val="en-US"/>
        </w:rPr>
        <w:t xml:space="preserve">risk assets </w:t>
      </w:r>
      <w:r w:rsidR="00FA73FB" w:rsidRPr="00A76ED6">
        <w:rPr>
          <w:rFonts w:ascii="Times New Roman" w:hAnsi="Times New Roman" w:cs="Times New Roman"/>
          <w:lang w:val="en-US"/>
        </w:rPr>
        <w:t>p</w:t>
      </w:r>
      <w:r w:rsidR="00C61235">
        <w:rPr>
          <w:rFonts w:ascii="Times New Roman" w:hAnsi="Times New Roman" w:cs="Times New Roman"/>
          <w:lang w:val="en-US"/>
        </w:rPr>
        <w:t>ortfolio</w:t>
      </w:r>
      <w:r w:rsidR="00FA73FB" w:rsidRPr="00A76ED6">
        <w:rPr>
          <w:rFonts w:ascii="Times New Roman" w:hAnsi="Times New Roman" w:cs="Times New Roman"/>
          <w:lang w:val="en-US"/>
        </w:rPr>
        <w:t>, leading p</w:t>
      </w:r>
      <w:r w:rsidR="00C61235">
        <w:rPr>
          <w:rFonts w:ascii="Times New Roman" w:hAnsi="Times New Roman" w:cs="Times New Roman"/>
          <w:lang w:val="en-US"/>
        </w:rPr>
        <w:t>robably</w:t>
      </w:r>
      <w:r w:rsidR="00FA73FB" w:rsidRPr="00A76ED6">
        <w:rPr>
          <w:rFonts w:ascii="Times New Roman" w:hAnsi="Times New Roman" w:cs="Times New Roman"/>
          <w:lang w:val="en-US"/>
        </w:rPr>
        <w:t xml:space="preserve"> to </w:t>
      </w:r>
      <w:r w:rsidR="004D17C3" w:rsidRPr="00A76ED6">
        <w:rPr>
          <w:rFonts w:ascii="Times New Roman" w:hAnsi="Times New Roman" w:cs="Times New Roman"/>
          <w:lang w:val="en-US"/>
        </w:rPr>
        <w:t>a</w:t>
      </w:r>
      <w:r w:rsidR="00FA73FB" w:rsidRPr="00A76ED6">
        <w:rPr>
          <w:rFonts w:ascii="Times New Roman" w:hAnsi="Times New Roman" w:cs="Times New Roman"/>
          <w:lang w:val="en-US"/>
        </w:rPr>
        <w:t xml:space="preserve"> </w:t>
      </w:r>
      <w:r w:rsidR="00C125AF" w:rsidRPr="00A76ED6">
        <w:rPr>
          <w:rFonts w:ascii="Times New Roman" w:hAnsi="Times New Roman" w:cs="Times New Roman"/>
          <w:lang w:val="en-US"/>
        </w:rPr>
        <w:t>raise</w:t>
      </w:r>
      <w:r w:rsidR="00FA73FB" w:rsidRPr="00A76ED6">
        <w:rPr>
          <w:rFonts w:ascii="Times New Roman" w:hAnsi="Times New Roman" w:cs="Times New Roman"/>
          <w:lang w:val="en-US"/>
        </w:rPr>
        <w:t xml:space="preserve"> in risk taking behavior</w:t>
      </w:r>
      <w:r w:rsidR="00A76ED6" w:rsidRPr="00A76ED6">
        <w:rPr>
          <w:rFonts w:ascii="Times New Roman" w:hAnsi="Times New Roman" w:cs="Times New Roman"/>
          <w:lang w:val="en-US"/>
        </w:rPr>
        <w:t>.</w:t>
      </w:r>
    </w:p>
    <w:p w:rsidR="007274E7" w:rsidRDefault="00F25928" w:rsidP="00AC3B76">
      <w:pPr>
        <w:autoSpaceDE w:val="0"/>
        <w:autoSpaceDN w:val="0"/>
        <w:spacing w:before="240" w:after="80" w:line="276" w:lineRule="auto"/>
        <w:jc w:val="both"/>
        <w:rPr>
          <w:rStyle w:val="apple-style-span"/>
          <w:rFonts w:ascii="Times New Roman" w:hAnsi="Times New Roman" w:cs="Times New Roman"/>
          <w:b/>
          <w:lang w:val="en-US"/>
        </w:rPr>
      </w:pPr>
      <w:r w:rsidRPr="00974BF6">
        <w:rPr>
          <w:rStyle w:val="apple-style-span"/>
          <w:rFonts w:ascii="Times New Roman" w:hAnsi="Times New Roman" w:cs="Times New Roman"/>
          <w:b/>
          <w:lang w:val="en-US"/>
        </w:rPr>
        <w:t>3. The Empirical study </w:t>
      </w:r>
    </w:p>
    <w:p w:rsidR="008E24AD" w:rsidRPr="006F4611" w:rsidRDefault="00D75D42" w:rsidP="00AC3B76">
      <w:pPr>
        <w:autoSpaceDE w:val="0"/>
        <w:autoSpaceDN w:val="0"/>
        <w:adjustRightInd w:val="0"/>
        <w:spacing w:before="240" w:line="276" w:lineRule="auto"/>
        <w:jc w:val="both"/>
        <w:rPr>
          <w:rFonts w:ascii="Times New Roman" w:hAnsi="Times New Roman" w:cs="Times New Roman"/>
          <w:lang w:val="en-US"/>
        </w:rPr>
      </w:pPr>
      <w:r>
        <w:rPr>
          <w:rFonts w:ascii="Times New Roman" w:hAnsi="Times New Roman" w:cs="Times New Roman"/>
          <w:lang w:val="en-US"/>
        </w:rPr>
        <w:t>In t</w:t>
      </w:r>
      <w:r w:rsidR="007274E7" w:rsidRPr="006F4611">
        <w:rPr>
          <w:rFonts w:ascii="Times New Roman" w:hAnsi="Times New Roman" w:cs="Times New Roman"/>
          <w:lang w:val="en-US"/>
        </w:rPr>
        <w:t xml:space="preserve">his section </w:t>
      </w:r>
      <w:r>
        <w:rPr>
          <w:rFonts w:ascii="Times New Roman" w:hAnsi="Times New Roman" w:cs="Times New Roman"/>
          <w:lang w:val="en-US"/>
        </w:rPr>
        <w:t xml:space="preserve">we present our data, </w:t>
      </w:r>
      <w:r w:rsidRPr="006F4611">
        <w:rPr>
          <w:rFonts w:ascii="Times New Roman" w:hAnsi="Times New Roman" w:cs="Times New Roman"/>
          <w:lang w:val="en-US"/>
        </w:rPr>
        <w:t>identify</w:t>
      </w:r>
      <w:r w:rsidR="007274E7" w:rsidRPr="006F4611">
        <w:rPr>
          <w:rFonts w:ascii="Times New Roman" w:hAnsi="Times New Roman" w:cs="Times New Roman"/>
          <w:lang w:val="en-US"/>
        </w:rPr>
        <w:t xml:space="preserve"> t</w:t>
      </w:r>
      <w:r>
        <w:rPr>
          <w:rFonts w:ascii="Times New Roman" w:hAnsi="Times New Roman" w:cs="Times New Roman"/>
          <w:lang w:val="en-US"/>
        </w:rPr>
        <w:t>heir</w:t>
      </w:r>
      <w:r w:rsidR="007274E7" w:rsidRPr="006F4611">
        <w:rPr>
          <w:rFonts w:ascii="Times New Roman" w:hAnsi="Times New Roman" w:cs="Times New Roman"/>
          <w:lang w:val="en-US"/>
        </w:rPr>
        <w:t xml:space="preserve"> sources </w:t>
      </w:r>
      <w:r>
        <w:rPr>
          <w:rFonts w:ascii="Times New Roman" w:hAnsi="Times New Roman" w:cs="Times New Roman"/>
          <w:lang w:val="en-US"/>
        </w:rPr>
        <w:t>and</w:t>
      </w:r>
      <w:r w:rsidR="007274E7" w:rsidRPr="006F4611">
        <w:rPr>
          <w:rFonts w:ascii="Times New Roman" w:hAnsi="Times New Roman" w:cs="Times New Roman"/>
          <w:lang w:val="en-US"/>
        </w:rPr>
        <w:t xml:space="preserve"> describe the regression model we use to investigate the effects of </w:t>
      </w:r>
      <w:r w:rsidR="00CE5765">
        <w:rPr>
          <w:rFonts w:ascii="Times New Roman" w:hAnsi="Times New Roman" w:cs="Times New Roman"/>
          <w:lang w:val="en-US"/>
        </w:rPr>
        <w:t>macroeconomic</w:t>
      </w:r>
      <w:r w:rsidR="00CE5765" w:rsidRPr="006F4611">
        <w:rPr>
          <w:rFonts w:ascii="Times New Roman" w:hAnsi="Times New Roman" w:cs="Times New Roman"/>
          <w:lang w:val="en-US"/>
        </w:rPr>
        <w:t xml:space="preserve">, industry-specific and </w:t>
      </w:r>
      <w:r w:rsidR="007274E7" w:rsidRPr="006F4611">
        <w:rPr>
          <w:rFonts w:ascii="Times New Roman" w:hAnsi="Times New Roman" w:cs="Times New Roman"/>
          <w:lang w:val="en-US"/>
        </w:rPr>
        <w:t>bank specific factors on bank credit risk</w:t>
      </w:r>
      <w:r w:rsidR="00CE5765">
        <w:rPr>
          <w:rFonts w:ascii="Times New Roman" w:hAnsi="Times New Roman" w:cs="Times New Roman"/>
          <w:lang w:val="en-US"/>
        </w:rPr>
        <w:t>. We also</w:t>
      </w:r>
      <w:r w:rsidR="007274E7" w:rsidRPr="006F4611">
        <w:rPr>
          <w:rFonts w:ascii="Times New Roman" w:hAnsi="Times New Roman" w:cs="Times New Roman"/>
          <w:lang w:val="en-US"/>
        </w:rPr>
        <w:t xml:space="preserve"> summarize </w:t>
      </w:r>
      <w:r w:rsidR="00CE5765">
        <w:rPr>
          <w:rFonts w:ascii="Times New Roman" w:hAnsi="Times New Roman" w:cs="Times New Roman"/>
          <w:lang w:val="en-US"/>
        </w:rPr>
        <w:t>our</w:t>
      </w:r>
      <w:r w:rsidR="007274E7" w:rsidRPr="006F4611">
        <w:rPr>
          <w:rFonts w:ascii="Times New Roman" w:hAnsi="Times New Roman" w:cs="Times New Roman"/>
          <w:lang w:val="en-US"/>
        </w:rPr>
        <w:t xml:space="preserve"> </w:t>
      </w:r>
      <w:r w:rsidR="00CE5765">
        <w:rPr>
          <w:rFonts w:ascii="Times New Roman" w:hAnsi="Times New Roman" w:cs="Times New Roman"/>
          <w:lang w:val="en-US"/>
        </w:rPr>
        <w:t xml:space="preserve">major </w:t>
      </w:r>
      <w:r w:rsidR="00CE5765" w:rsidRPr="006F4611">
        <w:rPr>
          <w:rFonts w:ascii="Times New Roman" w:hAnsi="Times New Roman" w:cs="Times New Roman"/>
          <w:lang w:val="en-US"/>
        </w:rPr>
        <w:t>empirical</w:t>
      </w:r>
      <w:r w:rsidR="00CE5765">
        <w:rPr>
          <w:rFonts w:ascii="Times New Roman" w:hAnsi="Times New Roman" w:cs="Times New Roman"/>
          <w:lang w:val="en-US"/>
        </w:rPr>
        <w:t xml:space="preserve"> findings</w:t>
      </w:r>
      <w:r w:rsidR="007274E7" w:rsidRPr="006F4611">
        <w:rPr>
          <w:rFonts w:ascii="Times New Roman" w:hAnsi="Times New Roman" w:cs="Times New Roman"/>
          <w:lang w:val="en-US"/>
        </w:rPr>
        <w:t>.</w:t>
      </w:r>
      <w:r w:rsidR="007274E7" w:rsidRPr="006F4611">
        <w:rPr>
          <w:rFonts w:ascii="Times New Roman" w:hAnsi="Times New Roman" w:cs="Times New Roman"/>
          <w:color w:val="000000"/>
          <w:lang w:val="en-US"/>
        </w:rPr>
        <w:t xml:space="preserve"> </w:t>
      </w:r>
    </w:p>
    <w:p w:rsidR="007274E7" w:rsidRPr="00C151C9" w:rsidRDefault="007274E7" w:rsidP="00AC3B76">
      <w:pPr>
        <w:spacing w:before="240" w:line="276" w:lineRule="auto"/>
        <w:jc w:val="both"/>
        <w:rPr>
          <w:b/>
          <w:lang w:val="en-US"/>
        </w:rPr>
      </w:pPr>
      <w:r w:rsidRPr="006416E5">
        <w:rPr>
          <w:b/>
          <w:lang w:val="en-US"/>
        </w:rPr>
        <w:t>3.1. Data</w:t>
      </w:r>
      <w:r>
        <w:rPr>
          <w:b/>
          <w:lang w:val="en-US"/>
        </w:rPr>
        <w:t xml:space="preserve"> </w:t>
      </w:r>
    </w:p>
    <w:p w:rsidR="000F2004" w:rsidRPr="00A97510" w:rsidRDefault="007274E7" w:rsidP="00AC3B76">
      <w:pPr>
        <w:pStyle w:val="Default"/>
        <w:spacing w:before="240" w:line="276" w:lineRule="auto"/>
        <w:jc w:val="both"/>
        <w:rPr>
          <w:sz w:val="22"/>
          <w:szCs w:val="22"/>
          <w:lang w:val="en-US"/>
        </w:rPr>
      </w:pPr>
      <w:r w:rsidRPr="006416E5">
        <w:rPr>
          <w:sz w:val="22"/>
          <w:szCs w:val="22"/>
          <w:lang w:val="en-US"/>
        </w:rPr>
        <w:t xml:space="preserve">To examine factors explaining bank </w:t>
      </w:r>
      <w:r>
        <w:rPr>
          <w:sz w:val="22"/>
          <w:szCs w:val="22"/>
          <w:lang w:val="en-US"/>
        </w:rPr>
        <w:t>risk taking</w:t>
      </w:r>
      <w:r w:rsidRPr="006416E5">
        <w:rPr>
          <w:sz w:val="22"/>
          <w:szCs w:val="22"/>
          <w:lang w:val="en-US"/>
        </w:rPr>
        <w:t xml:space="preserve"> in Tunisia, we collected data related to the </w:t>
      </w:r>
      <w:r w:rsidR="00646D57" w:rsidRPr="006416E5">
        <w:rPr>
          <w:sz w:val="22"/>
          <w:szCs w:val="22"/>
          <w:lang w:val="en-US"/>
        </w:rPr>
        <w:t xml:space="preserve">10 </w:t>
      </w:r>
      <w:r w:rsidR="00646D57">
        <w:rPr>
          <w:sz w:val="22"/>
          <w:szCs w:val="22"/>
          <w:lang w:val="en-US"/>
        </w:rPr>
        <w:t>main deposit banks in Tunisia</w:t>
      </w:r>
      <w:r w:rsidRPr="006416E5">
        <w:rPr>
          <w:sz w:val="22"/>
          <w:szCs w:val="22"/>
          <w:lang w:val="en-US"/>
        </w:rPr>
        <w:t xml:space="preserve"> over the period </w:t>
      </w:r>
      <w:r>
        <w:rPr>
          <w:sz w:val="22"/>
          <w:szCs w:val="22"/>
          <w:lang w:val="en-US"/>
        </w:rPr>
        <w:t>2000</w:t>
      </w:r>
      <w:r w:rsidRPr="006416E5">
        <w:rPr>
          <w:sz w:val="22"/>
          <w:szCs w:val="22"/>
          <w:lang w:val="en-US"/>
        </w:rPr>
        <w:t>-201</w:t>
      </w:r>
      <w:r>
        <w:rPr>
          <w:sz w:val="22"/>
          <w:szCs w:val="22"/>
          <w:lang w:val="en-US"/>
        </w:rPr>
        <w:t>3</w:t>
      </w:r>
      <w:r w:rsidR="00646D57">
        <w:rPr>
          <w:sz w:val="22"/>
          <w:szCs w:val="22"/>
          <w:lang w:val="en-US"/>
        </w:rPr>
        <w:t xml:space="preserve"> </w:t>
      </w:r>
      <w:r w:rsidRPr="006416E5">
        <w:rPr>
          <w:sz w:val="22"/>
          <w:szCs w:val="22"/>
          <w:lang w:val="en-US"/>
        </w:rPr>
        <w:t xml:space="preserve">from annual reports of each selected banks. </w:t>
      </w:r>
      <w:r w:rsidR="00646D57">
        <w:rPr>
          <w:sz w:val="22"/>
          <w:szCs w:val="22"/>
          <w:lang w:val="en-US"/>
        </w:rPr>
        <w:t>N</w:t>
      </w:r>
      <w:r w:rsidR="00646D57" w:rsidRPr="006416E5">
        <w:rPr>
          <w:sz w:val="22"/>
          <w:szCs w:val="22"/>
          <w:lang w:val="en-US"/>
        </w:rPr>
        <w:t>on</w:t>
      </w:r>
      <w:r w:rsidR="00646D57">
        <w:rPr>
          <w:sz w:val="22"/>
          <w:szCs w:val="22"/>
          <w:lang w:val="en-US"/>
        </w:rPr>
        <w:t>-</w:t>
      </w:r>
      <w:r w:rsidR="00646D57" w:rsidRPr="006416E5">
        <w:rPr>
          <w:sz w:val="22"/>
          <w:szCs w:val="22"/>
          <w:lang w:val="en-US"/>
        </w:rPr>
        <w:t>performing</w:t>
      </w:r>
      <w:r w:rsidRPr="006416E5">
        <w:rPr>
          <w:sz w:val="22"/>
          <w:szCs w:val="22"/>
          <w:lang w:val="en-US"/>
        </w:rPr>
        <w:t xml:space="preserve"> loans variable </w:t>
      </w:r>
      <w:r w:rsidR="00646D57">
        <w:rPr>
          <w:sz w:val="22"/>
          <w:szCs w:val="22"/>
          <w:lang w:val="en-US"/>
        </w:rPr>
        <w:t xml:space="preserve">is </w:t>
      </w:r>
      <w:r w:rsidRPr="006416E5">
        <w:rPr>
          <w:sz w:val="22"/>
          <w:szCs w:val="22"/>
          <w:lang w:val="en-US"/>
        </w:rPr>
        <w:t xml:space="preserve">sourced from the Central Bank of Tunisia. </w:t>
      </w:r>
      <w:r w:rsidR="00C81877">
        <w:rPr>
          <w:sz w:val="22"/>
          <w:szCs w:val="22"/>
          <w:lang w:val="en-US"/>
        </w:rPr>
        <w:t>We extracted t</w:t>
      </w:r>
      <w:r w:rsidRPr="006416E5">
        <w:rPr>
          <w:sz w:val="22"/>
          <w:szCs w:val="22"/>
          <w:lang w:val="en-US"/>
        </w:rPr>
        <w:t xml:space="preserve">he </w:t>
      </w:r>
      <w:r w:rsidR="00C81877">
        <w:rPr>
          <w:sz w:val="22"/>
          <w:szCs w:val="22"/>
          <w:lang w:val="en-US"/>
        </w:rPr>
        <w:t xml:space="preserve">financial industry indicators </w:t>
      </w:r>
      <w:r w:rsidRPr="006416E5">
        <w:rPr>
          <w:sz w:val="22"/>
          <w:szCs w:val="22"/>
          <w:lang w:val="en-US"/>
        </w:rPr>
        <w:t xml:space="preserve">and macroeconomic </w:t>
      </w:r>
      <w:r w:rsidR="00C81877">
        <w:rPr>
          <w:sz w:val="22"/>
          <w:szCs w:val="22"/>
          <w:lang w:val="en-US"/>
        </w:rPr>
        <w:t>factor</w:t>
      </w:r>
      <w:r w:rsidRPr="006416E5">
        <w:rPr>
          <w:sz w:val="22"/>
          <w:szCs w:val="22"/>
          <w:lang w:val="en-US"/>
        </w:rPr>
        <w:t xml:space="preserve">s </w:t>
      </w:r>
      <w:r w:rsidR="006F4611">
        <w:rPr>
          <w:sz w:val="22"/>
          <w:szCs w:val="22"/>
          <w:lang w:val="en-US"/>
        </w:rPr>
        <w:t xml:space="preserve">from </w:t>
      </w:r>
      <w:r w:rsidRPr="006416E5">
        <w:rPr>
          <w:sz w:val="22"/>
          <w:szCs w:val="22"/>
          <w:lang w:val="en-US"/>
        </w:rPr>
        <w:t xml:space="preserve">World Bank Development Indicators database. </w:t>
      </w:r>
      <w:r w:rsidR="00C81877">
        <w:rPr>
          <w:sz w:val="22"/>
          <w:szCs w:val="22"/>
          <w:lang w:val="en-US"/>
        </w:rPr>
        <w:t>Our data</w:t>
      </w:r>
      <w:r w:rsidR="0025150F">
        <w:rPr>
          <w:sz w:val="22"/>
          <w:szCs w:val="22"/>
          <w:lang w:val="en-US"/>
        </w:rPr>
        <w:t>set</w:t>
      </w:r>
      <w:r w:rsidR="00C81877">
        <w:rPr>
          <w:sz w:val="22"/>
          <w:szCs w:val="22"/>
          <w:lang w:val="en-US"/>
        </w:rPr>
        <w:t xml:space="preserve"> is then </w:t>
      </w:r>
      <w:r w:rsidRPr="006416E5">
        <w:rPr>
          <w:sz w:val="22"/>
          <w:szCs w:val="22"/>
          <w:lang w:val="en-US"/>
        </w:rPr>
        <w:t>consists of 14 years observation</w:t>
      </w:r>
      <w:r w:rsidR="00C81877">
        <w:rPr>
          <w:sz w:val="22"/>
          <w:szCs w:val="22"/>
          <w:lang w:val="en-US"/>
        </w:rPr>
        <w:t>s</w:t>
      </w:r>
      <w:r w:rsidRPr="006416E5">
        <w:rPr>
          <w:sz w:val="22"/>
          <w:szCs w:val="22"/>
          <w:lang w:val="en-US"/>
        </w:rPr>
        <w:t xml:space="preserve"> on 10 banks. </w:t>
      </w:r>
      <w:r w:rsidR="0025150F">
        <w:rPr>
          <w:sz w:val="22"/>
          <w:szCs w:val="22"/>
          <w:lang w:val="en-US"/>
        </w:rPr>
        <w:t>All</w:t>
      </w:r>
      <w:r w:rsidRPr="006416E5">
        <w:rPr>
          <w:sz w:val="22"/>
          <w:szCs w:val="22"/>
          <w:lang w:val="en-US"/>
        </w:rPr>
        <w:t xml:space="preserve"> the banks </w:t>
      </w:r>
      <w:r w:rsidR="00107CEF">
        <w:rPr>
          <w:sz w:val="22"/>
          <w:szCs w:val="22"/>
          <w:lang w:val="en-US"/>
        </w:rPr>
        <w:t>data in our sample are available</w:t>
      </w:r>
      <w:r w:rsidRPr="006416E5">
        <w:rPr>
          <w:sz w:val="22"/>
          <w:szCs w:val="22"/>
          <w:lang w:val="en-US"/>
        </w:rPr>
        <w:t xml:space="preserve"> for the entire period</w:t>
      </w:r>
      <w:r w:rsidR="0025150F">
        <w:rPr>
          <w:sz w:val="22"/>
          <w:szCs w:val="22"/>
          <w:lang w:val="en-US"/>
        </w:rPr>
        <w:t>. So</w:t>
      </w:r>
      <w:r w:rsidRPr="006416E5">
        <w:rPr>
          <w:sz w:val="22"/>
          <w:szCs w:val="22"/>
          <w:lang w:val="en-US"/>
        </w:rPr>
        <w:t>, we use</w:t>
      </w:r>
      <w:r w:rsidR="0025150F">
        <w:rPr>
          <w:sz w:val="22"/>
          <w:szCs w:val="22"/>
          <w:lang w:val="en-US"/>
        </w:rPr>
        <w:t>d</w:t>
      </w:r>
      <w:r w:rsidRPr="006416E5">
        <w:rPr>
          <w:sz w:val="22"/>
          <w:szCs w:val="22"/>
          <w:lang w:val="en-US"/>
        </w:rPr>
        <w:t xml:space="preserve"> in </w:t>
      </w:r>
      <w:r w:rsidR="0025150F">
        <w:rPr>
          <w:sz w:val="22"/>
          <w:szCs w:val="22"/>
          <w:lang w:val="en-US"/>
        </w:rPr>
        <w:t>balanced panel data</w:t>
      </w:r>
      <w:r w:rsidR="0025150F" w:rsidRPr="006416E5">
        <w:rPr>
          <w:sz w:val="22"/>
          <w:szCs w:val="22"/>
          <w:lang w:val="en-US"/>
        </w:rPr>
        <w:t xml:space="preserve"> </w:t>
      </w:r>
      <w:r w:rsidRPr="006416E5">
        <w:rPr>
          <w:sz w:val="22"/>
          <w:szCs w:val="22"/>
          <w:lang w:val="en-US"/>
        </w:rPr>
        <w:t>our emp</w:t>
      </w:r>
      <w:r w:rsidR="00C81877">
        <w:rPr>
          <w:sz w:val="22"/>
          <w:szCs w:val="22"/>
          <w:lang w:val="en-US"/>
        </w:rPr>
        <w:t xml:space="preserve">irical </w:t>
      </w:r>
      <w:r w:rsidR="0025150F">
        <w:rPr>
          <w:sz w:val="22"/>
          <w:szCs w:val="22"/>
          <w:lang w:val="en-US"/>
        </w:rPr>
        <w:t>investigation</w:t>
      </w:r>
      <w:r w:rsidRPr="006416E5">
        <w:rPr>
          <w:sz w:val="22"/>
          <w:szCs w:val="22"/>
          <w:lang w:val="en-US"/>
        </w:rPr>
        <w:t>.</w:t>
      </w:r>
    </w:p>
    <w:p w:rsidR="007274E7" w:rsidRPr="006416E5" w:rsidRDefault="007274E7" w:rsidP="00AC3B76">
      <w:pPr>
        <w:autoSpaceDE w:val="0"/>
        <w:autoSpaceDN w:val="0"/>
        <w:adjustRightInd w:val="0"/>
        <w:spacing w:before="240" w:line="276" w:lineRule="auto"/>
        <w:jc w:val="both"/>
        <w:rPr>
          <w:b/>
          <w:color w:val="000000"/>
          <w:lang w:val="en-US"/>
        </w:rPr>
      </w:pPr>
      <w:r w:rsidRPr="006416E5">
        <w:rPr>
          <w:b/>
          <w:color w:val="000000"/>
          <w:lang w:val="en-US"/>
        </w:rPr>
        <w:t>3.2. Variables definition</w:t>
      </w:r>
    </w:p>
    <w:p w:rsidR="001B520B" w:rsidRPr="006F4611" w:rsidRDefault="001B520B"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We proxy the risk-taking behavior of banks by</w:t>
      </w:r>
      <w:r w:rsidRPr="006F4611">
        <w:rPr>
          <w:rFonts w:ascii="Times New Roman" w:hAnsi="Times New Roman" w:cs="Times New Roman"/>
          <w:color w:val="000000"/>
          <w:lang w:val="en-US"/>
        </w:rPr>
        <w:t xml:space="preserve"> </w:t>
      </w:r>
      <w:r w:rsidRPr="006F4611">
        <w:rPr>
          <w:rFonts w:ascii="Times New Roman" w:hAnsi="Times New Roman" w:cs="Times New Roman"/>
          <w:lang w:val="en-US"/>
        </w:rPr>
        <w:t>diffe</w:t>
      </w:r>
      <w:r w:rsidR="002274E2">
        <w:rPr>
          <w:rFonts w:ascii="Times New Roman" w:hAnsi="Times New Roman" w:cs="Times New Roman"/>
          <w:lang w:val="en-US"/>
        </w:rPr>
        <w:t xml:space="preserve">rent measures of </w:t>
      </w:r>
      <w:r w:rsidRPr="006F4611">
        <w:rPr>
          <w:rFonts w:ascii="Times New Roman" w:hAnsi="Times New Roman" w:cs="Times New Roman"/>
          <w:lang w:val="en-US"/>
        </w:rPr>
        <w:t xml:space="preserve">default risk commonly used in the literature. We </w:t>
      </w:r>
      <w:r w:rsidR="002274E2">
        <w:rPr>
          <w:rFonts w:ascii="Times New Roman" w:hAnsi="Times New Roman" w:cs="Times New Roman"/>
          <w:lang w:val="en-US"/>
        </w:rPr>
        <w:t xml:space="preserve">consider in alternatives specifications </w:t>
      </w:r>
      <w:r w:rsidRPr="006F4611">
        <w:rPr>
          <w:rFonts w:ascii="Times New Roman" w:hAnsi="Times New Roman" w:cs="Times New Roman"/>
          <w:lang w:val="en-US"/>
        </w:rPr>
        <w:t>the Z-score, and the ratio of non-performing loans to total loans (NPL)</w:t>
      </w:r>
      <w:r w:rsidR="002274E2">
        <w:rPr>
          <w:rFonts w:ascii="Times New Roman" w:hAnsi="Times New Roman" w:cs="Times New Roman"/>
          <w:lang w:val="en-US"/>
        </w:rPr>
        <w:t>. Both are</w:t>
      </w:r>
      <w:r w:rsidRPr="006F4611">
        <w:rPr>
          <w:rFonts w:ascii="Times New Roman" w:hAnsi="Times New Roman" w:cs="Times New Roman"/>
          <w:lang w:val="en-US"/>
        </w:rPr>
        <w:t xml:space="preserve"> </w:t>
      </w:r>
      <w:r w:rsidR="002274E2" w:rsidRPr="006F4611">
        <w:rPr>
          <w:rFonts w:ascii="Times New Roman" w:hAnsi="Times New Roman" w:cs="Times New Roman"/>
          <w:lang w:val="en-US"/>
        </w:rPr>
        <w:t>compute</w:t>
      </w:r>
      <w:r w:rsidR="002274E2">
        <w:rPr>
          <w:rFonts w:ascii="Times New Roman" w:hAnsi="Times New Roman" w:cs="Times New Roman"/>
          <w:lang w:val="en-US"/>
        </w:rPr>
        <w:t xml:space="preserve">d </w:t>
      </w:r>
      <w:r w:rsidR="002274E2" w:rsidRPr="006F4611">
        <w:rPr>
          <w:rFonts w:ascii="Times New Roman" w:hAnsi="Times New Roman" w:cs="Times New Roman"/>
          <w:lang w:val="en-US"/>
        </w:rPr>
        <w:t>for each bank during the period under study on the basis of annual accounting</w:t>
      </w:r>
      <w:r w:rsidRPr="006F4611">
        <w:rPr>
          <w:rFonts w:ascii="Times New Roman" w:hAnsi="Times New Roman" w:cs="Times New Roman"/>
          <w:lang w:val="en-US"/>
        </w:rPr>
        <w:t xml:space="preserve">. </w:t>
      </w:r>
    </w:p>
    <w:p w:rsidR="001B520B" w:rsidRPr="006F4611" w:rsidRDefault="001B520B"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The first measure (</w:t>
      </w:r>
      <w:r w:rsidRPr="00C92464">
        <w:rPr>
          <w:rFonts w:ascii="Times New Roman" w:hAnsi="Times New Roman" w:cs="Times New Roman"/>
          <w:b/>
          <w:lang w:val="en-US"/>
        </w:rPr>
        <w:t>Z-score</w:t>
      </w:r>
      <w:r w:rsidRPr="006F4611">
        <w:rPr>
          <w:rFonts w:ascii="Times New Roman" w:hAnsi="Times New Roman" w:cs="Times New Roman"/>
          <w:lang w:val="en-US"/>
        </w:rPr>
        <w:t xml:space="preserve">), </w:t>
      </w:r>
      <w:r w:rsidRPr="006F4611">
        <w:rPr>
          <w:rFonts w:ascii="Times New Roman" w:hAnsi="Times New Roman" w:cs="Times New Roman"/>
          <w:color w:val="000000"/>
          <w:lang w:val="en-US"/>
        </w:rPr>
        <w:t xml:space="preserve">proposed by </w:t>
      </w:r>
      <w:r w:rsidRPr="00267D2D">
        <w:rPr>
          <w:rFonts w:ascii="Times New Roman" w:hAnsi="Times New Roman" w:cs="Times New Roman"/>
          <w:lang w:val="en-US"/>
        </w:rPr>
        <w:t>Boyd and Graham (1986),</w:t>
      </w:r>
      <w:r w:rsidRPr="006F4611">
        <w:rPr>
          <w:rFonts w:ascii="Times New Roman" w:hAnsi="Times New Roman" w:cs="Times New Roman"/>
          <w:color w:val="000066"/>
          <w:lang w:val="en-US"/>
        </w:rPr>
        <w:t xml:space="preserve"> </w:t>
      </w:r>
      <w:r w:rsidRPr="006F4611">
        <w:rPr>
          <w:rFonts w:ascii="Times New Roman" w:hAnsi="Times New Roman" w:cs="Times New Roman"/>
          <w:lang w:val="en-US"/>
        </w:rPr>
        <w:t xml:space="preserve">represents a more universal measure of bank risk-taking and is defined as Z = (ROA + EA) / </w:t>
      </w:r>
      <w:proofErr w:type="gramStart"/>
      <w:r w:rsidRPr="006F4611">
        <w:rPr>
          <w:rFonts w:ascii="Times New Roman" w:eastAsia="OnemtmiguAAAA" w:hAnsi="Times New Roman" w:cs="Times New Roman"/>
          <w:lang w:val="en-US"/>
        </w:rPr>
        <w:t>σ</w:t>
      </w:r>
      <w:r w:rsidRPr="006F4611">
        <w:rPr>
          <w:rFonts w:ascii="Times New Roman" w:hAnsi="Times New Roman" w:cs="Times New Roman"/>
          <w:lang w:val="en-US"/>
        </w:rPr>
        <w:t>(</w:t>
      </w:r>
      <w:proofErr w:type="gramEnd"/>
      <w:r w:rsidRPr="006F4611">
        <w:rPr>
          <w:rFonts w:ascii="Times New Roman" w:hAnsi="Times New Roman" w:cs="Times New Roman"/>
          <w:lang w:val="en-US"/>
        </w:rPr>
        <w:t xml:space="preserve">ROA), where ROA is the rate of return on assets, EA is the ratio of equity to assets and </w:t>
      </w:r>
      <w:r w:rsidRPr="006F4611">
        <w:rPr>
          <w:rFonts w:ascii="Times New Roman" w:eastAsia="OnemtmiguAAAA" w:hAnsi="Times New Roman" w:cs="Times New Roman"/>
          <w:lang w:val="en-US"/>
        </w:rPr>
        <w:t>σ</w:t>
      </w:r>
      <w:r w:rsidRPr="006F4611">
        <w:rPr>
          <w:rFonts w:ascii="Times New Roman" w:hAnsi="Times New Roman" w:cs="Times New Roman"/>
          <w:lang w:val="en-US"/>
        </w:rPr>
        <w:t xml:space="preserve">(ROA) is an estimate of the standard deviation of the rate of return on assets. To calculate the standard deviation </w:t>
      </w:r>
      <w:r w:rsidR="00814C38" w:rsidRPr="006F4611">
        <w:rPr>
          <w:rFonts w:ascii="Times New Roman" w:hAnsi="Times New Roman" w:cs="Times New Roman"/>
          <w:lang w:val="en-US"/>
        </w:rPr>
        <w:t>of ROA</w:t>
      </w:r>
      <w:r w:rsidRPr="006F4611">
        <w:rPr>
          <w:rFonts w:ascii="Times New Roman" w:hAnsi="Times New Roman" w:cs="Times New Roman"/>
          <w:lang w:val="en-US"/>
        </w:rPr>
        <w:t xml:space="preserve"> we use data on ROA from the two previous years and we verified that using three or four years produces very similar results. This risk measure </w:t>
      </w:r>
      <w:r w:rsidRPr="006F4611">
        <w:rPr>
          <w:rFonts w:ascii="Times New Roman" w:hAnsi="Times New Roman" w:cs="Times New Roman"/>
          <w:color w:val="000000"/>
          <w:lang w:val="en-US"/>
        </w:rPr>
        <w:t>indicates the probability of failure of a given bank (Z)</w:t>
      </w:r>
      <w:r w:rsidRPr="006F4611">
        <w:rPr>
          <w:rFonts w:ascii="Times New Roman" w:hAnsi="Times New Roman" w:cs="Times New Roman"/>
          <w:lang w:val="en-US"/>
        </w:rPr>
        <w:t xml:space="preserve"> and has been widely used in the empirical banking and finance literature. </w:t>
      </w:r>
      <w:r w:rsidRPr="006F4611">
        <w:rPr>
          <w:rFonts w:ascii="Times New Roman" w:hAnsi="Times New Roman" w:cs="Times New Roman"/>
          <w:color w:val="000000"/>
          <w:lang w:val="en-US"/>
        </w:rPr>
        <w:t xml:space="preserve">Higher values of Z-scores </w:t>
      </w:r>
      <w:r w:rsidR="00046AE6" w:rsidRPr="006F4611">
        <w:rPr>
          <w:rFonts w:ascii="Times New Roman" w:hAnsi="Times New Roman" w:cs="Times New Roman"/>
          <w:color w:val="000000"/>
          <w:lang w:val="en-US"/>
        </w:rPr>
        <w:t>mean</w:t>
      </w:r>
      <w:r w:rsidRPr="006F4611">
        <w:rPr>
          <w:rFonts w:ascii="Times New Roman" w:hAnsi="Times New Roman" w:cs="Times New Roman"/>
          <w:color w:val="000000"/>
          <w:lang w:val="en-US"/>
        </w:rPr>
        <w:t xml:space="preserve"> lower probabilities of </w:t>
      </w:r>
      <w:r w:rsidR="00C32B5D">
        <w:rPr>
          <w:rFonts w:ascii="Times New Roman" w:hAnsi="Times New Roman" w:cs="Times New Roman"/>
          <w:color w:val="000000"/>
          <w:lang w:val="en-US"/>
        </w:rPr>
        <w:t>default</w:t>
      </w:r>
      <w:r w:rsidRPr="006F4611">
        <w:rPr>
          <w:rFonts w:ascii="Times New Roman" w:hAnsi="Times New Roman" w:cs="Times New Roman"/>
          <w:color w:val="000000"/>
          <w:lang w:val="en-US"/>
        </w:rPr>
        <w:t>.</w:t>
      </w:r>
    </w:p>
    <w:p w:rsidR="007274E7" w:rsidRPr="006F4611" w:rsidRDefault="001B520B"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The second measure</w:t>
      </w:r>
      <w:r w:rsidR="00D966C5">
        <w:rPr>
          <w:rFonts w:ascii="Times New Roman" w:hAnsi="Times New Roman" w:cs="Times New Roman"/>
          <w:lang w:val="en-US"/>
        </w:rPr>
        <w:t>,</w:t>
      </w:r>
      <w:r w:rsidRPr="006F4611">
        <w:rPr>
          <w:rFonts w:ascii="Times New Roman" w:hAnsi="Times New Roman" w:cs="Times New Roman"/>
          <w:lang w:val="en-US"/>
        </w:rPr>
        <w:t xml:space="preserve"> </w:t>
      </w:r>
      <w:r w:rsidR="00C92464" w:rsidRPr="00C92464">
        <w:rPr>
          <w:rFonts w:ascii="Times New Roman" w:hAnsi="Times New Roman" w:cs="Times New Roman"/>
          <w:lang w:val="en-US"/>
        </w:rPr>
        <w:t>Nonperforming Loans (</w:t>
      </w:r>
      <w:r w:rsidR="00C92464" w:rsidRPr="00C92464">
        <w:rPr>
          <w:rFonts w:ascii="Times New Roman" w:hAnsi="Times New Roman" w:cs="Times New Roman"/>
          <w:b/>
          <w:lang w:val="en-US"/>
        </w:rPr>
        <w:t>NPL</w:t>
      </w:r>
      <w:r w:rsidR="00C92464" w:rsidRPr="00C92464">
        <w:rPr>
          <w:rFonts w:ascii="Times New Roman" w:hAnsi="Times New Roman" w:cs="Times New Roman"/>
          <w:lang w:val="en-US"/>
        </w:rPr>
        <w:t>)</w:t>
      </w:r>
      <w:r w:rsidR="00D966C5">
        <w:rPr>
          <w:rFonts w:ascii="Times New Roman" w:hAnsi="Times New Roman" w:cs="Times New Roman"/>
          <w:lang w:val="en-US"/>
        </w:rPr>
        <w:t>,</w:t>
      </w:r>
      <w:r w:rsidRPr="006F4611">
        <w:rPr>
          <w:rFonts w:ascii="Times New Roman" w:hAnsi="Times New Roman" w:cs="Times New Roman"/>
          <w:lang w:val="en-US"/>
        </w:rPr>
        <w:t xml:space="preserve"> reflects the credit risk position of a bank. </w:t>
      </w:r>
      <w:r w:rsidR="00C92464" w:rsidRPr="00C92464">
        <w:rPr>
          <w:rFonts w:ascii="Times New Roman" w:hAnsi="Times New Roman" w:cs="Times New Roman"/>
          <w:lang w:val="en-US"/>
        </w:rPr>
        <w:t xml:space="preserve">It is </w:t>
      </w:r>
      <w:r w:rsidR="00C32B5D" w:rsidRPr="00C92464">
        <w:rPr>
          <w:rFonts w:ascii="Times New Roman" w:hAnsi="Times New Roman" w:cs="Times New Roman"/>
          <w:lang w:val="en-US"/>
        </w:rPr>
        <w:t>c</w:t>
      </w:r>
      <w:r w:rsidR="00923B39">
        <w:rPr>
          <w:rFonts w:ascii="Times New Roman" w:hAnsi="Times New Roman" w:cs="Times New Roman"/>
          <w:lang w:val="en-US"/>
        </w:rPr>
        <w:t>omputed</w:t>
      </w:r>
      <w:r w:rsidR="00C92464" w:rsidRPr="00C92464">
        <w:rPr>
          <w:rFonts w:ascii="Times New Roman" w:hAnsi="Times New Roman" w:cs="Times New Roman"/>
          <w:lang w:val="en-US"/>
        </w:rPr>
        <w:t xml:space="preserve"> by the </w:t>
      </w:r>
      <w:r w:rsidR="00923B39" w:rsidRPr="00C92464">
        <w:rPr>
          <w:rFonts w:ascii="Times New Roman" w:hAnsi="Times New Roman" w:cs="Times New Roman"/>
          <w:lang w:val="en-US"/>
        </w:rPr>
        <w:t>percentage</w:t>
      </w:r>
      <w:r w:rsidR="00C92464" w:rsidRPr="00C92464">
        <w:rPr>
          <w:rFonts w:ascii="Times New Roman" w:hAnsi="Times New Roman" w:cs="Times New Roman"/>
          <w:lang w:val="en-US"/>
        </w:rPr>
        <w:t xml:space="preserve"> of nonperforming loans </w:t>
      </w:r>
      <w:r w:rsidR="00923B39">
        <w:rPr>
          <w:rFonts w:ascii="Times New Roman" w:hAnsi="Times New Roman" w:cs="Times New Roman"/>
          <w:lang w:val="en-US"/>
        </w:rPr>
        <w:t>in</w:t>
      </w:r>
      <w:r w:rsidR="00C92464" w:rsidRPr="00C92464">
        <w:rPr>
          <w:rFonts w:ascii="Times New Roman" w:hAnsi="Times New Roman" w:cs="Times New Roman"/>
          <w:lang w:val="en-US"/>
        </w:rPr>
        <w:t xml:space="preserve"> total bank loans.</w:t>
      </w:r>
      <w:r w:rsidR="00C92464">
        <w:rPr>
          <w:rFonts w:ascii="Times New Roman" w:hAnsi="Times New Roman" w:cs="Times New Roman"/>
          <w:lang w:val="en-US"/>
        </w:rPr>
        <w:t xml:space="preserve"> </w:t>
      </w:r>
      <w:r w:rsidRPr="006F4611">
        <w:rPr>
          <w:rFonts w:ascii="Times New Roman" w:hAnsi="Times New Roman" w:cs="Times New Roman"/>
          <w:lang w:val="en-US"/>
        </w:rPr>
        <w:t xml:space="preserve">The Tunisian banks have inherited from the previous centrally planned economies a considerable volume of non-performing loans. In this country banking laws were generally developed to promote sound banking practices among existing and new market players, and to increase the efficiency of delivering intermediation services. Banks would therefore improve their performance </w:t>
      </w:r>
      <w:r w:rsidRPr="006F4611">
        <w:rPr>
          <w:rFonts w:ascii="Times New Roman" w:hAnsi="Times New Roman" w:cs="Times New Roman"/>
          <w:lang w:val="en-US"/>
        </w:rPr>
        <w:lastRenderedPageBreak/>
        <w:t>by improving screening and monitoring of credit risk, with such policies involving the forecasting of future levels of risk</w:t>
      </w:r>
      <w:r w:rsidR="00C92464">
        <w:rPr>
          <w:rFonts w:ascii="Times New Roman" w:hAnsi="Times New Roman" w:cs="Times New Roman"/>
          <w:lang w:val="en-US"/>
        </w:rPr>
        <w:t>.</w:t>
      </w:r>
      <w:r w:rsidR="00C92464" w:rsidRPr="00CF18AD">
        <w:rPr>
          <w:rFonts w:ascii="Times New Roman" w:hAnsi="Times New Roman" w:cs="Times New Roman"/>
          <w:highlight w:val="yellow"/>
          <w:lang w:val="en-US"/>
        </w:rPr>
        <w:t xml:space="preserve"> </w:t>
      </w:r>
    </w:p>
    <w:p w:rsidR="007274E7" w:rsidRPr="00AB3F19" w:rsidRDefault="007274E7"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 xml:space="preserve">Thus, in our analyses, we consider the </w:t>
      </w:r>
      <w:r w:rsidR="00577624" w:rsidRPr="006F4611">
        <w:rPr>
          <w:rFonts w:ascii="Times New Roman" w:hAnsi="Times New Roman" w:cs="Times New Roman"/>
          <w:lang w:val="en-US"/>
        </w:rPr>
        <w:t>Z-Score</w:t>
      </w:r>
      <w:r w:rsidRPr="006F4611">
        <w:rPr>
          <w:rFonts w:ascii="Times New Roman" w:hAnsi="Times New Roman" w:cs="Times New Roman"/>
          <w:lang w:val="en-US"/>
        </w:rPr>
        <w:t xml:space="preserve"> and </w:t>
      </w:r>
      <w:r w:rsidR="00577624" w:rsidRPr="006F4611">
        <w:rPr>
          <w:rFonts w:ascii="Times New Roman" w:hAnsi="Times New Roman" w:cs="Times New Roman"/>
          <w:lang w:val="en-US"/>
        </w:rPr>
        <w:t>NPL</w:t>
      </w:r>
      <w:r w:rsidRPr="006F4611">
        <w:rPr>
          <w:rFonts w:ascii="Times New Roman" w:hAnsi="Times New Roman" w:cs="Times New Roman"/>
          <w:lang w:val="en-US"/>
        </w:rPr>
        <w:t xml:space="preserve"> as the better-quality measures of bank’s </w:t>
      </w:r>
      <w:r w:rsidR="00577624" w:rsidRPr="006F4611">
        <w:rPr>
          <w:rFonts w:ascii="Times New Roman" w:hAnsi="Times New Roman" w:cs="Times New Roman"/>
          <w:lang w:val="en-US"/>
        </w:rPr>
        <w:t>risk taking</w:t>
      </w:r>
      <w:r w:rsidRPr="006F4611">
        <w:rPr>
          <w:rFonts w:ascii="Times New Roman" w:hAnsi="Times New Roman" w:cs="Times New Roman"/>
          <w:lang w:val="en-US"/>
        </w:rPr>
        <w:t xml:space="preserve"> and use them as main dependent variables.</w:t>
      </w:r>
    </w:p>
    <w:p w:rsidR="007274E7" w:rsidRPr="000F2004" w:rsidRDefault="007274E7" w:rsidP="00AC3B76">
      <w:pPr>
        <w:autoSpaceDE w:val="0"/>
        <w:autoSpaceDN w:val="0"/>
        <w:adjustRightInd w:val="0"/>
        <w:spacing w:before="240" w:line="276" w:lineRule="auto"/>
        <w:jc w:val="both"/>
        <w:rPr>
          <w:rFonts w:ascii="Times New Roman" w:hAnsi="Times New Roman" w:cs="Times New Roman"/>
          <w:lang w:val="en-US"/>
        </w:rPr>
      </w:pPr>
      <w:r w:rsidRPr="00AB3F19">
        <w:rPr>
          <w:rFonts w:ascii="Times New Roman" w:hAnsi="Times New Roman" w:cs="Times New Roman"/>
          <w:lang w:val="en-US"/>
        </w:rPr>
        <w:t xml:space="preserve">We </w:t>
      </w:r>
      <w:r w:rsidR="004622A1" w:rsidRPr="00AB3F19">
        <w:rPr>
          <w:rFonts w:ascii="Times New Roman" w:hAnsi="Times New Roman" w:cs="Times New Roman"/>
          <w:lang w:val="en-US"/>
        </w:rPr>
        <w:t>try</w:t>
      </w:r>
      <w:r w:rsidRPr="00AB3F19">
        <w:rPr>
          <w:rFonts w:ascii="Times New Roman" w:hAnsi="Times New Roman" w:cs="Times New Roman"/>
          <w:lang w:val="en-US"/>
        </w:rPr>
        <w:t xml:space="preserve"> to </w:t>
      </w:r>
      <w:r w:rsidR="004622A1" w:rsidRPr="00AB3F19">
        <w:rPr>
          <w:rFonts w:ascii="Times New Roman" w:hAnsi="Times New Roman" w:cs="Times New Roman"/>
          <w:lang w:val="en-US"/>
        </w:rPr>
        <w:t>look at</w:t>
      </w:r>
      <w:r w:rsidRPr="00AB3F19">
        <w:rPr>
          <w:rFonts w:ascii="Times New Roman" w:hAnsi="Times New Roman" w:cs="Times New Roman"/>
          <w:lang w:val="en-US"/>
        </w:rPr>
        <w:t xml:space="preserve"> the bank’s </w:t>
      </w:r>
      <w:r w:rsidR="00AB3F19" w:rsidRPr="00AB3F19">
        <w:rPr>
          <w:rFonts w:ascii="Times New Roman" w:hAnsi="Times New Roman" w:cs="Times New Roman"/>
          <w:lang w:val="en-US"/>
        </w:rPr>
        <w:t xml:space="preserve">credit risk </w:t>
      </w:r>
      <w:r w:rsidRPr="00AB3F19">
        <w:rPr>
          <w:rFonts w:ascii="Times New Roman" w:hAnsi="Times New Roman" w:cs="Times New Roman"/>
          <w:lang w:val="en-US"/>
        </w:rPr>
        <w:t xml:space="preserve">impact of an extended </w:t>
      </w:r>
      <w:r w:rsidRPr="00AB3F19">
        <w:rPr>
          <w:rFonts w:ascii="Times New Roman" w:hAnsi="Times New Roman" w:cs="Times New Roman"/>
          <w:color w:val="000000"/>
          <w:lang w:val="en-US"/>
        </w:rPr>
        <w:t>number of factors with distinguishes</w:t>
      </w:r>
      <w:r w:rsidR="006736D5">
        <w:rPr>
          <w:rFonts w:ascii="Times New Roman" w:hAnsi="Times New Roman" w:cs="Times New Roman"/>
          <w:color w:val="000000"/>
          <w:lang w:val="en-US"/>
        </w:rPr>
        <w:t xml:space="preserve"> </w:t>
      </w:r>
      <w:r w:rsidRPr="00AB3F19">
        <w:rPr>
          <w:rFonts w:ascii="Times New Roman" w:hAnsi="Times New Roman" w:cs="Times New Roman"/>
          <w:lang w:val="en-US"/>
        </w:rPr>
        <w:t xml:space="preserve">bank-specific factors </w:t>
      </w:r>
      <w:r w:rsidR="002E24E7" w:rsidRPr="00AB3F19">
        <w:rPr>
          <w:rFonts w:ascii="Times New Roman" w:hAnsi="Times New Roman" w:cs="Times New Roman"/>
          <w:color w:val="000000"/>
          <w:lang w:val="en-US"/>
        </w:rPr>
        <w:t>(size</w:t>
      </w:r>
      <w:r w:rsidRPr="00AB3F19">
        <w:rPr>
          <w:rFonts w:ascii="Times New Roman" w:hAnsi="Times New Roman" w:cs="Times New Roman"/>
          <w:color w:val="000000"/>
          <w:lang w:val="en-US"/>
        </w:rPr>
        <w:t>, operational eff</w:t>
      </w:r>
      <w:r w:rsidR="002E24E7" w:rsidRPr="00AB3F19">
        <w:rPr>
          <w:rFonts w:ascii="Times New Roman" w:hAnsi="Times New Roman" w:cs="Times New Roman"/>
          <w:color w:val="000000"/>
          <w:lang w:val="en-US"/>
        </w:rPr>
        <w:t xml:space="preserve">iciency, </w:t>
      </w:r>
      <w:r w:rsidR="00AB3F19" w:rsidRPr="00AB3F19">
        <w:rPr>
          <w:rFonts w:ascii="Times New Roman" w:hAnsi="Times New Roman" w:cs="Times New Roman"/>
          <w:color w:val="000000"/>
          <w:lang w:val="en-US"/>
        </w:rPr>
        <w:t>capital adequacy</w:t>
      </w:r>
      <w:r w:rsidR="002E24E7" w:rsidRPr="00AB3F19">
        <w:rPr>
          <w:rFonts w:ascii="Times New Roman" w:hAnsi="Times New Roman" w:cs="Times New Roman"/>
          <w:color w:val="000000"/>
          <w:lang w:val="en-US"/>
        </w:rPr>
        <w:t xml:space="preserve"> and</w:t>
      </w:r>
      <w:r w:rsidRPr="00AB3F19">
        <w:rPr>
          <w:rFonts w:ascii="Times New Roman" w:hAnsi="Times New Roman" w:cs="Times New Roman"/>
          <w:color w:val="000000"/>
          <w:lang w:val="en-US"/>
        </w:rPr>
        <w:t xml:space="preserve"> </w:t>
      </w:r>
      <w:r w:rsidR="00AB3F19" w:rsidRPr="00AB3F19">
        <w:rPr>
          <w:rFonts w:ascii="Times New Roman" w:hAnsi="Times New Roman" w:cs="Times New Roman"/>
          <w:color w:val="000000"/>
          <w:lang w:val="en-US"/>
        </w:rPr>
        <w:t xml:space="preserve">bank </w:t>
      </w:r>
      <w:r w:rsidRPr="00AB3F19">
        <w:rPr>
          <w:rFonts w:ascii="Times New Roman" w:hAnsi="Times New Roman" w:cs="Times New Roman"/>
          <w:color w:val="000000"/>
          <w:lang w:val="en-US"/>
        </w:rPr>
        <w:t>ownership)</w:t>
      </w:r>
      <w:r w:rsidR="004622A1">
        <w:rPr>
          <w:rFonts w:ascii="Times New Roman" w:hAnsi="Times New Roman" w:cs="Times New Roman"/>
          <w:color w:val="000000"/>
          <w:lang w:val="en-US"/>
        </w:rPr>
        <w:t xml:space="preserve"> to</w:t>
      </w:r>
      <w:r w:rsidR="006736D5">
        <w:rPr>
          <w:rFonts w:ascii="Times New Roman" w:hAnsi="Times New Roman" w:cs="Times New Roman"/>
          <w:color w:val="000000"/>
          <w:lang w:val="en-US"/>
        </w:rPr>
        <w:t xml:space="preserve"> bank industry </w:t>
      </w:r>
      <w:r w:rsidRPr="00AB3F19">
        <w:rPr>
          <w:rFonts w:ascii="Times New Roman" w:hAnsi="Times New Roman" w:cs="Times New Roman"/>
          <w:lang w:val="en-US"/>
        </w:rPr>
        <w:t xml:space="preserve">environmental </w:t>
      </w:r>
      <w:r w:rsidR="006736D5">
        <w:rPr>
          <w:rFonts w:ascii="Times New Roman" w:hAnsi="Times New Roman" w:cs="Times New Roman"/>
          <w:lang w:val="en-US"/>
        </w:rPr>
        <w:t>factors</w:t>
      </w:r>
      <w:r w:rsidRPr="00AB3F19">
        <w:rPr>
          <w:rFonts w:ascii="Times New Roman" w:hAnsi="Times New Roman" w:cs="Times New Roman"/>
          <w:lang w:val="en-US"/>
        </w:rPr>
        <w:t xml:space="preserve"> </w:t>
      </w:r>
      <w:r w:rsidR="004622A1" w:rsidRPr="00AB3F19">
        <w:rPr>
          <w:rFonts w:ascii="Times New Roman" w:hAnsi="Times New Roman" w:cs="Times New Roman"/>
          <w:lang w:val="en-US"/>
        </w:rPr>
        <w:t>(Concentration and size bank system)</w:t>
      </w:r>
      <w:r w:rsidR="004622A1">
        <w:rPr>
          <w:rFonts w:ascii="Times New Roman" w:hAnsi="Times New Roman" w:cs="Times New Roman"/>
          <w:lang w:val="en-US"/>
        </w:rPr>
        <w:t xml:space="preserve"> to</w:t>
      </w:r>
      <w:r w:rsidRPr="00AB3F19">
        <w:rPr>
          <w:rFonts w:ascii="Times New Roman" w:hAnsi="Times New Roman" w:cs="Times New Roman"/>
          <w:lang w:val="en-US"/>
        </w:rPr>
        <w:t xml:space="preserve"> macroeconomic</w:t>
      </w:r>
      <w:r w:rsidR="004622A1">
        <w:rPr>
          <w:rFonts w:ascii="Times New Roman" w:hAnsi="Times New Roman" w:cs="Times New Roman"/>
          <w:lang w:val="en-US"/>
        </w:rPr>
        <w:t xml:space="preserve"> factors</w:t>
      </w:r>
      <w:r w:rsidRPr="00AB3F19">
        <w:rPr>
          <w:rFonts w:ascii="Times New Roman" w:hAnsi="Times New Roman" w:cs="Times New Roman"/>
          <w:lang w:val="en-US"/>
        </w:rPr>
        <w:t xml:space="preserve"> </w:t>
      </w:r>
      <w:r w:rsidRPr="00AB3F19">
        <w:rPr>
          <w:rFonts w:ascii="Times New Roman" w:hAnsi="Times New Roman" w:cs="Times New Roman"/>
          <w:color w:val="000000"/>
          <w:lang w:val="en-US"/>
        </w:rPr>
        <w:t>(GDP Growth and inflation)</w:t>
      </w:r>
      <w:r w:rsidRPr="00AB3F19">
        <w:rPr>
          <w:rFonts w:ascii="Times New Roman" w:hAnsi="Times New Roman" w:cs="Times New Roman"/>
          <w:lang w:val="en-US"/>
        </w:rPr>
        <w:t>.</w:t>
      </w:r>
      <w:r w:rsidRPr="006F4611">
        <w:rPr>
          <w:rFonts w:ascii="Times New Roman" w:hAnsi="Times New Roman" w:cs="Times New Roman"/>
          <w:lang w:val="en-US"/>
        </w:rPr>
        <w:t xml:space="preserve"> </w:t>
      </w:r>
    </w:p>
    <w:p w:rsidR="00BD0671" w:rsidRPr="006F4611" w:rsidRDefault="00BD0671" w:rsidP="00AC3B76">
      <w:pPr>
        <w:autoSpaceDE w:val="0"/>
        <w:autoSpaceDN w:val="0"/>
        <w:adjustRightInd w:val="0"/>
        <w:spacing w:before="240" w:line="276" w:lineRule="auto"/>
        <w:jc w:val="both"/>
        <w:rPr>
          <w:b/>
          <w:color w:val="000000"/>
          <w:lang w:val="en-US"/>
        </w:rPr>
      </w:pPr>
      <w:r w:rsidRPr="006416E5">
        <w:rPr>
          <w:b/>
          <w:color w:val="000000"/>
          <w:lang w:val="en-US"/>
        </w:rPr>
        <w:t>3.2.</w:t>
      </w:r>
      <w:r>
        <w:rPr>
          <w:b/>
          <w:color w:val="000000"/>
          <w:lang w:val="en-US"/>
        </w:rPr>
        <w:t>1</w:t>
      </w:r>
      <w:r w:rsidRPr="006416E5">
        <w:rPr>
          <w:b/>
          <w:color w:val="000000"/>
          <w:lang w:val="en-US"/>
        </w:rPr>
        <w:t>. Macroeconomic factors</w:t>
      </w:r>
    </w:p>
    <w:p w:rsidR="00BD0671" w:rsidRPr="006F4611" w:rsidRDefault="00BD0671" w:rsidP="00AC3B76">
      <w:pPr>
        <w:autoSpaceDE w:val="0"/>
        <w:autoSpaceDN w:val="0"/>
        <w:adjustRightInd w:val="0"/>
        <w:spacing w:before="240" w:line="276" w:lineRule="auto"/>
        <w:jc w:val="both"/>
        <w:rPr>
          <w:rFonts w:ascii="Times New Roman" w:hAnsi="Times New Roman" w:cs="Times New Roman"/>
          <w:color w:val="000000"/>
          <w:lang w:val="en-US"/>
        </w:rPr>
      </w:pPr>
      <w:r w:rsidRPr="006F4611">
        <w:rPr>
          <w:rFonts w:ascii="Times New Roman" w:hAnsi="Times New Roman" w:cs="Times New Roman"/>
          <w:lang w:val="en-US"/>
        </w:rPr>
        <w:t>GDP growth (</w:t>
      </w:r>
      <w:r w:rsidRPr="006F4611">
        <w:rPr>
          <w:rFonts w:ascii="Times New Roman" w:hAnsi="Times New Roman" w:cs="Times New Roman"/>
          <w:b/>
          <w:lang w:val="en-US"/>
        </w:rPr>
        <w:t>GDP</w:t>
      </w:r>
      <w:r w:rsidRPr="006F4611">
        <w:rPr>
          <w:rFonts w:ascii="Times New Roman" w:hAnsi="Times New Roman" w:cs="Times New Roman"/>
          <w:lang w:val="en-US"/>
        </w:rPr>
        <w:t xml:space="preserve">): </w:t>
      </w:r>
      <w:r w:rsidR="007A56B6" w:rsidRPr="006F4611">
        <w:rPr>
          <w:rFonts w:ascii="Times New Roman" w:hAnsi="Times New Roman" w:cs="Times New Roman"/>
          <w:lang w:val="en-US"/>
        </w:rPr>
        <w:t>measured by reel GDP per capita growth</w:t>
      </w:r>
      <w:r w:rsidR="007A56B6">
        <w:rPr>
          <w:rFonts w:ascii="Times New Roman" w:hAnsi="Times New Roman" w:cs="Times New Roman"/>
          <w:lang w:val="en-US"/>
        </w:rPr>
        <w:t>,</w:t>
      </w:r>
      <w:r w:rsidR="007A56B6" w:rsidRPr="006F4611">
        <w:rPr>
          <w:rFonts w:ascii="Times New Roman" w:hAnsi="Times New Roman" w:cs="Times New Roman"/>
          <w:lang w:val="en-US"/>
        </w:rPr>
        <w:t xml:space="preserve"> </w:t>
      </w:r>
      <w:r w:rsidRPr="006F4611">
        <w:rPr>
          <w:rFonts w:ascii="Times New Roman" w:hAnsi="Times New Roman" w:cs="Times New Roman"/>
          <w:lang w:val="en-US"/>
        </w:rPr>
        <w:t xml:space="preserve">this variable is used to </w:t>
      </w:r>
      <w:r w:rsidR="00E47678" w:rsidRPr="006F4611">
        <w:rPr>
          <w:rFonts w:ascii="Times New Roman" w:hAnsi="Times New Roman" w:cs="Times New Roman"/>
          <w:lang w:val="en-US"/>
        </w:rPr>
        <w:t>report</w:t>
      </w:r>
      <w:r w:rsidRPr="006F4611">
        <w:rPr>
          <w:rFonts w:ascii="Times New Roman" w:hAnsi="Times New Roman" w:cs="Times New Roman"/>
          <w:lang w:val="en-US"/>
        </w:rPr>
        <w:t xml:space="preserve"> economic environment</w:t>
      </w:r>
      <w:r w:rsidR="00E47678">
        <w:rPr>
          <w:rFonts w:ascii="Times New Roman" w:hAnsi="Times New Roman" w:cs="Times New Roman"/>
          <w:lang w:val="en-US"/>
        </w:rPr>
        <w:t xml:space="preserve"> conditions</w:t>
      </w:r>
      <w:r w:rsidRPr="006F4611">
        <w:rPr>
          <w:rFonts w:ascii="Times New Roman" w:hAnsi="Times New Roman" w:cs="Times New Roman"/>
          <w:lang w:val="en-US"/>
        </w:rPr>
        <w:t xml:space="preserve">. </w:t>
      </w:r>
      <w:r w:rsidRPr="006F4611">
        <w:rPr>
          <w:rFonts w:ascii="Times New Roman" w:hAnsi="Times New Roman" w:cs="Times New Roman"/>
          <w:color w:val="000000"/>
          <w:lang w:val="en-US"/>
        </w:rPr>
        <w:t xml:space="preserve">GDP growth varies over time but not among the banks. </w:t>
      </w:r>
    </w:p>
    <w:p w:rsidR="007274E7" w:rsidRPr="00267D2D" w:rsidRDefault="00BD0671"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Inflation (</w:t>
      </w:r>
      <w:r w:rsidRPr="006F4611">
        <w:rPr>
          <w:rFonts w:ascii="Times New Roman" w:hAnsi="Times New Roman" w:cs="Times New Roman"/>
          <w:b/>
          <w:lang w:val="en-US"/>
        </w:rPr>
        <w:t>INF</w:t>
      </w:r>
      <w:r w:rsidRPr="006F4611">
        <w:rPr>
          <w:rFonts w:ascii="Times New Roman" w:hAnsi="Times New Roman" w:cs="Times New Roman"/>
          <w:lang w:val="en-US"/>
        </w:rPr>
        <w:t xml:space="preserve">):  </w:t>
      </w:r>
      <w:r w:rsidR="007A56B6" w:rsidRPr="006F4611">
        <w:rPr>
          <w:rFonts w:ascii="Times New Roman" w:hAnsi="Times New Roman" w:cs="Times New Roman"/>
          <w:lang w:val="en-US"/>
        </w:rPr>
        <w:t>measured by annual country inflation rate</w:t>
      </w:r>
      <w:r w:rsidR="007A56B6">
        <w:rPr>
          <w:rFonts w:ascii="Times New Roman" w:hAnsi="Times New Roman" w:cs="Times New Roman"/>
          <w:lang w:val="en-US"/>
        </w:rPr>
        <w:t>,</w:t>
      </w:r>
      <w:r w:rsidR="007A56B6" w:rsidRPr="006F4611">
        <w:rPr>
          <w:rFonts w:ascii="Times New Roman" w:hAnsi="Times New Roman" w:cs="Times New Roman"/>
          <w:lang w:val="en-US"/>
        </w:rPr>
        <w:t xml:space="preserve"> </w:t>
      </w:r>
      <w:r w:rsidR="007A56B6">
        <w:rPr>
          <w:rFonts w:ascii="Times New Roman" w:hAnsi="Times New Roman" w:cs="Times New Roman"/>
          <w:lang w:val="en-US"/>
        </w:rPr>
        <w:t>t</w:t>
      </w:r>
      <w:r w:rsidRPr="006F4611">
        <w:rPr>
          <w:rFonts w:ascii="Times New Roman" w:hAnsi="Times New Roman" w:cs="Times New Roman"/>
          <w:lang w:val="en-US"/>
        </w:rPr>
        <w:t xml:space="preserve">his variable is used to </w:t>
      </w:r>
      <w:r w:rsidR="00E47678">
        <w:rPr>
          <w:rFonts w:ascii="Times New Roman" w:hAnsi="Times New Roman" w:cs="Times New Roman"/>
          <w:lang w:val="en-US"/>
        </w:rPr>
        <w:t xml:space="preserve">account </w:t>
      </w:r>
      <w:r w:rsidR="00BD42C7">
        <w:rPr>
          <w:rFonts w:ascii="Times New Roman" w:hAnsi="Times New Roman" w:cs="Times New Roman"/>
          <w:lang w:val="en-US"/>
        </w:rPr>
        <w:t>for</w:t>
      </w:r>
      <w:r w:rsidRPr="006F4611">
        <w:rPr>
          <w:rFonts w:ascii="Times New Roman" w:hAnsi="Times New Roman" w:cs="Times New Roman"/>
          <w:lang w:val="en-US"/>
        </w:rPr>
        <w:t xml:space="preserve"> the changes in the general price level.</w:t>
      </w:r>
    </w:p>
    <w:p w:rsidR="007274E7" w:rsidRPr="00BD0671" w:rsidRDefault="007274E7" w:rsidP="00AC3B76">
      <w:pPr>
        <w:autoSpaceDE w:val="0"/>
        <w:autoSpaceDN w:val="0"/>
        <w:adjustRightInd w:val="0"/>
        <w:spacing w:before="240" w:line="276" w:lineRule="auto"/>
        <w:jc w:val="both"/>
        <w:rPr>
          <w:b/>
          <w:color w:val="000000"/>
          <w:lang w:val="en-US"/>
        </w:rPr>
      </w:pPr>
      <w:r w:rsidRPr="006416E5">
        <w:rPr>
          <w:b/>
          <w:color w:val="000000"/>
          <w:lang w:val="en-US"/>
        </w:rPr>
        <w:t>3.2.2. Industry-specific factors</w:t>
      </w:r>
    </w:p>
    <w:p w:rsidR="007274E7" w:rsidRPr="006F4611" w:rsidRDefault="007274E7"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Concentration (</w:t>
      </w:r>
      <w:r w:rsidRPr="006F4611">
        <w:rPr>
          <w:rFonts w:ascii="Times New Roman" w:hAnsi="Times New Roman" w:cs="Times New Roman"/>
          <w:b/>
          <w:lang w:val="en-US"/>
        </w:rPr>
        <w:t>CONC</w:t>
      </w:r>
      <w:r w:rsidRPr="006F4611">
        <w:rPr>
          <w:rFonts w:ascii="Times New Roman" w:hAnsi="Times New Roman" w:cs="Times New Roman"/>
          <w:lang w:val="en-US"/>
        </w:rPr>
        <w:t xml:space="preserve">): </w:t>
      </w:r>
      <w:r w:rsidR="007A56B6" w:rsidRPr="006F4611">
        <w:rPr>
          <w:rFonts w:ascii="Times New Roman" w:hAnsi="Times New Roman" w:cs="Times New Roman"/>
          <w:lang w:val="en-US"/>
        </w:rPr>
        <w:t>measured by bank assets held by the three largest banks to total assets banks</w:t>
      </w:r>
      <w:r w:rsidR="007A56B6">
        <w:rPr>
          <w:rFonts w:ascii="Times New Roman" w:hAnsi="Times New Roman" w:cs="Times New Roman"/>
          <w:lang w:val="en-US"/>
        </w:rPr>
        <w:t>, this variable</w:t>
      </w:r>
      <w:r w:rsidR="007A56B6" w:rsidRPr="006F4611">
        <w:rPr>
          <w:rFonts w:ascii="Times New Roman" w:hAnsi="Times New Roman" w:cs="Times New Roman"/>
          <w:lang w:val="en-US"/>
        </w:rPr>
        <w:t xml:space="preserve"> </w:t>
      </w:r>
      <w:r w:rsidR="00BD42C7">
        <w:rPr>
          <w:rFonts w:ascii="Times New Roman" w:hAnsi="Times New Roman" w:cs="Times New Roman"/>
          <w:lang w:val="en-US"/>
        </w:rPr>
        <w:t>is a proxy of</w:t>
      </w:r>
      <w:r w:rsidRPr="006F4611">
        <w:rPr>
          <w:rFonts w:ascii="Times New Roman" w:hAnsi="Times New Roman" w:cs="Times New Roman"/>
          <w:lang w:val="en-US"/>
        </w:rPr>
        <w:t xml:space="preserve"> the competitiveness among bank sector</w:t>
      </w:r>
      <w:r w:rsidR="00D966C5">
        <w:rPr>
          <w:rFonts w:ascii="Times New Roman" w:hAnsi="Times New Roman" w:cs="Times New Roman"/>
          <w:lang w:val="en-US"/>
        </w:rPr>
        <w:t xml:space="preserve">. </w:t>
      </w:r>
      <w:r w:rsidR="00BD42C7" w:rsidRPr="006F4611">
        <w:rPr>
          <w:rFonts w:ascii="Times New Roman" w:hAnsi="Times New Roman" w:cs="Times New Roman"/>
          <w:color w:val="000000"/>
          <w:lang w:val="en-US"/>
        </w:rPr>
        <w:t xml:space="preserve">Higher </w:t>
      </w:r>
      <w:r w:rsidR="00B136D4" w:rsidRPr="006F4611">
        <w:rPr>
          <w:rFonts w:ascii="Times New Roman" w:hAnsi="Times New Roman" w:cs="Times New Roman"/>
          <w:color w:val="000000"/>
          <w:lang w:val="en-US"/>
        </w:rPr>
        <w:t xml:space="preserve">value of </w:t>
      </w:r>
      <w:r w:rsidR="00B136D4">
        <w:rPr>
          <w:rFonts w:ascii="Times New Roman" w:hAnsi="Times New Roman" w:cs="Times New Roman"/>
          <w:color w:val="000000"/>
          <w:lang w:val="en-US"/>
        </w:rPr>
        <w:t>CONC</w:t>
      </w:r>
      <w:r w:rsidR="00B136D4" w:rsidRPr="006F4611">
        <w:rPr>
          <w:rFonts w:ascii="Times New Roman" w:hAnsi="Times New Roman" w:cs="Times New Roman"/>
          <w:color w:val="000000"/>
          <w:lang w:val="en-US"/>
        </w:rPr>
        <w:t xml:space="preserve"> </w:t>
      </w:r>
      <w:r w:rsidR="00B136D4">
        <w:rPr>
          <w:rFonts w:ascii="Times New Roman" w:hAnsi="Times New Roman" w:cs="Times New Roman"/>
          <w:color w:val="000000"/>
          <w:lang w:val="en-US"/>
        </w:rPr>
        <w:t>implies</w:t>
      </w:r>
      <w:r w:rsidR="00BD42C7" w:rsidRPr="006F4611">
        <w:rPr>
          <w:rFonts w:ascii="Times New Roman" w:hAnsi="Times New Roman" w:cs="Times New Roman"/>
          <w:color w:val="000000"/>
          <w:lang w:val="en-US"/>
        </w:rPr>
        <w:t xml:space="preserve"> lower </w:t>
      </w:r>
      <w:r w:rsidR="00B136D4">
        <w:rPr>
          <w:rFonts w:ascii="Times New Roman" w:hAnsi="Times New Roman" w:cs="Times New Roman"/>
          <w:color w:val="000000"/>
          <w:lang w:val="en-US"/>
        </w:rPr>
        <w:t>bank competition</w:t>
      </w:r>
      <w:r w:rsidR="00BD42C7" w:rsidRPr="006F4611">
        <w:rPr>
          <w:rFonts w:ascii="Times New Roman" w:hAnsi="Times New Roman" w:cs="Times New Roman"/>
          <w:color w:val="000000"/>
          <w:lang w:val="en-US"/>
        </w:rPr>
        <w:t>.</w:t>
      </w:r>
      <w:r w:rsidR="004C3195">
        <w:rPr>
          <w:rFonts w:ascii="Times New Roman" w:hAnsi="Times New Roman" w:cs="Times New Roman"/>
          <w:lang w:val="en-US"/>
        </w:rPr>
        <w:t xml:space="preserve"> </w:t>
      </w:r>
    </w:p>
    <w:p w:rsidR="00BD0671" w:rsidRPr="00267D2D" w:rsidRDefault="007274E7"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Size Bank System (</w:t>
      </w:r>
      <w:r w:rsidRPr="006F4611">
        <w:rPr>
          <w:rFonts w:ascii="Times New Roman" w:hAnsi="Times New Roman" w:cs="Times New Roman"/>
          <w:b/>
          <w:lang w:val="en-US"/>
        </w:rPr>
        <w:t>SBS</w:t>
      </w:r>
      <w:r w:rsidRPr="006F4611">
        <w:rPr>
          <w:rFonts w:ascii="Times New Roman" w:hAnsi="Times New Roman" w:cs="Times New Roman"/>
          <w:lang w:val="en-US"/>
        </w:rPr>
        <w:t xml:space="preserve">): </w:t>
      </w:r>
      <w:r w:rsidR="007A56B6" w:rsidRPr="006F4611">
        <w:rPr>
          <w:rFonts w:ascii="Times New Roman" w:hAnsi="Times New Roman" w:cs="Times New Roman"/>
          <w:lang w:val="en-US"/>
        </w:rPr>
        <w:t>measured by the ratio of total assets of banks to GDP</w:t>
      </w:r>
      <w:r w:rsidR="007A56B6">
        <w:rPr>
          <w:rFonts w:ascii="Times New Roman" w:hAnsi="Times New Roman" w:cs="Times New Roman"/>
          <w:lang w:val="en-US"/>
        </w:rPr>
        <w:t>, this variable</w:t>
      </w:r>
      <w:r w:rsidR="007A56B6" w:rsidRPr="006F4611">
        <w:rPr>
          <w:rFonts w:ascii="Times New Roman" w:hAnsi="Times New Roman" w:cs="Times New Roman"/>
          <w:lang w:val="en-US"/>
        </w:rPr>
        <w:t xml:space="preserve"> </w:t>
      </w:r>
      <w:r w:rsidRPr="006F4611">
        <w:rPr>
          <w:rFonts w:ascii="Times New Roman" w:hAnsi="Times New Roman" w:cs="Times New Roman"/>
          <w:lang w:val="en-US"/>
        </w:rPr>
        <w:t>reflect</w:t>
      </w:r>
      <w:r w:rsidR="007A56B6">
        <w:rPr>
          <w:rFonts w:ascii="Times New Roman" w:hAnsi="Times New Roman" w:cs="Times New Roman"/>
          <w:lang w:val="en-US"/>
        </w:rPr>
        <w:t>s</w:t>
      </w:r>
      <w:r w:rsidRPr="006F4611">
        <w:rPr>
          <w:rFonts w:ascii="Times New Roman" w:hAnsi="Times New Roman" w:cs="Times New Roman"/>
          <w:lang w:val="en-US"/>
        </w:rPr>
        <w:t xml:space="preserve"> the importance of bank financing in the economy</w:t>
      </w:r>
      <w:r w:rsidR="007A56B6">
        <w:rPr>
          <w:rFonts w:ascii="Times New Roman" w:hAnsi="Times New Roman" w:cs="Times New Roman"/>
          <w:lang w:val="en-US"/>
        </w:rPr>
        <w:t xml:space="preserve"> as a whole</w:t>
      </w:r>
      <w:r w:rsidRPr="006F4611">
        <w:rPr>
          <w:rFonts w:ascii="Times New Roman" w:hAnsi="Times New Roman" w:cs="Times New Roman"/>
          <w:lang w:val="en-US"/>
        </w:rPr>
        <w:t>.</w:t>
      </w:r>
    </w:p>
    <w:p w:rsidR="00BD0671" w:rsidRPr="00BD0671" w:rsidRDefault="00BD0671" w:rsidP="00AC3B76">
      <w:pPr>
        <w:autoSpaceDE w:val="0"/>
        <w:autoSpaceDN w:val="0"/>
        <w:adjustRightInd w:val="0"/>
        <w:spacing w:before="240" w:line="276" w:lineRule="auto"/>
        <w:jc w:val="both"/>
        <w:rPr>
          <w:b/>
          <w:color w:val="000000"/>
          <w:lang w:val="en-US"/>
        </w:rPr>
      </w:pPr>
      <w:r w:rsidRPr="006416E5">
        <w:rPr>
          <w:b/>
          <w:color w:val="000000"/>
          <w:lang w:val="en-US"/>
        </w:rPr>
        <w:t>3.2.</w:t>
      </w:r>
      <w:r>
        <w:rPr>
          <w:b/>
          <w:color w:val="000000"/>
          <w:lang w:val="en-US"/>
        </w:rPr>
        <w:t>3</w:t>
      </w:r>
      <w:r w:rsidRPr="006416E5">
        <w:rPr>
          <w:b/>
          <w:color w:val="000000"/>
          <w:lang w:val="en-US"/>
        </w:rPr>
        <w:t>. Bank’s specific factors</w:t>
      </w:r>
    </w:p>
    <w:p w:rsidR="00BD0671" w:rsidRDefault="00BD0671" w:rsidP="00AC3B76">
      <w:pPr>
        <w:autoSpaceDE w:val="0"/>
        <w:autoSpaceDN w:val="0"/>
        <w:adjustRightInd w:val="0"/>
        <w:spacing w:before="240" w:line="276" w:lineRule="auto"/>
        <w:jc w:val="both"/>
        <w:rPr>
          <w:rFonts w:ascii="Times New Roman" w:hAnsi="Times New Roman" w:cs="Times New Roman"/>
          <w:color w:val="000000"/>
          <w:lang w:val="en-US"/>
        </w:rPr>
      </w:pPr>
      <w:r w:rsidRPr="006F4611">
        <w:rPr>
          <w:rFonts w:ascii="Times New Roman" w:hAnsi="Times New Roman" w:cs="Times New Roman"/>
          <w:color w:val="000000"/>
          <w:lang w:val="en-US"/>
        </w:rPr>
        <w:t>Size (</w:t>
      </w:r>
      <w:r w:rsidRPr="006F4611">
        <w:rPr>
          <w:rFonts w:ascii="Times New Roman" w:hAnsi="Times New Roman" w:cs="Times New Roman"/>
          <w:b/>
          <w:color w:val="000000"/>
          <w:lang w:val="en-US"/>
        </w:rPr>
        <w:t>Size)</w:t>
      </w:r>
      <w:r w:rsidRPr="006F4611">
        <w:rPr>
          <w:rFonts w:ascii="Times New Roman" w:hAnsi="Times New Roman" w:cs="Times New Roman"/>
          <w:color w:val="000000"/>
          <w:lang w:val="en-US"/>
        </w:rPr>
        <w:t>: measured by the</w:t>
      </w:r>
      <w:r w:rsidRPr="006F4611">
        <w:rPr>
          <w:rFonts w:ascii="Times New Roman" w:hAnsi="Times New Roman" w:cs="Times New Roman"/>
          <w:lang w:val="en-US"/>
        </w:rPr>
        <w:t xml:space="preserve"> natural </w:t>
      </w:r>
      <w:r w:rsidR="00B2389B" w:rsidRPr="006F4611">
        <w:rPr>
          <w:rFonts w:ascii="Times New Roman" w:hAnsi="Times New Roman" w:cs="Times New Roman"/>
          <w:lang w:val="en-US"/>
        </w:rPr>
        <w:t>log</w:t>
      </w:r>
      <w:r w:rsidR="00B2389B">
        <w:rPr>
          <w:rFonts w:ascii="Times New Roman" w:hAnsi="Times New Roman" w:cs="Times New Roman"/>
          <w:lang w:val="en-US"/>
        </w:rPr>
        <w:t>arithm</w:t>
      </w:r>
      <w:r w:rsidRPr="006F4611">
        <w:rPr>
          <w:rFonts w:ascii="Times New Roman" w:hAnsi="Times New Roman" w:cs="Times New Roman"/>
          <w:lang w:val="en-US"/>
        </w:rPr>
        <w:t xml:space="preserve"> of the book value of total assets as a </w:t>
      </w:r>
      <w:r w:rsidR="00B136D4" w:rsidRPr="006F4611">
        <w:rPr>
          <w:rFonts w:ascii="Times New Roman" w:hAnsi="Times New Roman" w:cs="Times New Roman"/>
          <w:lang w:val="en-US"/>
        </w:rPr>
        <w:t>percentage,</w:t>
      </w:r>
      <w:r w:rsidR="00B2389B">
        <w:rPr>
          <w:rFonts w:ascii="Times New Roman" w:hAnsi="Times New Roman" w:cs="Times New Roman"/>
          <w:lang w:val="en-US"/>
        </w:rPr>
        <w:t xml:space="preserve"> this variable measures the size of each bank.</w:t>
      </w:r>
      <w:r w:rsidRPr="006F4611">
        <w:rPr>
          <w:rFonts w:ascii="Times New Roman" w:hAnsi="Times New Roman" w:cs="Times New Roman"/>
          <w:lang w:val="en-US"/>
        </w:rPr>
        <w:t xml:space="preserve"> </w:t>
      </w:r>
    </w:p>
    <w:p w:rsidR="00F619F0" w:rsidRPr="006F4611" w:rsidRDefault="00F619F0"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Cost-Income Ratio (</w:t>
      </w:r>
      <w:r w:rsidRPr="006F4611">
        <w:rPr>
          <w:rFonts w:ascii="Times New Roman" w:hAnsi="Times New Roman" w:cs="Times New Roman"/>
          <w:b/>
          <w:lang w:val="en-US"/>
        </w:rPr>
        <w:t>CIR</w:t>
      </w:r>
      <w:r w:rsidRPr="006F4611">
        <w:rPr>
          <w:rFonts w:ascii="Times New Roman" w:hAnsi="Times New Roman" w:cs="Times New Roman"/>
          <w:lang w:val="en-US"/>
        </w:rPr>
        <w:t xml:space="preserve">): </w:t>
      </w:r>
      <w:r w:rsidR="00B2389B" w:rsidRPr="006F4611">
        <w:rPr>
          <w:rFonts w:ascii="Times New Roman" w:hAnsi="Times New Roman" w:cs="Times New Roman"/>
          <w:lang w:val="en-US"/>
        </w:rPr>
        <w:t>computed by total operating expenses (the sum of salaries and other operating expenses) over total generated revenues</w:t>
      </w:r>
      <w:r w:rsidR="00B2389B">
        <w:rPr>
          <w:rFonts w:ascii="Times New Roman" w:hAnsi="Times New Roman" w:cs="Times New Roman"/>
          <w:lang w:val="en-US"/>
        </w:rPr>
        <w:t>, this variable</w:t>
      </w:r>
      <w:r w:rsidR="00B2389B" w:rsidRPr="006F4611">
        <w:rPr>
          <w:rFonts w:ascii="Times New Roman" w:hAnsi="Times New Roman" w:cs="Times New Roman"/>
          <w:lang w:val="en-US"/>
        </w:rPr>
        <w:t xml:space="preserve"> </w:t>
      </w:r>
      <w:r w:rsidRPr="006F4611">
        <w:rPr>
          <w:rFonts w:ascii="Times New Roman" w:hAnsi="Times New Roman" w:cs="Times New Roman"/>
          <w:lang w:val="en-US"/>
        </w:rPr>
        <w:t>reflect</w:t>
      </w:r>
      <w:r w:rsidR="00B2389B">
        <w:rPr>
          <w:rFonts w:ascii="Times New Roman" w:hAnsi="Times New Roman" w:cs="Times New Roman"/>
          <w:lang w:val="en-US"/>
        </w:rPr>
        <w:t>s</w:t>
      </w:r>
      <w:r w:rsidRPr="006F4611">
        <w:rPr>
          <w:rFonts w:ascii="Times New Roman" w:hAnsi="Times New Roman" w:cs="Times New Roman"/>
          <w:lang w:val="en-US"/>
        </w:rPr>
        <w:t xml:space="preserve"> bank’s operational efficiency. More efficient bank</w:t>
      </w:r>
      <w:r w:rsidR="00B2389B">
        <w:rPr>
          <w:rFonts w:ascii="Times New Roman" w:hAnsi="Times New Roman" w:cs="Times New Roman"/>
          <w:lang w:val="en-US"/>
        </w:rPr>
        <w:t>s</w:t>
      </w:r>
      <w:r w:rsidRPr="006F4611">
        <w:rPr>
          <w:rFonts w:ascii="Times New Roman" w:hAnsi="Times New Roman" w:cs="Times New Roman"/>
          <w:lang w:val="en-US"/>
        </w:rPr>
        <w:t xml:space="preserve"> </w:t>
      </w:r>
      <w:r w:rsidR="00B2389B">
        <w:rPr>
          <w:rFonts w:ascii="Times New Roman" w:hAnsi="Times New Roman" w:cs="Times New Roman"/>
          <w:lang w:val="en-US"/>
        </w:rPr>
        <w:t>are</w:t>
      </w:r>
      <w:r w:rsidRPr="006F4611">
        <w:rPr>
          <w:rFonts w:ascii="Times New Roman" w:hAnsi="Times New Roman" w:cs="Times New Roman"/>
          <w:lang w:val="en-US"/>
        </w:rPr>
        <w:t xml:space="preserve"> expected to be </w:t>
      </w:r>
      <w:r w:rsidR="00E74572">
        <w:rPr>
          <w:rFonts w:ascii="Times New Roman" w:hAnsi="Times New Roman" w:cs="Times New Roman"/>
          <w:lang w:val="en-US"/>
        </w:rPr>
        <w:t>less risked</w:t>
      </w:r>
      <w:r w:rsidRPr="006F4611">
        <w:rPr>
          <w:rFonts w:ascii="Times New Roman" w:hAnsi="Times New Roman" w:cs="Times New Roman"/>
          <w:lang w:val="en-US"/>
        </w:rPr>
        <w:t>.</w:t>
      </w:r>
    </w:p>
    <w:p w:rsidR="00BD0671" w:rsidRPr="006F4611" w:rsidRDefault="00BD0671" w:rsidP="00AC3B76">
      <w:pPr>
        <w:autoSpaceDE w:val="0"/>
        <w:autoSpaceDN w:val="0"/>
        <w:adjustRightInd w:val="0"/>
        <w:spacing w:before="240" w:line="276" w:lineRule="auto"/>
        <w:jc w:val="both"/>
        <w:rPr>
          <w:rFonts w:ascii="Times New Roman" w:hAnsi="Times New Roman" w:cs="Times New Roman"/>
          <w:lang w:val="en-US"/>
        </w:rPr>
      </w:pPr>
      <w:r w:rsidRPr="00CF18AD">
        <w:rPr>
          <w:rFonts w:ascii="Times New Roman" w:hAnsi="Times New Roman" w:cs="Times New Roman"/>
          <w:lang w:val="en-US"/>
        </w:rPr>
        <w:t>Capital Adequacy (</w:t>
      </w:r>
      <w:r w:rsidRPr="00CF18AD">
        <w:rPr>
          <w:rFonts w:ascii="Times New Roman" w:hAnsi="Times New Roman" w:cs="Times New Roman"/>
          <w:b/>
          <w:lang w:val="en-US"/>
        </w:rPr>
        <w:t>CAPAD</w:t>
      </w:r>
      <w:r w:rsidRPr="00CF18AD">
        <w:rPr>
          <w:rFonts w:ascii="Times New Roman" w:hAnsi="Times New Roman" w:cs="Times New Roman"/>
          <w:lang w:val="en-US"/>
        </w:rPr>
        <w:t>)</w:t>
      </w:r>
      <w:r w:rsidRPr="00CF18AD">
        <w:rPr>
          <w:rFonts w:ascii="Times New Roman" w:hAnsi="Times New Roman" w:cs="Times New Roman"/>
          <w:color w:val="000000"/>
          <w:lang w:val="en-US"/>
        </w:rPr>
        <w:t xml:space="preserve">: </w:t>
      </w:r>
      <w:r w:rsidR="00B2389B">
        <w:rPr>
          <w:rFonts w:ascii="Times New Roman" w:hAnsi="Times New Roman" w:cs="Times New Roman"/>
          <w:lang w:val="en-US"/>
        </w:rPr>
        <w:t xml:space="preserve">measured by </w:t>
      </w:r>
      <w:r w:rsidR="00B2389B" w:rsidRPr="00CF18AD">
        <w:rPr>
          <w:rFonts w:ascii="Times New Roman" w:hAnsi="Times New Roman" w:cs="Times New Roman"/>
          <w:lang w:val="en-US"/>
        </w:rPr>
        <w:t>the ratio of book value of equity to total assets</w:t>
      </w:r>
      <w:r w:rsidR="0076104B">
        <w:rPr>
          <w:rFonts w:ascii="Times New Roman" w:hAnsi="Times New Roman" w:cs="Times New Roman"/>
          <w:lang w:val="en-US"/>
        </w:rPr>
        <w:t>, this variable</w:t>
      </w:r>
      <w:r w:rsidR="00B2389B" w:rsidRPr="00CF18AD">
        <w:rPr>
          <w:rFonts w:ascii="Times New Roman" w:hAnsi="Times New Roman" w:cs="Times New Roman"/>
          <w:color w:val="000000"/>
          <w:lang w:val="en-US"/>
        </w:rPr>
        <w:t xml:space="preserve"> </w:t>
      </w:r>
      <w:r w:rsidRPr="00CF18AD">
        <w:rPr>
          <w:rFonts w:ascii="Times New Roman" w:hAnsi="Times New Roman" w:cs="Times New Roman"/>
          <w:color w:val="000000"/>
          <w:lang w:val="en-US"/>
        </w:rPr>
        <w:t>reflect</w:t>
      </w:r>
      <w:r w:rsidR="0076104B">
        <w:rPr>
          <w:rFonts w:ascii="Times New Roman" w:hAnsi="Times New Roman" w:cs="Times New Roman"/>
          <w:color w:val="000000"/>
          <w:lang w:val="en-US"/>
        </w:rPr>
        <w:t>s</w:t>
      </w:r>
      <w:r w:rsidRPr="00CF18AD">
        <w:rPr>
          <w:rFonts w:ascii="Times New Roman" w:hAnsi="Times New Roman" w:cs="Times New Roman"/>
          <w:color w:val="000000"/>
          <w:lang w:val="en-US"/>
        </w:rPr>
        <w:t xml:space="preserve"> international prudential regulation</w:t>
      </w:r>
      <w:r w:rsidRPr="00CF18AD">
        <w:rPr>
          <w:rFonts w:ascii="Times New Roman" w:hAnsi="Times New Roman" w:cs="Times New Roman"/>
          <w:lang w:val="en-US"/>
        </w:rPr>
        <w:t xml:space="preserve">. </w:t>
      </w:r>
      <w:r w:rsidR="0076104B">
        <w:rPr>
          <w:rFonts w:ascii="Times New Roman" w:hAnsi="Times New Roman" w:cs="Times New Roman"/>
          <w:lang w:val="en-US"/>
        </w:rPr>
        <w:t>High level</w:t>
      </w:r>
      <w:r w:rsidRPr="00CF18AD">
        <w:rPr>
          <w:rFonts w:ascii="Times New Roman" w:hAnsi="Times New Roman" w:cs="Times New Roman"/>
          <w:lang w:val="en-US"/>
        </w:rPr>
        <w:t xml:space="preserve"> of equity is expected to reduce the bank risk. </w:t>
      </w:r>
    </w:p>
    <w:p w:rsidR="007274E7" w:rsidRPr="006F4611" w:rsidRDefault="00BD0671"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Ownership (</w:t>
      </w:r>
      <w:r w:rsidRPr="006F4611">
        <w:rPr>
          <w:rFonts w:ascii="Times New Roman" w:hAnsi="Times New Roman" w:cs="Times New Roman"/>
          <w:b/>
          <w:lang w:val="en-US"/>
        </w:rPr>
        <w:t>OWN</w:t>
      </w:r>
      <w:r w:rsidRPr="006F4611">
        <w:rPr>
          <w:rFonts w:ascii="Times New Roman" w:hAnsi="Times New Roman" w:cs="Times New Roman"/>
          <w:lang w:val="en-US"/>
        </w:rPr>
        <w:t xml:space="preserve">): measured by the percentage of bank equity hold by private sector, this variable </w:t>
      </w:r>
      <w:r w:rsidR="0076104B">
        <w:rPr>
          <w:rFonts w:ascii="Times New Roman" w:hAnsi="Times New Roman" w:cs="Times New Roman"/>
          <w:lang w:val="en-US"/>
        </w:rPr>
        <w:t xml:space="preserve">attempts </w:t>
      </w:r>
      <w:r w:rsidRPr="006F4611">
        <w:rPr>
          <w:rFonts w:ascii="Times New Roman" w:hAnsi="Times New Roman" w:cs="Times New Roman"/>
          <w:lang w:val="en-US"/>
        </w:rPr>
        <w:t xml:space="preserve">to test whether privatization of </w:t>
      </w:r>
      <w:r w:rsidR="0076104B">
        <w:rPr>
          <w:rFonts w:ascii="Times New Roman" w:hAnsi="Times New Roman" w:cs="Times New Roman"/>
          <w:lang w:val="en-US"/>
        </w:rPr>
        <w:t xml:space="preserve">Tunisian </w:t>
      </w:r>
      <w:r w:rsidRPr="006F4611">
        <w:rPr>
          <w:rFonts w:ascii="Times New Roman" w:hAnsi="Times New Roman" w:cs="Times New Roman"/>
          <w:lang w:val="en-US"/>
        </w:rPr>
        <w:t xml:space="preserve">banks </w:t>
      </w:r>
      <w:r w:rsidR="0076104B">
        <w:rPr>
          <w:rFonts w:ascii="Times New Roman" w:hAnsi="Times New Roman" w:cs="Times New Roman"/>
          <w:lang w:val="en-US"/>
        </w:rPr>
        <w:t>enhances</w:t>
      </w:r>
      <w:r w:rsidR="00CF18AD">
        <w:rPr>
          <w:rFonts w:ascii="Times New Roman" w:hAnsi="Times New Roman" w:cs="Times New Roman"/>
          <w:lang w:val="en-US"/>
        </w:rPr>
        <w:t xml:space="preserve"> risk taking behavior</w:t>
      </w:r>
      <w:r w:rsidRPr="006F4611">
        <w:rPr>
          <w:rFonts w:ascii="Times New Roman" w:hAnsi="Times New Roman" w:cs="Times New Roman"/>
          <w:lang w:val="en-US"/>
        </w:rPr>
        <w:t xml:space="preserve">. </w:t>
      </w:r>
    </w:p>
    <w:p w:rsidR="007274E7" w:rsidRPr="00267D2D" w:rsidRDefault="007274E7" w:rsidP="00AC3B76">
      <w:pPr>
        <w:autoSpaceDE w:val="0"/>
        <w:autoSpaceDN w:val="0"/>
        <w:adjustRightInd w:val="0"/>
        <w:spacing w:before="240" w:line="276" w:lineRule="auto"/>
        <w:jc w:val="both"/>
        <w:rPr>
          <w:b/>
          <w:color w:val="000000"/>
          <w:lang w:val="en-US"/>
        </w:rPr>
      </w:pPr>
      <w:r w:rsidRPr="006416E5">
        <w:rPr>
          <w:b/>
          <w:color w:val="000000"/>
          <w:lang w:val="en-US"/>
        </w:rPr>
        <w:t>3.3. Model Specification and estimation methodology</w:t>
      </w:r>
    </w:p>
    <w:p w:rsidR="007274E7" w:rsidRPr="00267D2D" w:rsidRDefault="0076104B" w:rsidP="00AC3B76">
      <w:pPr>
        <w:autoSpaceDE w:val="0"/>
        <w:autoSpaceDN w:val="0"/>
        <w:adjustRightInd w:val="0"/>
        <w:spacing w:before="240" w:line="276" w:lineRule="auto"/>
        <w:jc w:val="both"/>
        <w:rPr>
          <w:rFonts w:ascii="Times New Roman" w:hAnsi="Times New Roman" w:cs="Times New Roman"/>
          <w:lang w:val="en-US"/>
        </w:rPr>
      </w:pPr>
      <w:r>
        <w:rPr>
          <w:rFonts w:ascii="Times New Roman" w:hAnsi="Times New Roman" w:cs="Times New Roman"/>
          <w:lang w:val="en-US"/>
        </w:rPr>
        <w:t>W</w:t>
      </w:r>
      <w:r w:rsidR="007274E7" w:rsidRPr="006F4611">
        <w:rPr>
          <w:rFonts w:ascii="Times New Roman" w:hAnsi="Times New Roman" w:cs="Times New Roman"/>
          <w:lang w:val="en-US"/>
        </w:rPr>
        <w:t>e develop the following regression</w:t>
      </w:r>
      <w:r w:rsidRPr="0076104B">
        <w:rPr>
          <w:rFonts w:ascii="Times New Roman" w:hAnsi="Times New Roman" w:cs="Times New Roman"/>
          <w:lang w:val="en-US"/>
        </w:rPr>
        <w:t xml:space="preserve"> </w:t>
      </w:r>
      <w:r>
        <w:rPr>
          <w:rFonts w:ascii="Times New Roman" w:hAnsi="Times New Roman" w:cs="Times New Roman"/>
          <w:lang w:val="en-US"/>
        </w:rPr>
        <w:t>i</w:t>
      </w:r>
      <w:r w:rsidRPr="006F4611">
        <w:rPr>
          <w:rFonts w:ascii="Times New Roman" w:hAnsi="Times New Roman" w:cs="Times New Roman"/>
          <w:lang w:val="en-US"/>
        </w:rPr>
        <w:t xml:space="preserve">n order to test the bank-specific, industry-specific and macroeconomic factors </w:t>
      </w:r>
      <w:r>
        <w:rPr>
          <w:rFonts w:ascii="Times New Roman" w:hAnsi="Times New Roman" w:cs="Times New Roman"/>
          <w:lang w:val="en-US"/>
        </w:rPr>
        <w:t>influencing</w:t>
      </w:r>
      <w:r w:rsidRPr="006F4611">
        <w:rPr>
          <w:rFonts w:ascii="Times New Roman" w:hAnsi="Times New Roman" w:cs="Times New Roman"/>
          <w:lang w:val="en-US"/>
        </w:rPr>
        <w:t xml:space="preserve"> the Tunisian bank’s credit risk</w:t>
      </w:r>
      <w:r w:rsidR="007274E7" w:rsidRPr="006F4611">
        <w:rPr>
          <w:rFonts w:ascii="Times New Roman" w:hAnsi="Times New Roman" w:cs="Times New Roman"/>
          <w:lang w:val="en-US"/>
        </w:rPr>
        <w:t>:</w:t>
      </w:r>
    </w:p>
    <w:p w:rsidR="007274E7" w:rsidRPr="000F2004" w:rsidRDefault="00CA2C04" w:rsidP="00AC3B76">
      <w:pPr>
        <w:autoSpaceDE w:val="0"/>
        <w:autoSpaceDN w:val="0"/>
        <w:adjustRightInd w:val="0"/>
        <w:spacing w:before="240" w:line="276" w:lineRule="auto"/>
        <w:jc w:val="both"/>
        <w:rPr>
          <w:rFonts w:ascii="Symbol" w:hAnsi="Symbol" w:cs="Symbol"/>
          <w:sz w:val="26"/>
          <w:szCs w:val="26"/>
          <w:lang w:val="en-US"/>
        </w:rPr>
      </w:pPr>
      <w:proofErr w:type="spellStart"/>
      <w:r>
        <w:rPr>
          <w:b/>
          <w:i/>
          <w:iCs/>
          <w:lang w:val="en-US"/>
        </w:rPr>
        <w:t>CR</w:t>
      </w:r>
      <w:r w:rsidR="007274E7" w:rsidRPr="007024A2">
        <w:rPr>
          <w:vertAlign w:val="subscript"/>
          <w:lang w:val="en-US"/>
        </w:rPr>
        <w:t>it</w:t>
      </w:r>
      <w:proofErr w:type="spellEnd"/>
      <w:r w:rsidR="007274E7" w:rsidRPr="007024A2">
        <w:rPr>
          <w:i/>
          <w:iCs/>
          <w:lang w:val="en-US"/>
        </w:rPr>
        <w:t xml:space="preserve"> </w:t>
      </w:r>
      <w:r w:rsidR="007274E7">
        <w:rPr>
          <w:rFonts w:ascii="Symbol" w:hAnsi="Symbol" w:cs="Symbol"/>
        </w:rPr>
        <w:t></w:t>
      </w:r>
      <w:r w:rsidR="007274E7">
        <w:rPr>
          <w:rFonts w:ascii="Symbol" w:hAnsi="Symbol" w:cs="Symbol"/>
          <w:sz w:val="26"/>
          <w:szCs w:val="26"/>
        </w:rPr>
        <w:sym w:font="Symbol" w:char="F061"/>
      </w:r>
      <w:r w:rsidR="007274E7">
        <w:rPr>
          <w:vertAlign w:val="subscript"/>
          <w:lang w:val="en-US"/>
        </w:rPr>
        <w:t>0</w:t>
      </w:r>
      <w:r w:rsidR="007274E7">
        <w:rPr>
          <w:rFonts w:ascii="Symbol" w:hAnsi="Symbol" w:cs="Symbol"/>
          <w:sz w:val="26"/>
          <w:szCs w:val="26"/>
        </w:rPr>
        <w:t></w:t>
      </w:r>
      <w:r w:rsidR="007274E7">
        <w:rPr>
          <w:rFonts w:ascii="Symbol" w:hAnsi="Symbol" w:cs="Symbol"/>
        </w:rPr>
        <w:t></w:t>
      </w:r>
      <w:r w:rsidR="007274E7">
        <w:rPr>
          <w:rFonts w:ascii="Symbol" w:hAnsi="Symbol" w:cs="Symbol"/>
        </w:rPr>
        <w:t></w:t>
      </w:r>
      <w:r w:rsidR="007274E7">
        <w:rPr>
          <w:rFonts w:ascii="Symbol" w:hAnsi="Symbol" w:cs="Symbol"/>
          <w:sz w:val="26"/>
          <w:szCs w:val="26"/>
        </w:rPr>
        <w:sym w:font="Symbol" w:char="F062"/>
      </w:r>
      <w:proofErr w:type="spellStart"/>
      <w:r w:rsidR="007274E7" w:rsidRPr="007024A2">
        <w:rPr>
          <w:vertAlign w:val="subscript"/>
          <w:lang w:val="en-US"/>
        </w:rPr>
        <w:t>it</w:t>
      </w:r>
      <w:r w:rsidR="007274E7">
        <w:rPr>
          <w:i/>
          <w:iCs/>
          <w:lang w:val="en-US"/>
        </w:rPr>
        <w:t>X</w:t>
      </w:r>
      <w:r w:rsidR="007274E7" w:rsidRPr="007024A2">
        <w:rPr>
          <w:vertAlign w:val="subscript"/>
          <w:lang w:val="en-US"/>
        </w:rPr>
        <w:t>it</w:t>
      </w:r>
      <w:proofErr w:type="spellEnd"/>
      <w:r w:rsidR="007274E7" w:rsidRPr="007024A2">
        <w:rPr>
          <w:i/>
          <w:iCs/>
          <w:lang w:val="en-US"/>
        </w:rPr>
        <w:t xml:space="preserve"> </w:t>
      </w:r>
      <w:r w:rsidR="007274E7">
        <w:rPr>
          <w:rFonts w:ascii="Symbol" w:hAnsi="Symbol" w:cs="Symbol"/>
        </w:rPr>
        <w:t></w:t>
      </w:r>
      <w:r w:rsidR="007274E7">
        <w:rPr>
          <w:rFonts w:ascii="Symbol" w:hAnsi="Symbol" w:cs="Symbol"/>
        </w:rPr>
        <w:t></w:t>
      </w:r>
      <w:r w:rsidR="007274E7">
        <w:rPr>
          <w:rFonts w:ascii="Symbol" w:hAnsi="Symbol" w:cs="Symbol"/>
          <w:sz w:val="26"/>
          <w:szCs w:val="26"/>
        </w:rPr>
        <w:sym w:font="Symbol" w:char="F073"/>
      </w:r>
      <w:proofErr w:type="spellStart"/>
      <w:r w:rsidR="007274E7" w:rsidRPr="007024A2">
        <w:rPr>
          <w:vertAlign w:val="subscript"/>
          <w:lang w:val="en-US"/>
        </w:rPr>
        <w:t>it</w:t>
      </w:r>
      <w:r w:rsidR="007274E7" w:rsidRPr="007024A2">
        <w:rPr>
          <w:i/>
          <w:iCs/>
          <w:lang w:val="en-US"/>
        </w:rPr>
        <w:t>Y</w:t>
      </w:r>
      <w:r w:rsidR="007274E7" w:rsidRPr="007024A2">
        <w:rPr>
          <w:vertAlign w:val="subscript"/>
          <w:lang w:val="en-US"/>
        </w:rPr>
        <w:t>it</w:t>
      </w:r>
      <w:proofErr w:type="spellEnd"/>
      <w:r w:rsidR="007274E7" w:rsidRPr="007024A2">
        <w:rPr>
          <w:i/>
          <w:iCs/>
          <w:lang w:val="en-US"/>
        </w:rPr>
        <w:t xml:space="preserve"> </w:t>
      </w:r>
      <w:r w:rsidR="007274E7">
        <w:rPr>
          <w:rFonts w:ascii="Symbol" w:hAnsi="Symbol" w:cs="Symbol"/>
        </w:rPr>
        <w:t></w:t>
      </w:r>
      <w:r w:rsidR="007274E7">
        <w:rPr>
          <w:rFonts w:ascii="Symbol" w:hAnsi="Symbol" w:cs="Symbol"/>
        </w:rPr>
        <w:t></w:t>
      </w:r>
      <w:r w:rsidR="007274E7">
        <w:rPr>
          <w:rFonts w:ascii="Symbol" w:hAnsi="Symbol" w:cs="Symbol"/>
          <w:sz w:val="26"/>
          <w:szCs w:val="26"/>
        </w:rPr>
        <w:sym w:font="Symbol" w:char="F064"/>
      </w:r>
      <w:r w:rsidR="007274E7" w:rsidRPr="007024A2">
        <w:rPr>
          <w:vertAlign w:val="subscript"/>
          <w:lang w:val="en-US"/>
        </w:rPr>
        <w:t>it</w:t>
      </w:r>
      <w:r w:rsidR="007274E7">
        <w:rPr>
          <w:rFonts w:ascii="Symbol" w:hAnsi="Symbol" w:cs="Symbol"/>
        </w:rPr>
        <w:t></w:t>
      </w:r>
      <w:r w:rsidR="007274E7" w:rsidRPr="007024A2">
        <w:rPr>
          <w:vertAlign w:val="subscript"/>
          <w:lang w:val="en-US"/>
        </w:rPr>
        <w:t>it</w:t>
      </w:r>
      <w:r w:rsidR="007274E7">
        <w:rPr>
          <w:rFonts w:ascii="Symbol" w:hAnsi="Symbol" w:cs="Symbol"/>
        </w:rPr>
        <w:t></w:t>
      </w:r>
      <w:r w:rsidR="007274E7">
        <w:rPr>
          <w:rFonts w:ascii="Symbol" w:hAnsi="Symbol" w:cs="Symbol"/>
        </w:rPr>
        <w:t></w:t>
      </w:r>
      <w:r w:rsidR="007274E7">
        <w:rPr>
          <w:rFonts w:ascii="Symbol" w:hAnsi="Symbol" w:cs="Symbol"/>
        </w:rPr>
        <w:t></w:t>
      </w:r>
      <w:r w:rsidR="007274E7">
        <w:rPr>
          <w:rFonts w:ascii="Symbol" w:hAnsi="Symbol" w:cs="Symbol"/>
          <w:sz w:val="26"/>
          <w:szCs w:val="26"/>
        </w:rPr>
        <w:t></w:t>
      </w:r>
      <w:r w:rsidR="007274E7" w:rsidRPr="007024A2">
        <w:rPr>
          <w:vertAlign w:val="subscript"/>
          <w:lang w:val="en-US"/>
        </w:rPr>
        <w:t>it</w:t>
      </w:r>
    </w:p>
    <w:p w:rsidR="003160A2" w:rsidRDefault="007274E7"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t>Where</w:t>
      </w:r>
      <w:r w:rsidR="00B136D4">
        <w:rPr>
          <w:rFonts w:ascii="Times New Roman" w:hAnsi="Times New Roman" w:cs="Times New Roman"/>
          <w:lang w:val="en-US"/>
        </w:rPr>
        <w:t xml:space="preserve"> </w:t>
      </w:r>
      <w:proofErr w:type="spellStart"/>
      <w:r w:rsidRPr="00B136D4">
        <w:rPr>
          <w:b/>
          <w:lang w:val="en-US"/>
        </w:rPr>
        <w:t>i</w:t>
      </w:r>
      <w:proofErr w:type="spellEnd"/>
      <w:r w:rsidRPr="00B136D4">
        <w:rPr>
          <w:lang w:val="en-US"/>
        </w:rPr>
        <w:t xml:space="preserve"> </w:t>
      </w:r>
      <w:proofErr w:type="gramStart"/>
      <w:r w:rsidRPr="00B136D4">
        <w:rPr>
          <w:lang w:val="en-US"/>
        </w:rPr>
        <w:t>refers</w:t>
      </w:r>
      <w:proofErr w:type="gramEnd"/>
      <w:r w:rsidRPr="00B136D4">
        <w:rPr>
          <w:lang w:val="en-US"/>
        </w:rPr>
        <w:t xml:space="preserve"> to an individual bank, </w:t>
      </w:r>
      <w:r w:rsidRPr="00B136D4">
        <w:rPr>
          <w:b/>
          <w:lang w:val="en-US"/>
        </w:rPr>
        <w:t>t</w:t>
      </w:r>
      <w:r w:rsidRPr="00B136D4">
        <w:rPr>
          <w:lang w:val="en-US"/>
        </w:rPr>
        <w:t xml:space="preserve"> refers to the year,</w:t>
      </w:r>
      <w:r w:rsidR="00B136D4">
        <w:rPr>
          <w:rFonts w:ascii="Times New Roman" w:hAnsi="Times New Roman" w:cs="Times New Roman"/>
          <w:lang w:val="en-US"/>
        </w:rPr>
        <w:t xml:space="preserve"> </w:t>
      </w:r>
      <w:r w:rsidR="00AC2437" w:rsidRPr="00B136D4">
        <w:rPr>
          <w:b/>
          <w:i/>
          <w:iCs/>
          <w:lang w:val="en-US"/>
        </w:rPr>
        <w:t>CR</w:t>
      </w:r>
      <w:r w:rsidRPr="00B136D4">
        <w:rPr>
          <w:lang w:val="en-US"/>
        </w:rPr>
        <w:t xml:space="preserve"> is the dependent variable referring to the </w:t>
      </w:r>
      <w:r w:rsidR="00AC2437" w:rsidRPr="00B136D4">
        <w:rPr>
          <w:lang w:val="en-US"/>
        </w:rPr>
        <w:t>Credit Risk</w:t>
      </w:r>
      <w:r w:rsidRPr="00B136D4">
        <w:rPr>
          <w:lang w:val="en-US"/>
        </w:rPr>
        <w:t xml:space="preserve"> measured by </w:t>
      </w:r>
      <w:r w:rsidR="00AC2437" w:rsidRPr="00B136D4">
        <w:rPr>
          <w:lang w:val="en-US"/>
        </w:rPr>
        <w:t>NPL</w:t>
      </w:r>
      <w:r w:rsidRPr="00B136D4">
        <w:rPr>
          <w:lang w:val="en-US"/>
        </w:rPr>
        <w:t xml:space="preserve"> and </w:t>
      </w:r>
      <w:r w:rsidR="00AC2437" w:rsidRPr="00B136D4">
        <w:rPr>
          <w:lang w:val="en-US"/>
        </w:rPr>
        <w:t>Z-Score</w:t>
      </w:r>
      <w:r w:rsidRPr="00B136D4">
        <w:rPr>
          <w:lang w:val="en-US"/>
        </w:rPr>
        <w:t xml:space="preserve">, </w:t>
      </w:r>
      <w:r w:rsidRPr="00B136D4">
        <w:rPr>
          <w:b/>
          <w:lang w:val="en-US"/>
        </w:rPr>
        <w:t>X</w:t>
      </w:r>
      <w:r w:rsidRPr="00B136D4">
        <w:rPr>
          <w:lang w:val="en-US"/>
        </w:rPr>
        <w:t xml:space="preserve"> is a vector of the individual-specific factors of a bank,</w:t>
      </w:r>
      <w:r w:rsidR="00B136D4" w:rsidRPr="00B136D4">
        <w:rPr>
          <w:b/>
          <w:lang w:val="en-US"/>
        </w:rPr>
        <w:t xml:space="preserve"> </w:t>
      </w:r>
      <w:r w:rsidRPr="00B136D4">
        <w:rPr>
          <w:b/>
          <w:lang w:val="en-US"/>
        </w:rPr>
        <w:t>Y</w:t>
      </w:r>
      <w:r w:rsidRPr="00B136D4">
        <w:rPr>
          <w:lang w:val="en-US"/>
        </w:rPr>
        <w:t xml:space="preserve"> is a vector of the industrial-specific factors,</w:t>
      </w:r>
      <w:r w:rsidR="00B136D4" w:rsidRPr="00B136D4">
        <w:rPr>
          <w:lang w:val="en-US"/>
        </w:rPr>
        <w:t xml:space="preserve"> </w:t>
      </w:r>
      <w:r w:rsidRPr="00B136D4">
        <w:rPr>
          <w:b/>
          <w:lang w:val="en-US"/>
        </w:rPr>
        <w:t>Z</w:t>
      </w:r>
      <w:r w:rsidRPr="00B136D4">
        <w:rPr>
          <w:lang w:val="en-US"/>
        </w:rPr>
        <w:t xml:space="preserve"> is a vector of the macroeconomic factors.</w:t>
      </w:r>
    </w:p>
    <w:p w:rsidR="007274E7" w:rsidRPr="006F4611" w:rsidRDefault="007274E7" w:rsidP="00AC3B76">
      <w:pPr>
        <w:autoSpaceDE w:val="0"/>
        <w:autoSpaceDN w:val="0"/>
        <w:adjustRightInd w:val="0"/>
        <w:spacing w:before="240" w:line="276" w:lineRule="auto"/>
        <w:jc w:val="both"/>
        <w:rPr>
          <w:rFonts w:ascii="Times New Roman" w:hAnsi="Times New Roman" w:cs="Times New Roman"/>
          <w:lang w:val="en-US"/>
        </w:rPr>
      </w:pPr>
      <w:r w:rsidRPr="006F4611">
        <w:rPr>
          <w:rFonts w:ascii="Times New Roman" w:hAnsi="Times New Roman" w:cs="Times New Roman"/>
          <w:lang w:val="en-US"/>
        </w:rPr>
        <w:lastRenderedPageBreak/>
        <w:t>The complete model is then</w:t>
      </w:r>
      <w:r w:rsidR="00FF159E">
        <w:rPr>
          <w:rFonts w:ascii="Times New Roman" w:hAnsi="Times New Roman" w:cs="Times New Roman"/>
          <w:lang w:val="en-US"/>
        </w:rPr>
        <w:t xml:space="preserve"> described by regression bellow,</w:t>
      </w:r>
    </w:p>
    <w:p w:rsidR="00A97510" w:rsidRPr="003160A2" w:rsidRDefault="00043480" w:rsidP="00AC3B76">
      <w:pPr>
        <w:autoSpaceDE w:val="0"/>
        <w:autoSpaceDN w:val="0"/>
        <w:adjustRightInd w:val="0"/>
        <w:spacing w:before="240" w:line="276" w:lineRule="auto"/>
        <w:jc w:val="both"/>
      </w:pPr>
      <w:proofErr w:type="spellStart"/>
      <w:r>
        <w:rPr>
          <w:b/>
          <w:i/>
          <w:iCs/>
        </w:rPr>
        <w:t>CR</w:t>
      </w:r>
      <w:r w:rsidR="007274E7" w:rsidRPr="006416E5">
        <w:rPr>
          <w:i/>
          <w:iCs/>
          <w:vertAlign w:val="subscript"/>
        </w:rPr>
        <w:t>i,t</w:t>
      </w:r>
      <w:proofErr w:type="spellEnd"/>
      <w:r w:rsidR="007274E7" w:rsidRPr="006416E5">
        <w:t xml:space="preserve"> = </w:t>
      </w:r>
      <w:r w:rsidR="007274E7" w:rsidRPr="006416E5">
        <w:sym w:font="Symbol" w:char="F061"/>
      </w:r>
      <w:r w:rsidR="007274E7" w:rsidRPr="006416E5">
        <w:t xml:space="preserve">0 + </w:t>
      </w:r>
      <w:r w:rsidR="007274E7" w:rsidRPr="006416E5">
        <w:sym w:font="Symbol" w:char="F061"/>
      </w:r>
      <w:r w:rsidR="007274E7" w:rsidRPr="006416E5">
        <w:t>1</w:t>
      </w:r>
      <w:r w:rsidR="007274E7" w:rsidRPr="006416E5">
        <w:rPr>
          <w:b/>
          <w:i/>
          <w:iCs/>
        </w:rPr>
        <w:t xml:space="preserve"> </w:t>
      </w:r>
      <w:proofErr w:type="spellStart"/>
      <w:r>
        <w:rPr>
          <w:b/>
          <w:i/>
          <w:iCs/>
        </w:rPr>
        <w:t>CR</w:t>
      </w:r>
      <w:r w:rsidR="007274E7" w:rsidRPr="006416E5">
        <w:rPr>
          <w:i/>
          <w:iCs/>
          <w:vertAlign w:val="subscript"/>
        </w:rPr>
        <w:t>i,t</w:t>
      </w:r>
      <w:proofErr w:type="spellEnd"/>
      <w:r w:rsidR="007274E7" w:rsidRPr="006416E5">
        <w:rPr>
          <w:i/>
          <w:iCs/>
          <w:vertAlign w:val="subscript"/>
        </w:rPr>
        <w:t>-1</w:t>
      </w:r>
      <w:r w:rsidR="007274E7" w:rsidRPr="006416E5">
        <w:rPr>
          <w:i/>
          <w:iCs/>
        </w:rPr>
        <w:t xml:space="preserve"> +</w:t>
      </w:r>
      <w:r w:rsidR="007274E7" w:rsidRPr="006416E5">
        <w:t xml:space="preserve"> </w:t>
      </w:r>
      <w:r w:rsidR="007274E7" w:rsidRPr="006416E5">
        <w:sym w:font="Symbol" w:char="F061"/>
      </w:r>
      <w:r>
        <w:t>2SIZEi,t +</w:t>
      </w:r>
      <w:r w:rsidR="007274E7" w:rsidRPr="006416E5">
        <w:t xml:space="preserve"> </w:t>
      </w:r>
      <w:r w:rsidR="007274E7" w:rsidRPr="006416E5">
        <w:sym w:font="Symbol" w:char="F061"/>
      </w:r>
      <w:r w:rsidR="007274E7" w:rsidRPr="006416E5">
        <w:t xml:space="preserve">5CIRi,t + </w:t>
      </w:r>
      <w:r w:rsidR="007274E7" w:rsidRPr="006416E5">
        <w:sym w:font="Symbol" w:char="F061"/>
      </w:r>
      <w:r w:rsidR="007274E7" w:rsidRPr="006416E5">
        <w:t>6</w:t>
      </w:r>
      <w:r w:rsidR="00267D2D">
        <w:t>CAPAD</w:t>
      </w:r>
      <w:r w:rsidR="007274E7" w:rsidRPr="006416E5">
        <w:t xml:space="preserve">i,t + </w:t>
      </w:r>
      <w:r w:rsidR="007274E7" w:rsidRPr="006416E5">
        <w:sym w:font="Symbol" w:char="F061"/>
      </w:r>
      <w:r w:rsidR="007274E7" w:rsidRPr="006416E5">
        <w:t xml:space="preserve">7OWNi,t + </w:t>
      </w:r>
      <w:r w:rsidR="007274E7" w:rsidRPr="006416E5">
        <w:sym w:font="Symbol" w:char="F061"/>
      </w:r>
      <w:r w:rsidR="007274E7" w:rsidRPr="006416E5">
        <w:t xml:space="preserve">8CONCi,t + </w:t>
      </w:r>
      <w:r w:rsidR="007274E7" w:rsidRPr="006416E5">
        <w:sym w:font="Symbol" w:char="F061"/>
      </w:r>
      <w:r w:rsidR="007274E7" w:rsidRPr="006416E5">
        <w:t xml:space="preserve">9SBSi,t + </w:t>
      </w:r>
      <w:r w:rsidR="007274E7" w:rsidRPr="006416E5">
        <w:sym w:font="Symbol" w:char="F061"/>
      </w:r>
      <w:r w:rsidR="007274E7" w:rsidRPr="006416E5">
        <w:t xml:space="preserve">10GDPi,t + </w:t>
      </w:r>
      <w:r w:rsidR="007274E7" w:rsidRPr="006416E5">
        <w:sym w:font="Symbol" w:char="F061"/>
      </w:r>
      <w:r w:rsidR="007274E7" w:rsidRPr="006416E5">
        <w:t xml:space="preserve">11INFi,t + </w:t>
      </w:r>
      <w:proofErr w:type="spellStart"/>
      <w:r w:rsidR="007274E7" w:rsidRPr="006416E5">
        <w:t>εi,t</w:t>
      </w:r>
      <w:proofErr w:type="spellEnd"/>
      <w:r w:rsidR="007274E7" w:rsidRPr="006416E5">
        <w:t xml:space="preserve"> (1)</w:t>
      </w:r>
    </w:p>
    <w:p w:rsidR="007274E7" w:rsidRPr="00A97510" w:rsidRDefault="00CE56E3" w:rsidP="00AC3B76">
      <w:pPr>
        <w:spacing w:before="240"/>
        <w:rPr>
          <w:lang w:val="en-US"/>
        </w:rPr>
      </w:pPr>
      <w:r w:rsidRPr="006416E5">
        <w:rPr>
          <w:b/>
          <w:lang w:val="en-US"/>
        </w:rPr>
        <w:t xml:space="preserve">Table 1: </w:t>
      </w:r>
      <w:r w:rsidR="001A446B">
        <w:rPr>
          <w:b/>
          <w:lang w:val="en-US"/>
        </w:rPr>
        <w:t>Independent V</w:t>
      </w:r>
      <w:r w:rsidRPr="006416E5">
        <w:rPr>
          <w:b/>
          <w:lang w:val="en-US"/>
        </w:rPr>
        <w:t>ariables</w:t>
      </w:r>
      <w:r w:rsidR="001A446B">
        <w:rPr>
          <w:b/>
          <w:lang w:val="en-US"/>
        </w:rPr>
        <w:t>’</w:t>
      </w:r>
      <w:r w:rsidR="001A446B" w:rsidRPr="001A446B">
        <w:rPr>
          <w:b/>
          <w:lang w:val="en-US"/>
        </w:rPr>
        <w:t xml:space="preserve"> </w:t>
      </w:r>
      <w:r w:rsidR="001A446B" w:rsidRPr="006416E5">
        <w:rPr>
          <w:b/>
          <w:lang w:val="en-US"/>
        </w:rPr>
        <w:t xml:space="preserve">Descriptive </w:t>
      </w:r>
      <w:r w:rsidR="001A446B" w:rsidRPr="006416E5">
        <w:rPr>
          <w:b/>
          <w:lang w:val="en-GB"/>
        </w:rPr>
        <w:t>statistics</w:t>
      </w:r>
    </w:p>
    <w:tbl>
      <w:tblPr>
        <w:tblStyle w:val="Grilledutableau"/>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tblPr>
      <w:tblGrid>
        <w:gridCol w:w="1535"/>
        <w:gridCol w:w="1535"/>
        <w:gridCol w:w="1535"/>
        <w:gridCol w:w="1535"/>
        <w:gridCol w:w="1536"/>
        <w:gridCol w:w="1536"/>
      </w:tblGrid>
      <w:tr w:rsidR="000C40F5" w:rsidRPr="005F49B0" w:rsidTr="00324F10">
        <w:tc>
          <w:tcPr>
            <w:tcW w:w="1535" w:type="dxa"/>
            <w:tcBorders>
              <w:top w:val="double" w:sz="4" w:space="0" w:color="auto"/>
              <w:bottom w:val="single" w:sz="8" w:space="0" w:color="auto"/>
            </w:tcBorders>
          </w:tcPr>
          <w:p w:rsidR="000C40F5" w:rsidRPr="005F49B0" w:rsidRDefault="000C40F5" w:rsidP="00AC3B76">
            <w:r w:rsidRPr="005F49B0">
              <w:t>Variables</w:t>
            </w:r>
          </w:p>
        </w:tc>
        <w:tc>
          <w:tcPr>
            <w:tcW w:w="1535" w:type="dxa"/>
            <w:tcBorders>
              <w:top w:val="double" w:sz="4" w:space="0" w:color="auto"/>
              <w:bottom w:val="single" w:sz="12" w:space="0" w:color="auto"/>
              <w:right w:val="single" w:sz="8" w:space="0" w:color="auto"/>
            </w:tcBorders>
          </w:tcPr>
          <w:p w:rsidR="000C40F5" w:rsidRPr="005F49B0" w:rsidRDefault="000C40F5" w:rsidP="00AC3B76">
            <w:pPr>
              <w:rPr>
                <w:b/>
              </w:rPr>
            </w:pPr>
            <w:proofErr w:type="spellStart"/>
            <w:r w:rsidRPr="005F49B0">
              <w:rPr>
                <w:b/>
              </w:rPr>
              <w:t>Obs</w:t>
            </w:r>
            <w:proofErr w:type="spellEnd"/>
          </w:p>
        </w:tc>
        <w:tc>
          <w:tcPr>
            <w:tcW w:w="1535" w:type="dxa"/>
            <w:tcBorders>
              <w:top w:val="double" w:sz="4" w:space="0" w:color="auto"/>
              <w:left w:val="single" w:sz="8" w:space="0" w:color="auto"/>
              <w:bottom w:val="single" w:sz="12" w:space="0" w:color="auto"/>
              <w:right w:val="single" w:sz="8" w:space="0" w:color="auto"/>
            </w:tcBorders>
          </w:tcPr>
          <w:p w:rsidR="000C40F5" w:rsidRPr="005F49B0" w:rsidRDefault="000C40F5" w:rsidP="00AC3B76">
            <w:pPr>
              <w:rPr>
                <w:b/>
              </w:rPr>
            </w:pPr>
            <w:proofErr w:type="spellStart"/>
            <w:r w:rsidRPr="005F49B0">
              <w:rPr>
                <w:b/>
              </w:rPr>
              <w:t>Mean</w:t>
            </w:r>
            <w:proofErr w:type="spellEnd"/>
          </w:p>
        </w:tc>
        <w:tc>
          <w:tcPr>
            <w:tcW w:w="1535" w:type="dxa"/>
            <w:tcBorders>
              <w:top w:val="double" w:sz="4" w:space="0" w:color="auto"/>
              <w:left w:val="single" w:sz="8" w:space="0" w:color="auto"/>
              <w:bottom w:val="single" w:sz="12" w:space="0" w:color="auto"/>
              <w:right w:val="single" w:sz="8" w:space="0" w:color="auto"/>
            </w:tcBorders>
          </w:tcPr>
          <w:p w:rsidR="000C40F5" w:rsidRPr="005F49B0" w:rsidRDefault="000C40F5" w:rsidP="00AC3B76">
            <w:pPr>
              <w:rPr>
                <w:b/>
              </w:rPr>
            </w:pPr>
            <w:r>
              <w:rPr>
                <w:b/>
              </w:rPr>
              <w:t xml:space="preserve">Std. </w:t>
            </w:r>
            <w:proofErr w:type="spellStart"/>
            <w:r>
              <w:rPr>
                <w:b/>
              </w:rPr>
              <w:t>Dev</w:t>
            </w:r>
            <w:proofErr w:type="spellEnd"/>
            <w:r>
              <w:rPr>
                <w:b/>
              </w:rPr>
              <w:t>.</w:t>
            </w:r>
          </w:p>
        </w:tc>
        <w:tc>
          <w:tcPr>
            <w:tcW w:w="1536" w:type="dxa"/>
            <w:tcBorders>
              <w:top w:val="double" w:sz="4" w:space="0" w:color="auto"/>
              <w:left w:val="single" w:sz="8" w:space="0" w:color="auto"/>
              <w:bottom w:val="single" w:sz="12" w:space="0" w:color="auto"/>
              <w:right w:val="single" w:sz="8" w:space="0" w:color="auto"/>
            </w:tcBorders>
          </w:tcPr>
          <w:p w:rsidR="000C40F5" w:rsidRPr="005F49B0" w:rsidRDefault="000C40F5" w:rsidP="00AC3B76">
            <w:pPr>
              <w:rPr>
                <w:b/>
              </w:rPr>
            </w:pPr>
            <w:r w:rsidRPr="005F49B0">
              <w:rPr>
                <w:b/>
              </w:rPr>
              <w:t>Min</w:t>
            </w:r>
          </w:p>
        </w:tc>
        <w:tc>
          <w:tcPr>
            <w:tcW w:w="1536" w:type="dxa"/>
            <w:tcBorders>
              <w:top w:val="double" w:sz="4" w:space="0" w:color="auto"/>
              <w:left w:val="single" w:sz="8" w:space="0" w:color="auto"/>
              <w:bottom w:val="single" w:sz="12" w:space="0" w:color="auto"/>
            </w:tcBorders>
          </w:tcPr>
          <w:p w:rsidR="000C40F5" w:rsidRPr="005F49B0" w:rsidRDefault="000C40F5" w:rsidP="00AC3B76">
            <w:pPr>
              <w:rPr>
                <w:b/>
              </w:rPr>
            </w:pPr>
            <w:r w:rsidRPr="005F49B0">
              <w:rPr>
                <w:b/>
              </w:rPr>
              <w:t>Max</w:t>
            </w:r>
          </w:p>
        </w:tc>
      </w:tr>
      <w:tr w:rsidR="000C40F5" w:rsidTr="00324F10">
        <w:tc>
          <w:tcPr>
            <w:tcW w:w="1535" w:type="dxa"/>
            <w:tcBorders>
              <w:top w:val="single" w:sz="8" w:space="0" w:color="auto"/>
              <w:bottom w:val="single" w:sz="8" w:space="0" w:color="auto"/>
            </w:tcBorders>
          </w:tcPr>
          <w:p w:rsidR="000C40F5" w:rsidRPr="005F49B0" w:rsidRDefault="000C40F5" w:rsidP="00AC3B76">
            <w:r>
              <w:t>ZSCORE</w:t>
            </w:r>
          </w:p>
        </w:tc>
        <w:tc>
          <w:tcPr>
            <w:tcW w:w="1535" w:type="dxa"/>
            <w:tcBorders>
              <w:top w:val="single" w:sz="12" w:space="0" w:color="auto"/>
              <w:bottom w:val="single" w:sz="8" w:space="0" w:color="auto"/>
              <w:right w:val="single" w:sz="8" w:space="0" w:color="auto"/>
            </w:tcBorders>
          </w:tcPr>
          <w:p w:rsidR="000C40F5" w:rsidRDefault="000C40F5" w:rsidP="00AC3B76">
            <w:r>
              <w:t>140</w:t>
            </w:r>
          </w:p>
        </w:tc>
        <w:tc>
          <w:tcPr>
            <w:tcW w:w="1535" w:type="dxa"/>
            <w:tcBorders>
              <w:top w:val="single" w:sz="12" w:space="0" w:color="auto"/>
              <w:left w:val="single" w:sz="8" w:space="0" w:color="auto"/>
              <w:bottom w:val="single" w:sz="8" w:space="0" w:color="auto"/>
              <w:right w:val="single" w:sz="8" w:space="0" w:color="auto"/>
            </w:tcBorders>
          </w:tcPr>
          <w:p w:rsidR="000C40F5" w:rsidRDefault="000C40F5" w:rsidP="00AC3B76">
            <w:r>
              <w:rPr>
                <w:lang w:val="en-US"/>
              </w:rPr>
              <w:t>8.</w:t>
            </w:r>
            <w:r w:rsidR="0067285C">
              <w:rPr>
                <w:lang w:val="en-US"/>
              </w:rPr>
              <w:t>08</w:t>
            </w:r>
            <w:r>
              <w:rPr>
                <w:lang w:val="en-US"/>
              </w:rPr>
              <w:t>1852</w:t>
            </w:r>
          </w:p>
        </w:tc>
        <w:tc>
          <w:tcPr>
            <w:tcW w:w="1535" w:type="dxa"/>
            <w:tcBorders>
              <w:top w:val="single" w:sz="12" w:space="0" w:color="auto"/>
              <w:left w:val="single" w:sz="8" w:space="0" w:color="auto"/>
              <w:bottom w:val="single" w:sz="8" w:space="0" w:color="auto"/>
              <w:right w:val="single" w:sz="8" w:space="0" w:color="auto"/>
            </w:tcBorders>
          </w:tcPr>
          <w:p w:rsidR="000C40F5" w:rsidRDefault="000C40F5" w:rsidP="00AC3B76">
            <w:r>
              <w:rPr>
                <w:lang w:val="en-US"/>
              </w:rPr>
              <w:t>1</w:t>
            </w:r>
            <w:r w:rsidRPr="00BB040F">
              <w:rPr>
                <w:lang w:val="en-US"/>
              </w:rPr>
              <w:t>3</w:t>
            </w:r>
            <w:r>
              <w:rPr>
                <w:lang w:val="en-US"/>
              </w:rPr>
              <w:t>.6</w:t>
            </w:r>
            <w:r w:rsidRPr="00BB040F">
              <w:rPr>
                <w:lang w:val="en-US"/>
              </w:rPr>
              <w:t>4</w:t>
            </w:r>
            <w:r>
              <w:rPr>
                <w:lang w:val="en-US"/>
              </w:rPr>
              <w:t>437</w:t>
            </w:r>
          </w:p>
        </w:tc>
        <w:tc>
          <w:tcPr>
            <w:tcW w:w="1536" w:type="dxa"/>
            <w:tcBorders>
              <w:top w:val="single" w:sz="12" w:space="0" w:color="auto"/>
              <w:left w:val="single" w:sz="8" w:space="0" w:color="auto"/>
              <w:bottom w:val="single" w:sz="8" w:space="0" w:color="auto"/>
              <w:right w:val="single" w:sz="8" w:space="0" w:color="auto"/>
            </w:tcBorders>
          </w:tcPr>
          <w:p w:rsidR="000C40F5" w:rsidRDefault="000C40F5" w:rsidP="00AC3B76">
            <w:r>
              <w:rPr>
                <w:lang w:val="en-US"/>
              </w:rPr>
              <w:t>-10</w:t>
            </w:r>
            <w:r w:rsidRPr="00BB040F">
              <w:rPr>
                <w:lang w:val="en-US"/>
              </w:rPr>
              <w:t>3</w:t>
            </w:r>
          </w:p>
        </w:tc>
        <w:tc>
          <w:tcPr>
            <w:tcW w:w="1536" w:type="dxa"/>
            <w:tcBorders>
              <w:top w:val="single" w:sz="12" w:space="0" w:color="auto"/>
              <w:left w:val="single" w:sz="8" w:space="0" w:color="auto"/>
              <w:bottom w:val="single" w:sz="8" w:space="0" w:color="auto"/>
            </w:tcBorders>
          </w:tcPr>
          <w:p w:rsidR="000C40F5" w:rsidRDefault="000C40F5" w:rsidP="00AC3B76">
            <w:r>
              <w:rPr>
                <w:lang w:val="en-US"/>
              </w:rPr>
              <w:t>17.48179</w:t>
            </w:r>
          </w:p>
        </w:tc>
      </w:tr>
      <w:tr w:rsidR="00CE56E3" w:rsidRPr="00CE56E3" w:rsidTr="00324F10">
        <w:tc>
          <w:tcPr>
            <w:tcW w:w="1535" w:type="dxa"/>
            <w:tcBorders>
              <w:top w:val="single" w:sz="8" w:space="0" w:color="auto"/>
              <w:bottom w:val="single" w:sz="8" w:space="0" w:color="auto"/>
            </w:tcBorders>
          </w:tcPr>
          <w:p w:rsidR="00CE56E3" w:rsidRPr="005F49B0" w:rsidRDefault="00CE56E3" w:rsidP="00AC3B76">
            <w:r>
              <w:t>NPL</w:t>
            </w:r>
          </w:p>
        </w:tc>
        <w:tc>
          <w:tcPr>
            <w:tcW w:w="1535" w:type="dxa"/>
            <w:tcBorders>
              <w:top w:val="single" w:sz="8" w:space="0" w:color="auto"/>
              <w:bottom w:val="single" w:sz="8" w:space="0" w:color="auto"/>
              <w:right w:val="single" w:sz="8" w:space="0" w:color="auto"/>
            </w:tcBorders>
          </w:tcPr>
          <w:p w:rsidR="00CE56E3" w:rsidRDefault="00CE56E3" w:rsidP="00AC3B76">
            <w:r>
              <w:t>140</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21.</w:t>
            </w:r>
            <w:r w:rsidR="0067285C">
              <w:rPr>
                <w:lang w:val="en-US"/>
              </w:rPr>
              <w:t>8</w:t>
            </w:r>
            <w:r w:rsidRPr="00BB040F">
              <w:rPr>
                <w:lang w:val="en-US"/>
              </w:rPr>
              <w:t>8929</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18.07802</w:t>
            </w:r>
          </w:p>
        </w:tc>
        <w:tc>
          <w:tcPr>
            <w:tcW w:w="1536"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5.2</w:t>
            </w:r>
          </w:p>
        </w:tc>
        <w:tc>
          <w:tcPr>
            <w:tcW w:w="1536" w:type="dxa"/>
            <w:tcBorders>
              <w:top w:val="single" w:sz="8" w:space="0" w:color="auto"/>
              <w:left w:val="single" w:sz="8" w:space="0" w:color="auto"/>
              <w:bottom w:val="single" w:sz="8" w:space="0" w:color="auto"/>
            </w:tcBorders>
          </w:tcPr>
          <w:p w:rsidR="00CE56E3" w:rsidRDefault="00CE56E3" w:rsidP="00AC3B76">
            <w:r w:rsidRPr="00BB040F">
              <w:rPr>
                <w:lang w:val="en-US"/>
              </w:rPr>
              <w:t>98</w:t>
            </w:r>
          </w:p>
        </w:tc>
      </w:tr>
      <w:tr w:rsidR="00CE56E3" w:rsidTr="00324F10">
        <w:tc>
          <w:tcPr>
            <w:tcW w:w="1535" w:type="dxa"/>
            <w:tcBorders>
              <w:top w:val="single" w:sz="8" w:space="0" w:color="auto"/>
              <w:bottom w:val="single" w:sz="8" w:space="0" w:color="auto"/>
            </w:tcBorders>
          </w:tcPr>
          <w:p w:rsidR="00CE56E3" w:rsidRPr="005F49B0" w:rsidRDefault="00CE56E3" w:rsidP="00AC3B76">
            <w:r w:rsidRPr="005F49B0">
              <w:t>Size</w:t>
            </w:r>
          </w:p>
        </w:tc>
        <w:tc>
          <w:tcPr>
            <w:tcW w:w="1535" w:type="dxa"/>
            <w:tcBorders>
              <w:top w:val="single" w:sz="8" w:space="0" w:color="auto"/>
              <w:bottom w:val="single" w:sz="8" w:space="0" w:color="auto"/>
              <w:right w:val="single" w:sz="8" w:space="0" w:color="auto"/>
            </w:tcBorders>
          </w:tcPr>
          <w:p w:rsidR="00CE56E3" w:rsidRDefault="00CE56E3" w:rsidP="00AC3B76">
            <w:r>
              <w:t>140</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21.61731</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.5610169</w:t>
            </w:r>
          </w:p>
        </w:tc>
        <w:tc>
          <w:tcPr>
            <w:tcW w:w="1536"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20.45424</w:t>
            </w:r>
          </w:p>
        </w:tc>
        <w:tc>
          <w:tcPr>
            <w:tcW w:w="1536" w:type="dxa"/>
            <w:tcBorders>
              <w:top w:val="single" w:sz="8" w:space="0" w:color="auto"/>
              <w:left w:val="single" w:sz="8" w:space="0" w:color="auto"/>
              <w:bottom w:val="single" w:sz="8" w:space="0" w:color="auto"/>
            </w:tcBorders>
          </w:tcPr>
          <w:p w:rsidR="00CE56E3" w:rsidRDefault="00CE56E3" w:rsidP="00AC3B76">
            <w:r w:rsidRPr="00BB040F">
              <w:rPr>
                <w:lang w:val="en-US"/>
              </w:rPr>
              <w:t>22.69988</w:t>
            </w:r>
          </w:p>
        </w:tc>
      </w:tr>
      <w:tr w:rsidR="00CE56E3" w:rsidTr="00324F10">
        <w:tc>
          <w:tcPr>
            <w:tcW w:w="1535" w:type="dxa"/>
            <w:tcBorders>
              <w:top w:val="single" w:sz="8" w:space="0" w:color="auto"/>
              <w:bottom w:val="single" w:sz="8" w:space="0" w:color="auto"/>
            </w:tcBorders>
          </w:tcPr>
          <w:p w:rsidR="00CE56E3" w:rsidRPr="005F49B0" w:rsidRDefault="00CE56E3" w:rsidP="00AC3B76">
            <w:r w:rsidRPr="005F49B0">
              <w:t>CIR</w:t>
            </w:r>
          </w:p>
        </w:tc>
        <w:tc>
          <w:tcPr>
            <w:tcW w:w="1535" w:type="dxa"/>
            <w:tcBorders>
              <w:top w:val="single" w:sz="8" w:space="0" w:color="auto"/>
              <w:bottom w:val="single" w:sz="8" w:space="0" w:color="auto"/>
              <w:right w:val="single" w:sz="8" w:space="0" w:color="auto"/>
            </w:tcBorders>
          </w:tcPr>
          <w:p w:rsidR="00CE56E3" w:rsidRDefault="00CE56E3" w:rsidP="00AC3B76">
            <w:r>
              <w:t>140</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49.71864</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11.86809</w:t>
            </w:r>
          </w:p>
        </w:tc>
        <w:tc>
          <w:tcPr>
            <w:tcW w:w="1536"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24.57</w:t>
            </w:r>
          </w:p>
        </w:tc>
        <w:tc>
          <w:tcPr>
            <w:tcW w:w="1536" w:type="dxa"/>
            <w:tcBorders>
              <w:top w:val="single" w:sz="8" w:space="0" w:color="auto"/>
              <w:left w:val="single" w:sz="8" w:space="0" w:color="auto"/>
              <w:bottom w:val="single" w:sz="8" w:space="0" w:color="auto"/>
            </w:tcBorders>
          </w:tcPr>
          <w:p w:rsidR="00CE56E3" w:rsidRDefault="00CE56E3" w:rsidP="00AC3B76">
            <w:r w:rsidRPr="00BB040F">
              <w:rPr>
                <w:lang w:val="en-US"/>
              </w:rPr>
              <w:t>84.8</w:t>
            </w:r>
          </w:p>
        </w:tc>
      </w:tr>
      <w:tr w:rsidR="00CE56E3" w:rsidTr="00324F10">
        <w:tc>
          <w:tcPr>
            <w:tcW w:w="1535" w:type="dxa"/>
            <w:tcBorders>
              <w:top w:val="single" w:sz="8" w:space="0" w:color="auto"/>
              <w:bottom w:val="single" w:sz="8" w:space="0" w:color="auto"/>
            </w:tcBorders>
          </w:tcPr>
          <w:p w:rsidR="00CE56E3" w:rsidRPr="005F49B0" w:rsidRDefault="00CE56E3" w:rsidP="00AC3B76">
            <w:r w:rsidRPr="005F49B0">
              <w:t>CAPAD</w:t>
            </w:r>
          </w:p>
        </w:tc>
        <w:tc>
          <w:tcPr>
            <w:tcW w:w="1535" w:type="dxa"/>
            <w:tcBorders>
              <w:top w:val="single" w:sz="8" w:space="0" w:color="auto"/>
              <w:bottom w:val="single" w:sz="8" w:space="0" w:color="auto"/>
              <w:right w:val="single" w:sz="8" w:space="0" w:color="auto"/>
            </w:tcBorders>
          </w:tcPr>
          <w:p w:rsidR="00CE56E3" w:rsidRDefault="00CE56E3" w:rsidP="00AC3B76">
            <w:r>
              <w:t>140</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9.</w:t>
            </w:r>
            <w:r w:rsidR="0067285C">
              <w:rPr>
                <w:lang w:val="en-US"/>
              </w:rPr>
              <w:t>2</w:t>
            </w:r>
            <w:r w:rsidRPr="00BB040F">
              <w:rPr>
                <w:lang w:val="en-US"/>
              </w:rPr>
              <w:t>49399</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3.048374</w:t>
            </w:r>
          </w:p>
        </w:tc>
        <w:tc>
          <w:tcPr>
            <w:tcW w:w="1536" w:type="dxa"/>
            <w:tcBorders>
              <w:top w:val="single" w:sz="8" w:space="0" w:color="auto"/>
              <w:left w:val="single" w:sz="8" w:space="0" w:color="auto"/>
              <w:bottom w:val="single" w:sz="8" w:space="0" w:color="auto"/>
              <w:right w:val="single" w:sz="8" w:space="0" w:color="auto"/>
            </w:tcBorders>
          </w:tcPr>
          <w:p w:rsidR="00CE56E3" w:rsidRDefault="00CE56E3" w:rsidP="00AC3B76">
            <w:r w:rsidRPr="00BB040F">
              <w:rPr>
                <w:lang w:val="en-US"/>
              </w:rPr>
              <w:t>-1.094332</w:t>
            </w:r>
          </w:p>
        </w:tc>
        <w:tc>
          <w:tcPr>
            <w:tcW w:w="1536" w:type="dxa"/>
            <w:tcBorders>
              <w:top w:val="single" w:sz="8" w:space="0" w:color="auto"/>
              <w:left w:val="single" w:sz="8" w:space="0" w:color="auto"/>
              <w:bottom w:val="single" w:sz="8" w:space="0" w:color="auto"/>
            </w:tcBorders>
          </w:tcPr>
          <w:p w:rsidR="00CE56E3" w:rsidRDefault="00CE56E3" w:rsidP="00AC3B76">
            <w:r w:rsidRPr="00BB040F">
              <w:rPr>
                <w:lang w:val="en-US"/>
              </w:rPr>
              <w:t>17.4</w:t>
            </w:r>
            <w:r w:rsidR="0067285C">
              <w:rPr>
                <w:lang w:val="en-US"/>
              </w:rPr>
              <w:t>6</w:t>
            </w:r>
            <w:r w:rsidRPr="00BB040F">
              <w:rPr>
                <w:lang w:val="en-US"/>
              </w:rPr>
              <w:t>179</w:t>
            </w:r>
          </w:p>
        </w:tc>
      </w:tr>
      <w:tr w:rsidR="00CE56E3" w:rsidTr="00324F10">
        <w:tc>
          <w:tcPr>
            <w:tcW w:w="1535" w:type="dxa"/>
            <w:tcBorders>
              <w:top w:val="single" w:sz="8" w:space="0" w:color="auto"/>
              <w:bottom w:val="single" w:sz="8" w:space="0" w:color="auto"/>
            </w:tcBorders>
          </w:tcPr>
          <w:p w:rsidR="00CE56E3" w:rsidRPr="005F49B0" w:rsidRDefault="00CE56E3" w:rsidP="00AC3B76">
            <w:r w:rsidRPr="005F49B0">
              <w:t>OWN</w:t>
            </w:r>
          </w:p>
        </w:tc>
        <w:tc>
          <w:tcPr>
            <w:tcW w:w="1535" w:type="dxa"/>
            <w:tcBorders>
              <w:top w:val="single" w:sz="8" w:space="0" w:color="auto"/>
              <w:bottom w:val="single" w:sz="8" w:space="0" w:color="auto"/>
              <w:right w:val="single" w:sz="8" w:space="0" w:color="auto"/>
            </w:tcBorders>
          </w:tcPr>
          <w:p w:rsidR="00CE56E3" w:rsidRDefault="00CE56E3" w:rsidP="00AC3B76">
            <w:r>
              <w:t>140</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t>81.0521</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t>23.08661</w:t>
            </w:r>
          </w:p>
        </w:tc>
        <w:tc>
          <w:tcPr>
            <w:tcW w:w="1536" w:type="dxa"/>
            <w:tcBorders>
              <w:top w:val="single" w:sz="8" w:space="0" w:color="auto"/>
              <w:left w:val="single" w:sz="8" w:space="0" w:color="auto"/>
              <w:bottom w:val="single" w:sz="8" w:space="0" w:color="auto"/>
              <w:right w:val="single" w:sz="8" w:space="0" w:color="auto"/>
            </w:tcBorders>
          </w:tcPr>
          <w:p w:rsidR="00CE56E3" w:rsidRDefault="00CE56E3" w:rsidP="00AC3B76">
            <w:r>
              <w:t>31.65</w:t>
            </w:r>
          </w:p>
        </w:tc>
        <w:tc>
          <w:tcPr>
            <w:tcW w:w="1536" w:type="dxa"/>
            <w:tcBorders>
              <w:top w:val="single" w:sz="8" w:space="0" w:color="auto"/>
              <w:left w:val="single" w:sz="8" w:space="0" w:color="auto"/>
              <w:bottom w:val="single" w:sz="8" w:space="0" w:color="auto"/>
            </w:tcBorders>
          </w:tcPr>
          <w:p w:rsidR="00CE56E3" w:rsidRDefault="00CE56E3" w:rsidP="00AC3B76">
            <w:r>
              <w:t>100</w:t>
            </w:r>
          </w:p>
        </w:tc>
      </w:tr>
      <w:tr w:rsidR="00CE56E3" w:rsidTr="00324F10">
        <w:tc>
          <w:tcPr>
            <w:tcW w:w="1535" w:type="dxa"/>
            <w:tcBorders>
              <w:top w:val="single" w:sz="8" w:space="0" w:color="auto"/>
              <w:bottom w:val="single" w:sz="8" w:space="0" w:color="auto"/>
            </w:tcBorders>
          </w:tcPr>
          <w:p w:rsidR="00CE56E3" w:rsidRPr="005F49B0" w:rsidRDefault="00CE56E3" w:rsidP="00AC3B76">
            <w:r w:rsidRPr="005F49B0">
              <w:t>CONC</w:t>
            </w:r>
          </w:p>
        </w:tc>
        <w:tc>
          <w:tcPr>
            <w:tcW w:w="1535" w:type="dxa"/>
            <w:tcBorders>
              <w:top w:val="single" w:sz="8" w:space="0" w:color="auto"/>
              <w:bottom w:val="single" w:sz="8" w:space="0" w:color="auto"/>
              <w:right w:val="single" w:sz="8" w:space="0" w:color="auto"/>
            </w:tcBorders>
          </w:tcPr>
          <w:p w:rsidR="00CE56E3" w:rsidRDefault="00CE56E3" w:rsidP="00AC3B76">
            <w:r w:rsidRPr="00303A75">
              <w:t>140</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t>45.74847</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t>1.521739</w:t>
            </w:r>
          </w:p>
        </w:tc>
        <w:tc>
          <w:tcPr>
            <w:tcW w:w="1536" w:type="dxa"/>
            <w:tcBorders>
              <w:top w:val="single" w:sz="8" w:space="0" w:color="auto"/>
              <w:left w:val="single" w:sz="8" w:space="0" w:color="auto"/>
              <w:bottom w:val="single" w:sz="8" w:space="0" w:color="auto"/>
              <w:right w:val="single" w:sz="8" w:space="0" w:color="auto"/>
            </w:tcBorders>
          </w:tcPr>
          <w:p w:rsidR="00CE56E3" w:rsidRDefault="00CE56E3" w:rsidP="00AC3B76">
            <w:r>
              <w:t xml:space="preserve">42.74229    </w:t>
            </w:r>
          </w:p>
        </w:tc>
        <w:tc>
          <w:tcPr>
            <w:tcW w:w="1536" w:type="dxa"/>
            <w:tcBorders>
              <w:top w:val="single" w:sz="8" w:space="0" w:color="auto"/>
              <w:left w:val="single" w:sz="8" w:space="0" w:color="auto"/>
              <w:bottom w:val="single" w:sz="8" w:space="0" w:color="auto"/>
            </w:tcBorders>
          </w:tcPr>
          <w:p w:rsidR="00CE56E3" w:rsidRDefault="00CE56E3" w:rsidP="00AC3B76">
            <w:r>
              <w:t>47.4283</w:t>
            </w:r>
          </w:p>
        </w:tc>
      </w:tr>
      <w:tr w:rsidR="00CE56E3" w:rsidTr="00324F10">
        <w:tc>
          <w:tcPr>
            <w:tcW w:w="1535" w:type="dxa"/>
            <w:tcBorders>
              <w:top w:val="single" w:sz="8" w:space="0" w:color="auto"/>
              <w:bottom w:val="single" w:sz="8" w:space="0" w:color="auto"/>
            </w:tcBorders>
          </w:tcPr>
          <w:p w:rsidR="00CE56E3" w:rsidRPr="005F49B0" w:rsidRDefault="00CE56E3" w:rsidP="00AC3B76">
            <w:r w:rsidRPr="005F49B0">
              <w:t>SBS</w:t>
            </w:r>
          </w:p>
        </w:tc>
        <w:tc>
          <w:tcPr>
            <w:tcW w:w="1535" w:type="dxa"/>
            <w:tcBorders>
              <w:top w:val="single" w:sz="8" w:space="0" w:color="auto"/>
              <w:bottom w:val="single" w:sz="8" w:space="0" w:color="auto"/>
              <w:right w:val="single" w:sz="8" w:space="0" w:color="auto"/>
            </w:tcBorders>
          </w:tcPr>
          <w:p w:rsidR="00CE56E3" w:rsidRDefault="00CE56E3" w:rsidP="00AC3B76">
            <w:r w:rsidRPr="00303A75">
              <w:t>140</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t>65.24694</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t>5.157415</w:t>
            </w:r>
          </w:p>
        </w:tc>
        <w:tc>
          <w:tcPr>
            <w:tcW w:w="1536" w:type="dxa"/>
            <w:tcBorders>
              <w:top w:val="single" w:sz="8" w:space="0" w:color="auto"/>
              <w:left w:val="single" w:sz="8" w:space="0" w:color="auto"/>
              <w:bottom w:val="single" w:sz="8" w:space="0" w:color="auto"/>
              <w:right w:val="single" w:sz="8" w:space="0" w:color="auto"/>
            </w:tcBorders>
          </w:tcPr>
          <w:p w:rsidR="00CE56E3" w:rsidRDefault="00CE56E3" w:rsidP="00AC3B76">
            <w:r>
              <w:t xml:space="preserve">55.99841   </w:t>
            </w:r>
          </w:p>
        </w:tc>
        <w:tc>
          <w:tcPr>
            <w:tcW w:w="1536" w:type="dxa"/>
            <w:tcBorders>
              <w:top w:val="single" w:sz="8" w:space="0" w:color="auto"/>
              <w:left w:val="single" w:sz="8" w:space="0" w:color="auto"/>
              <w:bottom w:val="single" w:sz="8" w:space="0" w:color="auto"/>
            </w:tcBorders>
          </w:tcPr>
          <w:p w:rsidR="00CE56E3" w:rsidRDefault="00CE56E3" w:rsidP="00AC3B76">
            <w:r>
              <w:t>76.53999</w:t>
            </w:r>
          </w:p>
        </w:tc>
      </w:tr>
      <w:tr w:rsidR="00CE56E3" w:rsidTr="00324F10">
        <w:tc>
          <w:tcPr>
            <w:tcW w:w="1535" w:type="dxa"/>
            <w:tcBorders>
              <w:top w:val="single" w:sz="8" w:space="0" w:color="auto"/>
              <w:bottom w:val="single" w:sz="8" w:space="0" w:color="auto"/>
            </w:tcBorders>
          </w:tcPr>
          <w:p w:rsidR="00CE56E3" w:rsidRPr="005F49B0" w:rsidRDefault="00CE56E3" w:rsidP="00AC3B76">
            <w:r w:rsidRPr="005F49B0">
              <w:t>GDP</w:t>
            </w:r>
          </w:p>
        </w:tc>
        <w:tc>
          <w:tcPr>
            <w:tcW w:w="1535" w:type="dxa"/>
            <w:tcBorders>
              <w:top w:val="single" w:sz="8" w:space="0" w:color="auto"/>
              <w:bottom w:val="single" w:sz="8" w:space="0" w:color="auto"/>
              <w:right w:val="single" w:sz="8" w:space="0" w:color="auto"/>
            </w:tcBorders>
          </w:tcPr>
          <w:p w:rsidR="00CE56E3" w:rsidRDefault="00CE56E3" w:rsidP="00AC3B76">
            <w:r w:rsidRPr="00303A75">
              <w:t>140</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t>3.056032</w:t>
            </w:r>
          </w:p>
        </w:tc>
        <w:tc>
          <w:tcPr>
            <w:tcW w:w="1535" w:type="dxa"/>
            <w:tcBorders>
              <w:top w:val="single" w:sz="8" w:space="0" w:color="auto"/>
              <w:left w:val="single" w:sz="8" w:space="0" w:color="auto"/>
              <w:bottom w:val="single" w:sz="8" w:space="0" w:color="auto"/>
              <w:right w:val="single" w:sz="8" w:space="0" w:color="auto"/>
            </w:tcBorders>
          </w:tcPr>
          <w:p w:rsidR="00CE56E3" w:rsidRDefault="00CE56E3" w:rsidP="00AC3B76">
            <w:r>
              <w:t>2.113941</w:t>
            </w:r>
          </w:p>
        </w:tc>
        <w:tc>
          <w:tcPr>
            <w:tcW w:w="1536" w:type="dxa"/>
            <w:tcBorders>
              <w:top w:val="single" w:sz="8" w:space="0" w:color="auto"/>
              <w:left w:val="single" w:sz="8" w:space="0" w:color="auto"/>
              <w:bottom w:val="single" w:sz="8" w:space="0" w:color="auto"/>
              <w:right w:val="single" w:sz="8" w:space="0" w:color="auto"/>
            </w:tcBorders>
          </w:tcPr>
          <w:p w:rsidR="00CE56E3" w:rsidRDefault="00CE56E3" w:rsidP="00AC3B76">
            <w:r>
              <w:t xml:space="preserve">-2.947252   </w:t>
            </w:r>
          </w:p>
        </w:tc>
        <w:tc>
          <w:tcPr>
            <w:tcW w:w="1536" w:type="dxa"/>
            <w:tcBorders>
              <w:top w:val="single" w:sz="8" w:space="0" w:color="auto"/>
              <w:left w:val="single" w:sz="8" w:space="0" w:color="auto"/>
              <w:bottom w:val="single" w:sz="8" w:space="0" w:color="auto"/>
            </w:tcBorders>
          </w:tcPr>
          <w:p w:rsidR="00CE56E3" w:rsidRDefault="00CE56E3" w:rsidP="00AC3B76">
            <w:r>
              <w:t>5.249388</w:t>
            </w:r>
          </w:p>
        </w:tc>
      </w:tr>
      <w:tr w:rsidR="00CE56E3" w:rsidTr="00324F10">
        <w:tc>
          <w:tcPr>
            <w:tcW w:w="1535" w:type="dxa"/>
            <w:tcBorders>
              <w:top w:val="single" w:sz="8" w:space="0" w:color="auto"/>
              <w:bottom w:val="double" w:sz="4" w:space="0" w:color="auto"/>
            </w:tcBorders>
          </w:tcPr>
          <w:p w:rsidR="00CE56E3" w:rsidRPr="005F49B0" w:rsidRDefault="00CE56E3" w:rsidP="00AC3B76">
            <w:r w:rsidRPr="005F49B0">
              <w:t>INF</w:t>
            </w:r>
          </w:p>
        </w:tc>
        <w:tc>
          <w:tcPr>
            <w:tcW w:w="1535" w:type="dxa"/>
            <w:tcBorders>
              <w:top w:val="single" w:sz="8" w:space="0" w:color="auto"/>
              <w:bottom w:val="double" w:sz="4" w:space="0" w:color="auto"/>
              <w:right w:val="single" w:sz="8" w:space="0" w:color="auto"/>
            </w:tcBorders>
          </w:tcPr>
          <w:p w:rsidR="00CE56E3" w:rsidRDefault="00CE56E3" w:rsidP="00AC3B76">
            <w:r w:rsidRPr="00303A75">
              <w:t>140</w:t>
            </w:r>
          </w:p>
        </w:tc>
        <w:tc>
          <w:tcPr>
            <w:tcW w:w="1535" w:type="dxa"/>
            <w:tcBorders>
              <w:top w:val="single" w:sz="8" w:space="0" w:color="auto"/>
              <w:left w:val="single" w:sz="8" w:space="0" w:color="auto"/>
              <w:bottom w:val="double" w:sz="4" w:space="0" w:color="auto"/>
              <w:right w:val="single" w:sz="8" w:space="0" w:color="auto"/>
            </w:tcBorders>
          </w:tcPr>
          <w:p w:rsidR="00CE56E3" w:rsidRDefault="00CE56E3" w:rsidP="00AC3B76">
            <w:r>
              <w:t>3.301598</w:t>
            </w:r>
          </w:p>
        </w:tc>
        <w:tc>
          <w:tcPr>
            <w:tcW w:w="1535" w:type="dxa"/>
            <w:tcBorders>
              <w:top w:val="single" w:sz="8" w:space="0" w:color="auto"/>
              <w:left w:val="single" w:sz="8" w:space="0" w:color="auto"/>
              <w:bottom w:val="double" w:sz="4" w:space="0" w:color="auto"/>
              <w:right w:val="single" w:sz="8" w:space="0" w:color="auto"/>
            </w:tcBorders>
          </w:tcPr>
          <w:p w:rsidR="00CE56E3" w:rsidRDefault="00CE56E3" w:rsidP="00AC3B76">
            <w:r>
              <w:t>.8538632</w:t>
            </w:r>
          </w:p>
        </w:tc>
        <w:tc>
          <w:tcPr>
            <w:tcW w:w="1536" w:type="dxa"/>
            <w:tcBorders>
              <w:top w:val="single" w:sz="8" w:space="0" w:color="auto"/>
              <w:left w:val="single" w:sz="8" w:space="0" w:color="auto"/>
              <w:bottom w:val="double" w:sz="4" w:space="0" w:color="auto"/>
              <w:right w:val="single" w:sz="8" w:space="0" w:color="auto"/>
            </w:tcBorders>
          </w:tcPr>
          <w:p w:rsidR="00CE56E3" w:rsidRDefault="00CE56E3" w:rsidP="00AC3B76">
            <w:r>
              <w:t>1.983333</w:t>
            </w:r>
          </w:p>
        </w:tc>
        <w:tc>
          <w:tcPr>
            <w:tcW w:w="1536" w:type="dxa"/>
            <w:tcBorders>
              <w:top w:val="single" w:sz="8" w:space="0" w:color="auto"/>
              <w:left w:val="single" w:sz="8" w:space="0" w:color="auto"/>
              <w:bottom w:val="double" w:sz="4" w:space="0" w:color="auto"/>
            </w:tcBorders>
          </w:tcPr>
          <w:p w:rsidR="00CE56E3" w:rsidRDefault="00CE56E3" w:rsidP="00AC3B76">
            <w:r>
              <w:t>4.920696</w:t>
            </w:r>
          </w:p>
        </w:tc>
      </w:tr>
    </w:tbl>
    <w:p w:rsidR="0074230C" w:rsidRPr="0074230C" w:rsidRDefault="0074230C" w:rsidP="00AC3B76">
      <w:pPr>
        <w:autoSpaceDE w:val="0"/>
        <w:autoSpaceDN w:val="0"/>
        <w:adjustRightInd w:val="0"/>
        <w:spacing w:before="240" w:line="276" w:lineRule="auto"/>
        <w:jc w:val="both"/>
        <w:rPr>
          <w:rFonts w:ascii="Times New Roman" w:hAnsi="Times New Roman" w:cs="Times New Roman"/>
          <w:lang w:val="en-US"/>
        </w:rPr>
      </w:pPr>
      <w:r w:rsidRPr="0074230C">
        <w:rPr>
          <w:rFonts w:ascii="Times New Roman" w:hAnsi="Times New Roman" w:cs="Times New Roman"/>
          <w:lang w:val="en-US"/>
        </w:rPr>
        <w:t xml:space="preserve">According to Table 1, Tunisian banks have a </w:t>
      </w:r>
      <w:r>
        <w:rPr>
          <w:rFonts w:ascii="Times New Roman" w:hAnsi="Times New Roman" w:cs="Times New Roman"/>
          <w:lang w:val="en-US"/>
        </w:rPr>
        <w:t>Z-SCORE</w:t>
      </w:r>
      <w:r w:rsidRPr="0074230C">
        <w:rPr>
          <w:rFonts w:ascii="Times New Roman" w:hAnsi="Times New Roman" w:cs="Times New Roman"/>
          <w:lang w:val="en-US"/>
        </w:rPr>
        <w:t xml:space="preserve"> of </w:t>
      </w:r>
      <w:r>
        <w:rPr>
          <w:rFonts w:ascii="Times New Roman" w:hAnsi="Times New Roman" w:cs="Times New Roman"/>
          <w:lang w:val="en-US"/>
        </w:rPr>
        <w:t>8.0</w:t>
      </w:r>
      <w:r w:rsidR="0067285C">
        <w:rPr>
          <w:rFonts w:ascii="Times New Roman" w:hAnsi="Times New Roman" w:cs="Times New Roman"/>
          <w:lang w:val="en-US"/>
        </w:rPr>
        <w:t>8</w:t>
      </w:r>
      <w:r w:rsidRPr="0074230C">
        <w:rPr>
          <w:rFonts w:ascii="Times New Roman" w:hAnsi="Times New Roman" w:cs="Times New Roman"/>
          <w:lang w:val="en-US"/>
        </w:rPr>
        <w:t xml:space="preserve"> over the entire period from </w:t>
      </w:r>
      <w:r>
        <w:rPr>
          <w:rFonts w:ascii="Times New Roman" w:hAnsi="Times New Roman" w:cs="Times New Roman"/>
          <w:lang w:val="en-US"/>
        </w:rPr>
        <w:t>2000</w:t>
      </w:r>
      <w:r w:rsidRPr="0074230C">
        <w:rPr>
          <w:rFonts w:ascii="Times New Roman" w:hAnsi="Times New Roman" w:cs="Times New Roman"/>
          <w:lang w:val="en-US"/>
        </w:rPr>
        <w:t xml:space="preserve"> to 201</w:t>
      </w:r>
      <w:r>
        <w:rPr>
          <w:rFonts w:ascii="Times New Roman" w:hAnsi="Times New Roman" w:cs="Times New Roman"/>
          <w:lang w:val="en-US"/>
        </w:rPr>
        <w:t>3</w:t>
      </w:r>
      <w:r w:rsidRPr="0074230C">
        <w:rPr>
          <w:rFonts w:ascii="Times New Roman" w:hAnsi="Times New Roman" w:cs="Times New Roman"/>
          <w:lang w:val="en-US"/>
        </w:rPr>
        <w:t xml:space="preserve">. </w:t>
      </w:r>
      <w:r w:rsidR="001A446B">
        <w:rPr>
          <w:rFonts w:ascii="Times New Roman" w:hAnsi="Times New Roman" w:cs="Times New Roman"/>
          <w:lang w:val="en-US"/>
        </w:rPr>
        <w:t xml:space="preserve">Looking to </w:t>
      </w:r>
      <w:r w:rsidRPr="0074230C">
        <w:rPr>
          <w:rFonts w:ascii="Times New Roman" w:hAnsi="Times New Roman" w:cs="Times New Roman"/>
          <w:lang w:val="en-US"/>
        </w:rPr>
        <w:t xml:space="preserve">Min and Max </w:t>
      </w:r>
      <w:r w:rsidR="001A446B">
        <w:rPr>
          <w:rFonts w:ascii="Times New Roman" w:hAnsi="Times New Roman" w:cs="Times New Roman"/>
          <w:lang w:val="en-US"/>
        </w:rPr>
        <w:t xml:space="preserve">Z-Score allow to conclude </w:t>
      </w:r>
      <w:r w:rsidRPr="0074230C">
        <w:rPr>
          <w:rFonts w:ascii="Times New Roman" w:hAnsi="Times New Roman" w:cs="Times New Roman"/>
          <w:lang w:val="en-US"/>
        </w:rPr>
        <w:t xml:space="preserve">that there </w:t>
      </w:r>
      <w:r w:rsidR="001A446B">
        <w:rPr>
          <w:rFonts w:ascii="Times New Roman" w:hAnsi="Times New Roman" w:cs="Times New Roman"/>
          <w:lang w:val="en-US"/>
        </w:rPr>
        <w:t>is a large difference</w:t>
      </w:r>
      <w:r w:rsidRPr="0074230C">
        <w:rPr>
          <w:rFonts w:ascii="Times New Roman" w:hAnsi="Times New Roman" w:cs="Times New Roman"/>
          <w:lang w:val="en-US"/>
        </w:rPr>
        <w:t xml:space="preserve"> in </w:t>
      </w:r>
      <w:r>
        <w:rPr>
          <w:rFonts w:ascii="Times New Roman" w:hAnsi="Times New Roman" w:cs="Times New Roman"/>
          <w:lang w:val="en-US"/>
        </w:rPr>
        <w:t>failure risk’s taking</w:t>
      </w:r>
      <w:r w:rsidRPr="0074230C">
        <w:rPr>
          <w:rFonts w:ascii="Times New Roman" w:hAnsi="Times New Roman" w:cs="Times New Roman"/>
          <w:lang w:val="en-US"/>
        </w:rPr>
        <w:t xml:space="preserve"> among the Tunisian banks. </w:t>
      </w:r>
      <w:r w:rsidR="001A446B">
        <w:rPr>
          <w:rFonts w:ascii="Times New Roman" w:hAnsi="Times New Roman" w:cs="Times New Roman"/>
          <w:lang w:val="en-US"/>
        </w:rPr>
        <w:t>Non-</w:t>
      </w:r>
      <w:r w:rsidR="005D2504">
        <w:rPr>
          <w:rFonts w:ascii="Times New Roman" w:hAnsi="Times New Roman" w:cs="Times New Roman"/>
          <w:lang w:val="en-US"/>
        </w:rPr>
        <w:t>performing loans amount</w:t>
      </w:r>
      <w:r w:rsidR="004104DB" w:rsidRPr="0074230C">
        <w:rPr>
          <w:rFonts w:ascii="Times New Roman" w:hAnsi="Times New Roman" w:cs="Times New Roman"/>
          <w:lang w:val="en-US"/>
        </w:rPr>
        <w:t xml:space="preserve"> to 21.</w:t>
      </w:r>
      <w:r w:rsidR="0067285C">
        <w:rPr>
          <w:rFonts w:ascii="Times New Roman" w:hAnsi="Times New Roman" w:cs="Times New Roman"/>
          <w:lang w:val="en-US"/>
        </w:rPr>
        <w:t>8</w:t>
      </w:r>
      <w:r w:rsidR="004104DB" w:rsidRPr="0074230C">
        <w:rPr>
          <w:rFonts w:ascii="Times New Roman" w:hAnsi="Times New Roman" w:cs="Times New Roman"/>
          <w:lang w:val="en-US"/>
        </w:rPr>
        <w:t>8% on average</w:t>
      </w:r>
      <w:r w:rsidR="005D2504">
        <w:rPr>
          <w:rFonts w:ascii="Times New Roman" w:hAnsi="Times New Roman" w:cs="Times New Roman"/>
          <w:lang w:val="en-US"/>
        </w:rPr>
        <w:t>.</w:t>
      </w:r>
      <w:r w:rsidR="004104DB" w:rsidRPr="0074230C">
        <w:rPr>
          <w:rFonts w:ascii="Times New Roman" w:hAnsi="Times New Roman" w:cs="Times New Roman"/>
          <w:lang w:val="en-US"/>
        </w:rPr>
        <w:t xml:space="preserve"> </w:t>
      </w:r>
      <w:r w:rsidR="005D2504">
        <w:rPr>
          <w:rFonts w:ascii="Times New Roman" w:hAnsi="Times New Roman" w:cs="Times New Roman"/>
          <w:lang w:val="en-US"/>
        </w:rPr>
        <w:t>W</w:t>
      </w:r>
      <w:r w:rsidR="004104DB" w:rsidRPr="0074230C">
        <w:rPr>
          <w:rFonts w:ascii="Times New Roman" w:hAnsi="Times New Roman" w:cs="Times New Roman"/>
          <w:lang w:val="en-US"/>
        </w:rPr>
        <w:t xml:space="preserve">hich </w:t>
      </w:r>
      <w:r w:rsidR="00FF159E">
        <w:rPr>
          <w:rFonts w:ascii="Times New Roman" w:hAnsi="Times New Roman" w:cs="Times New Roman"/>
          <w:lang w:val="en-US"/>
        </w:rPr>
        <w:t xml:space="preserve">can be </w:t>
      </w:r>
      <w:r w:rsidR="00C21984">
        <w:rPr>
          <w:rFonts w:ascii="Times New Roman" w:hAnsi="Times New Roman" w:cs="Times New Roman"/>
          <w:lang w:val="en-US"/>
        </w:rPr>
        <w:t>translated</w:t>
      </w:r>
      <w:r w:rsidR="00FF159E">
        <w:rPr>
          <w:rFonts w:ascii="Times New Roman" w:hAnsi="Times New Roman" w:cs="Times New Roman"/>
          <w:lang w:val="en-US"/>
        </w:rPr>
        <w:t xml:space="preserve"> </w:t>
      </w:r>
      <w:r w:rsidR="009E0F0B">
        <w:rPr>
          <w:rFonts w:ascii="Times New Roman" w:hAnsi="Times New Roman" w:cs="Times New Roman"/>
          <w:lang w:val="en-US"/>
        </w:rPr>
        <w:t xml:space="preserve">as a </w:t>
      </w:r>
      <w:r w:rsidR="00C21984">
        <w:rPr>
          <w:rFonts w:ascii="Times New Roman" w:hAnsi="Times New Roman" w:cs="Times New Roman"/>
          <w:lang w:val="en-US"/>
        </w:rPr>
        <w:t xml:space="preserve">very </w:t>
      </w:r>
      <w:r w:rsidR="009E0F0B">
        <w:rPr>
          <w:rFonts w:ascii="Times New Roman" w:hAnsi="Times New Roman" w:cs="Times New Roman"/>
          <w:lang w:val="en-US"/>
        </w:rPr>
        <w:t>high credit risk given the</w:t>
      </w:r>
      <w:r w:rsidR="004104DB" w:rsidRPr="0074230C">
        <w:rPr>
          <w:rFonts w:ascii="Times New Roman" w:hAnsi="Times New Roman" w:cs="Times New Roman"/>
          <w:lang w:val="en-US"/>
        </w:rPr>
        <w:t xml:space="preserve"> </w:t>
      </w:r>
      <w:r w:rsidR="00B626BA" w:rsidRPr="0074230C">
        <w:rPr>
          <w:rFonts w:ascii="Times New Roman" w:hAnsi="Times New Roman" w:cs="Times New Roman"/>
          <w:lang w:val="en-US"/>
        </w:rPr>
        <w:t>maximum value</w:t>
      </w:r>
      <w:r w:rsidR="004104DB" w:rsidRPr="0074230C">
        <w:rPr>
          <w:rFonts w:ascii="Times New Roman" w:hAnsi="Times New Roman" w:cs="Times New Roman"/>
          <w:lang w:val="en-US"/>
        </w:rPr>
        <w:t xml:space="preserve"> fixed by national prudential regulation (Tunisian Central Bank). But there exist again</w:t>
      </w:r>
      <w:r w:rsidR="00B626BA">
        <w:rPr>
          <w:rFonts w:ascii="Times New Roman" w:hAnsi="Times New Roman" w:cs="Times New Roman"/>
          <w:lang w:val="en-US"/>
        </w:rPr>
        <w:t xml:space="preserve"> a</w:t>
      </w:r>
      <w:r w:rsidR="004104DB" w:rsidRPr="0074230C">
        <w:rPr>
          <w:rFonts w:ascii="Times New Roman" w:hAnsi="Times New Roman" w:cs="Times New Roman"/>
          <w:lang w:val="en-US"/>
        </w:rPr>
        <w:t xml:space="preserve"> large difference among the banks in our sample.</w:t>
      </w:r>
      <w:r w:rsidRPr="0074230C">
        <w:rPr>
          <w:rFonts w:ascii="Times New Roman" w:hAnsi="Times New Roman" w:cs="Times New Roman"/>
          <w:lang w:val="en-US"/>
        </w:rPr>
        <w:t xml:space="preserve"> </w:t>
      </w:r>
    </w:p>
    <w:p w:rsidR="0074230C" w:rsidRPr="0074230C" w:rsidRDefault="0074230C" w:rsidP="00AC3B76">
      <w:pPr>
        <w:autoSpaceDE w:val="0"/>
        <w:autoSpaceDN w:val="0"/>
        <w:adjustRightInd w:val="0"/>
        <w:spacing w:before="240" w:line="276" w:lineRule="auto"/>
        <w:jc w:val="both"/>
        <w:rPr>
          <w:rFonts w:ascii="Times New Roman" w:hAnsi="Times New Roman" w:cs="Times New Roman"/>
          <w:lang w:val="en-US"/>
        </w:rPr>
      </w:pPr>
      <w:r w:rsidRPr="0074230C">
        <w:rPr>
          <w:rFonts w:ascii="Times New Roman" w:hAnsi="Times New Roman" w:cs="Times New Roman"/>
          <w:lang w:val="en-US"/>
        </w:rPr>
        <w:t xml:space="preserve">Concerning bank-specific indicators, the capitalization of Tunisian banks </w:t>
      </w:r>
      <w:r w:rsidR="00B626BA">
        <w:rPr>
          <w:rFonts w:ascii="Times New Roman" w:hAnsi="Times New Roman" w:cs="Times New Roman"/>
          <w:lang w:val="en-US"/>
        </w:rPr>
        <w:t>equals</w:t>
      </w:r>
      <w:r w:rsidRPr="0074230C">
        <w:rPr>
          <w:rFonts w:ascii="Times New Roman" w:hAnsi="Times New Roman" w:cs="Times New Roman"/>
          <w:lang w:val="en-US"/>
        </w:rPr>
        <w:t xml:space="preserve"> 9.</w:t>
      </w:r>
      <w:r w:rsidR="0067285C">
        <w:rPr>
          <w:rFonts w:ascii="Times New Roman" w:hAnsi="Times New Roman" w:cs="Times New Roman"/>
          <w:lang w:val="en-US"/>
        </w:rPr>
        <w:t>2</w:t>
      </w:r>
      <w:r w:rsidRPr="0074230C">
        <w:rPr>
          <w:rFonts w:ascii="Times New Roman" w:hAnsi="Times New Roman" w:cs="Times New Roman"/>
          <w:lang w:val="en-US"/>
        </w:rPr>
        <w:t xml:space="preserve">4% on average, which </w:t>
      </w:r>
      <w:r w:rsidR="005D3AB5" w:rsidRPr="0074230C">
        <w:rPr>
          <w:rFonts w:ascii="Times New Roman" w:hAnsi="Times New Roman" w:cs="Times New Roman"/>
          <w:lang w:val="en-US"/>
        </w:rPr>
        <w:t>mostly</w:t>
      </w:r>
      <w:r w:rsidRPr="0074230C">
        <w:rPr>
          <w:rFonts w:ascii="Times New Roman" w:hAnsi="Times New Roman" w:cs="Times New Roman"/>
          <w:lang w:val="en-US"/>
        </w:rPr>
        <w:t xml:space="preserve"> respect the </w:t>
      </w:r>
      <w:r w:rsidR="005D3AB5">
        <w:rPr>
          <w:rFonts w:ascii="Times New Roman" w:hAnsi="Times New Roman" w:cs="Times New Roman"/>
          <w:lang w:val="en-US"/>
        </w:rPr>
        <w:t>principal</w:t>
      </w:r>
      <w:r w:rsidRPr="0074230C">
        <w:rPr>
          <w:rFonts w:ascii="Times New Roman" w:hAnsi="Times New Roman" w:cs="Times New Roman"/>
          <w:lang w:val="en-US"/>
        </w:rPr>
        <w:t xml:space="preserve"> international pr</w:t>
      </w:r>
      <w:r w:rsidR="005D3AB5">
        <w:rPr>
          <w:rFonts w:ascii="Times New Roman" w:hAnsi="Times New Roman" w:cs="Times New Roman"/>
          <w:lang w:val="en-US"/>
        </w:rPr>
        <w:t>udential regulation of Basel II</w:t>
      </w:r>
      <w:r w:rsidRPr="0074230C">
        <w:rPr>
          <w:rFonts w:ascii="Times New Roman" w:hAnsi="Times New Roman" w:cs="Times New Roman"/>
          <w:lang w:val="en-US"/>
        </w:rPr>
        <w:t>. The best-capitalized bank in our sample</w:t>
      </w:r>
      <w:r w:rsidR="005D3AB5">
        <w:rPr>
          <w:rFonts w:ascii="Times New Roman" w:hAnsi="Times New Roman" w:cs="Times New Roman"/>
          <w:lang w:val="en-US"/>
        </w:rPr>
        <w:t xml:space="preserve"> </w:t>
      </w:r>
      <w:r w:rsidRPr="0074230C">
        <w:rPr>
          <w:rFonts w:ascii="Times New Roman" w:hAnsi="Times New Roman" w:cs="Times New Roman"/>
          <w:lang w:val="en-US"/>
        </w:rPr>
        <w:t>has a capital ratio of 17.4</w:t>
      </w:r>
      <w:r w:rsidR="0067285C">
        <w:rPr>
          <w:rFonts w:ascii="Times New Roman" w:hAnsi="Times New Roman" w:cs="Times New Roman"/>
          <w:lang w:val="en-US"/>
        </w:rPr>
        <w:t>6</w:t>
      </w:r>
      <w:r w:rsidRPr="0074230C">
        <w:rPr>
          <w:rFonts w:ascii="Times New Roman" w:hAnsi="Times New Roman" w:cs="Times New Roman"/>
          <w:lang w:val="en-US"/>
        </w:rPr>
        <w:t xml:space="preserve">%, </w:t>
      </w:r>
      <w:r w:rsidR="005D3AB5" w:rsidRPr="0074230C">
        <w:rPr>
          <w:rFonts w:ascii="Times New Roman" w:hAnsi="Times New Roman" w:cs="Times New Roman"/>
          <w:lang w:val="en-US"/>
        </w:rPr>
        <w:t>where</w:t>
      </w:r>
      <w:r w:rsidRPr="0074230C">
        <w:rPr>
          <w:rFonts w:ascii="Times New Roman" w:hAnsi="Times New Roman" w:cs="Times New Roman"/>
          <w:lang w:val="en-US"/>
        </w:rPr>
        <w:t xml:space="preserve">, </w:t>
      </w:r>
      <w:r w:rsidR="005D3AB5" w:rsidRPr="0074230C">
        <w:rPr>
          <w:rFonts w:ascii="Times New Roman" w:hAnsi="Times New Roman" w:cs="Times New Roman"/>
          <w:lang w:val="en-US"/>
        </w:rPr>
        <w:t xml:space="preserve">for some banks </w:t>
      </w:r>
      <w:r w:rsidR="005D3AB5">
        <w:rPr>
          <w:rFonts w:ascii="Times New Roman" w:hAnsi="Times New Roman" w:cs="Times New Roman"/>
          <w:lang w:val="en-US"/>
        </w:rPr>
        <w:t xml:space="preserve">and </w:t>
      </w:r>
      <w:r w:rsidR="005D3AB5" w:rsidRPr="0074230C">
        <w:rPr>
          <w:rFonts w:ascii="Times New Roman" w:hAnsi="Times New Roman" w:cs="Times New Roman"/>
          <w:lang w:val="en-US"/>
        </w:rPr>
        <w:t>at some years</w:t>
      </w:r>
      <w:r w:rsidR="005D3AB5">
        <w:rPr>
          <w:rFonts w:ascii="Times New Roman" w:hAnsi="Times New Roman" w:cs="Times New Roman"/>
          <w:lang w:val="en-US"/>
        </w:rPr>
        <w:t>,</w:t>
      </w:r>
      <w:r w:rsidR="005D3AB5" w:rsidRPr="0074230C">
        <w:rPr>
          <w:rFonts w:ascii="Times New Roman" w:hAnsi="Times New Roman" w:cs="Times New Roman"/>
          <w:lang w:val="en-US"/>
        </w:rPr>
        <w:t xml:space="preserve"> </w:t>
      </w:r>
      <w:r w:rsidRPr="0074230C">
        <w:rPr>
          <w:rFonts w:ascii="Times New Roman" w:hAnsi="Times New Roman" w:cs="Times New Roman"/>
          <w:lang w:val="en-US"/>
        </w:rPr>
        <w:t xml:space="preserve">capital ratio is negative. </w:t>
      </w:r>
    </w:p>
    <w:p w:rsidR="00CE56E3" w:rsidRPr="00EE59A9" w:rsidRDefault="005D3AB5" w:rsidP="00AC3B76">
      <w:pPr>
        <w:spacing w:before="240" w:line="276" w:lineRule="auto"/>
        <w:jc w:val="both"/>
        <w:rPr>
          <w:rFonts w:ascii="Times New Roman" w:hAnsi="Times New Roman" w:cs="Times New Roman"/>
          <w:lang w:val="en-US"/>
        </w:rPr>
      </w:pPr>
      <w:r>
        <w:rPr>
          <w:rFonts w:ascii="Times New Roman" w:hAnsi="Times New Roman" w:cs="Times New Roman"/>
          <w:lang w:val="en-US"/>
        </w:rPr>
        <w:t>P</w:t>
      </w:r>
      <w:r w:rsidR="0074230C" w:rsidRPr="0074230C">
        <w:rPr>
          <w:rFonts w:ascii="Times New Roman" w:hAnsi="Times New Roman" w:cs="Times New Roman"/>
          <w:lang w:val="en-US"/>
        </w:rPr>
        <w:t xml:space="preserve">rivate sector holds 80% of Tunisian banks equity with a minimum of 30% in public statue banks. The concentration amounts to 45.74% on average. </w:t>
      </w:r>
    </w:p>
    <w:p w:rsidR="00CE56E3" w:rsidRPr="00CE56E3" w:rsidRDefault="00CE56E3" w:rsidP="00AC3B76">
      <w:pPr>
        <w:widowControl w:val="0"/>
        <w:autoSpaceDE w:val="0"/>
        <w:autoSpaceDN w:val="0"/>
        <w:adjustRightInd w:val="0"/>
        <w:spacing w:before="240" w:after="79"/>
        <w:rPr>
          <w:b/>
          <w:lang w:val="en-US"/>
        </w:rPr>
      </w:pPr>
      <w:r w:rsidRPr="006416E5">
        <w:rPr>
          <w:b/>
          <w:lang w:val="en-US"/>
        </w:rPr>
        <w:t>Table 2: Correlation Matrix</w:t>
      </w:r>
    </w:p>
    <w:tbl>
      <w:tblPr>
        <w:tblStyle w:val="Grilledutableau"/>
        <w:tblW w:w="8379" w:type="dxa"/>
        <w:tblInd w:w="35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tblPr>
      <w:tblGrid>
        <w:gridCol w:w="1059"/>
        <w:gridCol w:w="914"/>
        <w:gridCol w:w="922"/>
        <w:gridCol w:w="914"/>
        <w:gridCol w:w="914"/>
        <w:gridCol w:w="914"/>
        <w:gridCol w:w="914"/>
        <w:gridCol w:w="914"/>
        <w:gridCol w:w="914"/>
      </w:tblGrid>
      <w:tr w:rsidR="00391C09" w:rsidRPr="00DD0C22" w:rsidTr="00391C09">
        <w:tc>
          <w:tcPr>
            <w:tcW w:w="1059" w:type="dxa"/>
            <w:tcBorders>
              <w:top w:val="double" w:sz="4" w:space="0" w:color="auto"/>
              <w:bottom w:val="single" w:sz="12" w:space="0" w:color="auto"/>
              <w:right w:val="single" w:sz="12" w:space="0" w:color="auto"/>
            </w:tcBorders>
          </w:tcPr>
          <w:p w:rsidR="00391C09" w:rsidRPr="00904C28" w:rsidRDefault="00391C09" w:rsidP="00AC3B76">
            <w:pPr>
              <w:rPr>
                <w:lang w:val="en-US"/>
              </w:rPr>
            </w:pPr>
          </w:p>
        </w:tc>
        <w:tc>
          <w:tcPr>
            <w:tcW w:w="914" w:type="dxa"/>
            <w:tcBorders>
              <w:top w:val="double" w:sz="4" w:space="0" w:color="auto"/>
              <w:left w:val="single" w:sz="12" w:space="0" w:color="auto"/>
              <w:bottom w:val="single" w:sz="12" w:space="0" w:color="auto"/>
              <w:right w:val="single" w:sz="12" w:space="0" w:color="auto"/>
            </w:tcBorders>
          </w:tcPr>
          <w:p w:rsidR="00391C09" w:rsidRPr="00904C28" w:rsidRDefault="00391C09" w:rsidP="00AC3B76">
            <w:pPr>
              <w:rPr>
                <w:lang w:val="en-US"/>
              </w:rPr>
            </w:pPr>
            <w:r w:rsidRPr="00904C28">
              <w:rPr>
                <w:lang w:val="en-US"/>
              </w:rPr>
              <w:t>Size</w:t>
            </w:r>
          </w:p>
        </w:tc>
        <w:tc>
          <w:tcPr>
            <w:tcW w:w="922" w:type="dxa"/>
            <w:tcBorders>
              <w:top w:val="double" w:sz="4" w:space="0" w:color="auto"/>
              <w:left w:val="single" w:sz="12" w:space="0" w:color="auto"/>
              <w:bottom w:val="single" w:sz="12" w:space="0" w:color="auto"/>
              <w:right w:val="single" w:sz="12" w:space="0" w:color="auto"/>
            </w:tcBorders>
          </w:tcPr>
          <w:p w:rsidR="00391C09" w:rsidRPr="00904C28" w:rsidRDefault="00391C09" w:rsidP="00AC3B76">
            <w:pPr>
              <w:rPr>
                <w:lang w:val="en-US"/>
              </w:rPr>
            </w:pPr>
            <w:r w:rsidRPr="00904C28">
              <w:rPr>
                <w:lang w:val="en-US"/>
              </w:rPr>
              <w:t>CAPAD</w:t>
            </w:r>
          </w:p>
        </w:tc>
        <w:tc>
          <w:tcPr>
            <w:tcW w:w="914" w:type="dxa"/>
            <w:tcBorders>
              <w:top w:val="double" w:sz="4" w:space="0" w:color="auto"/>
              <w:left w:val="single" w:sz="12" w:space="0" w:color="auto"/>
              <w:bottom w:val="single" w:sz="12" w:space="0" w:color="auto"/>
              <w:right w:val="single" w:sz="12" w:space="0" w:color="auto"/>
            </w:tcBorders>
          </w:tcPr>
          <w:p w:rsidR="00391C09" w:rsidRPr="00DD0C22" w:rsidRDefault="00391C09" w:rsidP="00AC3B76">
            <w:pPr>
              <w:rPr>
                <w:lang w:val="en-US"/>
              </w:rPr>
            </w:pPr>
            <w:r w:rsidRPr="00DD0C22">
              <w:rPr>
                <w:lang w:val="en-US"/>
              </w:rPr>
              <w:t>CIR</w:t>
            </w:r>
          </w:p>
        </w:tc>
        <w:tc>
          <w:tcPr>
            <w:tcW w:w="914" w:type="dxa"/>
            <w:tcBorders>
              <w:top w:val="double" w:sz="4" w:space="0" w:color="auto"/>
              <w:left w:val="single" w:sz="12" w:space="0" w:color="auto"/>
              <w:bottom w:val="single" w:sz="12" w:space="0" w:color="auto"/>
              <w:right w:val="single" w:sz="12" w:space="0" w:color="auto"/>
            </w:tcBorders>
          </w:tcPr>
          <w:p w:rsidR="00391C09" w:rsidRPr="00DD0C22" w:rsidRDefault="00391C09" w:rsidP="00AC3B76">
            <w:pPr>
              <w:rPr>
                <w:lang w:val="en-US"/>
              </w:rPr>
            </w:pPr>
            <w:r w:rsidRPr="00DD0C22">
              <w:rPr>
                <w:lang w:val="en-US"/>
              </w:rPr>
              <w:t>OWN</w:t>
            </w:r>
          </w:p>
        </w:tc>
        <w:tc>
          <w:tcPr>
            <w:tcW w:w="914" w:type="dxa"/>
            <w:tcBorders>
              <w:top w:val="double" w:sz="4" w:space="0" w:color="auto"/>
              <w:left w:val="single" w:sz="12" w:space="0" w:color="auto"/>
              <w:bottom w:val="single" w:sz="12" w:space="0" w:color="auto"/>
              <w:right w:val="single" w:sz="12" w:space="0" w:color="auto"/>
            </w:tcBorders>
          </w:tcPr>
          <w:p w:rsidR="00391C09" w:rsidRPr="00DD0C22" w:rsidRDefault="00391C09" w:rsidP="00AC3B76">
            <w:pPr>
              <w:rPr>
                <w:lang w:val="en-US"/>
              </w:rPr>
            </w:pPr>
            <w:r w:rsidRPr="00DD0C22">
              <w:rPr>
                <w:lang w:val="en-US"/>
              </w:rPr>
              <w:t>CONC</w:t>
            </w:r>
          </w:p>
        </w:tc>
        <w:tc>
          <w:tcPr>
            <w:tcW w:w="914" w:type="dxa"/>
            <w:tcBorders>
              <w:top w:val="double" w:sz="4" w:space="0" w:color="auto"/>
              <w:left w:val="single" w:sz="12" w:space="0" w:color="auto"/>
              <w:bottom w:val="single" w:sz="12" w:space="0" w:color="auto"/>
              <w:right w:val="single" w:sz="12" w:space="0" w:color="auto"/>
            </w:tcBorders>
          </w:tcPr>
          <w:p w:rsidR="00391C09" w:rsidRPr="00DD0C22" w:rsidRDefault="00391C09" w:rsidP="00AC3B76">
            <w:pPr>
              <w:rPr>
                <w:lang w:val="en-US"/>
              </w:rPr>
            </w:pPr>
            <w:r w:rsidRPr="00DD0C22">
              <w:rPr>
                <w:lang w:val="en-US"/>
              </w:rPr>
              <w:t>SBS</w:t>
            </w:r>
          </w:p>
        </w:tc>
        <w:tc>
          <w:tcPr>
            <w:tcW w:w="914" w:type="dxa"/>
            <w:tcBorders>
              <w:top w:val="double" w:sz="4" w:space="0" w:color="auto"/>
              <w:left w:val="single" w:sz="12" w:space="0" w:color="auto"/>
              <w:bottom w:val="single" w:sz="12" w:space="0" w:color="auto"/>
              <w:right w:val="single" w:sz="12" w:space="0" w:color="auto"/>
            </w:tcBorders>
          </w:tcPr>
          <w:p w:rsidR="00391C09" w:rsidRPr="00DD0C22" w:rsidRDefault="00391C09" w:rsidP="00AC3B76">
            <w:pPr>
              <w:rPr>
                <w:lang w:val="en-US"/>
              </w:rPr>
            </w:pPr>
            <w:r w:rsidRPr="00DD0C22">
              <w:rPr>
                <w:lang w:val="en-US"/>
              </w:rPr>
              <w:t>GDP</w:t>
            </w:r>
          </w:p>
        </w:tc>
        <w:tc>
          <w:tcPr>
            <w:tcW w:w="914" w:type="dxa"/>
            <w:tcBorders>
              <w:top w:val="double" w:sz="4" w:space="0" w:color="auto"/>
              <w:left w:val="single" w:sz="12" w:space="0" w:color="auto"/>
              <w:bottom w:val="single" w:sz="12" w:space="0" w:color="auto"/>
            </w:tcBorders>
          </w:tcPr>
          <w:p w:rsidR="00391C09" w:rsidRPr="00DD0C22" w:rsidRDefault="00391C09" w:rsidP="00AC3B76">
            <w:pPr>
              <w:rPr>
                <w:lang w:val="en-US"/>
              </w:rPr>
            </w:pPr>
            <w:r w:rsidRPr="00DD0C22">
              <w:rPr>
                <w:lang w:val="en-US"/>
              </w:rPr>
              <w:t>INF</w:t>
            </w:r>
          </w:p>
        </w:tc>
      </w:tr>
      <w:tr w:rsidR="00391C09" w:rsidTr="00391C09">
        <w:tc>
          <w:tcPr>
            <w:tcW w:w="1059" w:type="dxa"/>
            <w:tcBorders>
              <w:top w:val="single" w:sz="12" w:space="0" w:color="auto"/>
              <w:bottom w:val="single" w:sz="12" w:space="0" w:color="auto"/>
              <w:right w:val="single" w:sz="12" w:space="0" w:color="auto"/>
            </w:tcBorders>
          </w:tcPr>
          <w:p w:rsidR="00391C09" w:rsidRPr="00DD0C22" w:rsidRDefault="00391C09" w:rsidP="00AC3B76">
            <w:pPr>
              <w:rPr>
                <w:lang w:val="en-US"/>
              </w:rPr>
            </w:pPr>
            <w:r w:rsidRPr="00DD0C22">
              <w:rPr>
                <w:lang w:val="en-US"/>
              </w:rPr>
              <w:t>Size</w:t>
            </w:r>
          </w:p>
        </w:tc>
        <w:tc>
          <w:tcPr>
            <w:tcW w:w="914" w:type="dxa"/>
            <w:tcBorders>
              <w:top w:val="single" w:sz="12" w:space="0" w:color="auto"/>
              <w:left w:val="single" w:sz="12" w:space="0" w:color="auto"/>
            </w:tcBorders>
          </w:tcPr>
          <w:p w:rsidR="00391C09" w:rsidRDefault="00391C09" w:rsidP="00AC3B76">
            <w:r w:rsidRPr="00DD0C22">
              <w:rPr>
                <w:lang w:val="en-US"/>
              </w:rPr>
              <w:t>1.0</w:t>
            </w:r>
            <w:r w:rsidRPr="001343C9">
              <w:t>000</w:t>
            </w:r>
          </w:p>
        </w:tc>
        <w:tc>
          <w:tcPr>
            <w:tcW w:w="922" w:type="dxa"/>
            <w:tcBorders>
              <w:top w:val="single" w:sz="12" w:space="0" w:color="auto"/>
            </w:tcBorders>
          </w:tcPr>
          <w:p w:rsidR="00391C09" w:rsidRDefault="00391C09" w:rsidP="00AC3B76"/>
        </w:tc>
        <w:tc>
          <w:tcPr>
            <w:tcW w:w="914" w:type="dxa"/>
            <w:tcBorders>
              <w:top w:val="single" w:sz="12" w:space="0" w:color="auto"/>
            </w:tcBorders>
          </w:tcPr>
          <w:p w:rsidR="00391C09" w:rsidRDefault="00391C09" w:rsidP="00AC3B76"/>
        </w:tc>
        <w:tc>
          <w:tcPr>
            <w:tcW w:w="914" w:type="dxa"/>
            <w:tcBorders>
              <w:top w:val="single" w:sz="12" w:space="0" w:color="auto"/>
            </w:tcBorders>
          </w:tcPr>
          <w:p w:rsidR="00391C09" w:rsidRDefault="00391C09" w:rsidP="00AC3B76"/>
        </w:tc>
        <w:tc>
          <w:tcPr>
            <w:tcW w:w="914" w:type="dxa"/>
            <w:tcBorders>
              <w:top w:val="single" w:sz="12" w:space="0" w:color="auto"/>
            </w:tcBorders>
          </w:tcPr>
          <w:p w:rsidR="00391C09" w:rsidRDefault="00391C09" w:rsidP="00AC3B76"/>
        </w:tc>
        <w:tc>
          <w:tcPr>
            <w:tcW w:w="914" w:type="dxa"/>
            <w:tcBorders>
              <w:top w:val="single" w:sz="12" w:space="0" w:color="auto"/>
            </w:tcBorders>
          </w:tcPr>
          <w:p w:rsidR="00391C09" w:rsidRDefault="00391C09" w:rsidP="00AC3B76"/>
        </w:tc>
        <w:tc>
          <w:tcPr>
            <w:tcW w:w="914" w:type="dxa"/>
            <w:tcBorders>
              <w:top w:val="single" w:sz="12" w:space="0" w:color="auto"/>
            </w:tcBorders>
          </w:tcPr>
          <w:p w:rsidR="00391C09" w:rsidRDefault="00391C09" w:rsidP="00AC3B76"/>
        </w:tc>
        <w:tc>
          <w:tcPr>
            <w:tcW w:w="914" w:type="dxa"/>
            <w:tcBorders>
              <w:top w:val="single" w:sz="12" w:space="0" w:color="auto"/>
            </w:tcBorders>
          </w:tcPr>
          <w:p w:rsidR="00391C09" w:rsidRDefault="00391C09" w:rsidP="00AC3B76"/>
        </w:tc>
      </w:tr>
      <w:tr w:rsidR="00391C09" w:rsidTr="00391C09">
        <w:tc>
          <w:tcPr>
            <w:tcW w:w="1059" w:type="dxa"/>
            <w:tcBorders>
              <w:top w:val="single" w:sz="12" w:space="0" w:color="auto"/>
              <w:bottom w:val="single" w:sz="12" w:space="0" w:color="auto"/>
              <w:right w:val="single" w:sz="12" w:space="0" w:color="auto"/>
            </w:tcBorders>
          </w:tcPr>
          <w:p w:rsidR="00391C09" w:rsidRPr="00EE12FA" w:rsidRDefault="00391C09" w:rsidP="00AC3B76">
            <w:r w:rsidRPr="00EE12FA">
              <w:t>CAPAD</w:t>
            </w:r>
          </w:p>
        </w:tc>
        <w:tc>
          <w:tcPr>
            <w:tcW w:w="914" w:type="dxa"/>
            <w:tcBorders>
              <w:left w:val="single" w:sz="12" w:space="0" w:color="auto"/>
            </w:tcBorders>
          </w:tcPr>
          <w:p w:rsidR="00391C09" w:rsidRDefault="00391C09" w:rsidP="00AC3B76">
            <w:r w:rsidRPr="00E56ED6">
              <w:t>-0.2811</w:t>
            </w:r>
          </w:p>
        </w:tc>
        <w:tc>
          <w:tcPr>
            <w:tcW w:w="922" w:type="dxa"/>
          </w:tcPr>
          <w:p w:rsidR="00391C09" w:rsidRDefault="00391C09" w:rsidP="00AC3B76">
            <w:r w:rsidRPr="001343C9">
              <w:t>1.0000</w:t>
            </w:r>
          </w:p>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r>
      <w:tr w:rsidR="00391C09" w:rsidTr="00391C09">
        <w:tc>
          <w:tcPr>
            <w:tcW w:w="1059" w:type="dxa"/>
            <w:tcBorders>
              <w:top w:val="single" w:sz="12" w:space="0" w:color="auto"/>
              <w:bottom w:val="single" w:sz="12" w:space="0" w:color="auto"/>
              <w:right w:val="single" w:sz="12" w:space="0" w:color="auto"/>
            </w:tcBorders>
          </w:tcPr>
          <w:p w:rsidR="00391C09" w:rsidRPr="00EE12FA" w:rsidRDefault="00391C09" w:rsidP="00AC3B76">
            <w:r w:rsidRPr="00EE12FA">
              <w:t>CIR</w:t>
            </w:r>
          </w:p>
        </w:tc>
        <w:tc>
          <w:tcPr>
            <w:tcW w:w="914" w:type="dxa"/>
            <w:tcBorders>
              <w:left w:val="single" w:sz="12" w:space="0" w:color="auto"/>
            </w:tcBorders>
          </w:tcPr>
          <w:p w:rsidR="00391C09" w:rsidRDefault="00391C09" w:rsidP="00AC3B76">
            <w:r w:rsidRPr="00E56ED6">
              <w:t>0.0325</w:t>
            </w:r>
          </w:p>
        </w:tc>
        <w:tc>
          <w:tcPr>
            <w:tcW w:w="922" w:type="dxa"/>
          </w:tcPr>
          <w:p w:rsidR="00391C09" w:rsidRDefault="00391C09" w:rsidP="00AC3B76">
            <w:r w:rsidRPr="00104186">
              <w:t>-0.4800</w:t>
            </w:r>
          </w:p>
        </w:tc>
        <w:tc>
          <w:tcPr>
            <w:tcW w:w="914" w:type="dxa"/>
          </w:tcPr>
          <w:p w:rsidR="00391C09" w:rsidRDefault="00391C09" w:rsidP="00AC3B76">
            <w:r w:rsidRPr="001343C9">
              <w:t>1.0000</w:t>
            </w:r>
          </w:p>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r>
      <w:tr w:rsidR="00391C09" w:rsidTr="00391C09">
        <w:tc>
          <w:tcPr>
            <w:tcW w:w="1059" w:type="dxa"/>
            <w:tcBorders>
              <w:top w:val="single" w:sz="12" w:space="0" w:color="auto"/>
              <w:bottom w:val="single" w:sz="12" w:space="0" w:color="auto"/>
              <w:right w:val="single" w:sz="12" w:space="0" w:color="auto"/>
            </w:tcBorders>
          </w:tcPr>
          <w:p w:rsidR="00391C09" w:rsidRPr="00EE12FA" w:rsidRDefault="00391C09" w:rsidP="00AC3B76">
            <w:r w:rsidRPr="00EE12FA">
              <w:t>OWN</w:t>
            </w:r>
          </w:p>
        </w:tc>
        <w:tc>
          <w:tcPr>
            <w:tcW w:w="914" w:type="dxa"/>
            <w:tcBorders>
              <w:left w:val="single" w:sz="12" w:space="0" w:color="auto"/>
            </w:tcBorders>
          </w:tcPr>
          <w:p w:rsidR="00391C09" w:rsidRDefault="00391C09" w:rsidP="00AC3B76">
            <w:r w:rsidRPr="00E56ED6">
              <w:t>-0.4244</w:t>
            </w:r>
          </w:p>
        </w:tc>
        <w:tc>
          <w:tcPr>
            <w:tcW w:w="922" w:type="dxa"/>
          </w:tcPr>
          <w:p w:rsidR="00391C09" w:rsidRDefault="00391C09" w:rsidP="00AC3B76">
            <w:r w:rsidRPr="00104186">
              <w:t>0.2009</w:t>
            </w:r>
          </w:p>
        </w:tc>
        <w:tc>
          <w:tcPr>
            <w:tcW w:w="914" w:type="dxa"/>
          </w:tcPr>
          <w:p w:rsidR="00391C09" w:rsidRDefault="00391C09" w:rsidP="00AC3B76">
            <w:r w:rsidRPr="00104186">
              <w:t>-0.3129</w:t>
            </w:r>
          </w:p>
        </w:tc>
        <w:tc>
          <w:tcPr>
            <w:tcW w:w="914" w:type="dxa"/>
          </w:tcPr>
          <w:p w:rsidR="00391C09" w:rsidRDefault="00391C09" w:rsidP="00AC3B76">
            <w:r w:rsidRPr="001343C9">
              <w:t>1.0000</w:t>
            </w:r>
          </w:p>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r>
      <w:tr w:rsidR="00391C09" w:rsidTr="00391C09">
        <w:tc>
          <w:tcPr>
            <w:tcW w:w="1059" w:type="dxa"/>
            <w:tcBorders>
              <w:top w:val="single" w:sz="12" w:space="0" w:color="auto"/>
              <w:bottom w:val="single" w:sz="12" w:space="0" w:color="auto"/>
              <w:right w:val="single" w:sz="12" w:space="0" w:color="auto"/>
            </w:tcBorders>
          </w:tcPr>
          <w:p w:rsidR="00391C09" w:rsidRPr="00EE12FA" w:rsidRDefault="00391C09" w:rsidP="00AC3B76">
            <w:r w:rsidRPr="00EE12FA">
              <w:t>CONC</w:t>
            </w:r>
          </w:p>
        </w:tc>
        <w:tc>
          <w:tcPr>
            <w:tcW w:w="914" w:type="dxa"/>
            <w:tcBorders>
              <w:left w:val="single" w:sz="12" w:space="0" w:color="auto"/>
            </w:tcBorders>
          </w:tcPr>
          <w:p w:rsidR="00391C09" w:rsidRDefault="00391C09" w:rsidP="00AC3B76">
            <w:r w:rsidRPr="00E56ED6">
              <w:t>-0.4557</w:t>
            </w:r>
          </w:p>
        </w:tc>
        <w:tc>
          <w:tcPr>
            <w:tcW w:w="922" w:type="dxa"/>
          </w:tcPr>
          <w:p w:rsidR="00391C09" w:rsidRDefault="00391C09" w:rsidP="00AC3B76">
            <w:r w:rsidRPr="00104186">
              <w:t>0.1119</w:t>
            </w:r>
          </w:p>
        </w:tc>
        <w:tc>
          <w:tcPr>
            <w:tcW w:w="914" w:type="dxa"/>
          </w:tcPr>
          <w:p w:rsidR="00391C09" w:rsidRDefault="00391C09" w:rsidP="00AC3B76">
            <w:r w:rsidRPr="00104186">
              <w:t>0.1508</w:t>
            </w:r>
          </w:p>
        </w:tc>
        <w:tc>
          <w:tcPr>
            <w:tcW w:w="914" w:type="dxa"/>
          </w:tcPr>
          <w:p w:rsidR="00391C09" w:rsidRDefault="00391C09" w:rsidP="00AC3B76">
            <w:r w:rsidRPr="00104186">
              <w:t>-0.0582</w:t>
            </w:r>
          </w:p>
        </w:tc>
        <w:tc>
          <w:tcPr>
            <w:tcW w:w="914" w:type="dxa"/>
          </w:tcPr>
          <w:p w:rsidR="00391C09" w:rsidRDefault="00391C09" w:rsidP="00AC3B76">
            <w:r w:rsidRPr="001343C9">
              <w:t>1.0000</w:t>
            </w:r>
          </w:p>
        </w:tc>
        <w:tc>
          <w:tcPr>
            <w:tcW w:w="914" w:type="dxa"/>
          </w:tcPr>
          <w:p w:rsidR="00391C09" w:rsidRDefault="00391C09" w:rsidP="00AC3B76"/>
        </w:tc>
        <w:tc>
          <w:tcPr>
            <w:tcW w:w="914" w:type="dxa"/>
          </w:tcPr>
          <w:p w:rsidR="00391C09" w:rsidRDefault="00391C09" w:rsidP="00AC3B76"/>
        </w:tc>
        <w:tc>
          <w:tcPr>
            <w:tcW w:w="914" w:type="dxa"/>
          </w:tcPr>
          <w:p w:rsidR="00391C09" w:rsidRDefault="00391C09" w:rsidP="00AC3B76"/>
        </w:tc>
      </w:tr>
      <w:tr w:rsidR="00391C09" w:rsidTr="00391C09">
        <w:tc>
          <w:tcPr>
            <w:tcW w:w="1059" w:type="dxa"/>
            <w:tcBorders>
              <w:top w:val="single" w:sz="12" w:space="0" w:color="auto"/>
              <w:bottom w:val="single" w:sz="12" w:space="0" w:color="auto"/>
              <w:right w:val="single" w:sz="12" w:space="0" w:color="auto"/>
            </w:tcBorders>
          </w:tcPr>
          <w:p w:rsidR="00391C09" w:rsidRPr="00EE12FA" w:rsidRDefault="00391C09" w:rsidP="00AC3B76">
            <w:r w:rsidRPr="00EE12FA">
              <w:t>SBS</w:t>
            </w:r>
          </w:p>
        </w:tc>
        <w:tc>
          <w:tcPr>
            <w:tcW w:w="914" w:type="dxa"/>
            <w:tcBorders>
              <w:left w:val="single" w:sz="12" w:space="0" w:color="auto"/>
            </w:tcBorders>
          </w:tcPr>
          <w:p w:rsidR="00391C09" w:rsidRDefault="00391C09" w:rsidP="00AC3B76">
            <w:r w:rsidRPr="00E56ED6">
              <w:t>0.5273</w:t>
            </w:r>
          </w:p>
        </w:tc>
        <w:tc>
          <w:tcPr>
            <w:tcW w:w="922" w:type="dxa"/>
          </w:tcPr>
          <w:p w:rsidR="00391C09" w:rsidRDefault="00391C09" w:rsidP="00AC3B76">
            <w:r w:rsidRPr="00104186">
              <w:t>-0.1309</w:t>
            </w:r>
          </w:p>
        </w:tc>
        <w:tc>
          <w:tcPr>
            <w:tcW w:w="914" w:type="dxa"/>
          </w:tcPr>
          <w:p w:rsidR="00391C09" w:rsidRDefault="00391C09" w:rsidP="00AC3B76">
            <w:r w:rsidRPr="00104186">
              <w:t>-0.1143</w:t>
            </w:r>
          </w:p>
        </w:tc>
        <w:tc>
          <w:tcPr>
            <w:tcW w:w="914" w:type="dxa"/>
          </w:tcPr>
          <w:p w:rsidR="00391C09" w:rsidRDefault="00391C09" w:rsidP="00AC3B76">
            <w:r w:rsidRPr="00104186">
              <w:t>0.0665</w:t>
            </w:r>
          </w:p>
        </w:tc>
        <w:tc>
          <w:tcPr>
            <w:tcW w:w="914" w:type="dxa"/>
          </w:tcPr>
          <w:p w:rsidR="00391C09" w:rsidRDefault="00391C09" w:rsidP="00AC3B76">
            <w:r w:rsidRPr="00104186">
              <w:t>-0.6126</w:t>
            </w:r>
          </w:p>
        </w:tc>
        <w:tc>
          <w:tcPr>
            <w:tcW w:w="914" w:type="dxa"/>
          </w:tcPr>
          <w:p w:rsidR="00391C09" w:rsidRDefault="00391C09" w:rsidP="00AC3B76">
            <w:r w:rsidRPr="001343C9">
              <w:t>1.0000</w:t>
            </w:r>
          </w:p>
        </w:tc>
        <w:tc>
          <w:tcPr>
            <w:tcW w:w="914" w:type="dxa"/>
          </w:tcPr>
          <w:p w:rsidR="00391C09" w:rsidRDefault="00391C09" w:rsidP="00AC3B76"/>
        </w:tc>
        <w:tc>
          <w:tcPr>
            <w:tcW w:w="914" w:type="dxa"/>
          </w:tcPr>
          <w:p w:rsidR="00391C09" w:rsidRDefault="00391C09" w:rsidP="00AC3B76"/>
        </w:tc>
      </w:tr>
      <w:tr w:rsidR="00391C09" w:rsidTr="00391C09">
        <w:tc>
          <w:tcPr>
            <w:tcW w:w="1059" w:type="dxa"/>
            <w:tcBorders>
              <w:top w:val="single" w:sz="12" w:space="0" w:color="auto"/>
              <w:bottom w:val="single" w:sz="12" w:space="0" w:color="auto"/>
              <w:right w:val="single" w:sz="12" w:space="0" w:color="auto"/>
            </w:tcBorders>
          </w:tcPr>
          <w:p w:rsidR="00391C09" w:rsidRPr="00EE12FA" w:rsidRDefault="00391C09" w:rsidP="00AC3B76">
            <w:r w:rsidRPr="00EE12FA">
              <w:t>GDP</w:t>
            </w:r>
          </w:p>
        </w:tc>
        <w:tc>
          <w:tcPr>
            <w:tcW w:w="914" w:type="dxa"/>
            <w:tcBorders>
              <w:left w:val="single" w:sz="12" w:space="0" w:color="auto"/>
            </w:tcBorders>
          </w:tcPr>
          <w:p w:rsidR="00391C09" w:rsidRDefault="00391C09" w:rsidP="00AC3B76">
            <w:r w:rsidRPr="00104186">
              <w:t>-0.3400</w:t>
            </w:r>
          </w:p>
        </w:tc>
        <w:tc>
          <w:tcPr>
            <w:tcW w:w="922" w:type="dxa"/>
          </w:tcPr>
          <w:p w:rsidR="00391C09" w:rsidRDefault="00391C09" w:rsidP="00AC3B76">
            <w:r w:rsidRPr="00104186">
              <w:t>0.0507</w:t>
            </w:r>
          </w:p>
        </w:tc>
        <w:tc>
          <w:tcPr>
            <w:tcW w:w="914" w:type="dxa"/>
          </w:tcPr>
          <w:p w:rsidR="00391C09" w:rsidRDefault="00391C09" w:rsidP="00AC3B76">
            <w:r w:rsidRPr="00104186">
              <w:t>0.0896</w:t>
            </w:r>
          </w:p>
        </w:tc>
        <w:tc>
          <w:tcPr>
            <w:tcW w:w="914" w:type="dxa"/>
          </w:tcPr>
          <w:p w:rsidR="00391C09" w:rsidRDefault="00391C09" w:rsidP="00AC3B76">
            <w:r w:rsidRPr="00104186">
              <w:t>-0.0373</w:t>
            </w:r>
          </w:p>
        </w:tc>
        <w:tc>
          <w:tcPr>
            <w:tcW w:w="914" w:type="dxa"/>
          </w:tcPr>
          <w:p w:rsidR="00391C09" w:rsidRDefault="00391C09" w:rsidP="00AC3B76">
            <w:r w:rsidRPr="00104186">
              <w:t>0.5373</w:t>
            </w:r>
          </w:p>
        </w:tc>
        <w:tc>
          <w:tcPr>
            <w:tcW w:w="914" w:type="dxa"/>
          </w:tcPr>
          <w:p w:rsidR="00391C09" w:rsidRDefault="00391C09" w:rsidP="00AC3B76">
            <w:r>
              <w:t>-0.7</w:t>
            </w:r>
            <w:r w:rsidRPr="00104186">
              <w:t>081</w:t>
            </w:r>
          </w:p>
        </w:tc>
        <w:tc>
          <w:tcPr>
            <w:tcW w:w="914" w:type="dxa"/>
          </w:tcPr>
          <w:p w:rsidR="00391C09" w:rsidRDefault="00391C09" w:rsidP="00AC3B76">
            <w:r w:rsidRPr="001343C9">
              <w:t>1.0000</w:t>
            </w:r>
          </w:p>
        </w:tc>
        <w:tc>
          <w:tcPr>
            <w:tcW w:w="914" w:type="dxa"/>
          </w:tcPr>
          <w:p w:rsidR="00391C09" w:rsidRDefault="00391C09" w:rsidP="00AC3B76"/>
        </w:tc>
      </w:tr>
      <w:tr w:rsidR="00391C09" w:rsidTr="00391C09">
        <w:tc>
          <w:tcPr>
            <w:tcW w:w="1059" w:type="dxa"/>
            <w:tcBorders>
              <w:top w:val="single" w:sz="12" w:space="0" w:color="auto"/>
              <w:bottom w:val="double" w:sz="4" w:space="0" w:color="auto"/>
              <w:right w:val="single" w:sz="12" w:space="0" w:color="auto"/>
            </w:tcBorders>
          </w:tcPr>
          <w:p w:rsidR="00391C09" w:rsidRPr="00EE12FA" w:rsidRDefault="00391C09" w:rsidP="00AC3B76">
            <w:r w:rsidRPr="00EE12FA">
              <w:t>INF</w:t>
            </w:r>
          </w:p>
        </w:tc>
        <w:tc>
          <w:tcPr>
            <w:tcW w:w="914" w:type="dxa"/>
            <w:tcBorders>
              <w:left w:val="single" w:sz="12" w:space="0" w:color="auto"/>
            </w:tcBorders>
          </w:tcPr>
          <w:p w:rsidR="00391C09" w:rsidRDefault="00391C09" w:rsidP="00AC3B76">
            <w:r w:rsidRPr="00104186">
              <w:t>0.4064</w:t>
            </w:r>
          </w:p>
        </w:tc>
        <w:tc>
          <w:tcPr>
            <w:tcW w:w="922" w:type="dxa"/>
          </w:tcPr>
          <w:p w:rsidR="00391C09" w:rsidRDefault="00391C09" w:rsidP="00AC3B76">
            <w:r w:rsidRPr="00104186">
              <w:t>-0.1502</w:t>
            </w:r>
          </w:p>
        </w:tc>
        <w:tc>
          <w:tcPr>
            <w:tcW w:w="914" w:type="dxa"/>
          </w:tcPr>
          <w:p w:rsidR="00391C09" w:rsidRDefault="00391C09" w:rsidP="00AC3B76">
            <w:r w:rsidRPr="00104186">
              <w:t>-0.0898</w:t>
            </w:r>
          </w:p>
        </w:tc>
        <w:tc>
          <w:tcPr>
            <w:tcW w:w="914" w:type="dxa"/>
          </w:tcPr>
          <w:p w:rsidR="00391C09" w:rsidRDefault="00391C09" w:rsidP="00AC3B76">
            <w:r w:rsidRPr="00104186">
              <w:t>0.0711</w:t>
            </w:r>
          </w:p>
        </w:tc>
        <w:tc>
          <w:tcPr>
            <w:tcW w:w="914" w:type="dxa"/>
          </w:tcPr>
          <w:p w:rsidR="00391C09" w:rsidRDefault="00391C09" w:rsidP="00AC3B76">
            <w:r w:rsidRPr="00104186">
              <w:t>-0.3575</w:t>
            </w:r>
          </w:p>
        </w:tc>
        <w:tc>
          <w:tcPr>
            <w:tcW w:w="914" w:type="dxa"/>
          </w:tcPr>
          <w:p w:rsidR="00391C09" w:rsidRDefault="00391C09" w:rsidP="00AC3B76">
            <w:r w:rsidRPr="00104186">
              <w:t>0.3091</w:t>
            </w:r>
          </w:p>
        </w:tc>
        <w:tc>
          <w:tcPr>
            <w:tcW w:w="914" w:type="dxa"/>
          </w:tcPr>
          <w:p w:rsidR="00391C09" w:rsidRDefault="00391C09" w:rsidP="00AC3B76">
            <w:r w:rsidRPr="001343C9">
              <w:t>-0.0494</w:t>
            </w:r>
          </w:p>
        </w:tc>
        <w:tc>
          <w:tcPr>
            <w:tcW w:w="914" w:type="dxa"/>
          </w:tcPr>
          <w:p w:rsidR="00391C09" w:rsidRDefault="00391C09" w:rsidP="00AC3B76">
            <w:r w:rsidRPr="001343C9">
              <w:t>1.0000</w:t>
            </w:r>
          </w:p>
        </w:tc>
      </w:tr>
    </w:tbl>
    <w:p w:rsidR="000C40F5" w:rsidRPr="00EA3641" w:rsidRDefault="005A36AC" w:rsidP="00AC3B76">
      <w:pPr>
        <w:autoSpaceDE w:val="0"/>
        <w:autoSpaceDN w:val="0"/>
        <w:adjustRightInd w:val="0"/>
        <w:spacing w:before="240" w:line="276" w:lineRule="auto"/>
        <w:jc w:val="both"/>
        <w:rPr>
          <w:rFonts w:ascii="Times New Roman" w:hAnsi="Times New Roman" w:cs="Times New Roman"/>
          <w:lang w:val="en-US"/>
        </w:rPr>
      </w:pPr>
      <w:r w:rsidRPr="0049286B">
        <w:rPr>
          <w:rFonts w:ascii="Times New Roman" w:hAnsi="Times New Roman" w:cs="Times New Roman"/>
          <w:lang w:val="en-US"/>
        </w:rPr>
        <w:t xml:space="preserve">As shown in the table </w:t>
      </w:r>
      <w:r>
        <w:rPr>
          <w:rFonts w:ascii="Times New Roman" w:hAnsi="Times New Roman" w:cs="Times New Roman"/>
          <w:lang w:val="en-US"/>
        </w:rPr>
        <w:t>2</w:t>
      </w:r>
      <w:r w:rsidRPr="0049286B">
        <w:rPr>
          <w:rFonts w:ascii="Times New Roman" w:hAnsi="Times New Roman" w:cs="Times New Roman"/>
          <w:lang w:val="en-US"/>
        </w:rPr>
        <w:t xml:space="preserve">, all correlation coefficients are lesser than 0.8. </w:t>
      </w:r>
      <w:r>
        <w:rPr>
          <w:rFonts w:ascii="Times New Roman" w:hAnsi="Times New Roman" w:cs="Times New Roman"/>
          <w:lang w:val="en-US"/>
        </w:rPr>
        <w:t>So,</w:t>
      </w:r>
      <w:r w:rsidR="0049286B" w:rsidRPr="0049286B">
        <w:rPr>
          <w:rFonts w:ascii="Times New Roman" w:hAnsi="Times New Roman" w:cs="Times New Roman"/>
          <w:lang w:val="en-US"/>
        </w:rPr>
        <w:t xml:space="preserve"> the null hypothesis of no correlation between explanatory variables</w:t>
      </w:r>
      <w:r>
        <w:rPr>
          <w:rFonts w:ascii="Times New Roman" w:hAnsi="Times New Roman" w:cs="Times New Roman"/>
          <w:lang w:val="en-US"/>
        </w:rPr>
        <w:t xml:space="preserve"> is verified</w:t>
      </w:r>
      <w:r w:rsidR="003844D7" w:rsidRPr="0049286B">
        <w:rPr>
          <w:rFonts w:ascii="Times New Roman" w:hAnsi="Times New Roman" w:cs="Times New Roman"/>
          <w:lang w:val="en-US"/>
        </w:rPr>
        <w:t xml:space="preserve"> </w:t>
      </w:r>
      <w:r w:rsidR="003844D7">
        <w:rPr>
          <w:rFonts w:ascii="Times New Roman" w:hAnsi="Times New Roman" w:cs="Times New Roman"/>
          <w:lang w:val="en-US"/>
        </w:rPr>
        <w:t xml:space="preserve">according to </w:t>
      </w:r>
      <w:r w:rsidR="0049286B" w:rsidRPr="0049286B">
        <w:rPr>
          <w:rFonts w:ascii="Times New Roman" w:hAnsi="Times New Roman" w:cs="Times New Roman"/>
          <w:lang w:val="en-US"/>
        </w:rPr>
        <w:t xml:space="preserve">Kennedy (1985). Then, there is no problem of </w:t>
      </w:r>
      <w:proofErr w:type="spellStart"/>
      <w:r w:rsidR="0049286B" w:rsidRPr="0049286B">
        <w:rPr>
          <w:rFonts w:ascii="Times New Roman" w:hAnsi="Times New Roman" w:cs="Times New Roman"/>
          <w:lang w:val="en-US"/>
        </w:rPr>
        <w:t>multicollinearity</w:t>
      </w:r>
      <w:proofErr w:type="spellEnd"/>
      <w:r>
        <w:rPr>
          <w:rFonts w:ascii="Times New Roman" w:hAnsi="Times New Roman" w:cs="Times New Roman"/>
          <w:lang w:val="en-US"/>
        </w:rPr>
        <w:t xml:space="preserve"> in our specification</w:t>
      </w:r>
      <w:r w:rsidR="0049286B" w:rsidRPr="0049286B">
        <w:rPr>
          <w:rFonts w:ascii="Times New Roman" w:hAnsi="Times New Roman" w:cs="Times New Roman"/>
          <w:lang w:val="en-US"/>
        </w:rPr>
        <w:t>.</w:t>
      </w:r>
    </w:p>
    <w:p w:rsidR="00EE59A9" w:rsidRDefault="007274E7" w:rsidP="00AC3B76">
      <w:pPr>
        <w:autoSpaceDE w:val="0"/>
        <w:autoSpaceDN w:val="0"/>
        <w:adjustRightInd w:val="0"/>
        <w:spacing w:before="240" w:after="0" w:line="276" w:lineRule="auto"/>
        <w:jc w:val="both"/>
        <w:rPr>
          <w:rFonts w:ascii="Times New Roman" w:hAnsi="Times New Roman" w:cs="Times New Roman"/>
          <w:lang w:val="en-US"/>
        </w:rPr>
      </w:pPr>
      <w:r w:rsidRPr="006F4611">
        <w:rPr>
          <w:rFonts w:ascii="Times New Roman" w:hAnsi="Times New Roman" w:cs="Times New Roman"/>
          <w:color w:val="000000"/>
          <w:lang w:val="en-US"/>
        </w:rPr>
        <w:t>Given the dynamic nature of our model, least squares estimation methods are biased and inconsistent</w:t>
      </w:r>
      <w:r w:rsidR="00CA4A7E">
        <w:rPr>
          <w:rFonts w:ascii="Times New Roman" w:hAnsi="Times New Roman" w:cs="Times New Roman"/>
          <w:color w:val="000000"/>
          <w:lang w:val="en-US"/>
        </w:rPr>
        <w:t>, b</w:t>
      </w:r>
      <w:r w:rsidR="00CA4A7E" w:rsidRPr="00CA4A7E">
        <w:rPr>
          <w:rFonts w:ascii="Times New Roman" w:hAnsi="Times New Roman" w:cs="Times New Roman"/>
          <w:lang w:val="en-US"/>
        </w:rPr>
        <w:t xml:space="preserve">ecause dynamic models are likely to suffer from both </w:t>
      </w:r>
      <w:proofErr w:type="spellStart"/>
      <w:r w:rsidR="00CA4A7E" w:rsidRPr="00CA4A7E">
        <w:rPr>
          <w:rFonts w:ascii="Times New Roman" w:hAnsi="Times New Roman" w:cs="Times New Roman"/>
          <w:lang w:val="en-US"/>
        </w:rPr>
        <w:t>endogeneity</w:t>
      </w:r>
      <w:proofErr w:type="spellEnd"/>
      <w:r w:rsidR="00CA4A7E" w:rsidRPr="00CA4A7E">
        <w:rPr>
          <w:rFonts w:ascii="Times New Roman" w:hAnsi="Times New Roman" w:cs="Times New Roman"/>
          <w:lang w:val="en-US"/>
        </w:rPr>
        <w:t xml:space="preserve"> and heterogeneity</w:t>
      </w:r>
      <w:r w:rsidR="00CA4A7E">
        <w:rPr>
          <w:rFonts w:ascii="Times New Roman" w:hAnsi="Times New Roman" w:cs="Times New Roman"/>
          <w:lang w:val="en-US"/>
        </w:rPr>
        <w:t xml:space="preserve"> </w:t>
      </w:r>
      <w:r w:rsidR="00CA4A7E" w:rsidRPr="00CA4A7E">
        <w:rPr>
          <w:rFonts w:ascii="Times New Roman" w:hAnsi="Times New Roman" w:cs="Times New Roman"/>
          <w:lang w:val="en-US"/>
        </w:rPr>
        <w:t>problems</w:t>
      </w:r>
      <w:r w:rsidR="00CA4A7E" w:rsidRPr="00267D2D">
        <w:rPr>
          <w:rFonts w:ascii="Times New Roman" w:hAnsi="Times New Roman" w:cs="Times New Roman"/>
          <w:lang w:val="en-US"/>
        </w:rPr>
        <w:t xml:space="preserve"> </w:t>
      </w:r>
      <w:r w:rsidRPr="00267D2D">
        <w:rPr>
          <w:rFonts w:ascii="Times New Roman" w:hAnsi="Times New Roman" w:cs="Times New Roman"/>
          <w:lang w:val="en-US"/>
        </w:rPr>
        <w:t>(</w:t>
      </w:r>
      <w:proofErr w:type="spellStart"/>
      <w:r w:rsidRPr="00267D2D">
        <w:rPr>
          <w:rFonts w:ascii="Times New Roman" w:hAnsi="Times New Roman" w:cs="Times New Roman"/>
          <w:lang w:val="en-US"/>
        </w:rPr>
        <w:t>Baltagi</w:t>
      </w:r>
      <w:proofErr w:type="spellEnd"/>
      <w:r w:rsidRPr="00267D2D">
        <w:rPr>
          <w:rFonts w:ascii="Times New Roman" w:hAnsi="Times New Roman" w:cs="Times New Roman"/>
          <w:lang w:val="en-US"/>
        </w:rPr>
        <w:t>, 2001).</w:t>
      </w:r>
      <w:r w:rsidRPr="006F4611">
        <w:rPr>
          <w:rFonts w:ascii="Times New Roman" w:hAnsi="Times New Roman" w:cs="Times New Roman"/>
          <w:color w:val="000000"/>
          <w:lang w:val="en-US"/>
        </w:rPr>
        <w:t xml:space="preserve"> </w:t>
      </w:r>
      <w:r w:rsidR="00CA4A7E" w:rsidRPr="00CA4A7E">
        <w:rPr>
          <w:rFonts w:ascii="Times New Roman" w:hAnsi="Times New Roman" w:cs="Times New Roman"/>
          <w:lang w:val="en-US"/>
        </w:rPr>
        <w:t>The presence of lagged endogenous variables</w:t>
      </w:r>
      <w:r w:rsidR="00CA4A7E">
        <w:rPr>
          <w:rFonts w:ascii="Times New Roman" w:hAnsi="Times New Roman" w:cs="Times New Roman"/>
          <w:lang w:val="en-US"/>
        </w:rPr>
        <w:t xml:space="preserve"> will also bias the coefficient </w:t>
      </w:r>
      <w:r w:rsidR="00CA4A7E" w:rsidRPr="00CA4A7E">
        <w:rPr>
          <w:rFonts w:ascii="Times New Roman" w:hAnsi="Times New Roman" w:cs="Times New Roman"/>
          <w:lang w:val="en-US"/>
        </w:rPr>
        <w:t>estimates</w:t>
      </w:r>
      <w:r w:rsidR="00CA4A7E">
        <w:rPr>
          <w:rFonts w:ascii="Times New Roman" w:hAnsi="Times New Roman" w:cs="Times New Roman"/>
          <w:lang w:val="en-US"/>
        </w:rPr>
        <w:t xml:space="preserve"> </w:t>
      </w:r>
      <w:r w:rsidR="00CA4A7E" w:rsidRPr="00CA4A7E">
        <w:rPr>
          <w:rFonts w:ascii="Times New Roman" w:hAnsi="Times New Roman" w:cs="Times New Roman"/>
          <w:lang w:val="en-US"/>
        </w:rPr>
        <w:t>for the OLS estimation. Moreover, substantial differences in non-performing loans across banks</w:t>
      </w:r>
      <w:r w:rsidR="00CA4A7E">
        <w:rPr>
          <w:rFonts w:ascii="Times New Roman" w:hAnsi="Times New Roman" w:cs="Times New Roman"/>
          <w:lang w:val="en-US"/>
        </w:rPr>
        <w:t xml:space="preserve"> </w:t>
      </w:r>
      <w:r w:rsidR="00CA4A7E" w:rsidRPr="00CA4A7E">
        <w:rPr>
          <w:rFonts w:ascii="Times New Roman" w:hAnsi="Times New Roman" w:cs="Times New Roman"/>
          <w:lang w:val="en-US"/>
        </w:rPr>
        <w:t xml:space="preserve">may result in </w:t>
      </w:r>
      <w:r w:rsidR="00CA4A7E">
        <w:rPr>
          <w:rFonts w:ascii="Times New Roman" w:hAnsi="Times New Roman" w:cs="Times New Roman"/>
          <w:lang w:val="en-US"/>
        </w:rPr>
        <w:t xml:space="preserve">unobservable </w:t>
      </w:r>
      <w:r w:rsidR="00CA4A7E" w:rsidRPr="00CA4A7E">
        <w:rPr>
          <w:rFonts w:ascii="Times New Roman" w:hAnsi="Times New Roman" w:cs="Times New Roman"/>
          <w:lang w:val="en-US"/>
        </w:rPr>
        <w:t>heterogeneity problems.</w:t>
      </w:r>
      <w:r w:rsidR="00CA4A7E">
        <w:rPr>
          <w:rFonts w:ascii="Times New Roman" w:hAnsi="Times New Roman" w:cs="Times New Roman"/>
          <w:lang w:val="en-US"/>
        </w:rPr>
        <w:t xml:space="preserve"> </w:t>
      </w:r>
      <w:r w:rsidRPr="006F4611">
        <w:rPr>
          <w:rFonts w:ascii="Times New Roman" w:hAnsi="Times New Roman" w:cs="Times New Roman"/>
          <w:color w:val="000000"/>
          <w:lang w:val="en-US"/>
        </w:rPr>
        <w:t xml:space="preserve">Then, we use dynamic panel estimation </w:t>
      </w:r>
      <w:r w:rsidR="00CF6CD1">
        <w:rPr>
          <w:rFonts w:ascii="Times New Roman" w:hAnsi="Times New Roman" w:cs="Times New Roman"/>
          <w:color w:val="000000"/>
          <w:lang w:val="en-US"/>
        </w:rPr>
        <w:t>technique</w:t>
      </w:r>
      <w:r w:rsidR="00CF6CD1" w:rsidRPr="006F4611">
        <w:rPr>
          <w:rFonts w:ascii="Times New Roman" w:hAnsi="Times New Roman" w:cs="Times New Roman"/>
          <w:color w:val="000000"/>
          <w:lang w:val="en-US"/>
        </w:rPr>
        <w:t xml:space="preserve"> </w:t>
      </w:r>
      <w:r w:rsidRPr="006F4611">
        <w:rPr>
          <w:rFonts w:ascii="Times New Roman" w:hAnsi="Times New Roman" w:cs="Times New Roman"/>
          <w:color w:val="000000"/>
          <w:lang w:val="en-US"/>
        </w:rPr>
        <w:t xml:space="preserve">that </w:t>
      </w:r>
      <w:r w:rsidR="00CF6CD1">
        <w:rPr>
          <w:rFonts w:ascii="Times New Roman" w:hAnsi="Times New Roman" w:cs="Times New Roman"/>
          <w:color w:val="000000"/>
          <w:lang w:val="en-US"/>
        </w:rPr>
        <w:t>is</w:t>
      </w:r>
      <w:r w:rsidRPr="006F4611">
        <w:rPr>
          <w:rFonts w:ascii="Times New Roman" w:hAnsi="Times New Roman" w:cs="Times New Roman"/>
          <w:color w:val="000000"/>
          <w:lang w:val="en-US"/>
        </w:rPr>
        <w:t xml:space="preserve"> able to deal with the biases </w:t>
      </w:r>
      <w:r w:rsidRPr="006F4611">
        <w:rPr>
          <w:rFonts w:ascii="Times New Roman" w:hAnsi="Times New Roman" w:cs="Times New Roman"/>
          <w:color w:val="000000"/>
          <w:lang w:val="en-US"/>
        </w:rPr>
        <w:lastRenderedPageBreak/>
        <w:t xml:space="preserve">and inconsistencies of our estimates. </w:t>
      </w:r>
      <w:r w:rsidR="00CA4A7E" w:rsidRPr="00CA4A7E">
        <w:rPr>
          <w:rFonts w:ascii="Times New Roman" w:hAnsi="Times New Roman" w:cs="Times New Roman"/>
          <w:lang w:val="en-US"/>
        </w:rPr>
        <w:t xml:space="preserve">If there are no unobserved firm effects, we can apply the GMM technique </w:t>
      </w:r>
      <w:r w:rsidR="00CA4A7E">
        <w:rPr>
          <w:rFonts w:ascii="Times New Roman" w:hAnsi="Times New Roman" w:cs="Times New Roman"/>
          <w:lang w:val="en-US"/>
        </w:rPr>
        <w:t xml:space="preserve">in </w:t>
      </w:r>
      <w:r w:rsidR="00CA4A7E" w:rsidRPr="00CA4A7E">
        <w:rPr>
          <w:rFonts w:ascii="Times New Roman" w:hAnsi="Times New Roman" w:cs="Times New Roman"/>
          <w:lang w:val="en-US"/>
        </w:rPr>
        <w:t>levels by using lagged right hand side variables as instruments.</w:t>
      </w:r>
    </w:p>
    <w:p w:rsidR="00EE59A9" w:rsidRPr="00844AC5" w:rsidRDefault="00EE59A9" w:rsidP="00AC3B76">
      <w:pPr>
        <w:autoSpaceDE w:val="0"/>
        <w:autoSpaceDN w:val="0"/>
        <w:adjustRightInd w:val="0"/>
        <w:spacing w:before="240" w:after="0" w:line="276" w:lineRule="auto"/>
        <w:jc w:val="both"/>
        <w:rPr>
          <w:rFonts w:ascii="Times New Roman" w:hAnsi="Times New Roman" w:cs="Times New Roman"/>
          <w:lang w:val="en-US"/>
        </w:rPr>
      </w:pPr>
      <w:r w:rsidRPr="00EE59A9">
        <w:rPr>
          <w:rFonts w:ascii="Times New Roman" w:hAnsi="Times New Roman" w:cs="Times New Roman"/>
          <w:lang w:val="en-US"/>
        </w:rPr>
        <w:t xml:space="preserve">A </w:t>
      </w:r>
      <w:r w:rsidR="00CF6CD1" w:rsidRPr="00EE59A9">
        <w:rPr>
          <w:rFonts w:ascii="Times New Roman" w:hAnsi="Times New Roman" w:cs="Times New Roman"/>
          <w:lang w:val="en-US"/>
        </w:rPr>
        <w:t>required</w:t>
      </w:r>
      <w:r w:rsidRPr="00EE59A9">
        <w:rPr>
          <w:rFonts w:ascii="Times New Roman" w:hAnsi="Times New Roman" w:cs="Times New Roman"/>
          <w:lang w:val="en-US"/>
        </w:rPr>
        <w:t xml:space="preserve"> condition for the</w:t>
      </w:r>
      <w:r>
        <w:rPr>
          <w:rFonts w:ascii="Times New Roman" w:hAnsi="Times New Roman" w:cs="Times New Roman"/>
          <w:lang w:val="en-US"/>
        </w:rPr>
        <w:t xml:space="preserve"> </w:t>
      </w:r>
      <w:r w:rsidRPr="00EE59A9">
        <w:rPr>
          <w:rFonts w:ascii="Times New Roman" w:hAnsi="Times New Roman" w:cs="Times New Roman"/>
          <w:lang w:val="en-US"/>
        </w:rPr>
        <w:t xml:space="preserve">validity of such instruments </w:t>
      </w:r>
      <w:r>
        <w:rPr>
          <w:rFonts w:ascii="Times New Roman" w:hAnsi="Times New Roman" w:cs="Times New Roman"/>
          <w:lang w:val="en-US"/>
        </w:rPr>
        <w:t>is verified in our estimation</w:t>
      </w:r>
      <w:r w:rsidR="00D966C5">
        <w:rPr>
          <w:rFonts w:ascii="Times New Roman" w:hAnsi="Times New Roman" w:cs="Times New Roman"/>
          <w:lang w:val="en-US"/>
        </w:rPr>
        <w:t xml:space="preserve"> (Table 3).</w:t>
      </w:r>
      <w:r>
        <w:rPr>
          <w:rFonts w:ascii="Times New Roman" w:hAnsi="Times New Roman" w:cs="Times New Roman"/>
          <w:lang w:val="en-US"/>
        </w:rPr>
        <w:t xml:space="preserve"> indeed, t</w:t>
      </w:r>
      <w:r w:rsidR="00844AC5" w:rsidRPr="00844AC5">
        <w:rPr>
          <w:rFonts w:ascii="Times New Roman" w:hAnsi="Times New Roman" w:cs="Times New Roman"/>
          <w:lang w:val="en-US"/>
        </w:rPr>
        <w:t>he serial-correlation tests do not reject the null hypothesis of correct specification</w:t>
      </w:r>
      <w:r>
        <w:rPr>
          <w:rFonts w:ascii="Times New Roman" w:hAnsi="Times New Roman" w:cs="Times New Roman"/>
          <w:lang w:val="en-US"/>
        </w:rPr>
        <w:t xml:space="preserve">. </w:t>
      </w:r>
      <w:r w:rsidR="00844AC5" w:rsidRPr="00844AC5">
        <w:rPr>
          <w:rFonts w:ascii="Times New Roman" w:hAnsi="Times New Roman" w:cs="Times New Roman"/>
          <w:lang w:val="en-US"/>
        </w:rPr>
        <w:t xml:space="preserve"> </w:t>
      </w:r>
      <w:r>
        <w:rPr>
          <w:rFonts w:ascii="Times New Roman" w:hAnsi="Times New Roman" w:cs="Times New Roman"/>
          <w:lang w:val="en-US"/>
        </w:rPr>
        <w:t xml:space="preserve">The first is the </w:t>
      </w:r>
      <w:proofErr w:type="spellStart"/>
      <w:r>
        <w:rPr>
          <w:rFonts w:ascii="Times New Roman" w:hAnsi="Times New Roman" w:cs="Times New Roman"/>
          <w:lang w:val="en-US"/>
        </w:rPr>
        <w:t>Sargan</w:t>
      </w:r>
      <w:proofErr w:type="spellEnd"/>
      <w:r>
        <w:rPr>
          <w:rFonts w:ascii="Times New Roman" w:hAnsi="Times New Roman" w:cs="Times New Roman"/>
          <w:lang w:val="en-US"/>
        </w:rPr>
        <w:t xml:space="preserve"> </w:t>
      </w:r>
      <w:r w:rsidRPr="00EE59A9">
        <w:rPr>
          <w:rFonts w:ascii="Times New Roman" w:hAnsi="Times New Roman" w:cs="Times New Roman"/>
          <w:lang w:val="en-US"/>
        </w:rPr>
        <w:t>test of over-identifying restrictions, which tests for the overall</w:t>
      </w:r>
      <w:r>
        <w:rPr>
          <w:rFonts w:ascii="Times New Roman" w:hAnsi="Times New Roman" w:cs="Times New Roman"/>
          <w:lang w:val="en-US"/>
        </w:rPr>
        <w:t xml:space="preserve"> validity of the instruments by </w:t>
      </w:r>
      <w:r w:rsidRPr="00EE59A9">
        <w:rPr>
          <w:rFonts w:ascii="Times New Roman" w:hAnsi="Times New Roman" w:cs="Times New Roman"/>
          <w:lang w:val="en-US"/>
        </w:rPr>
        <w:t>analyzing the sample analog of the moment conditions used in the estimation process</w:t>
      </w:r>
      <w:r w:rsidRPr="00844AC5">
        <w:rPr>
          <w:rFonts w:ascii="Times New Roman" w:hAnsi="Times New Roman" w:cs="Times New Roman"/>
          <w:lang w:val="en-US"/>
        </w:rPr>
        <w:t xml:space="preserve"> </w:t>
      </w:r>
      <w:r>
        <w:rPr>
          <w:rFonts w:ascii="Times New Roman" w:hAnsi="Times New Roman" w:cs="Times New Roman"/>
          <w:lang w:val="en-US"/>
        </w:rPr>
        <w:t xml:space="preserve">(p-value of </w:t>
      </w:r>
      <w:proofErr w:type="spellStart"/>
      <w:r>
        <w:rPr>
          <w:rFonts w:ascii="Times New Roman" w:hAnsi="Times New Roman" w:cs="Times New Roman"/>
          <w:lang w:val="en-US"/>
        </w:rPr>
        <w:t>Sargan</w:t>
      </w:r>
      <w:proofErr w:type="spellEnd"/>
      <w:r>
        <w:rPr>
          <w:rFonts w:ascii="Times New Roman" w:hAnsi="Times New Roman" w:cs="Times New Roman"/>
          <w:lang w:val="en-US"/>
        </w:rPr>
        <w:t xml:space="preserve"> test is larger than 5% with 1.000 for our two measures of CR). The second </w:t>
      </w:r>
      <w:r w:rsidRPr="00EE59A9">
        <w:rPr>
          <w:rFonts w:ascii="Times New Roman" w:hAnsi="Times New Roman" w:cs="Times New Roman"/>
          <w:lang w:val="en-US"/>
        </w:rPr>
        <w:t xml:space="preserve">test </w:t>
      </w:r>
      <w:r w:rsidR="00CF6CD1">
        <w:rPr>
          <w:rFonts w:ascii="Times New Roman" w:hAnsi="Times New Roman" w:cs="Times New Roman"/>
          <w:lang w:val="en-US"/>
        </w:rPr>
        <w:t>verifies</w:t>
      </w:r>
      <w:r w:rsidRPr="00EE59A9">
        <w:rPr>
          <w:rFonts w:ascii="Times New Roman" w:hAnsi="Times New Roman" w:cs="Times New Roman"/>
          <w:lang w:val="en-US"/>
        </w:rPr>
        <w:t xml:space="preserve"> the hypothesis that the error term differenced regressi</w:t>
      </w:r>
      <w:r>
        <w:rPr>
          <w:rFonts w:ascii="Times New Roman" w:hAnsi="Times New Roman" w:cs="Times New Roman"/>
          <w:lang w:val="en-US"/>
        </w:rPr>
        <w:t xml:space="preserve">on is not second-order serially </w:t>
      </w:r>
      <w:r w:rsidRPr="00EE59A9">
        <w:rPr>
          <w:rFonts w:ascii="Times New Roman" w:hAnsi="Times New Roman" w:cs="Times New Roman"/>
          <w:lang w:val="en-US"/>
        </w:rPr>
        <w:t>correlated, which implies that the error term in the level regression is not serially correlated.</w:t>
      </w:r>
      <w:r w:rsidRPr="00844AC5">
        <w:rPr>
          <w:rFonts w:ascii="Times New Roman" w:hAnsi="Times New Roman" w:cs="Times New Roman"/>
          <w:lang w:val="en-US"/>
        </w:rPr>
        <w:t xml:space="preserve"> </w:t>
      </w:r>
      <w:r w:rsidR="00844AC5" w:rsidRPr="00844AC5">
        <w:rPr>
          <w:rFonts w:ascii="Times New Roman" w:hAnsi="Times New Roman" w:cs="Times New Roman"/>
          <w:lang w:val="en-US"/>
        </w:rPr>
        <w:t xml:space="preserve">(P-value of AR (2) test of Arellano and Bond </w:t>
      </w:r>
      <w:r w:rsidR="008F1D9D">
        <w:rPr>
          <w:rFonts w:ascii="Times New Roman" w:hAnsi="Times New Roman" w:cs="Times New Roman"/>
          <w:lang w:val="en-US"/>
        </w:rPr>
        <w:t>is</w:t>
      </w:r>
      <w:r w:rsidR="00844AC5" w:rsidRPr="00844AC5">
        <w:rPr>
          <w:rFonts w:ascii="Times New Roman" w:hAnsi="Times New Roman" w:cs="Times New Roman"/>
          <w:lang w:val="en-US"/>
        </w:rPr>
        <w:t xml:space="preserve"> larger than 5% for Z-SCORE</w:t>
      </w:r>
      <w:r w:rsidR="008F1D9D">
        <w:rPr>
          <w:rFonts w:ascii="Times New Roman" w:hAnsi="Times New Roman" w:cs="Times New Roman"/>
          <w:lang w:val="en-US"/>
        </w:rPr>
        <w:t xml:space="preserve"> </w:t>
      </w:r>
      <w:r>
        <w:rPr>
          <w:rFonts w:ascii="Times New Roman" w:hAnsi="Times New Roman" w:cs="Times New Roman"/>
          <w:lang w:val="en-US"/>
        </w:rPr>
        <w:t>(</w:t>
      </w:r>
      <w:r w:rsidR="00844AC5" w:rsidRPr="00844AC5">
        <w:rPr>
          <w:rFonts w:ascii="Times New Roman" w:hAnsi="Times New Roman" w:cs="Times New Roman"/>
          <w:lang w:val="en-US"/>
        </w:rPr>
        <w:t>0.3410</w:t>
      </w:r>
      <w:r>
        <w:rPr>
          <w:rFonts w:ascii="Times New Roman" w:hAnsi="Times New Roman" w:cs="Times New Roman"/>
          <w:lang w:val="en-US"/>
        </w:rPr>
        <w:t>)</w:t>
      </w:r>
      <w:r w:rsidR="00844AC5" w:rsidRPr="00844AC5">
        <w:rPr>
          <w:rFonts w:ascii="Times New Roman" w:hAnsi="Times New Roman" w:cs="Times New Roman"/>
          <w:lang w:val="en-US"/>
        </w:rPr>
        <w:t xml:space="preserve"> and NPL </w:t>
      </w:r>
      <w:r>
        <w:rPr>
          <w:rFonts w:ascii="Times New Roman" w:hAnsi="Times New Roman" w:cs="Times New Roman"/>
          <w:lang w:val="en-US"/>
        </w:rPr>
        <w:t>(</w:t>
      </w:r>
      <w:r w:rsidR="00844AC5" w:rsidRPr="00844AC5">
        <w:rPr>
          <w:rFonts w:ascii="Times New Roman" w:hAnsi="Times New Roman" w:cs="Times New Roman"/>
          <w:lang w:val="en-US"/>
        </w:rPr>
        <w:t>0.1335)</w:t>
      </w:r>
      <w:r>
        <w:rPr>
          <w:rFonts w:ascii="Times New Roman" w:hAnsi="Times New Roman" w:cs="Times New Roman"/>
          <w:lang w:val="en-US"/>
        </w:rPr>
        <w:t>)</w:t>
      </w:r>
      <w:r w:rsidR="00844AC5" w:rsidRPr="00844AC5">
        <w:rPr>
          <w:rFonts w:ascii="Times New Roman" w:hAnsi="Times New Roman" w:cs="Times New Roman"/>
          <w:lang w:val="en-US"/>
        </w:rPr>
        <w:t>, lending support to our estimation results.</w:t>
      </w:r>
    </w:p>
    <w:p w:rsidR="00213744" w:rsidRPr="006F4611" w:rsidRDefault="00213744" w:rsidP="00AC3B76">
      <w:pPr>
        <w:autoSpaceDE w:val="0"/>
        <w:autoSpaceDN w:val="0"/>
        <w:adjustRightInd w:val="0"/>
        <w:spacing w:before="240"/>
        <w:rPr>
          <w:rFonts w:ascii="Times New Roman" w:hAnsi="Times New Roman" w:cs="Times New Roman"/>
          <w:color w:val="000066"/>
          <w:lang w:val="en-US"/>
        </w:rPr>
      </w:pPr>
      <w:r w:rsidRPr="006416E5">
        <w:rPr>
          <w:b/>
          <w:lang w:val="en-US"/>
        </w:rPr>
        <w:t xml:space="preserve">Table 3: Explanatory factors of Tunisian banks’ </w:t>
      </w:r>
      <w:r>
        <w:rPr>
          <w:b/>
          <w:lang w:val="en-US"/>
        </w:rPr>
        <w:t>credit risk</w:t>
      </w:r>
    </w:p>
    <w:tbl>
      <w:tblPr>
        <w:tblStyle w:val="Grilledutableau"/>
        <w:tblW w:w="0" w:type="auto"/>
        <w:jc w:val="center"/>
        <w:tblLook w:val="04A0"/>
      </w:tblPr>
      <w:tblGrid>
        <w:gridCol w:w="2802"/>
        <w:gridCol w:w="1985"/>
        <w:gridCol w:w="1985"/>
      </w:tblGrid>
      <w:tr w:rsidR="00213744" w:rsidRPr="00C07044" w:rsidTr="00C229E4">
        <w:trPr>
          <w:jc w:val="center"/>
        </w:trPr>
        <w:tc>
          <w:tcPr>
            <w:tcW w:w="2802" w:type="dxa"/>
            <w:tcBorders>
              <w:top w:val="double" w:sz="4" w:space="0" w:color="auto"/>
              <w:left w:val="double" w:sz="4" w:space="0" w:color="auto"/>
              <w:bottom w:val="single" w:sz="12" w:space="0" w:color="auto"/>
              <w:right w:val="double" w:sz="4" w:space="0" w:color="auto"/>
            </w:tcBorders>
            <w:shd w:val="clear" w:color="auto" w:fill="auto"/>
            <w:vAlign w:val="center"/>
          </w:tcPr>
          <w:p w:rsidR="00213744" w:rsidRPr="00034A70" w:rsidRDefault="00213744" w:rsidP="00AC3B76">
            <w:pPr>
              <w:rPr>
                <w:b/>
                <w:lang w:val="en-US"/>
              </w:rPr>
            </w:pPr>
          </w:p>
        </w:tc>
        <w:tc>
          <w:tcPr>
            <w:tcW w:w="1985" w:type="dxa"/>
            <w:tcBorders>
              <w:top w:val="double" w:sz="4" w:space="0" w:color="auto"/>
              <w:left w:val="double" w:sz="4" w:space="0" w:color="auto"/>
              <w:bottom w:val="single" w:sz="12" w:space="0" w:color="auto"/>
              <w:right w:val="double" w:sz="4" w:space="0" w:color="auto"/>
            </w:tcBorders>
            <w:shd w:val="clear" w:color="auto" w:fill="auto"/>
            <w:vAlign w:val="center"/>
          </w:tcPr>
          <w:p w:rsidR="00213744" w:rsidRPr="00C07044" w:rsidRDefault="000F5EB1" w:rsidP="00AC3B76">
            <w:pPr>
              <w:rPr>
                <w:b/>
                <w:lang w:val="en-US"/>
              </w:rPr>
            </w:pPr>
            <w:r>
              <w:rPr>
                <w:b/>
                <w:lang w:val="en-US"/>
              </w:rPr>
              <w:t>Z-SCORE</w:t>
            </w:r>
          </w:p>
        </w:tc>
        <w:tc>
          <w:tcPr>
            <w:tcW w:w="1985" w:type="dxa"/>
            <w:tcBorders>
              <w:top w:val="double" w:sz="4" w:space="0" w:color="auto"/>
              <w:left w:val="double" w:sz="4" w:space="0" w:color="auto"/>
              <w:bottom w:val="single" w:sz="12" w:space="0" w:color="auto"/>
              <w:right w:val="double" w:sz="4" w:space="0" w:color="auto"/>
            </w:tcBorders>
            <w:shd w:val="clear" w:color="auto" w:fill="auto"/>
          </w:tcPr>
          <w:p w:rsidR="00213744" w:rsidRPr="00C07044" w:rsidRDefault="000F5EB1" w:rsidP="00AC3B76">
            <w:pPr>
              <w:rPr>
                <w:b/>
                <w:lang w:val="en-US"/>
              </w:rPr>
            </w:pPr>
            <w:r>
              <w:rPr>
                <w:b/>
                <w:lang w:val="en-US"/>
              </w:rPr>
              <w:t>NPL</w:t>
            </w:r>
          </w:p>
        </w:tc>
      </w:tr>
      <w:tr w:rsidR="00213744" w:rsidRPr="00C07044" w:rsidTr="00C229E4">
        <w:trPr>
          <w:jc w:val="center"/>
        </w:trPr>
        <w:tc>
          <w:tcPr>
            <w:tcW w:w="2802" w:type="dxa"/>
            <w:tcBorders>
              <w:top w:val="single" w:sz="12" w:space="0" w:color="auto"/>
              <w:left w:val="double" w:sz="4" w:space="0" w:color="auto"/>
              <w:bottom w:val="single" w:sz="12" w:space="0" w:color="auto"/>
              <w:right w:val="double" w:sz="4" w:space="0" w:color="auto"/>
            </w:tcBorders>
            <w:shd w:val="clear" w:color="auto" w:fill="auto"/>
            <w:vAlign w:val="center"/>
          </w:tcPr>
          <w:p w:rsidR="00213744" w:rsidRPr="00C07044" w:rsidRDefault="000F5EB1" w:rsidP="00AC3B76">
            <w:pPr>
              <w:rPr>
                <w:b/>
                <w:lang w:val="en-US"/>
              </w:rPr>
            </w:pPr>
            <w:r>
              <w:rPr>
                <w:b/>
              </w:rPr>
              <w:t>CR</w:t>
            </w:r>
            <w:r w:rsidR="00213744" w:rsidRPr="00C07044">
              <w:rPr>
                <w:b/>
                <w:lang w:val="en-US"/>
              </w:rPr>
              <w:t xml:space="preserve"> </w:t>
            </w:r>
            <w:r w:rsidR="00213744" w:rsidRPr="00C07044">
              <w:rPr>
                <w:b/>
                <w:vertAlign w:val="subscript"/>
                <w:lang w:val="en-US"/>
              </w:rPr>
              <w:t>t-1</w:t>
            </w:r>
          </w:p>
        </w:tc>
        <w:tc>
          <w:tcPr>
            <w:tcW w:w="1985" w:type="dxa"/>
            <w:tcBorders>
              <w:top w:val="single" w:sz="12" w:space="0" w:color="auto"/>
              <w:left w:val="double" w:sz="4" w:space="0" w:color="auto"/>
              <w:bottom w:val="single" w:sz="12" w:space="0" w:color="auto"/>
              <w:right w:val="double" w:sz="4" w:space="0" w:color="auto"/>
            </w:tcBorders>
            <w:shd w:val="clear" w:color="auto" w:fill="auto"/>
            <w:vAlign w:val="center"/>
          </w:tcPr>
          <w:p w:rsidR="00213744" w:rsidRDefault="000F5EB1" w:rsidP="00AC3B76">
            <w:pPr>
              <w:rPr>
                <w:lang w:val="en-US"/>
              </w:rPr>
            </w:pPr>
            <w:r>
              <w:rPr>
                <w:lang w:val="en-US"/>
              </w:rPr>
              <w:t>0.1208</w:t>
            </w:r>
            <w:r w:rsidR="00E012C8">
              <w:rPr>
                <w:lang w:val="en-US"/>
              </w:rPr>
              <w:t>**</w:t>
            </w:r>
          </w:p>
          <w:p w:rsidR="000F5EB1" w:rsidRPr="00C07044" w:rsidRDefault="000F5EB1" w:rsidP="00AC3B76">
            <w:pPr>
              <w:rPr>
                <w:lang w:val="en-US"/>
              </w:rPr>
            </w:pPr>
            <w:r>
              <w:rPr>
                <w:lang w:val="en-US"/>
              </w:rPr>
              <w:t>(</w:t>
            </w:r>
            <w:r w:rsidR="00E012C8">
              <w:rPr>
                <w:lang w:val="en-US"/>
              </w:rPr>
              <w:t>2.032</w:t>
            </w:r>
            <w:r>
              <w:rPr>
                <w:lang w:val="en-US"/>
              </w:rPr>
              <w:t>)</w:t>
            </w:r>
          </w:p>
        </w:tc>
        <w:tc>
          <w:tcPr>
            <w:tcW w:w="1985" w:type="dxa"/>
            <w:tcBorders>
              <w:top w:val="single" w:sz="12" w:space="0" w:color="auto"/>
              <w:left w:val="double" w:sz="4" w:space="0" w:color="auto"/>
              <w:bottom w:val="single" w:sz="12" w:space="0" w:color="auto"/>
              <w:right w:val="double" w:sz="4" w:space="0" w:color="auto"/>
            </w:tcBorders>
            <w:shd w:val="clear" w:color="auto" w:fill="auto"/>
          </w:tcPr>
          <w:p w:rsidR="00213744" w:rsidRDefault="000F5EB1" w:rsidP="00AC3B76">
            <w:pPr>
              <w:rPr>
                <w:lang w:val="en-US"/>
              </w:rPr>
            </w:pPr>
            <w:r>
              <w:rPr>
                <w:lang w:val="en-US"/>
              </w:rPr>
              <w:t>-2.1836</w:t>
            </w:r>
            <w:r w:rsidR="00E012C8">
              <w:rPr>
                <w:lang w:val="en-US"/>
              </w:rPr>
              <w:t>**</w:t>
            </w:r>
          </w:p>
          <w:p w:rsidR="000F5EB1" w:rsidRPr="00C07044" w:rsidRDefault="000F5EB1" w:rsidP="00AC3B76">
            <w:pPr>
              <w:rPr>
                <w:lang w:val="en-US"/>
              </w:rPr>
            </w:pPr>
            <w:r>
              <w:rPr>
                <w:lang w:val="en-US"/>
              </w:rPr>
              <w:t>(</w:t>
            </w:r>
            <w:r w:rsidR="00E012C8">
              <w:rPr>
                <w:lang w:val="en-US"/>
              </w:rPr>
              <w:t>2</w:t>
            </w:r>
            <w:r>
              <w:rPr>
                <w:lang w:val="en-US"/>
              </w:rPr>
              <w:t>.352)</w:t>
            </w:r>
          </w:p>
        </w:tc>
      </w:tr>
      <w:tr w:rsidR="00213744" w:rsidTr="00C229E4">
        <w:trPr>
          <w:jc w:val="center"/>
        </w:trPr>
        <w:tc>
          <w:tcPr>
            <w:tcW w:w="2802" w:type="dxa"/>
            <w:tcBorders>
              <w:top w:val="single" w:sz="12" w:space="0" w:color="auto"/>
              <w:left w:val="double" w:sz="4" w:space="0" w:color="auto"/>
              <w:bottom w:val="single" w:sz="12" w:space="0" w:color="auto"/>
              <w:right w:val="double" w:sz="4" w:space="0" w:color="auto"/>
            </w:tcBorders>
            <w:shd w:val="clear" w:color="auto" w:fill="auto"/>
            <w:vAlign w:val="center"/>
          </w:tcPr>
          <w:p w:rsidR="00213744" w:rsidRPr="00C07044" w:rsidRDefault="00397615" w:rsidP="00AC3B76">
            <w:pPr>
              <w:rPr>
                <w:b/>
                <w:lang w:val="en-US"/>
              </w:rPr>
            </w:pPr>
            <w:r>
              <w:rPr>
                <w:b/>
                <w:lang w:val="en-US"/>
              </w:rPr>
              <w:t xml:space="preserve"> </w:t>
            </w:r>
            <w:r w:rsidR="00213744" w:rsidRPr="00C07044">
              <w:rPr>
                <w:b/>
                <w:lang w:val="en-US"/>
              </w:rPr>
              <w:t>Constant</w:t>
            </w:r>
          </w:p>
        </w:tc>
        <w:tc>
          <w:tcPr>
            <w:tcW w:w="1985" w:type="dxa"/>
            <w:tcBorders>
              <w:top w:val="single" w:sz="12" w:space="0" w:color="auto"/>
              <w:left w:val="double" w:sz="4" w:space="0" w:color="auto"/>
              <w:bottom w:val="single" w:sz="12" w:space="0" w:color="auto"/>
              <w:right w:val="double" w:sz="4" w:space="0" w:color="auto"/>
            </w:tcBorders>
            <w:shd w:val="clear" w:color="auto" w:fill="auto"/>
            <w:vAlign w:val="center"/>
          </w:tcPr>
          <w:p w:rsidR="00213744" w:rsidRDefault="00E012C8" w:rsidP="00AC3B76">
            <w:pPr>
              <w:rPr>
                <w:lang w:val="en-US"/>
              </w:rPr>
            </w:pPr>
            <w:r>
              <w:rPr>
                <w:lang w:val="en-US"/>
              </w:rPr>
              <w:t>5.3115</w:t>
            </w:r>
          </w:p>
          <w:p w:rsidR="000F5EB1" w:rsidRPr="00C07044" w:rsidRDefault="000F5EB1" w:rsidP="00AC3B76">
            <w:pPr>
              <w:rPr>
                <w:lang w:val="en-US"/>
              </w:rPr>
            </w:pPr>
            <w:r>
              <w:rPr>
                <w:lang w:val="en-US"/>
              </w:rPr>
              <w:t>(0.652)</w:t>
            </w:r>
          </w:p>
        </w:tc>
        <w:tc>
          <w:tcPr>
            <w:tcW w:w="1985" w:type="dxa"/>
            <w:tcBorders>
              <w:top w:val="single" w:sz="12" w:space="0" w:color="auto"/>
              <w:left w:val="double" w:sz="4" w:space="0" w:color="auto"/>
              <w:bottom w:val="single" w:sz="12" w:space="0" w:color="auto"/>
              <w:right w:val="double" w:sz="4" w:space="0" w:color="auto"/>
            </w:tcBorders>
            <w:shd w:val="clear" w:color="auto" w:fill="auto"/>
          </w:tcPr>
          <w:p w:rsidR="00213744" w:rsidRDefault="000F5EB1" w:rsidP="00AC3B76">
            <w:pPr>
              <w:rPr>
                <w:lang w:val="en-US"/>
              </w:rPr>
            </w:pPr>
            <w:r>
              <w:rPr>
                <w:lang w:val="en-US"/>
              </w:rPr>
              <w:t>-</w:t>
            </w:r>
            <w:r w:rsidR="00E012C8">
              <w:rPr>
                <w:lang w:val="en-US"/>
              </w:rPr>
              <w:t>6.483</w:t>
            </w:r>
          </w:p>
          <w:p w:rsidR="000F5EB1" w:rsidRPr="00C07044" w:rsidRDefault="000F5EB1" w:rsidP="00AC3B76">
            <w:pPr>
              <w:rPr>
                <w:lang w:val="en-US"/>
              </w:rPr>
            </w:pPr>
            <w:r>
              <w:rPr>
                <w:lang w:val="en-US"/>
              </w:rPr>
              <w:t>(0.650)</w:t>
            </w:r>
          </w:p>
        </w:tc>
      </w:tr>
      <w:tr w:rsidR="00213744" w:rsidRPr="00213744" w:rsidTr="00C229E4">
        <w:trPr>
          <w:jc w:val="center"/>
        </w:trPr>
        <w:tc>
          <w:tcPr>
            <w:tcW w:w="6772" w:type="dxa"/>
            <w:gridSpan w:val="3"/>
            <w:tcBorders>
              <w:top w:val="single" w:sz="12" w:space="0" w:color="auto"/>
              <w:left w:val="double" w:sz="4" w:space="0" w:color="auto"/>
              <w:bottom w:val="single" w:sz="12" w:space="0" w:color="auto"/>
              <w:right w:val="double" w:sz="4" w:space="0" w:color="auto"/>
            </w:tcBorders>
            <w:shd w:val="clear" w:color="auto" w:fill="auto"/>
            <w:vAlign w:val="center"/>
          </w:tcPr>
          <w:p w:rsidR="00213744" w:rsidRPr="00213744" w:rsidRDefault="00213744" w:rsidP="00AC3B76">
            <w:pPr>
              <w:rPr>
                <w:b/>
                <w:lang w:val="en-US"/>
              </w:rPr>
            </w:pPr>
            <w:r w:rsidRPr="00213744">
              <w:rPr>
                <w:b/>
                <w:lang w:val="en-US"/>
              </w:rPr>
              <w:t>Bank Specific Factors</w:t>
            </w:r>
          </w:p>
        </w:tc>
      </w:tr>
      <w:tr w:rsidR="00213744" w:rsidTr="00C229E4">
        <w:trPr>
          <w:jc w:val="center"/>
        </w:trPr>
        <w:tc>
          <w:tcPr>
            <w:tcW w:w="2802" w:type="dxa"/>
            <w:tcBorders>
              <w:top w:val="single" w:sz="12" w:space="0" w:color="auto"/>
              <w:left w:val="double" w:sz="4" w:space="0" w:color="auto"/>
              <w:right w:val="double" w:sz="4" w:space="0" w:color="auto"/>
            </w:tcBorders>
            <w:shd w:val="clear" w:color="auto" w:fill="auto"/>
            <w:vAlign w:val="center"/>
          </w:tcPr>
          <w:p w:rsidR="00213744" w:rsidRPr="00034A70" w:rsidRDefault="00213744" w:rsidP="00AC3B76">
            <w:pPr>
              <w:rPr>
                <w:b/>
              </w:rPr>
            </w:pPr>
            <w:r w:rsidRPr="00034A70">
              <w:rPr>
                <w:b/>
              </w:rPr>
              <w:t>Size</w:t>
            </w:r>
          </w:p>
        </w:tc>
        <w:tc>
          <w:tcPr>
            <w:tcW w:w="1985" w:type="dxa"/>
            <w:tcBorders>
              <w:top w:val="single" w:sz="12" w:space="0" w:color="auto"/>
              <w:left w:val="double" w:sz="4" w:space="0" w:color="auto"/>
              <w:right w:val="double" w:sz="4" w:space="0" w:color="auto"/>
            </w:tcBorders>
            <w:shd w:val="clear" w:color="auto" w:fill="auto"/>
            <w:vAlign w:val="center"/>
          </w:tcPr>
          <w:p w:rsidR="00213744" w:rsidRDefault="00E012C8" w:rsidP="00AC3B76">
            <w:r>
              <w:t>-4.1488</w:t>
            </w:r>
          </w:p>
          <w:p w:rsidR="000F5EB1" w:rsidRDefault="000F5EB1" w:rsidP="00AC3B76">
            <w:r>
              <w:t>(0.581)</w:t>
            </w:r>
          </w:p>
        </w:tc>
        <w:tc>
          <w:tcPr>
            <w:tcW w:w="1985" w:type="dxa"/>
            <w:tcBorders>
              <w:top w:val="single" w:sz="12" w:space="0" w:color="auto"/>
              <w:left w:val="double" w:sz="4" w:space="0" w:color="auto"/>
              <w:right w:val="double" w:sz="4" w:space="0" w:color="auto"/>
            </w:tcBorders>
            <w:shd w:val="clear" w:color="auto" w:fill="auto"/>
          </w:tcPr>
          <w:p w:rsidR="00213744" w:rsidRDefault="00E012C8" w:rsidP="00AC3B76">
            <w:r>
              <w:t>-</w:t>
            </w:r>
            <w:r w:rsidR="000F5EB1">
              <w:t>3.426</w:t>
            </w:r>
            <w:r>
              <w:t>1</w:t>
            </w:r>
          </w:p>
          <w:p w:rsidR="000F5EB1" w:rsidRPr="005D75F5" w:rsidRDefault="000F5EB1" w:rsidP="00AC3B76">
            <w:r>
              <w:t>(0.346)</w:t>
            </w:r>
          </w:p>
        </w:tc>
      </w:tr>
      <w:tr w:rsidR="00213744" w:rsidTr="00C229E4">
        <w:trPr>
          <w:jc w:val="center"/>
        </w:trPr>
        <w:tc>
          <w:tcPr>
            <w:tcW w:w="2802" w:type="dxa"/>
            <w:tcBorders>
              <w:left w:val="double" w:sz="4" w:space="0" w:color="auto"/>
              <w:right w:val="double" w:sz="4" w:space="0" w:color="auto"/>
            </w:tcBorders>
            <w:shd w:val="clear" w:color="auto" w:fill="auto"/>
            <w:vAlign w:val="center"/>
          </w:tcPr>
          <w:p w:rsidR="00213744" w:rsidRPr="00034A70" w:rsidRDefault="00213744" w:rsidP="00AC3B76">
            <w:pPr>
              <w:rPr>
                <w:b/>
              </w:rPr>
            </w:pPr>
            <w:r w:rsidRPr="00034A70">
              <w:rPr>
                <w:b/>
              </w:rPr>
              <w:t>CAPAD</w:t>
            </w:r>
          </w:p>
        </w:tc>
        <w:tc>
          <w:tcPr>
            <w:tcW w:w="1985" w:type="dxa"/>
            <w:tcBorders>
              <w:left w:val="double" w:sz="4" w:space="0" w:color="auto"/>
              <w:right w:val="double" w:sz="4" w:space="0" w:color="auto"/>
            </w:tcBorders>
            <w:shd w:val="clear" w:color="auto" w:fill="auto"/>
            <w:vAlign w:val="center"/>
          </w:tcPr>
          <w:p w:rsidR="00213744" w:rsidRDefault="000F5EB1" w:rsidP="00AC3B76">
            <w:r>
              <w:t>1.</w:t>
            </w:r>
            <w:r w:rsidR="00E012C8">
              <w:t xml:space="preserve"> </w:t>
            </w:r>
            <w:r>
              <w:t>2147</w:t>
            </w:r>
            <w:r w:rsidR="00E012C8">
              <w:t>*</w:t>
            </w:r>
          </w:p>
          <w:p w:rsidR="000F5EB1" w:rsidRDefault="000F5EB1" w:rsidP="00AC3B76">
            <w:r>
              <w:t>(</w:t>
            </w:r>
            <w:r w:rsidR="00E012C8">
              <w:t>1</w:t>
            </w:r>
            <w:r>
              <w:t>.769)</w:t>
            </w:r>
          </w:p>
        </w:tc>
        <w:tc>
          <w:tcPr>
            <w:tcW w:w="1985" w:type="dxa"/>
            <w:tcBorders>
              <w:left w:val="double" w:sz="4" w:space="0" w:color="auto"/>
              <w:right w:val="double" w:sz="4" w:space="0" w:color="auto"/>
            </w:tcBorders>
            <w:shd w:val="clear" w:color="auto" w:fill="auto"/>
          </w:tcPr>
          <w:p w:rsidR="00213744" w:rsidRDefault="00E012C8" w:rsidP="00AC3B76">
            <w:r>
              <w:t>-</w:t>
            </w:r>
            <w:r w:rsidR="00A744AC">
              <w:t>2.9181</w:t>
            </w:r>
            <w:r>
              <w:t>*</w:t>
            </w:r>
          </w:p>
          <w:p w:rsidR="00A744AC" w:rsidRDefault="00A744AC" w:rsidP="00AC3B76">
            <w:r>
              <w:t>(</w:t>
            </w:r>
            <w:r w:rsidR="00E012C8">
              <w:t>1</w:t>
            </w:r>
            <w:r>
              <w:t>.</w:t>
            </w:r>
            <w:r w:rsidR="00E012C8">
              <w:t>61</w:t>
            </w:r>
            <w:r>
              <w:t>1)</w:t>
            </w:r>
          </w:p>
        </w:tc>
      </w:tr>
      <w:tr w:rsidR="00213744" w:rsidTr="00C229E4">
        <w:trPr>
          <w:jc w:val="center"/>
        </w:trPr>
        <w:tc>
          <w:tcPr>
            <w:tcW w:w="2802" w:type="dxa"/>
            <w:tcBorders>
              <w:left w:val="double" w:sz="4" w:space="0" w:color="auto"/>
              <w:right w:val="double" w:sz="4" w:space="0" w:color="auto"/>
            </w:tcBorders>
            <w:shd w:val="clear" w:color="auto" w:fill="auto"/>
            <w:vAlign w:val="center"/>
          </w:tcPr>
          <w:p w:rsidR="00213744" w:rsidRPr="00034A70" w:rsidRDefault="00213744" w:rsidP="00AC3B76">
            <w:pPr>
              <w:rPr>
                <w:b/>
              </w:rPr>
            </w:pPr>
            <w:r w:rsidRPr="00034A70">
              <w:rPr>
                <w:b/>
              </w:rPr>
              <w:t>CIR</w:t>
            </w:r>
          </w:p>
        </w:tc>
        <w:tc>
          <w:tcPr>
            <w:tcW w:w="1985" w:type="dxa"/>
            <w:tcBorders>
              <w:left w:val="double" w:sz="4" w:space="0" w:color="auto"/>
              <w:right w:val="double" w:sz="4" w:space="0" w:color="auto"/>
            </w:tcBorders>
            <w:shd w:val="clear" w:color="auto" w:fill="auto"/>
            <w:vAlign w:val="center"/>
          </w:tcPr>
          <w:p w:rsidR="00213744" w:rsidRDefault="00E875F3" w:rsidP="00AC3B76">
            <w:r>
              <w:t>-</w:t>
            </w:r>
            <w:r w:rsidR="000F5EB1">
              <w:t>1.621919</w:t>
            </w:r>
            <w:r w:rsidR="00E012C8">
              <w:t>***</w:t>
            </w:r>
          </w:p>
          <w:p w:rsidR="000F5EB1" w:rsidRDefault="000F5EB1" w:rsidP="00AC3B76">
            <w:r>
              <w:t>(</w:t>
            </w:r>
            <w:r w:rsidR="00E012C8">
              <w:t>3</w:t>
            </w:r>
            <w:r>
              <w:t>.087)</w:t>
            </w:r>
          </w:p>
        </w:tc>
        <w:tc>
          <w:tcPr>
            <w:tcW w:w="1985" w:type="dxa"/>
            <w:tcBorders>
              <w:left w:val="double" w:sz="4" w:space="0" w:color="auto"/>
              <w:right w:val="double" w:sz="4" w:space="0" w:color="auto"/>
            </w:tcBorders>
            <w:shd w:val="clear" w:color="auto" w:fill="auto"/>
          </w:tcPr>
          <w:p w:rsidR="00213744" w:rsidRDefault="00A744AC" w:rsidP="00AC3B76">
            <w:r>
              <w:t>0.9338</w:t>
            </w:r>
            <w:r w:rsidR="00E012C8">
              <w:t>**</w:t>
            </w:r>
          </w:p>
          <w:p w:rsidR="00A744AC" w:rsidRPr="005D75F5" w:rsidRDefault="00A744AC" w:rsidP="00AC3B76">
            <w:r>
              <w:t>(</w:t>
            </w:r>
            <w:r w:rsidR="00F85866">
              <w:t>1</w:t>
            </w:r>
            <w:r>
              <w:t>.296)</w:t>
            </w:r>
          </w:p>
        </w:tc>
      </w:tr>
      <w:tr w:rsidR="00213744" w:rsidTr="00C229E4">
        <w:trPr>
          <w:jc w:val="center"/>
        </w:trPr>
        <w:tc>
          <w:tcPr>
            <w:tcW w:w="2802" w:type="dxa"/>
            <w:tcBorders>
              <w:left w:val="double" w:sz="4" w:space="0" w:color="auto"/>
              <w:bottom w:val="single" w:sz="12" w:space="0" w:color="auto"/>
              <w:right w:val="double" w:sz="4" w:space="0" w:color="auto"/>
            </w:tcBorders>
            <w:shd w:val="clear" w:color="auto" w:fill="auto"/>
            <w:vAlign w:val="center"/>
          </w:tcPr>
          <w:p w:rsidR="00213744" w:rsidRPr="00034A70" w:rsidRDefault="00213744" w:rsidP="00AC3B76">
            <w:pPr>
              <w:rPr>
                <w:b/>
              </w:rPr>
            </w:pPr>
            <w:r w:rsidRPr="00034A70">
              <w:rPr>
                <w:b/>
              </w:rPr>
              <w:t>OWN</w:t>
            </w:r>
          </w:p>
        </w:tc>
        <w:tc>
          <w:tcPr>
            <w:tcW w:w="1985" w:type="dxa"/>
            <w:tcBorders>
              <w:left w:val="double" w:sz="4" w:space="0" w:color="auto"/>
              <w:bottom w:val="single" w:sz="12" w:space="0" w:color="auto"/>
              <w:right w:val="double" w:sz="4" w:space="0" w:color="auto"/>
            </w:tcBorders>
            <w:shd w:val="clear" w:color="auto" w:fill="auto"/>
            <w:vAlign w:val="center"/>
          </w:tcPr>
          <w:p w:rsidR="00213744" w:rsidRDefault="000F5EB1" w:rsidP="00AC3B76">
            <w:r>
              <w:t>-0.6367</w:t>
            </w:r>
          </w:p>
          <w:p w:rsidR="000F5EB1" w:rsidRDefault="000F5EB1" w:rsidP="00AC3B76">
            <w:r>
              <w:t>(0.310)</w:t>
            </w:r>
          </w:p>
        </w:tc>
        <w:tc>
          <w:tcPr>
            <w:tcW w:w="1985" w:type="dxa"/>
            <w:tcBorders>
              <w:left w:val="double" w:sz="4" w:space="0" w:color="auto"/>
              <w:bottom w:val="single" w:sz="12" w:space="0" w:color="auto"/>
              <w:right w:val="double" w:sz="4" w:space="0" w:color="auto"/>
            </w:tcBorders>
            <w:shd w:val="clear" w:color="auto" w:fill="auto"/>
          </w:tcPr>
          <w:p w:rsidR="00213744" w:rsidRDefault="00A744AC" w:rsidP="00AC3B76">
            <w:r>
              <w:t>-0.1529</w:t>
            </w:r>
          </w:p>
          <w:p w:rsidR="00A744AC" w:rsidRPr="005D75F5" w:rsidRDefault="00A744AC" w:rsidP="00AC3B76">
            <w:r>
              <w:t>(0.980)</w:t>
            </w:r>
          </w:p>
        </w:tc>
      </w:tr>
      <w:tr w:rsidR="00213744" w:rsidTr="00C229E4">
        <w:trPr>
          <w:jc w:val="center"/>
        </w:trPr>
        <w:tc>
          <w:tcPr>
            <w:tcW w:w="6772" w:type="dxa"/>
            <w:gridSpan w:val="3"/>
            <w:tcBorders>
              <w:top w:val="single" w:sz="12" w:space="0" w:color="auto"/>
              <w:left w:val="double" w:sz="4" w:space="0" w:color="auto"/>
              <w:right w:val="double" w:sz="4" w:space="0" w:color="auto"/>
            </w:tcBorders>
            <w:shd w:val="clear" w:color="auto" w:fill="auto"/>
            <w:vAlign w:val="center"/>
          </w:tcPr>
          <w:p w:rsidR="00213744" w:rsidRPr="001B758A" w:rsidRDefault="00213744" w:rsidP="00AC3B76">
            <w:r w:rsidRPr="00213744">
              <w:rPr>
                <w:b/>
                <w:lang w:val="en-GB"/>
              </w:rPr>
              <w:t>Bank Industry Factors</w:t>
            </w:r>
          </w:p>
        </w:tc>
      </w:tr>
      <w:tr w:rsidR="00213744" w:rsidRPr="00E012C8" w:rsidTr="00C229E4">
        <w:trPr>
          <w:jc w:val="center"/>
        </w:trPr>
        <w:tc>
          <w:tcPr>
            <w:tcW w:w="2802" w:type="dxa"/>
            <w:tcBorders>
              <w:top w:val="single" w:sz="12" w:space="0" w:color="auto"/>
              <w:left w:val="double" w:sz="4" w:space="0" w:color="auto"/>
              <w:right w:val="double" w:sz="4" w:space="0" w:color="auto"/>
            </w:tcBorders>
            <w:shd w:val="clear" w:color="auto" w:fill="auto"/>
            <w:vAlign w:val="center"/>
          </w:tcPr>
          <w:p w:rsidR="00213744" w:rsidRPr="00034A70" w:rsidRDefault="00213744" w:rsidP="00AC3B76">
            <w:pPr>
              <w:rPr>
                <w:b/>
              </w:rPr>
            </w:pPr>
            <w:r w:rsidRPr="00034A70">
              <w:rPr>
                <w:b/>
              </w:rPr>
              <w:t>CONC</w:t>
            </w:r>
          </w:p>
        </w:tc>
        <w:tc>
          <w:tcPr>
            <w:tcW w:w="1985" w:type="dxa"/>
            <w:tcBorders>
              <w:top w:val="single" w:sz="12" w:space="0" w:color="auto"/>
              <w:left w:val="double" w:sz="4" w:space="0" w:color="auto"/>
              <w:right w:val="double" w:sz="4" w:space="0" w:color="auto"/>
            </w:tcBorders>
            <w:shd w:val="clear" w:color="auto" w:fill="auto"/>
            <w:vAlign w:val="center"/>
          </w:tcPr>
          <w:p w:rsidR="00213744" w:rsidRDefault="000F5EB1" w:rsidP="00AC3B76">
            <w:r>
              <w:t>1.4214</w:t>
            </w:r>
            <w:r w:rsidR="00E012C8">
              <w:t>**</w:t>
            </w:r>
          </w:p>
          <w:p w:rsidR="000F5EB1" w:rsidRDefault="000F5EB1" w:rsidP="00AC3B76">
            <w:r>
              <w:t>(</w:t>
            </w:r>
            <w:r w:rsidR="00F85866">
              <w:t>1</w:t>
            </w:r>
            <w:r>
              <w:t>.907)</w:t>
            </w:r>
          </w:p>
        </w:tc>
        <w:tc>
          <w:tcPr>
            <w:tcW w:w="1985" w:type="dxa"/>
            <w:tcBorders>
              <w:top w:val="single" w:sz="12" w:space="0" w:color="auto"/>
              <w:left w:val="double" w:sz="4" w:space="0" w:color="auto"/>
              <w:right w:val="double" w:sz="4" w:space="0" w:color="auto"/>
            </w:tcBorders>
            <w:shd w:val="clear" w:color="auto" w:fill="auto"/>
          </w:tcPr>
          <w:p w:rsidR="00213744" w:rsidRPr="00E012C8" w:rsidRDefault="004C3195" w:rsidP="00AC3B76">
            <w:pPr>
              <w:rPr>
                <w:lang w:val="en-US"/>
              </w:rPr>
            </w:pPr>
            <w:r>
              <w:rPr>
                <w:lang w:val="en-US"/>
              </w:rPr>
              <w:t>-</w:t>
            </w:r>
            <w:r w:rsidR="00A744AC" w:rsidRPr="00E012C8">
              <w:rPr>
                <w:lang w:val="en-US"/>
              </w:rPr>
              <w:t>2.</w:t>
            </w:r>
            <w:r w:rsidR="00E012C8">
              <w:rPr>
                <w:lang w:val="en-US"/>
              </w:rPr>
              <w:t>5</w:t>
            </w:r>
            <w:r w:rsidR="00A744AC" w:rsidRPr="00E012C8">
              <w:rPr>
                <w:lang w:val="en-US"/>
              </w:rPr>
              <w:t>991</w:t>
            </w:r>
            <w:r w:rsidR="00E012C8">
              <w:rPr>
                <w:lang w:val="en-US"/>
              </w:rPr>
              <w:t>***</w:t>
            </w:r>
          </w:p>
          <w:p w:rsidR="00A744AC" w:rsidRPr="00E012C8" w:rsidRDefault="00A744AC" w:rsidP="00AC3B76">
            <w:pPr>
              <w:rPr>
                <w:lang w:val="en-US"/>
              </w:rPr>
            </w:pPr>
            <w:r w:rsidRPr="00E012C8">
              <w:rPr>
                <w:lang w:val="en-US"/>
              </w:rPr>
              <w:t>(</w:t>
            </w:r>
            <w:r w:rsidR="00F85866">
              <w:rPr>
                <w:lang w:val="en-US"/>
              </w:rPr>
              <w:t>3</w:t>
            </w:r>
            <w:r w:rsidRPr="00E012C8">
              <w:rPr>
                <w:lang w:val="en-US"/>
              </w:rPr>
              <w:t>.351)</w:t>
            </w:r>
          </w:p>
        </w:tc>
      </w:tr>
      <w:tr w:rsidR="00213744" w:rsidRPr="00E012C8" w:rsidTr="00C229E4">
        <w:trPr>
          <w:jc w:val="center"/>
        </w:trPr>
        <w:tc>
          <w:tcPr>
            <w:tcW w:w="2802" w:type="dxa"/>
            <w:tcBorders>
              <w:left w:val="double" w:sz="4" w:space="0" w:color="auto"/>
              <w:bottom w:val="single" w:sz="12" w:space="0" w:color="auto"/>
              <w:right w:val="double" w:sz="4" w:space="0" w:color="auto"/>
            </w:tcBorders>
            <w:shd w:val="clear" w:color="auto" w:fill="auto"/>
            <w:vAlign w:val="center"/>
          </w:tcPr>
          <w:p w:rsidR="00213744" w:rsidRPr="00E012C8" w:rsidRDefault="00213744" w:rsidP="00AC3B76">
            <w:pPr>
              <w:rPr>
                <w:b/>
                <w:lang w:val="en-US"/>
              </w:rPr>
            </w:pPr>
            <w:r w:rsidRPr="00E012C8">
              <w:rPr>
                <w:b/>
                <w:lang w:val="en-US"/>
              </w:rPr>
              <w:t>SBS</w:t>
            </w:r>
          </w:p>
        </w:tc>
        <w:tc>
          <w:tcPr>
            <w:tcW w:w="1985" w:type="dxa"/>
            <w:tcBorders>
              <w:left w:val="double" w:sz="4" w:space="0" w:color="auto"/>
              <w:bottom w:val="single" w:sz="12" w:space="0" w:color="auto"/>
              <w:right w:val="double" w:sz="4" w:space="0" w:color="auto"/>
            </w:tcBorders>
            <w:shd w:val="clear" w:color="auto" w:fill="auto"/>
            <w:vAlign w:val="center"/>
          </w:tcPr>
          <w:p w:rsidR="00213744" w:rsidRPr="00E012C8" w:rsidRDefault="00016259" w:rsidP="00AC3B76">
            <w:pPr>
              <w:rPr>
                <w:lang w:val="en-US"/>
              </w:rPr>
            </w:pPr>
            <w:r>
              <w:rPr>
                <w:lang w:val="en-US"/>
              </w:rPr>
              <w:t>1.2659</w:t>
            </w:r>
          </w:p>
          <w:p w:rsidR="000F5EB1" w:rsidRPr="00E012C8" w:rsidRDefault="000F5EB1" w:rsidP="00AC3B76">
            <w:pPr>
              <w:rPr>
                <w:lang w:val="en-US"/>
              </w:rPr>
            </w:pPr>
            <w:r w:rsidRPr="00E012C8">
              <w:rPr>
                <w:lang w:val="en-US"/>
              </w:rPr>
              <w:t>(</w:t>
            </w:r>
            <w:r w:rsidR="00016259">
              <w:rPr>
                <w:lang w:val="en-US"/>
              </w:rPr>
              <w:t>0</w:t>
            </w:r>
            <w:r w:rsidRPr="00E012C8">
              <w:rPr>
                <w:lang w:val="en-US"/>
              </w:rPr>
              <w:t>.632)</w:t>
            </w:r>
          </w:p>
        </w:tc>
        <w:tc>
          <w:tcPr>
            <w:tcW w:w="1985" w:type="dxa"/>
            <w:tcBorders>
              <w:left w:val="double" w:sz="4" w:space="0" w:color="auto"/>
              <w:bottom w:val="single" w:sz="12" w:space="0" w:color="auto"/>
              <w:right w:val="double" w:sz="4" w:space="0" w:color="auto"/>
            </w:tcBorders>
            <w:shd w:val="clear" w:color="auto" w:fill="auto"/>
          </w:tcPr>
          <w:p w:rsidR="00213744" w:rsidRPr="00E012C8" w:rsidRDefault="00E012C8" w:rsidP="00AC3B76">
            <w:pPr>
              <w:rPr>
                <w:lang w:val="en-US"/>
              </w:rPr>
            </w:pPr>
            <w:r>
              <w:rPr>
                <w:lang w:val="en-US"/>
              </w:rPr>
              <w:t>-1</w:t>
            </w:r>
            <w:r w:rsidR="00A744AC" w:rsidRPr="00E012C8">
              <w:rPr>
                <w:lang w:val="en-US"/>
              </w:rPr>
              <w:t>.3235</w:t>
            </w:r>
          </w:p>
          <w:p w:rsidR="00A744AC" w:rsidRPr="00E012C8" w:rsidRDefault="00A744AC" w:rsidP="00AC3B76">
            <w:pPr>
              <w:rPr>
                <w:lang w:val="en-US"/>
              </w:rPr>
            </w:pPr>
            <w:r w:rsidRPr="00E012C8">
              <w:rPr>
                <w:lang w:val="en-US"/>
              </w:rPr>
              <w:t>(</w:t>
            </w:r>
            <w:r w:rsidR="00016259">
              <w:rPr>
                <w:lang w:val="en-US"/>
              </w:rPr>
              <w:t>0</w:t>
            </w:r>
            <w:r w:rsidRPr="00E012C8">
              <w:rPr>
                <w:lang w:val="en-US"/>
              </w:rPr>
              <w:t>.445)</w:t>
            </w:r>
          </w:p>
        </w:tc>
      </w:tr>
      <w:tr w:rsidR="00213744" w:rsidRPr="00E012C8" w:rsidTr="00C229E4">
        <w:trPr>
          <w:jc w:val="center"/>
        </w:trPr>
        <w:tc>
          <w:tcPr>
            <w:tcW w:w="6772" w:type="dxa"/>
            <w:gridSpan w:val="3"/>
            <w:tcBorders>
              <w:left w:val="double" w:sz="4" w:space="0" w:color="auto"/>
              <w:right w:val="double" w:sz="4" w:space="0" w:color="auto"/>
            </w:tcBorders>
            <w:shd w:val="clear" w:color="auto" w:fill="auto"/>
            <w:vAlign w:val="center"/>
          </w:tcPr>
          <w:p w:rsidR="00213744" w:rsidRPr="00213744" w:rsidRDefault="00213744" w:rsidP="00AC3B76">
            <w:pPr>
              <w:rPr>
                <w:b/>
                <w:lang w:val="en-GB"/>
              </w:rPr>
            </w:pPr>
            <w:r>
              <w:rPr>
                <w:b/>
                <w:lang w:val="en-GB"/>
              </w:rPr>
              <w:t>Macroeconomic Factors</w:t>
            </w:r>
          </w:p>
        </w:tc>
      </w:tr>
      <w:tr w:rsidR="00213744" w:rsidRPr="00E012C8" w:rsidTr="00C229E4">
        <w:trPr>
          <w:jc w:val="center"/>
        </w:trPr>
        <w:tc>
          <w:tcPr>
            <w:tcW w:w="2802" w:type="dxa"/>
            <w:tcBorders>
              <w:top w:val="single" w:sz="12" w:space="0" w:color="auto"/>
              <w:left w:val="double" w:sz="4" w:space="0" w:color="auto"/>
              <w:right w:val="double" w:sz="4" w:space="0" w:color="auto"/>
            </w:tcBorders>
            <w:shd w:val="clear" w:color="auto" w:fill="auto"/>
            <w:vAlign w:val="center"/>
          </w:tcPr>
          <w:p w:rsidR="00213744" w:rsidRPr="00E012C8" w:rsidRDefault="00213744" w:rsidP="00AC3B76">
            <w:pPr>
              <w:rPr>
                <w:b/>
                <w:lang w:val="en-US"/>
              </w:rPr>
            </w:pPr>
            <w:r w:rsidRPr="00E012C8">
              <w:rPr>
                <w:b/>
                <w:lang w:val="en-US"/>
              </w:rPr>
              <w:t>GDP</w:t>
            </w:r>
          </w:p>
        </w:tc>
        <w:tc>
          <w:tcPr>
            <w:tcW w:w="1985" w:type="dxa"/>
            <w:tcBorders>
              <w:top w:val="single" w:sz="12" w:space="0" w:color="auto"/>
              <w:left w:val="double" w:sz="4" w:space="0" w:color="auto"/>
              <w:right w:val="double" w:sz="4" w:space="0" w:color="auto"/>
            </w:tcBorders>
            <w:shd w:val="clear" w:color="auto" w:fill="auto"/>
            <w:vAlign w:val="center"/>
          </w:tcPr>
          <w:p w:rsidR="00213744" w:rsidRPr="00E012C8" w:rsidRDefault="000F5EB1" w:rsidP="00AC3B76">
            <w:pPr>
              <w:rPr>
                <w:lang w:val="en-US"/>
              </w:rPr>
            </w:pPr>
            <w:r w:rsidRPr="00E012C8">
              <w:rPr>
                <w:lang w:val="en-US"/>
              </w:rPr>
              <w:t>0.2021</w:t>
            </w:r>
            <w:r w:rsidR="00E012C8">
              <w:rPr>
                <w:lang w:val="en-US"/>
              </w:rPr>
              <w:t>**</w:t>
            </w:r>
          </w:p>
          <w:p w:rsidR="000F5EB1" w:rsidRPr="00E012C8" w:rsidRDefault="000F5EB1" w:rsidP="00AC3B76">
            <w:pPr>
              <w:rPr>
                <w:lang w:val="en-US"/>
              </w:rPr>
            </w:pPr>
            <w:r w:rsidRPr="00E012C8">
              <w:rPr>
                <w:lang w:val="en-US"/>
              </w:rPr>
              <w:t>(</w:t>
            </w:r>
            <w:r w:rsidR="00F85866">
              <w:rPr>
                <w:lang w:val="en-US"/>
              </w:rPr>
              <w:t>1</w:t>
            </w:r>
            <w:r w:rsidRPr="00E012C8">
              <w:rPr>
                <w:lang w:val="en-US"/>
              </w:rPr>
              <w:t>.868)</w:t>
            </w:r>
          </w:p>
        </w:tc>
        <w:tc>
          <w:tcPr>
            <w:tcW w:w="1985" w:type="dxa"/>
            <w:tcBorders>
              <w:top w:val="single" w:sz="12" w:space="0" w:color="auto"/>
              <w:left w:val="double" w:sz="4" w:space="0" w:color="auto"/>
              <w:right w:val="double" w:sz="4" w:space="0" w:color="auto"/>
            </w:tcBorders>
            <w:shd w:val="clear" w:color="auto" w:fill="auto"/>
          </w:tcPr>
          <w:p w:rsidR="00213744" w:rsidRPr="00E012C8" w:rsidRDefault="00A744AC" w:rsidP="00AC3B76">
            <w:pPr>
              <w:rPr>
                <w:lang w:val="en-US"/>
              </w:rPr>
            </w:pPr>
            <w:r w:rsidRPr="00E012C8">
              <w:rPr>
                <w:lang w:val="en-US"/>
              </w:rPr>
              <w:t>-2.9398</w:t>
            </w:r>
            <w:r w:rsidR="00E012C8">
              <w:rPr>
                <w:lang w:val="en-US"/>
              </w:rPr>
              <w:t>*</w:t>
            </w:r>
          </w:p>
          <w:p w:rsidR="00A744AC" w:rsidRPr="00E012C8" w:rsidRDefault="00A744AC" w:rsidP="00AC3B76">
            <w:pPr>
              <w:rPr>
                <w:lang w:val="en-US"/>
              </w:rPr>
            </w:pPr>
            <w:r w:rsidRPr="00E012C8">
              <w:rPr>
                <w:lang w:val="en-US"/>
              </w:rPr>
              <w:t>(</w:t>
            </w:r>
            <w:r w:rsidR="00F85866">
              <w:rPr>
                <w:lang w:val="en-US"/>
              </w:rPr>
              <w:t>1</w:t>
            </w:r>
            <w:r w:rsidRPr="00E012C8">
              <w:rPr>
                <w:lang w:val="en-US"/>
              </w:rPr>
              <w:t>.</w:t>
            </w:r>
            <w:r w:rsidR="00F85866">
              <w:rPr>
                <w:lang w:val="en-US"/>
              </w:rPr>
              <w:t>8</w:t>
            </w:r>
            <w:r w:rsidRPr="00E012C8">
              <w:rPr>
                <w:lang w:val="en-US"/>
              </w:rPr>
              <w:t>81)</w:t>
            </w:r>
          </w:p>
        </w:tc>
      </w:tr>
      <w:tr w:rsidR="00213744" w:rsidRPr="000F5EB1" w:rsidTr="00C229E4">
        <w:trPr>
          <w:jc w:val="center"/>
        </w:trPr>
        <w:tc>
          <w:tcPr>
            <w:tcW w:w="2802" w:type="dxa"/>
            <w:tcBorders>
              <w:left w:val="double" w:sz="4" w:space="0" w:color="auto"/>
              <w:bottom w:val="single" w:sz="12" w:space="0" w:color="auto"/>
              <w:right w:val="double" w:sz="4" w:space="0" w:color="auto"/>
            </w:tcBorders>
            <w:shd w:val="clear" w:color="auto" w:fill="auto"/>
            <w:vAlign w:val="center"/>
          </w:tcPr>
          <w:p w:rsidR="00213744" w:rsidRPr="00E012C8" w:rsidRDefault="00213744" w:rsidP="00AC3B76">
            <w:pPr>
              <w:rPr>
                <w:b/>
                <w:lang w:val="en-US"/>
              </w:rPr>
            </w:pPr>
            <w:r w:rsidRPr="00E012C8">
              <w:rPr>
                <w:b/>
                <w:lang w:val="en-US"/>
              </w:rPr>
              <w:t>INF</w:t>
            </w:r>
          </w:p>
        </w:tc>
        <w:tc>
          <w:tcPr>
            <w:tcW w:w="1985" w:type="dxa"/>
            <w:tcBorders>
              <w:left w:val="double" w:sz="4" w:space="0" w:color="auto"/>
              <w:bottom w:val="single" w:sz="12" w:space="0" w:color="auto"/>
              <w:right w:val="double" w:sz="4" w:space="0" w:color="auto"/>
            </w:tcBorders>
            <w:shd w:val="clear" w:color="auto" w:fill="auto"/>
            <w:vAlign w:val="center"/>
          </w:tcPr>
          <w:p w:rsidR="00213744" w:rsidRDefault="000F5EB1" w:rsidP="00AC3B76">
            <w:pPr>
              <w:rPr>
                <w:lang w:val="en-US"/>
              </w:rPr>
            </w:pPr>
            <w:r w:rsidRPr="000F5EB1">
              <w:rPr>
                <w:lang w:val="en-US"/>
              </w:rPr>
              <w:t>1</w:t>
            </w:r>
            <w:r>
              <w:rPr>
                <w:lang w:val="en-US"/>
              </w:rPr>
              <w:t>.2744</w:t>
            </w:r>
            <w:r w:rsidR="00E012C8">
              <w:rPr>
                <w:lang w:val="en-US"/>
              </w:rPr>
              <w:t>**</w:t>
            </w:r>
          </w:p>
          <w:p w:rsidR="000F5EB1" w:rsidRPr="000F5EB1" w:rsidRDefault="000F5EB1" w:rsidP="00AC3B76">
            <w:pPr>
              <w:rPr>
                <w:lang w:val="en-US"/>
              </w:rPr>
            </w:pPr>
            <w:r>
              <w:rPr>
                <w:lang w:val="en-US"/>
              </w:rPr>
              <w:t>(</w:t>
            </w:r>
            <w:r w:rsidR="00F85866">
              <w:rPr>
                <w:lang w:val="en-US"/>
              </w:rPr>
              <w:t>2</w:t>
            </w:r>
            <w:r>
              <w:rPr>
                <w:lang w:val="en-US"/>
              </w:rPr>
              <w:t>.684)</w:t>
            </w:r>
          </w:p>
        </w:tc>
        <w:tc>
          <w:tcPr>
            <w:tcW w:w="1985" w:type="dxa"/>
            <w:tcBorders>
              <w:left w:val="double" w:sz="4" w:space="0" w:color="auto"/>
              <w:bottom w:val="single" w:sz="12" w:space="0" w:color="auto"/>
              <w:right w:val="double" w:sz="4" w:space="0" w:color="auto"/>
            </w:tcBorders>
            <w:shd w:val="clear" w:color="auto" w:fill="auto"/>
          </w:tcPr>
          <w:p w:rsidR="00213744" w:rsidRDefault="00EF56E2" w:rsidP="00AC3B76">
            <w:pPr>
              <w:rPr>
                <w:lang w:val="en-US"/>
              </w:rPr>
            </w:pPr>
            <w:r>
              <w:rPr>
                <w:lang w:val="en-US"/>
              </w:rPr>
              <w:t>-3.</w:t>
            </w:r>
            <w:r w:rsidR="00E012C8">
              <w:rPr>
                <w:lang w:val="en-US"/>
              </w:rPr>
              <w:t>4</w:t>
            </w:r>
            <w:r>
              <w:rPr>
                <w:lang w:val="en-US"/>
              </w:rPr>
              <w:t>60</w:t>
            </w:r>
            <w:r w:rsidR="00E012C8">
              <w:rPr>
                <w:lang w:val="en-US"/>
              </w:rPr>
              <w:t>5**</w:t>
            </w:r>
          </w:p>
          <w:p w:rsidR="00EF56E2" w:rsidRPr="000F5EB1" w:rsidRDefault="00EF56E2" w:rsidP="00AC3B76">
            <w:pPr>
              <w:rPr>
                <w:lang w:val="en-US"/>
              </w:rPr>
            </w:pPr>
            <w:r>
              <w:rPr>
                <w:lang w:val="en-US"/>
              </w:rPr>
              <w:t>(</w:t>
            </w:r>
            <w:r w:rsidR="00F85866">
              <w:rPr>
                <w:lang w:val="en-US"/>
              </w:rPr>
              <w:t>2</w:t>
            </w:r>
            <w:r>
              <w:rPr>
                <w:lang w:val="en-US"/>
              </w:rPr>
              <w:t>.349)</w:t>
            </w:r>
          </w:p>
        </w:tc>
      </w:tr>
      <w:tr w:rsidR="00213744" w:rsidRPr="00D532BB" w:rsidTr="00C229E4">
        <w:trPr>
          <w:jc w:val="center"/>
        </w:trPr>
        <w:tc>
          <w:tcPr>
            <w:tcW w:w="2802" w:type="dxa"/>
            <w:tcBorders>
              <w:top w:val="single" w:sz="12" w:space="0" w:color="auto"/>
              <w:left w:val="double" w:sz="4" w:space="0" w:color="auto"/>
              <w:bottom w:val="double" w:sz="4" w:space="0" w:color="auto"/>
              <w:right w:val="double" w:sz="4" w:space="0" w:color="auto"/>
            </w:tcBorders>
            <w:shd w:val="clear" w:color="auto" w:fill="auto"/>
            <w:vAlign w:val="center"/>
          </w:tcPr>
          <w:p w:rsidR="00213744" w:rsidRPr="00034A70" w:rsidRDefault="00213744" w:rsidP="00AC3B76">
            <w:pPr>
              <w:widowControl w:val="0"/>
              <w:autoSpaceDE w:val="0"/>
              <w:autoSpaceDN w:val="0"/>
              <w:adjustRightInd w:val="0"/>
              <w:rPr>
                <w:b/>
                <w:i/>
                <w:iCs/>
                <w:lang w:val="en-US"/>
              </w:rPr>
            </w:pPr>
            <w:r w:rsidRPr="00034A70">
              <w:rPr>
                <w:b/>
                <w:i/>
                <w:iCs/>
                <w:lang w:val="en-US"/>
              </w:rPr>
              <w:t>N</w:t>
            </w:r>
          </w:p>
          <w:p w:rsidR="00213744" w:rsidRPr="00034A70" w:rsidRDefault="00213744" w:rsidP="00AC3B76">
            <w:pPr>
              <w:widowControl w:val="0"/>
              <w:autoSpaceDE w:val="0"/>
              <w:autoSpaceDN w:val="0"/>
              <w:adjustRightInd w:val="0"/>
              <w:rPr>
                <w:b/>
                <w:i/>
                <w:iCs/>
                <w:lang w:val="en-US"/>
              </w:rPr>
            </w:pPr>
            <w:r w:rsidRPr="00034A70">
              <w:rPr>
                <w:b/>
                <w:i/>
                <w:iCs/>
                <w:lang w:val="en-US"/>
              </w:rPr>
              <w:t>Wald test</w:t>
            </w:r>
          </w:p>
          <w:p w:rsidR="00213744" w:rsidRPr="00034A70" w:rsidRDefault="00213744" w:rsidP="00AC3B76">
            <w:pPr>
              <w:widowControl w:val="0"/>
              <w:autoSpaceDE w:val="0"/>
              <w:autoSpaceDN w:val="0"/>
              <w:adjustRightInd w:val="0"/>
              <w:rPr>
                <w:b/>
                <w:i/>
                <w:iCs/>
                <w:lang w:val="en-US"/>
              </w:rPr>
            </w:pPr>
            <w:r w:rsidRPr="00034A70">
              <w:rPr>
                <w:b/>
                <w:i/>
                <w:iCs/>
                <w:lang w:val="en-US"/>
              </w:rPr>
              <w:t>P-value Wald test</w:t>
            </w:r>
          </w:p>
          <w:p w:rsidR="00213744" w:rsidRPr="00034A70" w:rsidRDefault="00213744" w:rsidP="00AC3B76">
            <w:pPr>
              <w:widowControl w:val="0"/>
              <w:autoSpaceDE w:val="0"/>
              <w:autoSpaceDN w:val="0"/>
              <w:adjustRightInd w:val="0"/>
              <w:rPr>
                <w:b/>
                <w:lang w:val="en-US"/>
              </w:rPr>
            </w:pPr>
            <w:r w:rsidRPr="00034A70">
              <w:rPr>
                <w:b/>
                <w:lang w:val="en-US"/>
              </w:rPr>
              <w:t>AR (2)</w:t>
            </w:r>
          </w:p>
          <w:p w:rsidR="00213744" w:rsidRPr="00034A70" w:rsidRDefault="00213744" w:rsidP="00AC3B76">
            <w:pPr>
              <w:widowControl w:val="0"/>
              <w:autoSpaceDE w:val="0"/>
              <w:autoSpaceDN w:val="0"/>
              <w:adjustRightInd w:val="0"/>
              <w:rPr>
                <w:b/>
                <w:lang w:val="en-US"/>
              </w:rPr>
            </w:pPr>
            <w:r w:rsidRPr="00034A70">
              <w:rPr>
                <w:b/>
                <w:lang w:val="en-US"/>
              </w:rPr>
              <w:t>P-value AR (2)</w:t>
            </w:r>
          </w:p>
          <w:p w:rsidR="00213744" w:rsidRPr="00034A70" w:rsidRDefault="00213744" w:rsidP="00AC3B76">
            <w:pPr>
              <w:widowControl w:val="0"/>
              <w:autoSpaceDE w:val="0"/>
              <w:autoSpaceDN w:val="0"/>
              <w:adjustRightInd w:val="0"/>
              <w:rPr>
                <w:b/>
                <w:lang w:val="en-US"/>
              </w:rPr>
            </w:pPr>
            <w:proofErr w:type="spellStart"/>
            <w:r w:rsidRPr="00034A70">
              <w:rPr>
                <w:b/>
                <w:lang w:val="en-US"/>
              </w:rPr>
              <w:t>Sargan</w:t>
            </w:r>
            <w:proofErr w:type="spellEnd"/>
            <w:r w:rsidRPr="00034A70">
              <w:rPr>
                <w:b/>
                <w:lang w:val="en-US"/>
              </w:rPr>
              <w:t xml:space="preserve"> test</w:t>
            </w:r>
          </w:p>
          <w:p w:rsidR="00213744" w:rsidRPr="000F5EB1" w:rsidRDefault="00213744" w:rsidP="00AC3B76">
            <w:pPr>
              <w:rPr>
                <w:b/>
                <w:lang w:val="en-US"/>
              </w:rPr>
            </w:pPr>
            <w:r w:rsidRPr="000F5EB1">
              <w:rPr>
                <w:b/>
                <w:lang w:val="en-US"/>
              </w:rPr>
              <w:t xml:space="preserve">P-value </w:t>
            </w:r>
            <w:proofErr w:type="spellStart"/>
            <w:r w:rsidRPr="000F5EB1">
              <w:rPr>
                <w:b/>
                <w:lang w:val="en-US"/>
              </w:rPr>
              <w:t>Sargan</w:t>
            </w:r>
            <w:proofErr w:type="spellEnd"/>
            <w:r w:rsidRPr="000F5EB1">
              <w:rPr>
                <w:b/>
                <w:lang w:val="en-US"/>
              </w:rPr>
              <w:t xml:space="preserve"> test</w:t>
            </w:r>
          </w:p>
        </w:tc>
        <w:tc>
          <w:tcPr>
            <w:tcW w:w="1985" w:type="dxa"/>
            <w:tcBorders>
              <w:top w:val="single" w:sz="12" w:space="0" w:color="auto"/>
              <w:left w:val="double" w:sz="4" w:space="0" w:color="auto"/>
              <w:bottom w:val="double" w:sz="4" w:space="0" w:color="auto"/>
              <w:right w:val="double" w:sz="4" w:space="0" w:color="auto"/>
            </w:tcBorders>
            <w:shd w:val="clear" w:color="auto" w:fill="auto"/>
            <w:vAlign w:val="center"/>
          </w:tcPr>
          <w:p w:rsidR="00213744" w:rsidRPr="000F5EB1" w:rsidRDefault="00213744" w:rsidP="00AC3B76">
            <w:pPr>
              <w:rPr>
                <w:lang w:val="en-US"/>
              </w:rPr>
            </w:pPr>
            <w:r w:rsidRPr="000F5EB1">
              <w:rPr>
                <w:lang w:val="en-US"/>
              </w:rPr>
              <w:t>125</w:t>
            </w:r>
          </w:p>
          <w:p w:rsidR="00213744" w:rsidRPr="000F5EB1" w:rsidRDefault="00213744" w:rsidP="00AC3B76">
            <w:pPr>
              <w:rPr>
                <w:lang w:val="en-US"/>
              </w:rPr>
            </w:pPr>
            <w:r w:rsidRPr="000F5EB1">
              <w:rPr>
                <w:lang w:val="en-US"/>
              </w:rPr>
              <w:t>83.07</w:t>
            </w:r>
            <w:r w:rsidR="00E012C8">
              <w:rPr>
                <w:lang w:val="en-US"/>
              </w:rPr>
              <w:t>***</w:t>
            </w:r>
          </w:p>
          <w:p w:rsidR="00213744" w:rsidRPr="000F5EB1" w:rsidRDefault="00213744" w:rsidP="00AC3B76">
            <w:pPr>
              <w:rPr>
                <w:lang w:val="en-US"/>
              </w:rPr>
            </w:pPr>
            <w:r w:rsidRPr="000F5EB1">
              <w:rPr>
                <w:lang w:val="en-US"/>
              </w:rPr>
              <w:t>0.000</w:t>
            </w:r>
          </w:p>
          <w:p w:rsidR="00213744" w:rsidRPr="000F5EB1" w:rsidRDefault="00213744" w:rsidP="00AC3B76">
            <w:pPr>
              <w:rPr>
                <w:lang w:val="en-US"/>
              </w:rPr>
            </w:pPr>
            <w:r w:rsidRPr="000F5EB1">
              <w:rPr>
                <w:lang w:val="en-US"/>
              </w:rPr>
              <w:t>0.95221</w:t>
            </w:r>
          </w:p>
          <w:p w:rsidR="00213744" w:rsidRPr="000F5EB1" w:rsidRDefault="00E012C8" w:rsidP="00AC3B76">
            <w:pPr>
              <w:rPr>
                <w:lang w:val="en-US"/>
              </w:rPr>
            </w:pPr>
            <w:r>
              <w:rPr>
                <w:lang w:val="en-US"/>
              </w:rPr>
              <w:t>0.</w:t>
            </w:r>
            <w:r w:rsidR="00213744" w:rsidRPr="000F5EB1">
              <w:rPr>
                <w:lang w:val="en-US"/>
              </w:rPr>
              <w:t>3410</w:t>
            </w:r>
          </w:p>
          <w:p w:rsidR="00213744" w:rsidRPr="000F5EB1" w:rsidRDefault="00213744" w:rsidP="00AC3B76">
            <w:pPr>
              <w:rPr>
                <w:lang w:val="en-US"/>
              </w:rPr>
            </w:pPr>
            <w:r w:rsidRPr="000F5EB1">
              <w:rPr>
                <w:lang w:val="en-US"/>
              </w:rPr>
              <w:t>1.95e-18</w:t>
            </w:r>
          </w:p>
          <w:p w:rsidR="00213744" w:rsidRPr="00F80016" w:rsidRDefault="00213744" w:rsidP="00AC3B76">
            <w:r>
              <w:t>1.000</w:t>
            </w:r>
          </w:p>
        </w:tc>
        <w:tc>
          <w:tcPr>
            <w:tcW w:w="1985" w:type="dxa"/>
            <w:tcBorders>
              <w:top w:val="single" w:sz="12" w:space="0" w:color="auto"/>
              <w:left w:val="double" w:sz="4" w:space="0" w:color="auto"/>
              <w:bottom w:val="double" w:sz="4" w:space="0" w:color="auto"/>
              <w:right w:val="double" w:sz="4" w:space="0" w:color="auto"/>
            </w:tcBorders>
            <w:shd w:val="clear" w:color="auto" w:fill="auto"/>
            <w:vAlign w:val="center"/>
          </w:tcPr>
          <w:p w:rsidR="00213744" w:rsidRDefault="00213744" w:rsidP="00AC3B76">
            <w:r>
              <w:t>130</w:t>
            </w:r>
          </w:p>
          <w:p w:rsidR="00213744" w:rsidRDefault="00864A14" w:rsidP="00AC3B76">
            <w:r>
              <w:t>1201.65</w:t>
            </w:r>
            <w:r w:rsidR="00E012C8">
              <w:t>***</w:t>
            </w:r>
          </w:p>
          <w:p w:rsidR="00213744" w:rsidRDefault="00213744" w:rsidP="00AC3B76">
            <w:r>
              <w:t>0.000</w:t>
            </w:r>
          </w:p>
          <w:p w:rsidR="00213744" w:rsidRDefault="00864A14" w:rsidP="00AC3B76">
            <w:r>
              <w:t>1.5005</w:t>
            </w:r>
          </w:p>
          <w:p w:rsidR="00213744" w:rsidRDefault="00213744" w:rsidP="00AC3B76">
            <w:r>
              <w:t>0.</w:t>
            </w:r>
            <w:r w:rsidR="00864A14">
              <w:t>1335</w:t>
            </w:r>
          </w:p>
          <w:p w:rsidR="00213744" w:rsidRDefault="00864A14" w:rsidP="00AC3B76">
            <w:r>
              <w:t>1.</w:t>
            </w:r>
            <w:r w:rsidR="00213744">
              <w:t>3</w:t>
            </w:r>
            <w:r>
              <w:t>0e-16</w:t>
            </w:r>
          </w:p>
          <w:p w:rsidR="00213744" w:rsidRPr="00D532BB" w:rsidRDefault="00213744" w:rsidP="00AC3B76">
            <w:pPr>
              <w:rPr>
                <w:lang w:val="en-US"/>
              </w:rPr>
            </w:pPr>
            <w:r>
              <w:t>1.000</w:t>
            </w:r>
          </w:p>
        </w:tc>
      </w:tr>
    </w:tbl>
    <w:p w:rsidR="00DD7D12" w:rsidRDefault="00DD7D12" w:rsidP="00AC3B76">
      <w:pPr>
        <w:jc w:val="both"/>
        <w:rPr>
          <w:sz w:val="16"/>
          <w:szCs w:val="16"/>
          <w:lang w:val="en-US"/>
        </w:rPr>
      </w:pPr>
    </w:p>
    <w:p w:rsidR="00F25928" w:rsidRDefault="0074230C" w:rsidP="00AC3B76">
      <w:pPr>
        <w:jc w:val="both"/>
        <w:rPr>
          <w:sz w:val="16"/>
          <w:szCs w:val="16"/>
          <w:lang w:val="en-US"/>
        </w:rPr>
      </w:pPr>
      <w:r w:rsidRPr="00E611E7">
        <w:rPr>
          <w:sz w:val="16"/>
          <w:szCs w:val="16"/>
          <w:lang w:val="en-US"/>
        </w:rPr>
        <w:t>This table presents the results from</w:t>
      </w:r>
      <w:r>
        <w:rPr>
          <w:sz w:val="16"/>
          <w:szCs w:val="16"/>
          <w:lang w:val="en-US"/>
        </w:rPr>
        <w:t xml:space="preserve"> </w:t>
      </w:r>
      <w:r w:rsidRPr="00E611E7">
        <w:rPr>
          <w:sz w:val="16"/>
          <w:szCs w:val="16"/>
          <w:lang w:val="en-US"/>
        </w:rPr>
        <w:t xml:space="preserve">regressions conducted to determine </w:t>
      </w:r>
      <w:r>
        <w:rPr>
          <w:sz w:val="16"/>
          <w:szCs w:val="16"/>
          <w:lang w:val="en-US"/>
        </w:rPr>
        <w:t>explanatory variables of Tunisian bank risk taking</w:t>
      </w:r>
      <w:r w:rsidRPr="00E611E7">
        <w:rPr>
          <w:sz w:val="16"/>
          <w:szCs w:val="16"/>
          <w:lang w:val="en-US"/>
        </w:rPr>
        <w:t>. Estimations were performed using GMM dyna</w:t>
      </w:r>
      <w:r w:rsidR="00EA3641">
        <w:rPr>
          <w:sz w:val="16"/>
          <w:szCs w:val="16"/>
          <w:lang w:val="en-US"/>
        </w:rPr>
        <w:t>mic model estimation in system.</w:t>
      </w:r>
      <w:r>
        <w:rPr>
          <w:sz w:val="16"/>
          <w:szCs w:val="16"/>
          <w:lang w:val="en-US"/>
        </w:rPr>
        <w:t xml:space="preserve"> </w:t>
      </w:r>
      <w:proofErr w:type="gramStart"/>
      <w:r w:rsidR="004A167F">
        <w:rPr>
          <w:sz w:val="16"/>
          <w:szCs w:val="16"/>
          <w:lang w:val="en-US"/>
        </w:rPr>
        <w:t>t-statistics</w:t>
      </w:r>
      <w:proofErr w:type="gramEnd"/>
      <w:r w:rsidRPr="00994ADD">
        <w:rPr>
          <w:sz w:val="16"/>
          <w:szCs w:val="16"/>
          <w:lang w:val="en-US"/>
        </w:rPr>
        <w:t xml:space="preserve"> in brackets</w:t>
      </w:r>
      <w:r>
        <w:rPr>
          <w:sz w:val="16"/>
          <w:szCs w:val="16"/>
          <w:lang w:val="en-US"/>
        </w:rPr>
        <w:t xml:space="preserve">; </w:t>
      </w:r>
      <w:r w:rsidRPr="00994ADD">
        <w:rPr>
          <w:sz w:val="16"/>
          <w:szCs w:val="16"/>
          <w:lang w:val="en-US"/>
        </w:rPr>
        <w:t>* Significance at the 10%.</w:t>
      </w:r>
      <w:r>
        <w:rPr>
          <w:sz w:val="16"/>
          <w:szCs w:val="16"/>
          <w:lang w:val="en-US"/>
        </w:rPr>
        <w:t xml:space="preserve">; </w:t>
      </w:r>
      <w:r w:rsidRPr="00994ADD">
        <w:rPr>
          <w:sz w:val="16"/>
          <w:szCs w:val="16"/>
          <w:lang w:val="en-US"/>
        </w:rPr>
        <w:t>** Significance at 5%</w:t>
      </w:r>
      <w:r>
        <w:rPr>
          <w:sz w:val="16"/>
          <w:szCs w:val="16"/>
          <w:lang w:val="en-US"/>
        </w:rPr>
        <w:t xml:space="preserve">; </w:t>
      </w:r>
      <w:r w:rsidRPr="00994ADD">
        <w:rPr>
          <w:sz w:val="16"/>
          <w:szCs w:val="16"/>
          <w:lang w:val="en-US"/>
        </w:rPr>
        <w:t>*** Significance at 1%</w:t>
      </w:r>
      <w:r>
        <w:rPr>
          <w:sz w:val="16"/>
          <w:szCs w:val="16"/>
          <w:lang w:val="en-US"/>
        </w:rPr>
        <w:t xml:space="preserve"> </w:t>
      </w:r>
      <w:r w:rsidRPr="00994ADD">
        <w:rPr>
          <w:sz w:val="16"/>
          <w:szCs w:val="16"/>
          <w:lang w:val="en-US"/>
        </w:rPr>
        <w:t>AR (2): test of null of zero second-order serial correlation, distributed N (0, 1) under null.</w:t>
      </w:r>
      <w:r>
        <w:rPr>
          <w:sz w:val="16"/>
          <w:szCs w:val="16"/>
          <w:lang w:val="en-US"/>
        </w:rPr>
        <w:t xml:space="preserve">; </w:t>
      </w:r>
      <w:proofErr w:type="spellStart"/>
      <w:r w:rsidRPr="00994ADD">
        <w:rPr>
          <w:sz w:val="16"/>
          <w:szCs w:val="16"/>
          <w:lang w:val="en-US"/>
        </w:rPr>
        <w:t>Sargan</w:t>
      </w:r>
      <w:proofErr w:type="spellEnd"/>
      <w:r w:rsidRPr="00994ADD">
        <w:rPr>
          <w:sz w:val="16"/>
          <w:szCs w:val="16"/>
          <w:lang w:val="en-US"/>
        </w:rPr>
        <w:t>-statistics is the test of over-identifying restrictions</w:t>
      </w:r>
      <w:r w:rsidR="00DD7D12">
        <w:rPr>
          <w:sz w:val="16"/>
          <w:szCs w:val="16"/>
          <w:lang w:val="en-US"/>
        </w:rPr>
        <w:t>.</w:t>
      </w:r>
    </w:p>
    <w:p w:rsidR="009B6B1F" w:rsidRPr="00EA3641" w:rsidRDefault="00DD7D12" w:rsidP="00AC3B76">
      <w:pPr>
        <w:autoSpaceDE w:val="0"/>
        <w:autoSpaceDN w:val="0"/>
        <w:adjustRightInd w:val="0"/>
        <w:spacing w:after="0"/>
        <w:jc w:val="both"/>
        <w:rPr>
          <w:rStyle w:val="apple-style-span"/>
          <w:rFonts w:cs="TimesNewRomanPS-ItalicMT"/>
          <w:i/>
          <w:iCs/>
          <w:sz w:val="16"/>
          <w:szCs w:val="16"/>
        </w:rPr>
      </w:pPr>
      <w:r w:rsidRPr="00DD7D12">
        <w:rPr>
          <w:rFonts w:cs="TimesNewRomanPSMT"/>
          <w:sz w:val="16"/>
          <w:szCs w:val="16"/>
        </w:rPr>
        <w:t xml:space="preserve">Banks are </w:t>
      </w:r>
      <w:r w:rsidRPr="00DD7D12">
        <w:rPr>
          <w:rFonts w:cs="TimesNewRomanPS-ItalicMT"/>
          <w:i/>
          <w:iCs/>
          <w:sz w:val="16"/>
          <w:szCs w:val="16"/>
        </w:rPr>
        <w:t xml:space="preserve">Amen Bank, </w:t>
      </w:r>
      <w:proofErr w:type="spellStart"/>
      <w:r w:rsidRPr="00DD7D12">
        <w:rPr>
          <w:rFonts w:cs="TimesNewRomanPS-ItalicMT"/>
          <w:i/>
          <w:iCs/>
          <w:sz w:val="16"/>
          <w:szCs w:val="16"/>
        </w:rPr>
        <w:t>Arab</w:t>
      </w:r>
      <w:proofErr w:type="spellEnd"/>
      <w:r w:rsidRPr="00DD7D12">
        <w:rPr>
          <w:rFonts w:cs="TimesNewRomanPS-ItalicMT"/>
          <w:i/>
          <w:iCs/>
          <w:sz w:val="16"/>
          <w:szCs w:val="16"/>
        </w:rPr>
        <w:t xml:space="preserve"> </w:t>
      </w:r>
      <w:proofErr w:type="spellStart"/>
      <w:r w:rsidRPr="00DD7D12">
        <w:rPr>
          <w:rFonts w:cs="TimesNewRomanPS-ItalicMT"/>
          <w:i/>
          <w:iCs/>
          <w:sz w:val="16"/>
          <w:szCs w:val="16"/>
        </w:rPr>
        <w:t>Tunisian</w:t>
      </w:r>
      <w:proofErr w:type="spellEnd"/>
      <w:r w:rsidRPr="00DD7D12">
        <w:rPr>
          <w:rFonts w:cs="TimesNewRomanPS-ItalicMT"/>
          <w:i/>
          <w:iCs/>
          <w:sz w:val="16"/>
          <w:szCs w:val="16"/>
        </w:rPr>
        <w:t xml:space="preserve"> Bank, Banque de l’Habitat, Banque Internationale Arabe de Tunisie, Banque Nationale</w:t>
      </w:r>
      <w:r w:rsidR="00C57607">
        <w:rPr>
          <w:rFonts w:cs="TimesNewRomanPS-ItalicMT"/>
          <w:i/>
          <w:iCs/>
          <w:sz w:val="16"/>
          <w:szCs w:val="16"/>
        </w:rPr>
        <w:t xml:space="preserve"> </w:t>
      </w:r>
      <w:r w:rsidRPr="00DD7D12">
        <w:rPr>
          <w:rFonts w:cs="TimesNewRomanPS-ItalicMT"/>
          <w:i/>
          <w:iCs/>
          <w:sz w:val="16"/>
          <w:szCs w:val="16"/>
        </w:rPr>
        <w:t xml:space="preserve">Agricole, </w:t>
      </w:r>
      <w:proofErr w:type="spellStart"/>
      <w:r w:rsidRPr="00DD7D12">
        <w:rPr>
          <w:rFonts w:cs="TimesNewRomanPS-ItalicMT"/>
          <w:i/>
          <w:iCs/>
          <w:sz w:val="16"/>
          <w:szCs w:val="16"/>
        </w:rPr>
        <w:t>Attijari</w:t>
      </w:r>
      <w:proofErr w:type="spellEnd"/>
      <w:r w:rsidRPr="00DD7D12">
        <w:rPr>
          <w:rFonts w:cs="TimesNewRomanPS-ItalicMT"/>
          <w:i/>
          <w:iCs/>
          <w:sz w:val="16"/>
          <w:szCs w:val="16"/>
        </w:rPr>
        <w:t xml:space="preserve"> Bank, Banque de Tunisie, Société Tunisienne de Banque, Union</w:t>
      </w:r>
      <w:r w:rsidR="00C57607">
        <w:rPr>
          <w:rFonts w:cs="TimesNewRomanPS-ItalicMT"/>
          <w:i/>
          <w:iCs/>
          <w:sz w:val="16"/>
          <w:szCs w:val="16"/>
        </w:rPr>
        <w:t xml:space="preserve"> </w:t>
      </w:r>
      <w:r w:rsidRPr="00DD7D12">
        <w:rPr>
          <w:rFonts w:cs="TimesNewRomanPS-ItalicMT"/>
          <w:i/>
          <w:iCs/>
          <w:sz w:val="16"/>
          <w:szCs w:val="16"/>
        </w:rPr>
        <w:t>Internationale de Banques and Union Bancaire pour le Commerce et l’Industrie</w:t>
      </w:r>
      <w:r w:rsidRPr="00DD7D12">
        <w:rPr>
          <w:rFonts w:cs="TimesNewRomanPSMT"/>
          <w:sz w:val="16"/>
          <w:szCs w:val="16"/>
        </w:rPr>
        <w:t>.</w:t>
      </w:r>
    </w:p>
    <w:p w:rsidR="006E7A53" w:rsidRDefault="006E7A53" w:rsidP="006E7A53">
      <w:pPr>
        <w:autoSpaceDE w:val="0"/>
        <w:autoSpaceDN w:val="0"/>
        <w:adjustRightInd w:val="0"/>
        <w:spacing w:before="240" w:line="276" w:lineRule="auto"/>
        <w:jc w:val="both"/>
        <w:rPr>
          <w:rFonts w:ascii="Times New Roman" w:hAnsi="Times New Roman" w:cs="Times New Roman"/>
          <w:lang w:val="en-US"/>
        </w:rPr>
      </w:pPr>
      <w:r w:rsidRPr="00844AC5">
        <w:rPr>
          <w:rFonts w:ascii="Times New Roman" w:hAnsi="Times New Roman" w:cs="Times New Roman"/>
          <w:lang w:val="en-US"/>
        </w:rPr>
        <w:lastRenderedPageBreak/>
        <w:t>The lagged dependent variable</w:t>
      </w:r>
      <w:r>
        <w:rPr>
          <w:rFonts w:ascii="Times New Roman" w:hAnsi="Times New Roman" w:cs="Times New Roman"/>
          <w:lang w:val="en-US"/>
        </w:rPr>
        <w:t xml:space="preserve"> (CR</w:t>
      </w:r>
      <w:r w:rsidRPr="00865DD1">
        <w:rPr>
          <w:rFonts w:ascii="Times New Roman" w:hAnsi="Times New Roman" w:cs="Times New Roman"/>
          <w:vertAlign w:val="subscript"/>
          <w:lang w:val="en-US"/>
        </w:rPr>
        <w:t>t-1</w:t>
      </w:r>
      <w:r>
        <w:rPr>
          <w:rFonts w:ascii="Times New Roman" w:hAnsi="Times New Roman" w:cs="Times New Roman"/>
          <w:lang w:val="en-US"/>
        </w:rPr>
        <w:t>)</w:t>
      </w:r>
      <w:r w:rsidRPr="00844AC5">
        <w:rPr>
          <w:rFonts w:ascii="Times New Roman" w:hAnsi="Times New Roman" w:cs="Times New Roman"/>
          <w:lang w:val="en-US"/>
        </w:rPr>
        <w:t xml:space="preserve">, which measures the degree of persistence of </w:t>
      </w:r>
      <w:r>
        <w:rPr>
          <w:rFonts w:ascii="Times New Roman" w:hAnsi="Times New Roman" w:cs="Times New Roman"/>
          <w:lang w:val="en-US"/>
        </w:rPr>
        <w:t>risk</w:t>
      </w:r>
      <w:r w:rsidRPr="00844AC5">
        <w:rPr>
          <w:rFonts w:ascii="Times New Roman" w:hAnsi="Times New Roman" w:cs="Times New Roman"/>
          <w:lang w:val="en-US"/>
        </w:rPr>
        <w:t xml:space="preserve">, measured by </w:t>
      </w:r>
      <w:r>
        <w:rPr>
          <w:rFonts w:ascii="Times New Roman" w:hAnsi="Times New Roman" w:cs="Times New Roman"/>
          <w:lang w:val="en-US"/>
        </w:rPr>
        <w:t>Z-SCORE</w:t>
      </w:r>
      <w:r w:rsidRPr="00844AC5">
        <w:rPr>
          <w:rFonts w:ascii="Times New Roman" w:hAnsi="Times New Roman" w:cs="Times New Roman"/>
          <w:lang w:val="en-US"/>
        </w:rPr>
        <w:t xml:space="preserve"> or N</w:t>
      </w:r>
      <w:r>
        <w:rPr>
          <w:rFonts w:ascii="Times New Roman" w:hAnsi="Times New Roman" w:cs="Times New Roman"/>
          <w:lang w:val="en-US"/>
        </w:rPr>
        <w:t>PL</w:t>
      </w:r>
      <w:r w:rsidRPr="00844AC5">
        <w:rPr>
          <w:rFonts w:ascii="Times New Roman" w:hAnsi="Times New Roman" w:cs="Times New Roman"/>
          <w:lang w:val="en-US"/>
        </w:rPr>
        <w:t xml:space="preserve">, is statistically significant across all models, indicating a high degree of persistence of bank </w:t>
      </w:r>
      <w:r>
        <w:rPr>
          <w:rFonts w:ascii="Times New Roman" w:hAnsi="Times New Roman" w:cs="Times New Roman"/>
          <w:lang w:val="en-US"/>
        </w:rPr>
        <w:t>insolvency or credit risk</w:t>
      </w:r>
      <w:r w:rsidRPr="00844AC5">
        <w:rPr>
          <w:rFonts w:ascii="Times New Roman" w:hAnsi="Times New Roman" w:cs="Times New Roman"/>
          <w:lang w:val="en-US"/>
        </w:rPr>
        <w:t xml:space="preserve"> and justifying the use of a dynamic model. However, </w:t>
      </w:r>
      <w:r>
        <w:rPr>
          <w:rFonts w:ascii="Times New Roman" w:hAnsi="Times New Roman" w:cs="Times New Roman"/>
          <w:lang w:val="en-US"/>
        </w:rPr>
        <w:t xml:space="preserve">looking to results summarized in table 3, </w:t>
      </w:r>
      <w:r w:rsidRPr="00844AC5">
        <w:rPr>
          <w:rFonts w:ascii="Times New Roman" w:hAnsi="Times New Roman" w:cs="Times New Roman"/>
          <w:lang w:val="en-US"/>
        </w:rPr>
        <w:t>we observe some differences between the estimation results of the different regressions.</w:t>
      </w:r>
    </w:p>
    <w:p w:rsidR="006E7A53" w:rsidRDefault="006E7A53" w:rsidP="006E7A53">
      <w:pPr>
        <w:spacing w:before="240" w:after="0" w:line="276" w:lineRule="auto"/>
        <w:jc w:val="both"/>
        <w:rPr>
          <w:rFonts w:ascii="Times New Roman" w:hAnsi="Times New Roman" w:cs="Times New Roman"/>
          <w:lang w:val="en-US"/>
        </w:rPr>
      </w:pPr>
      <w:r w:rsidRPr="00EA3641">
        <w:rPr>
          <w:rFonts w:ascii="Times New Roman" w:eastAsia="Times New Roman" w:hAnsi="Times New Roman" w:cs="Times New Roman"/>
          <w:lang w:val="en-US" w:eastAsia="fr-FR"/>
        </w:rPr>
        <w:t>According to Rainer and Paul (2007) there is no indication of excessive risk taking by any specific ownership or size categories of banks. Indeed</w:t>
      </w:r>
      <w:r w:rsidRPr="00EA3641">
        <w:rPr>
          <w:rFonts w:ascii="Times New Roman" w:hAnsi="Times New Roman" w:cs="Times New Roman"/>
          <w:lang w:val="en-US"/>
        </w:rPr>
        <w:t xml:space="preserve">, the coefficients of bank size and private ownership are insignificant with bank credit risk. As regards to bank size, this result opposing the findings of Saunders and al. (1990), Chen and al. (1998), </w:t>
      </w:r>
      <w:proofErr w:type="spellStart"/>
      <w:r w:rsidRPr="00EA3641">
        <w:rPr>
          <w:rFonts w:ascii="Times New Roman" w:hAnsi="Times New Roman" w:cs="Times New Roman"/>
          <w:lang w:val="en-US"/>
        </w:rPr>
        <w:t>Cebenoyan</w:t>
      </w:r>
      <w:proofErr w:type="spellEnd"/>
      <w:r w:rsidRPr="00EA3641">
        <w:rPr>
          <w:rFonts w:ascii="Times New Roman" w:hAnsi="Times New Roman" w:cs="Times New Roman"/>
          <w:lang w:val="en-US"/>
        </w:rPr>
        <w:t xml:space="preserve"> et al. (1999) and </w:t>
      </w:r>
      <w:proofErr w:type="spellStart"/>
      <w:r w:rsidRPr="00EA3641">
        <w:rPr>
          <w:rFonts w:ascii="Times New Roman" w:hAnsi="Times New Roman" w:cs="Times New Roman"/>
          <w:lang w:val="en-US"/>
        </w:rPr>
        <w:t>Megginson</w:t>
      </w:r>
      <w:proofErr w:type="spellEnd"/>
      <w:r w:rsidRPr="00EA3641">
        <w:rPr>
          <w:rFonts w:ascii="Times New Roman" w:hAnsi="Times New Roman" w:cs="Times New Roman"/>
          <w:lang w:val="en-US"/>
        </w:rPr>
        <w:t xml:space="preserve"> (2005), can be explained by the fact that Tunisian banks have approximately similar sizes, which leads to a minor influence on the level of credit risk. </w:t>
      </w:r>
    </w:p>
    <w:p w:rsidR="006E7A53" w:rsidRPr="00EA3641" w:rsidRDefault="006E7A53" w:rsidP="006E7A53">
      <w:pPr>
        <w:autoSpaceDE w:val="0"/>
        <w:autoSpaceDN w:val="0"/>
        <w:adjustRightInd w:val="0"/>
        <w:spacing w:before="240" w:after="0" w:line="276" w:lineRule="auto"/>
        <w:jc w:val="both"/>
        <w:rPr>
          <w:rFonts w:ascii="Times New Roman" w:hAnsi="Times New Roman" w:cs="Times New Roman"/>
          <w:lang w:val="en-US"/>
        </w:rPr>
      </w:pPr>
      <w:r w:rsidRPr="00EA3641">
        <w:rPr>
          <w:rFonts w:ascii="Times New Roman" w:hAnsi="Times New Roman" w:cs="Times New Roman"/>
          <w:lang w:val="en-US"/>
        </w:rPr>
        <w:t xml:space="preserve">The prudential regulation of banks’ capital, negatively affect the level of banks’ risks. Indeed, the coefficient of CAPAD is respectively negative and statistically significant at 1% confidence level for NPL and positive and statistically significant at 1% confidence level for Z-SCORE. This result converges with those of Kim and </w:t>
      </w:r>
      <w:proofErr w:type="spellStart"/>
      <w:r w:rsidRPr="00EA3641">
        <w:rPr>
          <w:rFonts w:ascii="Times New Roman" w:hAnsi="Times New Roman" w:cs="Times New Roman"/>
          <w:lang w:val="en-US"/>
        </w:rPr>
        <w:t>Santomero</w:t>
      </w:r>
      <w:proofErr w:type="spellEnd"/>
      <w:r w:rsidRPr="00EA3641">
        <w:rPr>
          <w:rFonts w:ascii="Times New Roman" w:hAnsi="Times New Roman" w:cs="Times New Roman"/>
          <w:lang w:val="en-US"/>
        </w:rPr>
        <w:t xml:space="preserve"> (1988); Furlong and </w:t>
      </w:r>
      <w:proofErr w:type="spellStart"/>
      <w:r w:rsidRPr="00EA3641">
        <w:rPr>
          <w:rFonts w:ascii="Times New Roman" w:hAnsi="Times New Roman" w:cs="Times New Roman"/>
          <w:lang w:val="en-US"/>
        </w:rPr>
        <w:t>Keely</w:t>
      </w:r>
      <w:proofErr w:type="spellEnd"/>
      <w:r w:rsidRPr="00EA3641">
        <w:rPr>
          <w:rFonts w:ascii="Times New Roman" w:hAnsi="Times New Roman" w:cs="Times New Roman"/>
          <w:lang w:val="en-US"/>
        </w:rPr>
        <w:t xml:space="preserve"> (1989, 1990) and Jacques and </w:t>
      </w:r>
      <w:proofErr w:type="spellStart"/>
      <w:r w:rsidRPr="00EA3641">
        <w:rPr>
          <w:rFonts w:ascii="Times New Roman" w:hAnsi="Times New Roman" w:cs="Times New Roman"/>
          <w:lang w:val="en-US"/>
        </w:rPr>
        <w:t>Nigro</w:t>
      </w:r>
      <w:proofErr w:type="spellEnd"/>
      <w:r w:rsidRPr="00EA3641">
        <w:rPr>
          <w:rFonts w:ascii="Times New Roman" w:hAnsi="Times New Roman" w:cs="Times New Roman"/>
          <w:lang w:val="en-US"/>
        </w:rPr>
        <w:t xml:space="preserve"> (1997) which support the fact that the over-capitalized banks force the under-capitalized ones to reduce their potential of credit bank</w:t>
      </w:r>
      <w:r>
        <w:rPr>
          <w:rFonts w:ascii="Times New Roman" w:hAnsi="Times New Roman" w:cs="Times New Roman"/>
          <w:lang w:val="en-US"/>
        </w:rPr>
        <w:t xml:space="preserve"> risk taking. This</w:t>
      </w:r>
      <w:r w:rsidRPr="00EA3641">
        <w:rPr>
          <w:rFonts w:ascii="Times New Roman" w:hAnsi="Times New Roman" w:cs="Times New Roman"/>
          <w:lang w:val="en-US"/>
        </w:rPr>
        <w:t xml:space="preserve"> result can be </w:t>
      </w:r>
      <w:r>
        <w:rPr>
          <w:rFonts w:ascii="Times New Roman" w:hAnsi="Times New Roman" w:cs="Times New Roman"/>
          <w:lang w:val="en-US"/>
        </w:rPr>
        <w:t>justified</w:t>
      </w:r>
      <w:r w:rsidRPr="00EA3641">
        <w:rPr>
          <w:rFonts w:ascii="Times New Roman" w:hAnsi="Times New Roman" w:cs="Times New Roman"/>
          <w:lang w:val="en-US"/>
        </w:rPr>
        <w:t xml:space="preserve"> by the </w:t>
      </w:r>
      <w:r>
        <w:rPr>
          <w:rFonts w:ascii="Times New Roman" w:hAnsi="Times New Roman" w:cs="Times New Roman"/>
          <w:lang w:val="en-US"/>
        </w:rPr>
        <w:t xml:space="preserve">Tunisian Central Bank </w:t>
      </w:r>
      <w:r w:rsidRPr="00EA3641">
        <w:rPr>
          <w:rFonts w:ascii="Times New Roman" w:hAnsi="Times New Roman" w:cs="Times New Roman"/>
          <w:lang w:val="en-US"/>
        </w:rPr>
        <w:t xml:space="preserve">reforms </w:t>
      </w:r>
      <w:r>
        <w:rPr>
          <w:rFonts w:ascii="Times New Roman" w:hAnsi="Times New Roman" w:cs="Times New Roman"/>
          <w:lang w:val="en-US"/>
        </w:rPr>
        <w:t xml:space="preserve">announced </w:t>
      </w:r>
      <w:r w:rsidRPr="00EA3641">
        <w:rPr>
          <w:rFonts w:ascii="Times New Roman" w:hAnsi="Times New Roman" w:cs="Times New Roman"/>
          <w:lang w:val="en-US"/>
        </w:rPr>
        <w:t>in the circular N° 91 of December 17</w:t>
      </w:r>
      <w:r w:rsidRPr="00EA3641">
        <w:rPr>
          <w:rFonts w:ascii="Times New Roman" w:hAnsi="Times New Roman" w:cs="Times New Roman"/>
          <w:vertAlign w:val="superscript"/>
          <w:lang w:val="en-US"/>
        </w:rPr>
        <w:t>th</w:t>
      </w:r>
      <w:r w:rsidRPr="00EA3641">
        <w:rPr>
          <w:rFonts w:ascii="Times New Roman" w:hAnsi="Times New Roman" w:cs="Times New Roman"/>
          <w:lang w:val="en-US"/>
        </w:rPr>
        <w:t>, 1991. Indeed, the new prudential regulation in Tunisia tends to make the Tunisian banks at the same level as their foreign counterparts by imposing to banks to maintain net capital to total risk-weighted assets ratio over 5% with increasing of solvency ratio from 5% to 8%.</w:t>
      </w:r>
    </w:p>
    <w:p w:rsidR="006E7A53" w:rsidRPr="000F2004" w:rsidRDefault="006E7A53" w:rsidP="006E7A53">
      <w:pPr>
        <w:autoSpaceDE w:val="0"/>
        <w:autoSpaceDN w:val="0"/>
        <w:adjustRightInd w:val="0"/>
        <w:spacing w:before="240" w:after="0" w:line="276" w:lineRule="auto"/>
        <w:jc w:val="both"/>
        <w:rPr>
          <w:rFonts w:ascii="Times New Roman" w:hAnsi="Times New Roman" w:cs="Times New Roman"/>
          <w:lang w:val="en-US"/>
        </w:rPr>
      </w:pPr>
      <w:r w:rsidRPr="00EA3641">
        <w:rPr>
          <w:rFonts w:ascii="Times New Roman" w:hAnsi="Times New Roman" w:cs="Times New Roman"/>
          <w:lang w:val="en-US"/>
        </w:rPr>
        <w:t xml:space="preserve">Cost income ratio has a positive relation with NPL and a negative relation with Z-SCORE with coefficients of 0.9338 and -1.6219 respectively. This means as banks improved on operational efficiency, credit risk reduced and vice versa. Operating inefficiency has a statistically significant impact on credit risk level to l 0%. This result is similar </w:t>
      </w:r>
      <w:r>
        <w:rPr>
          <w:rFonts w:ascii="Times New Roman" w:hAnsi="Times New Roman" w:cs="Times New Roman"/>
          <w:lang w:val="en-US"/>
        </w:rPr>
        <w:t>to</w:t>
      </w:r>
      <w:r w:rsidRPr="00EA3641">
        <w:rPr>
          <w:rFonts w:ascii="Times New Roman" w:hAnsi="Times New Roman" w:cs="Times New Roman"/>
          <w:lang w:val="en-US"/>
        </w:rPr>
        <w:t xml:space="preserve"> </w:t>
      </w:r>
      <w:r>
        <w:rPr>
          <w:rFonts w:ascii="Times New Roman" w:hAnsi="Times New Roman" w:cs="Times New Roman"/>
          <w:lang w:val="en-US"/>
        </w:rPr>
        <w:t xml:space="preserve">the findings of Salas and </w:t>
      </w:r>
      <w:proofErr w:type="spellStart"/>
      <w:r>
        <w:rPr>
          <w:rFonts w:ascii="Times New Roman" w:hAnsi="Times New Roman" w:cs="Times New Roman"/>
          <w:lang w:val="en-US"/>
        </w:rPr>
        <w:t>Sauri</w:t>
      </w:r>
      <w:r w:rsidRPr="00EA3641">
        <w:rPr>
          <w:rFonts w:ascii="Times New Roman" w:hAnsi="Times New Roman" w:cs="Times New Roman"/>
          <w:lang w:val="en-US"/>
        </w:rPr>
        <w:t>n</w:t>
      </w:r>
      <w:r>
        <w:rPr>
          <w:rFonts w:ascii="Times New Roman" w:hAnsi="Times New Roman" w:cs="Times New Roman"/>
          <w:lang w:val="en-US"/>
        </w:rPr>
        <w:t>a</w:t>
      </w:r>
      <w:proofErr w:type="spellEnd"/>
      <w:r w:rsidRPr="00EA3641">
        <w:rPr>
          <w:rFonts w:ascii="Times New Roman" w:hAnsi="Times New Roman" w:cs="Times New Roman"/>
          <w:lang w:val="en-US"/>
        </w:rPr>
        <w:t xml:space="preserve"> (2002) and Berger and De Young (1997). </w:t>
      </w:r>
      <w:r>
        <w:rPr>
          <w:rFonts w:ascii="Times New Roman" w:hAnsi="Times New Roman" w:cs="Times New Roman"/>
          <w:lang w:val="en-US"/>
        </w:rPr>
        <w:t>According to those authors,</w:t>
      </w:r>
      <w:r w:rsidRPr="00EA3641">
        <w:rPr>
          <w:rFonts w:ascii="Times New Roman" w:hAnsi="Times New Roman" w:cs="Times New Roman"/>
          <w:lang w:val="en-US"/>
        </w:rPr>
        <w:t xml:space="preserve"> </w:t>
      </w:r>
      <w:r>
        <w:rPr>
          <w:rFonts w:ascii="Times New Roman" w:hAnsi="Times New Roman" w:cs="Times New Roman"/>
          <w:lang w:val="en-US"/>
        </w:rPr>
        <w:t>inefficient</w:t>
      </w:r>
      <w:r w:rsidRPr="00EA3641">
        <w:rPr>
          <w:rFonts w:ascii="Times New Roman" w:hAnsi="Times New Roman" w:cs="Times New Roman"/>
          <w:lang w:val="en-US"/>
        </w:rPr>
        <w:t xml:space="preserve"> management of the banking firms affects the process of granting loans. The banks’ management might not </w:t>
      </w:r>
      <w:r>
        <w:rPr>
          <w:rFonts w:ascii="Times New Roman" w:hAnsi="Times New Roman" w:cs="Times New Roman"/>
          <w:lang w:val="en-US"/>
        </w:rPr>
        <w:t>correctly</w:t>
      </w:r>
      <w:r w:rsidRPr="00EA3641">
        <w:rPr>
          <w:rFonts w:ascii="Times New Roman" w:hAnsi="Times New Roman" w:cs="Times New Roman"/>
          <w:lang w:val="en-US"/>
        </w:rPr>
        <w:t xml:space="preserve"> estimate their customers’ credit application due to their poor evaluation skills and lack of satisfactory resources due to inefficiency. </w:t>
      </w:r>
    </w:p>
    <w:p w:rsidR="003A7458" w:rsidRPr="00EA3641" w:rsidRDefault="007459A5" w:rsidP="00AC3B76">
      <w:pPr>
        <w:spacing w:before="240" w:line="276" w:lineRule="auto"/>
        <w:jc w:val="both"/>
        <w:rPr>
          <w:rFonts w:ascii="Times New Roman" w:hAnsi="Times New Roman" w:cs="Times New Roman"/>
          <w:lang w:val="en-US"/>
        </w:rPr>
      </w:pPr>
      <w:r w:rsidRPr="00EA3641">
        <w:rPr>
          <w:rFonts w:ascii="Times New Roman" w:hAnsi="Times New Roman" w:cs="Times New Roman"/>
          <w:lang w:val="en-US"/>
        </w:rPr>
        <w:t xml:space="preserve">Regarding to industry specific factors, </w:t>
      </w:r>
      <w:r w:rsidR="00B86846" w:rsidRPr="00EA3641">
        <w:rPr>
          <w:rFonts w:ascii="Times New Roman" w:hAnsi="Times New Roman" w:cs="Times New Roman"/>
          <w:lang w:val="en-US"/>
        </w:rPr>
        <w:t xml:space="preserve">only competition proxy affect significantly credit risk. </w:t>
      </w:r>
      <w:r w:rsidR="00E046E5" w:rsidRPr="00EA3641">
        <w:rPr>
          <w:rFonts w:ascii="Times New Roman" w:hAnsi="Times New Roman" w:cs="Times New Roman"/>
          <w:lang w:val="en-US"/>
        </w:rPr>
        <w:t>I</w:t>
      </w:r>
      <w:r w:rsidR="00B86846" w:rsidRPr="00EA3641">
        <w:rPr>
          <w:rFonts w:ascii="Times New Roman" w:hAnsi="Times New Roman" w:cs="Times New Roman"/>
          <w:lang w:val="en-US"/>
        </w:rPr>
        <w:t xml:space="preserve">ndeed, </w:t>
      </w:r>
      <w:r w:rsidR="00500B41" w:rsidRPr="00EA3641">
        <w:rPr>
          <w:rFonts w:ascii="Times New Roman" w:eastAsia="Times New Roman" w:hAnsi="Times New Roman" w:cs="Times New Roman"/>
          <w:lang w:val="en-US" w:eastAsia="fr-FR"/>
        </w:rPr>
        <w:t xml:space="preserve">CONC </w:t>
      </w:r>
      <w:r w:rsidR="004C3195" w:rsidRPr="00EA3641">
        <w:rPr>
          <w:rFonts w:ascii="Times New Roman" w:eastAsia="Times New Roman" w:hAnsi="Times New Roman" w:cs="Times New Roman"/>
          <w:lang w:val="en-US" w:eastAsia="fr-FR"/>
        </w:rPr>
        <w:t>is</w:t>
      </w:r>
      <w:r w:rsidR="00500B41" w:rsidRPr="00EA3641">
        <w:rPr>
          <w:rFonts w:ascii="Times New Roman" w:eastAsia="Times New Roman" w:hAnsi="Times New Roman" w:cs="Times New Roman"/>
          <w:lang w:val="en-US" w:eastAsia="fr-FR"/>
        </w:rPr>
        <w:t xml:space="preserve"> </w:t>
      </w:r>
      <w:r w:rsidR="004C3195" w:rsidRPr="00EA3641">
        <w:rPr>
          <w:rFonts w:ascii="Times New Roman" w:eastAsia="Times New Roman" w:hAnsi="Times New Roman" w:cs="Times New Roman"/>
          <w:lang w:val="en-US" w:eastAsia="fr-FR"/>
        </w:rPr>
        <w:t>positively</w:t>
      </w:r>
      <w:r w:rsidR="00500B41" w:rsidRPr="00EA3641">
        <w:rPr>
          <w:rFonts w:ascii="Times New Roman" w:eastAsia="Times New Roman" w:hAnsi="Times New Roman" w:cs="Times New Roman"/>
          <w:lang w:val="en-US" w:eastAsia="fr-FR"/>
        </w:rPr>
        <w:t xml:space="preserve"> </w:t>
      </w:r>
      <w:r w:rsidR="004C3195" w:rsidRPr="00EA3641">
        <w:rPr>
          <w:rFonts w:ascii="Times New Roman" w:eastAsia="Times New Roman" w:hAnsi="Times New Roman" w:cs="Times New Roman"/>
          <w:lang w:val="en-US" w:eastAsia="fr-FR"/>
        </w:rPr>
        <w:t>associated to</w:t>
      </w:r>
      <w:r w:rsidR="00500B41" w:rsidRPr="00EA3641">
        <w:rPr>
          <w:rFonts w:ascii="Times New Roman" w:eastAsia="Times New Roman" w:hAnsi="Times New Roman" w:cs="Times New Roman"/>
          <w:lang w:val="en-US" w:eastAsia="fr-FR"/>
        </w:rPr>
        <w:t xml:space="preserve"> the dependent variable Z-SCORE. </w:t>
      </w:r>
      <w:r w:rsidR="004C3195" w:rsidRPr="00EA3641">
        <w:rPr>
          <w:rFonts w:ascii="Times New Roman" w:eastAsia="Times New Roman" w:hAnsi="Times New Roman" w:cs="Times New Roman"/>
          <w:lang w:val="en-US" w:eastAsia="fr-FR"/>
        </w:rPr>
        <w:t>W</w:t>
      </w:r>
      <w:r w:rsidR="00500B41" w:rsidRPr="00EA3641">
        <w:rPr>
          <w:rFonts w:ascii="Times New Roman" w:eastAsia="Times New Roman" w:hAnsi="Times New Roman" w:cs="Times New Roman"/>
          <w:lang w:val="en-US" w:eastAsia="fr-FR"/>
        </w:rPr>
        <w:t>hile it</w:t>
      </w:r>
      <w:r w:rsidR="004C3195" w:rsidRPr="00EA3641">
        <w:rPr>
          <w:rFonts w:ascii="Times New Roman" w:eastAsia="Times New Roman" w:hAnsi="Times New Roman" w:cs="Times New Roman"/>
          <w:lang w:val="en-US" w:eastAsia="fr-FR"/>
        </w:rPr>
        <w:t xml:space="preserve"> i</w:t>
      </w:r>
      <w:r w:rsidR="00500B41" w:rsidRPr="00EA3641">
        <w:rPr>
          <w:rFonts w:ascii="Times New Roman" w:eastAsia="Times New Roman" w:hAnsi="Times New Roman" w:cs="Times New Roman"/>
          <w:lang w:val="en-US" w:eastAsia="fr-FR"/>
        </w:rPr>
        <w:t xml:space="preserve">s </w:t>
      </w:r>
      <w:r w:rsidR="004C3195" w:rsidRPr="00EA3641">
        <w:rPr>
          <w:rFonts w:ascii="Times New Roman" w:eastAsia="Times New Roman" w:hAnsi="Times New Roman" w:cs="Times New Roman"/>
          <w:lang w:val="en-US" w:eastAsia="fr-FR"/>
        </w:rPr>
        <w:t>negatively</w:t>
      </w:r>
      <w:r w:rsidR="00500B41" w:rsidRPr="00EA3641">
        <w:rPr>
          <w:rFonts w:ascii="Times New Roman" w:eastAsia="Times New Roman" w:hAnsi="Times New Roman" w:cs="Times New Roman"/>
          <w:lang w:val="en-US" w:eastAsia="fr-FR"/>
        </w:rPr>
        <w:t xml:space="preserve"> and significantly at the level of 1 % </w:t>
      </w:r>
      <w:r w:rsidR="004C3195" w:rsidRPr="00EA3641">
        <w:rPr>
          <w:rFonts w:ascii="Times New Roman" w:eastAsia="Times New Roman" w:hAnsi="Times New Roman" w:cs="Times New Roman"/>
          <w:lang w:val="en-US" w:eastAsia="fr-FR"/>
        </w:rPr>
        <w:t>associated to</w:t>
      </w:r>
      <w:r w:rsidR="00500B41" w:rsidRPr="00EA3641">
        <w:rPr>
          <w:rFonts w:ascii="Times New Roman" w:eastAsia="Times New Roman" w:hAnsi="Times New Roman" w:cs="Times New Roman"/>
          <w:lang w:val="en-US" w:eastAsia="fr-FR"/>
        </w:rPr>
        <w:t xml:space="preserve"> NPL. </w:t>
      </w:r>
      <w:r w:rsidR="0083164F" w:rsidRPr="00EA3641">
        <w:rPr>
          <w:rFonts w:ascii="Times New Roman" w:eastAsia="Times New Roman" w:hAnsi="Times New Roman" w:cs="Times New Roman"/>
          <w:lang w:val="en-US" w:eastAsia="fr-FR"/>
        </w:rPr>
        <w:t>These findings support</w:t>
      </w:r>
      <w:r w:rsidR="004C3195" w:rsidRPr="00EA3641">
        <w:rPr>
          <w:rFonts w:ascii="Times New Roman" w:eastAsia="Times New Roman" w:hAnsi="Times New Roman" w:cs="Times New Roman"/>
          <w:lang w:val="en-US" w:eastAsia="fr-FR"/>
        </w:rPr>
        <w:t xml:space="preserve"> the hypothesis that more competitiveness among banks </w:t>
      </w:r>
      <w:r w:rsidR="0083164F" w:rsidRPr="00EA3641">
        <w:rPr>
          <w:rFonts w:ascii="Times New Roman" w:eastAsia="Times New Roman" w:hAnsi="Times New Roman" w:cs="Times New Roman"/>
          <w:lang w:val="en-US" w:eastAsia="fr-FR"/>
        </w:rPr>
        <w:t>encourages</w:t>
      </w:r>
      <w:r w:rsidR="004C3195" w:rsidRPr="00EA3641">
        <w:rPr>
          <w:rFonts w:ascii="Times New Roman" w:eastAsia="Times New Roman" w:hAnsi="Times New Roman" w:cs="Times New Roman"/>
          <w:lang w:val="en-US" w:eastAsia="fr-FR"/>
        </w:rPr>
        <w:t xml:space="preserve"> bank risk taking behavior. </w:t>
      </w:r>
      <w:r w:rsidR="00500B41" w:rsidRPr="00EA3641">
        <w:rPr>
          <w:rFonts w:ascii="Times New Roman" w:eastAsia="Times New Roman" w:hAnsi="Times New Roman" w:cs="Times New Roman"/>
          <w:lang w:val="en-US" w:eastAsia="fr-FR"/>
        </w:rPr>
        <w:t xml:space="preserve">This </w:t>
      </w:r>
      <w:r w:rsidR="001E66D0">
        <w:rPr>
          <w:rFonts w:ascii="Times New Roman" w:eastAsia="Times New Roman" w:hAnsi="Times New Roman" w:cs="Times New Roman"/>
          <w:lang w:val="en-US" w:eastAsia="fr-FR"/>
        </w:rPr>
        <w:t xml:space="preserve">finding </w:t>
      </w:r>
      <w:r w:rsidR="00500B41" w:rsidRPr="00EA3641">
        <w:rPr>
          <w:rFonts w:ascii="Times New Roman" w:eastAsia="Times New Roman" w:hAnsi="Times New Roman" w:cs="Times New Roman"/>
          <w:lang w:val="en-US" w:eastAsia="fr-FR"/>
        </w:rPr>
        <w:t xml:space="preserve">could </w:t>
      </w:r>
      <w:r w:rsidR="001E66D0" w:rsidRPr="00EA3641">
        <w:rPr>
          <w:rFonts w:ascii="Times New Roman" w:eastAsia="Times New Roman" w:hAnsi="Times New Roman" w:cs="Times New Roman"/>
          <w:lang w:val="en-US" w:eastAsia="fr-FR"/>
        </w:rPr>
        <w:t>make clear</w:t>
      </w:r>
      <w:r w:rsidR="00500B41" w:rsidRPr="00EA3641">
        <w:rPr>
          <w:rFonts w:ascii="Times New Roman" w:eastAsia="Times New Roman" w:hAnsi="Times New Roman" w:cs="Times New Roman"/>
          <w:lang w:val="en-US" w:eastAsia="fr-FR"/>
        </w:rPr>
        <w:t xml:space="preserve"> that Tunisian</w:t>
      </w:r>
      <w:r w:rsidR="003A7458" w:rsidRPr="00EA3641">
        <w:rPr>
          <w:rFonts w:ascii="Times New Roman" w:eastAsia="Times New Roman" w:hAnsi="Times New Roman" w:cs="Times New Roman"/>
          <w:lang w:val="en-US" w:eastAsia="fr-FR"/>
        </w:rPr>
        <w:t xml:space="preserve"> bank</w:t>
      </w:r>
      <w:r w:rsidR="00500B41" w:rsidRPr="00EA3641">
        <w:rPr>
          <w:rFonts w:ascii="Times New Roman" w:eastAsia="Times New Roman" w:hAnsi="Times New Roman" w:cs="Times New Roman"/>
          <w:lang w:val="en-US" w:eastAsia="fr-FR"/>
        </w:rPr>
        <w:t>s</w:t>
      </w:r>
      <w:r w:rsidR="001E66D0">
        <w:rPr>
          <w:rFonts w:ascii="Times New Roman" w:eastAsia="Times New Roman" w:hAnsi="Times New Roman" w:cs="Times New Roman"/>
          <w:lang w:val="en-US" w:eastAsia="fr-FR"/>
        </w:rPr>
        <w:t xml:space="preserve"> suffer</w:t>
      </w:r>
      <w:r w:rsidR="003A7458" w:rsidRPr="00EA3641">
        <w:rPr>
          <w:rFonts w:ascii="Times New Roman" w:eastAsia="Times New Roman" w:hAnsi="Times New Roman" w:cs="Times New Roman"/>
          <w:lang w:val="en-US" w:eastAsia="fr-FR"/>
        </w:rPr>
        <w:t xml:space="preserve"> from </w:t>
      </w:r>
      <w:r w:rsidR="001E66D0" w:rsidRPr="00EA3641">
        <w:rPr>
          <w:rFonts w:ascii="Times New Roman" w:eastAsia="Times New Roman" w:hAnsi="Times New Roman" w:cs="Times New Roman"/>
          <w:lang w:val="en-US" w:eastAsia="fr-FR"/>
        </w:rPr>
        <w:t xml:space="preserve">market pressure </w:t>
      </w:r>
      <w:r w:rsidR="001E66D0">
        <w:rPr>
          <w:rFonts w:ascii="Times New Roman" w:eastAsia="Times New Roman" w:hAnsi="Times New Roman" w:cs="Times New Roman"/>
          <w:lang w:val="en-US" w:eastAsia="fr-FR"/>
        </w:rPr>
        <w:t xml:space="preserve">and </w:t>
      </w:r>
      <w:r w:rsidR="001E66D0" w:rsidRPr="00EA3641">
        <w:rPr>
          <w:rFonts w:ascii="Times New Roman" w:eastAsia="Times New Roman" w:hAnsi="Times New Roman" w:cs="Times New Roman"/>
          <w:lang w:val="en-US" w:eastAsia="fr-FR"/>
        </w:rPr>
        <w:t>diverse</w:t>
      </w:r>
      <w:r w:rsidR="003A7458" w:rsidRPr="00EA3641">
        <w:rPr>
          <w:rFonts w:ascii="Times New Roman" w:eastAsia="Times New Roman" w:hAnsi="Times New Roman" w:cs="Times New Roman"/>
          <w:lang w:val="en-US" w:eastAsia="fr-FR"/>
        </w:rPr>
        <w:t xml:space="preserve"> types of </w:t>
      </w:r>
      <w:r w:rsidR="001E66D0">
        <w:rPr>
          <w:rFonts w:ascii="Times New Roman" w:eastAsia="Times New Roman" w:hAnsi="Times New Roman" w:cs="Times New Roman"/>
          <w:lang w:val="en-US" w:eastAsia="fr-FR"/>
        </w:rPr>
        <w:t>rivalries</w:t>
      </w:r>
      <w:r w:rsidR="003A7458" w:rsidRPr="00EA3641">
        <w:rPr>
          <w:rFonts w:ascii="Times New Roman" w:eastAsia="Times New Roman" w:hAnsi="Times New Roman" w:cs="Times New Roman"/>
          <w:lang w:val="en-US" w:eastAsia="fr-FR"/>
        </w:rPr>
        <w:t xml:space="preserve">. </w:t>
      </w:r>
      <w:r w:rsidR="00E3624A" w:rsidRPr="00EA3641">
        <w:rPr>
          <w:rFonts w:ascii="Times New Roman" w:eastAsia="Times New Roman" w:hAnsi="Times New Roman" w:cs="Times New Roman"/>
          <w:lang w:val="en-US" w:eastAsia="fr-FR"/>
        </w:rPr>
        <w:t>C</w:t>
      </w:r>
      <w:r w:rsidR="003A7458" w:rsidRPr="00EA3641">
        <w:rPr>
          <w:rFonts w:ascii="Times New Roman" w:eastAsia="Times New Roman" w:hAnsi="Times New Roman" w:cs="Times New Roman"/>
          <w:lang w:val="en-US" w:eastAsia="fr-FR"/>
        </w:rPr>
        <w:t>ompetiti</w:t>
      </w:r>
      <w:r w:rsidR="00E3624A">
        <w:rPr>
          <w:rFonts w:ascii="Times New Roman" w:eastAsia="Times New Roman" w:hAnsi="Times New Roman" w:cs="Times New Roman"/>
          <w:lang w:val="en-US" w:eastAsia="fr-FR"/>
        </w:rPr>
        <w:t>veness among Tunisian banks</w:t>
      </w:r>
      <w:r w:rsidR="003A7458" w:rsidRPr="00EA3641">
        <w:rPr>
          <w:rFonts w:ascii="Times New Roman" w:eastAsia="Times New Roman" w:hAnsi="Times New Roman" w:cs="Times New Roman"/>
          <w:lang w:val="en-US" w:eastAsia="fr-FR"/>
        </w:rPr>
        <w:t xml:space="preserve"> </w:t>
      </w:r>
      <w:r w:rsidR="00E3624A">
        <w:rPr>
          <w:rFonts w:ascii="Times New Roman" w:eastAsia="Times New Roman" w:hAnsi="Times New Roman" w:cs="Times New Roman"/>
          <w:lang w:val="en-US" w:eastAsia="fr-FR"/>
        </w:rPr>
        <w:t xml:space="preserve">may </w:t>
      </w:r>
      <w:r w:rsidR="00E3624A" w:rsidRPr="00EA3641">
        <w:rPr>
          <w:rFonts w:ascii="Times New Roman" w:eastAsia="Times New Roman" w:hAnsi="Times New Roman" w:cs="Times New Roman"/>
          <w:lang w:val="en-US" w:eastAsia="fr-FR"/>
        </w:rPr>
        <w:t>push</w:t>
      </w:r>
      <w:r w:rsidR="003A7458" w:rsidRPr="00EA3641">
        <w:rPr>
          <w:rFonts w:ascii="Times New Roman" w:eastAsia="Times New Roman" w:hAnsi="Times New Roman" w:cs="Times New Roman"/>
          <w:lang w:val="en-US" w:eastAsia="fr-FR"/>
        </w:rPr>
        <w:t xml:space="preserve"> </w:t>
      </w:r>
      <w:r w:rsidR="00E3624A">
        <w:rPr>
          <w:rFonts w:ascii="Times New Roman" w:eastAsia="Times New Roman" w:hAnsi="Times New Roman" w:cs="Times New Roman"/>
          <w:lang w:val="en-US" w:eastAsia="fr-FR"/>
        </w:rPr>
        <w:t>them</w:t>
      </w:r>
      <w:r w:rsidR="003A7458" w:rsidRPr="00EA3641">
        <w:rPr>
          <w:rFonts w:ascii="Times New Roman" w:eastAsia="Times New Roman" w:hAnsi="Times New Roman" w:cs="Times New Roman"/>
          <w:lang w:val="en-US" w:eastAsia="fr-FR"/>
        </w:rPr>
        <w:t xml:space="preserve"> to develop risky activitie</w:t>
      </w:r>
      <w:r w:rsidR="00500B41" w:rsidRPr="00EA3641">
        <w:rPr>
          <w:rFonts w:ascii="Times New Roman" w:eastAsia="Times New Roman" w:hAnsi="Times New Roman" w:cs="Times New Roman"/>
          <w:lang w:val="en-US" w:eastAsia="fr-FR"/>
        </w:rPr>
        <w:t xml:space="preserve">s to </w:t>
      </w:r>
      <w:r w:rsidR="003A7458" w:rsidRPr="00EA3641">
        <w:rPr>
          <w:rFonts w:ascii="Times New Roman" w:eastAsia="Times New Roman" w:hAnsi="Times New Roman" w:cs="Times New Roman"/>
          <w:lang w:val="en-US" w:eastAsia="fr-FR"/>
        </w:rPr>
        <w:t>compensate</w:t>
      </w:r>
      <w:r w:rsidR="00E3624A">
        <w:rPr>
          <w:rFonts w:ascii="Times New Roman" w:eastAsia="Times New Roman" w:hAnsi="Times New Roman" w:cs="Times New Roman"/>
          <w:lang w:val="en-US" w:eastAsia="fr-FR"/>
        </w:rPr>
        <w:t xml:space="preserve"> the loss of revenues.</w:t>
      </w:r>
    </w:p>
    <w:p w:rsidR="001C2149" w:rsidRPr="00EA3641" w:rsidRDefault="00524BE1" w:rsidP="00AC3B76">
      <w:pPr>
        <w:spacing w:before="240" w:after="0" w:line="276" w:lineRule="auto"/>
        <w:jc w:val="both"/>
        <w:rPr>
          <w:rFonts w:ascii="Times New Roman" w:eastAsia="Times New Roman" w:hAnsi="Times New Roman" w:cs="Times New Roman"/>
          <w:sz w:val="25"/>
          <w:szCs w:val="25"/>
          <w:lang w:val="en-US" w:eastAsia="fr-FR"/>
        </w:rPr>
      </w:pPr>
      <w:r w:rsidRPr="00EA3641">
        <w:rPr>
          <w:rFonts w:ascii="Times New Roman" w:hAnsi="Times New Roman" w:cs="Times New Roman"/>
          <w:lang w:val="en-US"/>
        </w:rPr>
        <w:t>Finally, the results point out th</w:t>
      </w:r>
      <w:r w:rsidR="004C6E3C" w:rsidRPr="00EA3641">
        <w:rPr>
          <w:rFonts w:ascii="Times New Roman" w:hAnsi="Times New Roman" w:cs="Times New Roman"/>
          <w:lang w:val="en-US"/>
        </w:rPr>
        <w:t xml:space="preserve">e </w:t>
      </w:r>
      <w:r w:rsidR="00F72942" w:rsidRPr="00EA3641">
        <w:rPr>
          <w:rFonts w:ascii="Times New Roman" w:hAnsi="Times New Roman" w:cs="Times New Roman"/>
          <w:lang w:val="en-US"/>
        </w:rPr>
        <w:t xml:space="preserve">decisive </w:t>
      </w:r>
      <w:r w:rsidR="004C6E3C" w:rsidRPr="00EA3641">
        <w:rPr>
          <w:rFonts w:ascii="Times New Roman" w:hAnsi="Times New Roman" w:cs="Times New Roman"/>
          <w:lang w:val="en-US"/>
        </w:rPr>
        <w:t xml:space="preserve">role of </w:t>
      </w:r>
      <w:r w:rsidRPr="00EA3641">
        <w:rPr>
          <w:rFonts w:ascii="Times New Roman" w:hAnsi="Times New Roman" w:cs="Times New Roman"/>
          <w:lang w:val="en-US"/>
        </w:rPr>
        <w:t xml:space="preserve">the macroeconomic </w:t>
      </w:r>
      <w:r w:rsidR="004C6E3C" w:rsidRPr="00EA3641">
        <w:rPr>
          <w:rFonts w:ascii="Times New Roman" w:hAnsi="Times New Roman" w:cs="Times New Roman"/>
          <w:lang w:val="en-US"/>
        </w:rPr>
        <w:t xml:space="preserve">factors in </w:t>
      </w:r>
      <w:r w:rsidR="00EA3641" w:rsidRPr="00EA3641">
        <w:rPr>
          <w:rFonts w:ascii="Times New Roman" w:hAnsi="Times New Roman" w:cs="Times New Roman"/>
          <w:lang w:val="en-US"/>
        </w:rPr>
        <w:t xml:space="preserve">Tunisian bank credit </w:t>
      </w:r>
      <w:r w:rsidRPr="00EA3641">
        <w:rPr>
          <w:rFonts w:ascii="Times New Roman" w:hAnsi="Times New Roman" w:cs="Times New Roman"/>
          <w:lang w:val="en-US"/>
        </w:rPr>
        <w:t xml:space="preserve">risk-taking </w:t>
      </w:r>
      <w:r w:rsidR="004C6E3C" w:rsidRPr="00EA3641">
        <w:rPr>
          <w:rFonts w:ascii="Times New Roman" w:hAnsi="Times New Roman" w:cs="Times New Roman"/>
          <w:lang w:val="en-US"/>
        </w:rPr>
        <w:t>behavior</w:t>
      </w:r>
      <w:r w:rsidRPr="00EA3641">
        <w:rPr>
          <w:rFonts w:ascii="Times New Roman" w:hAnsi="Times New Roman" w:cs="Times New Roman"/>
          <w:lang w:val="en-US"/>
        </w:rPr>
        <w:t xml:space="preserve">. Indeed, the coefficients of GDP Growth and inflation rate are statistically significant at 5% </w:t>
      </w:r>
      <w:r w:rsidR="000F2004" w:rsidRPr="00EA3641">
        <w:rPr>
          <w:rFonts w:ascii="Times New Roman" w:hAnsi="Times New Roman" w:cs="Times New Roman"/>
          <w:lang w:val="en-US"/>
        </w:rPr>
        <w:t xml:space="preserve">confidence </w:t>
      </w:r>
      <w:r w:rsidRPr="00EA3641">
        <w:rPr>
          <w:rFonts w:ascii="Times New Roman" w:hAnsi="Times New Roman" w:cs="Times New Roman"/>
          <w:lang w:val="en-US"/>
        </w:rPr>
        <w:t>level for all our regressions.</w:t>
      </w:r>
      <w:r w:rsidR="004C6E3C" w:rsidRPr="00EA3641">
        <w:rPr>
          <w:rFonts w:ascii="Times New Roman" w:hAnsi="Times New Roman" w:cs="Times New Roman"/>
          <w:lang w:val="en-US"/>
        </w:rPr>
        <w:t xml:space="preserve"> GDP coefficient is negatively associated to NPL and positively associated to Z-SCORE indicating that as economic performance improves the level of credit risk declines. </w:t>
      </w:r>
      <w:r w:rsidR="00F72942" w:rsidRPr="00EA3641">
        <w:rPr>
          <w:rFonts w:ascii="Times New Roman" w:hAnsi="Times New Roman" w:cs="Times New Roman"/>
          <w:lang w:val="en-US"/>
        </w:rPr>
        <w:t>Similarly, i</w:t>
      </w:r>
      <w:r w:rsidR="004C6E3C" w:rsidRPr="00EA3641">
        <w:rPr>
          <w:rFonts w:ascii="Times New Roman" w:hAnsi="Times New Roman" w:cs="Times New Roman"/>
          <w:lang w:val="en-US"/>
        </w:rPr>
        <w:t xml:space="preserve">nflation </w:t>
      </w:r>
      <w:r w:rsidR="00F72942" w:rsidRPr="00EA3641">
        <w:rPr>
          <w:rFonts w:ascii="Times New Roman" w:hAnsi="Times New Roman" w:cs="Times New Roman"/>
          <w:lang w:val="en-US"/>
        </w:rPr>
        <w:t>coefficients</w:t>
      </w:r>
      <w:r w:rsidR="004C6E3C" w:rsidRPr="00EA3641">
        <w:rPr>
          <w:rFonts w:ascii="Times New Roman" w:hAnsi="Times New Roman" w:cs="Times New Roman"/>
          <w:lang w:val="en-US"/>
        </w:rPr>
        <w:t xml:space="preserve"> imply that positive (increase) inflation reduced credit risk.</w:t>
      </w:r>
      <w:r w:rsidR="001C2149" w:rsidRPr="00EA3641">
        <w:rPr>
          <w:rFonts w:ascii="Times New Roman" w:hAnsi="Times New Roman" w:cs="Times New Roman"/>
          <w:lang w:val="en-US"/>
        </w:rPr>
        <w:t xml:space="preserve"> In other words, </w:t>
      </w:r>
      <w:r w:rsidR="001C2149" w:rsidRPr="00EA3641">
        <w:rPr>
          <w:rFonts w:ascii="Times New Roman" w:eastAsia="Times New Roman" w:hAnsi="Times New Roman" w:cs="Times New Roman"/>
          <w:lang w:val="en-US" w:eastAsia="fr-FR"/>
        </w:rPr>
        <w:t xml:space="preserve">during a high inflation period, Tunisian banks not intend to </w:t>
      </w:r>
      <w:r w:rsidR="001E2CF7" w:rsidRPr="00EA3641">
        <w:rPr>
          <w:rFonts w:ascii="Times New Roman" w:eastAsia="Times New Roman" w:hAnsi="Times New Roman" w:cs="Times New Roman"/>
          <w:lang w:val="en-US" w:eastAsia="fr-FR"/>
        </w:rPr>
        <w:t>distribute</w:t>
      </w:r>
      <w:r w:rsidR="001C2149" w:rsidRPr="00EA3641">
        <w:rPr>
          <w:rFonts w:ascii="Times New Roman" w:eastAsia="Times New Roman" w:hAnsi="Times New Roman" w:cs="Times New Roman"/>
          <w:lang w:val="en-US" w:eastAsia="fr-FR"/>
        </w:rPr>
        <w:t xml:space="preserve"> long term loan and they </w:t>
      </w:r>
      <w:r w:rsidR="001E2CF7" w:rsidRPr="00EA3641">
        <w:rPr>
          <w:rFonts w:ascii="Times New Roman" w:eastAsia="Times New Roman" w:hAnsi="Times New Roman" w:cs="Times New Roman"/>
          <w:lang w:val="en-US" w:eastAsia="fr-FR"/>
        </w:rPr>
        <w:t>maintain</w:t>
      </w:r>
      <w:r w:rsidR="001C2149" w:rsidRPr="00EA3641">
        <w:rPr>
          <w:rFonts w:ascii="Times New Roman" w:eastAsia="Times New Roman" w:hAnsi="Times New Roman" w:cs="Times New Roman"/>
          <w:lang w:val="en-US" w:eastAsia="fr-FR"/>
        </w:rPr>
        <w:t xml:space="preserve"> the lending only in </w:t>
      </w:r>
      <w:r w:rsidR="001E2CF7" w:rsidRPr="00EA3641">
        <w:rPr>
          <w:rFonts w:ascii="Times New Roman" w:eastAsia="Times New Roman" w:hAnsi="Times New Roman" w:cs="Times New Roman"/>
          <w:lang w:val="en-US" w:eastAsia="fr-FR"/>
        </w:rPr>
        <w:t>guaranteed</w:t>
      </w:r>
      <w:r w:rsidR="001C2149" w:rsidRPr="00EA3641">
        <w:rPr>
          <w:rFonts w:ascii="Times New Roman" w:eastAsia="Times New Roman" w:hAnsi="Times New Roman" w:cs="Times New Roman"/>
          <w:lang w:val="en-US" w:eastAsia="fr-FR"/>
        </w:rPr>
        <w:t xml:space="preserve"> sectors in the economy. This process </w:t>
      </w:r>
      <w:r w:rsidR="001E2CF7" w:rsidRPr="00EA3641">
        <w:rPr>
          <w:rFonts w:ascii="Times New Roman" w:eastAsia="Times New Roman" w:hAnsi="Times New Roman" w:cs="Times New Roman"/>
          <w:lang w:val="en-US" w:eastAsia="fr-FR"/>
        </w:rPr>
        <w:t>reduce</w:t>
      </w:r>
      <w:r w:rsidR="001E2CF7">
        <w:rPr>
          <w:rFonts w:ascii="Times New Roman" w:eastAsia="Times New Roman" w:hAnsi="Times New Roman" w:cs="Times New Roman"/>
          <w:lang w:val="en-US" w:eastAsia="fr-FR"/>
        </w:rPr>
        <w:t>s</w:t>
      </w:r>
      <w:r w:rsidR="001C2149" w:rsidRPr="00EA3641">
        <w:rPr>
          <w:rFonts w:ascii="Times New Roman" w:eastAsia="Times New Roman" w:hAnsi="Times New Roman" w:cs="Times New Roman"/>
          <w:lang w:val="en-US" w:eastAsia="fr-FR"/>
        </w:rPr>
        <w:t xml:space="preserve"> the loan </w:t>
      </w:r>
      <w:r w:rsidR="001E2CF7" w:rsidRPr="00EA3641">
        <w:rPr>
          <w:rFonts w:ascii="Times New Roman" w:eastAsia="Times New Roman" w:hAnsi="Times New Roman" w:cs="Times New Roman"/>
          <w:lang w:val="en-US" w:eastAsia="fr-FR"/>
        </w:rPr>
        <w:t>amount</w:t>
      </w:r>
      <w:r w:rsidR="001C2149" w:rsidRPr="00EA3641">
        <w:rPr>
          <w:rFonts w:ascii="Times New Roman" w:eastAsia="Times New Roman" w:hAnsi="Times New Roman" w:cs="Times New Roman"/>
          <w:lang w:val="en-US" w:eastAsia="fr-FR"/>
        </w:rPr>
        <w:t xml:space="preserve"> and the banks become more selective of high quality borrowers which </w:t>
      </w:r>
      <w:r w:rsidR="001E2CF7" w:rsidRPr="00EA3641">
        <w:rPr>
          <w:rFonts w:ascii="Times New Roman" w:eastAsia="Times New Roman" w:hAnsi="Times New Roman" w:cs="Times New Roman"/>
          <w:lang w:val="en-US" w:eastAsia="fr-FR"/>
        </w:rPr>
        <w:t>diminish</w:t>
      </w:r>
      <w:r w:rsidR="001C2149" w:rsidRPr="00EA3641">
        <w:rPr>
          <w:rFonts w:ascii="Times New Roman" w:eastAsia="Times New Roman" w:hAnsi="Times New Roman" w:cs="Times New Roman"/>
          <w:lang w:val="en-US" w:eastAsia="fr-FR"/>
        </w:rPr>
        <w:t xml:space="preserve"> the bank’s credit risk. </w:t>
      </w:r>
      <w:r w:rsidR="001E2CF7">
        <w:rPr>
          <w:rFonts w:ascii="Times New Roman" w:eastAsia="Times New Roman" w:hAnsi="Times New Roman" w:cs="Times New Roman"/>
          <w:lang w:val="en-US" w:eastAsia="fr-FR"/>
        </w:rPr>
        <w:t xml:space="preserve">Those </w:t>
      </w:r>
      <w:r w:rsidR="001E2CF7" w:rsidRPr="00EA3641">
        <w:rPr>
          <w:rFonts w:ascii="Times New Roman" w:eastAsia="Times New Roman" w:hAnsi="Times New Roman" w:cs="Times New Roman"/>
          <w:lang w:val="en-US" w:eastAsia="fr-FR"/>
        </w:rPr>
        <w:t xml:space="preserve">findings </w:t>
      </w:r>
      <w:r w:rsidR="001C2149" w:rsidRPr="00EA3641">
        <w:rPr>
          <w:rFonts w:ascii="Times New Roman" w:eastAsia="Times New Roman" w:hAnsi="Times New Roman" w:cs="Times New Roman"/>
          <w:lang w:val="en-US" w:eastAsia="fr-FR"/>
        </w:rPr>
        <w:t xml:space="preserve">confirm the </w:t>
      </w:r>
      <w:r w:rsidR="001E2CF7" w:rsidRPr="00EA3641">
        <w:rPr>
          <w:rFonts w:ascii="Times New Roman" w:eastAsia="Times New Roman" w:hAnsi="Times New Roman" w:cs="Times New Roman"/>
          <w:lang w:val="en-US" w:eastAsia="fr-FR"/>
        </w:rPr>
        <w:t xml:space="preserve">results </w:t>
      </w:r>
      <w:r w:rsidR="001C2149" w:rsidRPr="00EA3641">
        <w:rPr>
          <w:rFonts w:ascii="Times New Roman" w:eastAsia="Times New Roman" w:hAnsi="Times New Roman" w:cs="Times New Roman"/>
          <w:lang w:val="en-US" w:eastAsia="fr-FR"/>
        </w:rPr>
        <w:t xml:space="preserve">of </w:t>
      </w:r>
      <w:proofErr w:type="spellStart"/>
      <w:r w:rsidR="001C2149" w:rsidRPr="00EA3641">
        <w:rPr>
          <w:rFonts w:ascii="Times New Roman" w:eastAsia="Times New Roman" w:hAnsi="Times New Roman" w:cs="Times New Roman"/>
          <w:lang w:val="en-US" w:eastAsia="fr-FR"/>
        </w:rPr>
        <w:t>Shu</w:t>
      </w:r>
      <w:proofErr w:type="spellEnd"/>
      <w:r w:rsidR="001C2149" w:rsidRPr="00EA3641">
        <w:rPr>
          <w:rFonts w:ascii="Times New Roman" w:eastAsia="Times New Roman" w:hAnsi="Times New Roman" w:cs="Times New Roman"/>
          <w:lang w:val="en-US" w:eastAsia="fr-FR"/>
        </w:rPr>
        <w:t xml:space="preserve"> (2002), </w:t>
      </w:r>
      <w:proofErr w:type="spellStart"/>
      <w:r w:rsidR="001E2CF7" w:rsidRPr="00EA3641">
        <w:rPr>
          <w:rFonts w:ascii="Times New Roman" w:eastAsia="Times New Roman" w:hAnsi="Times New Roman" w:cs="Times New Roman"/>
          <w:lang w:val="en-US" w:eastAsia="fr-FR"/>
        </w:rPr>
        <w:t>Vogiazas</w:t>
      </w:r>
      <w:proofErr w:type="spellEnd"/>
      <w:r w:rsidR="001E2CF7" w:rsidRPr="00EA3641">
        <w:rPr>
          <w:rFonts w:ascii="Times New Roman" w:eastAsia="Times New Roman" w:hAnsi="Times New Roman" w:cs="Times New Roman"/>
          <w:lang w:val="en-US" w:eastAsia="fr-FR"/>
        </w:rPr>
        <w:t xml:space="preserve"> and </w:t>
      </w:r>
      <w:proofErr w:type="spellStart"/>
      <w:r w:rsidR="001E2CF7" w:rsidRPr="00EA3641">
        <w:rPr>
          <w:rFonts w:ascii="Times New Roman" w:eastAsia="Times New Roman" w:hAnsi="Times New Roman" w:cs="Times New Roman"/>
          <w:lang w:val="en-US" w:eastAsia="fr-FR"/>
        </w:rPr>
        <w:t>Nikolaidou</w:t>
      </w:r>
      <w:proofErr w:type="spellEnd"/>
      <w:r w:rsidR="001E2CF7" w:rsidRPr="00EA3641">
        <w:rPr>
          <w:rFonts w:ascii="Times New Roman" w:eastAsia="Times New Roman" w:hAnsi="Times New Roman" w:cs="Times New Roman"/>
          <w:lang w:val="en-US" w:eastAsia="fr-FR"/>
        </w:rPr>
        <w:t xml:space="preserve"> (2011)</w:t>
      </w:r>
      <w:r w:rsidR="001E2CF7">
        <w:rPr>
          <w:rFonts w:ascii="Times New Roman" w:eastAsia="Times New Roman" w:hAnsi="Times New Roman" w:cs="Times New Roman"/>
          <w:lang w:val="en-US" w:eastAsia="fr-FR"/>
        </w:rPr>
        <w:t xml:space="preserve"> and </w:t>
      </w:r>
      <w:proofErr w:type="spellStart"/>
      <w:r w:rsidR="001C2149" w:rsidRPr="00EA3641">
        <w:rPr>
          <w:rFonts w:ascii="Times New Roman" w:eastAsia="Times New Roman" w:hAnsi="Times New Roman" w:cs="Times New Roman"/>
          <w:lang w:val="en-US" w:eastAsia="fr-FR"/>
        </w:rPr>
        <w:t>Zribi</w:t>
      </w:r>
      <w:proofErr w:type="spellEnd"/>
      <w:r w:rsidR="001C2149" w:rsidRPr="00EA3641">
        <w:rPr>
          <w:rFonts w:ascii="Times New Roman" w:eastAsia="Times New Roman" w:hAnsi="Times New Roman" w:cs="Times New Roman"/>
          <w:lang w:val="en-US" w:eastAsia="fr-FR"/>
        </w:rPr>
        <w:t xml:space="preserve"> and </w:t>
      </w:r>
      <w:proofErr w:type="spellStart"/>
      <w:r w:rsidR="001C2149" w:rsidRPr="00EA3641">
        <w:rPr>
          <w:rFonts w:ascii="Times New Roman" w:eastAsia="Times New Roman" w:hAnsi="Times New Roman" w:cs="Times New Roman"/>
          <w:lang w:val="en-US" w:eastAsia="fr-FR"/>
        </w:rPr>
        <w:t>Boujelbene</w:t>
      </w:r>
      <w:proofErr w:type="spellEnd"/>
      <w:r w:rsidR="001C2149" w:rsidRPr="00EA3641">
        <w:rPr>
          <w:rFonts w:ascii="Times New Roman" w:eastAsia="Times New Roman" w:hAnsi="Times New Roman" w:cs="Times New Roman"/>
          <w:lang w:val="en-US" w:eastAsia="fr-FR"/>
        </w:rPr>
        <w:t xml:space="preserve"> (2011).</w:t>
      </w:r>
    </w:p>
    <w:p w:rsidR="00324F10" w:rsidRPr="00EA3641" w:rsidRDefault="00A6287C" w:rsidP="00AC3B76">
      <w:pPr>
        <w:autoSpaceDE w:val="0"/>
        <w:autoSpaceDN w:val="0"/>
        <w:spacing w:before="240" w:after="80" w:line="276" w:lineRule="auto"/>
        <w:jc w:val="both"/>
        <w:rPr>
          <w:rStyle w:val="apple-style-span"/>
          <w:rFonts w:ascii="Times New Roman" w:hAnsi="Times New Roman" w:cs="Times New Roman"/>
          <w:b/>
          <w:lang w:val="en-US"/>
        </w:rPr>
      </w:pPr>
      <w:r w:rsidRPr="00EA3641">
        <w:rPr>
          <w:rStyle w:val="apple-style-span"/>
          <w:rFonts w:ascii="Times New Roman" w:hAnsi="Times New Roman" w:cs="Times New Roman"/>
          <w:b/>
          <w:lang w:val="en-US"/>
        </w:rPr>
        <w:t>4. Conclusion</w:t>
      </w:r>
    </w:p>
    <w:p w:rsidR="00490C0C" w:rsidRPr="00EA3641" w:rsidRDefault="00E13A7C" w:rsidP="00AC3B76">
      <w:pPr>
        <w:autoSpaceDE w:val="0"/>
        <w:autoSpaceDN w:val="0"/>
        <w:adjustRightInd w:val="0"/>
        <w:spacing w:before="240" w:after="0" w:line="276" w:lineRule="auto"/>
        <w:jc w:val="both"/>
        <w:rPr>
          <w:rStyle w:val="apple-style-span"/>
          <w:rFonts w:ascii="Times New Roman" w:hAnsi="Times New Roman" w:cs="Times New Roman"/>
          <w:lang w:val="en-US"/>
        </w:rPr>
      </w:pPr>
      <w:r w:rsidRPr="00EA3641">
        <w:rPr>
          <w:rFonts w:ascii="Times New Roman" w:hAnsi="Times New Roman" w:cs="Times New Roman"/>
          <w:lang w:val="en-US"/>
        </w:rPr>
        <w:t xml:space="preserve">The </w:t>
      </w:r>
      <w:r w:rsidR="00DB05BD" w:rsidRPr="00EA3641">
        <w:rPr>
          <w:rFonts w:ascii="Times New Roman" w:hAnsi="Times New Roman" w:cs="Times New Roman"/>
          <w:lang w:val="en-US"/>
        </w:rPr>
        <w:t>latest</w:t>
      </w:r>
      <w:r w:rsidRPr="00EA3641">
        <w:rPr>
          <w:rFonts w:ascii="Times New Roman" w:hAnsi="Times New Roman" w:cs="Times New Roman"/>
          <w:lang w:val="en-US"/>
        </w:rPr>
        <w:t xml:space="preserve"> financial </w:t>
      </w:r>
      <w:r w:rsidR="00DB05BD" w:rsidRPr="00EA3641">
        <w:rPr>
          <w:rFonts w:ascii="Times New Roman" w:hAnsi="Times New Roman" w:cs="Times New Roman"/>
          <w:lang w:val="en-US"/>
        </w:rPr>
        <w:t>disaster</w:t>
      </w:r>
      <w:r w:rsidRPr="00EA3641">
        <w:rPr>
          <w:rFonts w:ascii="Times New Roman" w:hAnsi="Times New Roman" w:cs="Times New Roman"/>
          <w:lang w:val="en-US"/>
        </w:rPr>
        <w:t xml:space="preserve"> has reviv</w:t>
      </w:r>
      <w:r w:rsidR="00943936" w:rsidRPr="00EA3641">
        <w:rPr>
          <w:rFonts w:ascii="Times New Roman" w:hAnsi="Times New Roman" w:cs="Times New Roman"/>
          <w:lang w:val="en-US"/>
        </w:rPr>
        <w:t xml:space="preserve">ed the interest </w:t>
      </w:r>
      <w:r w:rsidRPr="00EA3641">
        <w:rPr>
          <w:rFonts w:ascii="Times New Roman" w:hAnsi="Times New Roman" w:cs="Times New Roman"/>
          <w:lang w:val="en-US"/>
        </w:rPr>
        <w:t xml:space="preserve">on the factors that may </w:t>
      </w:r>
      <w:r w:rsidR="00943936" w:rsidRPr="00EA3641">
        <w:rPr>
          <w:rFonts w:ascii="Times New Roman" w:hAnsi="Times New Roman" w:cs="Times New Roman"/>
          <w:lang w:val="en-US"/>
        </w:rPr>
        <w:t>cause</w:t>
      </w:r>
      <w:r w:rsidRPr="00EA3641">
        <w:rPr>
          <w:rFonts w:ascii="Times New Roman" w:hAnsi="Times New Roman" w:cs="Times New Roman"/>
          <w:lang w:val="en-US"/>
        </w:rPr>
        <w:t xml:space="preserve"> a banking crisis. </w:t>
      </w:r>
      <w:r w:rsidR="00943936" w:rsidRPr="00EA3641">
        <w:rPr>
          <w:rFonts w:ascii="Times New Roman" w:hAnsi="Times New Roman" w:cs="Times New Roman"/>
          <w:lang w:val="en-US"/>
        </w:rPr>
        <w:t>The health of the financial sector is a matter of policy concern, especially in developing countries where failure in financial intermediation can disrupt the development process.</w:t>
      </w:r>
      <w:r w:rsidR="00D2660E" w:rsidRPr="00EA3641">
        <w:rPr>
          <w:rFonts w:ascii="Times New Roman" w:hAnsi="Times New Roman" w:cs="Times New Roman"/>
          <w:lang w:val="en-US"/>
        </w:rPr>
        <w:t xml:space="preserve"> Thus, i</w:t>
      </w:r>
      <w:r w:rsidR="008314B6" w:rsidRPr="00EA3641">
        <w:rPr>
          <w:rFonts w:ascii="Times New Roman" w:hAnsi="Times New Roman" w:cs="Times New Roman"/>
          <w:lang w:val="en-US"/>
        </w:rPr>
        <w:t xml:space="preserve">n consideration of the new open and turbulent environment </w:t>
      </w:r>
      <w:r w:rsidR="00DB05BD" w:rsidRPr="00EA3641">
        <w:rPr>
          <w:rFonts w:ascii="Times New Roman" w:hAnsi="Times New Roman" w:cs="Times New Roman"/>
          <w:lang w:val="en-US"/>
        </w:rPr>
        <w:t>that characterizes</w:t>
      </w:r>
      <w:r w:rsidR="008314B6" w:rsidRPr="00EA3641">
        <w:rPr>
          <w:rFonts w:ascii="Times New Roman" w:hAnsi="Times New Roman" w:cs="Times New Roman"/>
          <w:lang w:val="en-US"/>
        </w:rPr>
        <w:t xml:space="preserve"> the Tunisian financial market over the last few years, and in view of minimizing </w:t>
      </w:r>
      <w:r w:rsidR="008314B6" w:rsidRPr="00EA3641">
        <w:rPr>
          <w:rFonts w:ascii="Times New Roman" w:hAnsi="Times New Roman" w:cs="Times New Roman"/>
          <w:lang w:val="en-US"/>
        </w:rPr>
        <w:lastRenderedPageBreak/>
        <w:t>all kinds of risks, the Central Bank of Tunisia made it obligatory to respect certain reforms</w:t>
      </w:r>
      <w:r w:rsidR="00D2660E" w:rsidRPr="00EA3641">
        <w:rPr>
          <w:rFonts w:ascii="Times New Roman" w:hAnsi="Times New Roman" w:cs="Times New Roman"/>
          <w:lang w:val="en-US"/>
        </w:rPr>
        <w:t xml:space="preserve">. </w:t>
      </w:r>
      <w:r w:rsidR="00D01FCC" w:rsidRPr="00EA3641">
        <w:rPr>
          <w:rFonts w:ascii="Times New Roman" w:hAnsi="Times New Roman" w:cs="Times New Roman"/>
          <w:lang w:val="en-US"/>
        </w:rPr>
        <w:t xml:space="preserve">In this setting, </w:t>
      </w:r>
      <w:r w:rsidR="00D2660E" w:rsidRPr="00EA3641">
        <w:rPr>
          <w:rFonts w:ascii="Times New Roman" w:hAnsi="Times New Roman" w:cs="Times New Roman"/>
          <w:lang w:val="en-US"/>
        </w:rPr>
        <w:t>this</w:t>
      </w:r>
      <w:r w:rsidR="00324F10" w:rsidRPr="00EA3641">
        <w:rPr>
          <w:rFonts w:ascii="Times New Roman" w:hAnsi="Times New Roman" w:cs="Times New Roman"/>
          <w:lang w:val="en-US"/>
        </w:rPr>
        <w:t xml:space="preserve"> paper has </w:t>
      </w:r>
      <w:r w:rsidR="006B31E6" w:rsidRPr="00EA3641">
        <w:rPr>
          <w:rFonts w:ascii="Times New Roman" w:hAnsi="Times New Roman" w:cs="Times New Roman"/>
          <w:lang w:val="en-US"/>
        </w:rPr>
        <w:t xml:space="preserve">empirically </w:t>
      </w:r>
      <w:r w:rsidR="00324F10" w:rsidRPr="00EA3641">
        <w:rPr>
          <w:rFonts w:ascii="Times New Roman" w:hAnsi="Times New Roman" w:cs="Times New Roman"/>
          <w:lang w:val="en-US"/>
        </w:rPr>
        <w:t xml:space="preserve">examined how bank-specific, industry-specific and macroeconomic </w:t>
      </w:r>
      <w:r w:rsidR="00490C0C" w:rsidRPr="00EA3641">
        <w:rPr>
          <w:rFonts w:ascii="Times New Roman" w:hAnsi="Times New Roman" w:cs="Times New Roman"/>
          <w:lang w:val="en-US"/>
        </w:rPr>
        <w:t>characteristics</w:t>
      </w:r>
      <w:r w:rsidR="00324F10" w:rsidRPr="00EA3641">
        <w:rPr>
          <w:rFonts w:ascii="Times New Roman" w:hAnsi="Times New Roman" w:cs="Times New Roman"/>
          <w:lang w:val="en-US"/>
        </w:rPr>
        <w:t xml:space="preserve"> affect the </w:t>
      </w:r>
      <w:r w:rsidR="006B31E6" w:rsidRPr="00EA3641">
        <w:rPr>
          <w:rFonts w:ascii="Times New Roman" w:hAnsi="Times New Roman" w:cs="Times New Roman"/>
          <w:lang w:val="en-US"/>
        </w:rPr>
        <w:t xml:space="preserve">risk held </w:t>
      </w:r>
      <w:r w:rsidR="00490C0C" w:rsidRPr="00EA3641">
        <w:rPr>
          <w:rFonts w:ascii="Times New Roman" w:hAnsi="Times New Roman" w:cs="Times New Roman"/>
          <w:lang w:val="en-US"/>
        </w:rPr>
        <w:t>by Tunisian</w:t>
      </w:r>
      <w:r w:rsidR="00324F10" w:rsidRPr="00EA3641">
        <w:rPr>
          <w:rFonts w:ascii="Times New Roman" w:hAnsi="Times New Roman" w:cs="Times New Roman"/>
          <w:lang w:val="en-US"/>
        </w:rPr>
        <w:t xml:space="preserve"> commercial banks over </w:t>
      </w:r>
      <w:r w:rsidR="006B31E6" w:rsidRPr="00EA3641">
        <w:rPr>
          <w:rFonts w:ascii="Times New Roman" w:hAnsi="Times New Roman" w:cs="Times New Roman"/>
          <w:lang w:val="en-US"/>
        </w:rPr>
        <w:t>2000</w:t>
      </w:r>
      <w:r w:rsidR="00324F10" w:rsidRPr="00EA3641">
        <w:rPr>
          <w:rFonts w:ascii="Times New Roman" w:hAnsi="Times New Roman" w:cs="Times New Roman"/>
          <w:lang w:val="en-US"/>
        </w:rPr>
        <w:t xml:space="preserve"> to 201</w:t>
      </w:r>
      <w:r w:rsidR="006B31E6" w:rsidRPr="00EA3641">
        <w:rPr>
          <w:rFonts w:ascii="Times New Roman" w:hAnsi="Times New Roman" w:cs="Times New Roman"/>
          <w:lang w:val="en-US"/>
        </w:rPr>
        <w:t>3</w:t>
      </w:r>
      <w:r w:rsidR="00324F10" w:rsidRPr="00EA3641">
        <w:rPr>
          <w:rFonts w:ascii="Times New Roman" w:hAnsi="Times New Roman" w:cs="Times New Roman"/>
          <w:lang w:val="en-US"/>
        </w:rPr>
        <w:t>.</w:t>
      </w:r>
      <w:r w:rsidR="00490C0C" w:rsidRPr="00EA3641">
        <w:rPr>
          <w:rStyle w:val="apple-style-span"/>
          <w:rFonts w:ascii="Times New Roman" w:hAnsi="Times New Roman" w:cs="Times New Roman"/>
          <w:lang w:val="en-US"/>
        </w:rPr>
        <w:t xml:space="preserve"> </w:t>
      </w:r>
      <w:r w:rsidR="00490C0C" w:rsidRPr="00EA3641">
        <w:rPr>
          <w:rFonts w:ascii="Times New Roman" w:hAnsi="Times New Roman" w:cs="Times New Roman"/>
          <w:lang w:val="en-US"/>
        </w:rPr>
        <w:t xml:space="preserve">For this purpose, we </w:t>
      </w:r>
      <w:r w:rsidR="00E53EDE">
        <w:rPr>
          <w:rFonts w:ascii="Times New Roman" w:hAnsi="Times New Roman" w:cs="Times New Roman"/>
          <w:lang w:val="en-US"/>
        </w:rPr>
        <w:t>employed</w:t>
      </w:r>
      <w:r w:rsidR="00490C0C" w:rsidRPr="00EA3641">
        <w:rPr>
          <w:rFonts w:ascii="Times New Roman" w:hAnsi="Times New Roman" w:cs="Times New Roman"/>
          <w:lang w:val="en-US"/>
        </w:rPr>
        <w:t xml:space="preserve"> a dynamic model specification</w:t>
      </w:r>
      <w:r w:rsidR="00E53EDE">
        <w:rPr>
          <w:rFonts w:ascii="Times New Roman" w:hAnsi="Times New Roman" w:cs="Times New Roman"/>
          <w:lang w:val="en-US"/>
        </w:rPr>
        <w:t xml:space="preserve"> technique</w:t>
      </w:r>
      <w:r w:rsidR="00490C0C" w:rsidRPr="00EA3641">
        <w:rPr>
          <w:rFonts w:ascii="Times New Roman" w:hAnsi="Times New Roman" w:cs="Times New Roman"/>
          <w:lang w:val="en-US"/>
        </w:rPr>
        <w:t xml:space="preserve"> that allows for risk taking persistence.</w:t>
      </w:r>
    </w:p>
    <w:p w:rsidR="00A17CD2" w:rsidRPr="00EA3641" w:rsidRDefault="00490C0C" w:rsidP="00AC3B76">
      <w:pPr>
        <w:autoSpaceDE w:val="0"/>
        <w:autoSpaceDN w:val="0"/>
        <w:adjustRightInd w:val="0"/>
        <w:spacing w:before="240" w:after="0" w:line="276" w:lineRule="auto"/>
        <w:jc w:val="both"/>
        <w:rPr>
          <w:rFonts w:ascii="Times New Roman" w:hAnsi="Times New Roman" w:cs="Times New Roman"/>
          <w:lang w:val="en-US"/>
        </w:rPr>
      </w:pPr>
      <w:r w:rsidRPr="00EA3641">
        <w:rPr>
          <w:rStyle w:val="apple-style-span"/>
          <w:rFonts w:ascii="Times New Roman" w:hAnsi="Times New Roman" w:cs="Times New Roman"/>
          <w:lang w:val="en-US"/>
        </w:rPr>
        <w:t>Our results</w:t>
      </w:r>
      <w:r w:rsidR="00324F10" w:rsidRPr="00EA3641">
        <w:rPr>
          <w:rStyle w:val="apple-style-span"/>
          <w:rFonts w:ascii="Times New Roman" w:hAnsi="Times New Roman" w:cs="Times New Roman"/>
          <w:lang w:val="en-US"/>
        </w:rPr>
        <w:t xml:space="preserve"> show that macroeconomic </w:t>
      </w:r>
      <w:r w:rsidR="00324F10" w:rsidRPr="00EA3641">
        <w:rPr>
          <w:rFonts w:ascii="Times New Roman" w:hAnsi="Times New Roman" w:cs="Times New Roman"/>
          <w:lang w:val="en-US"/>
        </w:rPr>
        <w:t xml:space="preserve">variables </w:t>
      </w:r>
      <w:r w:rsidR="00324F10" w:rsidRPr="00EA3641">
        <w:rPr>
          <w:rStyle w:val="apple-style-span"/>
          <w:rFonts w:ascii="Times New Roman" w:hAnsi="Times New Roman" w:cs="Times New Roman"/>
          <w:lang w:val="en-US"/>
        </w:rPr>
        <w:t xml:space="preserve">(GDP growth and inflation) </w:t>
      </w:r>
      <w:r w:rsidR="00324F10" w:rsidRPr="00EA3641">
        <w:rPr>
          <w:rFonts w:ascii="Times New Roman" w:hAnsi="Times New Roman" w:cs="Times New Roman"/>
          <w:lang w:val="en-US"/>
        </w:rPr>
        <w:t>are determinant factors influencing Tunisian bank credit risk-taking decisions.</w:t>
      </w:r>
      <w:r w:rsidRPr="00EA3641">
        <w:rPr>
          <w:rFonts w:ascii="Times New Roman" w:hAnsi="Times New Roman" w:cs="Times New Roman"/>
          <w:lang w:val="en-US"/>
        </w:rPr>
        <w:t xml:space="preserve"> </w:t>
      </w:r>
      <w:r w:rsidR="00E13A7C" w:rsidRPr="00EA3641">
        <w:rPr>
          <w:rFonts w:ascii="Times New Roman" w:hAnsi="Times New Roman" w:cs="Times New Roman"/>
          <w:lang w:val="en-US"/>
        </w:rPr>
        <w:t xml:space="preserve">Both economic growth and inflation reduce credit risk taking. </w:t>
      </w:r>
      <w:r w:rsidR="00D2660E" w:rsidRPr="00EA3641">
        <w:rPr>
          <w:rFonts w:ascii="Times New Roman" w:hAnsi="Times New Roman" w:cs="Times New Roman"/>
          <w:lang w:val="en-US"/>
        </w:rPr>
        <w:t>On the other hand, competition which has marked the Tunisian banking sector in recent years, partly explain the risk-taking behavior adopted by Tunisian banks.</w:t>
      </w:r>
    </w:p>
    <w:p w:rsidR="00D05352" w:rsidRDefault="00A17CD2" w:rsidP="00AC3B76">
      <w:pPr>
        <w:autoSpaceDE w:val="0"/>
        <w:autoSpaceDN w:val="0"/>
        <w:adjustRightInd w:val="0"/>
        <w:spacing w:before="240" w:after="0" w:line="276" w:lineRule="auto"/>
        <w:jc w:val="both"/>
        <w:rPr>
          <w:rFonts w:ascii="Times New Roman" w:hAnsi="Times New Roman" w:cs="Times New Roman"/>
          <w:lang w:val="en-US"/>
        </w:rPr>
      </w:pPr>
      <w:r w:rsidRPr="00EA3641">
        <w:rPr>
          <w:rFonts w:ascii="Times New Roman" w:hAnsi="Times New Roman" w:cs="Times New Roman"/>
          <w:lang w:val="en-US"/>
        </w:rPr>
        <w:t xml:space="preserve">We also </w:t>
      </w:r>
      <w:r w:rsidR="00D606D4" w:rsidRPr="00EA3641">
        <w:rPr>
          <w:rFonts w:ascii="Times New Roman" w:hAnsi="Times New Roman" w:cs="Times New Roman"/>
          <w:lang w:val="en-US"/>
        </w:rPr>
        <w:t xml:space="preserve">found that </w:t>
      </w:r>
      <w:r w:rsidRPr="00EA3641">
        <w:rPr>
          <w:rFonts w:ascii="Times New Roman" w:hAnsi="Times New Roman" w:cs="Times New Roman"/>
          <w:lang w:val="en-US"/>
        </w:rPr>
        <w:t xml:space="preserve">the banks’ characteristics are important factors influencing the level of the Tunisian bank credit risk-taking. Indeed, </w:t>
      </w:r>
      <w:r w:rsidR="00D606D4" w:rsidRPr="00EA3641">
        <w:rPr>
          <w:rFonts w:ascii="Times New Roman" w:hAnsi="Times New Roman" w:cs="Times New Roman"/>
          <w:lang w:val="en-US"/>
        </w:rPr>
        <w:t>bank credit risk is mainly explained by capital</w:t>
      </w:r>
      <w:r w:rsidR="00732A14" w:rsidRPr="00EA3641">
        <w:rPr>
          <w:rFonts w:ascii="Times New Roman" w:hAnsi="Times New Roman" w:cs="Times New Roman"/>
          <w:lang w:val="en-US"/>
        </w:rPr>
        <w:t xml:space="preserve"> adequacy</w:t>
      </w:r>
      <w:r w:rsidR="00D606D4" w:rsidRPr="00EA3641">
        <w:rPr>
          <w:rFonts w:ascii="Times New Roman" w:hAnsi="Times New Roman" w:cs="Times New Roman"/>
          <w:lang w:val="en-US"/>
        </w:rPr>
        <w:t xml:space="preserve"> and operational efficiency. So, Banks </w:t>
      </w:r>
      <w:r w:rsidR="00DB05BD">
        <w:rPr>
          <w:rFonts w:ascii="Times New Roman" w:hAnsi="Times New Roman" w:cs="Times New Roman"/>
          <w:lang w:val="en-US"/>
        </w:rPr>
        <w:t>with</w:t>
      </w:r>
      <w:r w:rsidR="00D606D4" w:rsidRPr="00EA3641">
        <w:rPr>
          <w:rFonts w:ascii="Times New Roman" w:hAnsi="Times New Roman" w:cs="Times New Roman"/>
          <w:lang w:val="en-US"/>
        </w:rPr>
        <w:t xml:space="preserve"> relatively high </w:t>
      </w:r>
      <w:r w:rsidR="00DB05BD">
        <w:rPr>
          <w:rFonts w:ascii="Times New Roman" w:hAnsi="Times New Roman" w:cs="Times New Roman"/>
          <w:lang w:val="en-US"/>
        </w:rPr>
        <w:t>level</w:t>
      </w:r>
      <w:r w:rsidR="00D606D4" w:rsidRPr="00EA3641">
        <w:rPr>
          <w:rFonts w:ascii="Times New Roman" w:hAnsi="Times New Roman" w:cs="Times New Roman"/>
          <w:lang w:val="en-US"/>
        </w:rPr>
        <w:t xml:space="preserve"> of capital are less exposed to risk than less capitalized ones. And </w:t>
      </w:r>
      <w:r w:rsidRPr="00EA3641">
        <w:rPr>
          <w:rFonts w:ascii="Times New Roman" w:hAnsi="Times New Roman" w:cs="Times New Roman"/>
          <w:lang w:val="en-US"/>
        </w:rPr>
        <w:t xml:space="preserve">efficient banks </w:t>
      </w:r>
      <w:r w:rsidR="00D606D4" w:rsidRPr="00EA3641">
        <w:rPr>
          <w:rFonts w:ascii="Times New Roman" w:hAnsi="Times New Roman" w:cs="Times New Roman"/>
          <w:lang w:val="en-US"/>
        </w:rPr>
        <w:t xml:space="preserve">held </w:t>
      </w:r>
      <w:r w:rsidRPr="00EA3641">
        <w:rPr>
          <w:rFonts w:ascii="Times New Roman" w:hAnsi="Times New Roman" w:cs="Times New Roman"/>
          <w:lang w:val="en-US"/>
        </w:rPr>
        <w:t>low credit-risk comparing to ones</w:t>
      </w:r>
      <w:r w:rsidR="00D606D4" w:rsidRPr="00EA3641">
        <w:rPr>
          <w:rFonts w:ascii="Times New Roman" w:hAnsi="Times New Roman" w:cs="Times New Roman"/>
          <w:lang w:val="en-US"/>
        </w:rPr>
        <w:t xml:space="preserve"> with high cost income ratio. </w:t>
      </w:r>
      <w:r w:rsidRPr="00EA3641">
        <w:rPr>
          <w:rFonts w:ascii="Times New Roman" w:hAnsi="Times New Roman" w:cs="Times New Roman"/>
          <w:lang w:val="en-US"/>
        </w:rPr>
        <w:t>However, contrary to expectation, the coefficient</w:t>
      </w:r>
      <w:r w:rsidR="005277BB" w:rsidRPr="00EA3641">
        <w:rPr>
          <w:rFonts w:ascii="Times New Roman" w:hAnsi="Times New Roman" w:cs="Times New Roman"/>
          <w:lang w:val="en-US"/>
        </w:rPr>
        <w:t>s</w:t>
      </w:r>
      <w:r w:rsidRPr="00EA3641">
        <w:rPr>
          <w:rFonts w:ascii="Times New Roman" w:hAnsi="Times New Roman" w:cs="Times New Roman"/>
          <w:lang w:val="en-US"/>
        </w:rPr>
        <w:t xml:space="preserve"> of bank size and ownership structure </w:t>
      </w:r>
      <w:r w:rsidR="005277BB" w:rsidRPr="00EA3641">
        <w:rPr>
          <w:rFonts w:ascii="Times New Roman" w:hAnsi="Times New Roman" w:cs="Times New Roman"/>
          <w:lang w:val="en-US"/>
        </w:rPr>
        <w:t>are</w:t>
      </w:r>
      <w:r w:rsidRPr="00EA3641">
        <w:rPr>
          <w:rFonts w:ascii="Times New Roman" w:hAnsi="Times New Roman" w:cs="Times New Roman"/>
          <w:lang w:val="en-US"/>
        </w:rPr>
        <w:t xml:space="preserve"> insignificant with bank credit risk. </w:t>
      </w:r>
      <w:r w:rsidR="005277BB" w:rsidRPr="00EA3641">
        <w:rPr>
          <w:rFonts w:ascii="Times New Roman" w:hAnsi="Times New Roman" w:cs="Times New Roman"/>
          <w:lang w:val="en-US"/>
        </w:rPr>
        <w:t>B</w:t>
      </w:r>
      <w:r w:rsidRPr="00EA3641">
        <w:rPr>
          <w:rFonts w:ascii="Times New Roman" w:hAnsi="Times New Roman" w:cs="Times New Roman"/>
          <w:lang w:val="en-US"/>
        </w:rPr>
        <w:t xml:space="preserve">ank size </w:t>
      </w:r>
      <w:r w:rsidR="005277BB" w:rsidRPr="00EA3641">
        <w:rPr>
          <w:rFonts w:ascii="Times New Roman" w:hAnsi="Times New Roman" w:cs="Times New Roman"/>
          <w:lang w:val="en-US"/>
        </w:rPr>
        <w:t xml:space="preserve">and private ownership </w:t>
      </w:r>
      <w:r w:rsidRPr="00EA3641">
        <w:rPr>
          <w:rFonts w:ascii="Times New Roman" w:hAnsi="Times New Roman" w:cs="Times New Roman"/>
          <w:lang w:val="en-US"/>
        </w:rPr>
        <w:t xml:space="preserve">seem to </w:t>
      </w:r>
      <w:r w:rsidR="005277BB" w:rsidRPr="00EA3641">
        <w:rPr>
          <w:rFonts w:ascii="Times New Roman" w:hAnsi="Times New Roman" w:cs="Times New Roman"/>
          <w:lang w:val="en-US"/>
        </w:rPr>
        <w:t>have no influence on the level of credit-risk</w:t>
      </w:r>
      <w:r w:rsidR="00D606D4" w:rsidRPr="00EA3641">
        <w:rPr>
          <w:rFonts w:ascii="Times New Roman" w:hAnsi="Times New Roman" w:cs="Times New Roman"/>
          <w:lang w:val="en-US"/>
        </w:rPr>
        <w:t>.</w:t>
      </w:r>
    </w:p>
    <w:p w:rsidR="0023725E" w:rsidRDefault="005277BB" w:rsidP="0023725E">
      <w:pPr>
        <w:keepNext/>
        <w:keepLines/>
        <w:suppressAutoHyphens/>
        <w:autoSpaceDE w:val="0"/>
        <w:autoSpaceDN w:val="0"/>
        <w:adjustRightInd w:val="0"/>
        <w:spacing w:before="240" w:line="276" w:lineRule="auto"/>
        <w:jc w:val="both"/>
        <w:rPr>
          <w:b/>
          <w:lang w:val="en-US"/>
        </w:rPr>
      </w:pPr>
      <w:r w:rsidRPr="00EA3641">
        <w:rPr>
          <w:rFonts w:ascii="Times New Roman" w:hAnsi="Times New Roman" w:cs="Times New Roman"/>
          <w:lang w:val="en-US"/>
        </w:rPr>
        <w:lastRenderedPageBreak/>
        <w:t xml:space="preserve">On the whole, our </w:t>
      </w:r>
      <w:r w:rsidR="00D05352">
        <w:rPr>
          <w:rFonts w:ascii="Times New Roman" w:hAnsi="Times New Roman" w:cs="Times New Roman"/>
          <w:lang w:val="en-US"/>
        </w:rPr>
        <w:t>investigation</w:t>
      </w:r>
      <w:r w:rsidRPr="00EA3641">
        <w:rPr>
          <w:rFonts w:ascii="Times New Roman" w:hAnsi="Times New Roman" w:cs="Times New Roman"/>
          <w:lang w:val="en-US"/>
        </w:rPr>
        <w:t xml:space="preserve"> provide</w:t>
      </w:r>
      <w:r w:rsidR="00D05352">
        <w:rPr>
          <w:rFonts w:ascii="Times New Roman" w:hAnsi="Times New Roman" w:cs="Times New Roman"/>
          <w:lang w:val="en-US"/>
        </w:rPr>
        <w:t>s</w:t>
      </w:r>
      <w:r w:rsidRPr="00EA3641">
        <w:rPr>
          <w:rFonts w:ascii="Times New Roman" w:hAnsi="Times New Roman" w:cs="Times New Roman"/>
          <w:lang w:val="en-US"/>
        </w:rPr>
        <w:t xml:space="preserve"> some </w:t>
      </w:r>
      <w:r w:rsidR="00D05352">
        <w:rPr>
          <w:rFonts w:ascii="Times New Roman" w:hAnsi="Times New Roman" w:cs="Times New Roman"/>
          <w:lang w:val="en-US"/>
        </w:rPr>
        <w:t>interesting</w:t>
      </w:r>
      <w:r w:rsidRPr="00EA3641">
        <w:rPr>
          <w:rFonts w:ascii="Times New Roman" w:hAnsi="Times New Roman" w:cs="Times New Roman"/>
          <w:lang w:val="en-US"/>
        </w:rPr>
        <w:t xml:space="preserve"> new </w:t>
      </w:r>
      <w:r w:rsidR="00CB1E9B" w:rsidRPr="00EA3641">
        <w:rPr>
          <w:rFonts w:ascii="Times New Roman" w:hAnsi="Times New Roman" w:cs="Times New Roman"/>
          <w:lang w:val="en-US"/>
        </w:rPr>
        <w:t>insight</w:t>
      </w:r>
      <w:r w:rsidR="00CB1E9B">
        <w:rPr>
          <w:rFonts w:ascii="Times New Roman" w:hAnsi="Times New Roman" w:cs="Times New Roman"/>
          <w:lang w:val="en-US"/>
        </w:rPr>
        <w:t>s</w:t>
      </w:r>
      <w:r w:rsidRPr="00EA3641">
        <w:rPr>
          <w:rFonts w:ascii="Times New Roman" w:hAnsi="Times New Roman" w:cs="Times New Roman"/>
          <w:lang w:val="en-US"/>
        </w:rPr>
        <w:t xml:space="preserve"> into the mechanisms that determine the Tunisian banks’ credit-risk taking. </w:t>
      </w:r>
      <w:r w:rsidR="00D05352">
        <w:rPr>
          <w:rFonts w:ascii="Times New Roman" w:hAnsi="Times New Roman" w:cs="Times New Roman"/>
          <w:lang w:val="en-US"/>
        </w:rPr>
        <w:t xml:space="preserve">We </w:t>
      </w:r>
      <w:r w:rsidR="005001AC">
        <w:rPr>
          <w:rFonts w:ascii="Times New Roman" w:hAnsi="Times New Roman" w:cs="Times New Roman"/>
          <w:lang w:val="en-US"/>
        </w:rPr>
        <w:t>believe that</w:t>
      </w:r>
      <w:r w:rsidR="00D05352">
        <w:rPr>
          <w:rFonts w:ascii="Times New Roman" w:hAnsi="Times New Roman" w:cs="Times New Roman"/>
          <w:lang w:val="en-US"/>
        </w:rPr>
        <w:t xml:space="preserve"> our finding</w:t>
      </w:r>
      <w:r w:rsidR="005001AC">
        <w:rPr>
          <w:rFonts w:ascii="Times New Roman" w:hAnsi="Times New Roman" w:cs="Times New Roman"/>
          <w:lang w:val="en-US"/>
        </w:rPr>
        <w:t xml:space="preserve">s are fairly </w:t>
      </w:r>
      <w:r w:rsidRPr="00EA3641">
        <w:rPr>
          <w:rFonts w:ascii="Times New Roman" w:hAnsi="Times New Roman" w:cs="Times New Roman"/>
          <w:lang w:val="en-US"/>
        </w:rPr>
        <w:t xml:space="preserve">relevant for two reasons. First, because we </w:t>
      </w:r>
      <w:r w:rsidR="005001AC">
        <w:rPr>
          <w:rFonts w:ascii="Times New Roman" w:hAnsi="Times New Roman" w:cs="Times New Roman"/>
          <w:lang w:val="en-US"/>
        </w:rPr>
        <w:t>retained</w:t>
      </w:r>
      <w:r w:rsidRPr="00EA3641">
        <w:rPr>
          <w:rFonts w:ascii="Times New Roman" w:hAnsi="Times New Roman" w:cs="Times New Roman"/>
          <w:lang w:val="en-US"/>
        </w:rPr>
        <w:t xml:space="preserve"> </w:t>
      </w:r>
      <w:r w:rsidR="005001AC">
        <w:rPr>
          <w:rFonts w:ascii="Times New Roman" w:hAnsi="Times New Roman" w:cs="Times New Roman"/>
          <w:lang w:val="en-US"/>
        </w:rPr>
        <w:t>a large</w:t>
      </w:r>
      <w:r w:rsidRPr="00EA3641">
        <w:rPr>
          <w:rFonts w:ascii="Times New Roman" w:hAnsi="Times New Roman" w:cs="Times New Roman"/>
          <w:lang w:val="en-US"/>
        </w:rPr>
        <w:t xml:space="preserve"> set of bank-specific, industry-specific an</w:t>
      </w:r>
      <w:r w:rsidR="005001AC">
        <w:rPr>
          <w:rFonts w:ascii="Times New Roman" w:hAnsi="Times New Roman" w:cs="Times New Roman"/>
          <w:lang w:val="en-US"/>
        </w:rPr>
        <w:t xml:space="preserve">d macroeconomic variables to identify </w:t>
      </w:r>
      <w:r w:rsidRPr="00EA3641">
        <w:rPr>
          <w:rFonts w:ascii="Times New Roman" w:hAnsi="Times New Roman" w:cs="Times New Roman"/>
          <w:lang w:val="en-US"/>
        </w:rPr>
        <w:t>bank risk</w:t>
      </w:r>
      <w:r w:rsidR="005001AC">
        <w:rPr>
          <w:rFonts w:ascii="Times New Roman" w:hAnsi="Times New Roman" w:cs="Times New Roman"/>
          <w:lang w:val="en-US"/>
        </w:rPr>
        <w:t xml:space="preserve"> determinants</w:t>
      </w:r>
      <w:r w:rsidRPr="00EA3641">
        <w:rPr>
          <w:rFonts w:ascii="Times New Roman" w:hAnsi="Times New Roman" w:cs="Times New Roman"/>
          <w:lang w:val="en-US"/>
        </w:rPr>
        <w:t xml:space="preserve">. </w:t>
      </w:r>
      <w:r w:rsidRPr="00EA3641">
        <w:rPr>
          <w:rFonts w:ascii="Times New Roman" w:hAnsi="Times New Roman" w:cs="Times New Roman"/>
          <w:color w:val="000000"/>
          <w:lang w:val="en-US"/>
        </w:rPr>
        <w:t xml:space="preserve">Second, </w:t>
      </w:r>
      <w:r w:rsidR="005001AC" w:rsidRPr="00EA3641">
        <w:rPr>
          <w:rFonts w:ascii="Times New Roman" w:hAnsi="Times New Roman" w:cs="Times New Roman"/>
          <w:color w:val="000000"/>
          <w:lang w:val="en-US"/>
        </w:rPr>
        <w:t xml:space="preserve">we applied an advanced econometric </w:t>
      </w:r>
      <w:r w:rsidR="005001AC">
        <w:rPr>
          <w:rFonts w:ascii="Times New Roman" w:hAnsi="Times New Roman" w:cs="Times New Roman"/>
          <w:color w:val="000000"/>
          <w:lang w:val="en-US"/>
        </w:rPr>
        <w:t>approach</w:t>
      </w:r>
      <w:r w:rsidR="005001AC" w:rsidRPr="00EA3641">
        <w:rPr>
          <w:rFonts w:ascii="Times New Roman" w:hAnsi="Times New Roman" w:cs="Times New Roman"/>
          <w:color w:val="000000"/>
          <w:lang w:val="en-US"/>
        </w:rPr>
        <w:t xml:space="preserve"> that addresses the issue of </w:t>
      </w:r>
      <w:proofErr w:type="spellStart"/>
      <w:r w:rsidR="005001AC" w:rsidRPr="00EA3641">
        <w:rPr>
          <w:rFonts w:ascii="Times New Roman" w:hAnsi="Times New Roman" w:cs="Times New Roman"/>
          <w:color w:val="000000"/>
          <w:lang w:val="en-US"/>
        </w:rPr>
        <w:t>endogeneity</w:t>
      </w:r>
      <w:proofErr w:type="spellEnd"/>
      <w:r w:rsidR="005001AC" w:rsidRPr="00EA3641">
        <w:rPr>
          <w:rFonts w:ascii="Times New Roman" w:hAnsi="Times New Roman" w:cs="Times New Roman"/>
          <w:color w:val="000000"/>
          <w:lang w:val="en-US"/>
        </w:rPr>
        <w:t xml:space="preserve"> of </w:t>
      </w:r>
      <w:r w:rsidR="005001AC">
        <w:rPr>
          <w:rFonts w:ascii="Times New Roman" w:hAnsi="Times New Roman" w:cs="Times New Roman"/>
          <w:color w:val="000000"/>
          <w:lang w:val="en-US"/>
        </w:rPr>
        <w:t>explanatory</w:t>
      </w:r>
      <w:r w:rsidR="005001AC" w:rsidRPr="00EA3641">
        <w:rPr>
          <w:rFonts w:ascii="Times New Roman" w:hAnsi="Times New Roman" w:cs="Times New Roman"/>
          <w:color w:val="000000"/>
          <w:lang w:val="en-US"/>
        </w:rPr>
        <w:t xml:space="preserve"> variables</w:t>
      </w:r>
      <w:r w:rsidRPr="00EA3641">
        <w:rPr>
          <w:rFonts w:ascii="Times New Roman" w:hAnsi="Times New Roman" w:cs="Times New Roman"/>
          <w:color w:val="000000"/>
          <w:lang w:val="en-US"/>
        </w:rPr>
        <w:t xml:space="preserve">. </w:t>
      </w:r>
      <w:r w:rsidR="009B3804" w:rsidRPr="00EA3641">
        <w:rPr>
          <w:rFonts w:ascii="Times New Roman" w:hAnsi="Times New Roman" w:cs="Times New Roman"/>
          <w:lang w:val="en-US"/>
        </w:rPr>
        <w:t xml:space="preserve">Further, our </w:t>
      </w:r>
      <w:r w:rsidR="00930599">
        <w:rPr>
          <w:rFonts w:ascii="Times New Roman" w:hAnsi="Times New Roman" w:cs="Times New Roman"/>
          <w:lang w:val="en-US"/>
        </w:rPr>
        <w:t>investigation</w:t>
      </w:r>
      <w:r w:rsidR="00381487">
        <w:rPr>
          <w:rFonts w:ascii="Times New Roman" w:hAnsi="Times New Roman" w:cs="Times New Roman"/>
          <w:lang w:val="en-US"/>
        </w:rPr>
        <w:t xml:space="preserve"> seems to be incomplete. Indeed, we </w:t>
      </w:r>
      <w:r w:rsidR="009B3804" w:rsidRPr="00EA3641">
        <w:rPr>
          <w:rFonts w:ascii="Times New Roman" w:hAnsi="Times New Roman" w:cs="Times New Roman"/>
          <w:lang w:val="en-US"/>
        </w:rPr>
        <w:t xml:space="preserve">do not consider </w:t>
      </w:r>
      <w:r w:rsidR="00381487">
        <w:rPr>
          <w:rFonts w:ascii="Times New Roman" w:hAnsi="Times New Roman" w:cs="Times New Roman"/>
          <w:lang w:val="en-US"/>
        </w:rPr>
        <w:t>some</w:t>
      </w:r>
      <w:r w:rsidR="009B3804" w:rsidRPr="00EA3641">
        <w:rPr>
          <w:rFonts w:ascii="Times New Roman" w:hAnsi="Times New Roman" w:cs="Times New Roman"/>
          <w:lang w:val="en-US"/>
        </w:rPr>
        <w:t xml:space="preserve"> managerial aspects that may </w:t>
      </w:r>
      <w:r w:rsidR="00930599">
        <w:rPr>
          <w:rFonts w:ascii="Times New Roman" w:hAnsi="Times New Roman" w:cs="Times New Roman"/>
          <w:lang w:val="en-US"/>
        </w:rPr>
        <w:t xml:space="preserve">affect </w:t>
      </w:r>
      <w:r w:rsidR="009B3804" w:rsidRPr="00EA3641">
        <w:rPr>
          <w:rFonts w:ascii="Times New Roman" w:hAnsi="Times New Roman" w:cs="Times New Roman"/>
          <w:lang w:val="en-US"/>
        </w:rPr>
        <w:t>Tunisian bank</w:t>
      </w:r>
      <w:r w:rsidR="00F86F85" w:rsidRPr="00EA3641">
        <w:rPr>
          <w:rFonts w:ascii="Times New Roman" w:hAnsi="Times New Roman" w:cs="Times New Roman"/>
          <w:lang w:val="en-US"/>
        </w:rPr>
        <w:t>’s</w:t>
      </w:r>
      <w:r w:rsidR="009B3804" w:rsidRPr="00EA3641">
        <w:rPr>
          <w:rFonts w:ascii="Times New Roman" w:hAnsi="Times New Roman" w:cs="Times New Roman"/>
          <w:lang w:val="en-US"/>
        </w:rPr>
        <w:t xml:space="preserve"> </w:t>
      </w:r>
      <w:r w:rsidR="00381487">
        <w:rPr>
          <w:rFonts w:ascii="Times New Roman" w:hAnsi="Times New Roman" w:cs="Times New Roman"/>
          <w:lang w:val="en-US"/>
        </w:rPr>
        <w:t xml:space="preserve">credit </w:t>
      </w:r>
      <w:r w:rsidR="009B3804" w:rsidRPr="00EA3641">
        <w:rPr>
          <w:rFonts w:ascii="Times New Roman" w:hAnsi="Times New Roman" w:cs="Times New Roman"/>
          <w:lang w:val="en-US"/>
        </w:rPr>
        <w:t xml:space="preserve">risk. </w:t>
      </w:r>
      <w:r w:rsidR="00381487">
        <w:rPr>
          <w:rFonts w:ascii="Times New Roman" w:hAnsi="Times New Roman" w:cs="Times New Roman"/>
          <w:lang w:val="en-US"/>
        </w:rPr>
        <w:t>For instance, i</w:t>
      </w:r>
      <w:r w:rsidR="009B3804" w:rsidRPr="00EA3641">
        <w:rPr>
          <w:rFonts w:ascii="Times New Roman" w:hAnsi="Times New Roman" w:cs="Times New Roman"/>
          <w:lang w:val="en-US"/>
        </w:rPr>
        <w:t xml:space="preserve">nternal mechanism governance </w:t>
      </w:r>
      <w:r w:rsidR="00381487">
        <w:rPr>
          <w:rFonts w:ascii="Times New Roman" w:hAnsi="Times New Roman" w:cs="Times New Roman"/>
          <w:lang w:val="en-US"/>
        </w:rPr>
        <w:t>may</w:t>
      </w:r>
      <w:r w:rsidR="009B3804" w:rsidRPr="00EA3641">
        <w:rPr>
          <w:rFonts w:ascii="Times New Roman" w:hAnsi="Times New Roman" w:cs="Times New Roman"/>
          <w:lang w:val="en-US"/>
        </w:rPr>
        <w:t xml:space="preserve"> be one of those </w:t>
      </w:r>
      <w:r w:rsidR="00381487" w:rsidRPr="00EA3641">
        <w:rPr>
          <w:rFonts w:ascii="Times New Roman" w:hAnsi="Times New Roman" w:cs="Times New Roman"/>
          <w:lang w:val="en-US"/>
        </w:rPr>
        <w:t xml:space="preserve">important </w:t>
      </w:r>
      <w:r w:rsidR="009B3804" w:rsidRPr="00EA3641">
        <w:rPr>
          <w:rFonts w:ascii="Times New Roman" w:hAnsi="Times New Roman" w:cs="Times New Roman"/>
          <w:lang w:val="en-US"/>
        </w:rPr>
        <w:t xml:space="preserve">managerial aspects in </w:t>
      </w:r>
      <w:r w:rsidR="00E13A7C" w:rsidRPr="00EA3641">
        <w:rPr>
          <w:rFonts w:ascii="Times New Roman" w:hAnsi="Times New Roman" w:cs="Times New Roman"/>
          <w:lang w:val="en-US"/>
        </w:rPr>
        <w:t>explaining the high level of</w:t>
      </w:r>
      <w:r w:rsidR="009B3804" w:rsidRPr="00EA3641">
        <w:rPr>
          <w:rFonts w:ascii="Times New Roman" w:hAnsi="Times New Roman" w:cs="Times New Roman"/>
          <w:lang w:val="en-US"/>
        </w:rPr>
        <w:t xml:space="preserve"> </w:t>
      </w:r>
      <w:r w:rsidR="00F86F85" w:rsidRPr="00EA3641">
        <w:rPr>
          <w:rFonts w:ascii="Times New Roman" w:hAnsi="Times New Roman" w:cs="Times New Roman"/>
          <w:lang w:val="en-US"/>
        </w:rPr>
        <w:t>credit risk</w:t>
      </w:r>
      <w:r w:rsidR="00E13A7C" w:rsidRPr="00EA3641">
        <w:rPr>
          <w:rFonts w:ascii="Times New Roman" w:hAnsi="Times New Roman" w:cs="Times New Roman"/>
          <w:lang w:val="en-US"/>
        </w:rPr>
        <w:t xml:space="preserve"> held by Tunisian banks</w:t>
      </w:r>
      <w:r w:rsidR="009B3804" w:rsidRPr="00EA3641">
        <w:rPr>
          <w:rFonts w:ascii="Times New Roman" w:hAnsi="Times New Roman" w:cs="Times New Roman"/>
          <w:lang w:val="en-US"/>
        </w:rPr>
        <w:t>.</w:t>
      </w:r>
      <w:r w:rsidR="0023725E" w:rsidRPr="0023725E">
        <w:rPr>
          <w:b/>
          <w:lang w:val="en-US"/>
        </w:rPr>
        <w:t xml:space="preserve"> </w:t>
      </w:r>
    </w:p>
    <w:p w:rsidR="0023725E" w:rsidRPr="00C229E4" w:rsidRDefault="0023725E" w:rsidP="0023725E">
      <w:pPr>
        <w:keepNext/>
        <w:keepLines/>
        <w:suppressAutoHyphens/>
        <w:autoSpaceDE w:val="0"/>
        <w:autoSpaceDN w:val="0"/>
        <w:adjustRightInd w:val="0"/>
        <w:spacing w:before="240" w:line="276" w:lineRule="auto"/>
        <w:jc w:val="both"/>
        <w:rPr>
          <w:b/>
          <w:lang w:val="en-US"/>
        </w:rPr>
      </w:pPr>
      <w:r w:rsidRPr="00C229E4">
        <w:rPr>
          <w:b/>
          <w:lang w:val="en-US"/>
        </w:rPr>
        <w:t>References</w:t>
      </w:r>
    </w:p>
    <w:p w:rsidR="0023725E" w:rsidRPr="00A06F5A" w:rsidRDefault="0023725E" w:rsidP="0023725E">
      <w:pPr>
        <w:pStyle w:val="Paragraphedeliste"/>
        <w:keepNext/>
        <w:keepLines/>
        <w:numPr>
          <w:ilvl w:val="0"/>
          <w:numId w:val="11"/>
        </w:numPr>
        <w:suppressAutoHyphens/>
        <w:autoSpaceDE w:val="0"/>
        <w:autoSpaceDN w:val="0"/>
        <w:adjustRightInd w:val="0"/>
        <w:spacing w:before="240"/>
        <w:ind w:left="284" w:hanging="284"/>
        <w:jc w:val="both"/>
        <w:rPr>
          <w:sz w:val="20"/>
          <w:szCs w:val="20"/>
          <w:lang w:val="en-US"/>
        </w:rPr>
      </w:pPr>
      <w:r w:rsidRPr="00A06F5A">
        <w:rPr>
          <w:sz w:val="20"/>
          <w:szCs w:val="20"/>
          <w:lang w:val="en-US"/>
        </w:rPr>
        <w:t xml:space="preserve">Ali, K., M. </w:t>
      </w:r>
      <w:proofErr w:type="spellStart"/>
      <w:r w:rsidRPr="00A06F5A">
        <w:rPr>
          <w:sz w:val="20"/>
          <w:szCs w:val="20"/>
          <w:lang w:val="en-US"/>
        </w:rPr>
        <w:t>Akhatar</w:t>
      </w:r>
      <w:proofErr w:type="spellEnd"/>
      <w:r w:rsidRPr="00A06F5A">
        <w:rPr>
          <w:sz w:val="20"/>
          <w:szCs w:val="20"/>
          <w:lang w:val="en-US"/>
        </w:rPr>
        <w:t xml:space="preserve">, and S. </w:t>
      </w:r>
      <w:proofErr w:type="spellStart"/>
      <w:r w:rsidRPr="00A06F5A">
        <w:rPr>
          <w:sz w:val="20"/>
          <w:szCs w:val="20"/>
          <w:lang w:val="en-US"/>
        </w:rPr>
        <w:t>Sadaqat</w:t>
      </w:r>
      <w:proofErr w:type="spellEnd"/>
      <w:r w:rsidRPr="00A06F5A">
        <w:rPr>
          <w:sz w:val="20"/>
          <w:szCs w:val="20"/>
          <w:lang w:val="en-US"/>
        </w:rPr>
        <w:t xml:space="preserve"> (2011): «Financial and Non-Financial Business Risk Perspective –</w:t>
      </w:r>
      <w:proofErr w:type="spellStart"/>
      <w:r w:rsidRPr="00A06F5A">
        <w:rPr>
          <w:sz w:val="20"/>
          <w:szCs w:val="20"/>
          <w:lang w:val="en-US"/>
        </w:rPr>
        <w:t>Emperical</w:t>
      </w:r>
      <w:proofErr w:type="spellEnd"/>
      <w:r w:rsidRPr="00A06F5A">
        <w:rPr>
          <w:sz w:val="20"/>
          <w:szCs w:val="20"/>
          <w:lang w:val="en-US"/>
        </w:rPr>
        <w:t xml:space="preserve"> Evidence from Commercial Banks», </w:t>
      </w:r>
      <w:r w:rsidRPr="00BA5109">
        <w:rPr>
          <w:i/>
          <w:sz w:val="20"/>
          <w:szCs w:val="20"/>
          <w:lang w:val="en-US"/>
        </w:rPr>
        <w:t>Middle Eastern Economics and Finance</w:t>
      </w:r>
      <w:r>
        <w:rPr>
          <w:iCs/>
          <w:sz w:val="20"/>
          <w:szCs w:val="20"/>
          <w:lang w:val="en-US"/>
        </w:rPr>
        <w:t>, 11(11), 150-160.</w:t>
      </w:r>
    </w:p>
    <w:p w:rsidR="0023725E" w:rsidRPr="00A06F5A" w:rsidRDefault="0023725E" w:rsidP="0023725E">
      <w:pPr>
        <w:pStyle w:val="Paragraphedeliste"/>
        <w:keepNext/>
        <w:keepLines/>
        <w:numPr>
          <w:ilvl w:val="0"/>
          <w:numId w:val="4"/>
        </w:numPr>
        <w:suppressAutoHyphens/>
        <w:autoSpaceDE w:val="0"/>
        <w:autoSpaceDN w:val="0"/>
        <w:adjustRightInd w:val="0"/>
        <w:spacing w:before="240"/>
        <w:ind w:left="284" w:hanging="284"/>
        <w:jc w:val="both"/>
        <w:rPr>
          <w:sz w:val="20"/>
          <w:szCs w:val="20"/>
          <w:lang w:val="en-US"/>
        </w:rPr>
      </w:pPr>
      <w:r w:rsidRPr="00A06F5A">
        <w:rPr>
          <w:sz w:val="20"/>
          <w:szCs w:val="20"/>
          <w:lang w:val="en-US"/>
        </w:rPr>
        <w:t>Al-</w:t>
      </w:r>
      <w:proofErr w:type="spellStart"/>
      <w:r w:rsidRPr="00A06F5A">
        <w:rPr>
          <w:sz w:val="20"/>
          <w:szCs w:val="20"/>
          <w:lang w:val="en-US"/>
        </w:rPr>
        <w:t>Smadi</w:t>
      </w:r>
      <w:proofErr w:type="spellEnd"/>
      <w:r w:rsidRPr="00A06F5A">
        <w:rPr>
          <w:sz w:val="20"/>
          <w:szCs w:val="20"/>
          <w:lang w:val="en-US"/>
        </w:rPr>
        <w:t xml:space="preserve">, M. O., and N.H. Ahmed (2009): «Factors Affecting Banks’ Credit Risk: Evidence from Jordan», </w:t>
      </w:r>
      <w:r>
        <w:rPr>
          <w:sz w:val="20"/>
          <w:szCs w:val="20"/>
          <w:lang w:val="en-US"/>
        </w:rPr>
        <w:t xml:space="preserve">Proceeding of the Second International Conference on Arab-Malaysian Islamic Global Business </w:t>
      </w:r>
      <w:proofErr w:type="spellStart"/>
      <w:r>
        <w:rPr>
          <w:sz w:val="20"/>
          <w:szCs w:val="20"/>
          <w:lang w:val="en-US"/>
        </w:rPr>
        <w:t>ans</w:t>
      </w:r>
      <w:proofErr w:type="spellEnd"/>
      <w:r>
        <w:rPr>
          <w:sz w:val="20"/>
          <w:szCs w:val="20"/>
          <w:lang w:val="en-US"/>
        </w:rPr>
        <w:t xml:space="preserve"> Entrepreneurship</w:t>
      </w:r>
      <w:r w:rsidRPr="00A06F5A">
        <w:rPr>
          <w:sz w:val="20"/>
          <w:szCs w:val="20"/>
          <w:lang w:val="en-US"/>
        </w:rPr>
        <w:t xml:space="preserve">. </w:t>
      </w:r>
    </w:p>
    <w:p w:rsidR="0023725E" w:rsidRPr="00A06F5A" w:rsidRDefault="0023725E" w:rsidP="0023725E">
      <w:pPr>
        <w:pStyle w:val="Paragraphedeliste"/>
        <w:keepNext/>
        <w:keepLines/>
        <w:numPr>
          <w:ilvl w:val="0"/>
          <w:numId w:val="7"/>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Anginer</w:t>
      </w:r>
      <w:proofErr w:type="spellEnd"/>
      <w:r w:rsidRPr="00A06F5A">
        <w:rPr>
          <w:sz w:val="20"/>
          <w:szCs w:val="20"/>
          <w:lang w:val="en-US"/>
        </w:rPr>
        <w:t xml:space="preserve"> D., A.</w:t>
      </w:r>
      <w:r>
        <w:rPr>
          <w:sz w:val="20"/>
          <w:szCs w:val="20"/>
          <w:lang w:val="en-US"/>
        </w:rPr>
        <w:t xml:space="preserve"> </w:t>
      </w:r>
      <w:proofErr w:type="spellStart"/>
      <w:r>
        <w:rPr>
          <w:sz w:val="20"/>
          <w:szCs w:val="20"/>
          <w:lang w:val="en-US"/>
        </w:rPr>
        <w:t>Demirguc-Kunt</w:t>
      </w:r>
      <w:proofErr w:type="spellEnd"/>
      <w:r>
        <w:rPr>
          <w:sz w:val="20"/>
          <w:szCs w:val="20"/>
          <w:lang w:val="en-US"/>
        </w:rPr>
        <w:t>, and M. Zhu (2014</w:t>
      </w:r>
      <w:r w:rsidRPr="00A06F5A">
        <w:rPr>
          <w:sz w:val="20"/>
          <w:szCs w:val="20"/>
          <w:lang w:val="en-US"/>
        </w:rPr>
        <w:t xml:space="preserve">): «How Does Bank Competition Affect Systemic Stability? », </w:t>
      </w:r>
      <w:r w:rsidRPr="004A0AB9">
        <w:rPr>
          <w:i/>
          <w:sz w:val="20"/>
          <w:szCs w:val="20"/>
          <w:lang w:val="en-US"/>
        </w:rPr>
        <w:t>Journal of Financial Intermediation</w:t>
      </w:r>
      <w:r>
        <w:rPr>
          <w:sz w:val="20"/>
          <w:szCs w:val="20"/>
          <w:lang w:val="en-US"/>
        </w:rPr>
        <w:t>, 23(1), 1-26</w:t>
      </w:r>
      <w:r w:rsidRPr="00A06F5A">
        <w:rPr>
          <w:sz w:val="20"/>
          <w:szCs w:val="20"/>
          <w:lang w:val="en-US"/>
        </w:rPr>
        <w:t>.</w:t>
      </w:r>
    </w:p>
    <w:p w:rsidR="0023725E" w:rsidRPr="00A06F5A" w:rsidRDefault="0023725E" w:rsidP="0023725E">
      <w:pPr>
        <w:pStyle w:val="Paragraphedeliste"/>
        <w:keepNext/>
        <w:keepLines/>
        <w:numPr>
          <w:ilvl w:val="0"/>
          <w:numId w:val="7"/>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Athanasoglou</w:t>
      </w:r>
      <w:proofErr w:type="spellEnd"/>
      <w:r w:rsidRPr="00A06F5A">
        <w:rPr>
          <w:sz w:val="20"/>
          <w:szCs w:val="20"/>
          <w:lang w:val="en-US"/>
        </w:rPr>
        <w:t xml:space="preserve">, P.P., M.D. Delis and C.K. </w:t>
      </w:r>
      <w:proofErr w:type="spellStart"/>
      <w:r w:rsidRPr="00A06F5A">
        <w:rPr>
          <w:sz w:val="20"/>
          <w:szCs w:val="20"/>
          <w:lang w:val="en-US"/>
        </w:rPr>
        <w:t>Staikouras</w:t>
      </w:r>
      <w:proofErr w:type="spellEnd"/>
      <w:r w:rsidRPr="00A06F5A">
        <w:rPr>
          <w:sz w:val="20"/>
          <w:szCs w:val="20"/>
          <w:lang w:val="en-US"/>
        </w:rPr>
        <w:t xml:space="preserve"> (20</w:t>
      </w:r>
      <w:r>
        <w:rPr>
          <w:sz w:val="20"/>
          <w:szCs w:val="20"/>
          <w:lang w:val="en-US"/>
        </w:rPr>
        <w:t>10</w:t>
      </w:r>
      <w:r w:rsidRPr="00A06F5A">
        <w:rPr>
          <w:sz w:val="20"/>
          <w:szCs w:val="20"/>
          <w:lang w:val="en-US"/>
        </w:rPr>
        <w:t xml:space="preserve">): «Determinants of Bank Profitability in the South Eastern European Region», </w:t>
      </w:r>
      <w:r w:rsidRPr="001E35D6">
        <w:rPr>
          <w:i/>
          <w:sz w:val="20"/>
          <w:szCs w:val="20"/>
          <w:lang w:val="en-US"/>
        </w:rPr>
        <w:t>Journal of Financial Decision Making</w:t>
      </w:r>
      <w:r w:rsidRPr="00A06F5A">
        <w:rPr>
          <w:sz w:val="20"/>
          <w:szCs w:val="20"/>
          <w:lang w:val="en-US"/>
        </w:rPr>
        <w:t xml:space="preserve">, </w:t>
      </w:r>
      <w:r>
        <w:rPr>
          <w:i/>
          <w:sz w:val="20"/>
          <w:szCs w:val="20"/>
          <w:lang w:val="en-US"/>
        </w:rPr>
        <w:t>2, 1-17</w:t>
      </w:r>
      <w:r w:rsidRPr="00A06F5A">
        <w:rPr>
          <w:sz w:val="20"/>
          <w:szCs w:val="20"/>
          <w:lang w:val="en-US"/>
        </w:rPr>
        <w:t>.</w:t>
      </w:r>
    </w:p>
    <w:p w:rsidR="0023725E" w:rsidRPr="00A06F5A" w:rsidRDefault="0023725E" w:rsidP="0023725E">
      <w:pPr>
        <w:pStyle w:val="Paragraphedeliste"/>
        <w:keepNext/>
        <w:keepLines/>
        <w:numPr>
          <w:ilvl w:val="0"/>
          <w:numId w:val="10"/>
        </w:numPr>
        <w:suppressAutoHyphens/>
        <w:spacing w:before="240"/>
        <w:ind w:left="284" w:hanging="284"/>
        <w:jc w:val="both"/>
        <w:rPr>
          <w:sz w:val="20"/>
          <w:szCs w:val="20"/>
          <w:lang w:val="en-US"/>
        </w:rPr>
      </w:pPr>
      <w:r w:rsidRPr="00A06F5A">
        <w:rPr>
          <w:sz w:val="20"/>
          <w:szCs w:val="20"/>
          <w:lang w:val="en-US"/>
        </w:rPr>
        <w:t xml:space="preserve">Berger, A.N. and R. </w:t>
      </w:r>
      <w:proofErr w:type="spellStart"/>
      <w:r w:rsidRPr="00A06F5A">
        <w:rPr>
          <w:sz w:val="20"/>
          <w:szCs w:val="20"/>
          <w:lang w:val="en-US"/>
        </w:rPr>
        <w:t>DeYoung</w:t>
      </w:r>
      <w:proofErr w:type="spellEnd"/>
      <w:r w:rsidRPr="00A06F5A">
        <w:rPr>
          <w:sz w:val="20"/>
          <w:szCs w:val="20"/>
          <w:lang w:val="en-US"/>
        </w:rPr>
        <w:t xml:space="preserve"> (1997): «Problem loans and cost efficiency in commercial banks», </w:t>
      </w:r>
      <w:r w:rsidRPr="00A06F5A">
        <w:rPr>
          <w:i/>
          <w:sz w:val="20"/>
          <w:szCs w:val="20"/>
          <w:lang w:val="en-US"/>
        </w:rPr>
        <w:t>Journal of Banking and Finance</w:t>
      </w:r>
      <w:r w:rsidRPr="00A06F5A">
        <w:rPr>
          <w:sz w:val="20"/>
          <w:szCs w:val="20"/>
          <w:lang w:val="en-US"/>
        </w:rPr>
        <w:t xml:space="preserve">, </w:t>
      </w:r>
      <w:r w:rsidRPr="00A06F5A">
        <w:rPr>
          <w:bCs/>
          <w:sz w:val="20"/>
          <w:szCs w:val="20"/>
          <w:lang w:val="en-US"/>
        </w:rPr>
        <w:t>21</w:t>
      </w:r>
      <w:r w:rsidRPr="00A06F5A">
        <w:rPr>
          <w:sz w:val="20"/>
          <w:szCs w:val="20"/>
          <w:lang w:val="en-US"/>
        </w:rPr>
        <w:t xml:space="preserve">, 849-870. </w:t>
      </w:r>
    </w:p>
    <w:p w:rsidR="0023725E" w:rsidRPr="00A06F5A" w:rsidRDefault="0023725E" w:rsidP="0023725E">
      <w:pPr>
        <w:pStyle w:val="Paragraphedeliste"/>
        <w:keepNext/>
        <w:keepLines/>
        <w:numPr>
          <w:ilvl w:val="0"/>
          <w:numId w:val="10"/>
        </w:numPr>
        <w:suppressAutoHyphens/>
        <w:spacing w:before="240"/>
        <w:ind w:left="284" w:hanging="284"/>
        <w:jc w:val="both"/>
        <w:rPr>
          <w:sz w:val="20"/>
          <w:szCs w:val="20"/>
          <w:lang w:val="en-US"/>
        </w:rPr>
      </w:pPr>
      <w:r w:rsidRPr="00A06F5A">
        <w:rPr>
          <w:sz w:val="20"/>
          <w:szCs w:val="20"/>
          <w:lang w:val="en-US"/>
        </w:rPr>
        <w:t xml:space="preserve">Blundell, R. and S. Bond (1998): «Initial conditions and moment conditions in dynamic panel data models», </w:t>
      </w:r>
      <w:r w:rsidRPr="00A06F5A">
        <w:rPr>
          <w:i/>
          <w:sz w:val="20"/>
          <w:szCs w:val="20"/>
          <w:lang w:val="en-US"/>
        </w:rPr>
        <w:t>Journal of Econometrics</w:t>
      </w:r>
      <w:r w:rsidRPr="00A06F5A">
        <w:rPr>
          <w:sz w:val="20"/>
          <w:szCs w:val="20"/>
          <w:lang w:val="en-US"/>
        </w:rPr>
        <w:t xml:space="preserve"> 87, 115–143.</w:t>
      </w:r>
    </w:p>
    <w:p w:rsidR="0023725E" w:rsidRPr="00A06F5A" w:rsidRDefault="0023725E" w:rsidP="0023725E">
      <w:pPr>
        <w:pStyle w:val="Paragraphedeliste"/>
        <w:keepNext/>
        <w:keepLines/>
        <w:numPr>
          <w:ilvl w:val="0"/>
          <w:numId w:val="8"/>
        </w:numPr>
        <w:suppressAutoHyphens/>
        <w:spacing w:before="240"/>
        <w:ind w:left="284" w:hanging="284"/>
        <w:jc w:val="both"/>
        <w:rPr>
          <w:sz w:val="20"/>
          <w:szCs w:val="20"/>
          <w:lang w:val="en-US"/>
        </w:rPr>
      </w:pPr>
      <w:proofErr w:type="spellStart"/>
      <w:r w:rsidRPr="00A06F5A">
        <w:rPr>
          <w:sz w:val="20"/>
          <w:szCs w:val="20"/>
          <w:lang w:val="en-US"/>
        </w:rPr>
        <w:t>Boudriga</w:t>
      </w:r>
      <w:proofErr w:type="spellEnd"/>
      <w:r w:rsidRPr="00A06F5A">
        <w:rPr>
          <w:sz w:val="20"/>
          <w:szCs w:val="20"/>
          <w:lang w:val="en-US"/>
        </w:rPr>
        <w:t xml:space="preserve">, A., N. </w:t>
      </w:r>
      <w:proofErr w:type="spellStart"/>
      <w:r w:rsidRPr="00A06F5A">
        <w:rPr>
          <w:sz w:val="20"/>
          <w:szCs w:val="20"/>
          <w:lang w:val="en-US"/>
        </w:rPr>
        <w:t>Boulila</w:t>
      </w:r>
      <w:proofErr w:type="spellEnd"/>
      <w:r w:rsidRPr="00A06F5A">
        <w:rPr>
          <w:sz w:val="20"/>
          <w:szCs w:val="20"/>
          <w:lang w:val="en-US"/>
        </w:rPr>
        <w:t xml:space="preserve">, and S. </w:t>
      </w:r>
      <w:proofErr w:type="spellStart"/>
      <w:r w:rsidRPr="00A06F5A">
        <w:rPr>
          <w:sz w:val="20"/>
          <w:szCs w:val="20"/>
          <w:lang w:val="en-US"/>
        </w:rPr>
        <w:t>Jellouli</w:t>
      </w:r>
      <w:proofErr w:type="spellEnd"/>
      <w:r w:rsidRPr="00A06F5A">
        <w:rPr>
          <w:sz w:val="20"/>
          <w:szCs w:val="20"/>
          <w:lang w:val="en-US"/>
        </w:rPr>
        <w:t xml:space="preserve"> (2009). «Does Bank Supervision Impact Nonperforming Loans: Cross Country Determinants Using Aggregate Data», </w:t>
      </w:r>
      <w:r w:rsidRPr="00A06F5A">
        <w:rPr>
          <w:i/>
          <w:iCs/>
          <w:sz w:val="20"/>
          <w:szCs w:val="20"/>
          <w:lang w:val="en-US"/>
        </w:rPr>
        <w:t>Journal of Banking &amp; Finance</w:t>
      </w:r>
      <w:r w:rsidRPr="00A06F5A">
        <w:rPr>
          <w:sz w:val="20"/>
          <w:szCs w:val="20"/>
          <w:lang w:val="en-US"/>
        </w:rPr>
        <w:t xml:space="preserve">, </w:t>
      </w:r>
      <w:r w:rsidRPr="00A06F5A">
        <w:rPr>
          <w:i/>
          <w:iCs/>
          <w:sz w:val="20"/>
          <w:szCs w:val="20"/>
          <w:lang w:val="en-US"/>
        </w:rPr>
        <w:t>25</w:t>
      </w:r>
      <w:r w:rsidRPr="00A06F5A">
        <w:rPr>
          <w:sz w:val="20"/>
          <w:szCs w:val="20"/>
          <w:lang w:val="en-US"/>
        </w:rPr>
        <w:t xml:space="preserve">(1), 47-95. </w:t>
      </w:r>
    </w:p>
    <w:p w:rsidR="0023725E" w:rsidRPr="00A06F5A" w:rsidRDefault="0023725E" w:rsidP="0023725E">
      <w:pPr>
        <w:pStyle w:val="Paragraphedeliste"/>
        <w:keepNext/>
        <w:keepLines/>
        <w:numPr>
          <w:ilvl w:val="0"/>
          <w:numId w:val="8"/>
        </w:numPr>
        <w:suppressAutoHyphens/>
        <w:spacing w:before="240"/>
        <w:ind w:left="284" w:hanging="284"/>
        <w:jc w:val="both"/>
        <w:rPr>
          <w:sz w:val="20"/>
          <w:szCs w:val="20"/>
          <w:lang w:val="en-US"/>
        </w:rPr>
      </w:pPr>
      <w:proofErr w:type="spellStart"/>
      <w:r w:rsidRPr="00A06F5A">
        <w:rPr>
          <w:sz w:val="20"/>
          <w:szCs w:val="20"/>
          <w:lang w:val="en-US"/>
        </w:rPr>
        <w:t>Caminal</w:t>
      </w:r>
      <w:proofErr w:type="spellEnd"/>
      <w:r w:rsidRPr="00A06F5A">
        <w:rPr>
          <w:sz w:val="20"/>
          <w:szCs w:val="20"/>
          <w:lang w:val="en-US"/>
        </w:rPr>
        <w:t xml:space="preserve">, R. and C. </w:t>
      </w:r>
      <w:proofErr w:type="spellStart"/>
      <w:r w:rsidRPr="00A06F5A">
        <w:rPr>
          <w:sz w:val="20"/>
          <w:szCs w:val="20"/>
          <w:lang w:val="en-US"/>
        </w:rPr>
        <w:t>Matutes</w:t>
      </w:r>
      <w:proofErr w:type="spellEnd"/>
      <w:r w:rsidRPr="00A06F5A">
        <w:rPr>
          <w:sz w:val="20"/>
          <w:szCs w:val="20"/>
          <w:lang w:val="en-US"/>
        </w:rPr>
        <w:t xml:space="preserve">. (2002): «Market power and bank failures», </w:t>
      </w:r>
      <w:r w:rsidRPr="00A06F5A">
        <w:rPr>
          <w:i/>
          <w:sz w:val="20"/>
          <w:szCs w:val="20"/>
          <w:lang w:val="en-US"/>
        </w:rPr>
        <w:t>International Journal of Industrial Organization</w:t>
      </w:r>
      <w:r>
        <w:rPr>
          <w:sz w:val="20"/>
          <w:szCs w:val="20"/>
          <w:lang w:val="en-US"/>
        </w:rPr>
        <w:t xml:space="preserve">. 20 (9), </w:t>
      </w:r>
      <w:r w:rsidRPr="00A06F5A">
        <w:rPr>
          <w:sz w:val="20"/>
          <w:szCs w:val="20"/>
          <w:lang w:val="en-US"/>
        </w:rPr>
        <w:t xml:space="preserve">1341-1361 </w:t>
      </w:r>
    </w:p>
    <w:p w:rsidR="0023725E" w:rsidRPr="00A06F5A" w:rsidRDefault="0023725E" w:rsidP="0023725E">
      <w:pPr>
        <w:pStyle w:val="Paragraphedeliste"/>
        <w:keepNext/>
        <w:keepLines/>
        <w:numPr>
          <w:ilvl w:val="0"/>
          <w:numId w:val="8"/>
        </w:numPr>
        <w:suppressAutoHyphens/>
        <w:spacing w:before="240"/>
        <w:ind w:left="284" w:hanging="284"/>
        <w:jc w:val="both"/>
        <w:rPr>
          <w:sz w:val="20"/>
          <w:szCs w:val="20"/>
          <w:lang w:val="en-US"/>
        </w:rPr>
      </w:pPr>
      <w:proofErr w:type="spellStart"/>
      <w:r w:rsidRPr="00A06F5A">
        <w:rPr>
          <w:sz w:val="20"/>
          <w:szCs w:val="20"/>
          <w:lang w:val="en-US"/>
        </w:rPr>
        <w:t>Cebenoyan</w:t>
      </w:r>
      <w:proofErr w:type="spellEnd"/>
      <w:r w:rsidRPr="00A06F5A">
        <w:rPr>
          <w:sz w:val="20"/>
          <w:szCs w:val="20"/>
          <w:lang w:val="en-US"/>
        </w:rPr>
        <w:t xml:space="preserve"> A.S., E.S. Cooperman and C.A. Register (1999): «Ownership structure charter value and risk-taking behavior of thrifts», </w:t>
      </w:r>
      <w:r w:rsidRPr="00A06F5A">
        <w:rPr>
          <w:i/>
          <w:sz w:val="20"/>
          <w:szCs w:val="20"/>
          <w:lang w:val="en-US"/>
        </w:rPr>
        <w:t>Financial Management</w:t>
      </w:r>
      <w:r w:rsidRPr="00A06F5A">
        <w:rPr>
          <w:sz w:val="20"/>
          <w:szCs w:val="20"/>
          <w:lang w:val="en-US"/>
        </w:rPr>
        <w:t xml:space="preserve"> 28 (1): 43-60.</w:t>
      </w:r>
    </w:p>
    <w:p w:rsidR="0023725E" w:rsidRPr="00A06F5A" w:rsidRDefault="0023725E" w:rsidP="0023725E">
      <w:pPr>
        <w:pStyle w:val="Paragraphedeliste"/>
        <w:keepNext/>
        <w:keepLines/>
        <w:numPr>
          <w:ilvl w:val="0"/>
          <w:numId w:val="8"/>
        </w:numPr>
        <w:suppressAutoHyphens/>
        <w:spacing w:before="240"/>
        <w:ind w:left="284" w:hanging="284"/>
        <w:jc w:val="both"/>
        <w:rPr>
          <w:sz w:val="20"/>
          <w:szCs w:val="20"/>
          <w:lang w:val="en-US"/>
        </w:rPr>
      </w:pPr>
      <w:r w:rsidRPr="00A06F5A">
        <w:rPr>
          <w:sz w:val="20"/>
          <w:szCs w:val="20"/>
          <w:lang w:val="en-US"/>
        </w:rPr>
        <w:t xml:space="preserve">Chen, C.R., T.L. Steiner, and A. M. Whyte, (1998): «Risk-taking behavior and management ownership in depository institutions», </w:t>
      </w:r>
      <w:r w:rsidRPr="00A06F5A">
        <w:rPr>
          <w:i/>
          <w:sz w:val="20"/>
          <w:szCs w:val="20"/>
          <w:lang w:val="en-US"/>
        </w:rPr>
        <w:t>Journal of Financial Research</w:t>
      </w:r>
      <w:r w:rsidRPr="00A06F5A">
        <w:rPr>
          <w:sz w:val="20"/>
          <w:szCs w:val="20"/>
          <w:lang w:val="en-US"/>
        </w:rPr>
        <w:t xml:space="preserve"> 21, 1-16. </w:t>
      </w:r>
    </w:p>
    <w:p w:rsidR="0023725E" w:rsidRPr="00A06F5A" w:rsidRDefault="0023725E" w:rsidP="0023725E">
      <w:pPr>
        <w:pStyle w:val="Paragraphedeliste"/>
        <w:keepNext/>
        <w:keepLines/>
        <w:numPr>
          <w:ilvl w:val="0"/>
          <w:numId w:val="8"/>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Demirguc-Kunt</w:t>
      </w:r>
      <w:proofErr w:type="spellEnd"/>
      <w:r w:rsidRPr="00A06F5A">
        <w:rPr>
          <w:sz w:val="20"/>
          <w:szCs w:val="20"/>
          <w:lang w:val="en-US"/>
        </w:rPr>
        <w:t>, A. and H. Huizinga (199</w:t>
      </w:r>
      <w:r>
        <w:rPr>
          <w:sz w:val="20"/>
          <w:szCs w:val="20"/>
          <w:lang w:val="en-US"/>
        </w:rPr>
        <w:t>9</w:t>
      </w:r>
      <w:r w:rsidRPr="00A06F5A">
        <w:rPr>
          <w:sz w:val="20"/>
          <w:szCs w:val="20"/>
          <w:lang w:val="en-US"/>
        </w:rPr>
        <w:t xml:space="preserve">): «Determinants of Commercial Bank Interest margins and Profitability: Some International Evidence», </w:t>
      </w:r>
      <w:r w:rsidRPr="001E35D6">
        <w:rPr>
          <w:i/>
          <w:sz w:val="20"/>
          <w:szCs w:val="20"/>
          <w:lang w:val="en-US"/>
        </w:rPr>
        <w:t>The World Bank Economic Review</w:t>
      </w:r>
      <w:r>
        <w:rPr>
          <w:sz w:val="20"/>
          <w:szCs w:val="20"/>
          <w:lang w:val="en-US"/>
        </w:rPr>
        <w:t>, 13(2), 379-408</w:t>
      </w:r>
      <w:r w:rsidRPr="00A06F5A">
        <w:rPr>
          <w:sz w:val="20"/>
          <w:szCs w:val="20"/>
          <w:lang w:val="en-US"/>
        </w:rPr>
        <w:t xml:space="preserve">. </w:t>
      </w:r>
    </w:p>
    <w:p w:rsidR="0023725E" w:rsidRPr="00A06F5A" w:rsidRDefault="0023725E" w:rsidP="0023725E">
      <w:pPr>
        <w:pStyle w:val="Paragraphedeliste"/>
        <w:keepNext/>
        <w:keepLines/>
        <w:numPr>
          <w:ilvl w:val="0"/>
          <w:numId w:val="5"/>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Derbali</w:t>
      </w:r>
      <w:proofErr w:type="spellEnd"/>
      <w:r w:rsidRPr="00A06F5A">
        <w:rPr>
          <w:sz w:val="20"/>
          <w:szCs w:val="20"/>
          <w:lang w:val="en-US"/>
        </w:rPr>
        <w:t xml:space="preserve">, A. (2011): «Determinants of Banking Profitability, Before and During the Financial Crisis of 2007: The Case of Tunisian Banks», </w:t>
      </w:r>
      <w:r w:rsidRPr="00A06F5A">
        <w:rPr>
          <w:i/>
          <w:iCs/>
          <w:sz w:val="20"/>
          <w:szCs w:val="20"/>
          <w:lang w:val="en-US"/>
        </w:rPr>
        <w:t xml:space="preserve">Interdisciplinary Journal of Contemporary Research in Business </w:t>
      </w:r>
      <w:r w:rsidRPr="00A06F5A">
        <w:rPr>
          <w:sz w:val="20"/>
          <w:szCs w:val="20"/>
          <w:lang w:val="en-US"/>
        </w:rPr>
        <w:t xml:space="preserve">3, 1256-1269. </w:t>
      </w:r>
    </w:p>
    <w:p w:rsidR="0023725E" w:rsidRDefault="0023725E" w:rsidP="0023725E">
      <w:pPr>
        <w:pStyle w:val="Paragraphedeliste"/>
        <w:keepNext/>
        <w:keepLines/>
        <w:numPr>
          <w:ilvl w:val="0"/>
          <w:numId w:val="5"/>
        </w:numPr>
        <w:suppressAutoHyphens/>
        <w:autoSpaceDE w:val="0"/>
        <w:autoSpaceDN w:val="0"/>
        <w:adjustRightInd w:val="0"/>
        <w:spacing w:before="240"/>
        <w:ind w:left="284" w:hanging="284"/>
        <w:jc w:val="both"/>
        <w:rPr>
          <w:sz w:val="20"/>
          <w:szCs w:val="20"/>
          <w:lang w:val="en-US"/>
        </w:rPr>
      </w:pPr>
      <w:r>
        <w:rPr>
          <w:sz w:val="20"/>
          <w:szCs w:val="20"/>
          <w:lang w:val="en-US"/>
        </w:rPr>
        <w:t xml:space="preserve">EKANAYAKE, A.M.N.E and A.A. </w:t>
      </w:r>
      <w:proofErr w:type="spellStart"/>
      <w:r>
        <w:rPr>
          <w:sz w:val="20"/>
          <w:szCs w:val="20"/>
          <w:lang w:val="en-US"/>
        </w:rPr>
        <w:t>Azeez</w:t>
      </w:r>
      <w:proofErr w:type="spellEnd"/>
      <w:r>
        <w:rPr>
          <w:sz w:val="20"/>
          <w:szCs w:val="20"/>
          <w:lang w:val="en-US"/>
        </w:rPr>
        <w:t xml:space="preserve"> (2015): </w:t>
      </w:r>
      <w:r w:rsidRPr="00A06F5A">
        <w:rPr>
          <w:sz w:val="20"/>
          <w:szCs w:val="20"/>
          <w:lang w:val="en-US"/>
        </w:rPr>
        <w:t>«</w:t>
      </w:r>
      <w:r>
        <w:rPr>
          <w:sz w:val="20"/>
          <w:szCs w:val="20"/>
          <w:lang w:val="en-US"/>
        </w:rPr>
        <w:t xml:space="preserve">Determinants of Non-Performing </w:t>
      </w:r>
      <w:proofErr w:type="spellStart"/>
      <w:r>
        <w:rPr>
          <w:sz w:val="20"/>
          <w:szCs w:val="20"/>
          <w:lang w:val="en-US"/>
        </w:rPr>
        <w:t>Loansin</w:t>
      </w:r>
      <w:proofErr w:type="spellEnd"/>
      <w:r>
        <w:rPr>
          <w:sz w:val="20"/>
          <w:szCs w:val="20"/>
          <w:lang w:val="en-US"/>
        </w:rPr>
        <w:t xml:space="preserve"> Licensed Commercial Banks: Evidence from Sir Lanka</w:t>
      </w:r>
      <w:r w:rsidRPr="00A06F5A">
        <w:rPr>
          <w:sz w:val="20"/>
          <w:szCs w:val="20"/>
          <w:lang w:val="en-US"/>
        </w:rPr>
        <w:t>»</w:t>
      </w:r>
      <w:r>
        <w:rPr>
          <w:sz w:val="20"/>
          <w:szCs w:val="20"/>
          <w:lang w:val="en-US"/>
        </w:rPr>
        <w:t xml:space="preserve">, </w:t>
      </w:r>
      <w:r w:rsidRPr="00D7536B">
        <w:rPr>
          <w:i/>
          <w:sz w:val="20"/>
          <w:szCs w:val="20"/>
          <w:lang w:val="en-US"/>
        </w:rPr>
        <w:t>Asian Economic and Financial Review</w:t>
      </w:r>
      <w:r>
        <w:rPr>
          <w:sz w:val="20"/>
          <w:szCs w:val="20"/>
          <w:lang w:val="en-US"/>
        </w:rPr>
        <w:t xml:space="preserve">, 5(6), 868-882. </w:t>
      </w:r>
    </w:p>
    <w:p w:rsidR="0023725E" w:rsidRPr="00A06F5A" w:rsidRDefault="0023725E" w:rsidP="0023725E">
      <w:pPr>
        <w:pStyle w:val="Paragraphedeliste"/>
        <w:keepNext/>
        <w:keepLines/>
        <w:numPr>
          <w:ilvl w:val="0"/>
          <w:numId w:val="5"/>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Figlewski</w:t>
      </w:r>
      <w:proofErr w:type="spellEnd"/>
      <w:r w:rsidRPr="00A06F5A">
        <w:rPr>
          <w:sz w:val="20"/>
          <w:szCs w:val="20"/>
          <w:lang w:val="en-US"/>
        </w:rPr>
        <w:t xml:space="preserve">, S., H. </w:t>
      </w:r>
      <w:proofErr w:type="spellStart"/>
      <w:r w:rsidRPr="00A06F5A">
        <w:rPr>
          <w:sz w:val="20"/>
          <w:szCs w:val="20"/>
          <w:lang w:val="en-US"/>
        </w:rPr>
        <w:t>Frydman</w:t>
      </w:r>
      <w:proofErr w:type="spellEnd"/>
      <w:r w:rsidRPr="00A06F5A">
        <w:rPr>
          <w:sz w:val="20"/>
          <w:szCs w:val="20"/>
          <w:lang w:val="en-US"/>
        </w:rPr>
        <w:t xml:space="preserve"> and W. Liang (2012): «Modeling the Effect of Macroeconomic Factors on Corporate Default and Credit Rating Transitions», </w:t>
      </w:r>
      <w:r w:rsidRPr="00A06F5A">
        <w:rPr>
          <w:i/>
          <w:iCs/>
          <w:sz w:val="20"/>
          <w:szCs w:val="20"/>
          <w:lang w:val="en-US"/>
        </w:rPr>
        <w:t xml:space="preserve">International Review Economics and Finance </w:t>
      </w:r>
      <w:r w:rsidRPr="00A06F5A">
        <w:rPr>
          <w:sz w:val="20"/>
          <w:szCs w:val="20"/>
          <w:lang w:val="en-US"/>
        </w:rPr>
        <w:t>21, 87-105.</w:t>
      </w:r>
    </w:p>
    <w:p w:rsidR="0023725E" w:rsidRPr="00A06F5A" w:rsidRDefault="0023725E" w:rsidP="0023725E">
      <w:pPr>
        <w:pStyle w:val="Paragraphedeliste"/>
        <w:keepNext/>
        <w:keepLines/>
        <w:numPr>
          <w:ilvl w:val="0"/>
          <w:numId w:val="9"/>
        </w:numPr>
        <w:suppressAutoHyphens/>
        <w:autoSpaceDE w:val="0"/>
        <w:autoSpaceDN w:val="0"/>
        <w:adjustRightInd w:val="0"/>
        <w:spacing w:before="240"/>
        <w:ind w:left="284" w:hanging="284"/>
        <w:jc w:val="both"/>
        <w:rPr>
          <w:i/>
          <w:iCs/>
          <w:sz w:val="20"/>
          <w:szCs w:val="20"/>
          <w:lang w:val="en-US"/>
        </w:rPr>
      </w:pPr>
      <w:r w:rsidRPr="00A06F5A">
        <w:rPr>
          <w:sz w:val="20"/>
          <w:szCs w:val="20"/>
          <w:lang w:val="en-US"/>
        </w:rPr>
        <w:t xml:space="preserve">Furlong, F. and M. </w:t>
      </w:r>
      <w:proofErr w:type="spellStart"/>
      <w:r w:rsidRPr="00A06F5A">
        <w:rPr>
          <w:sz w:val="20"/>
          <w:szCs w:val="20"/>
          <w:lang w:val="en-US"/>
        </w:rPr>
        <w:t>Keeley</w:t>
      </w:r>
      <w:proofErr w:type="spellEnd"/>
      <w:r w:rsidRPr="00A06F5A">
        <w:rPr>
          <w:sz w:val="20"/>
          <w:szCs w:val="20"/>
          <w:lang w:val="en-US"/>
        </w:rPr>
        <w:t xml:space="preserve"> (1989): «Capital regulation and bank risk-taking: A note», </w:t>
      </w:r>
      <w:r w:rsidRPr="00A06F5A">
        <w:rPr>
          <w:i/>
          <w:iCs/>
          <w:sz w:val="20"/>
          <w:szCs w:val="20"/>
          <w:lang w:val="en-US"/>
        </w:rPr>
        <w:t xml:space="preserve">Journal of Banking and Finance </w:t>
      </w:r>
      <w:r w:rsidRPr="00A06F5A">
        <w:rPr>
          <w:sz w:val="20"/>
          <w:szCs w:val="20"/>
          <w:lang w:val="en-US"/>
        </w:rPr>
        <w:t>13, 883-891.</w:t>
      </w:r>
    </w:p>
    <w:p w:rsidR="0023725E" w:rsidRDefault="0023725E" w:rsidP="0023725E">
      <w:pPr>
        <w:pStyle w:val="Paragraphedeliste"/>
        <w:keepNext/>
        <w:keepLines/>
        <w:numPr>
          <w:ilvl w:val="0"/>
          <w:numId w:val="9"/>
        </w:numPr>
        <w:suppressAutoHyphens/>
        <w:autoSpaceDE w:val="0"/>
        <w:autoSpaceDN w:val="0"/>
        <w:adjustRightInd w:val="0"/>
        <w:spacing w:before="240"/>
        <w:ind w:left="284" w:hanging="284"/>
        <w:jc w:val="both"/>
        <w:rPr>
          <w:sz w:val="20"/>
          <w:szCs w:val="20"/>
          <w:lang w:val="en-US"/>
        </w:rPr>
      </w:pPr>
      <w:proofErr w:type="spellStart"/>
      <w:r>
        <w:rPr>
          <w:sz w:val="20"/>
          <w:szCs w:val="20"/>
          <w:lang w:val="en-US"/>
        </w:rPr>
        <w:t>Ganic</w:t>
      </w:r>
      <w:proofErr w:type="spellEnd"/>
      <w:r>
        <w:rPr>
          <w:sz w:val="20"/>
          <w:szCs w:val="20"/>
          <w:lang w:val="en-US"/>
        </w:rPr>
        <w:t xml:space="preserve">, M. (2014): </w:t>
      </w:r>
      <w:r w:rsidRPr="00A06F5A">
        <w:rPr>
          <w:sz w:val="20"/>
          <w:szCs w:val="20"/>
          <w:lang w:val="en-US"/>
        </w:rPr>
        <w:t>«</w:t>
      </w:r>
      <w:r>
        <w:rPr>
          <w:sz w:val="20"/>
          <w:szCs w:val="20"/>
          <w:lang w:val="en-US"/>
        </w:rPr>
        <w:t xml:space="preserve">Bank Specific Determinants of Credit Risk: an </w:t>
      </w:r>
      <w:proofErr w:type="spellStart"/>
      <w:r>
        <w:rPr>
          <w:sz w:val="20"/>
          <w:szCs w:val="20"/>
          <w:lang w:val="en-US"/>
        </w:rPr>
        <w:t>Emperical</w:t>
      </w:r>
      <w:proofErr w:type="spellEnd"/>
      <w:r>
        <w:rPr>
          <w:sz w:val="20"/>
          <w:szCs w:val="20"/>
          <w:lang w:val="en-US"/>
        </w:rPr>
        <w:t xml:space="preserve"> Study on the Banking Sector of Bosnia and Herzegovina</w:t>
      </w:r>
      <w:r w:rsidRPr="00A06F5A">
        <w:rPr>
          <w:sz w:val="20"/>
          <w:szCs w:val="20"/>
          <w:lang w:val="en-US"/>
        </w:rPr>
        <w:t>»</w:t>
      </w:r>
      <w:r>
        <w:rPr>
          <w:sz w:val="20"/>
          <w:szCs w:val="20"/>
          <w:lang w:val="en-US"/>
        </w:rPr>
        <w:t xml:space="preserve">, </w:t>
      </w:r>
      <w:r w:rsidRPr="000910BD">
        <w:rPr>
          <w:i/>
          <w:sz w:val="20"/>
          <w:szCs w:val="20"/>
          <w:lang w:val="en-US"/>
        </w:rPr>
        <w:t>International Journal of Economic Practices and Theories</w:t>
      </w:r>
      <w:r>
        <w:rPr>
          <w:sz w:val="20"/>
          <w:szCs w:val="20"/>
          <w:lang w:val="en-US"/>
        </w:rPr>
        <w:t>, 4(4), 428-436.</w:t>
      </w:r>
    </w:p>
    <w:p w:rsidR="0023725E" w:rsidRPr="00A06F5A" w:rsidRDefault="0023725E" w:rsidP="0023725E">
      <w:pPr>
        <w:pStyle w:val="Paragraphedeliste"/>
        <w:keepNext/>
        <w:keepLines/>
        <w:numPr>
          <w:ilvl w:val="0"/>
          <w:numId w:val="9"/>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García-Herrero</w:t>
      </w:r>
      <w:proofErr w:type="spellEnd"/>
      <w:r w:rsidRPr="00A06F5A">
        <w:rPr>
          <w:sz w:val="20"/>
          <w:szCs w:val="20"/>
          <w:lang w:val="en-US"/>
        </w:rPr>
        <w:t xml:space="preserve">, A., S. </w:t>
      </w:r>
      <w:proofErr w:type="spellStart"/>
      <w:r w:rsidRPr="00A06F5A">
        <w:rPr>
          <w:sz w:val="20"/>
          <w:szCs w:val="20"/>
          <w:lang w:val="en-US"/>
        </w:rPr>
        <w:t>Gavilá</w:t>
      </w:r>
      <w:proofErr w:type="spellEnd"/>
      <w:r w:rsidRPr="00A06F5A">
        <w:rPr>
          <w:sz w:val="20"/>
          <w:szCs w:val="20"/>
          <w:lang w:val="en-US"/>
        </w:rPr>
        <w:t xml:space="preserve"> and D. </w:t>
      </w:r>
      <w:proofErr w:type="spellStart"/>
      <w:r w:rsidRPr="00A06F5A">
        <w:rPr>
          <w:sz w:val="20"/>
          <w:szCs w:val="20"/>
          <w:lang w:val="en-US"/>
        </w:rPr>
        <w:t>Santabárbara</w:t>
      </w:r>
      <w:proofErr w:type="spellEnd"/>
      <w:r w:rsidRPr="00A06F5A">
        <w:rPr>
          <w:sz w:val="20"/>
          <w:szCs w:val="20"/>
          <w:lang w:val="en-US"/>
        </w:rPr>
        <w:t xml:space="preserve"> (2009): «What explains the low profitability of Chinese banks? », </w:t>
      </w:r>
      <w:r w:rsidRPr="00A06F5A">
        <w:rPr>
          <w:i/>
          <w:sz w:val="20"/>
          <w:szCs w:val="20"/>
          <w:lang w:val="en-US"/>
        </w:rPr>
        <w:t>Journal of Banking and Finance</w:t>
      </w:r>
      <w:r w:rsidRPr="00A06F5A">
        <w:rPr>
          <w:sz w:val="20"/>
          <w:szCs w:val="20"/>
          <w:lang w:val="en-US"/>
        </w:rPr>
        <w:t xml:space="preserve"> 33 (11), 2080–2092. </w:t>
      </w:r>
    </w:p>
    <w:p w:rsidR="0023725E" w:rsidRPr="00D7536B" w:rsidRDefault="0023725E" w:rsidP="0023725E">
      <w:pPr>
        <w:pStyle w:val="Paragraphedeliste"/>
        <w:keepNext/>
        <w:keepLines/>
        <w:numPr>
          <w:ilvl w:val="0"/>
          <w:numId w:val="8"/>
        </w:numPr>
        <w:suppressAutoHyphens/>
        <w:spacing w:before="240"/>
        <w:ind w:left="284" w:hanging="284"/>
        <w:jc w:val="both"/>
        <w:rPr>
          <w:sz w:val="20"/>
          <w:szCs w:val="20"/>
          <w:lang w:val="en-US"/>
        </w:rPr>
      </w:pPr>
      <w:r w:rsidRPr="00A06F5A">
        <w:rPr>
          <w:sz w:val="20"/>
          <w:szCs w:val="20"/>
          <w:lang w:val="en-US"/>
        </w:rPr>
        <w:t xml:space="preserve">Garcia-Marco, T. and M.D. Robles-Fernandez (2002): «Risk taking behavior and ownership in the banking industry: The Spanish evidence», </w:t>
      </w:r>
      <w:r w:rsidRPr="00A06F5A">
        <w:rPr>
          <w:i/>
          <w:iCs/>
          <w:sz w:val="20"/>
          <w:szCs w:val="20"/>
          <w:lang w:val="en-US"/>
        </w:rPr>
        <w:t>Journal of Economics and Business</w:t>
      </w:r>
      <w:r w:rsidRPr="00A06F5A">
        <w:rPr>
          <w:sz w:val="20"/>
          <w:szCs w:val="20"/>
          <w:lang w:val="en-US"/>
        </w:rPr>
        <w:t xml:space="preserve">, </w:t>
      </w:r>
      <w:r w:rsidRPr="00A06F5A">
        <w:rPr>
          <w:iCs/>
          <w:sz w:val="20"/>
          <w:szCs w:val="20"/>
          <w:lang w:val="en-US"/>
        </w:rPr>
        <w:t>60 (4), 332-354.</w:t>
      </w:r>
    </w:p>
    <w:p w:rsidR="0023725E" w:rsidRPr="00A06F5A" w:rsidRDefault="0023725E" w:rsidP="0023725E">
      <w:pPr>
        <w:pStyle w:val="Paragraphedeliste"/>
        <w:keepNext/>
        <w:keepLines/>
        <w:numPr>
          <w:ilvl w:val="0"/>
          <w:numId w:val="8"/>
        </w:numPr>
        <w:suppressAutoHyphens/>
        <w:spacing w:before="240"/>
        <w:ind w:left="284" w:hanging="284"/>
        <w:jc w:val="both"/>
        <w:rPr>
          <w:sz w:val="20"/>
          <w:szCs w:val="20"/>
          <w:lang w:val="en-US"/>
        </w:rPr>
      </w:pPr>
      <w:proofErr w:type="spellStart"/>
      <w:r>
        <w:rPr>
          <w:iCs/>
          <w:sz w:val="20"/>
          <w:szCs w:val="20"/>
          <w:lang w:val="en-US"/>
        </w:rPr>
        <w:t>Gawashie</w:t>
      </w:r>
      <w:proofErr w:type="spellEnd"/>
      <w:r>
        <w:rPr>
          <w:iCs/>
          <w:sz w:val="20"/>
          <w:szCs w:val="20"/>
          <w:lang w:val="en-US"/>
        </w:rPr>
        <w:t xml:space="preserve">, D.G (2013): </w:t>
      </w:r>
      <w:r w:rsidRPr="00A06F5A">
        <w:rPr>
          <w:sz w:val="20"/>
          <w:szCs w:val="20"/>
          <w:lang w:val="en-US"/>
        </w:rPr>
        <w:t>«</w:t>
      </w:r>
      <w:r>
        <w:rPr>
          <w:sz w:val="20"/>
          <w:szCs w:val="20"/>
          <w:lang w:val="en-US"/>
        </w:rPr>
        <w:t>Determinants of Credit Risk in the Banking Industry of Ghana</w:t>
      </w:r>
      <w:r w:rsidRPr="00A06F5A">
        <w:rPr>
          <w:sz w:val="20"/>
          <w:szCs w:val="20"/>
          <w:lang w:val="en-US"/>
        </w:rPr>
        <w:t>»</w:t>
      </w:r>
      <w:r>
        <w:rPr>
          <w:sz w:val="20"/>
          <w:szCs w:val="20"/>
          <w:lang w:val="en-US"/>
        </w:rPr>
        <w:t xml:space="preserve">, </w:t>
      </w:r>
      <w:r w:rsidRPr="00D7536B">
        <w:rPr>
          <w:i/>
          <w:sz w:val="20"/>
          <w:szCs w:val="20"/>
          <w:lang w:val="en-US"/>
        </w:rPr>
        <w:t>Developing Country Studies</w:t>
      </w:r>
      <w:r>
        <w:rPr>
          <w:sz w:val="20"/>
          <w:szCs w:val="20"/>
          <w:lang w:val="en-US"/>
        </w:rPr>
        <w:t>, 3(11), 64-78.</w:t>
      </w:r>
    </w:p>
    <w:p w:rsidR="0023725E" w:rsidRPr="00A06F5A" w:rsidRDefault="0023725E" w:rsidP="0023725E">
      <w:pPr>
        <w:pStyle w:val="Paragraphedeliste"/>
        <w:keepNext/>
        <w:keepLines/>
        <w:numPr>
          <w:ilvl w:val="0"/>
          <w:numId w:val="8"/>
        </w:numPr>
        <w:suppressAutoHyphens/>
        <w:spacing w:before="240"/>
        <w:ind w:left="284" w:hanging="284"/>
        <w:jc w:val="both"/>
        <w:rPr>
          <w:sz w:val="20"/>
          <w:szCs w:val="20"/>
          <w:lang w:val="en-US"/>
        </w:rPr>
      </w:pPr>
      <w:proofErr w:type="spellStart"/>
      <w:r w:rsidRPr="00A06F5A">
        <w:rPr>
          <w:iCs/>
          <w:sz w:val="20"/>
          <w:szCs w:val="20"/>
          <w:lang w:val="en-US"/>
        </w:rPr>
        <w:t>Ghazouani</w:t>
      </w:r>
      <w:proofErr w:type="spellEnd"/>
      <w:r w:rsidRPr="00A06F5A">
        <w:rPr>
          <w:iCs/>
          <w:sz w:val="20"/>
          <w:szCs w:val="20"/>
          <w:lang w:val="en-US"/>
        </w:rPr>
        <w:t xml:space="preserve">, I. and S. </w:t>
      </w:r>
      <w:proofErr w:type="spellStart"/>
      <w:r w:rsidRPr="00A06F5A">
        <w:rPr>
          <w:iCs/>
          <w:sz w:val="20"/>
          <w:szCs w:val="20"/>
          <w:lang w:val="en-US"/>
        </w:rPr>
        <w:t>Moussa</w:t>
      </w:r>
      <w:proofErr w:type="spellEnd"/>
      <w:r w:rsidRPr="00A06F5A">
        <w:rPr>
          <w:iCs/>
          <w:sz w:val="20"/>
          <w:szCs w:val="20"/>
          <w:lang w:val="en-US"/>
        </w:rPr>
        <w:t xml:space="preserve"> (2013):</w:t>
      </w:r>
      <w:r w:rsidRPr="00A06F5A">
        <w:rPr>
          <w:sz w:val="20"/>
          <w:szCs w:val="20"/>
          <w:lang w:val="en-US"/>
        </w:rPr>
        <w:t xml:space="preserve"> « Explanatory Factors of Bank Performance in Tunisia: A Panel Model Approach», </w:t>
      </w:r>
      <w:r w:rsidRPr="00A06F5A">
        <w:rPr>
          <w:i/>
          <w:sz w:val="20"/>
          <w:szCs w:val="20"/>
          <w:lang w:val="en-US"/>
        </w:rPr>
        <w:t>Global Journal of Management and Business Research Finance</w:t>
      </w:r>
      <w:r w:rsidRPr="00A06F5A">
        <w:rPr>
          <w:sz w:val="20"/>
          <w:szCs w:val="20"/>
          <w:lang w:val="en-US"/>
        </w:rPr>
        <w:t>, 13(5)</w:t>
      </w:r>
      <w:r>
        <w:rPr>
          <w:sz w:val="20"/>
          <w:szCs w:val="20"/>
          <w:lang w:val="en-US"/>
        </w:rPr>
        <w:t>, 1-11.</w:t>
      </w:r>
    </w:p>
    <w:p w:rsidR="0023725E" w:rsidRPr="00A06F5A" w:rsidRDefault="0023725E" w:rsidP="0023725E">
      <w:pPr>
        <w:pStyle w:val="Paragraphedeliste"/>
        <w:keepNext/>
        <w:keepLines/>
        <w:numPr>
          <w:ilvl w:val="0"/>
          <w:numId w:val="8"/>
        </w:numPr>
        <w:suppressAutoHyphens/>
        <w:spacing w:before="240"/>
        <w:ind w:left="284" w:hanging="284"/>
        <w:jc w:val="both"/>
        <w:rPr>
          <w:sz w:val="20"/>
          <w:szCs w:val="20"/>
          <w:lang w:val="en-US"/>
        </w:rPr>
      </w:pPr>
      <w:proofErr w:type="spellStart"/>
      <w:r w:rsidRPr="00A06F5A">
        <w:rPr>
          <w:sz w:val="20"/>
          <w:szCs w:val="20"/>
          <w:lang w:val="en-US"/>
        </w:rPr>
        <w:t>Goldlewski</w:t>
      </w:r>
      <w:proofErr w:type="spellEnd"/>
      <w:r w:rsidRPr="00A06F5A">
        <w:rPr>
          <w:sz w:val="20"/>
          <w:szCs w:val="20"/>
          <w:lang w:val="en-US"/>
        </w:rPr>
        <w:t xml:space="preserve"> (200</w:t>
      </w:r>
      <w:r>
        <w:rPr>
          <w:sz w:val="20"/>
          <w:szCs w:val="20"/>
          <w:lang w:val="en-US"/>
        </w:rPr>
        <w:t>5</w:t>
      </w:r>
      <w:r w:rsidRPr="00A06F5A">
        <w:rPr>
          <w:sz w:val="20"/>
          <w:szCs w:val="20"/>
          <w:lang w:val="en-US"/>
        </w:rPr>
        <w:t xml:space="preserve">): «Capital regulation and credit risk-taking: empirical evidence from banks in emerging market economies», </w:t>
      </w:r>
      <w:r w:rsidRPr="005E6CE3">
        <w:rPr>
          <w:i/>
          <w:sz w:val="20"/>
          <w:szCs w:val="20"/>
          <w:lang w:val="en-US"/>
        </w:rPr>
        <w:t>Journal of Banking Regulation</w:t>
      </w:r>
      <w:r w:rsidRPr="00A06F5A">
        <w:rPr>
          <w:sz w:val="20"/>
          <w:szCs w:val="20"/>
          <w:lang w:val="en-US"/>
        </w:rPr>
        <w:t xml:space="preserve">, </w:t>
      </w:r>
      <w:r>
        <w:rPr>
          <w:sz w:val="20"/>
          <w:szCs w:val="20"/>
          <w:lang w:val="en-US"/>
        </w:rPr>
        <w:t>6(2), 148-125</w:t>
      </w:r>
      <w:r w:rsidRPr="00A06F5A">
        <w:rPr>
          <w:sz w:val="20"/>
          <w:szCs w:val="20"/>
          <w:lang w:val="en-US"/>
        </w:rPr>
        <w:t>.</w:t>
      </w:r>
    </w:p>
    <w:p w:rsidR="0023725E" w:rsidRPr="00A06F5A" w:rsidRDefault="0023725E" w:rsidP="0023725E">
      <w:pPr>
        <w:pStyle w:val="Paragraphedeliste"/>
        <w:keepNext/>
        <w:keepLines/>
        <w:numPr>
          <w:ilvl w:val="0"/>
          <w:numId w:val="8"/>
        </w:numPr>
        <w:suppressAutoHyphens/>
        <w:spacing w:before="240"/>
        <w:ind w:left="284" w:hanging="284"/>
        <w:jc w:val="both"/>
        <w:rPr>
          <w:sz w:val="20"/>
          <w:szCs w:val="20"/>
          <w:lang w:val="en-US"/>
        </w:rPr>
      </w:pPr>
      <w:proofErr w:type="spellStart"/>
      <w:r w:rsidRPr="00A06F5A">
        <w:rPr>
          <w:sz w:val="20"/>
          <w:szCs w:val="20"/>
          <w:lang w:val="en-US"/>
        </w:rPr>
        <w:t>Greuning</w:t>
      </w:r>
      <w:proofErr w:type="spellEnd"/>
      <w:r w:rsidRPr="00A06F5A">
        <w:rPr>
          <w:sz w:val="20"/>
          <w:szCs w:val="20"/>
          <w:lang w:val="en-US"/>
        </w:rPr>
        <w:t xml:space="preserve"> </w:t>
      </w:r>
      <w:proofErr w:type="spellStart"/>
      <w:r w:rsidRPr="00A06F5A">
        <w:rPr>
          <w:sz w:val="20"/>
          <w:szCs w:val="20"/>
          <w:lang w:val="en-US"/>
        </w:rPr>
        <w:t>H.V.and</w:t>
      </w:r>
      <w:proofErr w:type="spellEnd"/>
      <w:r w:rsidRPr="00A06F5A">
        <w:rPr>
          <w:sz w:val="20"/>
          <w:szCs w:val="20"/>
          <w:lang w:val="en-US"/>
        </w:rPr>
        <w:t xml:space="preserve"> S.B. </w:t>
      </w:r>
      <w:proofErr w:type="spellStart"/>
      <w:r w:rsidRPr="00A06F5A">
        <w:rPr>
          <w:sz w:val="20"/>
          <w:szCs w:val="20"/>
          <w:lang w:val="en-US"/>
        </w:rPr>
        <w:t>Bratanovic</w:t>
      </w:r>
      <w:proofErr w:type="spellEnd"/>
      <w:r w:rsidRPr="00A06F5A">
        <w:rPr>
          <w:sz w:val="20"/>
          <w:szCs w:val="20"/>
          <w:lang w:val="en-US"/>
        </w:rPr>
        <w:t xml:space="preserve"> (2003): «Analyzing and Managing Banking Risk: A framework for assessing corporate governance and Financial Risk», The World Bank, Washington D.C. </w:t>
      </w:r>
    </w:p>
    <w:p w:rsidR="0023725E" w:rsidRPr="000910BD" w:rsidRDefault="0023725E" w:rsidP="0023725E">
      <w:pPr>
        <w:pStyle w:val="Paragraphedeliste"/>
        <w:keepNext/>
        <w:keepLines/>
        <w:numPr>
          <w:ilvl w:val="0"/>
          <w:numId w:val="9"/>
        </w:numPr>
        <w:suppressAutoHyphens/>
        <w:autoSpaceDE w:val="0"/>
        <w:autoSpaceDN w:val="0"/>
        <w:adjustRightInd w:val="0"/>
        <w:spacing w:before="240"/>
        <w:ind w:left="284" w:hanging="284"/>
        <w:jc w:val="both"/>
        <w:rPr>
          <w:i/>
          <w:sz w:val="20"/>
          <w:szCs w:val="20"/>
          <w:lang w:val="en-US"/>
        </w:rPr>
      </w:pPr>
      <w:proofErr w:type="spellStart"/>
      <w:r w:rsidRPr="00A06F5A">
        <w:rPr>
          <w:sz w:val="20"/>
          <w:szCs w:val="20"/>
          <w:lang w:val="en-US"/>
        </w:rPr>
        <w:t>Gup</w:t>
      </w:r>
      <w:proofErr w:type="spellEnd"/>
      <w:r w:rsidRPr="00A06F5A">
        <w:rPr>
          <w:sz w:val="20"/>
          <w:szCs w:val="20"/>
          <w:lang w:val="en-US"/>
        </w:rPr>
        <w:t xml:space="preserve">, B. E., K. </w:t>
      </w:r>
      <w:proofErr w:type="spellStart"/>
      <w:r w:rsidRPr="00A06F5A">
        <w:rPr>
          <w:sz w:val="20"/>
          <w:szCs w:val="20"/>
          <w:lang w:val="en-US"/>
        </w:rPr>
        <w:t>Avram</w:t>
      </w:r>
      <w:proofErr w:type="spellEnd"/>
      <w:r w:rsidRPr="00A06F5A">
        <w:rPr>
          <w:sz w:val="20"/>
          <w:szCs w:val="20"/>
          <w:lang w:val="en-US"/>
        </w:rPr>
        <w:t xml:space="preserve">, D. Beal, R. Lambert and J.W. </w:t>
      </w:r>
      <w:proofErr w:type="spellStart"/>
      <w:r w:rsidRPr="00A06F5A">
        <w:rPr>
          <w:sz w:val="20"/>
          <w:szCs w:val="20"/>
          <w:lang w:val="en-US"/>
        </w:rPr>
        <w:t>Kolari</w:t>
      </w:r>
      <w:proofErr w:type="spellEnd"/>
      <w:r w:rsidRPr="00A06F5A">
        <w:rPr>
          <w:sz w:val="20"/>
          <w:szCs w:val="20"/>
          <w:lang w:val="en-US"/>
        </w:rPr>
        <w:t xml:space="preserve"> (2007)</w:t>
      </w:r>
      <w:r>
        <w:rPr>
          <w:sz w:val="20"/>
          <w:szCs w:val="20"/>
          <w:lang w:val="en-US"/>
        </w:rPr>
        <w:t xml:space="preserve">, </w:t>
      </w:r>
      <w:r w:rsidRPr="000910BD">
        <w:rPr>
          <w:i/>
          <w:sz w:val="20"/>
          <w:szCs w:val="20"/>
          <w:lang w:val="en-US"/>
        </w:rPr>
        <w:t>Commercial Banking: The</w:t>
      </w:r>
    </w:p>
    <w:p w:rsidR="0023725E" w:rsidRPr="006753CF" w:rsidRDefault="0023725E" w:rsidP="0023725E">
      <w:pPr>
        <w:pStyle w:val="Paragraphedeliste"/>
        <w:keepNext/>
        <w:keepLines/>
        <w:suppressAutoHyphens/>
        <w:autoSpaceDE w:val="0"/>
        <w:autoSpaceDN w:val="0"/>
        <w:adjustRightInd w:val="0"/>
        <w:spacing w:before="240"/>
        <w:ind w:left="284" w:hanging="284"/>
        <w:jc w:val="both"/>
        <w:rPr>
          <w:sz w:val="20"/>
          <w:szCs w:val="20"/>
          <w:lang w:val="en-US"/>
        </w:rPr>
      </w:pPr>
      <w:r w:rsidRPr="000910BD">
        <w:rPr>
          <w:i/>
          <w:sz w:val="20"/>
          <w:szCs w:val="20"/>
          <w:lang w:val="en-US"/>
        </w:rPr>
        <w:t>Management of Risk</w:t>
      </w:r>
      <w:r w:rsidRPr="00A06F5A">
        <w:rPr>
          <w:sz w:val="20"/>
          <w:szCs w:val="20"/>
          <w:lang w:val="en-US"/>
        </w:rPr>
        <w:t>, 3rd Ed. Australia: John Wiley and Sons Ltd.</w:t>
      </w:r>
    </w:p>
    <w:p w:rsidR="0023725E" w:rsidRPr="00A06F5A" w:rsidRDefault="0023725E" w:rsidP="0023725E">
      <w:pPr>
        <w:pStyle w:val="Paragraphedeliste"/>
        <w:keepNext/>
        <w:keepLines/>
        <w:numPr>
          <w:ilvl w:val="0"/>
          <w:numId w:val="8"/>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Hu</w:t>
      </w:r>
      <w:proofErr w:type="spellEnd"/>
      <w:r w:rsidRPr="00A06F5A">
        <w:rPr>
          <w:sz w:val="20"/>
          <w:szCs w:val="20"/>
          <w:lang w:val="en-US"/>
        </w:rPr>
        <w:t xml:space="preserve">, J., L. Yang and C. Yung-Ho (2004): «Ownership and non performing loans: evidence from Taiwanese banks», </w:t>
      </w:r>
      <w:r>
        <w:rPr>
          <w:sz w:val="20"/>
          <w:szCs w:val="20"/>
          <w:lang w:val="en-US"/>
        </w:rPr>
        <w:t xml:space="preserve">The </w:t>
      </w:r>
      <w:r w:rsidRPr="00A06F5A">
        <w:rPr>
          <w:i/>
          <w:iCs/>
          <w:sz w:val="20"/>
          <w:szCs w:val="20"/>
          <w:lang w:val="en-US"/>
        </w:rPr>
        <w:t>Developing economies journal</w:t>
      </w:r>
      <w:r w:rsidRPr="00A06F5A">
        <w:rPr>
          <w:sz w:val="20"/>
          <w:szCs w:val="20"/>
          <w:lang w:val="en-US"/>
        </w:rPr>
        <w:t xml:space="preserve">, </w:t>
      </w:r>
      <w:r w:rsidRPr="00A06F5A">
        <w:rPr>
          <w:iCs/>
          <w:sz w:val="20"/>
          <w:szCs w:val="20"/>
          <w:lang w:val="en-US"/>
        </w:rPr>
        <w:t>42(3), 405-420</w:t>
      </w:r>
      <w:r w:rsidRPr="00A06F5A">
        <w:rPr>
          <w:sz w:val="20"/>
          <w:szCs w:val="20"/>
          <w:lang w:val="en-US"/>
        </w:rPr>
        <w:t>.</w:t>
      </w:r>
    </w:p>
    <w:p w:rsidR="0023725E" w:rsidRPr="00A06F5A" w:rsidRDefault="0023725E" w:rsidP="0023725E">
      <w:pPr>
        <w:pStyle w:val="Paragraphedeliste"/>
        <w:keepNext/>
        <w:keepLines/>
        <w:numPr>
          <w:ilvl w:val="0"/>
          <w:numId w:val="9"/>
        </w:numPr>
        <w:suppressAutoHyphens/>
        <w:autoSpaceDE w:val="0"/>
        <w:autoSpaceDN w:val="0"/>
        <w:adjustRightInd w:val="0"/>
        <w:spacing w:before="240"/>
        <w:ind w:left="284" w:hanging="284"/>
        <w:jc w:val="both"/>
        <w:rPr>
          <w:sz w:val="20"/>
          <w:szCs w:val="20"/>
          <w:lang w:val="en-US"/>
        </w:rPr>
      </w:pPr>
      <w:r w:rsidRPr="00A06F5A">
        <w:rPr>
          <w:sz w:val="20"/>
          <w:szCs w:val="20"/>
          <w:lang w:val="en-US"/>
        </w:rPr>
        <w:lastRenderedPageBreak/>
        <w:t xml:space="preserve">Jimenez, G. and J. </w:t>
      </w:r>
      <w:proofErr w:type="spellStart"/>
      <w:r w:rsidRPr="00A06F5A">
        <w:rPr>
          <w:sz w:val="20"/>
          <w:szCs w:val="20"/>
          <w:lang w:val="en-US"/>
        </w:rPr>
        <w:t>Saurina</w:t>
      </w:r>
      <w:proofErr w:type="spellEnd"/>
      <w:r w:rsidRPr="00A06F5A">
        <w:rPr>
          <w:sz w:val="20"/>
          <w:szCs w:val="20"/>
          <w:lang w:val="en-US"/>
        </w:rPr>
        <w:t xml:space="preserve"> (2006): «Credit cycles, credit risk and prudential regulation», </w:t>
      </w:r>
      <w:r w:rsidRPr="00A06F5A">
        <w:rPr>
          <w:i/>
          <w:sz w:val="20"/>
          <w:szCs w:val="20"/>
          <w:lang w:val="en-US"/>
        </w:rPr>
        <w:t>International Journal of Central Banking</w:t>
      </w:r>
      <w:r w:rsidRPr="00A06F5A">
        <w:rPr>
          <w:sz w:val="20"/>
          <w:szCs w:val="20"/>
          <w:lang w:val="en-US"/>
        </w:rPr>
        <w:t xml:space="preserve">, 2, 65-98. </w:t>
      </w:r>
    </w:p>
    <w:p w:rsidR="0023725E" w:rsidRPr="00A06F5A" w:rsidRDefault="0023725E" w:rsidP="0023725E">
      <w:pPr>
        <w:pStyle w:val="Paragraphedeliste"/>
        <w:keepNext/>
        <w:keepLines/>
        <w:numPr>
          <w:ilvl w:val="0"/>
          <w:numId w:val="9"/>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Keeley</w:t>
      </w:r>
      <w:proofErr w:type="spellEnd"/>
      <w:r w:rsidRPr="00A06F5A">
        <w:rPr>
          <w:sz w:val="20"/>
          <w:szCs w:val="20"/>
          <w:lang w:val="en-US"/>
        </w:rPr>
        <w:t xml:space="preserve">, M. C. and F.T. Furlong (1990): «A Reexamination of </w:t>
      </w:r>
      <w:proofErr w:type="spellStart"/>
      <w:r w:rsidRPr="00A06F5A">
        <w:rPr>
          <w:sz w:val="20"/>
          <w:szCs w:val="20"/>
          <w:lang w:val="en-US"/>
        </w:rPr>
        <w:t>MeanVariance</w:t>
      </w:r>
      <w:proofErr w:type="spellEnd"/>
      <w:r w:rsidRPr="00A06F5A">
        <w:rPr>
          <w:sz w:val="20"/>
          <w:szCs w:val="20"/>
          <w:lang w:val="en-US"/>
        </w:rPr>
        <w:t xml:space="preserve"> Analysis of Bank Capital Regulation», </w:t>
      </w:r>
      <w:r w:rsidRPr="00A06F5A">
        <w:rPr>
          <w:i/>
          <w:iCs/>
          <w:sz w:val="20"/>
          <w:szCs w:val="20"/>
          <w:lang w:val="en-US"/>
        </w:rPr>
        <w:t>Journal of Banking and Finance</w:t>
      </w:r>
      <w:r w:rsidRPr="00A06F5A">
        <w:rPr>
          <w:sz w:val="20"/>
          <w:szCs w:val="20"/>
          <w:lang w:val="en-US"/>
        </w:rPr>
        <w:t>. 14 (1): 69–84.</w:t>
      </w:r>
    </w:p>
    <w:p w:rsidR="0023725E" w:rsidRPr="00A06F5A" w:rsidRDefault="0023725E" w:rsidP="0023725E">
      <w:pPr>
        <w:pStyle w:val="Paragraphedeliste"/>
        <w:keepNext/>
        <w:keepLines/>
        <w:numPr>
          <w:ilvl w:val="0"/>
          <w:numId w:val="9"/>
        </w:numPr>
        <w:suppressAutoHyphens/>
        <w:autoSpaceDE w:val="0"/>
        <w:autoSpaceDN w:val="0"/>
        <w:adjustRightInd w:val="0"/>
        <w:spacing w:before="240"/>
        <w:ind w:left="284" w:hanging="284"/>
        <w:jc w:val="both"/>
        <w:rPr>
          <w:sz w:val="20"/>
          <w:szCs w:val="20"/>
          <w:lang w:val="en-US"/>
        </w:rPr>
      </w:pPr>
      <w:r w:rsidRPr="00A06F5A">
        <w:rPr>
          <w:sz w:val="20"/>
          <w:szCs w:val="20"/>
          <w:lang w:val="en-US"/>
        </w:rPr>
        <w:t xml:space="preserve">Kim, D. and A. </w:t>
      </w:r>
      <w:proofErr w:type="spellStart"/>
      <w:r w:rsidRPr="00A06F5A">
        <w:rPr>
          <w:sz w:val="20"/>
          <w:szCs w:val="20"/>
          <w:lang w:val="en-US"/>
        </w:rPr>
        <w:t>Santomero</w:t>
      </w:r>
      <w:proofErr w:type="spellEnd"/>
      <w:r w:rsidRPr="00A06F5A">
        <w:rPr>
          <w:sz w:val="20"/>
          <w:szCs w:val="20"/>
          <w:lang w:val="en-US"/>
        </w:rPr>
        <w:t xml:space="preserve"> (1988): «Risk in Banking and Capital Regulation», </w:t>
      </w:r>
      <w:proofErr w:type="gramStart"/>
      <w:r w:rsidRPr="00A06F5A">
        <w:rPr>
          <w:i/>
          <w:iCs/>
          <w:sz w:val="20"/>
          <w:szCs w:val="20"/>
          <w:lang w:val="en-US"/>
        </w:rPr>
        <w:t>The</w:t>
      </w:r>
      <w:proofErr w:type="gramEnd"/>
      <w:r w:rsidRPr="00A06F5A">
        <w:rPr>
          <w:i/>
          <w:iCs/>
          <w:sz w:val="20"/>
          <w:szCs w:val="20"/>
          <w:lang w:val="en-US"/>
        </w:rPr>
        <w:t xml:space="preserve"> Journal of Finance</w:t>
      </w:r>
      <w:r w:rsidRPr="00A06F5A">
        <w:rPr>
          <w:sz w:val="20"/>
          <w:szCs w:val="20"/>
          <w:lang w:val="en-US"/>
        </w:rPr>
        <w:t>, 43 (5), 1219-1233.</w:t>
      </w:r>
    </w:p>
    <w:p w:rsidR="0023725E" w:rsidRPr="00A06F5A" w:rsidRDefault="0023725E" w:rsidP="0023725E">
      <w:pPr>
        <w:pStyle w:val="Paragraphedeliste"/>
        <w:keepNext/>
        <w:keepLines/>
        <w:numPr>
          <w:ilvl w:val="0"/>
          <w:numId w:val="9"/>
        </w:numPr>
        <w:suppressAutoHyphens/>
        <w:spacing w:before="240"/>
        <w:ind w:left="284" w:hanging="284"/>
        <w:jc w:val="both"/>
        <w:rPr>
          <w:sz w:val="20"/>
          <w:szCs w:val="20"/>
          <w:lang w:val="en-US"/>
        </w:rPr>
      </w:pPr>
      <w:r w:rsidRPr="00A06F5A">
        <w:rPr>
          <w:sz w:val="20"/>
          <w:szCs w:val="20"/>
          <w:lang w:val="en-US"/>
        </w:rPr>
        <w:t xml:space="preserve">Koehn, M. and A. </w:t>
      </w:r>
      <w:proofErr w:type="spellStart"/>
      <w:r w:rsidRPr="00A06F5A">
        <w:rPr>
          <w:sz w:val="20"/>
          <w:szCs w:val="20"/>
          <w:lang w:val="en-US"/>
        </w:rPr>
        <w:t>Santomero</w:t>
      </w:r>
      <w:proofErr w:type="spellEnd"/>
      <w:r w:rsidRPr="00A06F5A">
        <w:rPr>
          <w:sz w:val="20"/>
          <w:szCs w:val="20"/>
          <w:lang w:val="en-US"/>
        </w:rPr>
        <w:t xml:space="preserve"> (1980): «Regulation of Bank Capital and Portfolio Risk», </w:t>
      </w:r>
      <w:r w:rsidRPr="00A06F5A">
        <w:rPr>
          <w:i/>
          <w:iCs/>
          <w:sz w:val="20"/>
          <w:szCs w:val="20"/>
          <w:lang w:val="en-US"/>
        </w:rPr>
        <w:t xml:space="preserve">Journal of Finance </w:t>
      </w:r>
      <w:r w:rsidRPr="00A06F5A">
        <w:rPr>
          <w:sz w:val="20"/>
          <w:szCs w:val="20"/>
          <w:lang w:val="en-US"/>
        </w:rPr>
        <w:t xml:space="preserve">35, 1235-1244. </w:t>
      </w:r>
    </w:p>
    <w:p w:rsidR="0023725E" w:rsidRPr="00A06F5A" w:rsidRDefault="0023725E" w:rsidP="0023725E">
      <w:pPr>
        <w:pStyle w:val="Paragraphedeliste"/>
        <w:keepNext/>
        <w:keepLines/>
        <w:numPr>
          <w:ilvl w:val="0"/>
          <w:numId w:val="9"/>
        </w:numPr>
        <w:suppressAutoHyphens/>
        <w:spacing w:before="240"/>
        <w:ind w:left="284" w:hanging="284"/>
        <w:jc w:val="both"/>
        <w:rPr>
          <w:sz w:val="20"/>
          <w:szCs w:val="20"/>
          <w:lang w:val="en-US"/>
        </w:rPr>
      </w:pPr>
      <w:proofErr w:type="spellStart"/>
      <w:r w:rsidRPr="00A06F5A">
        <w:rPr>
          <w:sz w:val="20"/>
          <w:szCs w:val="20"/>
          <w:lang w:val="en-US"/>
        </w:rPr>
        <w:t>Lis</w:t>
      </w:r>
      <w:proofErr w:type="spellEnd"/>
      <w:r w:rsidRPr="00A06F5A">
        <w:rPr>
          <w:sz w:val="20"/>
          <w:szCs w:val="20"/>
          <w:lang w:val="en-US"/>
        </w:rPr>
        <w:t xml:space="preserve">, S.F., J.M. Pages and J. </w:t>
      </w:r>
      <w:proofErr w:type="spellStart"/>
      <w:r w:rsidRPr="00A06F5A">
        <w:rPr>
          <w:sz w:val="20"/>
          <w:szCs w:val="20"/>
          <w:lang w:val="en-US"/>
        </w:rPr>
        <w:t>Saurina</w:t>
      </w:r>
      <w:proofErr w:type="spellEnd"/>
      <w:r w:rsidRPr="00A06F5A">
        <w:rPr>
          <w:sz w:val="20"/>
          <w:szCs w:val="20"/>
          <w:lang w:val="en-US"/>
        </w:rPr>
        <w:t xml:space="preserve"> (2000): «Credit growth, problem loans and credit risk provisioning in Spain», </w:t>
      </w:r>
      <w:r w:rsidRPr="006753CF">
        <w:rPr>
          <w:i/>
          <w:sz w:val="20"/>
          <w:szCs w:val="20"/>
          <w:lang w:val="en-US"/>
        </w:rPr>
        <w:t>working paper</w:t>
      </w:r>
      <w:r>
        <w:rPr>
          <w:sz w:val="20"/>
          <w:szCs w:val="20"/>
          <w:lang w:val="en-US"/>
        </w:rPr>
        <w:t>,</w:t>
      </w:r>
      <w:r w:rsidRPr="00A06F5A">
        <w:rPr>
          <w:sz w:val="20"/>
          <w:szCs w:val="20"/>
          <w:lang w:val="en-US"/>
        </w:rPr>
        <w:t xml:space="preserve"> Presented at BIS Autumn Central Bank Economists’ Mee</w:t>
      </w:r>
      <w:r>
        <w:rPr>
          <w:sz w:val="20"/>
          <w:szCs w:val="20"/>
          <w:lang w:val="en-US"/>
        </w:rPr>
        <w:t xml:space="preserve">ting. </w:t>
      </w:r>
      <w:proofErr w:type="spellStart"/>
      <w:r>
        <w:rPr>
          <w:sz w:val="20"/>
          <w:szCs w:val="20"/>
          <w:lang w:val="en-US"/>
        </w:rPr>
        <w:t>Banco</w:t>
      </w:r>
      <w:proofErr w:type="spellEnd"/>
      <w:r>
        <w:rPr>
          <w:sz w:val="20"/>
          <w:szCs w:val="20"/>
          <w:lang w:val="en-US"/>
        </w:rPr>
        <w:t xml:space="preserve"> De </w:t>
      </w:r>
      <w:proofErr w:type="spellStart"/>
      <w:r>
        <w:rPr>
          <w:sz w:val="20"/>
          <w:szCs w:val="20"/>
          <w:lang w:val="en-US"/>
        </w:rPr>
        <w:t>Espana</w:t>
      </w:r>
      <w:proofErr w:type="spellEnd"/>
      <w:r>
        <w:rPr>
          <w:sz w:val="20"/>
          <w:szCs w:val="20"/>
          <w:lang w:val="en-US"/>
        </w:rPr>
        <w:t>,</w:t>
      </w:r>
      <w:r w:rsidRPr="00A06F5A">
        <w:rPr>
          <w:sz w:val="20"/>
          <w:szCs w:val="20"/>
          <w:lang w:val="en-US"/>
        </w:rPr>
        <w:t xml:space="preserve"> 18. </w:t>
      </w:r>
    </w:p>
    <w:p w:rsidR="0023725E" w:rsidRPr="00A06F5A" w:rsidRDefault="0023725E" w:rsidP="0023725E">
      <w:pPr>
        <w:pStyle w:val="Paragraphedeliste"/>
        <w:keepNext/>
        <w:keepLines/>
        <w:numPr>
          <w:ilvl w:val="0"/>
          <w:numId w:val="9"/>
        </w:numPr>
        <w:suppressAutoHyphens/>
        <w:spacing w:before="240"/>
        <w:ind w:left="284" w:hanging="284"/>
        <w:jc w:val="both"/>
        <w:rPr>
          <w:sz w:val="20"/>
          <w:szCs w:val="20"/>
          <w:lang w:val="en-US"/>
        </w:rPr>
      </w:pPr>
      <w:proofErr w:type="spellStart"/>
      <w:r w:rsidRPr="00A06F5A">
        <w:rPr>
          <w:sz w:val="20"/>
          <w:szCs w:val="20"/>
          <w:lang w:val="en-US"/>
        </w:rPr>
        <w:t>Megginson</w:t>
      </w:r>
      <w:proofErr w:type="spellEnd"/>
      <w:r w:rsidRPr="00A06F5A">
        <w:rPr>
          <w:sz w:val="20"/>
          <w:szCs w:val="20"/>
          <w:lang w:val="en-US"/>
        </w:rPr>
        <w:t xml:space="preserve">, W. L. (2005): «The economics of bank privatization», </w:t>
      </w:r>
      <w:r w:rsidRPr="00A06F5A">
        <w:rPr>
          <w:i/>
          <w:sz w:val="20"/>
          <w:szCs w:val="20"/>
          <w:lang w:val="en-US"/>
        </w:rPr>
        <w:t>Journal of Banking Finance</w:t>
      </w:r>
      <w:r w:rsidRPr="00A06F5A">
        <w:rPr>
          <w:sz w:val="20"/>
          <w:szCs w:val="20"/>
          <w:lang w:val="en-US"/>
        </w:rPr>
        <w:t xml:space="preserve">, 29, 1931-1980. </w:t>
      </w:r>
    </w:p>
    <w:p w:rsidR="0023725E" w:rsidRPr="00A06F5A" w:rsidRDefault="0023725E" w:rsidP="0023725E">
      <w:pPr>
        <w:pStyle w:val="Paragraphedeliste"/>
        <w:keepNext/>
        <w:keepLines/>
        <w:numPr>
          <w:ilvl w:val="0"/>
          <w:numId w:val="8"/>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Micco</w:t>
      </w:r>
      <w:proofErr w:type="spellEnd"/>
      <w:r w:rsidRPr="00A06F5A">
        <w:rPr>
          <w:sz w:val="20"/>
          <w:szCs w:val="20"/>
          <w:lang w:val="en-US"/>
        </w:rPr>
        <w:t xml:space="preserve">, A. and U. </w:t>
      </w:r>
      <w:proofErr w:type="spellStart"/>
      <w:r w:rsidRPr="00A06F5A">
        <w:rPr>
          <w:sz w:val="20"/>
          <w:szCs w:val="20"/>
          <w:lang w:val="en-US"/>
        </w:rPr>
        <w:t>Panizza</w:t>
      </w:r>
      <w:proofErr w:type="spellEnd"/>
      <w:r w:rsidRPr="00A06F5A">
        <w:rPr>
          <w:sz w:val="20"/>
          <w:szCs w:val="20"/>
          <w:lang w:val="en-US"/>
        </w:rPr>
        <w:t xml:space="preserve"> (200</w:t>
      </w:r>
      <w:r>
        <w:rPr>
          <w:sz w:val="20"/>
          <w:szCs w:val="20"/>
          <w:lang w:val="en-US"/>
        </w:rPr>
        <w:t>6</w:t>
      </w:r>
      <w:r w:rsidRPr="00A06F5A">
        <w:rPr>
          <w:sz w:val="20"/>
          <w:szCs w:val="20"/>
          <w:lang w:val="en-US"/>
        </w:rPr>
        <w:t>): «Bank</w:t>
      </w:r>
      <w:r>
        <w:rPr>
          <w:sz w:val="20"/>
          <w:szCs w:val="20"/>
          <w:lang w:val="en-US"/>
        </w:rPr>
        <w:t xml:space="preserve"> ownership and lending behavior</w:t>
      </w:r>
      <w:r w:rsidRPr="00A06F5A">
        <w:rPr>
          <w:sz w:val="20"/>
          <w:szCs w:val="20"/>
          <w:lang w:val="en-US"/>
        </w:rPr>
        <w:t xml:space="preserve">», </w:t>
      </w:r>
      <w:r w:rsidRPr="008C0653">
        <w:rPr>
          <w:i/>
          <w:sz w:val="20"/>
          <w:szCs w:val="20"/>
          <w:lang w:val="en-US"/>
        </w:rPr>
        <w:t>Economics letters</w:t>
      </w:r>
      <w:r w:rsidRPr="00A06F5A">
        <w:rPr>
          <w:sz w:val="20"/>
          <w:szCs w:val="20"/>
          <w:lang w:val="en-US"/>
        </w:rPr>
        <w:t xml:space="preserve">, </w:t>
      </w:r>
      <w:r w:rsidRPr="008C0653">
        <w:rPr>
          <w:iCs/>
          <w:sz w:val="20"/>
          <w:szCs w:val="20"/>
          <w:lang w:val="en-US"/>
        </w:rPr>
        <w:t>93(2006), 248-254</w:t>
      </w:r>
      <w:r w:rsidRPr="00A06F5A">
        <w:rPr>
          <w:i/>
          <w:iCs/>
          <w:sz w:val="20"/>
          <w:szCs w:val="20"/>
          <w:lang w:val="en-US"/>
        </w:rPr>
        <w:t>.</w:t>
      </w:r>
      <w:r w:rsidRPr="00A06F5A">
        <w:rPr>
          <w:sz w:val="20"/>
          <w:szCs w:val="20"/>
          <w:lang w:val="en-US"/>
        </w:rPr>
        <w:t xml:space="preserve"> </w:t>
      </w:r>
    </w:p>
    <w:p w:rsidR="0023725E" w:rsidRPr="00A06F5A" w:rsidRDefault="0023725E" w:rsidP="0023725E">
      <w:pPr>
        <w:pStyle w:val="Paragraphedeliste"/>
        <w:keepNext/>
        <w:keepLines/>
        <w:numPr>
          <w:ilvl w:val="0"/>
          <w:numId w:val="8"/>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Mishkin</w:t>
      </w:r>
      <w:proofErr w:type="spellEnd"/>
      <w:r w:rsidRPr="00A06F5A">
        <w:rPr>
          <w:sz w:val="20"/>
          <w:szCs w:val="20"/>
          <w:lang w:val="en-US"/>
        </w:rPr>
        <w:t xml:space="preserve">, F. S. (1999): «Global Financial </w:t>
      </w:r>
      <w:proofErr w:type="spellStart"/>
      <w:r w:rsidRPr="00A06F5A">
        <w:rPr>
          <w:sz w:val="20"/>
          <w:szCs w:val="20"/>
          <w:lang w:val="en-US"/>
        </w:rPr>
        <w:t>Instability</w:t>
      </w:r>
      <w:proofErr w:type="gramStart"/>
      <w:r w:rsidRPr="00A06F5A">
        <w:rPr>
          <w:sz w:val="20"/>
          <w:szCs w:val="20"/>
          <w:lang w:val="en-US"/>
        </w:rPr>
        <w:t>:Framework</w:t>
      </w:r>
      <w:proofErr w:type="spellEnd"/>
      <w:proofErr w:type="gramEnd"/>
      <w:r w:rsidRPr="00A06F5A">
        <w:rPr>
          <w:sz w:val="20"/>
          <w:szCs w:val="20"/>
          <w:lang w:val="en-US"/>
        </w:rPr>
        <w:t xml:space="preserve">, Events, Issues», </w:t>
      </w:r>
      <w:r w:rsidRPr="00A06F5A">
        <w:rPr>
          <w:i/>
          <w:sz w:val="20"/>
          <w:szCs w:val="20"/>
          <w:lang w:val="en-US"/>
        </w:rPr>
        <w:t>Journal of Economic Perspectives</w:t>
      </w:r>
      <w:r>
        <w:rPr>
          <w:sz w:val="20"/>
          <w:szCs w:val="20"/>
          <w:lang w:val="en-US"/>
        </w:rPr>
        <w:t xml:space="preserve">, 13 (4), </w:t>
      </w:r>
      <w:r w:rsidRPr="00A06F5A">
        <w:rPr>
          <w:sz w:val="20"/>
          <w:szCs w:val="20"/>
          <w:lang w:val="en-US"/>
        </w:rPr>
        <w:t xml:space="preserve">3-20. </w:t>
      </w:r>
    </w:p>
    <w:p w:rsidR="0023725E" w:rsidRPr="00A06F5A" w:rsidRDefault="0023725E" w:rsidP="0023725E">
      <w:pPr>
        <w:pStyle w:val="Paragraphedeliste"/>
        <w:keepNext/>
        <w:keepLines/>
        <w:numPr>
          <w:ilvl w:val="0"/>
          <w:numId w:val="8"/>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Ngugi</w:t>
      </w:r>
      <w:proofErr w:type="spellEnd"/>
      <w:r w:rsidRPr="00A06F5A">
        <w:rPr>
          <w:sz w:val="20"/>
          <w:szCs w:val="20"/>
          <w:lang w:val="en-US"/>
        </w:rPr>
        <w:t>, R. W. (2001): «An empirical analysis of interest rate spread in Kenya», Nairobi: Africa</w:t>
      </w:r>
      <w:r>
        <w:rPr>
          <w:sz w:val="20"/>
          <w:szCs w:val="20"/>
          <w:lang w:val="en-US"/>
        </w:rPr>
        <w:t xml:space="preserve">n Economic Research Consortium, </w:t>
      </w:r>
      <w:r w:rsidRPr="00A06F5A">
        <w:rPr>
          <w:sz w:val="20"/>
          <w:szCs w:val="20"/>
          <w:lang w:val="en-US"/>
        </w:rPr>
        <w:t>Research Paper 106.</w:t>
      </w:r>
      <w:r>
        <w:rPr>
          <w:sz w:val="20"/>
          <w:szCs w:val="20"/>
          <w:lang w:val="en-US"/>
        </w:rPr>
        <w:t xml:space="preserve"> Retrieved</w:t>
      </w:r>
      <w:r w:rsidRPr="008C0653">
        <w:rPr>
          <w:sz w:val="20"/>
          <w:szCs w:val="20"/>
          <w:lang w:val="en-US"/>
        </w:rPr>
        <w:t xml:space="preserve"> from</w:t>
      </w:r>
      <w:r>
        <w:rPr>
          <w:sz w:val="20"/>
          <w:szCs w:val="20"/>
          <w:lang w:val="en-US"/>
        </w:rPr>
        <w:t xml:space="preserve"> </w:t>
      </w:r>
      <w:r w:rsidRPr="008C0653">
        <w:rPr>
          <w:sz w:val="20"/>
          <w:szCs w:val="20"/>
          <w:lang w:val="en-US"/>
        </w:rPr>
        <w:t>http://dspace.africaportal.org/jspui/bitstream/123456789/32054/1/rp106.pdf?1</w:t>
      </w:r>
    </w:p>
    <w:p w:rsidR="0023725E" w:rsidRPr="00A06F5A" w:rsidRDefault="0023725E" w:rsidP="0023725E">
      <w:pPr>
        <w:pStyle w:val="Paragraphedeliste"/>
        <w:keepNext/>
        <w:keepLines/>
        <w:numPr>
          <w:ilvl w:val="0"/>
          <w:numId w:val="9"/>
        </w:numPr>
        <w:suppressAutoHyphens/>
        <w:autoSpaceDE w:val="0"/>
        <w:autoSpaceDN w:val="0"/>
        <w:adjustRightInd w:val="0"/>
        <w:spacing w:before="240"/>
        <w:ind w:left="284" w:hanging="284"/>
        <w:jc w:val="both"/>
        <w:rPr>
          <w:i/>
          <w:sz w:val="20"/>
          <w:szCs w:val="20"/>
          <w:lang w:val="en-US"/>
        </w:rPr>
      </w:pPr>
      <w:proofErr w:type="spellStart"/>
      <w:r w:rsidRPr="00A06F5A">
        <w:rPr>
          <w:sz w:val="20"/>
          <w:szCs w:val="20"/>
          <w:lang w:val="en-US"/>
        </w:rPr>
        <w:t>Poghosyan</w:t>
      </w:r>
      <w:proofErr w:type="spellEnd"/>
      <w:r w:rsidRPr="00A06F5A">
        <w:rPr>
          <w:sz w:val="20"/>
          <w:szCs w:val="20"/>
          <w:lang w:val="en-US"/>
        </w:rPr>
        <w:t xml:space="preserve">, T. and H. </w:t>
      </w:r>
      <w:proofErr w:type="spellStart"/>
      <w:r w:rsidRPr="00A06F5A">
        <w:rPr>
          <w:sz w:val="20"/>
          <w:szCs w:val="20"/>
          <w:lang w:val="en-US"/>
        </w:rPr>
        <w:t>Hesse</w:t>
      </w:r>
      <w:proofErr w:type="spellEnd"/>
      <w:r w:rsidRPr="00A06F5A">
        <w:rPr>
          <w:sz w:val="20"/>
          <w:szCs w:val="20"/>
          <w:lang w:val="en-US"/>
        </w:rPr>
        <w:t xml:space="preserve"> (2009): «Oil prices and bank profitability: Evidence from major oil exporting countries in the Middle East and North Africa», </w:t>
      </w:r>
      <w:r w:rsidRPr="00A06F5A">
        <w:rPr>
          <w:i/>
          <w:sz w:val="20"/>
          <w:szCs w:val="20"/>
          <w:lang w:val="en-US"/>
        </w:rPr>
        <w:t>IMF Working Paper</w:t>
      </w:r>
    </w:p>
    <w:p w:rsidR="0023725E" w:rsidRPr="00A06F5A" w:rsidRDefault="0023725E" w:rsidP="0023725E">
      <w:pPr>
        <w:pStyle w:val="Paragraphedeliste"/>
        <w:keepNext/>
        <w:keepLines/>
        <w:numPr>
          <w:ilvl w:val="0"/>
          <w:numId w:val="9"/>
        </w:numPr>
        <w:suppressAutoHyphens/>
        <w:autoSpaceDE w:val="0"/>
        <w:autoSpaceDN w:val="0"/>
        <w:adjustRightInd w:val="0"/>
        <w:spacing w:before="240"/>
        <w:ind w:left="284" w:hanging="284"/>
        <w:jc w:val="both"/>
        <w:rPr>
          <w:i/>
          <w:sz w:val="20"/>
          <w:szCs w:val="20"/>
          <w:lang w:val="en-US"/>
        </w:rPr>
      </w:pPr>
      <w:proofErr w:type="spellStart"/>
      <w:r w:rsidRPr="00A06F5A">
        <w:rPr>
          <w:sz w:val="20"/>
          <w:szCs w:val="20"/>
          <w:lang w:val="en-US"/>
        </w:rPr>
        <w:t>Rachdi</w:t>
      </w:r>
      <w:proofErr w:type="spellEnd"/>
      <w:r w:rsidRPr="00A06F5A">
        <w:rPr>
          <w:sz w:val="20"/>
          <w:szCs w:val="20"/>
          <w:lang w:val="en-US"/>
        </w:rPr>
        <w:t xml:space="preserve"> H. and I. </w:t>
      </w:r>
      <w:proofErr w:type="spellStart"/>
      <w:r w:rsidRPr="00A06F5A">
        <w:rPr>
          <w:sz w:val="20"/>
          <w:szCs w:val="20"/>
          <w:lang w:val="en-US"/>
        </w:rPr>
        <w:t>Ghazouani</w:t>
      </w:r>
      <w:proofErr w:type="spellEnd"/>
      <w:r w:rsidRPr="00A06F5A">
        <w:rPr>
          <w:sz w:val="20"/>
          <w:szCs w:val="20"/>
          <w:lang w:val="en-US"/>
        </w:rPr>
        <w:t xml:space="preserve">, (2011). «Board Characteristics, Performance and Risk taking </w:t>
      </w:r>
      <w:r w:rsidRPr="00A06F5A">
        <w:rPr>
          <w:sz w:val="20"/>
          <w:szCs w:val="20"/>
          <w:lang w:val="en-GB"/>
        </w:rPr>
        <w:t>Behaviour</w:t>
      </w:r>
      <w:r w:rsidRPr="00A06F5A">
        <w:rPr>
          <w:sz w:val="20"/>
          <w:szCs w:val="20"/>
          <w:lang w:val="en-US"/>
        </w:rPr>
        <w:t xml:space="preserve"> in Tunisian Banks», </w:t>
      </w:r>
      <w:r w:rsidRPr="00A06F5A">
        <w:rPr>
          <w:i/>
          <w:iCs/>
          <w:sz w:val="20"/>
          <w:szCs w:val="20"/>
          <w:lang w:val="en-US"/>
        </w:rPr>
        <w:t xml:space="preserve">International Journal of Business and Management, </w:t>
      </w:r>
      <w:r>
        <w:rPr>
          <w:sz w:val="20"/>
          <w:szCs w:val="20"/>
          <w:lang w:val="en-US"/>
        </w:rPr>
        <w:t xml:space="preserve">6(6), </w:t>
      </w:r>
      <w:r w:rsidRPr="00A06F5A">
        <w:rPr>
          <w:sz w:val="20"/>
          <w:szCs w:val="20"/>
          <w:lang w:val="en-US"/>
        </w:rPr>
        <w:t>88-97.</w:t>
      </w:r>
    </w:p>
    <w:p w:rsidR="0023725E" w:rsidRPr="00A06F5A" w:rsidRDefault="0023725E" w:rsidP="0023725E">
      <w:pPr>
        <w:pStyle w:val="Paragraphedeliste"/>
        <w:keepNext/>
        <w:keepLines/>
        <w:numPr>
          <w:ilvl w:val="0"/>
          <w:numId w:val="4"/>
        </w:numPr>
        <w:suppressAutoHyphens/>
        <w:autoSpaceDE w:val="0"/>
        <w:autoSpaceDN w:val="0"/>
        <w:adjustRightInd w:val="0"/>
        <w:spacing w:before="240"/>
        <w:ind w:left="284" w:hanging="284"/>
        <w:jc w:val="both"/>
        <w:rPr>
          <w:sz w:val="20"/>
          <w:szCs w:val="20"/>
          <w:lang w:val="en-US"/>
        </w:rPr>
      </w:pPr>
      <w:r w:rsidRPr="00A06F5A">
        <w:rPr>
          <w:sz w:val="20"/>
          <w:szCs w:val="20"/>
          <w:lang w:val="en-US"/>
        </w:rPr>
        <w:t>Rainer, H. and W. Paul (2007): «Risk taking by banks in the Transition countries»,</w:t>
      </w:r>
      <w:r w:rsidRPr="00E12C82">
        <w:rPr>
          <w:i/>
          <w:sz w:val="20"/>
          <w:szCs w:val="20"/>
          <w:lang w:val="en-US"/>
        </w:rPr>
        <w:t xml:space="preserve"> Comparative Economic Studies</w:t>
      </w:r>
      <w:r>
        <w:rPr>
          <w:sz w:val="20"/>
          <w:szCs w:val="20"/>
          <w:lang w:val="en-US"/>
        </w:rPr>
        <w:t>, 49(3), 411-429</w:t>
      </w:r>
      <w:r w:rsidRPr="00A06F5A">
        <w:rPr>
          <w:sz w:val="20"/>
          <w:szCs w:val="20"/>
          <w:lang w:val="en-US"/>
        </w:rPr>
        <w:t>.</w:t>
      </w:r>
    </w:p>
    <w:p w:rsidR="0023725E" w:rsidRPr="00A06F5A" w:rsidRDefault="0023725E" w:rsidP="0023725E">
      <w:pPr>
        <w:pStyle w:val="Paragraphedeliste"/>
        <w:keepNext/>
        <w:keepLines/>
        <w:numPr>
          <w:ilvl w:val="0"/>
          <w:numId w:val="4"/>
        </w:numPr>
        <w:suppressAutoHyphens/>
        <w:autoSpaceDE w:val="0"/>
        <w:autoSpaceDN w:val="0"/>
        <w:adjustRightInd w:val="0"/>
        <w:spacing w:before="240"/>
        <w:ind w:left="284" w:hanging="284"/>
        <w:jc w:val="both"/>
        <w:rPr>
          <w:sz w:val="20"/>
          <w:szCs w:val="20"/>
          <w:lang w:val="en-US"/>
        </w:rPr>
      </w:pPr>
      <w:proofErr w:type="spellStart"/>
      <w:r w:rsidRPr="00A06F5A">
        <w:rPr>
          <w:sz w:val="20"/>
          <w:szCs w:val="20"/>
          <w:lang w:val="en-US"/>
        </w:rPr>
        <w:t>Rajan</w:t>
      </w:r>
      <w:proofErr w:type="spellEnd"/>
      <w:r w:rsidRPr="00A06F5A">
        <w:rPr>
          <w:sz w:val="20"/>
          <w:szCs w:val="20"/>
          <w:lang w:val="en-US"/>
        </w:rPr>
        <w:t xml:space="preserve">, R. and S.C. Dhal (2003): «Non-performing loans and terms of credit of public sector banks in India: An empirical assessment», </w:t>
      </w:r>
      <w:r w:rsidRPr="00EC5903">
        <w:rPr>
          <w:i/>
          <w:sz w:val="20"/>
          <w:szCs w:val="20"/>
          <w:lang w:val="en-US"/>
        </w:rPr>
        <w:t>Reserve Banks of India</w:t>
      </w:r>
      <w:r>
        <w:rPr>
          <w:sz w:val="20"/>
          <w:szCs w:val="20"/>
          <w:lang w:val="en-US"/>
        </w:rPr>
        <w:t>, Occasional Papers, 24(3),</w:t>
      </w:r>
      <w:r w:rsidRPr="00A06F5A">
        <w:rPr>
          <w:sz w:val="20"/>
          <w:szCs w:val="20"/>
          <w:lang w:val="en-US"/>
        </w:rPr>
        <w:t xml:space="preserve"> 81-121. </w:t>
      </w:r>
    </w:p>
    <w:p w:rsidR="0023725E" w:rsidRPr="00A06F5A" w:rsidRDefault="0023725E" w:rsidP="0023725E">
      <w:pPr>
        <w:pStyle w:val="Paragraphedeliste"/>
        <w:keepNext/>
        <w:keepLines/>
        <w:numPr>
          <w:ilvl w:val="0"/>
          <w:numId w:val="5"/>
        </w:numPr>
        <w:suppressAutoHyphens/>
        <w:autoSpaceDE w:val="0"/>
        <w:autoSpaceDN w:val="0"/>
        <w:adjustRightInd w:val="0"/>
        <w:spacing w:before="240"/>
        <w:ind w:left="284" w:hanging="284"/>
        <w:jc w:val="both"/>
        <w:rPr>
          <w:sz w:val="20"/>
          <w:szCs w:val="20"/>
          <w:lang w:val="en-US"/>
        </w:rPr>
      </w:pPr>
      <w:r w:rsidRPr="00A06F5A">
        <w:rPr>
          <w:sz w:val="20"/>
          <w:szCs w:val="20"/>
          <w:lang w:val="en-US"/>
        </w:rPr>
        <w:t>Rose, P. S. and S.C Hudgi</w:t>
      </w:r>
      <w:r>
        <w:rPr>
          <w:sz w:val="20"/>
          <w:szCs w:val="20"/>
          <w:lang w:val="en-US"/>
        </w:rPr>
        <w:t xml:space="preserve">ns (2008), </w:t>
      </w:r>
      <w:r w:rsidRPr="000910BD">
        <w:rPr>
          <w:i/>
          <w:sz w:val="20"/>
          <w:szCs w:val="20"/>
          <w:lang w:val="en-US"/>
        </w:rPr>
        <w:t>Bank Management &amp; Financial Series</w:t>
      </w:r>
      <w:r w:rsidRPr="00A06F5A">
        <w:rPr>
          <w:sz w:val="20"/>
          <w:szCs w:val="20"/>
          <w:lang w:val="en-US"/>
        </w:rPr>
        <w:t xml:space="preserve">, 7th Ed; McGraw Hill/Irwin. </w:t>
      </w:r>
    </w:p>
    <w:p w:rsidR="0023725E" w:rsidRPr="00A06F5A" w:rsidRDefault="0023725E" w:rsidP="0023725E">
      <w:pPr>
        <w:pStyle w:val="Paragraphedeliste"/>
        <w:numPr>
          <w:ilvl w:val="0"/>
          <w:numId w:val="5"/>
        </w:numPr>
        <w:autoSpaceDE w:val="0"/>
        <w:autoSpaceDN w:val="0"/>
        <w:adjustRightInd w:val="0"/>
        <w:spacing w:before="240"/>
        <w:ind w:left="284" w:hanging="284"/>
        <w:jc w:val="both"/>
        <w:rPr>
          <w:sz w:val="20"/>
          <w:szCs w:val="20"/>
          <w:lang w:val="en-US"/>
        </w:rPr>
      </w:pPr>
      <w:r w:rsidRPr="00A06F5A">
        <w:rPr>
          <w:sz w:val="20"/>
          <w:szCs w:val="20"/>
          <w:lang w:val="en-US"/>
        </w:rPr>
        <w:t xml:space="preserve">Salas, V and </w:t>
      </w:r>
      <w:proofErr w:type="spellStart"/>
      <w:r w:rsidRPr="00A06F5A">
        <w:rPr>
          <w:sz w:val="20"/>
          <w:szCs w:val="20"/>
          <w:lang w:val="en-US"/>
        </w:rPr>
        <w:t>J.Saurina</w:t>
      </w:r>
      <w:proofErr w:type="spellEnd"/>
      <w:r w:rsidRPr="00A06F5A">
        <w:rPr>
          <w:sz w:val="20"/>
          <w:szCs w:val="20"/>
          <w:lang w:val="en-US"/>
        </w:rPr>
        <w:t xml:space="preserve"> (2002): «Credit risk in two institutional regimes: Spanish commercial and savings banks», </w:t>
      </w:r>
      <w:r w:rsidRPr="00A06F5A">
        <w:rPr>
          <w:i/>
          <w:sz w:val="20"/>
          <w:szCs w:val="20"/>
          <w:lang w:val="en-US"/>
        </w:rPr>
        <w:t>Journal of Financial Services Research</w:t>
      </w:r>
      <w:r w:rsidRPr="00A06F5A">
        <w:rPr>
          <w:sz w:val="20"/>
          <w:szCs w:val="20"/>
          <w:lang w:val="en-US"/>
        </w:rPr>
        <w:t>, (</w:t>
      </w:r>
      <w:r w:rsidRPr="00A06F5A">
        <w:rPr>
          <w:bCs/>
          <w:sz w:val="20"/>
          <w:szCs w:val="20"/>
          <w:lang w:val="en-US"/>
        </w:rPr>
        <w:t>22)</w:t>
      </w:r>
      <w:r w:rsidRPr="00A06F5A">
        <w:rPr>
          <w:sz w:val="20"/>
          <w:szCs w:val="20"/>
          <w:lang w:val="en-US"/>
        </w:rPr>
        <w:t>, 203-224.</w:t>
      </w:r>
    </w:p>
    <w:p w:rsidR="0023725E" w:rsidRPr="000910BD" w:rsidRDefault="0023725E" w:rsidP="0023725E">
      <w:pPr>
        <w:pStyle w:val="Paragraphedeliste"/>
        <w:numPr>
          <w:ilvl w:val="0"/>
          <w:numId w:val="8"/>
        </w:numPr>
        <w:spacing w:before="240"/>
        <w:ind w:left="284" w:hanging="284"/>
        <w:jc w:val="both"/>
        <w:rPr>
          <w:vanish/>
          <w:sz w:val="20"/>
          <w:szCs w:val="20"/>
          <w:lang w:val="en-US"/>
          <w:specVanish/>
        </w:rPr>
      </w:pPr>
      <w:r w:rsidRPr="00A06F5A">
        <w:rPr>
          <w:sz w:val="20"/>
          <w:szCs w:val="20"/>
          <w:lang w:val="en-US"/>
        </w:rPr>
        <w:t>Saunders, A</w:t>
      </w:r>
      <w:r>
        <w:rPr>
          <w:sz w:val="20"/>
          <w:szCs w:val="20"/>
          <w:lang w:val="en-US"/>
        </w:rPr>
        <w:t xml:space="preserve">., and M.M Cornett (2008), </w:t>
      </w:r>
      <w:r w:rsidRPr="000910BD">
        <w:rPr>
          <w:i/>
          <w:sz w:val="20"/>
          <w:szCs w:val="20"/>
          <w:lang w:val="en-US"/>
        </w:rPr>
        <w:t>Financial Institutions Management</w:t>
      </w:r>
      <w:r w:rsidRPr="00A06F5A">
        <w:rPr>
          <w:sz w:val="20"/>
          <w:szCs w:val="20"/>
          <w:lang w:val="en-US"/>
        </w:rPr>
        <w:t xml:space="preserve">, 6th Ed, McGraw-Hill/Irwin, pp 183-184. </w:t>
      </w:r>
    </w:p>
    <w:p w:rsidR="0023725E" w:rsidRPr="00A06F5A" w:rsidRDefault="0023725E" w:rsidP="0023725E">
      <w:pPr>
        <w:pStyle w:val="Paragraphedeliste"/>
        <w:numPr>
          <w:ilvl w:val="0"/>
          <w:numId w:val="8"/>
        </w:numPr>
        <w:autoSpaceDE w:val="0"/>
        <w:autoSpaceDN w:val="0"/>
        <w:adjustRightInd w:val="0"/>
        <w:spacing w:before="240"/>
        <w:ind w:left="284" w:hanging="284"/>
        <w:jc w:val="both"/>
        <w:rPr>
          <w:sz w:val="20"/>
          <w:szCs w:val="20"/>
          <w:lang w:val="en-US"/>
        </w:rPr>
      </w:pPr>
      <w:r>
        <w:rPr>
          <w:sz w:val="20"/>
          <w:szCs w:val="20"/>
          <w:lang w:val="en-US"/>
        </w:rPr>
        <w:t xml:space="preserve"> </w:t>
      </w:r>
      <w:r w:rsidRPr="00A06F5A">
        <w:rPr>
          <w:sz w:val="20"/>
          <w:szCs w:val="20"/>
          <w:lang w:val="en-US"/>
        </w:rPr>
        <w:t xml:space="preserve">Saunders, A., E. </w:t>
      </w:r>
      <w:proofErr w:type="spellStart"/>
      <w:r w:rsidRPr="00A06F5A">
        <w:rPr>
          <w:sz w:val="20"/>
          <w:szCs w:val="20"/>
          <w:lang w:val="en-US"/>
        </w:rPr>
        <w:t>Strock</w:t>
      </w:r>
      <w:proofErr w:type="spellEnd"/>
      <w:r w:rsidRPr="00A06F5A">
        <w:rPr>
          <w:sz w:val="20"/>
          <w:szCs w:val="20"/>
          <w:lang w:val="en-US"/>
        </w:rPr>
        <w:t xml:space="preserve">, and N. G. </w:t>
      </w:r>
      <w:proofErr w:type="spellStart"/>
      <w:r w:rsidRPr="00A06F5A">
        <w:rPr>
          <w:sz w:val="20"/>
          <w:szCs w:val="20"/>
          <w:lang w:val="en-US"/>
        </w:rPr>
        <w:t>Travlos</w:t>
      </w:r>
      <w:proofErr w:type="spellEnd"/>
      <w:r w:rsidRPr="00A06F5A">
        <w:rPr>
          <w:sz w:val="20"/>
          <w:szCs w:val="20"/>
          <w:lang w:val="en-US"/>
        </w:rPr>
        <w:t xml:space="preserve"> (1990): «Ownership structure, deregulation, and bank risk taking», </w:t>
      </w:r>
      <w:r w:rsidRPr="00A06F5A">
        <w:rPr>
          <w:i/>
          <w:sz w:val="20"/>
          <w:szCs w:val="20"/>
          <w:lang w:val="en-US"/>
        </w:rPr>
        <w:t>Journal of Finance</w:t>
      </w:r>
      <w:r w:rsidRPr="00A06F5A">
        <w:rPr>
          <w:sz w:val="20"/>
          <w:szCs w:val="20"/>
          <w:lang w:val="en-US"/>
        </w:rPr>
        <w:t xml:space="preserve"> 45, 643-654. </w:t>
      </w:r>
    </w:p>
    <w:p w:rsidR="0023725E" w:rsidRPr="00A06F5A" w:rsidRDefault="0023725E" w:rsidP="0023725E">
      <w:pPr>
        <w:pStyle w:val="Paragraphedeliste"/>
        <w:numPr>
          <w:ilvl w:val="0"/>
          <w:numId w:val="8"/>
        </w:numPr>
        <w:autoSpaceDE w:val="0"/>
        <w:autoSpaceDN w:val="0"/>
        <w:adjustRightInd w:val="0"/>
        <w:spacing w:before="240"/>
        <w:ind w:left="284" w:hanging="284"/>
        <w:jc w:val="both"/>
        <w:rPr>
          <w:sz w:val="20"/>
          <w:szCs w:val="20"/>
          <w:lang w:val="en-US"/>
        </w:rPr>
      </w:pPr>
      <w:r w:rsidRPr="00A06F5A">
        <w:rPr>
          <w:sz w:val="20"/>
          <w:szCs w:val="20"/>
          <w:lang w:val="en-US"/>
        </w:rPr>
        <w:t xml:space="preserve">Tennant, D. and A. </w:t>
      </w:r>
      <w:proofErr w:type="spellStart"/>
      <w:r w:rsidRPr="00A06F5A">
        <w:rPr>
          <w:sz w:val="20"/>
          <w:szCs w:val="20"/>
          <w:lang w:val="en-US"/>
        </w:rPr>
        <w:t>Folawewo</w:t>
      </w:r>
      <w:proofErr w:type="spellEnd"/>
      <w:r w:rsidRPr="00A06F5A">
        <w:rPr>
          <w:sz w:val="20"/>
          <w:szCs w:val="20"/>
          <w:lang w:val="en-US"/>
        </w:rPr>
        <w:t xml:space="preserve"> (2009): «Macroeconomic and Market Determinants of Banking Sector Interest Rate Spreads. Empirical Evidence from Low and Middle Income Countries», </w:t>
      </w:r>
      <w:r w:rsidRPr="00A06F5A">
        <w:rPr>
          <w:i/>
          <w:sz w:val="20"/>
          <w:szCs w:val="20"/>
          <w:lang w:val="en-US"/>
        </w:rPr>
        <w:t>Applied Financial Economics</w:t>
      </w:r>
      <w:r w:rsidRPr="00A06F5A">
        <w:rPr>
          <w:sz w:val="20"/>
          <w:szCs w:val="20"/>
          <w:lang w:val="en-US"/>
        </w:rPr>
        <w:t>, 19 (6), 489-507.</w:t>
      </w:r>
    </w:p>
    <w:p w:rsidR="0023725E" w:rsidRPr="00A06F5A" w:rsidRDefault="0023725E" w:rsidP="0023725E">
      <w:pPr>
        <w:pStyle w:val="Paragraphedeliste"/>
        <w:numPr>
          <w:ilvl w:val="0"/>
          <w:numId w:val="8"/>
        </w:numPr>
        <w:autoSpaceDE w:val="0"/>
        <w:autoSpaceDN w:val="0"/>
        <w:adjustRightInd w:val="0"/>
        <w:spacing w:before="240"/>
        <w:ind w:left="284" w:hanging="284"/>
        <w:jc w:val="both"/>
        <w:rPr>
          <w:sz w:val="20"/>
          <w:szCs w:val="20"/>
          <w:lang w:val="en-US"/>
        </w:rPr>
      </w:pPr>
      <w:proofErr w:type="spellStart"/>
      <w:r w:rsidRPr="00A06F5A">
        <w:rPr>
          <w:sz w:val="20"/>
          <w:szCs w:val="20"/>
          <w:lang w:val="en-US"/>
        </w:rPr>
        <w:t>Vogiazas</w:t>
      </w:r>
      <w:proofErr w:type="spellEnd"/>
      <w:r w:rsidRPr="00A06F5A">
        <w:rPr>
          <w:sz w:val="20"/>
          <w:szCs w:val="20"/>
          <w:lang w:val="en-US"/>
        </w:rPr>
        <w:t xml:space="preserve">, S. D. and E. </w:t>
      </w:r>
      <w:proofErr w:type="spellStart"/>
      <w:r w:rsidRPr="00A06F5A">
        <w:rPr>
          <w:sz w:val="20"/>
          <w:szCs w:val="20"/>
          <w:lang w:val="en-US"/>
        </w:rPr>
        <w:t>Nikolaidou</w:t>
      </w:r>
      <w:proofErr w:type="spellEnd"/>
      <w:r w:rsidRPr="00A06F5A">
        <w:rPr>
          <w:sz w:val="20"/>
          <w:szCs w:val="20"/>
          <w:lang w:val="en-US"/>
        </w:rPr>
        <w:t xml:space="preserve"> (2011). «Investigating the determinants of nonperforming loans in the Romanian Banking System: An empirical study with reference to the Greek crisis» </w:t>
      </w:r>
      <w:r w:rsidRPr="00A06F5A">
        <w:rPr>
          <w:i/>
          <w:sz w:val="20"/>
          <w:szCs w:val="20"/>
          <w:lang w:val="en-US"/>
        </w:rPr>
        <w:t>Economics Research International</w:t>
      </w:r>
      <w:r w:rsidRPr="00A06F5A">
        <w:rPr>
          <w:sz w:val="20"/>
          <w:szCs w:val="20"/>
          <w:lang w:val="en-US"/>
        </w:rPr>
        <w:t xml:space="preserve">, </w:t>
      </w:r>
      <w:r>
        <w:rPr>
          <w:sz w:val="20"/>
          <w:szCs w:val="20"/>
          <w:lang w:val="en-US"/>
        </w:rPr>
        <w:t xml:space="preserve">2011(2011), 1-13, </w:t>
      </w:r>
      <w:r w:rsidRPr="00A06F5A">
        <w:rPr>
          <w:sz w:val="20"/>
          <w:szCs w:val="20"/>
          <w:lang w:val="en-US"/>
        </w:rPr>
        <w:t>Article ID214689</w:t>
      </w:r>
    </w:p>
    <w:p w:rsidR="0023725E" w:rsidRPr="00A06F5A" w:rsidRDefault="0023725E" w:rsidP="0023725E">
      <w:pPr>
        <w:pStyle w:val="Paragraphedeliste"/>
        <w:numPr>
          <w:ilvl w:val="0"/>
          <w:numId w:val="8"/>
        </w:numPr>
        <w:autoSpaceDE w:val="0"/>
        <w:autoSpaceDN w:val="0"/>
        <w:adjustRightInd w:val="0"/>
        <w:spacing w:before="240"/>
        <w:ind w:left="284" w:hanging="284"/>
        <w:jc w:val="both"/>
        <w:rPr>
          <w:sz w:val="20"/>
          <w:szCs w:val="20"/>
          <w:lang w:val="en-US"/>
        </w:rPr>
      </w:pPr>
      <w:r w:rsidRPr="00A06F5A">
        <w:rPr>
          <w:sz w:val="20"/>
          <w:szCs w:val="20"/>
          <w:lang w:val="en-US"/>
        </w:rPr>
        <w:t xml:space="preserve">Vazquez, F., B.M. </w:t>
      </w:r>
      <w:proofErr w:type="spellStart"/>
      <w:r w:rsidRPr="00A06F5A">
        <w:rPr>
          <w:sz w:val="20"/>
          <w:szCs w:val="20"/>
          <w:lang w:val="en-US"/>
        </w:rPr>
        <w:t>Tabakand</w:t>
      </w:r>
      <w:proofErr w:type="spellEnd"/>
      <w:r w:rsidRPr="00A06F5A">
        <w:rPr>
          <w:sz w:val="20"/>
          <w:szCs w:val="20"/>
          <w:lang w:val="en-US"/>
        </w:rPr>
        <w:t xml:space="preserve"> M. </w:t>
      </w:r>
      <w:proofErr w:type="spellStart"/>
      <w:r w:rsidRPr="00A06F5A">
        <w:rPr>
          <w:sz w:val="20"/>
          <w:szCs w:val="20"/>
          <w:lang w:val="en-US"/>
        </w:rPr>
        <w:t>Sauto</w:t>
      </w:r>
      <w:proofErr w:type="spellEnd"/>
      <w:r w:rsidRPr="00A06F5A">
        <w:rPr>
          <w:sz w:val="20"/>
          <w:szCs w:val="20"/>
          <w:lang w:val="en-US"/>
        </w:rPr>
        <w:t xml:space="preserve"> (2012): «A Macro Stress Test Model of Credit Risk for the Brazilian Banking Sector», </w:t>
      </w:r>
      <w:r w:rsidRPr="00A06F5A">
        <w:rPr>
          <w:i/>
          <w:iCs/>
          <w:sz w:val="20"/>
          <w:szCs w:val="20"/>
          <w:lang w:val="en-US"/>
        </w:rPr>
        <w:t xml:space="preserve">Journal of financing stability </w:t>
      </w:r>
      <w:r w:rsidRPr="00A06F5A">
        <w:rPr>
          <w:sz w:val="20"/>
          <w:szCs w:val="20"/>
          <w:lang w:val="en-US"/>
        </w:rPr>
        <w:t>(8), 69-83.</w:t>
      </w:r>
    </w:p>
    <w:p w:rsidR="0023725E" w:rsidRPr="00A06F5A" w:rsidRDefault="0023725E" w:rsidP="0023725E">
      <w:pPr>
        <w:pStyle w:val="Paragraphedeliste"/>
        <w:numPr>
          <w:ilvl w:val="0"/>
          <w:numId w:val="8"/>
        </w:numPr>
        <w:autoSpaceDE w:val="0"/>
        <w:autoSpaceDN w:val="0"/>
        <w:adjustRightInd w:val="0"/>
        <w:spacing w:before="240"/>
        <w:ind w:left="284" w:hanging="284"/>
        <w:jc w:val="both"/>
        <w:rPr>
          <w:sz w:val="20"/>
          <w:szCs w:val="20"/>
          <w:lang w:val="en-US"/>
        </w:rPr>
      </w:pPr>
      <w:proofErr w:type="spellStart"/>
      <w:r w:rsidRPr="00A06F5A">
        <w:rPr>
          <w:sz w:val="20"/>
          <w:szCs w:val="20"/>
          <w:lang w:val="en-US"/>
        </w:rPr>
        <w:t>Voridis</w:t>
      </w:r>
      <w:proofErr w:type="spellEnd"/>
      <w:r w:rsidRPr="00A06F5A">
        <w:rPr>
          <w:sz w:val="20"/>
          <w:szCs w:val="20"/>
          <w:lang w:val="en-US"/>
        </w:rPr>
        <w:t xml:space="preserve">, H. (1993): «Ceilings on Interest Rates and Investment: The Example of Greece», </w:t>
      </w:r>
      <w:r w:rsidRPr="00A06F5A">
        <w:rPr>
          <w:i/>
          <w:sz w:val="20"/>
          <w:szCs w:val="20"/>
          <w:lang w:val="en-US"/>
        </w:rPr>
        <w:t>Review of Economics and Statistics</w:t>
      </w:r>
      <w:r w:rsidRPr="00A06F5A">
        <w:rPr>
          <w:sz w:val="20"/>
          <w:szCs w:val="20"/>
          <w:lang w:val="en-US"/>
        </w:rPr>
        <w:t>, 75(2), 276-283.</w:t>
      </w:r>
    </w:p>
    <w:p w:rsidR="0023725E" w:rsidRPr="00A06F5A" w:rsidRDefault="0023725E" w:rsidP="0023725E">
      <w:pPr>
        <w:pStyle w:val="Paragraphedeliste"/>
        <w:numPr>
          <w:ilvl w:val="0"/>
          <w:numId w:val="8"/>
        </w:numPr>
        <w:spacing w:before="240"/>
        <w:ind w:left="284" w:hanging="284"/>
        <w:jc w:val="both"/>
        <w:rPr>
          <w:sz w:val="20"/>
          <w:szCs w:val="20"/>
          <w:lang w:val="en-US"/>
        </w:rPr>
      </w:pPr>
      <w:proofErr w:type="spellStart"/>
      <w:r w:rsidRPr="00A06F5A">
        <w:rPr>
          <w:sz w:val="20"/>
          <w:szCs w:val="20"/>
          <w:lang w:val="en-US"/>
        </w:rPr>
        <w:t>Zribi</w:t>
      </w:r>
      <w:proofErr w:type="spellEnd"/>
      <w:r w:rsidRPr="00A06F5A">
        <w:rPr>
          <w:sz w:val="20"/>
          <w:szCs w:val="20"/>
          <w:lang w:val="en-US"/>
        </w:rPr>
        <w:t xml:space="preserve">, N. and B. </w:t>
      </w:r>
      <w:proofErr w:type="spellStart"/>
      <w:r w:rsidRPr="00A06F5A">
        <w:rPr>
          <w:sz w:val="20"/>
          <w:szCs w:val="20"/>
          <w:lang w:val="en-US"/>
        </w:rPr>
        <w:t>Younes</w:t>
      </w:r>
      <w:proofErr w:type="spellEnd"/>
      <w:r w:rsidRPr="00A06F5A">
        <w:rPr>
          <w:sz w:val="20"/>
          <w:szCs w:val="20"/>
          <w:lang w:val="en-US"/>
        </w:rPr>
        <w:t xml:space="preserve"> (2011): «The factors influencing bank credit risk: The case of Tunisia», </w:t>
      </w:r>
      <w:r w:rsidRPr="00A06F5A">
        <w:rPr>
          <w:i/>
          <w:iCs/>
          <w:sz w:val="20"/>
          <w:szCs w:val="20"/>
          <w:lang w:val="en-US"/>
        </w:rPr>
        <w:t xml:space="preserve">Journal of accounting and taxation </w:t>
      </w:r>
      <w:r w:rsidRPr="00A06F5A">
        <w:rPr>
          <w:iCs/>
          <w:sz w:val="20"/>
          <w:szCs w:val="20"/>
          <w:lang w:val="en-US"/>
        </w:rPr>
        <w:t>3(4), 70-78.</w:t>
      </w:r>
    </w:p>
    <w:p w:rsidR="00935FAA" w:rsidRDefault="00935FAA" w:rsidP="00AC3B76">
      <w:pPr>
        <w:autoSpaceDE w:val="0"/>
        <w:autoSpaceDN w:val="0"/>
        <w:adjustRightInd w:val="0"/>
        <w:spacing w:before="240" w:after="0" w:line="276" w:lineRule="auto"/>
        <w:jc w:val="both"/>
        <w:rPr>
          <w:rFonts w:ascii="Times New Roman" w:hAnsi="Times New Roman" w:cs="Times New Roman"/>
          <w:lang w:val="en-US"/>
        </w:rPr>
      </w:pPr>
    </w:p>
    <w:p w:rsidR="0023725E" w:rsidRDefault="0023725E" w:rsidP="00AC3B76">
      <w:pPr>
        <w:autoSpaceDE w:val="0"/>
        <w:autoSpaceDN w:val="0"/>
        <w:adjustRightInd w:val="0"/>
        <w:spacing w:before="240" w:after="0" w:line="276" w:lineRule="auto"/>
        <w:jc w:val="both"/>
        <w:rPr>
          <w:rFonts w:ascii="Times New Roman" w:hAnsi="Times New Roman" w:cs="Times New Roman"/>
          <w:lang w:val="en-US"/>
        </w:rPr>
      </w:pPr>
    </w:p>
    <w:p w:rsidR="00EA3641" w:rsidRPr="00C229E4" w:rsidRDefault="00EA3641" w:rsidP="00AC3B76">
      <w:pPr>
        <w:autoSpaceDE w:val="0"/>
        <w:autoSpaceDN w:val="0"/>
        <w:spacing w:before="240" w:after="80" w:line="276" w:lineRule="auto"/>
        <w:jc w:val="both"/>
        <w:rPr>
          <w:rFonts w:ascii="Times New Roman" w:hAnsi="Times New Roman" w:cs="Times New Roman"/>
          <w:lang w:val="en-US"/>
        </w:rPr>
      </w:pPr>
    </w:p>
    <w:p w:rsidR="00A6287C" w:rsidRPr="006F7D49" w:rsidRDefault="00A6287C" w:rsidP="00AC3B76">
      <w:pPr>
        <w:spacing w:before="240"/>
        <w:jc w:val="both"/>
        <w:rPr>
          <w:lang w:val="en-US"/>
        </w:rPr>
      </w:pPr>
    </w:p>
    <w:sectPr w:rsidR="00A6287C" w:rsidRPr="006F7D49" w:rsidSect="00AC3B76">
      <w:footerReference w:type="default" r:id="rId8"/>
      <w:pgSz w:w="11906" w:h="16838"/>
      <w:pgMar w:top="709" w:right="1133"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FF" w:rsidRDefault="00D040FF" w:rsidP="007274E7">
      <w:pPr>
        <w:spacing w:after="0"/>
      </w:pPr>
      <w:r>
        <w:separator/>
      </w:r>
    </w:p>
  </w:endnote>
  <w:endnote w:type="continuationSeparator" w:id="0">
    <w:p w:rsidR="00D040FF" w:rsidRDefault="00D040FF" w:rsidP="007274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auto"/>
    <w:notTrueType/>
    <w:pitch w:val="default"/>
    <w:sig w:usb0="00000001" w:usb1="08070000" w:usb2="00000010" w:usb3="00000000" w:csb0="00020001" w:csb1="00000000"/>
  </w:font>
  <w:font w:name="OnemtmiguAAAA">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13945"/>
      <w:docPartObj>
        <w:docPartGallery w:val="Page Numbers (Bottom of Page)"/>
        <w:docPartUnique/>
      </w:docPartObj>
    </w:sdtPr>
    <w:sdtContent>
      <w:p w:rsidR="00FF159E" w:rsidRDefault="000464AF">
        <w:pPr>
          <w:pStyle w:val="Pieddepage"/>
          <w:jc w:val="right"/>
        </w:pPr>
        <w:fldSimple w:instr=" PAGE   \* MERGEFORMAT ">
          <w:r w:rsidR="0023725E">
            <w:rPr>
              <w:noProof/>
            </w:rPr>
            <w:t>11</w:t>
          </w:r>
        </w:fldSimple>
      </w:p>
    </w:sdtContent>
  </w:sdt>
  <w:p w:rsidR="00FF159E" w:rsidRDefault="00FF15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FF" w:rsidRDefault="00D040FF" w:rsidP="007274E7">
      <w:pPr>
        <w:spacing w:after="0"/>
      </w:pPr>
      <w:r>
        <w:separator/>
      </w:r>
    </w:p>
  </w:footnote>
  <w:footnote w:type="continuationSeparator" w:id="0">
    <w:p w:rsidR="00D040FF" w:rsidRDefault="00D040FF" w:rsidP="007274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488"/>
    <w:multiLevelType w:val="hybridMultilevel"/>
    <w:tmpl w:val="A1DAA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045AE1"/>
    <w:multiLevelType w:val="hybridMultilevel"/>
    <w:tmpl w:val="E190F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E277DC"/>
    <w:multiLevelType w:val="hybridMultilevel"/>
    <w:tmpl w:val="02107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3C7E67"/>
    <w:multiLevelType w:val="hybridMultilevel"/>
    <w:tmpl w:val="542A3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F12740"/>
    <w:multiLevelType w:val="hybridMultilevel"/>
    <w:tmpl w:val="1AF0CC8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3B2F3F7D"/>
    <w:multiLevelType w:val="hybridMultilevel"/>
    <w:tmpl w:val="878ED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D7335E"/>
    <w:multiLevelType w:val="hybridMultilevel"/>
    <w:tmpl w:val="A586B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4F55DD"/>
    <w:multiLevelType w:val="hybridMultilevel"/>
    <w:tmpl w:val="B25AD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E739F2"/>
    <w:multiLevelType w:val="hybridMultilevel"/>
    <w:tmpl w:val="CBD8B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3614B"/>
    <w:multiLevelType w:val="hybridMultilevel"/>
    <w:tmpl w:val="A8822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364768"/>
    <w:multiLevelType w:val="hybridMultilevel"/>
    <w:tmpl w:val="45EA7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
  </w:num>
  <w:num w:numId="5">
    <w:abstractNumId w:val="8"/>
  </w:num>
  <w:num w:numId="6">
    <w:abstractNumId w:val="4"/>
  </w:num>
  <w:num w:numId="7">
    <w:abstractNumId w:val="1"/>
  </w:num>
  <w:num w:numId="8">
    <w:abstractNumId w:val="3"/>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567"/>
  <w:hyphenationZone w:val="425"/>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F25928"/>
    <w:rsid w:val="00010050"/>
    <w:rsid w:val="00016259"/>
    <w:rsid w:val="0003195A"/>
    <w:rsid w:val="00043480"/>
    <w:rsid w:val="000464AF"/>
    <w:rsid w:val="00046AE6"/>
    <w:rsid w:val="000534E4"/>
    <w:rsid w:val="00063D7E"/>
    <w:rsid w:val="000907DF"/>
    <w:rsid w:val="000910BD"/>
    <w:rsid w:val="00095E7B"/>
    <w:rsid w:val="000B3161"/>
    <w:rsid w:val="000C22C1"/>
    <w:rsid w:val="000C40F5"/>
    <w:rsid w:val="000C6A53"/>
    <w:rsid w:val="000E4380"/>
    <w:rsid w:val="000F2004"/>
    <w:rsid w:val="000F5EB1"/>
    <w:rsid w:val="00107CEF"/>
    <w:rsid w:val="00111C8D"/>
    <w:rsid w:val="001142EB"/>
    <w:rsid w:val="0014453E"/>
    <w:rsid w:val="00172F45"/>
    <w:rsid w:val="0017376A"/>
    <w:rsid w:val="00177960"/>
    <w:rsid w:val="00190F4F"/>
    <w:rsid w:val="0019328F"/>
    <w:rsid w:val="001A446B"/>
    <w:rsid w:val="001A6ACA"/>
    <w:rsid w:val="001B520B"/>
    <w:rsid w:val="001C2149"/>
    <w:rsid w:val="001E2CF7"/>
    <w:rsid w:val="001E35D6"/>
    <w:rsid w:val="001E612C"/>
    <w:rsid w:val="001E66D0"/>
    <w:rsid w:val="001F7A82"/>
    <w:rsid w:val="00211F4B"/>
    <w:rsid w:val="00213744"/>
    <w:rsid w:val="00215802"/>
    <w:rsid w:val="00217488"/>
    <w:rsid w:val="00221FCF"/>
    <w:rsid w:val="00225B19"/>
    <w:rsid w:val="002274E2"/>
    <w:rsid w:val="0023725E"/>
    <w:rsid w:val="00237886"/>
    <w:rsid w:val="0025150F"/>
    <w:rsid w:val="002605F8"/>
    <w:rsid w:val="00267D2D"/>
    <w:rsid w:val="002A650A"/>
    <w:rsid w:val="002B3FE5"/>
    <w:rsid w:val="002C4EF9"/>
    <w:rsid w:val="002C5D8F"/>
    <w:rsid w:val="002D533E"/>
    <w:rsid w:val="002D5B18"/>
    <w:rsid w:val="002D5F99"/>
    <w:rsid w:val="002E24E7"/>
    <w:rsid w:val="0031539A"/>
    <w:rsid w:val="003160A2"/>
    <w:rsid w:val="00321CC1"/>
    <w:rsid w:val="0032385F"/>
    <w:rsid w:val="0032481B"/>
    <w:rsid w:val="00324F10"/>
    <w:rsid w:val="00352DF2"/>
    <w:rsid w:val="00361387"/>
    <w:rsid w:val="003615C8"/>
    <w:rsid w:val="003743A6"/>
    <w:rsid w:val="00381487"/>
    <w:rsid w:val="003815D7"/>
    <w:rsid w:val="00383382"/>
    <w:rsid w:val="003844D7"/>
    <w:rsid w:val="00384977"/>
    <w:rsid w:val="0039168C"/>
    <w:rsid w:val="00391C09"/>
    <w:rsid w:val="00397615"/>
    <w:rsid w:val="003A2914"/>
    <w:rsid w:val="003A7458"/>
    <w:rsid w:val="003B602C"/>
    <w:rsid w:val="003B7ADC"/>
    <w:rsid w:val="003C72B2"/>
    <w:rsid w:val="003E1A16"/>
    <w:rsid w:val="003E743D"/>
    <w:rsid w:val="004104DB"/>
    <w:rsid w:val="00411F52"/>
    <w:rsid w:val="00425487"/>
    <w:rsid w:val="004534E6"/>
    <w:rsid w:val="004622A1"/>
    <w:rsid w:val="0046287F"/>
    <w:rsid w:val="004778D9"/>
    <w:rsid w:val="00483757"/>
    <w:rsid w:val="00490C0C"/>
    <w:rsid w:val="0049286B"/>
    <w:rsid w:val="004A0AB9"/>
    <w:rsid w:val="004A167F"/>
    <w:rsid w:val="004A7A09"/>
    <w:rsid w:val="004C1051"/>
    <w:rsid w:val="004C24AA"/>
    <w:rsid w:val="004C3195"/>
    <w:rsid w:val="004C398A"/>
    <w:rsid w:val="004C5985"/>
    <w:rsid w:val="004C6E3C"/>
    <w:rsid w:val="004D17C3"/>
    <w:rsid w:val="004E0545"/>
    <w:rsid w:val="004F02E2"/>
    <w:rsid w:val="004F3110"/>
    <w:rsid w:val="004F6CF8"/>
    <w:rsid w:val="004F7028"/>
    <w:rsid w:val="005001AC"/>
    <w:rsid w:val="005008E7"/>
    <w:rsid w:val="00500B41"/>
    <w:rsid w:val="00511CA3"/>
    <w:rsid w:val="005161DD"/>
    <w:rsid w:val="00517E5A"/>
    <w:rsid w:val="00524BE1"/>
    <w:rsid w:val="00525714"/>
    <w:rsid w:val="005277BB"/>
    <w:rsid w:val="0053605D"/>
    <w:rsid w:val="005550C9"/>
    <w:rsid w:val="005640FF"/>
    <w:rsid w:val="005774E6"/>
    <w:rsid w:val="00577624"/>
    <w:rsid w:val="00582D89"/>
    <w:rsid w:val="00597BF2"/>
    <w:rsid w:val="005A36AC"/>
    <w:rsid w:val="005A7940"/>
    <w:rsid w:val="005C4BE7"/>
    <w:rsid w:val="005C5A62"/>
    <w:rsid w:val="005D2504"/>
    <w:rsid w:val="005D3AB5"/>
    <w:rsid w:val="005D7F81"/>
    <w:rsid w:val="005E6CE3"/>
    <w:rsid w:val="005F6C86"/>
    <w:rsid w:val="005F78EB"/>
    <w:rsid w:val="0060446E"/>
    <w:rsid w:val="006047DD"/>
    <w:rsid w:val="00611223"/>
    <w:rsid w:val="00625D7F"/>
    <w:rsid w:val="00636A46"/>
    <w:rsid w:val="00646D57"/>
    <w:rsid w:val="006625BE"/>
    <w:rsid w:val="0067285C"/>
    <w:rsid w:val="006736D5"/>
    <w:rsid w:val="00674FB4"/>
    <w:rsid w:val="006753CF"/>
    <w:rsid w:val="00677141"/>
    <w:rsid w:val="00680180"/>
    <w:rsid w:val="00690020"/>
    <w:rsid w:val="006962C8"/>
    <w:rsid w:val="006A1602"/>
    <w:rsid w:val="006A29AB"/>
    <w:rsid w:val="006B31E6"/>
    <w:rsid w:val="006B7542"/>
    <w:rsid w:val="006C5726"/>
    <w:rsid w:val="006E7A53"/>
    <w:rsid w:val="006E7BE9"/>
    <w:rsid w:val="006F4611"/>
    <w:rsid w:val="006F64FF"/>
    <w:rsid w:val="006F7D49"/>
    <w:rsid w:val="007022B2"/>
    <w:rsid w:val="00711FFC"/>
    <w:rsid w:val="0072264A"/>
    <w:rsid w:val="00723152"/>
    <w:rsid w:val="007274E7"/>
    <w:rsid w:val="00730D6B"/>
    <w:rsid w:val="00732A14"/>
    <w:rsid w:val="0074230C"/>
    <w:rsid w:val="0074528D"/>
    <w:rsid w:val="007459A5"/>
    <w:rsid w:val="0076104B"/>
    <w:rsid w:val="007658A2"/>
    <w:rsid w:val="00781A90"/>
    <w:rsid w:val="00790094"/>
    <w:rsid w:val="007A34E5"/>
    <w:rsid w:val="007A56B6"/>
    <w:rsid w:val="007B3EFE"/>
    <w:rsid w:val="007B43DC"/>
    <w:rsid w:val="007B6769"/>
    <w:rsid w:val="007C20A2"/>
    <w:rsid w:val="007D27AB"/>
    <w:rsid w:val="007D4616"/>
    <w:rsid w:val="007D595B"/>
    <w:rsid w:val="007E00D9"/>
    <w:rsid w:val="007E114A"/>
    <w:rsid w:val="00814C38"/>
    <w:rsid w:val="00830D24"/>
    <w:rsid w:val="008314B6"/>
    <w:rsid w:val="0083164F"/>
    <w:rsid w:val="00840EE7"/>
    <w:rsid w:val="00844AC5"/>
    <w:rsid w:val="008469D7"/>
    <w:rsid w:val="00852AD5"/>
    <w:rsid w:val="008575DA"/>
    <w:rsid w:val="008601D1"/>
    <w:rsid w:val="00864A14"/>
    <w:rsid w:val="00865DD1"/>
    <w:rsid w:val="00866C6A"/>
    <w:rsid w:val="00872202"/>
    <w:rsid w:val="008B528A"/>
    <w:rsid w:val="008C0653"/>
    <w:rsid w:val="008D1AC2"/>
    <w:rsid w:val="008E24AD"/>
    <w:rsid w:val="008E61F0"/>
    <w:rsid w:val="008F1D9D"/>
    <w:rsid w:val="008F22A9"/>
    <w:rsid w:val="008F2880"/>
    <w:rsid w:val="008F54F9"/>
    <w:rsid w:val="008F7919"/>
    <w:rsid w:val="00923B39"/>
    <w:rsid w:val="00930599"/>
    <w:rsid w:val="00931309"/>
    <w:rsid w:val="00935FAA"/>
    <w:rsid w:val="00943936"/>
    <w:rsid w:val="00960BDF"/>
    <w:rsid w:val="009662DF"/>
    <w:rsid w:val="00970225"/>
    <w:rsid w:val="00974BF6"/>
    <w:rsid w:val="009776B2"/>
    <w:rsid w:val="009A1202"/>
    <w:rsid w:val="009A6CF9"/>
    <w:rsid w:val="009B3804"/>
    <w:rsid w:val="009B6B1F"/>
    <w:rsid w:val="009C1C4C"/>
    <w:rsid w:val="009D477D"/>
    <w:rsid w:val="009D6B8C"/>
    <w:rsid w:val="009E0F0B"/>
    <w:rsid w:val="009F2372"/>
    <w:rsid w:val="009F77BF"/>
    <w:rsid w:val="00A06F5A"/>
    <w:rsid w:val="00A16973"/>
    <w:rsid w:val="00A17CD2"/>
    <w:rsid w:val="00A20B82"/>
    <w:rsid w:val="00A241C7"/>
    <w:rsid w:val="00A3784C"/>
    <w:rsid w:val="00A42F9C"/>
    <w:rsid w:val="00A518BB"/>
    <w:rsid w:val="00A5363C"/>
    <w:rsid w:val="00A54FE8"/>
    <w:rsid w:val="00A6287C"/>
    <w:rsid w:val="00A744AC"/>
    <w:rsid w:val="00A76ED6"/>
    <w:rsid w:val="00A8031C"/>
    <w:rsid w:val="00A97510"/>
    <w:rsid w:val="00AA09BB"/>
    <w:rsid w:val="00AA33B2"/>
    <w:rsid w:val="00AA3CBA"/>
    <w:rsid w:val="00AA4F02"/>
    <w:rsid w:val="00AB3F19"/>
    <w:rsid w:val="00AB6BA1"/>
    <w:rsid w:val="00AC2437"/>
    <w:rsid w:val="00AC3B76"/>
    <w:rsid w:val="00AC46A6"/>
    <w:rsid w:val="00AC70F6"/>
    <w:rsid w:val="00AD4AC3"/>
    <w:rsid w:val="00AD651A"/>
    <w:rsid w:val="00AF46B8"/>
    <w:rsid w:val="00AF7148"/>
    <w:rsid w:val="00B063F6"/>
    <w:rsid w:val="00B136D4"/>
    <w:rsid w:val="00B2389B"/>
    <w:rsid w:val="00B2490A"/>
    <w:rsid w:val="00B30ACC"/>
    <w:rsid w:val="00B3133B"/>
    <w:rsid w:val="00B35599"/>
    <w:rsid w:val="00B626BA"/>
    <w:rsid w:val="00B711F3"/>
    <w:rsid w:val="00B86846"/>
    <w:rsid w:val="00B9191B"/>
    <w:rsid w:val="00B93E57"/>
    <w:rsid w:val="00BA13F3"/>
    <w:rsid w:val="00BA1F5A"/>
    <w:rsid w:val="00BA5109"/>
    <w:rsid w:val="00BA5E32"/>
    <w:rsid w:val="00BD0671"/>
    <w:rsid w:val="00BD42C7"/>
    <w:rsid w:val="00BE1EFB"/>
    <w:rsid w:val="00C001EC"/>
    <w:rsid w:val="00C033DE"/>
    <w:rsid w:val="00C125AF"/>
    <w:rsid w:val="00C14808"/>
    <w:rsid w:val="00C151C9"/>
    <w:rsid w:val="00C21984"/>
    <w:rsid w:val="00C229E4"/>
    <w:rsid w:val="00C24B7D"/>
    <w:rsid w:val="00C32B5D"/>
    <w:rsid w:val="00C379B6"/>
    <w:rsid w:val="00C57607"/>
    <w:rsid w:val="00C61235"/>
    <w:rsid w:val="00C81877"/>
    <w:rsid w:val="00C83F25"/>
    <w:rsid w:val="00C92464"/>
    <w:rsid w:val="00C95FA3"/>
    <w:rsid w:val="00CA2C04"/>
    <w:rsid w:val="00CA4A7E"/>
    <w:rsid w:val="00CB1E9B"/>
    <w:rsid w:val="00CC0789"/>
    <w:rsid w:val="00CC62D3"/>
    <w:rsid w:val="00CC68BC"/>
    <w:rsid w:val="00CD671E"/>
    <w:rsid w:val="00CD7D90"/>
    <w:rsid w:val="00CE06CE"/>
    <w:rsid w:val="00CE48E6"/>
    <w:rsid w:val="00CE56E3"/>
    <w:rsid w:val="00CE5765"/>
    <w:rsid w:val="00CF18AD"/>
    <w:rsid w:val="00CF3E3D"/>
    <w:rsid w:val="00CF69B0"/>
    <w:rsid w:val="00CF6CD1"/>
    <w:rsid w:val="00D01FCC"/>
    <w:rsid w:val="00D040FF"/>
    <w:rsid w:val="00D05352"/>
    <w:rsid w:val="00D152C9"/>
    <w:rsid w:val="00D25695"/>
    <w:rsid w:val="00D2660E"/>
    <w:rsid w:val="00D532BB"/>
    <w:rsid w:val="00D547EC"/>
    <w:rsid w:val="00D562DE"/>
    <w:rsid w:val="00D606D4"/>
    <w:rsid w:val="00D62E4F"/>
    <w:rsid w:val="00D7536B"/>
    <w:rsid w:val="00D75D42"/>
    <w:rsid w:val="00D85AA5"/>
    <w:rsid w:val="00D927B1"/>
    <w:rsid w:val="00D966C5"/>
    <w:rsid w:val="00DA053B"/>
    <w:rsid w:val="00DB05BD"/>
    <w:rsid w:val="00DD7D12"/>
    <w:rsid w:val="00DF0DAD"/>
    <w:rsid w:val="00DF1592"/>
    <w:rsid w:val="00DF23F5"/>
    <w:rsid w:val="00E012C8"/>
    <w:rsid w:val="00E046E5"/>
    <w:rsid w:val="00E12C82"/>
    <w:rsid w:val="00E13A7C"/>
    <w:rsid w:val="00E16F11"/>
    <w:rsid w:val="00E3624A"/>
    <w:rsid w:val="00E44A7A"/>
    <w:rsid w:val="00E4594C"/>
    <w:rsid w:val="00E47678"/>
    <w:rsid w:val="00E51E3F"/>
    <w:rsid w:val="00E53EDE"/>
    <w:rsid w:val="00E71059"/>
    <w:rsid w:val="00E740B6"/>
    <w:rsid w:val="00E74572"/>
    <w:rsid w:val="00E8632C"/>
    <w:rsid w:val="00E875F3"/>
    <w:rsid w:val="00EA3641"/>
    <w:rsid w:val="00EC5903"/>
    <w:rsid w:val="00EE59A9"/>
    <w:rsid w:val="00EF56E2"/>
    <w:rsid w:val="00EF5E8D"/>
    <w:rsid w:val="00F1193E"/>
    <w:rsid w:val="00F12DDD"/>
    <w:rsid w:val="00F16045"/>
    <w:rsid w:val="00F25928"/>
    <w:rsid w:val="00F266B9"/>
    <w:rsid w:val="00F27B73"/>
    <w:rsid w:val="00F3574A"/>
    <w:rsid w:val="00F619F0"/>
    <w:rsid w:val="00F72942"/>
    <w:rsid w:val="00F85866"/>
    <w:rsid w:val="00F86F85"/>
    <w:rsid w:val="00F91296"/>
    <w:rsid w:val="00FA194E"/>
    <w:rsid w:val="00FA73FB"/>
    <w:rsid w:val="00FB4EE3"/>
    <w:rsid w:val="00FD3F18"/>
    <w:rsid w:val="00FD780C"/>
    <w:rsid w:val="00FD7BE2"/>
    <w:rsid w:val="00FE10A4"/>
    <w:rsid w:val="00FE148F"/>
    <w:rsid w:val="00FF15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E7"/>
  </w:style>
  <w:style w:type="paragraph" w:styleId="Titre1">
    <w:name w:val="heading 1"/>
    <w:basedOn w:val="Normal"/>
    <w:next w:val="Normal"/>
    <w:link w:val="Titre1Car"/>
    <w:uiPriority w:val="9"/>
    <w:qFormat/>
    <w:rsid w:val="00FE1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uiPriority w:val="99"/>
    <w:rsid w:val="00F25928"/>
  </w:style>
  <w:style w:type="paragraph" w:styleId="Notedebasdepage">
    <w:name w:val="footnote text"/>
    <w:basedOn w:val="Normal"/>
    <w:link w:val="NotedebasdepageCar"/>
    <w:uiPriority w:val="99"/>
    <w:semiHidden/>
    <w:unhideWhenUsed/>
    <w:rsid w:val="007274E7"/>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274E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274E7"/>
    <w:rPr>
      <w:vertAlign w:val="superscript"/>
    </w:rPr>
  </w:style>
  <w:style w:type="paragraph" w:styleId="Paragraphedeliste">
    <w:name w:val="List Paragraph"/>
    <w:basedOn w:val="Normal"/>
    <w:uiPriority w:val="34"/>
    <w:qFormat/>
    <w:rsid w:val="007274E7"/>
    <w:pPr>
      <w:spacing w:after="0"/>
      <w:ind w:left="720"/>
      <w:contextualSpacing/>
    </w:pPr>
    <w:rPr>
      <w:rFonts w:ascii="Times New Roman" w:eastAsia="Times New Roman" w:hAnsi="Times New Roman" w:cs="Times New Roman"/>
      <w:sz w:val="24"/>
      <w:szCs w:val="24"/>
      <w:lang w:eastAsia="fr-FR"/>
    </w:rPr>
  </w:style>
  <w:style w:type="paragraph" w:customStyle="1" w:styleId="Default">
    <w:name w:val="Default"/>
    <w:rsid w:val="007274E7"/>
    <w:pPr>
      <w:autoSpaceDE w:val="0"/>
      <w:autoSpaceDN w:val="0"/>
      <w:adjustRightInd w:val="0"/>
      <w:spacing w:after="0"/>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FE10A4"/>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FE10A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0A4"/>
    <w:rPr>
      <w:rFonts w:ascii="Tahoma" w:hAnsi="Tahoma" w:cs="Tahoma"/>
      <w:sz w:val="16"/>
      <w:szCs w:val="16"/>
    </w:rPr>
  </w:style>
  <w:style w:type="paragraph" w:styleId="En-tte">
    <w:name w:val="header"/>
    <w:basedOn w:val="Normal"/>
    <w:link w:val="En-tteCar"/>
    <w:uiPriority w:val="99"/>
    <w:semiHidden/>
    <w:unhideWhenUsed/>
    <w:rsid w:val="001142EB"/>
    <w:pPr>
      <w:tabs>
        <w:tab w:val="center" w:pos="4536"/>
        <w:tab w:val="right" w:pos="9072"/>
      </w:tabs>
      <w:spacing w:after="0"/>
    </w:pPr>
  </w:style>
  <w:style w:type="character" w:customStyle="1" w:styleId="En-tteCar">
    <w:name w:val="En-tête Car"/>
    <w:basedOn w:val="Policepardfaut"/>
    <w:link w:val="En-tte"/>
    <w:uiPriority w:val="99"/>
    <w:semiHidden/>
    <w:rsid w:val="001142EB"/>
  </w:style>
  <w:style w:type="paragraph" w:styleId="Pieddepage">
    <w:name w:val="footer"/>
    <w:basedOn w:val="Normal"/>
    <w:link w:val="PieddepageCar"/>
    <w:uiPriority w:val="99"/>
    <w:unhideWhenUsed/>
    <w:rsid w:val="001142EB"/>
    <w:pPr>
      <w:tabs>
        <w:tab w:val="center" w:pos="4536"/>
        <w:tab w:val="right" w:pos="9072"/>
      </w:tabs>
      <w:spacing w:after="0"/>
    </w:pPr>
  </w:style>
  <w:style w:type="character" w:customStyle="1" w:styleId="PieddepageCar">
    <w:name w:val="Pied de page Car"/>
    <w:basedOn w:val="Policepardfaut"/>
    <w:link w:val="Pieddepage"/>
    <w:uiPriority w:val="99"/>
    <w:rsid w:val="001142EB"/>
  </w:style>
  <w:style w:type="table" w:styleId="Grilledutableau">
    <w:name w:val="Table Grid"/>
    <w:basedOn w:val="TableauNormal"/>
    <w:uiPriority w:val="59"/>
    <w:rsid w:val="000C40F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393803">
      <w:bodyDiv w:val="1"/>
      <w:marLeft w:val="0"/>
      <w:marRight w:val="0"/>
      <w:marTop w:val="0"/>
      <w:marBottom w:val="0"/>
      <w:divBdr>
        <w:top w:val="none" w:sz="0" w:space="0" w:color="auto"/>
        <w:left w:val="none" w:sz="0" w:space="0" w:color="auto"/>
        <w:bottom w:val="none" w:sz="0" w:space="0" w:color="auto"/>
        <w:right w:val="none" w:sz="0" w:space="0" w:color="auto"/>
      </w:divBdr>
      <w:divsChild>
        <w:div w:id="1121343615">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1812016062">
          <w:marLeft w:val="0"/>
          <w:marRight w:val="0"/>
          <w:marTop w:val="0"/>
          <w:marBottom w:val="0"/>
          <w:divBdr>
            <w:top w:val="none" w:sz="0" w:space="0" w:color="auto"/>
            <w:left w:val="none" w:sz="0" w:space="0" w:color="auto"/>
            <w:bottom w:val="none" w:sz="0" w:space="0" w:color="auto"/>
            <w:right w:val="none" w:sz="0" w:space="0" w:color="auto"/>
          </w:divBdr>
        </w:div>
        <w:div w:id="607736027">
          <w:marLeft w:val="0"/>
          <w:marRight w:val="0"/>
          <w:marTop w:val="0"/>
          <w:marBottom w:val="0"/>
          <w:divBdr>
            <w:top w:val="none" w:sz="0" w:space="0" w:color="auto"/>
            <w:left w:val="none" w:sz="0" w:space="0" w:color="auto"/>
            <w:bottom w:val="none" w:sz="0" w:space="0" w:color="auto"/>
            <w:right w:val="none" w:sz="0" w:space="0" w:color="auto"/>
          </w:divBdr>
        </w:div>
        <w:div w:id="141237024">
          <w:marLeft w:val="0"/>
          <w:marRight w:val="0"/>
          <w:marTop w:val="0"/>
          <w:marBottom w:val="0"/>
          <w:divBdr>
            <w:top w:val="none" w:sz="0" w:space="0" w:color="auto"/>
            <w:left w:val="none" w:sz="0" w:space="0" w:color="auto"/>
            <w:bottom w:val="none" w:sz="0" w:space="0" w:color="auto"/>
            <w:right w:val="none" w:sz="0" w:space="0" w:color="auto"/>
          </w:divBdr>
        </w:div>
        <w:div w:id="575554437">
          <w:marLeft w:val="0"/>
          <w:marRight w:val="0"/>
          <w:marTop w:val="0"/>
          <w:marBottom w:val="0"/>
          <w:divBdr>
            <w:top w:val="none" w:sz="0" w:space="0" w:color="auto"/>
            <w:left w:val="none" w:sz="0" w:space="0" w:color="auto"/>
            <w:bottom w:val="none" w:sz="0" w:space="0" w:color="auto"/>
            <w:right w:val="none" w:sz="0" w:space="0" w:color="auto"/>
          </w:divBdr>
        </w:div>
        <w:div w:id="1917856872">
          <w:marLeft w:val="0"/>
          <w:marRight w:val="0"/>
          <w:marTop w:val="0"/>
          <w:marBottom w:val="0"/>
          <w:divBdr>
            <w:top w:val="none" w:sz="0" w:space="0" w:color="auto"/>
            <w:left w:val="none" w:sz="0" w:space="0" w:color="auto"/>
            <w:bottom w:val="none" w:sz="0" w:space="0" w:color="auto"/>
            <w:right w:val="none" w:sz="0" w:space="0" w:color="auto"/>
          </w:divBdr>
        </w:div>
        <w:div w:id="904997032">
          <w:marLeft w:val="0"/>
          <w:marRight w:val="0"/>
          <w:marTop w:val="0"/>
          <w:marBottom w:val="0"/>
          <w:divBdr>
            <w:top w:val="none" w:sz="0" w:space="0" w:color="auto"/>
            <w:left w:val="none" w:sz="0" w:space="0" w:color="auto"/>
            <w:bottom w:val="none" w:sz="0" w:space="0" w:color="auto"/>
            <w:right w:val="none" w:sz="0" w:space="0" w:color="auto"/>
          </w:divBdr>
        </w:div>
        <w:div w:id="1327249289">
          <w:marLeft w:val="0"/>
          <w:marRight w:val="0"/>
          <w:marTop w:val="0"/>
          <w:marBottom w:val="0"/>
          <w:divBdr>
            <w:top w:val="none" w:sz="0" w:space="0" w:color="auto"/>
            <w:left w:val="none" w:sz="0" w:space="0" w:color="auto"/>
            <w:bottom w:val="none" w:sz="0" w:space="0" w:color="auto"/>
            <w:right w:val="none" w:sz="0" w:space="0" w:color="auto"/>
          </w:divBdr>
        </w:div>
        <w:div w:id="594947241">
          <w:marLeft w:val="0"/>
          <w:marRight w:val="0"/>
          <w:marTop w:val="0"/>
          <w:marBottom w:val="0"/>
          <w:divBdr>
            <w:top w:val="none" w:sz="0" w:space="0" w:color="auto"/>
            <w:left w:val="none" w:sz="0" w:space="0" w:color="auto"/>
            <w:bottom w:val="none" w:sz="0" w:space="0" w:color="auto"/>
            <w:right w:val="none" w:sz="0" w:space="0" w:color="auto"/>
          </w:divBdr>
        </w:div>
        <w:div w:id="1983801952">
          <w:marLeft w:val="0"/>
          <w:marRight w:val="0"/>
          <w:marTop w:val="0"/>
          <w:marBottom w:val="0"/>
          <w:divBdr>
            <w:top w:val="none" w:sz="0" w:space="0" w:color="auto"/>
            <w:left w:val="none" w:sz="0" w:space="0" w:color="auto"/>
            <w:bottom w:val="none" w:sz="0" w:space="0" w:color="auto"/>
            <w:right w:val="none" w:sz="0" w:space="0" w:color="auto"/>
          </w:divBdr>
        </w:div>
      </w:divsChild>
    </w:div>
    <w:div w:id="70930625">
      <w:bodyDiv w:val="1"/>
      <w:marLeft w:val="0"/>
      <w:marRight w:val="0"/>
      <w:marTop w:val="0"/>
      <w:marBottom w:val="0"/>
      <w:divBdr>
        <w:top w:val="none" w:sz="0" w:space="0" w:color="auto"/>
        <w:left w:val="none" w:sz="0" w:space="0" w:color="auto"/>
        <w:bottom w:val="none" w:sz="0" w:space="0" w:color="auto"/>
        <w:right w:val="none" w:sz="0" w:space="0" w:color="auto"/>
      </w:divBdr>
      <w:divsChild>
        <w:div w:id="144051871">
          <w:marLeft w:val="0"/>
          <w:marRight w:val="0"/>
          <w:marTop w:val="0"/>
          <w:marBottom w:val="0"/>
          <w:divBdr>
            <w:top w:val="none" w:sz="0" w:space="0" w:color="auto"/>
            <w:left w:val="none" w:sz="0" w:space="0" w:color="auto"/>
            <w:bottom w:val="none" w:sz="0" w:space="0" w:color="auto"/>
            <w:right w:val="none" w:sz="0" w:space="0" w:color="auto"/>
          </w:divBdr>
        </w:div>
        <w:div w:id="1791439310">
          <w:marLeft w:val="0"/>
          <w:marRight w:val="0"/>
          <w:marTop w:val="0"/>
          <w:marBottom w:val="0"/>
          <w:divBdr>
            <w:top w:val="none" w:sz="0" w:space="0" w:color="auto"/>
            <w:left w:val="none" w:sz="0" w:space="0" w:color="auto"/>
            <w:bottom w:val="none" w:sz="0" w:space="0" w:color="auto"/>
            <w:right w:val="none" w:sz="0" w:space="0" w:color="auto"/>
          </w:divBdr>
        </w:div>
        <w:div w:id="1193422600">
          <w:marLeft w:val="0"/>
          <w:marRight w:val="0"/>
          <w:marTop w:val="0"/>
          <w:marBottom w:val="0"/>
          <w:divBdr>
            <w:top w:val="none" w:sz="0" w:space="0" w:color="auto"/>
            <w:left w:val="none" w:sz="0" w:space="0" w:color="auto"/>
            <w:bottom w:val="none" w:sz="0" w:space="0" w:color="auto"/>
            <w:right w:val="none" w:sz="0" w:space="0" w:color="auto"/>
          </w:divBdr>
        </w:div>
        <w:div w:id="1586265183">
          <w:marLeft w:val="0"/>
          <w:marRight w:val="0"/>
          <w:marTop w:val="0"/>
          <w:marBottom w:val="0"/>
          <w:divBdr>
            <w:top w:val="none" w:sz="0" w:space="0" w:color="auto"/>
            <w:left w:val="none" w:sz="0" w:space="0" w:color="auto"/>
            <w:bottom w:val="none" w:sz="0" w:space="0" w:color="auto"/>
            <w:right w:val="none" w:sz="0" w:space="0" w:color="auto"/>
          </w:divBdr>
        </w:div>
        <w:div w:id="2089768880">
          <w:marLeft w:val="0"/>
          <w:marRight w:val="0"/>
          <w:marTop w:val="0"/>
          <w:marBottom w:val="0"/>
          <w:divBdr>
            <w:top w:val="none" w:sz="0" w:space="0" w:color="auto"/>
            <w:left w:val="none" w:sz="0" w:space="0" w:color="auto"/>
            <w:bottom w:val="none" w:sz="0" w:space="0" w:color="auto"/>
            <w:right w:val="none" w:sz="0" w:space="0" w:color="auto"/>
          </w:divBdr>
        </w:div>
        <w:div w:id="187984624">
          <w:marLeft w:val="0"/>
          <w:marRight w:val="0"/>
          <w:marTop w:val="0"/>
          <w:marBottom w:val="0"/>
          <w:divBdr>
            <w:top w:val="none" w:sz="0" w:space="0" w:color="auto"/>
            <w:left w:val="none" w:sz="0" w:space="0" w:color="auto"/>
            <w:bottom w:val="none" w:sz="0" w:space="0" w:color="auto"/>
            <w:right w:val="none" w:sz="0" w:space="0" w:color="auto"/>
          </w:divBdr>
        </w:div>
        <w:div w:id="703866884">
          <w:marLeft w:val="0"/>
          <w:marRight w:val="0"/>
          <w:marTop w:val="0"/>
          <w:marBottom w:val="0"/>
          <w:divBdr>
            <w:top w:val="none" w:sz="0" w:space="0" w:color="auto"/>
            <w:left w:val="none" w:sz="0" w:space="0" w:color="auto"/>
            <w:bottom w:val="none" w:sz="0" w:space="0" w:color="auto"/>
            <w:right w:val="none" w:sz="0" w:space="0" w:color="auto"/>
          </w:divBdr>
        </w:div>
        <w:div w:id="1179661874">
          <w:marLeft w:val="0"/>
          <w:marRight w:val="0"/>
          <w:marTop w:val="0"/>
          <w:marBottom w:val="0"/>
          <w:divBdr>
            <w:top w:val="none" w:sz="0" w:space="0" w:color="auto"/>
            <w:left w:val="none" w:sz="0" w:space="0" w:color="auto"/>
            <w:bottom w:val="none" w:sz="0" w:space="0" w:color="auto"/>
            <w:right w:val="none" w:sz="0" w:space="0" w:color="auto"/>
          </w:divBdr>
        </w:div>
        <w:div w:id="990909159">
          <w:marLeft w:val="0"/>
          <w:marRight w:val="0"/>
          <w:marTop w:val="0"/>
          <w:marBottom w:val="0"/>
          <w:divBdr>
            <w:top w:val="none" w:sz="0" w:space="0" w:color="auto"/>
            <w:left w:val="none" w:sz="0" w:space="0" w:color="auto"/>
            <w:bottom w:val="none" w:sz="0" w:space="0" w:color="auto"/>
            <w:right w:val="none" w:sz="0" w:space="0" w:color="auto"/>
          </w:divBdr>
        </w:div>
        <w:div w:id="676930772">
          <w:marLeft w:val="0"/>
          <w:marRight w:val="0"/>
          <w:marTop w:val="0"/>
          <w:marBottom w:val="0"/>
          <w:divBdr>
            <w:top w:val="none" w:sz="0" w:space="0" w:color="auto"/>
            <w:left w:val="none" w:sz="0" w:space="0" w:color="auto"/>
            <w:bottom w:val="none" w:sz="0" w:space="0" w:color="auto"/>
            <w:right w:val="none" w:sz="0" w:space="0" w:color="auto"/>
          </w:divBdr>
        </w:div>
        <w:div w:id="1587689996">
          <w:marLeft w:val="0"/>
          <w:marRight w:val="0"/>
          <w:marTop w:val="0"/>
          <w:marBottom w:val="0"/>
          <w:divBdr>
            <w:top w:val="none" w:sz="0" w:space="0" w:color="auto"/>
            <w:left w:val="none" w:sz="0" w:space="0" w:color="auto"/>
            <w:bottom w:val="none" w:sz="0" w:space="0" w:color="auto"/>
            <w:right w:val="none" w:sz="0" w:space="0" w:color="auto"/>
          </w:divBdr>
        </w:div>
        <w:div w:id="1887642311">
          <w:marLeft w:val="0"/>
          <w:marRight w:val="0"/>
          <w:marTop w:val="0"/>
          <w:marBottom w:val="0"/>
          <w:divBdr>
            <w:top w:val="none" w:sz="0" w:space="0" w:color="auto"/>
            <w:left w:val="none" w:sz="0" w:space="0" w:color="auto"/>
            <w:bottom w:val="none" w:sz="0" w:space="0" w:color="auto"/>
            <w:right w:val="none" w:sz="0" w:space="0" w:color="auto"/>
          </w:divBdr>
        </w:div>
        <w:div w:id="952125974">
          <w:marLeft w:val="0"/>
          <w:marRight w:val="0"/>
          <w:marTop w:val="0"/>
          <w:marBottom w:val="0"/>
          <w:divBdr>
            <w:top w:val="none" w:sz="0" w:space="0" w:color="auto"/>
            <w:left w:val="none" w:sz="0" w:space="0" w:color="auto"/>
            <w:bottom w:val="none" w:sz="0" w:space="0" w:color="auto"/>
            <w:right w:val="none" w:sz="0" w:space="0" w:color="auto"/>
          </w:divBdr>
        </w:div>
        <w:div w:id="1485199396">
          <w:marLeft w:val="0"/>
          <w:marRight w:val="0"/>
          <w:marTop w:val="0"/>
          <w:marBottom w:val="0"/>
          <w:divBdr>
            <w:top w:val="none" w:sz="0" w:space="0" w:color="auto"/>
            <w:left w:val="none" w:sz="0" w:space="0" w:color="auto"/>
            <w:bottom w:val="none" w:sz="0" w:space="0" w:color="auto"/>
            <w:right w:val="none" w:sz="0" w:space="0" w:color="auto"/>
          </w:divBdr>
        </w:div>
      </w:divsChild>
    </w:div>
    <w:div w:id="82998757">
      <w:bodyDiv w:val="1"/>
      <w:marLeft w:val="0"/>
      <w:marRight w:val="0"/>
      <w:marTop w:val="0"/>
      <w:marBottom w:val="0"/>
      <w:divBdr>
        <w:top w:val="none" w:sz="0" w:space="0" w:color="auto"/>
        <w:left w:val="none" w:sz="0" w:space="0" w:color="auto"/>
        <w:bottom w:val="none" w:sz="0" w:space="0" w:color="auto"/>
        <w:right w:val="none" w:sz="0" w:space="0" w:color="auto"/>
      </w:divBdr>
      <w:divsChild>
        <w:div w:id="1797331938">
          <w:marLeft w:val="0"/>
          <w:marRight w:val="0"/>
          <w:marTop w:val="0"/>
          <w:marBottom w:val="0"/>
          <w:divBdr>
            <w:top w:val="none" w:sz="0" w:space="0" w:color="auto"/>
            <w:left w:val="none" w:sz="0" w:space="0" w:color="auto"/>
            <w:bottom w:val="none" w:sz="0" w:space="0" w:color="auto"/>
            <w:right w:val="none" w:sz="0" w:space="0" w:color="auto"/>
          </w:divBdr>
        </w:div>
        <w:div w:id="1210413049">
          <w:marLeft w:val="0"/>
          <w:marRight w:val="0"/>
          <w:marTop w:val="0"/>
          <w:marBottom w:val="0"/>
          <w:divBdr>
            <w:top w:val="none" w:sz="0" w:space="0" w:color="auto"/>
            <w:left w:val="none" w:sz="0" w:space="0" w:color="auto"/>
            <w:bottom w:val="none" w:sz="0" w:space="0" w:color="auto"/>
            <w:right w:val="none" w:sz="0" w:space="0" w:color="auto"/>
          </w:divBdr>
        </w:div>
        <w:div w:id="1247226646">
          <w:marLeft w:val="0"/>
          <w:marRight w:val="0"/>
          <w:marTop w:val="0"/>
          <w:marBottom w:val="0"/>
          <w:divBdr>
            <w:top w:val="none" w:sz="0" w:space="0" w:color="auto"/>
            <w:left w:val="none" w:sz="0" w:space="0" w:color="auto"/>
            <w:bottom w:val="none" w:sz="0" w:space="0" w:color="auto"/>
            <w:right w:val="none" w:sz="0" w:space="0" w:color="auto"/>
          </w:divBdr>
        </w:div>
        <w:div w:id="1884823481">
          <w:marLeft w:val="0"/>
          <w:marRight w:val="0"/>
          <w:marTop w:val="0"/>
          <w:marBottom w:val="0"/>
          <w:divBdr>
            <w:top w:val="none" w:sz="0" w:space="0" w:color="auto"/>
            <w:left w:val="none" w:sz="0" w:space="0" w:color="auto"/>
            <w:bottom w:val="none" w:sz="0" w:space="0" w:color="auto"/>
            <w:right w:val="none" w:sz="0" w:space="0" w:color="auto"/>
          </w:divBdr>
        </w:div>
        <w:div w:id="62340314">
          <w:marLeft w:val="0"/>
          <w:marRight w:val="0"/>
          <w:marTop w:val="0"/>
          <w:marBottom w:val="0"/>
          <w:divBdr>
            <w:top w:val="none" w:sz="0" w:space="0" w:color="auto"/>
            <w:left w:val="none" w:sz="0" w:space="0" w:color="auto"/>
            <w:bottom w:val="none" w:sz="0" w:space="0" w:color="auto"/>
            <w:right w:val="none" w:sz="0" w:space="0" w:color="auto"/>
          </w:divBdr>
        </w:div>
      </w:divsChild>
    </w:div>
    <w:div w:id="380633917">
      <w:bodyDiv w:val="1"/>
      <w:marLeft w:val="0"/>
      <w:marRight w:val="0"/>
      <w:marTop w:val="0"/>
      <w:marBottom w:val="0"/>
      <w:divBdr>
        <w:top w:val="none" w:sz="0" w:space="0" w:color="auto"/>
        <w:left w:val="none" w:sz="0" w:space="0" w:color="auto"/>
        <w:bottom w:val="none" w:sz="0" w:space="0" w:color="auto"/>
        <w:right w:val="none" w:sz="0" w:space="0" w:color="auto"/>
      </w:divBdr>
      <w:divsChild>
        <w:div w:id="154345431">
          <w:marLeft w:val="0"/>
          <w:marRight w:val="0"/>
          <w:marTop w:val="0"/>
          <w:marBottom w:val="0"/>
          <w:divBdr>
            <w:top w:val="none" w:sz="0" w:space="0" w:color="auto"/>
            <w:left w:val="none" w:sz="0" w:space="0" w:color="auto"/>
            <w:bottom w:val="none" w:sz="0" w:space="0" w:color="auto"/>
            <w:right w:val="none" w:sz="0" w:space="0" w:color="auto"/>
          </w:divBdr>
        </w:div>
        <w:div w:id="2090886616">
          <w:marLeft w:val="0"/>
          <w:marRight w:val="0"/>
          <w:marTop w:val="0"/>
          <w:marBottom w:val="0"/>
          <w:divBdr>
            <w:top w:val="none" w:sz="0" w:space="0" w:color="auto"/>
            <w:left w:val="none" w:sz="0" w:space="0" w:color="auto"/>
            <w:bottom w:val="none" w:sz="0" w:space="0" w:color="auto"/>
            <w:right w:val="none" w:sz="0" w:space="0" w:color="auto"/>
          </w:divBdr>
        </w:div>
        <w:div w:id="715814614">
          <w:marLeft w:val="0"/>
          <w:marRight w:val="0"/>
          <w:marTop w:val="0"/>
          <w:marBottom w:val="0"/>
          <w:divBdr>
            <w:top w:val="none" w:sz="0" w:space="0" w:color="auto"/>
            <w:left w:val="none" w:sz="0" w:space="0" w:color="auto"/>
            <w:bottom w:val="none" w:sz="0" w:space="0" w:color="auto"/>
            <w:right w:val="none" w:sz="0" w:space="0" w:color="auto"/>
          </w:divBdr>
        </w:div>
      </w:divsChild>
    </w:div>
    <w:div w:id="449786779">
      <w:bodyDiv w:val="1"/>
      <w:marLeft w:val="0"/>
      <w:marRight w:val="0"/>
      <w:marTop w:val="0"/>
      <w:marBottom w:val="0"/>
      <w:divBdr>
        <w:top w:val="none" w:sz="0" w:space="0" w:color="auto"/>
        <w:left w:val="none" w:sz="0" w:space="0" w:color="auto"/>
        <w:bottom w:val="none" w:sz="0" w:space="0" w:color="auto"/>
        <w:right w:val="none" w:sz="0" w:space="0" w:color="auto"/>
      </w:divBdr>
      <w:divsChild>
        <w:div w:id="1857226916">
          <w:marLeft w:val="0"/>
          <w:marRight w:val="0"/>
          <w:marTop w:val="0"/>
          <w:marBottom w:val="0"/>
          <w:divBdr>
            <w:top w:val="none" w:sz="0" w:space="0" w:color="auto"/>
            <w:left w:val="none" w:sz="0" w:space="0" w:color="auto"/>
            <w:bottom w:val="none" w:sz="0" w:space="0" w:color="auto"/>
            <w:right w:val="none" w:sz="0" w:space="0" w:color="auto"/>
          </w:divBdr>
        </w:div>
        <w:div w:id="100340887">
          <w:marLeft w:val="0"/>
          <w:marRight w:val="0"/>
          <w:marTop w:val="0"/>
          <w:marBottom w:val="0"/>
          <w:divBdr>
            <w:top w:val="none" w:sz="0" w:space="0" w:color="auto"/>
            <w:left w:val="none" w:sz="0" w:space="0" w:color="auto"/>
            <w:bottom w:val="none" w:sz="0" w:space="0" w:color="auto"/>
            <w:right w:val="none" w:sz="0" w:space="0" w:color="auto"/>
          </w:divBdr>
        </w:div>
        <w:div w:id="26759241">
          <w:marLeft w:val="0"/>
          <w:marRight w:val="0"/>
          <w:marTop w:val="0"/>
          <w:marBottom w:val="0"/>
          <w:divBdr>
            <w:top w:val="none" w:sz="0" w:space="0" w:color="auto"/>
            <w:left w:val="none" w:sz="0" w:space="0" w:color="auto"/>
            <w:bottom w:val="none" w:sz="0" w:space="0" w:color="auto"/>
            <w:right w:val="none" w:sz="0" w:space="0" w:color="auto"/>
          </w:divBdr>
        </w:div>
        <w:div w:id="280652014">
          <w:marLeft w:val="0"/>
          <w:marRight w:val="0"/>
          <w:marTop w:val="0"/>
          <w:marBottom w:val="0"/>
          <w:divBdr>
            <w:top w:val="none" w:sz="0" w:space="0" w:color="auto"/>
            <w:left w:val="none" w:sz="0" w:space="0" w:color="auto"/>
            <w:bottom w:val="none" w:sz="0" w:space="0" w:color="auto"/>
            <w:right w:val="none" w:sz="0" w:space="0" w:color="auto"/>
          </w:divBdr>
        </w:div>
        <w:div w:id="166869025">
          <w:marLeft w:val="0"/>
          <w:marRight w:val="0"/>
          <w:marTop w:val="0"/>
          <w:marBottom w:val="0"/>
          <w:divBdr>
            <w:top w:val="none" w:sz="0" w:space="0" w:color="auto"/>
            <w:left w:val="none" w:sz="0" w:space="0" w:color="auto"/>
            <w:bottom w:val="none" w:sz="0" w:space="0" w:color="auto"/>
            <w:right w:val="none" w:sz="0" w:space="0" w:color="auto"/>
          </w:divBdr>
        </w:div>
        <w:div w:id="1639996921">
          <w:marLeft w:val="0"/>
          <w:marRight w:val="0"/>
          <w:marTop w:val="0"/>
          <w:marBottom w:val="0"/>
          <w:divBdr>
            <w:top w:val="none" w:sz="0" w:space="0" w:color="auto"/>
            <w:left w:val="none" w:sz="0" w:space="0" w:color="auto"/>
            <w:bottom w:val="none" w:sz="0" w:space="0" w:color="auto"/>
            <w:right w:val="none" w:sz="0" w:space="0" w:color="auto"/>
          </w:divBdr>
        </w:div>
        <w:div w:id="970209886">
          <w:marLeft w:val="0"/>
          <w:marRight w:val="0"/>
          <w:marTop w:val="0"/>
          <w:marBottom w:val="0"/>
          <w:divBdr>
            <w:top w:val="none" w:sz="0" w:space="0" w:color="auto"/>
            <w:left w:val="none" w:sz="0" w:space="0" w:color="auto"/>
            <w:bottom w:val="none" w:sz="0" w:space="0" w:color="auto"/>
            <w:right w:val="none" w:sz="0" w:space="0" w:color="auto"/>
          </w:divBdr>
        </w:div>
        <w:div w:id="1129977868">
          <w:marLeft w:val="0"/>
          <w:marRight w:val="0"/>
          <w:marTop w:val="0"/>
          <w:marBottom w:val="0"/>
          <w:divBdr>
            <w:top w:val="none" w:sz="0" w:space="0" w:color="auto"/>
            <w:left w:val="none" w:sz="0" w:space="0" w:color="auto"/>
            <w:bottom w:val="none" w:sz="0" w:space="0" w:color="auto"/>
            <w:right w:val="none" w:sz="0" w:space="0" w:color="auto"/>
          </w:divBdr>
        </w:div>
        <w:div w:id="569383622">
          <w:marLeft w:val="0"/>
          <w:marRight w:val="0"/>
          <w:marTop w:val="0"/>
          <w:marBottom w:val="0"/>
          <w:divBdr>
            <w:top w:val="none" w:sz="0" w:space="0" w:color="auto"/>
            <w:left w:val="none" w:sz="0" w:space="0" w:color="auto"/>
            <w:bottom w:val="none" w:sz="0" w:space="0" w:color="auto"/>
            <w:right w:val="none" w:sz="0" w:space="0" w:color="auto"/>
          </w:divBdr>
        </w:div>
        <w:div w:id="795024925">
          <w:marLeft w:val="0"/>
          <w:marRight w:val="0"/>
          <w:marTop w:val="0"/>
          <w:marBottom w:val="0"/>
          <w:divBdr>
            <w:top w:val="none" w:sz="0" w:space="0" w:color="auto"/>
            <w:left w:val="none" w:sz="0" w:space="0" w:color="auto"/>
            <w:bottom w:val="none" w:sz="0" w:space="0" w:color="auto"/>
            <w:right w:val="none" w:sz="0" w:space="0" w:color="auto"/>
          </w:divBdr>
        </w:div>
        <w:div w:id="1250849101">
          <w:marLeft w:val="0"/>
          <w:marRight w:val="0"/>
          <w:marTop w:val="0"/>
          <w:marBottom w:val="0"/>
          <w:divBdr>
            <w:top w:val="none" w:sz="0" w:space="0" w:color="auto"/>
            <w:left w:val="none" w:sz="0" w:space="0" w:color="auto"/>
            <w:bottom w:val="none" w:sz="0" w:space="0" w:color="auto"/>
            <w:right w:val="none" w:sz="0" w:space="0" w:color="auto"/>
          </w:divBdr>
        </w:div>
        <w:div w:id="908930286">
          <w:marLeft w:val="0"/>
          <w:marRight w:val="0"/>
          <w:marTop w:val="0"/>
          <w:marBottom w:val="0"/>
          <w:divBdr>
            <w:top w:val="none" w:sz="0" w:space="0" w:color="auto"/>
            <w:left w:val="none" w:sz="0" w:space="0" w:color="auto"/>
            <w:bottom w:val="none" w:sz="0" w:space="0" w:color="auto"/>
            <w:right w:val="none" w:sz="0" w:space="0" w:color="auto"/>
          </w:divBdr>
        </w:div>
        <w:div w:id="1161504314">
          <w:marLeft w:val="0"/>
          <w:marRight w:val="0"/>
          <w:marTop w:val="0"/>
          <w:marBottom w:val="0"/>
          <w:divBdr>
            <w:top w:val="none" w:sz="0" w:space="0" w:color="auto"/>
            <w:left w:val="none" w:sz="0" w:space="0" w:color="auto"/>
            <w:bottom w:val="none" w:sz="0" w:space="0" w:color="auto"/>
            <w:right w:val="none" w:sz="0" w:space="0" w:color="auto"/>
          </w:divBdr>
        </w:div>
        <w:div w:id="455758980">
          <w:marLeft w:val="0"/>
          <w:marRight w:val="0"/>
          <w:marTop w:val="0"/>
          <w:marBottom w:val="0"/>
          <w:divBdr>
            <w:top w:val="none" w:sz="0" w:space="0" w:color="auto"/>
            <w:left w:val="none" w:sz="0" w:space="0" w:color="auto"/>
            <w:bottom w:val="none" w:sz="0" w:space="0" w:color="auto"/>
            <w:right w:val="none" w:sz="0" w:space="0" w:color="auto"/>
          </w:divBdr>
        </w:div>
        <w:div w:id="1884514786">
          <w:marLeft w:val="0"/>
          <w:marRight w:val="0"/>
          <w:marTop w:val="0"/>
          <w:marBottom w:val="0"/>
          <w:divBdr>
            <w:top w:val="none" w:sz="0" w:space="0" w:color="auto"/>
            <w:left w:val="none" w:sz="0" w:space="0" w:color="auto"/>
            <w:bottom w:val="none" w:sz="0" w:space="0" w:color="auto"/>
            <w:right w:val="none" w:sz="0" w:space="0" w:color="auto"/>
          </w:divBdr>
        </w:div>
      </w:divsChild>
    </w:div>
    <w:div w:id="541939994">
      <w:bodyDiv w:val="1"/>
      <w:marLeft w:val="0"/>
      <w:marRight w:val="0"/>
      <w:marTop w:val="0"/>
      <w:marBottom w:val="0"/>
      <w:divBdr>
        <w:top w:val="none" w:sz="0" w:space="0" w:color="auto"/>
        <w:left w:val="none" w:sz="0" w:space="0" w:color="auto"/>
        <w:bottom w:val="none" w:sz="0" w:space="0" w:color="auto"/>
        <w:right w:val="none" w:sz="0" w:space="0" w:color="auto"/>
      </w:divBdr>
      <w:divsChild>
        <w:div w:id="80833944">
          <w:marLeft w:val="0"/>
          <w:marRight w:val="0"/>
          <w:marTop w:val="0"/>
          <w:marBottom w:val="0"/>
          <w:divBdr>
            <w:top w:val="none" w:sz="0" w:space="0" w:color="auto"/>
            <w:left w:val="none" w:sz="0" w:space="0" w:color="auto"/>
            <w:bottom w:val="none" w:sz="0" w:space="0" w:color="auto"/>
            <w:right w:val="none" w:sz="0" w:space="0" w:color="auto"/>
          </w:divBdr>
        </w:div>
        <w:div w:id="213852037">
          <w:marLeft w:val="0"/>
          <w:marRight w:val="0"/>
          <w:marTop w:val="0"/>
          <w:marBottom w:val="0"/>
          <w:divBdr>
            <w:top w:val="none" w:sz="0" w:space="0" w:color="auto"/>
            <w:left w:val="none" w:sz="0" w:space="0" w:color="auto"/>
            <w:bottom w:val="none" w:sz="0" w:space="0" w:color="auto"/>
            <w:right w:val="none" w:sz="0" w:space="0" w:color="auto"/>
          </w:divBdr>
        </w:div>
        <w:div w:id="1024751499">
          <w:marLeft w:val="0"/>
          <w:marRight w:val="0"/>
          <w:marTop w:val="0"/>
          <w:marBottom w:val="0"/>
          <w:divBdr>
            <w:top w:val="none" w:sz="0" w:space="0" w:color="auto"/>
            <w:left w:val="none" w:sz="0" w:space="0" w:color="auto"/>
            <w:bottom w:val="none" w:sz="0" w:space="0" w:color="auto"/>
            <w:right w:val="none" w:sz="0" w:space="0" w:color="auto"/>
          </w:divBdr>
        </w:div>
        <w:div w:id="992951723">
          <w:marLeft w:val="0"/>
          <w:marRight w:val="0"/>
          <w:marTop w:val="0"/>
          <w:marBottom w:val="0"/>
          <w:divBdr>
            <w:top w:val="none" w:sz="0" w:space="0" w:color="auto"/>
            <w:left w:val="none" w:sz="0" w:space="0" w:color="auto"/>
            <w:bottom w:val="none" w:sz="0" w:space="0" w:color="auto"/>
            <w:right w:val="none" w:sz="0" w:space="0" w:color="auto"/>
          </w:divBdr>
        </w:div>
        <w:div w:id="1776905675">
          <w:marLeft w:val="0"/>
          <w:marRight w:val="0"/>
          <w:marTop w:val="0"/>
          <w:marBottom w:val="0"/>
          <w:divBdr>
            <w:top w:val="none" w:sz="0" w:space="0" w:color="auto"/>
            <w:left w:val="none" w:sz="0" w:space="0" w:color="auto"/>
            <w:bottom w:val="none" w:sz="0" w:space="0" w:color="auto"/>
            <w:right w:val="none" w:sz="0" w:space="0" w:color="auto"/>
          </w:divBdr>
        </w:div>
        <w:div w:id="682709321">
          <w:marLeft w:val="0"/>
          <w:marRight w:val="0"/>
          <w:marTop w:val="0"/>
          <w:marBottom w:val="0"/>
          <w:divBdr>
            <w:top w:val="none" w:sz="0" w:space="0" w:color="auto"/>
            <w:left w:val="none" w:sz="0" w:space="0" w:color="auto"/>
            <w:bottom w:val="none" w:sz="0" w:space="0" w:color="auto"/>
            <w:right w:val="none" w:sz="0" w:space="0" w:color="auto"/>
          </w:divBdr>
        </w:div>
        <w:div w:id="261380026">
          <w:marLeft w:val="0"/>
          <w:marRight w:val="0"/>
          <w:marTop w:val="0"/>
          <w:marBottom w:val="0"/>
          <w:divBdr>
            <w:top w:val="none" w:sz="0" w:space="0" w:color="auto"/>
            <w:left w:val="none" w:sz="0" w:space="0" w:color="auto"/>
            <w:bottom w:val="none" w:sz="0" w:space="0" w:color="auto"/>
            <w:right w:val="none" w:sz="0" w:space="0" w:color="auto"/>
          </w:divBdr>
        </w:div>
        <w:div w:id="278950565">
          <w:marLeft w:val="0"/>
          <w:marRight w:val="0"/>
          <w:marTop w:val="0"/>
          <w:marBottom w:val="0"/>
          <w:divBdr>
            <w:top w:val="none" w:sz="0" w:space="0" w:color="auto"/>
            <w:left w:val="none" w:sz="0" w:space="0" w:color="auto"/>
            <w:bottom w:val="none" w:sz="0" w:space="0" w:color="auto"/>
            <w:right w:val="none" w:sz="0" w:space="0" w:color="auto"/>
          </w:divBdr>
        </w:div>
        <w:div w:id="1011685239">
          <w:marLeft w:val="0"/>
          <w:marRight w:val="0"/>
          <w:marTop w:val="0"/>
          <w:marBottom w:val="0"/>
          <w:divBdr>
            <w:top w:val="none" w:sz="0" w:space="0" w:color="auto"/>
            <w:left w:val="none" w:sz="0" w:space="0" w:color="auto"/>
            <w:bottom w:val="none" w:sz="0" w:space="0" w:color="auto"/>
            <w:right w:val="none" w:sz="0" w:space="0" w:color="auto"/>
          </w:divBdr>
        </w:div>
        <w:div w:id="760873372">
          <w:marLeft w:val="0"/>
          <w:marRight w:val="0"/>
          <w:marTop w:val="0"/>
          <w:marBottom w:val="0"/>
          <w:divBdr>
            <w:top w:val="none" w:sz="0" w:space="0" w:color="auto"/>
            <w:left w:val="none" w:sz="0" w:space="0" w:color="auto"/>
            <w:bottom w:val="none" w:sz="0" w:space="0" w:color="auto"/>
            <w:right w:val="none" w:sz="0" w:space="0" w:color="auto"/>
          </w:divBdr>
        </w:div>
        <w:div w:id="880555399">
          <w:marLeft w:val="0"/>
          <w:marRight w:val="0"/>
          <w:marTop w:val="0"/>
          <w:marBottom w:val="0"/>
          <w:divBdr>
            <w:top w:val="none" w:sz="0" w:space="0" w:color="auto"/>
            <w:left w:val="none" w:sz="0" w:space="0" w:color="auto"/>
            <w:bottom w:val="none" w:sz="0" w:space="0" w:color="auto"/>
            <w:right w:val="none" w:sz="0" w:space="0" w:color="auto"/>
          </w:divBdr>
        </w:div>
        <w:div w:id="92945389">
          <w:marLeft w:val="0"/>
          <w:marRight w:val="0"/>
          <w:marTop w:val="0"/>
          <w:marBottom w:val="0"/>
          <w:divBdr>
            <w:top w:val="none" w:sz="0" w:space="0" w:color="auto"/>
            <w:left w:val="none" w:sz="0" w:space="0" w:color="auto"/>
            <w:bottom w:val="none" w:sz="0" w:space="0" w:color="auto"/>
            <w:right w:val="none" w:sz="0" w:space="0" w:color="auto"/>
          </w:divBdr>
        </w:div>
        <w:div w:id="337125612">
          <w:marLeft w:val="0"/>
          <w:marRight w:val="0"/>
          <w:marTop w:val="0"/>
          <w:marBottom w:val="0"/>
          <w:divBdr>
            <w:top w:val="none" w:sz="0" w:space="0" w:color="auto"/>
            <w:left w:val="none" w:sz="0" w:space="0" w:color="auto"/>
            <w:bottom w:val="none" w:sz="0" w:space="0" w:color="auto"/>
            <w:right w:val="none" w:sz="0" w:space="0" w:color="auto"/>
          </w:divBdr>
        </w:div>
        <w:div w:id="284889343">
          <w:marLeft w:val="0"/>
          <w:marRight w:val="0"/>
          <w:marTop w:val="0"/>
          <w:marBottom w:val="0"/>
          <w:divBdr>
            <w:top w:val="none" w:sz="0" w:space="0" w:color="auto"/>
            <w:left w:val="none" w:sz="0" w:space="0" w:color="auto"/>
            <w:bottom w:val="none" w:sz="0" w:space="0" w:color="auto"/>
            <w:right w:val="none" w:sz="0" w:space="0" w:color="auto"/>
          </w:divBdr>
        </w:div>
        <w:div w:id="248121076">
          <w:marLeft w:val="0"/>
          <w:marRight w:val="0"/>
          <w:marTop w:val="0"/>
          <w:marBottom w:val="0"/>
          <w:divBdr>
            <w:top w:val="none" w:sz="0" w:space="0" w:color="auto"/>
            <w:left w:val="none" w:sz="0" w:space="0" w:color="auto"/>
            <w:bottom w:val="none" w:sz="0" w:space="0" w:color="auto"/>
            <w:right w:val="none" w:sz="0" w:space="0" w:color="auto"/>
          </w:divBdr>
        </w:div>
        <w:div w:id="1334183833">
          <w:marLeft w:val="0"/>
          <w:marRight w:val="0"/>
          <w:marTop w:val="0"/>
          <w:marBottom w:val="0"/>
          <w:divBdr>
            <w:top w:val="none" w:sz="0" w:space="0" w:color="auto"/>
            <w:left w:val="none" w:sz="0" w:space="0" w:color="auto"/>
            <w:bottom w:val="none" w:sz="0" w:space="0" w:color="auto"/>
            <w:right w:val="none" w:sz="0" w:space="0" w:color="auto"/>
          </w:divBdr>
        </w:div>
        <w:div w:id="310061720">
          <w:marLeft w:val="0"/>
          <w:marRight w:val="0"/>
          <w:marTop w:val="0"/>
          <w:marBottom w:val="0"/>
          <w:divBdr>
            <w:top w:val="none" w:sz="0" w:space="0" w:color="auto"/>
            <w:left w:val="none" w:sz="0" w:space="0" w:color="auto"/>
            <w:bottom w:val="none" w:sz="0" w:space="0" w:color="auto"/>
            <w:right w:val="none" w:sz="0" w:space="0" w:color="auto"/>
          </w:divBdr>
        </w:div>
        <w:div w:id="449520771">
          <w:marLeft w:val="0"/>
          <w:marRight w:val="0"/>
          <w:marTop w:val="0"/>
          <w:marBottom w:val="0"/>
          <w:divBdr>
            <w:top w:val="none" w:sz="0" w:space="0" w:color="auto"/>
            <w:left w:val="none" w:sz="0" w:space="0" w:color="auto"/>
            <w:bottom w:val="none" w:sz="0" w:space="0" w:color="auto"/>
            <w:right w:val="none" w:sz="0" w:space="0" w:color="auto"/>
          </w:divBdr>
        </w:div>
        <w:div w:id="1134563583">
          <w:marLeft w:val="0"/>
          <w:marRight w:val="0"/>
          <w:marTop w:val="0"/>
          <w:marBottom w:val="0"/>
          <w:divBdr>
            <w:top w:val="none" w:sz="0" w:space="0" w:color="auto"/>
            <w:left w:val="none" w:sz="0" w:space="0" w:color="auto"/>
            <w:bottom w:val="none" w:sz="0" w:space="0" w:color="auto"/>
            <w:right w:val="none" w:sz="0" w:space="0" w:color="auto"/>
          </w:divBdr>
        </w:div>
        <w:div w:id="225841889">
          <w:marLeft w:val="0"/>
          <w:marRight w:val="0"/>
          <w:marTop w:val="0"/>
          <w:marBottom w:val="0"/>
          <w:divBdr>
            <w:top w:val="none" w:sz="0" w:space="0" w:color="auto"/>
            <w:left w:val="none" w:sz="0" w:space="0" w:color="auto"/>
            <w:bottom w:val="none" w:sz="0" w:space="0" w:color="auto"/>
            <w:right w:val="none" w:sz="0" w:space="0" w:color="auto"/>
          </w:divBdr>
        </w:div>
        <w:div w:id="1137455620">
          <w:marLeft w:val="0"/>
          <w:marRight w:val="0"/>
          <w:marTop w:val="0"/>
          <w:marBottom w:val="0"/>
          <w:divBdr>
            <w:top w:val="none" w:sz="0" w:space="0" w:color="auto"/>
            <w:left w:val="none" w:sz="0" w:space="0" w:color="auto"/>
            <w:bottom w:val="none" w:sz="0" w:space="0" w:color="auto"/>
            <w:right w:val="none" w:sz="0" w:space="0" w:color="auto"/>
          </w:divBdr>
        </w:div>
        <w:div w:id="1243023912">
          <w:marLeft w:val="0"/>
          <w:marRight w:val="0"/>
          <w:marTop w:val="0"/>
          <w:marBottom w:val="0"/>
          <w:divBdr>
            <w:top w:val="none" w:sz="0" w:space="0" w:color="auto"/>
            <w:left w:val="none" w:sz="0" w:space="0" w:color="auto"/>
            <w:bottom w:val="none" w:sz="0" w:space="0" w:color="auto"/>
            <w:right w:val="none" w:sz="0" w:space="0" w:color="auto"/>
          </w:divBdr>
        </w:div>
        <w:div w:id="491797827">
          <w:marLeft w:val="0"/>
          <w:marRight w:val="0"/>
          <w:marTop w:val="0"/>
          <w:marBottom w:val="0"/>
          <w:divBdr>
            <w:top w:val="none" w:sz="0" w:space="0" w:color="auto"/>
            <w:left w:val="none" w:sz="0" w:space="0" w:color="auto"/>
            <w:bottom w:val="none" w:sz="0" w:space="0" w:color="auto"/>
            <w:right w:val="none" w:sz="0" w:space="0" w:color="auto"/>
          </w:divBdr>
        </w:div>
        <w:div w:id="1047530891">
          <w:marLeft w:val="0"/>
          <w:marRight w:val="0"/>
          <w:marTop w:val="0"/>
          <w:marBottom w:val="0"/>
          <w:divBdr>
            <w:top w:val="none" w:sz="0" w:space="0" w:color="auto"/>
            <w:left w:val="none" w:sz="0" w:space="0" w:color="auto"/>
            <w:bottom w:val="none" w:sz="0" w:space="0" w:color="auto"/>
            <w:right w:val="none" w:sz="0" w:space="0" w:color="auto"/>
          </w:divBdr>
        </w:div>
        <w:div w:id="176309844">
          <w:marLeft w:val="0"/>
          <w:marRight w:val="0"/>
          <w:marTop w:val="0"/>
          <w:marBottom w:val="0"/>
          <w:divBdr>
            <w:top w:val="none" w:sz="0" w:space="0" w:color="auto"/>
            <w:left w:val="none" w:sz="0" w:space="0" w:color="auto"/>
            <w:bottom w:val="none" w:sz="0" w:space="0" w:color="auto"/>
            <w:right w:val="none" w:sz="0" w:space="0" w:color="auto"/>
          </w:divBdr>
        </w:div>
        <w:div w:id="455374517">
          <w:marLeft w:val="0"/>
          <w:marRight w:val="0"/>
          <w:marTop w:val="0"/>
          <w:marBottom w:val="0"/>
          <w:divBdr>
            <w:top w:val="none" w:sz="0" w:space="0" w:color="auto"/>
            <w:left w:val="none" w:sz="0" w:space="0" w:color="auto"/>
            <w:bottom w:val="none" w:sz="0" w:space="0" w:color="auto"/>
            <w:right w:val="none" w:sz="0" w:space="0" w:color="auto"/>
          </w:divBdr>
        </w:div>
        <w:div w:id="502939674">
          <w:marLeft w:val="0"/>
          <w:marRight w:val="0"/>
          <w:marTop w:val="0"/>
          <w:marBottom w:val="0"/>
          <w:divBdr>
            <w:top w:val="none" w:sz="0" w:space="0" w:color="auto"/>
            <w:left w:val="none" w:sz="0" w:space="0" w:color="auto"/>
            <w:bottom w:val="none" w:sz="0" w:space="0" w:color="auto"/>
            <w:right w:val="none" w:sz="0" w:space="0" w:color="auto"/>
          </w:divBdr>
        </w:div>
        <w:div w:id="1223828622">
          <w:marLeft w:val="0"/>
          <w:marRight w:val="0"/>
          <w:marTop w:val="0"/>
          <w:marBottom w:val="0"/>
          <w:divBdr>
            <w:top w:val="none" w:sz="0" w:space="0" w:color="auto"/>
            <w:left w:val="none" w:sz="0" w:space="0" w:color="auto"/>
            <w:bottom w:val="none" w:sz="0" w:space="0" w:color="auto"/>
            <w:right w:val="none" w:sz="0" w:space="0" w:color="auto"/>
          </w:divBdr>
        </w:div>
        <w:div w:id="1719208776">
          <w:marLeft w:val="0"/>
          <w:marRight w:val="0"/>
          <w:marTop w:val="0"/>
          <w:marBottom w:val="0"/>
          <w:divBdr>
            <w:top w:val="none" w:sz="0" w:space="0" w:color="auto"/>
            <w:left w:val="none" w:sz="0" w:space="0" w:color="auto"/>
            <w:bottom w:val="none" w:sz="0" w:space="0" w:color="auto"/>
            <w:right w:val="none" w:sz="0" w:space="0" w:color="auto"/>
          </w:divBdr>
        </w:div>
        <w:div w:id="1208027700">
          <w:marLeft w:val="0"/>
          <w:marRight w:val="0"/>
          <w:marTop w:val="0"/>
          <w:marBottom w:val="0"/>
          <w:divBdr>
            <w:top w:val="none" w:sz="0" w:space="0" w:color="auto"/>
            <w:left w:val="none" w:sz="0" w:space="0" w:color="auto"/>
            <w:bottom w:val="none" w:sz="0" w:space="0" w:color="auto"/>
            <w:right w:val="none" w:sz="0" w:space="0" w:color="auto"/>
          </w:divBdr>
        </w:div>
        <w:div w:id="100271918">
          <w:marLeft w:val="0"/>
          <w:marRight w:val="0"/>
          <w:marTop w:val="0"/>
          <w:marBottom w:val="0"/>
          <w:divBdr>
            <w:top w:val="none" w:sz="0" w:space="0" w:color="auto"/>
            <w:left w:val="none" w:sz="0" w:space="0" w:color="auto"/>
            <w:bottom w:val="none" w:sz="0" w:space="0" w:color="auto"/>
            <w:right w:val="none" w:sz="0" w:space="0" w:color="auto"/>
          </w:divBdr>
        </w:div>
        <w:div w:id="199824735">
          <w:marLeft w:val="0"/>
          <w:marRight w:val="0"/>
          <w:marTop w:val="0"/>
          <w:marBottom w:val="0"/>
          <w:divBdr>
            <w:top w:val="none" w:sz="0" w:space="0" w:color="auto"/>
            <w:left w:val="none" w:sz="0" w:space="0" w:color="auto"/>
            <w:bottom w:val="none" w:sz="0" w:space="0" w:color="auto"/>
            <w:right w:val="none" w:sz="0" w:space="0" w:color="auto"/>
          </w:divBdr>
        </w:div>
        <w:div w:id="2051605598">
          <w:marLeft w:val="0"/>
          <w:marRight w:val="0"/>
          <w:marTop w:val="0"/>
          <w:marBottom w:val="0"/>
          <w:divBdr>
            <w:top w:val="none" w:sz="0" w:space="0" w:color="auto"/>
            <w:left w:val="none" w:sz="0" w:space="0" w:color="auto"/>
            <w:bottom w:val="none" w:sz="0" w:space="0" w:color="auto"/>
            <w:right w:val="none" w:sz="0" w:space="0" w:color="auto"/>
          </w:divBdr>
        </w:div>
        <w:div w:id="31074246">
          <w:marLeft w:val="0"/>
          <w:marRight w:val="0"/>
          <w:marTop w:val="0"/>
          <w:marBottom w:val="0"/>
          <w:divBdr>
            <w:top w:val="none" w:sz="0" w:space="0" w:color="auto"/>
            <w:left w:val="none" w:sz="0" w:space="0" w:color="auto"/>
            <w:bottom w:val="none" w:sz="0" w:space="0" w:color="auto"/>
            <w:right w:val="none" w:sz="0" w:space="0" w:color="auto"/>
          </w:divBdr>
        </w:div>
        <w:div w:id="1874145478">
          <w:marLeft w:val="0"/>
          <w:marRight w:val="0"/>
          <w:marTop w:val="0"/>
          <w:marBottom w:val="0"/>
          <w:divBdr>
            <w:top w:val="none" w:sz="0" w:space="0" w:color="auto"/>
            <w:left w:val="none" w:sz="0" w:space="0" w:color="auto"/>
            <w:bottom w:val="none" w:sz="0" w:space="0" w:color="auto"/>
            <w:right w:val="none" w:sz="0" w:space="0" w:color="auto"/>
          </w:divBdr>
        </w:div>
      </w:divsChild>
    </w:div>
    <w:div w:id="569929098">
      <w:bodyDiv w:val="1"/>
      <w:marLeft w:val="0"/>
      <w:marRight w:val="0"/>
      <w:marTop w:val="0"/>
      <w:marBottom w:val="0"/>
      <w:divBdr>
        <w:top w:val="none" w:sz="0" w:space="0" w:color="auto"/>
        <w:left w:val="none" w:sz="0" w:space="0" w:color="auto"/>
        <w:bottom w:val="none" w:sz="0" w:space="0" w:color="auto"/>
        <w:right w:val="none" w:sz="0" w:space="0" w:color="auto"/>
      </w:divBdr>
      <w:divsChild>
        <w:div w:id="1677147362">
          <w:marLeft w:val="0"/>
          <w:marRight w:val="0"/>
          <w:marTop w:val="0"/>
          <w:marBottom w:val="0"/>
          <w:divBdr>
            <w:top w:val="none" w:sz="0" w:space="0" w:color="auto"/>
            <w:left w:val="none" w:sz="0" w:space="0" w:color="auto"/>
            <w:bottom w:val="none" w:sz="0" w:space="0" w:color="auto"/>
            <w:right w:val="none" w:sz="0" w:space="0" w:color="auto"/>
          </w:divBdr>
        </w:div>
        <w:div w:id="1184124231">
          <w:marLeft w:val="0"/>
          <w:marRight w:val="0"/>
          <w:marTop w:val="0"/>
          <w:marBottom w:val="0"/>
          <w:divBdr>
            <w:top w:val="none" w:sz="0" w:space="0" w:color="auto"/>
            <w:left w:val="none" w:sz="0" w:space="0" w:color="auto"/>
            <w:bottom w:val="none" w:sz="0" w:space="0" w:color="auto"/>
            <w:right w:val="none" w:sz="0" w:space="0" w:color="auto"/>
          </w:divBdr>
        </w:div>
        <w:div w:id="1251548249">
          <w:marLeft w:val="0"/>
          <w:marRight w:val="0"/>
          <w:marTop w:val="0"/>
          <w:marBottom w:val="0"/>
          <w:divBdr>
            <w:top w:val="none" w:sz="0" w:space="0" w:color="auto"/>
            <w:left w:val="none" w:sz="0" w:space="0" w:color="auto"/>
            <w:bottom w:val="none" w:sz="0" w:space="0" w:color="auto"/>
            <w:right w:val="none" w:sz="0" w:space="0" w:color="auto"/>
          </w:divBdr>
        </w:div>
        <w:div w:id="169683017">
          <w:marLeft w:val="0"/>
          <w:marRight w:val="0"/>
          <w:marTop w:val="0"/>
          <w:marBottom w:val="0"/>
          <w:divBdr>
            <w:top w:val="none" w:sz="0" w:space="0" w:color="auto"/>
            <w:left w:val="none" w:sz="0" w:space="0" w:color="auto"/>
            <w:bottom w:val="none" w:sz="0" w:space="0" w:color="auto"/>
            <w:right w:val="none" w:sz="0" w:space="0" w:color="auto"/>
          </w:divBdr>
        </w:div>
        <w:div w:id="2142071524">
          <w:marLeft w:val="0"/>
          <w:marRight w:val="0"/>
          <w:marTop w:val="0"/>
          <w:marBottom w:val="0"/>
          <w:divBdr>
            <w:top w:val="none" w:sz="0" w:space="0" w:color="auto"/>
            <w:left w:val="none" w:sz="0" w:space="0" w:color="auto"/>
            <w:bottom w:val="none" w:sz="0" w:space="0" w:color="auto"/>
            <w:right w:val="none" w:sz="0" w:space="0" w:color="auto"/>
          </w:divBdr>
        </w:div>
        <w:div w:id="1433011425">
          <w:marLeft w:val="0"/>
          <w:marRight w:val="0"/>
          <w:marTop w:val="0"/>
          <w:marBottom w:val="0"/>
          <w:divBdr>
            <w:top w:val="none" w:sz="0" w:space="0" w:color="auto"/>
            <w:left w:val="none" w:sz="0" w:space="0" w:color="auto"/>
            <w:bottom w:val="none" w:sz="0" w:space="0" w:color="auto"/>
            <w:right w:val="none" w:sz="0" w:space="0" w:color="auto"/>
          </w:divBdr>
        </w:div>
        <w:div w:id="586186227">
          <w:marLeft w:val="0"/>
          <w:marRight w:val="0"/>
          <w:marTop w:val="0"/>
          <w:marBottom w:val="0"/>
          <w:divBdr>
            <w:top w:val="none" w:sz="0" w:space="0" w:color="auto"/>
            <w:left w:val="none" w:sz="0" w:space="0" w:color="auto"/>
            <w:bottom w:val="none" w:sz="0" w:space="0" w:color="auto"/>
            <w:right w:val="none" w:sz="0" w:space="0" w:color="auto"/>
          </w:divBdr>
        </w:div>
        <w:div w:id="267274579">
          <w:marLeft w:val="0"/>
          <w:marRight w:val="0"/>
          <w:marTop w:val="0"/>
          <w:marBottom w:val="0"/>
          <w:divBdr>
            <w:top w:val="none" w:sz="0" w:space="0" w:color="auto"/>
            <w:left w:val="none" w:sz="0" w:space="0" w:color="auto"/>
            <w:bottom w:val="none" w:sz="0" w:space="0" w:color="auto"/>
            <w:right w:val="none" w:sz="0" w:space="0" w:color="auto"/>
          </w:divBdr>
        </w:div>
        <w:div w:id="574510914">
          <w:marLeft w:val="0"/>
          <w:marRight w:val="0"/>
          <w:marTop w:val="0"/>
          <w:marBottom w:val="0"/>
          <w:divBdr>
            <w:top w:val="none" w:sz="0" w:space="0" w:color="auto"/>
            <w:left w:val="none" w:sz="0" w:space="0" w:color="auto"/>
            <w:bottom w:val="none" w:sz="0" w:space="0" w:color="auto"/>
            <w:right w:val="none" w:sz="0" w:space="0" w:color="auto"/>
          </w:divBdr>
        </w:div>
        <w:div w:id="453334116">
          <w:marLeft w:val="0"/>
          <w:marRight w:val="0"/>
          <w:marTop w:val="0"/>
          <w:marBottom w:val="0"/>
          <w:divBdr>
            <w:top w:val="none" w:sz="0" w:space="0" w:color="auto"/>
            <w:left w:val="none" w:sz="0" w:space="0" w:color="auto"/>
            <w:bottom w:val="none" w:sz="0" w:space="0" w:color="auto"/>
            <w:right w:val="none" w:sz="0" w:space="0" w:color="auto"/>
          </w:divBdr>
        </w:div>
      </w:divsChild>
    </w:div>
    <w:div w:id="579826799">
      <w:bodyDiv w:val="1"/>
      <w:marLeft w:val="0"/>
      <w:marRight w:val="0"/>
      <w:marTop w:val="0"/>
      <w:marBottom w:val="0"/>
      <w:divBdr>
        <w:top w:val="none" w:sz="0" w:space="0" w:color="auto"/>
        <w:left w:val="none" w:sz="0" w:space="0" w:color="auto"/>
        <w:bottom w:val="none" w:sz="0" w:space="0" w:color="auto"/>
        <w:right w:val="none" w:sz="0" w:space="0" w:color="auto"/>
      </w:divBdr>
      <w:divsChild>
        <w:div w:id="390730998">
          <w:marLeft w:val="0"/>
          <w:marRight w:val="0"/>
          <w:marTop w:val="0"/>
          <w:marBottom w:val="0"/>
          <w:divBdr>
            <w:top w:val="none" w:sz="0" w:space="0" w:color="auto"/>
            <w:left w:val="none" w:sz="0" w:space="0" w:color="auto"/>
            <w:bottom w:val="none" w:sz="0" w:space="0" w:color="auto"/>
            <w:right w:val="none" w:sz="0" w:space="0" w:color="auto"/>
          </w:divBdr>
        </w:div>
        <w:div w:id="789208917">
          <w:marLeft w:val="0"/>
          <w:marRight w:val="0"/>
          <w:marTop w:val="0"/>
          <w:marBottom w:val="0"/>
          <w:divBdr>
            <w:top w:val="none" w:sz="0" w:space="0" w:color="auto"/>
            <w:left w:val="none" w:sz="0" w:space="0" w:color="auto"/>
            <w:bottom w:val="none" w:sz="0" w:space="0" w:color="auto"/>
            <w:right w:val="none" w:sz="0" w:space="0" w:color="auto"/>
          </w:divBdr>
        </w:div>
        <w:div w:id="1871794275">
          <w:marLeft w:val="0"/>
          <w:marRight w:val="0"/>
          <w:marTop w:val="0"/>
          <w:marBottom w:val="0"/>
          <w:divBdr>
            <w:top w:val="none" w:sz="0" w:space="0" w:color="auto"/>
            <w:left w:val="none" w:sz="0" w:space="0" w:color="auto"/>
            <w:bottom w:val="none" w:sz="0" w:space="0" w:color="auto"/>
            <w:right w:val="none" w:sz="0" w:space="0" w:color="auto"/>
          </w:divBdr>
        </w:div>
        <w:div w:id="2016612435">
          <w:marLeft w:val="0"/>
          <w:marRight w:val="0"/>
          <w:marTop w:val="0"/>
          <w:marBottom w:val="0"/>
          <w:divBdr>
            <w:top w:val="none" w:sz="0" w:space="0" w:color="auto"/>
            <w:left w:val="none" w:sz="0" w:space="0" w:color="auto"/>
            <w:bottom w:val="none" w:sz="0" w:space="0" w:color="auto"/>
            <w:right w:val="none" w:sz="0" w:space="0" w:color="auto"/>
          </w:divBdr>
        </w:div>
        <w:div w:id="1292787859">
          <w:marLeft w:val="0"/>
          <w:marRight w:val="0"/>
          <w:marTop w:val="0"/>
          <w:marBottom w:val="0"/>
          <w:divBdr>
            <w:top w:val="none" w:sz="0" w:space="0" w:color="auto"/>
            <w:left w:val="none" w:sz="0" w:space="0" w:color="auto"/>
            <w:bottom w:val="none" w:sz="0" w:space="0" w:color="auto"/>
            <w:right w:val="none" w:sz="0" w:space="0" w:color="auto"/>
          </w:divBdr>
        </w:div>
        <w:div w:id="268776282">
          <w:marLeft w:val="0"/>
          <w:marRight w:val="0"/>
          <w:marTop w:val="0"/>
          <w:marBottom w:val="0"/>
          <w:divBdr>
            <w:top w:val="none" w:sz="0" w:space="0" w:color="auto"/>
            <w:left w:val="none" w:sz="0" w:space="0" w:color="auto"/>
            <w:bottom w:val="none" w:sz="0" w:space="0" w:color="auto"/>
            <w:right w:val="none" w:sz="0" w:space="0" w:color="auto"/>
          </w:divBdr>
        </w:div>
      </w:divsChild>
    </w:div>
    <w:div w:id="589893149">
      <w:bodyDiv w:val="1"/>
      <w:marLeft w:val="0"/>
      <w:marRight w:val="0"/>
      <w:marTop w:val="0"/>
      <w:marBottom w:val="0"/>
      <w:divBdr>
        <w:top w:val="none" w:sz="0" w:space="0" w:color="auto"/>
        <w:left w:val="none" w:sz="0" w:space="0" w:color="auto"/>
        <w:bottom w:val="none" w:sz="0" w:space="0" w:color="auto"/>
        <w:right w:val="none" w:sz="0" w:space="0" w:color="auto"/>
      </w:divBdr>
      <w:divsChild>
        <w:div w:id="376708949">
          <w:marLeft w:val="0"/>
          <w:marRight w:val="0"/>
          <w:marTop w:val="0"/>
          <w:marBottom w:val="0"/>
          <w:divBdr>
            <w:top w:val="none" w:sz="0" w:space="0" w:color="auto"/>
            <w:left w:val="none" w:sz="0" w:space="0" w:color="auto"/>
            <w:bottom w:val="none" w:sz="0" w:space="0" w:color="auto"/>
            <w:right w:val="none" w:sz="0" w:space="0" w:color="auto"/>
          </w:divBdr>
        </w:div>
        <w:div w:id="383799611">
          <w:marLeft w:val="0"/>
          <w:marRight w:val="0"/>
          <w:marTop w:val="0"/>
          <w:marBottom w:val="0"/>
          <w:divBdr>
            <w:top w:val="none" w:sz="0" w:space="0" w:color="auto"/>
            <w:left w:val="none" w:sz="0" w:space="0" w:color="auto"/>
            <w:bottom w:val="none" w:sz="0" w:space="0" w:color="auto"/>
            <w:right w:val="none" w:sz="0" w:space="0" w:color="auto"/>
          </w:divBdr>
        </w:div>
        <w:div w:id="1408959581">
          <w:marLeft w:val="0"/>
          <w:marRight w:val="0"/>
          <w:marTop w:val="0"/>
          <w:marBottom w:val="0"/>
          <w:divBdr>
            <w:top w:val="none" w:sz="0" w:space="0" w:color="auto"/>
            <w:left w:val="none" w:sz="0" w:space="0" w:color="auto"/>
            <w:bottom w:val="none" w:sz="0" w:space="0" w:color="auto"/>
            <w:right w:val="none" w:sz="0" w:space="0" w:color="auto"/>
          </w:divBdr>
        </w:div>
        <w:div w:id="2127000275">
          <w:marLeft w:val="0"/>
          <w:marRight w:val="0"/>
          <w:marTop w:val="0"/>
          <w:marBottom w:val="0"/>
          <w:divBdr>
            <w:top w:val="none" w:sz="0" w:space="0" w:color="auto"/>
            <w:left w:val="none" w:sz="0" w:space="0" w:color="auto"/>
            <w:bottom w:val="none" w:sz="0" w:space="0" w:color="auto"/>
            <w:right w:val="none" w:sz="0" w:space="0" w:color="auto"/>
          </w:divBdr>
        </w:div>
        <w:div w:id="854272171">
          <w:marLeft w:val="0"/>
          <w:marRight w:val="0"/>
          <w:marTop w:val="0"/>
          <w:marBottom w:val="0"/>
          <w:divBdr>
            <w:top w:val="none" w:sz="0" w:space="0" w:color="auto"/>
            <w:left w:val="none" w:sz="0" w:space="0" w:color="auto"/>
            <w:bottom w:val="none" w:sz="0" w:space="0" w:color="auto"/>
            <w:right w:val="none" w:sz="0" w:space="0" w:color="auto"/>
          </w:divBdr>
        </w:div>
        <w:div w:id="722018494">
          <w:marLeft w:val="0"/>
          <w:marRight w:val="0"/>
          <w:marTop w:val="0"/>
          <w:marBottom w:val="0"/>
          <w:divBdr>
            <w:top w:val="none" w:sz="0" w:space="0" w:color="auto"/>
            <w:left w:val="none" w:sz="0" w:space="0" w:color="auto"/>
            <w:bottom w:val="none" w:sz="0" w:space="0" w:color="auto"/>
            <w:right w:val="none" w:sz="0" w:space="0" w:color="auto"/>
          </w:divBdr>
        </w:div>
      </w:divsChild>
    </w:div>
    <w:div w:id="675695001">
      <w:bodyDiv w:val="1"/>
      <w:marLeft w:val="0"/>
      <w:marRight w:val="0"/>
      <w:marTop w:val="0"/>
      <w:marBottom w:val="0"/>
      <w:divBdr>
        <w:top w:val="none" w:sz="0" w:space="0" w:color="auto"/>
        <w:left w:val="none" w:sz="0" w:space="0" w:color="auto"/>
        <w:bottom w:val="none" w:sz="0" w:space="0" w:color="auto"/>
        <w:right w:val="none" w:sz="0" w:space="0" w:color="auto"/>
      </w:divBdr>
      <w:divsChild>
        <w:div w:id="762185713">
          <w:marLeft w:val="0"/>
          <w:marRight w:val="0"/>
          <w:marTop w:val="0"/>
          <w:marBottom w:val="0"/>
          <w:divBdr>
            <w:top w:val="none" w:sz="0" w:space="0" w:color="auto"/>
            <w:left w:val="none" w:sz="0" w:space="0" w:color="auto"/>
            <w:bottom w:val="none" w:sz="0" w:space="0" w:color="auto"/>
            <w:right w:val="none" w:sz="0" w:space="0" w:color="auto"/>
          </w:divBdr>
        </w:div>
        <w:div w:id="1171024863">
          <w:marLeft w:val="0"/>
          <w:marRight w:val="0"/>
          <w:marTop w:val="0"/>
          <w:marBottom w:val="0"/>
          <w:divBdr>
            <w:top w:val="none" w:sz="0" w:space="0" w:color="auto"/>
            <w:left w:val="none" w:sz="0" w:space="0" w:color="auto"/>
            <w:bottom w:val="none" w:sz="0" w:space="0" w:color="auto"/>
            <w:right w:val="none" w:sz="0" w:space="0" w:color="auto"/>
          </w:divBdr>
        </w:div>
        <w:div w:id="60909136">
          <w:marLeft w:val="0"/>
          <w:marRight w:val="0"/>
          <w:marTop w:val="0"/>
          <w:marBottom w:val="0"/>
          <w:divBdr>
            <w:top w:val="none" w:sz="0" w:space="0" w:color="auto"/>
            <w:left w:val="none" w:sz="0" w:space="0" w:color="auto"/>
            <w:bottom w:val="none" w:sz="0" w:space="0" w:color="auto"/>
            <w:right w:val="none" w:sz="0" w:space="0" w:color="auto"/>
          </w:divBdr>
        </w:div>
        <w:div w:id="517307846">
          <w:marLeft w:val="0"/>
          <w:marRight w:val="0"/>
          <w:marTop w:val="0"/>
          <w:marBottom w:val="0"/>
          <w:divBdr>
            <w:top w:val="none" w:sz="0" w:space="0" w:color="auto"/>
            <w:left w:val="none" w:sz="0" w:space="0" w:color="auto"/>
            <w:bottom w:val="none" w:sz="0" w:space="0" w:color="auto"/>
            <w:right w:val="none" w:sz="0" w:space="0" w:color="auto"/>
          </w:divBdr>
        </w:div>
        <w:div w:id="941883757">
          <w:marLeft w:val="0"/>
          <w:marRight w:val="0"/>
          <w:marTop w:val="0"/>
          <w:marBottom w:val="0"/>
          <w:divBdr>
            <w:top w:val="none" w:sz="0" w:space="0" w:color="auto"/>
            <w:left w:val="none" w:sz="0" w:space="0" w:color="auto"/>
            <w:bottom w:val="none" w:sz="0" w:space="0" w:color="auto"/>
            <w:right w:val="none" w:sz="0" w:space="0" w:color="auto"/>
          </w:divBdr>
        </w:div>
      </w:divsChild>
    </w:div>
    <w:div w:id="685250510">
      <w:bodyDiv w:val="1"/>
      <w:marLeft w:val="0"/>
      <w:marRight w:val="0"/>
      <w:marTop w:val="0"/>
      <w:marBottom w:val="0"/>
      <w:divBdr>
        <w:top w:val="none" w:sz="0" w:space="0" w:color="auto"/>
        <w:left w:val="none" w:sz="0" w:space="0" w:color="auto"/>
        <w:bottom w:val="none" w:sz="0" w:space="0" w:color="auto"/>
        <w:right w:val="none" w:sz="0" w:space="0" w:color="auto"/>
      </w:divBdr>
      <w:divsChild>
        <w:div w:id="720978955">
          <w:marLeft w:val="0"/>
          <w:marRight w:val="0"/>
          <w:marTop w:val="0"/>
          <w:marBottom w:val="0"/>
          <w:divBdr>
            <w:top w:val="none" w:sz="0" w:space="0" w:color="auto"/>
            <w:left w:val="none" w:sz="0" w:space="0" w:color="auto"/>
            <w:bottom w:val="none" w:sz="0" w:space="0" w:color="auto"/>
            <w:right w:val="none" w:sz="0" w:space="0" w:color="auto"/>
          </w:divBdr>
        </w:div>
        <w:div w:id="118964243">
          <w:marLeft w:val="0"/>
          <w:marRight w:val="0"/>
          <w:marTop w:val="0"/>
          <w:marBottom w:val="0"/>
          <w:divBdr>
            <w:top w:val="none" w:sz="0" w:space="0" w:color="auto"/>
            <w:left w:val="none" w:sz="0" w:space="0" w:color="auto"/>
            <w:bottom w:val="none" w:sz="0" w:space="0" w:color="auto"/>
            <w:right w:val="none" w:sz="0" w:space="0" w:color="auto"/>
          </w:divBdr>
        </w:div>
        <w:div w:id="601843560">
          <w:marLeft w:val="0"/>
          <w:marRight w:val="0"/>
          <w:marTop w:val="0"/>
          <w:marBottom w:val="0"/>
          <w:divBdr>
            <w:top w:val="none" w:sz="0" w:space="0" w:color="auto"/>
            <w:left w:val="none" w:sz="0" w:space="0" w:color="auto"/>
            <w:bottom w:val="none" w:sz="0" w:space="0" w:color="auto"/>
            <w:right w:val="none" w:sz="0" w:space="0" w:color="auto"/>
          </w:divBdr>
        </w:div>
        <w:div w:id="792213220">
          <w:marLeft w:val="0"/>
          <w:marRight w:val="0"/>
          <w:marTop w:val="0"/>
          <w:marBottom w:val="0"/>
          <w:divBdr>
            <w:top w:val="none" w:sz="0" w:space="0" w:color="auto"/>
            <w:left w:val="none" w:sz="0" w:space="0" w:color="auto"/>
            <w:bottom w:val="none" w:sz="0" w:space="0" w:color="auto"/>
            <w:right w:val="none" w:sz="0" w:space="0" w:color="auto"/>
          </w:divBdr>
        </w:div>
        <w:div w:id="1341738948">
          <w:marLeft w:val="0"/>
          <w:marRight w:val="0"/>
          <w:marTop w:val="0"/>
          <w:marBottom w:val="0"/>
          <w:divBdr>
            <w:top w:val="none" w:sz="0" w:space="0" w:color="auto"/>
            <w:left w:val="none" w:sz="0" w:space="0" w:color="auto"/>
            <w:bottom w:val="none" w:sz="0" w:space="0" w:color="auto"/>
            <w:right w:val="none" w:sz="0" w:space="0" w:color="auto"/>
          </w:divBdr>
        </w:div>
        <w:div w:id="1044863434">
          <w:marLeft w:val="0"/>
          <w:marRight w:val="0"/>
          <w:marTop w:val="0"/>
          <w:marBottom w:val="0"/>
          <w:divBdr>
            <w:top w:val="none" w:sz="0" w:space="0" w:color="auto"/>
            <w:left w:val="none" w:sz="0" w:space="0" w:color="auto"/>
            <w:bottom w:val="none" w:sz="0" w:space="0" w:color="auto"/>
            <w:right w:val="none" w:sz="0" w:space="0" w:color="auto"/>
          </w:divBdr>
        </w:div>
        <w:div w:id="837160699">
          <w:marLeft w:val="0"/>
          <w:marRight w:val="0"/>
          <w:marTop w:val="0"/>
          <w:marBottom w:val="0"/>
          <w:divBdr>
            <w:top w:val="none" w:sz="0" w:space="0" w:color="auto"/>
            <w:left w:val="none" w:sz="0" w:space="0" w:color="auto"/>
            <w:bottom w:val="none" w:sz="0" w:space="0" w:color="auto"/>
            <w:right w:val="none" w:sz="0" w:space="0" w:color="auto"/>
          </w:divBdr>
        </w:div>
        <w:div w:id="914972623">
          <w:marLeft w:val="0"/>
          <w:marRight w:val="0"/>
          <w:marTop w:val="0"/>
          <w:marBottom w:val="0"/>
          <w:divBdr>
            <w:top w:val="none" w:sz="0" w:space="0" w:color="auto"/>
            <w:left w:val="none" w:sz="0" w:space="0" w:color="auto"/>
            <w:bottom w:val="none" w:sz="0" w:space="0" w:color="auto"/>
            <w:right w:val="none" w:sz="0" w:space="0" w:color="auto"/>
          </w:divBdr>
        </w:div>
        <w:div w:id="885607971">
          <w:marLeft w:val="0"/>
          <w:marRight w:val="0"/>
          <w:marTop w:val="0"/>
          <w:marBottom w:val="0"/>
          <w:divBdr>
            <w:top w:val="none" w:sz="0" w:space="0" w:color="auto"/>
            <w:left w:val="none" w:sz="0" w:space="0" w:color="auto"/>
            <w:bottom w:val="none" w:sz="0" w:space="0" w:color="auto"/>
            <w:right w:val="none" w:sz="0" w:space="0" w:color="auto"/>
          </w:divBdr>
        </w:div>
        <w:div w:id="693462127">
          <w:marLeft w:val="0"/>
          <w:marRight w:val="0"/>
          <w:marTop w:val="0"/>
          <w:marBottom w:val="0"/>
          <w:divBdr>
            <w:top w:val="none" w:sz="0" w:space="0" w:color="auto"/>
            <w:left w:val="none" w:sz="0" w:space="0" w:color="auto"/>
            <w:bottom w:val="none" w:sz="0" w:space="0" w:color="auto"/>
            <w:right w:val="none" w:sz="0" w:space="0" w:color="auto"/>
          </w:divBdr>
        </w:div>
        <w:div w:id="725760301">
          <w:marLeft w:val="0"/>
          <w:marRight w:val="0"/>
          <w:marTop w:val="0"/>
          <w:marBottom w:val="0"/>
          <w:divBdr>
            <w:top w:val="none" w:sz="0" w:space="0" w:color="auto"/>
            <w:left w:val="none" w:sz="0" w:space="0" w:color="auto"/>
            <w:bottom w:val="none" w:sz="0" w:space="0" w:color="auto"/>
            <w:right w:val="none" w:sz="0" w:space="0" w:color="auto"/>
          </w:divBdr>
        </w:div>
        <w:div w:id="126701823">
          <w:marLeft w:val="0"/>
          <w:marRight w:val="0"/>
          <w:marTop w:val="0"/>
          <w:marBottom w:val="0"/>
          <w:divBdr>
            <w:top w:val="none" w:sz="0" w:space="0" w:color="auto"/>
            <w:left w:val="none" w:sz="0" w:space="0" w:color="auto"/>
            <w:bottom w:val="none" w:sz="0" w:space="0" w:color="auto"/>
            <w:right w:val="none" w:sz="0" w:space="0" w:color="auto"/>
          </w:divBdr>
        </w:div>
        <w:div w:id="1941450834">
          <w:marLeft w:val="0"/>
          <w:marRight w:val="0"/>
          <w:marTop w:val="0"/>
          <w:marBottom w:val="0"/>
          <w:divBdr>
            <w:top w:val="none" w:sz="0" w:space="0" w:color="auto"/>
            <w:left w:val="none" w:sz="0" w:space="0" w:color="auto"/>
            <w:bottom w:val="none" w:sz="0" w:space="0" w:color="auto"/>
            <w:right w:val="none" w:sz="0" w:space="0" w:color="auto"/>
          </w:divBdr>
        </w:div>
        <w:div w:id="1500464579">
          <w:marLeft w:val="0"/>
          <w:marRight w:val="0"/>
          <w:marTop w:val="0"/>
          <w:marBottom w:val="0"/>
          <w:divBdr>
            <w:top w:val="none" w:sz="0" w:space="0" w:color="auto"/>
            <w:left w:val="none" w:sz="0" w:space="0" w:color="auto"/>
            <w:bottom w:val="none" w:sz="0" w:space="0" w:color="auto"/>
            <w:right w:val="none" w:sz="0" w:space="0" w:color="auto"/>
          </w:divBdr>
        </w:div>
        <w:div w:id="2033921693">
          <w:marLeft w:val="0"/>
          <w:marRight w:val="0"/>
          <w:marTop w:val="0"/>
          <w:marBottom w:val="0"/>
          <w:divBdr>
            <w:top w:val="none" w:sz="0" w:space="0" w:color="auto"/>
            <w:left w:val="none" w:sz="0" w:space="0" w:color="auto"/>
            <w:bottom w:val="none" w:sz="0" w:space="0" w:color="auto"/>
            <w:right w:val="none" w:sz="0" w:space="0" w:color="auto"/>
          </w:divBdr>
        </w:div>
        <w:div w:id="1416710082">
          <w:marLeft w:val="0"/>
          <w:marRight w:val="0"/>
          <w:marTop w:val="0"/>
          <w:marBottom w:val="0"/>
          <w:divBdr>
            <w:top w:val="none" w:sz="0" w:space="0" w:color="auto"/>
            <w:left w:val="none" w:sz="0" w:space="0" w:color="auto"/>
            <w:bottom w:val="none" w:sz="0" w:space="0" w:color="auto"/>
            <w:right w:val="none" w:sz="0" w:space="0" w:color="auto"/>
          </w:divBdr>
        </w:div>
        <w:div w:id="1940019586">
          <w:marLeft w:val="0"/>
          <w:marRight w:val="0"/>
          <w:marTop w:val="0"/>
          <w:marBottom w:val="0"/>
          <w:divBdr>
            <w:top w:val="none" w:sz="0" w:space="0" w:color="auto"/>
            <w:left w:val="none" w:sz="0" w:space="0" w:color="auto"/>
            <w:bottom w:val="none" w:sz="0" w:space="0" w:color="auto"/>
            <w:right w:val="none" w:sz="0" w:space="0" w:color="auto"/>
          </w:divBdr>
        </w:div>
        <w:div w:id="2023818869">
          <w:marLeft w:val="0"/>
          <w:marRight w:val="0"/>
          <w:marTop w:val="0"/>
          <w:marBottom w:val="0"/>
          <w:divBdr>
            <w:top w:val="none" w:sz="0" w:space="0" w:color="auto"/>
            <w:left w:val="none" w:sz="0" w:space="0" w:color="auto"/>
            <w:bottom w:val="none" w:sz="0" w:space="0" w:color="auto"/>
            <w:right w:val="none" w:sz="0" w:space="0" w:color="auto"/>
          </w:divBdr>
        </w:div>
        <w:div w:id="1284578421">
          <w:marLeft w:val="0"/>
          <w:marRight w:val="0"/>
          <w:marTop w:val="0"/>
          <w:marBottom w:val="0"/>
          <w:divBdr>
            <w:top w:val="none" w:sz="0" w:space="0" w:color="auto"/>
            <w:left w:val="none" w:sz="0" w:space="0" w:color="auto"/>
            <w:bottom w:val="none" w:sz="0" w:space="0" w:color="auto"/>
            <w:right w:val="none" w:sz="0" w:space="0" w:color="auto"/>
          </w:divBdr>
        </w:div>
        <w:div w:id="875435491">
          <w:marLeft w:val="0"/>
          <w:marRight w:val="0"/>
          <w:marTop w:val="0"/>
          <w:marBottom w:val="0"/>
          <w:divBdr>
            <w:top w:val="none" w:sz="0" w:space="0" w:color="auto"/>
            <w:left w:val="none" w:sz="0" w:space="0" w:color="auto"/>
            <w:bottom w:val="none" w:sz="0" w:space="0" w:color="auto"/>
            <w:right w:val="none" w:sz="0" w:space="0" w:color="auto"/>
          </w:divBdr>
        </w:div>
      </w:divsChild>
    </w:div>
    <w:div w:id="771166302">
      <w:bodyDiv w:val="1"/>
      <w:marLeft w:val="0"/>
      <w:marRight w:val="0"/>
      <w:marTop w:val="0"/>
      <w:marBottom w:val="0"/>
      <w:divBdr>
        <w:top w:val="none" w:sz="0" w:space="0" w:color="auto"/>
        <w:left w:val="none" w:sz="0" w:space="0" w:color="auto"/>
        <w:bottom w:val="none" w:sz="0" w:space="0" w:color="auto"/>
        <w:right w:val="none" w:sz="0" w:space="0" w:color="auto"/>
      </w:divBdr>
      <w:divsChild>
        <w:div w:id="1247374649">
          <w:marLeft w:val="0"/>
          <w:marRight w:val="0"/>
          <w:marTop w:val="0"/>
          <w:marBottom w:val="0"/>
          <w:divBdr>
            <w:top w:val="none" w:sz="0" w:space="0" w:color="auto"/>
            <w:left w:val="none" w:sz="0" w:space="0" w:color="auto"/>
            <w:bottom w:val="none" w:sz="0" w:space="0" w:color="auto"/>
            <w:right w:val="none" w:sz="0" w:space="0" w:color="auto"/>
          </w:divBdr>
        </w:div>
        <w:div w:id="1147476242">
          <w:marLeft w:val="0"/>
          <w:marRight w:val="0"/>
          <w:marTop w:val="0"/>
          <w:marBottom w:val="0"/>
          <w:divBdr>
            <w:top w:val="none" w:sz="0" w:space="0" w:color="auto"/>
            <w:left w:val="none" w:sz="0" w:space="0" w:color="auto"/>
            <w:bottom w:val="none" w:sz="0" w:space="0" w:color="auto"/>
            <w:right w:val="none" w:sz="0" w:space="0" w:color="auto"/>
          </w:divBdr>
        </w:div>
        <w:div w:id="1321035669">
          <w:marLeft w:val="0"/>
          <w:marRight w:val="0"/>
          <w:marTop w:val="0"/>
          <w:marBottom w:val="0"/>
          <w:divBdr>
            <w:top w:val="none" w:sz="0" w:space="0" w:color="auto"/>
            <w:left w:val="none" w:sz="0" w:space="0" w:color="auto"/>
            <w:bottom w:val="none" w:sz="0" w:space="0" w:color="auto"/>
            <w:right w:val="none" w:sz="0" w:space="0" w:color="auto"/>
          </w:divBdr>
        </w:div>
        <w:div w:id="1437098668">
          <w:marLeft w:val="0"/>
          <w:marRight w:val="0"/>
          <w:marTop w:val="0"/>
          <w:marBottom w:val="0"/>
          <w:divBdr>
            <w:top w:val="none" w:sz="0" w:space="0" w:color="auto"/>
            <w:left w:val="none" w:sz="0" w:space="0" w:color="auto"/>
            <w:bottom w:val="none" w:sz="0" w:space="0" w:color="auto"/>
            <w:right w:val="none" w:sz="0" w:space="0" w:color="auto"/>
          </w:divBdr>
        </w:div>
        <w:div w:id="1975602230">
          <w:marLeft w:val="0"/>
          <w:marRight w:val="0"/>
          <w:marTop w:val="0"/>
          <w:marBottom w:val="0"/>
          <w:divBdr>
            <w:top w:val="none" w:sz="0" w:space="0" w:color="auto"/>
            <w:left w:val="none" w:sz="0" w:space="0" w:color="auto"/>
            <w:bottom w:val="none" w:sz="0" w:space="0" w:color="auto"/>
            <w:right w:val="none" w:sz="0" w:space="0" w:color="auto"/>
          </w:divBdr>
        </w:div>
        <w:div w:id="1255089825">
          <w:marLeft w:val="0"/>
          <w:marRight w:val="0"/>
          <w:marTop w:val="0"/>
          <w:marBottom w:val="0"/>
          <w:divBdr>
            <w:top w:val="none" w:sz="0" w:space="0" w:color="auto"/>
            <w:left w:val="none" w:sz="0" w:space="0" w:color="auto"/>
            <w:bottom w:val="none" w:sz="0" w:space="0" w:color="auto"/>
            <w:right w:val="none" w:sz="0" w:space="0" w:color="auto"/>
          </w:divBdr>
        </w:div>
        <w:div w:id="5258466">
          <w:marLeft w:val="0"/>
          <w:marRight w:val="0"/>
          <w:marTop w:val="0"/>
          <w:marBottom w:val="0"/>
          <w:divBdr>
            <w:top w:val="none" w:sz="0" w:space="0" w:color="auto"/>
            <w:left w:val="none" w:sz="0" w:space="0" w:color="auto"/>
            <w:bottom w:val="none" w:sz="0" w:space="0" w:color="auto"/>
            <w:right w:val="none" w:sz="0" w:space="0" w:color="auto"/>
          </w:divBdr>
        </w:div>
        <w:div w:id="1166282239">
          <w:marLeft w:val="0"/>
          <w:marRight w:val="0"/>
          <w:marTop w:val="0"/>
          <w:marBottom w:val="0"/>
          <w:divBdr>
            <w:top w:val="none" w:sz="0" w:space="0" w:color="auto"/>
            <w:left w:val="none" w:sz="0" w:space="0" w:color="auto"/>
            <w:bottom w:val="none" w:sz="0" w:space="0" w:color="auto"/>
            <w:right w:val="none" w:sz="0" w:space="0" w:color="auto"/>
          </w:divBdr>
        </w:div>
        <w:div w:id="167792659">
          <w:marLeft w:val="0"/>
          <w:marRight w:val="0"/>
          <w:marTop w:val="0"/>
          <w:marBottom w:val="0"/>
          <w:divBdr>
            <w:top w:val="none" w:sz="0" w:space="0" w:color="auto"/>
            <w:left w:val="none" w:sz="0" w:space="0" w:color="auto"/>
            <w:bottom w:val="none" w:sz="0" w:space="0" w:color="auto"/>
            <w:right w:val="none" w:sz="0" w:space="0" w:color="auto"/>
          </w:divBdr>
        </w:div>
        <w:div w:id="247889830">
          <w:marLeft w:val="0"/>
          <w:marRight w:val="0"/>
          <w:marTop w:val="0"/>
          <w:marBottom w:val="0"/>
          <w:divBdr>
            <w:top w:val="none" w:sz="0" w:space="0" w:color="auto"/>
            <w:left w:val="none" w:sz="0" w:space="0" w:color="auto"/>
            <w:bottom w:val="none" w:sz="0" w:space="0" w:color="auto"/>
            <w:right w:val="none" w:sz="0" w:space="0" w:color="auto"/>
          </w:divBdr>
        </w:div>
        <w:div w:id="860701323">
          <w:marLeft w:val="0"/>
          <w:marRight w:val="0"/>
          <w:marTop w:val="0"/>
          <w:marBottom w:val="0"/>
          <w:divBdr>
            <w:top w:val="none" w:sz="0" w:space="0" w:color="auto"/>
            <w:left w:val="none" w:sz="0" w:space="0" w:color="auto"/>
            <w:bottom w:val="none" w:sz="0" w:space="0" w:color="auto"/>
            <w:right w:val="none" w:sz="0" w:space="0" w:color="auto"/>
          </w:divBdr>
        </w:div>
        <w:div w:id="1811357686">
          <w:marLeft w:val="0"/>
          <w:marRight w:val="0"/>
          <w:marTop w:val="0"/>
          <w:marBottom w:val="0"/>
          <w:divBdr>
            <w:top w:val="none" w:sz="0" w:space="0" w:color="auto"/>
            <w:left w:val="none" w:sz="0" w:space="0" w:color="auto"/>
            <w:bottom w:val="none" w:sz="0" w:space="0" w:color="auto"/>
            <w:right w:val="none" w:sz="0" w:space="0" w:color="auto"/>
          </w:divBdr>
        </w:div>
        <w:div w:id="1034841203">
          <w:marLeft w:val="0"/>
          <w:marRight w:val="0"/>
          <w:marTop w:val="0"/>
          <w:marBottom w:val="0"/>
          <w:divBdr>
            <w:top w:val="none" w:sz="0" w:space="0" w:color="auto"/>
            <w:left w:val="none" w:sz="0" w:space="0" w:color="auto"/>
            <w:bottom w:val="none" w:sz="0" w:space="0" w:color="auto"/>
            <w:right w:val="none" w:sz="0" w:space="0" w:color="auto"/>
          </w:divBdr>
        </w:div>
        <w:div w:id="514271877">
          <w:marLeft w:val="0"/>
          <w:marRight w:val="0"/>
          <w:marTop w:val="0"/>
          <w:marBottom w:val="0"/>
          <w:divBdr>
            <w:top w:val="none" w:sz="0" w:space="0" w:color="auto"/>
            <w:left w:val="none" w:sz="0" w:space="0" w:color="auto"/>
            <w:bottom w:val="none" w:sz="0" w:space="0" w:color="auto"/>
            <w:right w:val="none" w:sz="0" w:space="0" w:color="auto"/>
          </w:divBdr>
        </w:div>
        <w:div w:id="1399287600">
          <w:marLeft w:val="0"/>
          <w:marRight w:val="0"/>
          <w:marTop w:val="0"/>
          <w:marBottom w:val="0"/>
          <w:divBdr>
            <w:top w:val="none" w:sz="0" w:space="0" w:color="auto"/>
            <w:left w:val="none" w:sz="0" w:space="0" w:color="auto"/>
            <w:bottom w:val="none" w:sz="0" w:space="0" w:color="auto"/>
            <w:right w:val="none" w:sz="0" w:space="0" w:color="auto"/>
          </w:divBdr>
        </w:div>
        <w:div w:id="746197333">
          <w:marLeft w:val="0"/>
          <w:marRight w:val="0"/>
          <w:marTop w:val="0"/>
          <w:marBottom w:val="0"/>
          <w:divBdr>
            <w:top w:val="none" w:sz="0" w:space="0" w:color="auto"/>
            <w:left w:val="none" w:sz="0" w:space="0" w:color="auto"/>
            <w:bottom w:val="none" w:sz="0" w:space="0" w:color="auto"/>
            <w:right w:val="none" w:sz="0" w:space="0" w:color="auto"/>
          </w:divBdr>
        </w:div>
        <w:div w:id="118883993">
          <w:marLeft w:val="0"/>
          <w:marRight w:val="0"/>
          <w:marTop w:val="0"/>
          <w:marBottom w:val="0"/>
          <w:divBdr>
            <w:top w:val="none" w:sz="0" w:space="0" w:color="auto"/>
            <w:left w:val="none" w:sz="0" w:space="0" w:color="auto"/>
            <w:bottom w:val="none" w:sz="0" w:space="0" w:color="auto"/>
            <w:right w:val="none" w:sz="0" w:space="0" w:color="auto"/>
          </w:divBdr>
        </w:div>
        <w:div w:id="314065682">
          <w:marLeft w:val="0"/>
          <w:marRight w:val="0"/>
          <w:marTop w:val="0"/>
          <w:marBottom w:val="0"/>
          <w:divBdr>
            <w:top w:val="none" w:sz="0" w:space="0" w:color="auto"/>
            <w:left w:val="none" w:sz="0" w:space="0" w:color="auto"/>
            <w:bottom w:val="none" w:sz="0" w:space="0" w:color="auto"/>
            <w:right w:val="none" w:sz="0" w:space="0" w:color="auto"/>
          </w:divBdr>
        </w:div>
        <w:div w:id="476148526">
          <w:marLeft w:val="0"/>
          <w:marRight w:val="0"/>
          <w:marTop w:val="0"/>
          <w:marBottom w:val="0"/>
          <w:divBdr>
            <w:top w:val="none" w:sz="0" w:space="0" w:color="auto"/>
            <w:left w:val="none" w:sz="0" w:space="0" w:color="auto"/>
            <w:bottom w:val="none" w:sz="0" w:space="0" w:color="auto"/>
            <w:right w:val="none" w:sz="0" w:space="0" w:color="auto"/>
          </w:divBdr>
        </w:div>
        <w:div w:id="1644195942">
          <w:marLeft w:val="0"/>
          <w:marRight w:val="0"/>
          <w:marTop w:val="0"/>
          <w:marBottom w:val="0"/>
          <w:divBdr>
            <w:top w:val="none" w:sz="0" w:space="0" w:color="auto"/>
            <w:left w:val="none" w:sz="0" w:space="0" w:color="auto"/>
            <w:bottom w:val="none" w:sz="0" w:space="0" w:color="auto"/>
            <w:right w:val="none" w:sz="0" w:space="0" w:color="auto"/>
          </w:divBdr>
        </w:div>
        <w:div w:id="306738403">
          <w:marLeft w:val="0"/>
          <w:marRight w:val="0"/>
          <w:marTop w:val="0"/>
          <w:marBottom w:val="0"/>
          <w:divBdr>
            <w:top w:val="none" w:sz="0" w:space="0" w:color="auto"/>
            <w:left w:val="none" w:sz="0" w:space="0" w:color="auto"/>
            <w:bottom w:val="none" w:sz="0" w:space="0" w:color="auto"/>
            <w:right w:val="none" w:sz="0" w:space="0" w:color="auto"/>
          </w:divBdr>
        </w:div>
        <w:div w:id="1469084949">
          <w:marLeft w:val="0"/>
          <w:marRight w:val="0"/>
          <w:marTop w:val="0"/>
          <w:marBottom w:val="0"/>
          <w:divBdr>
            <w:top w:val="none" w:sz="0" w:space="0" w:color="auto"/>
            <w:left w:val="none" w:sz="0" w:space="0" w:color="auto"/>
            <w:bottom w:val="none" w:sz="0" w:space="0" w:color="auto"/>
            <w:right w:val="none" w:sz="0" w:space="0" w:color="auto"/>
          </w:divBdr>
        </w:div>
        <w:div w:id="1429152747">
          <w:marLeft w:val="0"/>
          <w:marRight w:val="0"/>
          <w:marTop w:val="0"/>
          <w:marBottom w:val="0"/>
          <w:divBdr>
            <w:top w:val="none" w:sz="0" w:space="0" w:color="auto"/>
            <w:left w:val="none" w:sz="0" w:space="0" w:color="auto"/>
            <w:bottom w:val="none" w:sz="0" w:space="0" w:color="auto"/>
            <w:right w:val="none" w:sz="0" w:space="0" w:color="auto"/>
          </w:divBdr>
        </w:div>
        <w:div w:id="2014911383">
          <w:marLeft w:val="0"/>
          <w:marRight w:val="0"/>
          <w:marTop w:val="0"/>
          <w:marBottom w:val="0"/>
          <w:divBdr>
            <w:top w:val="none" w:sz="0" w:space="0" w:color="auto"/>
            <w:left w:val="none" w:sz="0" w:space="0" w:color="auto"/>
            <w:bottom w:val="none" w:sz="0" w:space="0" w:color="auto"/>
            <w:right w:val="none" w:sz="0" w:space="0" w:color="auto"/>
          </w:divBdr>
        </w:div>
        <w:div w:id="287132316">
          <w:marLeft w:val="0"/>
          <w:marRight w:val="0"/>
          <w:marTop w:val="0"/>
          <w:marBottom w:val="0"/>
          <w:divBdr>
            <w:top w:val="none" w:sz="0" w:space="0" w:color="auto"/>
            <w:left w:val="none" w:sz="0" w:space="0" w:color="auto"/>
            <w:bottom w:val="none" w:sz="0" w:space="0" w:color="auto"/>
            <w:right w:val="none" w:sz="0" w:space="0" w:color="auto"/>
          </w:divBdr>
        </w:div>
        <w:div w:id="1807626349">
          <w:marLeft w:val="0"/>
          <w:marRight w:val="0"/>
          <w:marTop w:val="0"/>
          <w:marBottom w:val="0"/>
          <w:divBdr>
            <w:top w:val="none" w:sz="0" w:space="0" w:color="auto"/>
            <w:left w:val="none" w:sz="0" w:space="0" w:color="auto"/>
            <w:bottom w:val="none" w:sz="0" w:space="0" w:color="auto"/>
            <w:right w:val="none" w:sz="0" w:space="0" w:color="auto"/>
          </w:divBdr>
        </w:div>
        <w:div w:id="1785806479">
          <w:marLeft w:val="0"/>
          <w:marRight w:val="0"/>
          <w:marTop w:val="0"/>
          <w:marBottom w:val="0"/>
          <w:divBdr>
            <w:top w:val="none" w:sz="0" w:space="0" w:color="auto"/>
            <w:left w:val="none" w:sz="0" w:space="0" w:color="auto"/>
            <w:bottom w:val="none" w:sz="0" w:space="0" w:color="auto"/>
            <w:right w:val="none" w:sz="0" w:space="0" w:color="auto"/>
          </w:divBdr>
        </w:div>
        <w:div w:id="105273268">
          <w:marLeft w:val="0"/>
          <w:marRight w:val="0"/>
          <w:marTop w:val="0"/>
          <w:marBottom w:val="0"/>
          <w:divBdr>
            <w:top w:val="none" w:sz="0" w:space="0" w:color="auto"/>
            <w:left w:val="none" w:sz="0" w:space="0" w:color="auto"/>
            <w:bottom w:val="none" w:sz="0" w:space="0" w:color="auto"/>
            <w:right w:val="none" w:sz="0" w:space="0" w:color="auto"/>
          </w:divBdr>
        </w:div>
      </w:divsChild>
    </w:div>
    <w:div w:id="904486931">
      <w:bodyDiv w:val="1"/>
      <w:marLeft w:val="0"/>
      <w:marRight w:val="0"/>
      <w:marTop w:val="0"/>
      <w:marBottom w:val="0"/>
      <w:divBdr>
        <w:top w:val="none" w:sz="0" w:space="0" w:color="auto"/>
        <w:left w:val="none" w:sz="0" w:space="0" w:color="auto"/>
        <w:bottom w:val="none" w:sz="0" w:space="0" w:color="auto"/>
        <w:right w:val="none" w:sz="0" w:space="0" w:color="auto"/>
      </w:divBdr>
      <w:divsChild>
        <w:div w:id="263536662">
          <w:marLeft w:val="0"/>
          <w:marRight w:val="0"/>
          <w:marTop w:val="0"/>
          <w:marBottom w:val="0"/>
          <w:divBdr>
            <w:top w:val="none" w:sz="0" w:space="0" w:color="auto"/>
            <w:left w:val="none" w:sz="0" w:space="0" w:color="auto"/>
            <w:bottom w:val="none" w:sz="0" w:space="0" w:color="auto"/>
            <w:right w:val="none" w:sz="0" w:space="0" w:color="auto"/>
          </w:divBdr>
        </w:div>
        <w:div w:id="934555466">
          <w:marLeft w:val="0"/>
          <w:marRight w:val="0"/>
          <w:marTop w:val="0"/>
          <w:marBottom w:val="0"/>
          <w:divBdr>
            <w:top w:val="none" w:sz="0" w:space="0" w:color="auto"/>
            <w:left w:val="none" w:sz="0" w:space="0" w:color="auto"/>
            <w:bottom w:val="none" w:sz="0" w:space="0" w:color="auto"/>
            <w:right w:val="none" w:sz="0" w:space="0" w:color="auto"/>
          </w:divBdr>
        </w:div>
        <w:div w:id="873345862">
          <w:marLeft w:val="0"/>
          <w:marRight w:val="0"/>
          <w:marTop w:val="0"/>
          <w:marBottom w:val="0"/>
          <w:divBdr>
            <w:top w:val="none" w:sz="0" w:space="0" w:color="auto"/>
            <w:left w:val="none" w:sz="0" w:space="0" w:color="auto"/>
            <w:bottom w:val="none" w:sz="0" w:space="0" w:color="auto"/>
            <w:right w:val="none" w:sz="0" w:space="0" w:color="auto"/>
          </w:divBdr>
        </w:div>
        <w:div w:id="475219502">
          <w:marLeft w:val="0"/>
          <w:marRight w:val="0"/>
          <w:marTop w:val="0"/>
          <w:marBottom w:val="0"/>
          <w:divBdr>
            <w:top w:val="none" w:sz="0" w:space="0" w:color="auto"/>
            <w:left w:val="none" w:sz="0" w:space="0" w:color="auto"/>
            <w:bottom w:val="none" w:sz="0" w:space="0" w:color="auto"/>
            <w:right w:val="none" w:sz="0" w:space="0" w:color="auto"/>
          </w:divBdr>
        </w:div>
        <w:div w:id="1708410356">
          <w:marLeft w:val="0"/>
          <w:marRight w:val="0"/>
          <w:marTop w:val="0"/>
          <w:marBottom w:val="0"/>
          <w:divBdr>
            <w:top w:val="none" w:sz="0" w:space="0" w:color="auto"/>
            <w:left w:val="none" w:sz="0" w:space="0" w:color="auto"/>
            <w:bottom w:val="none" w:sz="0" w:space="0" w:color="auto"/>
            <w:right w:val="none" w:sz="0" w:space="0" w:color="auto"/>
          </w:divBdr>
        </w:div>
        <w:div w:id="844436306">
          <w:marLeft w:val="0"/>
          <w:marRight w:val="0"/>
          <w:marTop w:val="0"/>
          <w:marBottom w:val="0"/>
          <w:divBdr>
            <w:top w:val="none" w:sz="0" w:space="0" w:color="auto"/>
            <w:left w:val="none" w:sz="0" w:space="0" w:color="auto"/>
            <w:bottom w:val="none" w:sz="0" w:space="0" w:color="auto"/>
            <w:right w:val="none" w:sz="0" w:space="0" w:color="auto"/>
          </w:divBdr>
        </w:div>
        <w:div w:id="1220898503">
          <w:marLeft w:val="0"/>
          <w:marRight w:val="0"/>
          <w:marTop w:val="0"/>
          <w:marBottom w:val="0"/>
          <w:divBdr>
            <w:top w:val="none" w:sz="0" w:space="0" w:color="auto"/>
            <w:left w:val="none" w:sz="0" w:space="0" w:color="auto"/>
            <w:bottom w:val="none" w:sz="0" w:space="0" w:color="auto"/>
            <w:right w:val="none" w:sz="0" w:space="0" w:color="auto"/>
          </w:divBdr>
        </w:div>
        <w:div w:id="1684896747">
          <w:marLeft w:val="0"/>
          <w:marRight w:val="0"/>
          <w:marTop w:val="0"/>
          <w:marBottom w:val="0"/>
          <w:divBdr>
            <w:top w:val="none" w:sz="0" w:space="0" w:color="auto"/>
            <w:left w:val="none" w:sz="0" w:space="0" w:color="auto"/>
            <w:bottom w:val="none" w:sz="0" w:space="0" w:color="auto"/>
            <w:right w:val="none" w:sz="0" w:space="0" w:color="auto"/>
          </w:divBdr>
        </w:div>
        <w:div w:id="201331953">
          <w:marLeft w:val="0"/>
          <w:marRight w:val="0"/>
          <w:marTop w:val="0"/>
          <w:marBottom w:val="0"/>
          <w:divBdr>
            <w:top w:val="none" w:sz="0" w:space="0" w:color="auto"/>
            <w:left w:val="none" w:sz="0" w:space="0" w:color="auto"/>
            <w:bottom w:val="none" w:sz="0" w:space="0" w:color="auto"/>
            <w:right w:val="none" w:sz="0" w:space="0" w:color="auto"/>
          </w:divBdr>
        </w:div>
        <w:div w:id="1863741421">
          <w:marLeft w:val="0"/>
          <w:marRight w:val="0"/>
          <w:marTop w:val="0"/>
          <w:marBottom w:val="0"/>
          <w:divBdr>
            <w:top w:val="none" w:sz="0" w:space="0" w:color="auto"/>
            <w:left w:val="none" w:sz="0" w:space="0" w:color="auto"/>
            <w:bottom w:val="none" w:sz="0" w:space="0" w:color="auto"/>
            <w:right w:val="none" w:sz="0" w:space="0" w:color="auto"/>
          </w:divBdr>
        </w:div>
        <w:div w:id="2080706239">
          <w:marLeft w:val="0"/>
          <w:marRight w:val="0"/>
          <w:marTop w:val="0"/>
          <w:marBottom w:val="0"/>
          <w:divBdr>
            <w:top w:val="none" w:sz="0" w:space="0" w:color="auto"/>
            <w:left w:val="none" w:sz="0" w:space="0" w:color="auto"/>
            <w:bottom w:val="none" w:sz="0" w:space="0" w:color="auto"/>
            <w:right w:val="none" w:sz="0" w:space="0" w:color="auto"/>
          </w:divBdr>
        </w:div>
        <w:div w:id="1335840862">
          <w:marLeft w:val="0"/>
          <w:marRight w:val="0"/>
          <w:marTop w:val="0"/>
          <w:marBottom w:val="0"/>
          <w:divBdr>
            <w:top w:val="none" w:sz="0" w:space="0" w:color="auto"/>
            <w:left w:val="none" w:sz="0" w:space="0" w:color="auto"/>
            <w:bottom w:val="none" w:sz="0" w:space="0" w:color="auto"/>
            <w:right w:val="none" w:sz="0" w:space="0" w:color="auto"/>
          </w:divBdr>
        </w:div>
        <w:div w:id="1094739275">
          <w:marLeft w:val="0"/>
          <w:marRight w:val="0"/>
          <w:marTop w:val="0"/>
          <w:marBottom w:val="0"/>
          <w:divBdr>
            <w:top w:val="none" w:sz="0" w:space="0" w:color="auto"/>
            <w:left w:val="none" w:sz="0" w:space="0" w:color="auto"/>
            <w:bottom w:val="none" w:sz="0" w:space="0" w:color="auto"/>
            <w:right w:val="none" w:sz="0" w:space="0" w:color="auto"/>
          </w:divBdr>
        </w:div>
        <w:div w:id="597064352">
          <w:marLeft w:val="0"/>
          <w:marRight w:val="0"/>
          <w:marTop w:val="0"/>
          <w:marBottom w:val="0"/>
          <w:divBdr>
            <w:top w:val="none" w:sz="0" w:space="0" w:color="auto"/>
            <w:left w:val="none" w:sz="0" w:space="0" w:color="auto"/>
            <w:bottom w:val="none" w:sz="0" w:space="0" w:color="auto"/>
            <w:right w:val="none" w:sz="0" w:space="0" w:color="auto"/>
          </w:divBdr>
        </w:div>
        <w:div w:id="124780737">
          <w:marLeft w:val="0"/>
          <w:marRight w:val="0"/>
          <w:marTop w:val="0"/>
          <w:marBottom w:val="0"/>
          <w:divBdr>
            <w:top w:val="none" w:sz="0" w:space="0" w:color="auto"/>
            <w:left w:val="none" w:sz="0" w:space="0" w:color="auto"/>
            <w:bottom w:val="none" w:sz="0" w:space="0" w:color="auto"/>
            <w:right w:val="none" w:sz="0" w:space="0" w:color="auto"/>
          </w:divBdr>
        </w:div>
        <w:div w:id="2143645677">
          <w:marLeft w:val="0"/>
          <w:marRight w:val="0"/>
          <w:marTop w:val="0"/>
          <w:marBottom w:val="0"/>
          <w:divBdr>
            <w:top w:val="none" w:sz="0" w:space="0" w:color="auto"/>
            <w:left w:val="none" w:sz="0" w:space="0" w:color="auto"/>
            <w:bottom w:val="none" w:sz="0" w:space="0" w:color="auto"/>
            <w:right w:val="none" w:sz="0" w:space="0" w:color="auto"/>
          </w:divBdr>
        </w:div>
        <w:div w:id="1949434938">
          <w:marLeft w:val="0"/>
          <w:marRight w:val="0"/>
          <w:marTop w:val="0"/>
          <w:marBottom w:val="0"/>
          <w:divBdr>
            <w:top w:val="none" w:sz="0" w:space="0" w:color="auto"/>
            <w:left w:val="none" w:sz="0" w:space="0" w:color="auto"/>
            <w:bottom w:val="none" w:sz="0" w:space="0" w:color="auto"/>
            <w:right w:val="none" w:sz="0" w:space="0" w:color="auto"/>
          </w:divBdr>
        </w:div>
        <w:div w:id="751894652">
          <w:marLeft w:val="0"/>
          <w:marRight w:val="0"/>
          <w:marTop w:val="0"/>
          <w:marBottom w:val="0"/>
          <w:divBdr>
            <w:top w:val="none" w:sz="0" w:space="0" w:color="auto"/>
            <w:left w:val="none" w:sz="0" w:space="0" w:color="auto"/>
            <w:bottom w:val="none" w:sz="0" w:space="0" w:color="auto"/>
            <w:right w:val="none" w:sz="0" w:space="0" w:color="auto"/>
          </w:divBdr>
        </w:div>
        <w:div w:id="758062830">
          <w:marLeft w:val="0"/>
          <w:marRight w:val="0"/>
          <w:marTop w:val="0"/>
          <w:marBottom w:val="0"/>
          <w:divBdr>
            <w:top w:val="none" w:sz="0" w:space="0" w:color="auto"/>
            <w:left w:val="none" w:sz="0" w:space="0" w:color="auto"/>
            <w:bottom w:val="none" w:sz="0" w:space="0" w:color="auto"/>
            <w:right w:val="none" w:sz="0" w:space="0" w:color="auto"/>
          </w:divBdr>
        </w:div>
        <w:div w:id="745759637">
          <w:marLeft w:val="0"/>
          <w:marRight w:val="0"/>
          <w:marTop w:val="0"/>
          <w:marBottom w:val="0"/>
          <w:divBdr>
            <w:top w:val="none" w:sz="0" w:space="0" w:color="auto"/>
            <w:left w:val="none" w:sz="0" w:space="0" w:color="auto"/>
            <w:bottom w:val="none" w:sz="0" w:space="0" w:color="auto"/>
            <w:right w:val="none" w:sz="0" w:space="0" w:color="auto"/>
          </w:divBdr>
        </w:div>
        <w:div w:id="1670911876">
          <w:marLeft w:val="0"/>
          <w:marRight w:val="0"/>
          <w:marTop w:val="0"/>
          <w:marBottom w:val="0"/>
          <w:divBdr>
            <w:top w:val="none" w:sz="0" w:space="0" w:color="auto"/>
            <w:left w:val="none" w:sz="0" w:space="0" w:color="auto"/>
            <w:bottom w:val="none" w:sz="0" w:space="0" w:color="auto"/>
            <w:right w:val="none" w:sz="0" w:space="0" w:color="auto"/>
          </w:divBdr>
        </w:div>
        <w:div w:id="1029842117">
          <w:marLeft w:val="0"/>
          <w:marRight w:val="0"/>
          <w:marTop w:val="0"/>
          <w:marBottom w:val="0"/>
          <w:divBdr>
            <w:top w:val="none" w:sz="0" w:space="0" w:color="auto"/>
            <w:left w:val="none" w:sz="0" w:space="0" w:color="auto"/>
            <w:bottom w:val="none" w:sz="0" w:space="0" w:color="auto"/>
            <w:right w:val="none" w:sz="0" w:space="0" w:color="auto"/>
          </w:divBdr>
        </w:div>
        <w:div w:id="455677776">
          <w:marLeft w:val="0"/>
          <w:marRight w:val="0"/>
          <w:marTop w:val="0"/>
          <w:marBottom w:val="0"/>
          <w:divBdr>
            <w:top w:val="none" w:sz="0" w:space="0" w:color="auto"/>
            <w:left w:val="none" w:sz="0" w:space="0" w:color="auto"/>
            <w:bottom w:val="none" w:sz="0" w:space="0" w:color="auto"/>
            <w:right w:val="none" w:sz="0" w:space="0" w:color="auto"/>
          </w:divBdr>
        </w:div>
        <w:div w:id="1801150572">
          <w:marLeft w:val="0"/>
          <w:marRight w:val="0"/>
          <w:marTop w:val="0"/>
          <w:marBottom w:val="0"/>
          <w:divBdr>
            <w:top w:val="none" w:sz="0" w:space="0" w:color="auto"/>
            <w:left w:val="none" w:sz="0" w:space="0" w:color="auto"/>
            <w:bottom w:val="none" w:sz="0" w:space="0" w:color="auto"/>
            <w:right w:val="none" w:sz="0" w:space="0" w:color="auto"/>
          </w:divBdr>
        </w:div>
        <w:div w:id="973950196">
          <w:marLeft w:val="0"/>
          <w:marRight w:val="0"/>
          <w:marTop w:val="0"/>
          <w:marBottom w:val="0"/>
          <w:divBdr>
            <w:top w:val="none" w:sz="0" w:space="0" w:color="auto"/>
            <w:left w:val="none" w:sz="0" w:space="0" w:color="auto"/>
            <w:bottom w:val="none" w:sz="0" w:space="0" w:color="auto"/>
            <w:right w:val="none" w:sz="0" w:space="0" w:color="auto"/>
          </w:divBdr>
        </w:div>
        <w:div w:id="1179003528">
          <w:marLeft w:val="0"/>
          <w:marRight w:val="0"/>
          <w:marTop w:val="0"/>
          <w:marBottom w:val="0"/>
          <w:divBdr>
            <w:top w:val="none" w:sz="0" w:space="0" w:color="auto"/>
            <w:left w:val="none" w:sz="0" w:space="0" w:color="auto"/>
            <w:bottom w:val="none" w:sz="0" w:space="0" w:color="auto"/>
            <w:right w:val="none" w:sz="0" w:space="0" w:color="auto"/>
          </w:divBdr>
        </w:div>
      </w:divsChild>
    </w:div>
    <w:div w:id="921572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0214">
          <w:marLeft w:val="0"/>
          <w:marRight w:val="0"/>
          <w:marTop w:val="0"/>
          <w:marBottom w:val="0"/>
          <w:divBdr>
            <w:top w:val="none" w:sz="0" w:space="0" w:color="auto"/>
            <w:left w:val="none" w:sz="0" w:space="0" w:color="auto"/>
            <w:bottom w:val="none" w:sz="0" w:space="0" w:color="auto"/>
            <w:right w:val="none" w:sz="0" w:space="0" w:color="auto"/>
          </w:divBdr>
        </w:div>
        <w:div w:id="1584415348">
          <w:marLeft w:val="0"/>
          <w:marRight w:val="0"/>
          <w:marTop w:val="0"/>
          <w:marBottom w:val="0"/>
          <w:divBdr>
            <w:top w:val="none" w:sz="0" w:space="0" w:color="auto"/>
            <w:left w:val="none" w:sz="0" w:space="0" w:color="auto"/>
            <w:bottom w:val="none" w:sz="0" w:space="0" w:color="auto"/>
            <w:right w:val="none" w:sz="0" w:space="0" w:color="auto"/>
          </w:divBdr>
        </w:div>
        <w:div w:id="2129081662">
          <w:marLeft w:val="0"/>
          <w:marRight w:val="0"/>
          <w:marTop w:val="0"/>
          <w:marBottom w:val="0"/>
          <w:divBdr>
            <w:top w:val="none" w:sz="0" w:space="0" w:color="auto"/>
            <w:left w:val="none" w:sz="0" w:space="0" w:color="auto"/>
            <w:bottom w:val="none" w:sz="0" w:space="0" w:color="auto"/>
            <w:right w:val="none" w:sz="0" w:space="0" w:color="auto"/>
          </w:divBdr>
        </w:div>
        <w:div w:id="683365779">
          <w:marLeft w:val="0"/>
          <w:marRight w:val="0"/>
          <w:marTop w:val="0"/>
          <w:marBottom w:val="0"/>
          <w:divBdr>
            <w:top w:val="none" w:sz="0" w:space="0" w:color="auto"/>
            <w:left w:val="none" w:sz="0" w:space="0" w:color="auto"/>
            <w:bottom w:val="none" w:sz="0" w:space="0" w:color="auto"/>
            <w:right w:val="none" w:sz="0" w:space="0" w:color="auto"/>
          </w:divBdr>
        </w:div>
        <w:div w:id="287860869">
          <w:marLeft w:val="0"/>
          <w:marRight w:val="0"/>
          <w:marTop w:val="0"/>
          <w:marBottom w:val="0"/>
          <w:divBdr>
            <w:top w:val="none" w:sz="0" w:space="0" w:color="auto"/>
            <w:left w:val="none" w:sz="0" w:space="0" w:color="auto"/>
            <w:bottom w:val="none" w:sz="0" w:space="0" w:color="auto"/>
            <w:right w:val="none" w:sz="0" w:space="0" w:color="auto"/>
          </w:divBdr>
        </w:div>
        <w:div w:id="1715422253">
          <w:marLeft w:val="0"/>
          <w:marRight w:val="0"/>
          <w:marTop w:val="0"/>
          <w:marBottom w:val="0"/>
          <w:divBdr>
            <w:top w:val="none" w:sz="0" w:space="0" w:color="auto"/>
            <w:left w:val="none" w:sz="0" w:space="0" w:color="auto"/>
            <w:bottom w:val="none" w:sz="0" w:space="0" w:color="auto"/>
            <w:right w:val="none" w:sz="0" w:space="0" w:color="auto"/>
          </w:divBdr>
        </w:div>
        <w:div w:id="396976136">
          <w:marLeft w:val="0"/>
          <w:marRight w:val="0"/>
          <w:marTop w:val="0"/>
          <w:marBottom w:val="0"/>
          <w:divBdr>
            <w:top w:val="none" w:sz="0" w:space="0" w:color="auto"/>
            <w:left w:val="none" w:sz="0" w:space="0" w:color="auto"/>
            <w:bottom w:val="none" w:sz="0" w:space="0" w:color="auto"/>
            <w:right w:val="none" w:sz="0" w:space="0" w:color="auto"/>
          </w:divBdr>
        </w:div>
        <w:div w:id="872038322">
          <w:marLeft w:val="0"/>
          <w:marRight w:val="0"/>
          <w:marTop w:val="0"/>
          <w:marBottom w:val="0"/>
          <w:divBdr>
            <w:top w:val="none" w:sz="0" w:space="0" w:color="auto"/>
            <w:left w:val="none" w:sz="0" w:space="0" w:color="auto"/>
            <w:bottom w:val="none" w:sz="0" w:space="0" w:color="auto"/>
            <w:right w:val="none" w:sz="0" w:space="0" w:color="auto"/>
          </w:divBdr>
        </w:div>
        <w:div w:id="463932778">
          <w:marLeft w:val="0"/>
          <w:marRight w:val="0"/>
          <w:marTop w:val="0"/>
          <w:marBottom w:val="0"/>
          <w:divBdr>
            <w:top w:val="none" w:sz="0" w:space="0" w:color="auto"/>
            <w:left w:val="none" w:sz="0" w:space="0" w:color="auto"/>
            <w:bottom w:val="none" w:sz="0" w:space="0" w:color="auto"/>
            <w:right w:val="none" w:sz="0" w:space="0" w:color="auto"/>
          </w:divBdr>
        </w:div>
      </w:divsChild>
    </w:div>
    <w:div w:id="946035984">
      <w:bodyDiv w:val="1"/>
      <w:marLeft w:val="0"/>
      <w:marRight w:val="0"/>
      <w:marTop w:val="0"/>
      <w:marBottom w:val="0"/>
      <w:divBdr>
        <w:top w:val="none" w:sz="0" w:space="0" w:color="auto"/>
        <w:left w:val="none" w:sz="0" w:space="0" w:color="auto"/>
        <w:bottom w:val="none" w:sz="0" w:space="0" w:color="auto"/>
        <w:right w:val="none" w:sz="0" w:space="0" w:color="auto"/>
      </w:divBdr>
      <w:divsChild>
        <w:div w:id="1292981233">
          <w:marLeft w:val="0"/>
          <w:marRight w:val="0"/>
          <w:marTop w:val="0"/>
          <w:marBottom w:val="0"/>
          <w:divBdr>
            <w:top w:val="none" w:sz="0" w:space="0" w:color="auto"/>
            <w:left w:val="none" w:sz="0" w:space="0" w:color="auto"/>
            <w:bottom w:val="none" w:sz="0" w:space="0" w:color="auto"/>
            <w:right w:val="none" w:sz="0" w:space="0" w:color="auto"/>
          </w:divBdr>
          <w:divsChild>
            <w:div w:id="1820682553">
              <w:marLeft w:val="0"/>
              <w:marRight w:val="0"/>
              <w:marTop w:val="0"/>
              <w:marBottom w:val="0"/>
              <w:divBdr>
                <w:top w:val="none" w:sz="0" w:space="0" w:color="auto"/>
                <w:left w:val="none" w:sz="0" w:space="0" w:color="auto"/>
                <w:bottom w:val="none" w:sz="0" w:space="0" w:color="auto"/>
                <w:right w:val="none" w:sz="0" w:space="0" w:color="auto"/>
              </w:divBdr>
              <w:divsChild>
                <w:div w:id="1582910449">
                  <w:marLeft w:val="0"/>
                  <w:marRight w:val="0"/>
                  <w:marTop w:val="0"/>
                  <w:marBottom w:val="0"/>
                  <w:divBdr>
                    <w:top w:val="none" w:sz="0" w:space="0" w:color="auto"/>
                    <w:left w:val="none" w:sz="0" w:space="0" w:color="auto"/>
                    <w:bottom w:val="none" w:sz="0" w:space="0" w:color="auto"/>
                    <w:right w:val="none" w:sz="0" w:space="0" w:color="auto"/>
                  </w:divBdr>
                </w:div>
                <w:div w:id="1943537924">
                  <w:marLeft w:val="0"/>
                  <w:marRight w:val="0"/>
                  <w:marTop w:val="0"/>
                  <w:marBottom w:val="0"/>
                  <w:divBdr>
                    <w:top w:val="none" w:sz="0" w:space="0" w:color="auto"/>
                    <w:left w:val="none" w:sz="0" w:space="0" w:color="auto"/>
                    <w:bottom w:val="none" w:sz="0" w:space="0" w:color="auto"/>
                    <w:right w:val="none" w:sz="0" w:space="0" w:color="auto"/>
                  </w:divBdr>
                </w:div>
                <w:div w:id="1561403641">
                  <w:marLeft w:val="0"/>
                  <w:marRight w:val="0"/>
                  <w:marTop w:val="0"/>
                  <w:marBottom w:val="0"/>
                  <w:divBdr>
                    <w:top w:val="none" w:sz="0" w:space="0" w:color="auto"/>
                    <w:left w:val="none" w:sz="0" w:space="0" w:color="auto"/>
                    <w:bottom w:val="none" w:sz="0" w:space="0" w:color="auto"/>
                    <w:right w:val="none" w:sz="0" w:space="0" w:color="auto"/>
                  </w:divBdr>
                </w:div>
                <w:div w:id="2125340468">
                  <w:marLeft w:val="0"/>
                  <w:marRight w:val="0"/>
                  <w:marTop w:val="0"/>
                  <w:marBottom w:val="0"/>
                  <w:divBdr>
                    <w:top w:val="none" w:sz="0" w:space="0" w:color="auto"/>
                    <w:left w:val="none" w:sz="0" w:space="0" w:color="auto"/>
                    <w:bottom w:val="none" w:sz="0" w:space="0" w:color="auto"/>
                    <w:right w:val="none" w:sz="0" w:space="0" w:color="auto"/>
                  </w:divBdr>
                </w:div>
                <w:div w:id="4291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2337">
          <w:marLeft w:val="0"/>
          <w:marRight w:val="0"/>
          <w:marTop w:val="0"/>
          <w:marBottom w:val="0"/>
          <w:divBdr>
            <w:top w:val="none" w:sz="0" w:space="0" w:color="auto"/>
            <w:left w:val="none" w:sz="0" w:space="0" w:color="auto"/>
            <w:bottom w:val="none" w:sz="0" w:space="0" w:color="auto"/>
            <w:right w:val="none" w:sz="0" w:space="0" w:color="auto"/>
          </w:divBdr>
        </w:div>
        <w:div w:id="1238827009">
          <w:marLeft w:val="0"/>
          <w:marRight w:val="0"/>
          <w:marTop w:val="0"/>
          <w:marBottom w:val="0"/>
          <w:divBdr>
            <w:top w:val="none" w:sz="0" w:space="0" w:color="auto"/>
            <w:left w:val="none" w:sz="0" w:space="0" w:color="auto"/>
            <w:bottom w:val="none" w:sz="0" w:space="0" w:color="auto"/>
            <w:right w:val="none" w:sz="0" w:space="0" w:color="auto"/>
          </w:divBdr>
        </w:div>
        <w:div w:id="786506597">
          <w:marLeft w:val="0"/>
          <w:marRight w:val="0"/>
          <w:marTop w:val="0"/>
          <w:marBottom w:val="0"/>
          <w:divBdr>
            <w:top w:val="none" w:sz="0" w:space="0" w:color="auto"/>
            <w:left w:val="none" w:sz="0" w:space="0" w:color="auto"/>
            <w:bottom w:val="none" w:sz="0" w:space="0" w:color="auto"/>
            <w:right w:val="none" w:sz="0" w:space="0" w:color="auto"/>
          </w:divBdr>
        </w:div>
        <w:div w:id="1645549848">
          <w:marLeft w:val="0"/>
          <w:marRight w:val="0"/>
          <w:marTop w:val="0"/>
          <w:marBottom w:val="0"/>
          <w:divBdr>
            <w:top w:val="none" w:sz="0" w:space="0" w:color="auto"/>
            <w:left w:val="none" w:sz="0" w:space="0" w:color="auto"/>
            <w:bottom w:val="none" w:sz="0" w:space="0" w:color="auto"/>
            <w:right w:val="none" w:sz="0" w:space="0" w:color="auto"/>
          </w:divBdr>
        </w:div>
        <w:div w:id="1146438877">
          <w:marLeft w:val="0"/>
          <w:marRight w:val="0"/>
          <w:marTop w:val="0"/>
          <w:marBottom w:val="0"/>
          <w:divBdr>
            <w:top w:val="none" w:sz="0" w:space="0" w:color="auto"/>
            <w:left w:val="none" w:sz="0" w:space="0" w:color="auto"/>
            <w:bottom w:val="none" w:sz="0" w:space="0" w:color="auto"/>
            <w:right w:val="none" w:sz="0" w:space="0" w:color="auto"/>
          </w:divBdr>
        </w:div>
        <w:div w:id="29231992">
          <w:marLeft w:val="0"/>
          <w:marRight w:val="0"/>
          <w:marTop w:val="0"/>
          <w:marBottom w:val="0"/>
          <w:divBdr>
            <w:top w:val="none" w:sz="0" w:space="0" w:color="auto"/>
            <w:left w:val="none" w:sz="0" w:space="0" w:color="auto"/>
            <w:bottom w:val="none" w:sz="0" w:space="0" w:color="auto"/>
            <w:right w:val="none" w:sz="0" w:space="0" w:color="auto"/>
          </w:divBdr>
        </w:div>
        <w:div w:id="2076735112">
          <w:marLeft w:val="0"/>
          <w:marRight w:val="0"/>
          <w:marTop w:val="0"/>
          <w:marBottom w:val="0"/>
          <w:divBdr>
            <w:top w:val="none" w:sz="0" w:space="0" w:color="auto"/>
            <w:left w:val="none" w:sz="0" w:space="0" w:color="auto"/>
            <w:bottom w:val="none" w:sz="0" w:space="0" w:color="auto"/>
            <w:right w:val="none" w:sz="0" w:space="0" w:color="auto"/>
          </w:divBdr>
        </w:div>
        <w:div w:id="1798180253">
          <w:marLeft w:val="0"/>
          <w:marRight w:val="0"/>
          <w:marTop w:val="0"/>
          <w:marBottom w:val="0"/>
          <w:divBdr>
            <w:top w:val="none" w:sz="0" w:space="0" w:color="auto"/>
            <w:left w:val="none" w:sz="0" w:space="0" w:color="auto"/>
            <w:bottom w:val="none" w:sz="0" w:space="0" w:color="auto"/>
            <w:right w:val="none" w:sz="0" w:space="0" w:color="auto"/>
          </w:divBdr>
        </w:div>
        <w:div w:id="1540583106">
          <w:marLeft w:val="0"/>
          <w:marRight w:val="0"/>
          <w:marTop w:val="0"/>
          <w:marBottom w:val="0"/>
          <w:divBdr>
            <w:top w:val="none" w:sz="0" w:space="0" w:color="auto"/>
            <w:left w:val="none" w:sz="0" w:space="0" w:color="auto"/>
            <w:bottom w:val="none" w:sz="0" w:space="0" w:color="auto"/>
            <w:right w:val="none" w:sz="0" w:space="0" w:color="auto"/>
          </w:divBdr>
        </w:div>
        <w:div w:id="716780469">
          <w:marLeft w:val="0"/>
          <w:marRight w:val="0"/>
          <w:marTop w:val="0"/>
          <w:marBottom w:val="0"/>
          <w:divBdr>
            <w:top w:val="none" w:sz="0" w:space="0" w:color="auto"/>
            <w:left w:val="none" w:sz="0" w:space="0" w:color="auto"/>
            <w:bottom w:val="none" w:sz="0" w:space="0" w:color="auto"/>
            <w:right w:val="none" w:sz="0" w:space="0" w:color="auto"/>
          </w:divBdr>
        </w:div>
        <w:div w:id="1267998858">
          <w:marLeft w:val="0"/>
          <w:marRight w:val="0"/>
          <w:marTop w:val="0"/>
          <w:marBottom w:val="0"/>
          <w:divBdr>
            <w:top w:val="none" w:sz="0" w:space="0" w:color="auto"/>
            <w:left w:val="none" w:sz="0" w:space="0" w:color="auto"/>
            <w:bottom w:val="none" w:sz="0" w:space="0" w:color="auto"/>
            <w:right w:val="none" w:sz="0" w:space="0" w:color="auto"/>
          </w:divBdr>
        </w:div>
        <w:div w:id="1401250002">
          <w:marLeft w:val="0"/>
          <w:marRight w:val="0"/>
          <w:marTop w:val="0"/>
          <w:marBottom w:val="0"/>
          <w:divBdr>
            <w:top w:val="none" w:sz="0" w:space="0" w:color="auto"/>
            <w:left w:val="none" w:sz="0" w:space="0" w:color="auto"/>
            <w:bottom w:val="none" w:sz="0" w:space="0" w:color="auto"/>
            <w:right w:val="none" w:sz="0" w:space="0" w:color="auto"/>
          </w:divBdr>
        </w:div>
        <w:div w:id="1888644836">
          <w:marLeft w:val="0"/>
          <w:marRight w:val="0"/>
          <w:marTop w:val="0"/>
          <w:marBottom w:val="0"/>
          <w:divBdr>
            <w:top w:val="none" w:sz="0" w:space="0" w:color="auto"/>
            <w:left w:val="none" w:sz="0" w:space="0" w:color="auto"/>
            <w:bottom w:val="none" w:sz="0" w:space="0" w:color="auto"/>
            <w:right w:val="none" w:sz="0" w:space="0" w:color="auto"/>
          </w:divBdr>
        </w:div>
        <w:div w:id="1141729309">
          <w:marLeft w:val="0"/>
          <w:marRight w:val="0"/>
          <w:marTop w:val="0"/>
          <w:marBottom w:val="0"/>
          <w:divBdr>
            <w:top w:val="none" w:sz="0" w:space="0" w:color="auto"/>
            <w:left w:val="none" w:sz="0" w:space="0" w:color="auto"/>
            <w:bottom w:val="none" w:sz="0" w:space="0" w:color="auto"/>
            <w:right w:val="none" w:sz="0" w:space="0" w:color="auto"/>
          </w:divBdr>
        </w:div>
        <w:div w:id="1389645178">
          <w:marLeft w:val="0"/>
          <w:marRight w:val="0"/>
          <w:marTop w:val="0"/>
          <w:marBottom w:val="0"/>
          <w:divBdr>
            <w:top w:val="none" w:sz="0" w:space="0" w:color="auto"/>
            <w:left w:val="none" w:sz="0" w:space="0" w:color="auto"/>
            <w:bottom w:val="none" w:sz="0" w:space="0" w:color="auto"/>
            <w:right w:val="none" w:sz="0" w:space="0" w:color="auto"/>
          </w:divBdr>
        </w:div>
        <w:div w:id="1532067305">
          <w:marLeft w:val="0"/>
          <w:marRight w:val="0"/>
          <w:marTop w:val="0"/>
          <w:marBottom w:val="0"/>
          <w:divBdr>
            <w:top w:val="none" w:sz="0" w:space="0" w:color="auto"/>
            <w:left w:val="none" w:sz="0" w:space="0" w:color="auto"/>
            <w:bottom w:val="none" w:sz="0" w:space="0" w:color="auto"/>
            <w:right w:val="none" w:sz="0" w:space="0" w:color="auto"/>
          </w:divBdr>
        </w:div>
        <w:div w:id="242187361">
          <w:marLeft w:val="0"/>
          <w:marRight w:val="0"/>
          <w:marTop w:val="0"/>
          <w:marBottom w:val="0"/>
          <w:divBdr>
            <w:top w:val="none" w:sz="0" w:space="0" w:color="auto"/>
            <w:left w:val="none" w:sz="0" w:space="0" w:color="auto"/>
            <w:bottom w:val="none" w:sz="0" w:space="0" w:color="auto"/>
            <w:right w:val="none" w:sz="0" w:space="0" w:color="auto"/>
          </w:divBdr>
        </w:div>
        <w:div w:id="927075898">
          <w:marLeft w:val="0"/>
          <w:marRight w:val="0"/>
          <w:marTop w:val="0"/>
          <w:marBottom w:val="0"/>
          <w:divBdr>
            <w:top w:val="none" w:sz="0" w:space="0" w:color="auto"/>
            <w:left w:val="none" w:sz="0" w:space="0" w:color="auto"/>
            <w:bottom w:val="none" w:sz="0" w:space="0" w:color="auto"/>
            <w:right w:val="none" w:sz="0" w:space="0" w:color="auto"/>
          </w:divBdr>
        </w:div>
        <w:div w:id="1101729750">
          <w:marLeft w:val="0"/>
          <w:marRight w:val="0"/>
          <w:marTop w:val="0"/>
          <w:marBottom w:val="0"/>
          <w:divBdr>
            <w:top w:val="none" w:sz="0" w:space="0" w:color="auto"/>
            <w:left w:val="none" w:sz="0" w:space="0" w:color="auto"/>
            <w:bottom w:val="none" w:sz="0" w:space="0" w:color="auto"/>
            <w:right w:val="none" w:sz="0" w:space="0" w:color="auto"/>
          </w:divBdr>
        </w:div>
        <w:div w:id="406344946">
          <w:marLeft w:val="0"/>
          <w:marRight w:val="0"/>
          <w:marTop w:val="0"/>
          <w:marBottom w:val="0"/>
          <w:divBdr>
            <w:top w:val="none" w:sz="0" w:space="0" w:color="auto"/>
            <w:left w:val="none" w:sz="0" w:space="0" w:color="auto"/>
            <w:bottom w:val="none" w:sz="0" w:space="0" w:color="auto"/>
            <w:right w:val="none" w:sz="0" w:space="0" w:color="auto"/>
          </w:divBdr>
        </w:div>
        <w:div w:id="1572278663">
          <w:marLeft w:val="0"/>
          <w:marRight w:val="0"/>
          <w:marTop w:val="0"/>
          <w:marBottom w:val="0"/>
          <w:divBdr>
            <w:top w:val="none" w:sz="0" w:space="0" w:color="auto"/>
            <w:left w:val="none" w:sz="0" w:space="0" w:color="auto"/>
            <w:bottom w:val="none" w:sz="0" w:space="0" w:color="auto"/>
            <w:right w:val="none" w:sz="0" w:space="0" w:color="auto"/>
          </w:divBdr>
        </w:div>
        <w:div w:id="84959916">
          <w:marLeft w:val="0"/>
          <w:marRight w:val="0"/>
          <w:marTop w:val="0"/>
          <w:marBottom w:val="0"/>
          <w:divBdr>
            <w:top w:val="none" w:sz="0" w:space="0" w:color="auto"/>
            <w:left w:val="none" w:sz="0" w:space="0" w:color="auto"/>
            <w:bottom w:val="none" w:sz="0" w:space="0" w:color="auto"/>
            <w:right w:val="none" w:sz="0" w:space="0" w:color="auto"/>
          </w:divBdr>
        </w:div>
        <w:div w:id="137458000">
          <w:marLeft w:val="0"/>
          <w:marRight w:val="0"/>
          <w:marTop w:val="0"/>
          <w:marBottom w:val="0"/>
          <w:divBdr>
            <w:top w:val="none" w:sz="0" w:space="0" w:color="auto"/>
            <w:left w:val="none" w:sz="0" w:space="0" w:color="auto"/>
            <w:bottom w:val="none" w:sz="0" w:space="0" w:color="auto"/>
            <w:right w:val="none" w:sz="0" w:space="0" w:color="auto"/>
          </w:divBdr>
        </w:div>
      </w:divsChild>
    </w:div>
    <w:div w:id="1002851530">
      <w:bodyDiv w:val="1"/>
      <w:marLeft w:val="0"/>
      <w:marRight w:val="0"/>
      <w:marTop w:val="0"/>
      <w:marBottom w:val="0"/>
      <w:divBdr>
        <w:top w:val="none" w:sz="0" w:space="0" w:color="auto"/>
        <w:left w:val="none" w:sz="0" w:space="0" w:color="auto"/>
        <w:bottom w:val="none" w:sz="0" w:space="0" w:color="auto"/>
        <w:right w:val="none" w:sz="0" w:space="0" w:color="auto"/>
      </w:divBdr>
      <w:divsChild>
        <w:div w:id="1630279484">
          <w:marLeft w:val="0"/>
          <w:marRight w:val="0"/>
          <w:marTop w:val="0"/>
          <w:marBottom w:val="0"/>
          <w:divBdr>
            <w:top w:val="none" w:sz="0" w:space="0" w:color="auto"/>
            <w:left w:val="none" w:sz="0" w:space="0" w:color="auto"/>
            <w:bottom w:val="none" w:sz="0" w:space="0" w:color="auto"/>
            <w:right w:val="none" w:sz="0" w:space="0" w:color="auto"/>
          </w:divBdr>
        </w:div>
        <w:div w:id="1935630977">
          <w:marLeft w:val="0"/>
          <w:marRight w:val="0"/>
          <w:marTop w:val="0"/>
          <w:marBottom w:val="0"/>
          <w:divBdr>
            <w:top w:val="none" w:sz="0" w:space="0" w:color="auto"/>
            <w:left w:val="none" w:sz="0" w:space="0" w:color="auto"/>
            <w:bottom w:val="none" w:sz="0" w:space="0" w:color="auto"/>
            <w:right w:val="none" w:sz="0" w:space="0" w:color="auto"/>
          </w:divBdr>
        </w:div>
        <w:div w:id="328867153">
          <w:marLeft w:val="0"/>
          <w:marRight w:val="0"/>
          <w:marTop w:val="0"/>
          <w:marBottom w:val="0"/>
          <w:divBdr>
            <w:top w:val="none" w:sz="0" w:space="0" w:color="auto"/>
            <w:left w:val="none" w:sz="0" w:space="0" w:color="auto"/>
            <w:bottom w:val="none" w:sz="0" w:space="0" w:color="auto"/>
            <w:right w:val="none" w:sz="0" w:space="0" w:color="auto"/>
          </w:divBdr>
        </w:div>
        <w:div w:id="919294904">
          <w:marLeft w:val="0"/>
          <w:marRight w:val="0"/>
          <w:marTop w:val="0"/>
          <w:marBottom w:val="0"/>
          <w:divBdr>
            <w:top w:val="none" w:sz="0" w:space="0" w:color="auto"/>
            <w:left w:val="none" w:sz="0" w:space="0" w:color="auto"/>
            <w:bottom w:val="none" w:sz="0" w:space="0" w:color="auto"/>
            <w:right w:val="none" w:sz="0" w:space="0" w:color="auto"/>
          </w:divBdr>
        </w:div>
        <w:div w:id="1249080412">
          <w:marLeft w:val="0"/>
          <w:marRight w:val="0"/>
          <w:marTop w:val="0"/>
          <w:marBottom w:val="0"/>
          <w:divBdr>
            <w:top w:val="none" w:sz="0" w:space="0" w:color="auto"/>
            <w:left w:val="none" w:sz="0" w:space="0" w:color="auto"/>
            <w:bottom w:val="none" w:sz="0" w:space="0" w:color="auto"/>
            <w:right w:val="none" w:sz="0" w:space="0" w:color="auto"/>
          </w:divBdr>
        </w:div>
        <w:div w:id="461308919">
          <w:marLeft w:val="0"/>
          <w:marRight w:val="0"/>
          <w:marTop w:val="0"/>
          <w:marBottom w:val="0"/>
          <w:divBdr>
            <w:top w:val="none" w:sz="0" w:space="0" w:color="auto"/>
            <w:left w:val="none" w:sz="0" w:space="0" w:color="auto"/>
            <w:bottom w:val="none" w:sz="0" w:space="0" w:color="auto"/>
            <w:right w:val="none" w:sz="0" w:space="0" w:color="auto"/>
          </w:divBdr>
        </w:div>
        <w:div w:id="397898806">
          <w:marLeft w:val="0"/>
          <w:marRight w:val="0"/>
          <w:marTop w:val="0"/>
          <w:marBottom w:val="0"/>
          <w:divBdr>
            <w:top w:val="none" w:sz="0" w:space="0" w:color="auto"/>
            <w:left w:val="none" w:sz="0" w:space="0" w:color="auto"/>
            <w:bottom w:val="none" w:sz="0" w:space="0" w:color="auto"/>
            <w:right w:val="none" w:sz="0" w:space="0" w:color="auto"/>
          </w:divBdr>
        </w:div>
        <w:div w:id="1407919318">
          <w:marLeft w:val="0"/>
          <w:marRight w:val="0"/>
          <w:marTop w:val="0"/>
          <w:marBottom w:val="0"/>
          <w:divBdr>
            <w:top w:val="none" w:sz="0" w:space="0" w:color="auto"/>
            <w:left w:val="none" w:sz="0" w:space="0" w:color="auto"/>
            <w:bottom w:val="none" w:sz="0" w:space="0" w:color="auto"/>
            <w:right w:val="none" w:sz="0" w:space="0" w:color="auto"/>
          </w:divBdr>
        </w:div>
        <w:div w:id="852375610">
          <w:marLeft w:val="0"/>
          <w:marRight w:val="0"/>
          <w:marTop w:val="0"/>
          <w:marBottom w:val="0"/>
          <w:divBdr>
            <w:top w:val="none" w:sz="0" w:space="0" w:color="auto"/>
            <w:left w:val="none" w:sz="0" w:space="0" w:color="auto"/>
            <w:bottom w:val="none" w:sz="0" w:space="0" w:color="auto"/>
            <w:right w:val="none" w:sz="0" w:space="0" w:color="auto"/>
          </w:divBdr>
        </w:div>
        <w:div w:id="678045836">
          <w:marLeft w:val="0"/>
          <w:marRight w:val="0"/>
          <w:marTop w:val="0"/>
          <w:marBottom w:val="0"/>
          <w:divBdr>
            <w:top w:val="none" w:sz="0" w:space="0" w:color="auto"/>
            <w:left w:val="none" w:sz="0" w:space="0" w:color="auto"/>
            <w:bottom w:val="none" w:sz="0" w:space="0" w:color="auto"/>
            <w:right w:val="none" w:sz="0" w:space="0" w:color="auto"/>
          </w:divBdr>
        </w:div>
        <w:div w:id="208953155">
          <w:marLeft w:val="0"/>
          <w:marRight w:val="0"/>
          <w:marTop w:val="0"/>
          <w:marBottom w:val="0"/>
          <w:divBdr>
            <w:top w:val="none" w:sz="0" w:space="0" w:color="auto"/>
            <w:left w:val="none" w:sz="0" w:space="0" w:color="auto"/>
            <w:bottom w:val="none" w:sz="0" w:space="0" w:color="auto"/>
            <w:right w:val="none" w:sz="0" w:space="0" w:color="auto"/>
          </w:divBdr>
        </w:div>
        <w:div w:id="637611286">
          <w:marLeft w:val="0"/>
          <w:marRight w:val="0"/>
          <w:marTop w:val="0"/>
          <w:marBottom w:val="0"/>
          <w:divBdr>
            <w:top w:val="none" w:sz="0" w:space="0" w:color="auto"/>
            <w:left w:val="none" w:sz="0" w:space="0" w:color="auto"/>
            <w:bottom w:val="none" w:sz="0" w:space="0" w:color="auto"/>
            <w:right w:val="none" w:sz="0" w:space="0" w:color="auto"/>
          </w:divBdr>
        </w:div>
        <w:div w:id="904536851">
          <w:marLeft w:val="0"/>
          <w:marRight w:val="0"/>
          <w:marTop w:val="0"/>
          <w:marBottom w:val="0"/>
          <w:divBdr>
            <w:top w:val="none" w:sz="0" w:space="0" w:color="auto"/>
            <w:left w:val="none" w:sz="0" w:space="0" w:color="auto"/>
            <w:bottom w:val="none" w:sz="0" w:space="0" w:color="auto"/>
            <w:right w:val="none" w:sz="0" w:space="0" w:color="auto"/>
          </w:divBdr>
        </w:div>
        <w:div w:id="278876516">
          <w:marLeft w:val="0"/>
          <w:marRight w:val="0"/>
          <w:marTop w:val="0"/>
          <w:marBottom w:val="0"/>
          <w:divBdr>
            <w:top w:val="none" w:sz="0" w:space="0" w:color="auto"/>
            <w:left w:val="none" w:sz="0" w:space="0" w:color="auto"/>
            <w:bottom w:val="none" w:sz="0" w:space="0" w:color="auto"/>
            <w:right w:val="none" w:sz="0" w:space="0" w:color="auto"/>
          </w:divBdr>
        </w:div>
        <w:div w:id="129128371">
          <w:marLeft w:val="0"/>
          <w:marRight w:val="0"/>
          <w:marTop w:val="0"/>
          <w:marBottom w:val="0"/>
          <w:divBdr>
            <w:top w:val="none" w:sz="0" w:space="0" w:color="auto"/>
            <w:left w:val="none" w:sz="0" w:space="0" w:color="auto"/>
            <w:bottom w:val="none" w:sz="0" w:space="0" w:color="auto"/>
            <w:right w:val="none" w:sz="0" w:space="0" w:color="auto"/>
          </w:divBdr>
        </w:div>
        <w:div w:id="244724977">
          <w:marLeft w:val="0"/>
          <w:marRight w:val="0"/>
          <w:marTop w:val="0"/>
          <w:marBottom w:val="0"/>
          <w:divBdr>
            <w:top w:val="none" w:sz="0" w:space="0" w:color="auto"/>
            <w:left w:val="none" w:sz="0" w:space="0" w:color="auto"/>
            <w:bottom w:val="none" w:sz="0" w:space="0" w:color="auto"/>
            <w:right w:val="none" w:sz="0" w:space="0" w:color="auto"/>
          </w:divBdr>
        </w:div>
        <w:div w:id="744692079">
          <w:marLeft w:val="0"/>
          <w:marRight w:val="0"/>
          <w:marTop w:val="0"/>
          <w:marBottom w:val="0"/>
          <w:divBdr>
            <w:top w:val="none" w:sz="0" w:space="0" w:color="auto"/>
            <w:left w:val="none" w:sz="0" w:space="0" w:color="auto"/>
            <w:bottom w:val="none" w:sz="0" w:space="0" w:color="auto"/>
            <w:right w:val="none" w:sz="0" w:space="0" w:color="auto"/>
          </w:divBdr>
        </w:div>
        <w:div w:id="1055351619">
          <w:marLeft w:val="0"/>
          <w:marRight w:val="0"/>
          <w:marTop w:val="0"/>
          <w:marBottom w:val="0"/>
          <w:divBdr>
            <w:top w:val="none" w:sz="0" w:space="0" w:color="auto"/>
            <w:left w:val="none" w:sz="0" w:space="0" w:color="auto"/>
            <w:bottom w:val="none" w:sz="0" w:space="0" w:color="auto"/>
            <w:right w:val="none" w:sz="0" w:space="0" w:color="auto"/>
          </w:divBdr>
        </w:div>
        <w:div w:id="760493529">
          <w:marLeft w:val="0"/>
          <w:marRight w:val="0"/>
          <w:marTop w:val="0"/>
          <w:marBottom w:val="0"/>
          <w:divBdr>
            <w:top w:val="none" w:sz="0" w:space="0" w:color="auto"/>
            <w:left w:val="none" w:sz="0" w:space="0" w:color="auto"/>
            <w:bottom w:val="none" w:sz="0" w:space="0" w:color="auto"/>
            <w:right w:val="none" w:sz="0" w:space="0" w:color="auto"/>
          </w:divBdr>
        </w:div>
        <w:div w:id="1544901884">
          <w:marLeft w:val="0"/>
          <w:marRight w:val="0"/>
          <w:marTop w:val="0"/>
          <w:marBottom w:val="0"/>
          <w:divBdr>
            <w:top w:val="none" w:sz="0" w:space="0" w:color="auto"/>
            <w:left w:val="none" w:sz="0" w:space="0" w:color="auto"/>
            <w:bottom w:val="none" w:sz="0" w:space="0" w:color="auto"/>
            <w:right w:val="none" w:sz="0" w:space="0" w:color="auto"/>
          </w:divBdr>
        </w:div>
        <w:div w:id="1604454514">
          <w:marLeft w:val="0"/>
          <w:marRight w:val="0"/>
          <w:marTop w:val="0"/>
          <w:marBottom w:val="0"/>
          <w:divBdr>
            <w:top w:val="none" w:sz="0" w:space="0" w:color="auto"/>
            <w:left w:val="none" w:sz="0" w:space="0" w:color="auto"/>
            <w:bottom w:val="none" w:sz="0" w:space="0" w:color="auto"/>
            <w:right w:val="none" w:sz="0" w:space="0" w:color="auto"/>
          </w:divBdr>
        </w:div>
        <w:div w:id="197619780">
          <w:marLeft w:val="0"/>
          <w:marRight w:val="0"/>
          <w:marTop w:val="0"/>
          <w:marBottom w:val="0"/>
          <w:divBdr>
            <w:top w:val="none" w:sz="0" w:space="0" w:color="auto"/>
            <w:left w:val="none" w:sz="0" w:space="0" w:color="auto"/>
            <w:bottom w:val="none" w:sz="0" w:space="0" w:color="auto"/>
            <w:right w:val="none" w:sz="0" w:space="0" w:color="auto"/>
          </w:divBdr>
        </w:div>
        <w:div w:id="472022126">
          <w:marLeft w:val="0"/>
          <w:marRight w:val="0"/>
          <w:marTop w:val="0"/>
          <w:marBottom w:val="0"/>
          <w:divBdr>
            <w:top w:val="none" w:sz="0" w:space="0" w:color="auto"/>
            <w:left w:val="none" w:sz="0" w:space="0" w:color="auto"/>
            <w:bottom w:val="none" w:sz="0" w:space="0" w:color="auto"/>
            <w:right w:val="none" w:sz="0" w:space="0" w:color="auto"/>
          </w:divBdr>
        </w:div>
        <w:div w:id="1010370831">
          <w:marLeft w:val="0"/>
          <w:marRight w:val="0"/>
          <w:marTop w:val="0"/>
          <w:marBottom w:val="0"/>
          <w:divBdr>
            <w:top w:val="none" w:sz="0" w:space="0" w:color="auto"/>
            <w:left w:val="none" w:sz="0" w:space="0" w:color="auto"/>
            <w:bottom w:val="none" w:sz="0" w:space="0" w:color="auto"/>
            <w:right w:val="none" w:sz="0" w:space="0" w:color="auto"/>
          </w:divBdr>
        </w:div>
        <w:div w:id="281612861">
          <w:marLeft w:val="0"/>
          <w:marRight w:val="0"/>
          <w:marTop w:val="0"/>
          <w:marBottom w:val="0"/>
          <w:divBdr>
            <w:top w:val="none" w:sz="0" w:space="0" w:color="auto"/>
            <w:left w:val="none" w:sz="0" w:space="0" w:color="auto"/>
            <w:bottom w:val="none" w:sz="0" w:space="0" w:color="auto"/>
            <w:right w:val="none" w:sz="0" w:space="0" w:color="auto"/>
          </w:divBdr>
        </w:div>
        <w:div w:id="710038715">
          <w:marLeft w:val="0"/>
          <w:marRight w:val="0"/>
          <w:marTop w:val="0"/>
          <w:marBottom w:val="0"/>
          <w:divBdr>
            <w:top w:val="none" w:sz="0" w:space="0" w:color="auto"/>
            <w:left w:val="none" w:sz="0" w:space="0" w:color="auto"/>
            <w:bottom w:val="none" w:sz="0" w:space="0" w:color="auto"/>
            <w:right w:val="none" w:sz="0" w:space="0" w:color="auto"/>
          </w:divBdr>
        </w:div>
      </w:divsChild>
    </w:div>
    <w:div w:id="1310327084">
      <w:bodyDiv w:val="1"/>
      <w:marLeft w:val="0"/>
      <w:marRight w:val="0"/>
      <w:marTop w:val="0"/>
      <w:marBottom w:val="0"/>
      <w:divBdr>
        <w:top w:val="none" w:sz="0" w:space="0" w:color="auto"/>
        <w:left w:val="none" w:sz="0" w:space="0" w:color="auto"/>
        <w:bottom w:val="none" w:sz="0" w:space="0" w:color="auto"/>
        <w:right w:val="none" w:sz="0" w:space="0" w:color="auto"/>
      </w:divBdr>
      <w:divsChild>
        <w:div w:id="513808861">
          <w:marLeft w:val="0"/>
          <w:marRight w:val="0"/>
          <w:marTop w:val="0"/>
          <w:marBottom w:val="0"/>
          <w:divBdr>
            <w:top w:val="none" w:sz="0" w:space="0" w:color="auto"/>
            <w:left w:val="none" w:sz="0" w:space="0" w:color="auto"/>
            <w:bottom w:val="none" w:sz="0" w:space="0" w:color="auto"/>
            <w:right w:val="none" w:sz="0" w:space="0" w:color="auto"/>
          </w:divBdr>
        </w:div>
        <w:div w:id="1050151646">
          <w:marLeft w:val="0"/>
          <w:marRight w:val="0"/>
          <w:marTop w:val="0"/>
          <w:marBottom w:val="0"/>
          <w:divBdr>
            <w:top w:val="none" w:sz="0" w:space="0" w:color="auto"/>
            <w:left w:val="none" w:sz="0" w:space="0" w:color="auto"/>
            <w:bottom w:val="none" w:sz="0" w:space="0" w:color="auto"/>
            <w:right w:val="none" w:sz="0" w:space="0" w:color="auto"/>
          </w:divBdr>
        </w:div>
        <w:div w:id="1817140017">
          <w:marLeft w:val="0"/>
          <w:marRight w:val="0"/>
          <w:marTop w:val="0"/>
          <w:marBottom w:val="0"/>
          <w:divBdr>
            <w:top w:val="none" w:sz="0" w:space="0" w:color="auto"/>
            <w:left w:val="none" w:sz="0" w:space="0" w:color="auto"/>
            <w:bottom w:val="none" w:sz="0" w:space="0" w:color="auto"/>
            <w:right w:val="none" w:sz="0" w:space="0" w:color="auto"/>
          </w:divBdr>
        </w:div>
        <w:div w:id="348799359">
          <w:marLeft w:val="0"/>
          <w:marRight w:val="0"/>
          <w:marTop w:val="0"/>
          <w:marBottom w:val="0"/>
          <w:divBdr>
            <w:top w:val="none" w:sz="0" w:space="0" w:color="auto"/>
            <w:left w:val="none" w:sz="0" w:space="0" w:color="auto"/>
            <w:bottom w:val="none" w:sz="0" w:space="0" w:color="auto"/>
            <w:right w:val="none" w:sz="0" w:space="0" w:color="auto"/>
          </w:divBdr>
        </w:div>
        <w:div w:id="870924755">
          <w:marLeft w:val="0"/>
          <w:marRight w:val="0"/>
          <w:marTop w:val="0"/>
          <w:marBottom w:val="0"/>
          <w:divBdr>
            <w:top w:val="none" w:sz="0" w:space="0" w:color="auto"/>
            <w:left w:val="none" w:sz="0" w:space="0" w:color="auto"/>
            <w:bottom w:val="none" w:sz="0" w:space="0" w:color="auto"/>
            <w:right w:val="none" w:sz="0" w:space="0" w:color="auto"/>
          </w:divBdr>
        </w:div>
      </w:divsChild>
    </w:div>
    <w:div w:id="1333222087">
      <w:bodyDiv w:val="1"/>
      <w:marLeft w:val="0"/>
      <w:marRight w:val="0"/>
      <w:marTop w:val="0"/>
      <w:marBottom w:val="0"/>
      <w:divBdr>
        <w:top w:val="none" w:sz="0" w:space="0" w:color="auto"/>
        <w:left w:val="none" w:sz="0" w:space="0" w:color="auto"/>
        <w:bottom w:val="none" w:sz="0" w:space="0" w:color="auto"/>
        <w:right w:val="none" w:sz="0" w:space="0" w:color="auto"/>
      </w:divBdr>
      <w:divsChild>
        <w:div w:id="1981180099">
          <w:marLeft w:val="0"/>
          <w:marRight w:val="0"/>
          <w:marTop w:val="0"/>
          <w:marBottom w:val="0"/>
          <w:divBdr>
            <w:top w:val="none" w:sz="0" w:space="0" w:color="auto"/>
            <w:left w:val="none" w:sz="0" w:space="0" w:color="auto"/>
            <w:bottom w:val="none" w:sz="0" w:space="0" w:color="auto"/>
            <w:right w:val="none" w:sz="0" w:space="0" w:color="auto"/>
          </w:divBdr>
        </w:div>
        <w:div w:id="415906321">
          <w:marLeft w:val="0"/>
          <w:marRight w:val="0"/>
          <w:marTop w:val="0"/>
          <w:marBottom w:val="0"/>
          <w:divBdr>
            <w:top w:val="none" w:sz="0" w:space="0" w:color="auto"/>
            <w:left w:val="none" w:sz="0" w:space="0" w:color="auto"/>
            <w:bottom w:val="none" w:sz="0" w:space="0" w:color="auto"/>
            <w:right w:val="none" w:sz="0" w:space="0" w:color="auto"/>
          </w:divBdr>
        </w:div>
        <w:div w:id="985817115">
          <w:marLeft w:val="0"/>
          <w:marRight w:val="0"/>
          <w:marTop w:val="0"/>
          <w:marBottom w:val="0"/>
          <w:divBdr>
            <w:top w:val="none" w:sz="0" w:space="0" w:color="auto"/>
            <w:left w:val="none" w:sz="0" w:space="0" w:color="auto"/>
            <w:bottom w:val="none" w:sz="0" w:space="0" w:color="auto"/>
            <w:right w:val="none" w:sz="0" w:space="0" w:color="auto"/>
          </w:divBdr>
        </w:div>
        <w:div w:id="2138326866">
          <w:marLeft w:val="0"/>
          <w:marRight w:val="0"/>
          <w:marTop w:val="0"/>
          <w:marBottom w:val="0"/>
          <w:divBdr>
            <w:top w:val="none" w:sz="0" w:space="0" w:color="auto"/>
            <w:left w:val="none" w:sz="0" w:space="0" w:color="auto"/>
            <w:bottom w:val="none" w:sz="0" w:space="0" w:color="auto"/>
            <w:right w:val="none" w:sz="0" w:space="0" w:color="auto"/>
          </w:divBdr>
        </w:div>
        <w:div w:id="1021055756">
          <w:marLeft w:val="0"/>
          <w:marRight w:val="0"/>
          <w:marTop w:val="0"/>
          <w:marBottom w:val="0"/>
          <w:divBdr>
            <w:top w:val="none" w:sz="0" w:space="0" w:color="auto"/>
            <w:left w:val="none" w:sz="0" w:space="0" w:color="auto"/>
            <w:bottom w:val="none" w:sz="0" w:space="0" w:color="auto"/>
            <w:right w:val="none" w:sz="0" w:space="0" w:color="auto"/>
          </w:divBdr>
        </w:div>
      </w:divsChild>
    </w:div>
    <w:div w:id="1340231719">
      <w:bodyDiv w:val="1"/>
      <w:marLeft w:val="0"/>
      <w:marRight w:val="0"/>
      <w:marTop w:val="0"/>
      <w:marBottom w:val="0"/>
      <w:divBdr>
        <w:top w:val="none" w:sz="0" w:space="0" w:color="auto"/>
        <w:left w:val="none" w:sz="0" w:space="0" w:color="auto"/>
        <w:bottom w:val="none" w:sz="0" w:space="0" w:color="auto"/>
        <w:right w:val="none" w:sz="0" w:space="0" w:color="auto"/>
      </w:divBdr>
      <w:divsChild>
        <w:div w:id="272834019">
          <w:marLeft w:val="0"/>
          <w:marRight w:val="0"/>
          <w:marTop w:val="0"/>
          <w:marBottom w:val="0"/>
          <w:divBdr>
            <w:top w:val="none" w:sz="0" w:space="0" w:color="auto"/>
            <w:left w:val="none" w:sz="0" w:space="0" w:color="auto"/>
            <w:bottom w:val="none" w:sz="0" w:space="0" w:color="auto"/>
            <w:right w:val="none" w:sz="0" w:space="0" w:color="auto"/>
          </w:divBdr>
        </w:div>
        <w:div w:id="396904600">
          <w:marLeft w:val="0"/>
          <w:marRight w:val="0"/>
          <w:marTop w:val="0"/>
          <w:marBottom w:val="0"/>
          <w:divBdr>
            <w:top w:val="none" w:sz="0" w:space="0" w:color="auto"/>
            <w:left w:val="none" w:sz="0" w:space="0" w:color="auto"/>
            <w:bottom w:val="none" w:sz="0" w:space="0" w:color="auto"/>
            <w:right w:val="none" w:sz="0" w:space="0" w:color="auto"/>
          </w:divBdr>
        </w:div>
        <w:div w:id="137501941">
          <w:marLeft w:val="0"/>
          <w:marRight w:val="0"/>
          <w:marTop w:val="0"/>
          <w:marBottom w:val="0"/>
          <w:divBdr>
            <w:top w:val="none" w:sz="0" w:space="0" w:color="auto"/>
            <w:left w:val="none" w:sz="0" w:space="0" w:color="auto"/>
            <w:bottom w:val="none" w:sz="0" w:space="0" w:color="auto"/>
            <w:right w:val="none" w:sz="0" w:space="0" w:color="auto"/>
          </w:divBdr>
        </w:div>
        <w:div w:id="1627812849">
          <w:marLeft w:val="0"/>
          <w:marRight w:val="0"/>
          <w:marTop w:val="0"/>
          <w:marBottom w:val="0"/>
          <w:divBdr>
            <w:top w:val="none" w:sz="0" w:space="0" w:color="auto"/>
            <w:left w:val="none" w:sz="0" w:space="0" w:color="auto"/>
            <w:bottom w:val="none" w:sz="0" w:space="0" w:color="auto"/>
            <w:right w:val="none" w:sz="0" w:space="0" w:color="auto"/>
          </w:divBdr>
        </w:div>
        <w:div w:id="2088305960">
          <w:marLeft w:val="0"/>
          <w:marRight w:val="0"/>
          <w:marTop w:val="0"/>
          <w:marBottom w:val="0"/>
          <w:divBdr>
            <w:top w:val="none" w:sz="0" w:space="0" w:color="auto"/>
            <w:left w:val="none" w:sz="0" w:space="0" w:color="auto"/>
            <w:bottom w:val="none" w:sz="0" w:space="0" w:color="auto"/>
            <w:right w:val="none" w:sz="0" w:space="0" w:color="auto"/>
          </w:divBdr>
        </w:div>
      </w:divsChild>
    </w:div>
    <w:div w:id="1365868416">
      <w:bodyDiv w:val="1"/>
      <w:marLeft w:val="0"/>
      <w:marRight w:val="0"/>
      <w:marTop w:val="0"/>
      <w:marBottom w:val="0"/>
      <w:divBdr>
        <w:top w:val="none" w:sz="0" w:space="0" w:color="auto"/>
        <w:left w:val="none" w:sz="0" w:space="0" w:color="auto"/>
        <w:bottom w:val="none" w:sz="0" w:space="0" w:color="auto"/>
        <w:right w:val="none" w:sz="0" w:space="0" w:color="auto"/>
      </w:divBdr>
      <w:divsChild>
        <w:div w:id="1099717814">
          <w:marLeft w:val="0"/>
          <w:marRight w:val="0"/>
          <w:marTop w:val="0"/>
          <w:marBottom w:val="0"/>
          <w:divBdr>
            <w:top w:val="none" w:sz="0" w:space="0" w:color="auto"/>
            <w:left w:val="none" w:sz="0" w:space="0" w:color="auto"/>
            <w:bottom w:val="none" w:sz="0" w:space="0" w:color="auto"/>
            <w:right w:val="none" w:sz="0" w:space="0" w:color="auto"/>
          </w:divBdr>
          <w:divsChild>
            <w:div w:id="347608417">
              <w:marLeft w:val="0"/>
              <w:marRight w:val="0"/>
              <w:marTop w:val="0"/>
              <w:marBottom w:val="0"/>
              <w:divBdr>
                <w:top w:val="none" w:sz="0" w:space="0" w:color="auto"/>
                <w:left w:val="none" w:sz="0" w:space="0" w:color="auto"/>
                <w:bottom w:val="none" w:sz="0" w:space="0" w:color="auto"/>
                <w:right w:val="none" w:sz="0" w:space="0" w:color="auto"/>
              </w:divBdr>
              <w:divsChild>
                <w:div w:id="2018730197">
                  <w:marLeft w:val="0"/>
                  <w:marRight w:val="0"/>
                  <w:marTop w:val="0"/>
                  <w:marBottom w:val="0"/>
                  <w:divBdr>
                    <w:top w:val="none" w:sz="0" w:space="0" w:color="auto"/>
                    <w:left w:val="none" w:sz="0" w:space="0" w:color="auto"/>
                    <w:bottom w:val="none" w:sz="0" w:space="0" w:color="auto"/>
                    <w:right w:val="none" w:sz="0" w:space="0" w:color="auto"/>
                  </w:divBdr>
                </w:div>
                <w:div w:id="1776247276">
                  <w:marLeft w:val="0"/>
                  <w:marRight w:val="0"/>
                  <w:marTop w:val="0"/>
                  <w:marBottom w:val="0"/>
                  <w:divBdr>
                    <w:top w:val="none" w:sz="0" w:space="0" w:color="auto"/>
                    <w:left w:val="none" w:sz="0" w:space="0" w:color="auto"/>
                    <w:bottom w:val="none" w:sz="0" w:space="0" w:color="auto"/>
                    <w:right w:val="none" w:sz="0" w:space="0" w:color="auto"/>
                  </w:divBdr>
                </w:div>
                <w:div w:id="929892811">
                  <w:marLeft w:val="0"/>
                  <w:marRight w:val="0"/>
                  <w:marTop w:val="0"/>
                  <w:marBottom w:val="0"/>
                  <w:divBdr>
                    <w:top w:val="none" w:sz="0" w:space="0" w:color="auto"/>
                    <w:left w:val="none" w:sz="0" w:space="0" w:color="auto"/>
                    <w:bottom w:val="none" w:sz="0" w:space="0" w:color="auto"/>
                    <w:right w:val="none" w:sz="0" w:space="0" w:color="auto"/>
                  </w:divBdr>
                </w:div>
                <w:div w:id="1006902029">
                  <w:marLeft w:val="0"/>
                  <w:marRight w:val="0"/>
                  <w:marTop w:val="0"/>
                  <w:marBottom w:val="0"/>
                  <w:divBdr>
                    <w:top w:val="none" w:sz="0" w:space="0" w:color="auto"/>
                    <w:left w:val="none" w:sz="0" w:space="0" w:color="auto"/>
                    <w:bottom w:val="none" w:sz="0" w:space="0" w:color="auto"/>
                    <w:right w:val="none" w:sz="0" w:space="0" w:color="auto"/>
                  </w:divBdr>
                </w:div>
                <w:div w:id="1195775723">
                  <w:marLeft w:val="0"/>
                  <w:marRight w:val="0"/>
                  <w:marTop w:val="0"/>
                  <w:marBottom w:val="0"/>
                  <w:divBdr>
                    <w:top w:val="none" w:sz="0" w:space="0" w:color="auto"/>
                    <w:left w:val="none" w:sz="0" w:space="0" w:color="auto"/>
                    <w:bottom w:val="none" w:sz="0" w:space="0" w:color="auto"/>
                    <w:right w:val="none" w:sz="0" w:space="0" w:color="auto"/>
                  </w:divBdr>
                </w:div>
                <w:div w:id="1302153579">
                  <w:marLeft w:val="0"/>
                  <w:marRight w:val="0"/>
                  <w:marTop w:val="0"/>
                  <w:marBottom w:val="0"/>
                  <w:divBdr>
                    <w:top w:val="none" w:sz="0" w:space="0" w:color="auto"/>
                    <w:left w:val="none" w:sz="0" w:space="0" w:color="auto"/>
                    <w:bottom w:val="none" w:sz="0" w:space="0" w:color="auto"/>
                    <w:right w:val="none" w:sz="0" w:space="0" w:color="auto"/>
                  </w:divBdr>
                </w:div>
                <w:div w:id="698776124">
                  <w:marLeft w:val="0"/>
                  <w:marRight w:val="0"/>
                  <w:marTop w:val="0"/>
                  <w:marBottom w:val="0"/>
                  <w:divBdr>
                    <w:top w:val="none" w:sz="0" w:space="0" w:color="auto"/>
                    <w:left w:val="none" w:sz="0" w:space="0" w:color="auto"/>
                    <w:bottom w:val="none" w:sz="0" w:space="0" w:color="auto"/>
                    <w:right w:val="none" w:sz="0" w:space="0" w:color="auto"/>
                  </w:divBdr>
                </w:div>
                <w:div w:id="72049724">
                  <w:marLeft w:val="0"/>
                  <w:marRight w:val="0"/>
                  <w:marTop w:val="0"/>
                  <w:marBottom w:val="0"/>
                  <w:divBdr>
                    <w:top w:val="none" w:sz="0" w:space="0" w:color="auto"/>
                    <w:left w:val="none" w:sz="0" w:space="0" w:color="auto"/>
                    <w:bottom w:val="none" w:sz="0" w:space="0" w:color="auto"/>
                    <w:right w:val="none" w:sz="0" w:space="0" w:color="auto"/>
                  </w:divBdr>
                </w:div>
                <w:div w:id="20852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79464">
      <w:bodyDiv w:val="1"/>
      <w:marLeft w:val="0"/>
      <w:marRight w:val="0"/>
      <w:marTop w:val="0"/>
      <w:marBottom w:val="0"/>
      <w:divBdr>
        <w:top w:val="none" w:sz="0" w:space="0" w:color="auto"/>
        <w:left w:val="none" w:sz="0" w:space="0" w:color="auto"/>
        <w:bottom w:val="none" w:sz="0" w:space="0" w:color="auto"/>
        <w:right w:val="none" w:sz="0" w:space="0" w:color="auto"/>
      </w:divBdr>
      <w:divsChild>
        <w:div w:id="1271204415">
          <w:marLeft w:val="0"/>
          <w:marRight w:val="0"/>
          <w:marTop w:val="0"/>
          <w:marBottom w:val="0"/>
          <w:divBdr>
            <w:top w:val="none" w:sz="0" w:space="0" w:color="auto"/>
            <w:left w:val="none" w:sz="0" w:space="0" w:color="auto"/>
            <w:bottom w:val="none" w:sz="0" w:space="0" w:color="auto"/>
            <w:right w:val="none" w:sz="0" w:space="0" w:color="auto"/>
          </w:divBdr>
        </w:div>
        <w:div w:id="394091294">
          <w:marLeft w:val="0"/>
          <w:marRight w:val="0"/>
          <w:marTop w:val="0"/>
          <w:marBottom w:val="0"/>
          <w:divBdr>
            <w:top w:val="none" w:sz="0" w:space="0" w:color="auto"/>
            <w:left w:val="none" w:sz="0" w:space="0" w:color="auto"/>
            <w:bottom w:val="none" w:sz="0" w:space="0" w:color="auto"/>
            <w:right w:val="none" w:sz="0" w:space="0" w:color="auto"/>
          </w:divBdr>
        </w:div>
        <w:div w:id="628319446">
          <w:marLeft w:val="0"/>
          <w:marRight w:val="0"/>
          <w:marTop w:val="0"/>
          <w:marBottom w:val="0"/>
          <w:divBdr>
            <w:top w:val="none" w:sz="0" w:space="0" w:color="auto"/>
            <w:left w:val="none" w:sz="0" w:space="0" w:color="auto"/>
            <w:bottom w:val="none" w:sz="0" w:space="0" w:color="auto"/>
            <w:right w:val="none" w:sz="0" w:space="0" w:color="auto"/>
          </w:divBdr>
        </w:div>
        <w:div w:id="286545468">
          <w:marLeft w:val="0"/>
          <w:marRight w:val="0"/>
          <w:marTop w:val="0"/>
          <w:marBottom w:val="0"/>
          <w:divBdr>
            <w:top w:val="none" w:sz="0" w:space="0" w:color="auto"/>
            <w:left w:val="none" w:sz="0" w:space="0" w:color="auto"/>
            <w:bottom w:val="none" w:sz="0" w:space="0" w:color="auto"/>
            <w:right w:val="none" w:sz="0" w:space="0" w:color="auto"/>
          </w:divBdr>
        </w:div>
        <w:div w:id="1870294316">
          <w:marLeft w:val="0"/>
          <w:marRight w:val="0"/>
          <w:marTop w:val="0"/>
          <w:marBottom w:val="0"/>
          <w:divBdr>
            <w:top w:val="none" w:sz="0" w:space="0" w:color="auto"/>
            <w:left w:val="none" w:sz="0" w:space="0" w:color="auto"/>
            <w:bottom w:val="none" w:sz="0" w:space="0" w:color="auto"/>
            <w:right w:val="none" w:sz="0" w:space="0" w:color="auto"/>
          </w:divBdr>
        </w:div>
        <w:div w:id="1193152255">
          <w:marLeft w:val="0"/>
          <w:marRight w:val="0"/>
          <w:marTop w:val="0"/>
          <w:marBottom w:val="0"/>
          <w:divBdr>
            <w:top w:val="none" w:sz="0" w:space="0" w:color="auto"/>
            <w:left w:val="none" w:sz="0" w:space="0" w:color="auto"/>
            <w:bottom w:val="none" w:sz="0" w:space="0" w:color="auto"/>
            <w:right w:val="none" w:sz="0" w:space="0" w:color="auto"/>
          </w:divBdr>
        </w:div>
      </w:divsChild>
    </w:div>
    <w:div w:id="1454597700">
      <w:bodyDiv w:val="1"/>
      <w:marLeft w:val="0"/>
      <w:marRight w:val="0"/>
      <w:marTop w:val="0"/>
      <w:marBottom w:val="0"/>
      <w:divBdr>
        <w:top w:val="none" w:sz="0" w:space="0" w:color="auto"/>
        <w:left w:val="none" w:sz="0" w:space="0" w:color="auto"/>
        <w:bottom w:val="none" w:sz="0" w:space="0" w:color="auto"/>
        <w:right w:val="none" w:sz="0" w:space="0" w:color="auto"/>
      </w:divBdr>
      <w:divsChild>
        <w:div w:id="1732001564">
          <w:marLeft w:val="0"/>
          <w:marRight w:val="0"/>
          <w:marTop w:val="0"/>
          <w:marBottom w:val="0"/>
          <w:divBdr>
            <w:top w:val="none" w:sz="0" w:space="0" w:color="auto"/>
            <w:left w:val="none" w:sz="0" w:space="0" w:color="auto"/>
            <w:bottom w:val="none" w:sz="0" w:space="0" w:color="auto"/>
            <w:right w:val="none" w:sz="0" w:space="0" w:color="auto"/>
          </w:divBdr>
        </w:div>
        <w:div w:id="746004320">
          <w:marLeft w:val="0"/>
          <w:marRight w:val="0"/>
          <w:marTop w:val="0"/>
          <w:marBottom w:val="0"/>
          <w:divBdr>
            <w:top w:val="none" w:sz="0" w:space="0" w:color="auto"/>
            <w:left w:val="none" w:sz="0" w:space="0" w:color="auto"/>
            <w:bottom w:val="none" w:sz="0" w:space="0" w:color="auto"/>
            <w:right w:val="none" w:sz="0" w:space="0" w:color="auto"/>
          </w:divBdr>
        </w:div>
        <w:div w:id="749233632">
          <w:marLeft w:val="0"/>
          <w:marRight w:val="0"/>
          <w:marTop w:val="0"/>
          <w:marBottom w:val="0"/>
          <w:divBdr>
            <w:top w:val="none" w:sz="0" w:space="0" w:color="auto"/>
            <w:left w:val="none" w:sz="0" w:space="0" w:color="auto"/>
            <w:bottom w:val="none" w:sz="0" w:space="0" w:color="auto"/>
            <w:right w:val="none" w:sz="0" w:space="0" w:color="auto"/>
          </w:divBdr>
        </w:div>
        <w:div w:id="2070691440">
          <w:marLeft w:val="0"/>
          <w:marRight w:val="0"/>
          <w:marTop w:val="0"/>
          <w:marBottom w:val="0"/>
          <w:divBdr>
            <w:top w:val="none" w:sz="0" w:space="0" w:color="auto"/>
            <w:left w:val="none" w:sz="0" w:space="0" w:color="auto"/>
            <w:bottom w:val="none" w:sz="0" w:space="0" w:color="auto"/>
            <w:right w:val="none" w:sz="0" w:space="0" w:color="auto"/>
          </w:divBdr>
        </w:div>
        <w:div w:id="1666860933">
          <w:marLeft w:val="0"/>
          <w:marRight w:val="0"/>
          <w:marTop w:val="0"/>
          <w:marBottom w:val="0"/>
          <w:divBdr>
            <w:top w:val="none" w:sz="0" w:space="0" w:color="auto"/>
            <w:left w:val="none" w:sz="0" w:space="0" w:color="auto"/>
            <w:bottom w:val="none" w:sz="0" w:space="0" w:color="auto"/>
            <w:right w:val="none" w:sz="0" w:space="0" w:color="auto"/>
          </w:divBdr>
        </w:div>
      </w:divsChild>
    </w:div>
    <w:div w:id="1499537292">
      <w:bodyDiv w:val="1"/>
      <w:marLeft w:val="0"/>
      <w:marRight w:val="0"/>
      <w:marTop w:val="0"/>
      <w:marBottom w:val="0"/>
      <w:divBdr>
        <w:top w:val="none" w:sz="0" w:space="0" w:color="auto"/>
        <w:left w:val="none" w:sz="0" w:space="0" w:color="auto"/>
        <w:bottom w:val="none" w:sz="0" w:space="0" w:color="auto"/>
        <w:right w:val="none" w:sz="0" w:space="0" w:color="auto"/>
      </w:divBdr>
      <w:divsChild>
        <w:div w:id="1211921350">
          <w:marLeft w:val="0"/>
          <w:marRight w:val="0"/>
          <w:marTop w:val="0"/>
          <w:marBottom w:val="0"/>
          <w:divBdr>
            <w:top w:val="none" w:sz="0" w:space="0" w:color="auto"/>
            <w:left w:val="none" w:sz="0" w:space="0" w:color="auto"/>
            <w:bottom w:val="none" w:sz="0" w:space="0" w:color="auto"/>
            <w:right w:val="none" w:sz="0" w:space="0" w:color="auto"/>
          </w:divBdr>
        </w:div>
        <w:div w:id="380710775">
          <w:marLeft w:val="0"/>
          <w:marRight w:val="0"/>
          <w:marTop w:val="0"/>
          <w:marBottom w:val="0"/>
          <w:divBdr>
            <w:top w:val="none" w:sz="0" w:space="0" w:color="auto"/>
            <w:left w:val="none" w:sz="0" w:space="0" w:color="auto"/>
            <w:bottom w:val="none" w:sz="0" w:space="0" w:color="auto"/>
            <w:right w:val="none" w:sz="0" w:space="0" w:color="auto"/>
          </w:divBdr>
        </w:div>
        <w:div w:id="1909027820">
          <w:marLeft w:val="0"/>
          <w:marRight w:val="0"/>
          <w:marTop w:val="0"/>
          <w:marBottom w:val="0"/>
          <w:divBdr>
            <w:top w:val="none" w:sz="0" w:space="0" w:color="auto"/>
            <w:left w:val="none" w:sz="0" w:space="0" w:color="auto"/>
            <w:bottom w:val="none" w:sz="0" w:space="0" w:color="auto"/>
            <w:right w:val="none" w:sz="0" w:space="0" w:color="auto"/>
          </w:divBdr>
        </w:div>
        <w:div w:id="1361589438">
          <w:marLeft w:val="0"/>
          <w:marRight w:val="0"/>
          <w:marTop w:val="0"/>
          <w:marBottom w:val="0"/>
          <w:divBdr>
            <w:top w:val="none" w:sz="0" w:space="0" w:color="auto"/>
            <w:left w:val="none" w:sz="0" w:space="0" w:color="auto"/>
            <w:bottom w:val="none" w:sz="0" w:space="0" w:color="auto"/>
            <w:right w:val="none" w:sz="0" w:space="0" w:color="auto"/>
          </w:divBdr>
        </w:div>
        <w:div w:id="1876231534">
          <w:marLeft w:val="0"/>
          <w:marRight w:val="0"/>
          <w:marTop w:val="0"/>
          <w:marBottom w:val="0"/>
          <w:divBdr>
            <w:top w:val="none" w:sz="0" w:space="0" w:color="auto"/>
            <w:left w:val="none" w:sz="0" w:space="0" w:color="auto"/>
            <w:bottom w:val="none" w:sz="0" w:space="0" w:color="auto"/>
            <w:right w:val="none" w:sz="0" w:space="0" w:color="auto"/>
          </w:divBdr>
        </w:div>
        <w:div w:id="1332101544">
          <w:marLeft w:val="0"/>
          <w:marRight w:val="0"/>
          <w:marTop w:val="0"/>
          <w:marBottom w:val="0"/>
          <w:divBdr>
            <w:top w:val="none" w:sz="0" w:space="0" w:color="auto"/>
            <w:left w:val="none" w:sz="0" w:space="0" w:color="auto"/>
            <w:bottom w:val="none" w:sz="0" w:space="0" w:color="auto"/>
            <w:right w:val="none" w:sz="0" w:space="0" w:color="auto"/>
          </w:divBdr>
        </w:div>
      </w:divsChild>
    </w:div>
    <w:div w:id="1550192353">
      <w:bodyDiv w:val="1"/>
      <w:marLeft w:val="0"/>
      <w:marRight w:val="0"/>
      <w:marTop w:val="0"/>
      <w:marBottom w:val="0"/>
      <w:divBdr>
        <w:top w:val="none" w:sz="0" w:space="0" w:color="auto"/>
        <w:left w:val="none" w:sz="0" w:space="0" w:color="auto"/>
        <w:bottom w:val="none" w:sz="0" w:space="0" w:color="auto"/>
        <w:right w:val="none" w:sz="0" w:space="0" w:color="auto"/>
      </w:divBdr>
      <w:divsChild>
        <w:div w:id="1168984048">
          <w:marLeft w:val="0"/>
          <w:marRight w:val="0"/>
          <w:marTop w:val="0"/>
          <w:marBottom w:val="0"/>
          <w:divBdr>
            <w:top w:val="none" w:sz="0" w:space="0" w:color="auto"/>
            <w:left w:val="none" w:sz="0" w:space="0" w:color="auto"/>
            <w:bottom w:val="none" w:sz="0" w:space="0" w:color="auto"/>
            <w:right w:val="none" w:sz="0" w:space="0" w:color="auto"/>
          </w:divBdr>
        </w:div>
        <w:div w:id="1640921326">
          <w:marLeft w:val="0"/>
          <w:marRight w:val="0"/>
          <w:marTop w:val="0"/>
          <w:marBottom w:val="0"/>
          <w:divBdr>
            <w:top w:val="none" w:sz="0" w:space="0" w:color="auto"/>
            <w:left w:val="none" w:sz="0" w:space="0" w:color="auto"/>
            <w:bottom w:val="none" w:sz="0" w:space="0" w:color="auto"/>
            <w:right w:val="none" w:sz="0" w:space="0" w:color="auto"/>
          </w:divBdr>
        </w:div>
        <w:div w:id="1779907403">
          <w:marLeft w:val="0"/>
          <w:marRight w:val="0"/>
          <w:marTop w:val="0"/>
          <w:marBottom w:val="0"/>
          <w:divBdr>
            <w:top w:val="none" w:sz="0" w:space="0" w:color="auto"/>
            <w:left w:val="none" w:sz="0" w:space="0" w:color="auto"/>
            <w:bottom w:val="none" w:sz="0" w:space="0" w:color="auto"/>
            <w:right w:val="none" w:sz="0" w:space="0" w:color="auto"/>
          </w:divBdr>
        </w:div>
        <w:div w:id="1234121365">
          <w:marLeft w:val="0"/>
          <w:marRight w:val="0"/>
          <w:marTop w:val="0"/>
          <w:marBottom w:val="0"/>
          <w:divBdr>
            <w:top w:val="none" w:sz="0" w:space="0" w:color="auto"/>
            <w:left w:val="none" w:sz="0" w:space="0" w:color="auto"/>
            <w:bottom w:val="none" w:sz="0" w:space="0" w:color="auto"/>
            <w:right w:val="none" w:sz="0" w:space="0" w:color="auto"/>
          </w:divBdr>
        </w:div>
        <w:div w:id="577329052">
          <w:marLeft w:val="0"/>
          <w:marRight w:val="0"/>
          <w:marTop w:val="0"/>
          <w:marBottom w:val="0"/>
          <w:divBdr>
            <w:top w:val="none" w:sz="0" w:space="0" w:color="auto"/>
            <w:left w:val="none" w:sz="0" w:space="0" w:color="auto"/>
            <w:bottom w:val="none" w:sz="0" w:space="0" w:color="auto"/>
            <w:right w:val="none" w:sz="0" w:space="0" w:color="auto"/>
          </w:divBdr>
        </w:div>
        <w:div w:id="209221599">
          <w:marLeft w:val="0"/>
          <w:marRight w:val="0"/>
          <w:marTop w:val="0"/>
          <w:marBottom w:val="0"/>
          <w:divBdr>
            <w:top w:val="none" w:sz="0" w:space="0" w:color="auto"/>
            <w:left w:val="none" w:sz="0" w:space="0" w:color="auto"/>
            <w:bottom w:val="none" w:sz="0" w:space="0" w:color="auto"/>
            <w:right w:val="none" w:sz="0" w:space="0" w:color="auto"/>
          </w:divBdr>
        </w:div>
        <w:div w:id="1246261276">
          <w:marLeft w:val="0"/>
          <w:marRight w:val="0"/>
          <w:marTop w:val="0"/>
          <w:marBottom w:val="0"/>
          <w:divBdr>
            <w:top w:val="none" w:sz="0" w:space="0" w:color="auto"/>
            <w:left w:val="none" w:sz="0" w:space="0" w:color="auto"/>
            <w:bottom w:val="none" w:sz="0" w:space="0" w:color="auto"/>
            <w:right w:val="none" w:sz="0" w:space="0" w:color="auto"/>
          </w:divBdr>
        </w:div>
        <w:div w:id="145628660">
          <w:marLeft w:val="0"/>
          <w:marRight w:val="0"/>
          <w:marTop w:val="0"/>
          <w:marBottom w:val="0"/>
          <w:divBdr>
            <w:top w:val="none" w:sz="0" w:space="0" w:color="auto"/>
            <w:left w:val="none" w:sz="0" w:space="0" w:color="auto"/>
            <w:bottom w:val="none" w:sz="0" w:space="0" w:color="auto"/>
            <w:right w:val="none" w:sz="0" w:space="0" w:color="auto"/>
          </w:divBdr>
        </w:div>
        <w:div w:id="593242910">
          <w:marLeft w:val="0"/>
          <w:marRight w:val="0"/>
          <w:marTop w:val="0"/>
          <w:marBottom w:val="0"/>
          <w:divBdr>
            <w:top w:val="none" w:sz="0" w:space="0" w:color="auto"/>
            <w:left w:val="none" w:sz="0" w:space="0" w:color="auto"/>
            <w:bottom w:val="none" w:sz="0" w:space="0" w:color="auto"/>
            <w:right w:val="none" w:sz="0" w:space="0" w:color="auto"/>
          </w:divBdr>
        </w:div>
        <w:div w:id="1132553397">
          <w:marLeft w:val="0"/>
          <w:marRight w:val="0"/>
          <w:marTop w:val="0"/>
          <w:marBottom w:val="0"/>
          <w:divBdr>
            <w:top w:val="none" w:sz="0" w:space="0" w:color="auto"/>
            <w:left w:val="none" w:sz="0" w:space="0" w:color="auto"/>
            <w:bottom w:val="none" w:sz="0" w:space="0" w:color="auto"/>
            <w:right w:val="none" w:sz="0" w:space="0" w:color="auto"/>
          </w:divBdr>
        </w:div>
        <w:div w:id="575359015">
          <w:marLeft w:val="0"/>
          <w:marRight w:val="0"/>
          <w:marTop w:val="0"/>
          <w:marBottom w:val="0"/>
          <w:divBdr>
            <w:top w:val="none" w:sz="0" w:space="0" w:color="auto"/>
            <w:left w:val="none" w:sz="0" w:space="0" w:color="auto"/>
            <w:bottom w:val="none" w:sz="0" w:space="0" w:color="auto"/>
            <w:right w:val="none" w:sz="0" w:space="0" w:color="auto"/>
          </w:divBdr>
        </w:div>
        <w:div w:id="626473631">
          <w:marLeft w:val="0"/>
          <w:marRight w:val="0"/>
          <w:marTop w:val="0"/>
          <w:marBottom w:val="0"/>
          <w:divBdr>
            <w:top w:val="none" w:sz="0" w:space="0" w:color="auto"/>
            <w:left w:val="none" w:sz="0" w:space="0" w:color="auto"/>
            <w:bottom w:val="none" w:sz="0" w:space="0" w:color="auto"/>
            <w:right w:val="none" w:sz="0" w:space="0" w:color="auto"/>
          </w:divBdr>
        </w:div>
        <w:div w:id="187988506">
          <w:marLeft w:val="0"/>
          <w:marRight w:val="0"/>
          <w:marTop w:val="0"/>
          <w:marBottom w:val="0"/>
          <w:divBdr>
            <w:top w:val="none" w:sz="0" w:space="0" w:color="auto"/>
            <w:left w:val="none" w:sz="0" w:space="0" w:color="auto"/>
            <w:bottom w:val="none" w:sz="0" w:space="0" w:color="auto"/>
            <w:right w:val="none" w:sz="0" w:space="0" w:color="auto"/>
          </w:divBdr>
        </w:div>
        <w:div w:id="1794784243">
          <w:marLeft w:val="0"/>
          <w:marRight w:val="0"/>
          <w:marTop w:val="0"/>
          <w:marBottom w:val="0"/>
          <w:divBdr>
            <w:top w:val="none" w:sz="0" w:space="0" w:color="auto"/>
            <w:left w:val="none" w:sz="0" w:space="0" w:color="auto"/>
            <w:bottom w:val="none" w:sz="0" w:space="0" w:color="auto"/>
            <w:right w:val="none" w:sz="0" w:space="0" w:color="auto"/>
          </w:divBdr>
        </w:div>
        <w:div w:id="1869292023">
          <w:marLeft w:val="0"/>
          <w:marRight w:val="0"/>
          <w:marTop w:val="0"/>
          <w:marBottom w:val="0"/>
          <w:divBdr>
            <w:top w:val="none" w:sz="0" w:space="0" w:color="auto"/>
            <w:left w:val="none" w:sz="0" w:space="0" w:color="auto"/>
            <w:bottom w:val="none" w:sz="0" w:space="0" w:color="auto"/>
            <w:right w:val="none" w:sz="0" w:space="0" w:color="auto"/>
          </w:divBdr>
        </w:div>
        <w:div w:id="306783695">
          <w:marLeft w:val="0"/>
          <w:marRight w:val="0"/>
          <w:marTop w:val="0"/>
          <w:marBottom w:val="0"/>
          <w:divBdr>
            <w:top w:val="none" w:sz="0" w:space="0" w:color="auto"/>
            <w:left w:val="none" w:sz="0" w:space="0" w:color="auto"/>
            <w:bottom w:val="none" w:sz="0" w:space="0" w:color="auto"/>
            <w:right w:val="none" w:sz="0" w:space="0" w:color="auto"/>
          </w:divBdr>
        </w:div>
        <w:div w:id="145826479">
          <w:marLeft w:val="0"/>
          <w:marRight w:val="0"/>
          <w:marTop w:val="0"/>
          <w:marBottom w:val="0"/>
          <w:divBdr>
            <w:top w:val="none" w:sz="0" w:space="0" w:color="auto"/>
            <w:left w:val="none" w:sz="0" w:space="0" w:color="auto"/>
            <w:bottom w:val="none" w:sz="0" w:space="0" w:color="auto"/>
            <w:right w:val="none" w:sz="0" w:space="0" w:color="auto"/>
          </w:divBdr>
        </w:div>
        <w:div w:id="704258491">
          <w:marLeft w:val="0"/>
          <w:marRight w:val="0"/>
          <w:marTop w:val="0"/>
          <w:marBottom w:val="0"/>
          <w:divBdr>
            <w:top w:val="none" w:sz="0" w:space="0" w:color="auto"/>
            <w:left w:val="none" w:sz="0" w:space="0" w:color="auto"/>
            <w:bottom w:val="none" w:sz="0" w:space="0" w:color="auto"/>
            <w:right w:val="none" w:sz="0" w:space="0" w:color="auto"/>
          </w:divBdr>
        </w:div>
        <w:div w:id="579605221">
          <w:marLeft w:val="0"/>
          <w:marRight w:val="0"/>
          <w:marTop w:val="0"/>
          <w:marBottom w:val="0"/>
          <w:divBdr>
            <w:top w:val="none" w:sz="0" w:space="0" w:color="auto"/>
            <w:left w:val="none" w:sz="0" w:space="0" w:color="auto"/>
            <w:bottom w:val="none" w:sz="0" w:space="0" w:color="auto"/>
            <w:right w:val="none" w:sz="0" w:space="0" w:color="auto"/>
          </w:divBdr>
        </w:div>
      </w:divsChild>
    </w:div>
    <w:div w:id="1573009053">
      <w:bodyDiv w:val="1"/>
      <w:marLeft w:val="0"/>
      <w:marRight w:val="0"/>
      <w:marTop w:val="0"/>
      <w:marBottom w:val="0"/>
      <w:divBdr>
        <w:top w:val="none" w:sz="0" w:space="0" w:color="auto"/>
        <w:left w:val="none" w:sz="0" w:space="0" w:color="auto"/>
        <w:bottom w:val="none" w:sz="0" w:space="0" w:color="auto"/>
        <w:right w:val="none" w:sz="0" w:space="0" w:color="auto"/>
      </w:divBdr>
      <w:divsChild>
        <w:div w:id="1336500102">
          <w:marLeft w:val="0"/>
          <w:marRight w:val="0"/>
          <w:marTop w:val="0"/>
          <w:marBottom w:val="0"/>
          <w:divBdr>
            <w:top w:val="none" w:sz="0" w:space="0" w:color="auto"/>
            <w:left w:val="none" w:sz="0" w:space="0" w:color="auto"/>
            <w:bottom w:val="none" w:sz="0" w:space="0" w:color="auto"/>
            <w:right w:val="none" w:sz="0" w:space="0" w:color="auto"/>
          </w:divBdr>
        </w:div>
        <w:div w:id="917717612">
          <w:marLeft w:val="0"/>
          <w:marRight w:val="0"/>
          <w:marTop w:val="0"/>
          <w:marBottom w:val="0"/>
          <w:divBdr>
            <w:top w:val="none" w:sz="0" w:space="0" w:color="auto"/>
            <w:left w:val="none" w:sz="0" w:space="0" w:color="auto"/>
            <w:bottom w:val="none" w:sz="0" w:space="0" w:color="auto"/>
            <w:right w:val="none" w:sz="0" w:space="0" w:color="auto"/>
          </w:divBdr>
        </w:div>
        <w:div w:id="940726776">
          <w:marLeft w:val="0"/>
          <w:marRight w:val="0"/>
          <w:marTop w:val="0"/>
          <w:marBottom w:val="0"/>
          <w:divBdr>
            <w:top w:val="none" w:sz="0" w:space="0" w:color="auto"/>
            <w:left w:val="none" w:sz="0" w:space="0" w:color="auto"/>
            <w:bottom w:val="none" w:sz="0" w:space="0" w:color="auto"/>
            <w:right w:val="none" w:sz="0" w:space="0" w:color="auto"/>
          </w:divBdr>
        </w:div>
        <w:div w:id="643630735">
          <w:marLeft w:val="0"/>
          <w:marRight w:val="0"/>
          <w:marTop w:val="0"/>
          <w:marBottom w:val="0"/>
          <w:divBdr>
            <w:top w:val="none" w:sz="0" w:space="0" w:color="auto"/>
            <w:left w:val="none" w:sz="0" w:space="0" w:color="auto"/>
            <w:bottom w:val="none" w:sz="0" w:space="0" w:color="auto"/>
            <w:right w:val="none" w:sz="0" w:space="0" w:color="auto"/>
          </w:divBdr>
        </w:div>
        <w:div w:id="451290442">
          <w:marLeft w:val="0"/>
          <w:marRight w:val="0"/>
          <w:marTop w:val="0"/>
          <w:marBottom w:val="0"/>
          <w:divBdr>
            <w:top w:val="none" w:sz="0" w:space="0" w:color="auto"/>
            <w:left w:val="none" w:sz="0" w:space="0" w:color="auto"/>
            <w:bottom w:val="none" w:sz="0" w:space="0" w:color="auto"/>
            <w:right w:val="none" w:sz="0" w:space="0" w:color="auto"/>
          </w:divBdr>
        </w:div>
        <w:div w:id="153423073">
          <w:marLeft w:val="0"/>
          <w:marRight w:val="0"/>
          <w:marTop w:val="0"/>
          <w:marBottom w:val="0"/>
          <w:divBdr>
            <w:top w:val="none" w:sz="0" w:space="0" w:color="auto"/>
            <w:left w:val="none" w:sz="0" w:space="0" w:color="auto"/>
            <w:bottom w:val="none" w:sz="0" w:space="0" w:color="auto"/>
            <w:right w:val="none" w:sz="0" w:space="0" w:color="auto"/>
          </w:divBdr>
        </w:div>
        <w:div w:id="306714624">
          <w:marLeft w:val="0"/>
          <w:marRight w:val="0"/>
          <w:marTop w:val="0"/>
          <w:marBottom w:val="0"/>
          <w:divBdr>
            <w:top w:val="none" w:sz="0" w:space="0" w:color="auto"/>
            <w:left w:val="none" w:sz="0" w:space="0" w:color="auto"/>
            <w:bottom w:val="none" w:sz="0" w:space="0" w:color="auto"/>
            <w:right w:val="none" w:sz="0" w:space="0" w:color="auto"/>
          </w:divBdr>
        </w:div>
        <w:div w:id="1371686092">
          <w:marLeft w:val="0"/>
          <w:marRight w:val="0"/>
          <w:marTop w:val="0"/>
          <w:marBottom w:val="0"/>
          <w:divBdr>
            <w:top w:val="none" w:sz="0" w:space="0" w:color="auto"/>
            <w:left w:val="none" w:sz="0" w:space="0" w:color="auto"/>
            <w:bottom w:val="none" w:sz="0" w:space="0" w:color="auto"/>
            <w:right w:val="none" w:sz="0" w:space="0" w:color="auto"/>
          </w:divBdr>
        </w:div>
        <w:div w:id="1398744181">
          <w:marLeft w:val="0"/>
          <w:marRight w:val="0"/>
          <w:marTop w:val="0"/>
          <w:marBottom w:val="0"/>
          <w:divBdr>
            <w:top w:val="none" w:sz="0" w:space="0" w:color="auto"/>
            <w:left w:val="none" w:sz="0" w:space="0" w:color="auto"/>
            <w:bottom w:val="none" w:sz="0" w:space="0" w:color="auto"/>
            <w:right w:val="none" w:sz="0" w:space="0" w:color="auto"/>
          </w:divBdr>
        </w:div>
        <w:div w:id="961886497">
          <w:marLeft w:val="0"/>
          <w:marRight w:val="0"/>
          <w:marTop w:val="0"/>
          <w:marBottom w:val="0"/>
          <w:divBdr>
            <w:top w:val="none" w:sz="0" w:space="0" w:color="auto"/>
            <w:left w:val="none" w:sz="0" w:space="0" w:color="auto"/>
            <w:bottom w:val="none" w:sz="0" w:space="0" w:color="auto"/>
            <w:right w:val="none" w:sz="0" w:space="0" w:color="auto"/>
          </w:divBdr>
        </w:div>
        <w:div w:id="1379091217">
          <w:marLeft w:val="0"/>
          <w:marRight w:val="0"/>
          <w:marTop w:val="0"/>
          <w:marBottom w:val="0"/>
          <w:divBdr>
            <w:top w:val="none" w:sz="0" w:space="0" w:color="auto"/>
            <w:left w:val="none" w:sz="0" w:space="0" w:color="auto"/>
            <w:bottom w:val="none" w:sz="0" w:space="0" w:color="auto"/>
            <w:right w:val="none" w:sz="0" w:space="0" w:color="auto"/>
          </w:divBdr>
        </w:div>
        <w:div w:id="265501198">
          <w:marLeft w:val="0"/>
          <w:marRight w:val="0"/>
          <w:marTop w:val="0"/>
          <w:marBottom w:val="0"/>
          <w:divBdr>
            <w:top w:val="none" w:sz="0" w:space="0" w:color="auto"/>
            <w:left w:val="none" w:sz="0" w:space="0" w:color="auto"/>
            <w:bottom w:val="none" w:sz="0" w:space="0" w:color="auto"/>
            <w:right w:val="none" w:sz="0" w:space="0" w:color="auto"/>
          </w:divBdr>
        </w:div>
        <w:div w:id="1194879863">
          <w:marLeft w:val="0"/>
          <w:marRight w:val="0"/>
          <w:marTop w:val="0"/>
          <w:marBottom w:val="0"/>
          <w:divBdr>
            <w:top w:val="none" w:sz="0" w:space="0" w:color="auto"/>
            <w:left w:val="none" w:sz="0" w:space="0" w:color="auto"/>
            <w:bottom w:val="none" w:sz="0" w:space="0" w:color="auto"/>
            <w:right w:val="none" w:sz="0" w:space="0" w:color="auto"/>
          </w:divBdr>
        </w:div>
        <w:div w:id="1587033162">
          <w:marLeft w:val="0"/>
          <w:marRight w:val="0"/>
          <w:marTop w:val="0"/>
          <w:marBottom w:val="0"/>
          <w:divBdr>
            <w:top w:val="none" w:sz="0" w:space="0" w:color="auto"/>
            <w:left w:val="none" w:sz="0" w:space="0" w:color="auto"/>
            <w:bottom w:val="none" w:sz="0" w:space="0" w:color="auto"/>
            <w:right w:val="none" w:sz="0" w:space="0" w:color="auto"/>
          </w:divBdr>
        </w:div>
        <w:div w:id="275526158">
          <w:marLeft w:val="0"/>
          <w:marRight w:val="0"/>
          <w:marTop w:val="0"/>
          <w:marBottom w:val="0"/>
          <w:divBdr>
            <w:top w:val="none" w:sz="0" w:space="0" w:color="auto"/>
            <w:left w:val="none" w:sz="0" w:space="0" w:color="auto"/>
            <w:bottom w:val="none" w:sz="0" w:space="0" w:color="auto"/>
            <w:right w:val="none" w:sz="0" w:space="0" w:color="auto"/>
          </w:divBdr>
        </w:div>
        <w:div w:id="1288320130">
          <w:marLeft w:val="0"/>
          <w:marRight w:val="0"/>
          <w:marTop w:val="0"/>
          <w:marBottom w:val="0"/>
          <w:divBdr>
            <w:top w:val="none" w:sz="0" w:space="0" w:color="auto"/>
            <w:left w:val="none" w:sz="0" w:space="0" w:color="auto"/>
            <w:bottom w:val="none" w:sz="0" w:space="0" w:color="auto"/>
            <w:right w:val="none" w:sz="0" w:space="0" w:color="auto"/>
          </w:divBdr>
        </w:div>
        <w:div w:id="1800607046">
          <w:marLeft w:val="0"/>
          <w:marRight w:val="0"/>
          <w:marTop w:val="0"/>
          <w:marBottom w:val="0"/>
          <w:divBdr>
            <w:top w:val="none" w:sz="0" w:space="0" w:color="auto"/>
            <w:left w:val="none" w:sz="0" w:space="0" w:color="auto"/>
            <w:bottom w:val="none" w:sz="0" w:space="0" w:color="auto"/>
            <w:right w:val="none" w:sz="0" w:space="0" w:color="auto"/>
          </w:divBdr>
        </w:div>
        <w:div w:id="906500546">
          <w:marLeft w:val="0"/>
          <w:marRight w:val="0"/>
          <w:marTop w:val="0"/>
          <w:marBottom w:val="0"/>
          <w:divBdr>
            <w:top w:val="none" w:sz="0" w:space="0" w:color="auto"/>
            <w:left w:val="none" w:sz="0" w:space="0" w:color="auto"/>
            <w:bottom w:val="none" w:sz="0" w:space="0" w:color="auto"/>
            <w:right w:val="none" w:sz="0" w:space="0" w:color="auto"/>
          </w:divBdr>
        </w:div>
        <w:div w:id="701785064">
          <w:marLeft w:val="0"/>
          <w:marRight w:val="0"/>
          <w:marTop w:val="0"/>
          <w:marBottom w:val="0"/>
          <w:divBdr>
            <w:top w:val="none" w:sz="0" w:space="0" w:color="auto"/>
            <w:left w:val="none" w:sz="0" w:space="0" w:color="auto"/>
            <w:bottom w:val="none" w:sz="0" w:space="0" w:color="auto"/>
            <w:right w:val="none" w:sz="0" w:space="0" w:color="auto"/>
          </w:divBdr>
        </w:div>
      </w:divsChild>
    </w:div>
    <w:div w:id="1756586820">
      <w:bodyDiv w:val="1"/>
      <w:marLeft w:val="0"/>
      <w:marRight w:val="0"/>
      <w:marTop w:val="0"/>
      <w:marBottom w:val="0"/>
      <w:divBdr>
        <w:top w:val="none" w:sz="0" w:space="0" w:color="auto"/>
        <w:left w:val="none" w:sz="0" w:space="0" w:color="auto"/>
        <w:bottom w:val="none" w:sz="0" w:space="0" w:color="auto"/>
        <w:right w:val="none" w:sz="0" w:space="0" w:color="auto"/>
      </w:divBdr>
      <w:divsChild>
        <w:div w:id="1324118212">
          <w:marLeft w:val="0"/>
          <w:marRight w:val="0"/>
          <w:marTop w:val="0"/>
          <w:marBottom w:val="0"/>
          <w:divBdr>
            <w:top w:val="none" w:sz="0" w:space="0" w:color="auto"/>
            <w:left w:val="none" w:sz="0" w:space="0" w:color="auto"/>
            <w:bottom w:val="none" w:sz="0" w:space="0" w:color="auto"/>
            <w:right w:val="none" w:sz="0" w:space="0" w:color="auto"/>
          </w:divBdr>
        </w:div>
        <w:div w:id="1239750614">
          <w:marLeft w:val="0"/>
          <w:marRight w:val="0"/>
          <w:marTop w:val="0"/>
          <w:marBottom w:val="0"/>
          <w:divBdr>
            <w:top w:val="none" w:sz="0" w:space="0" w:color="auto"/>
            <w:left w:val="none" w:sz="0" w:space="0" w:color="auto"/>
            <w:bottom w:val="none" w:sz="0" w:space="0" w:color="auto"/>
            <w:right w:val="none" w:sz="0" w:space="0" w:color="auto"/>
          </w:divBdr>
        </w:div>
      </w:divsChild>
    </w:div>
    <w:div w:id="1771049516">
      <w:bodyDiv w:val="1"/>
      <w:marLeft w:val="0"/>
      <w:marRight w:val="0"/>
      <w:marTop w:val="0"/>
      <w:marBottom w:val="0"/>
      <w:divBdr>
        <w:top w:val="none" w:sz="0" w:space="0" w:color="auto"/>
        <w:left w:val="none" w:sz="0" w:space="0" w:color="auto"/>
        <w:bottom w:val="none" w:sz="0" w:space="0" w:color="auto"/>
        <w:right w:val="none" w:sz="0" w:space="0" w:color="auto"/>
      </w:divBdr>
      <w:divsChild>
        <w:div w:id="252395074">
          <w:marLeft w:val="0"/>
          <w:marRight w:val="0"/>
          <w:marTop w:val="0"/>
          <w:marBottom w:val="0"/>
          <w:divBdr>
            <w:top w:val="none" w:sz="0" w:space="0" w:color="auto"/>
            <w:left w:val="none" w:sz="0" w:space="0" w:color="auto"/>
            <w:bottom w:val="none" w:sz="0" w:space="0" w:color="auto"/>
            <w:right w:val="none" w:sz="0" w:space="0" w:color="auto"/>
          </w:divBdr>
        </w:div>
        <w:div w:id="153883114">
          <w:marLeft w:val="0"/>
          <w:marRight w:val="0"/>
          <w:marTop w:val="0"/>
          <w:marBottom w:val="0"/>
          <w:divBdr>
            <w:top w:val="none" w:sz="0" w:space="0" w:color="auto"/>
            <w:left w:val="none" w:sz="0" w:space="0" w:color="auto"/>
            <w:bottom w:val="none" w:sz="0" w:space="0" w:color="auto"/>
            <w:right w:val="none" w:sz="0" w:space="0" w:color="auto"/>
          </w:divBdr>
        </w:div>
        <w:div w:id="1360620945">
          <w:marLeft w:val="0"/>
          <w:marRight w:val="0"/>
          <w:marTop w:val="0"/>
          <w:marBottom w:val="0"/>
          <w:divBdr>
            <w:top w:val="none" w:sz="0" w:space="0" w:color="auto"/>
            <w:left w:val="none" w:sz="0" w:space="0" w:color="auto"/>
            <w:bottom w:val="none" w:sz="0" w:space="0" w:color="auto"/>
            <w:right w:val="none" w:sz="0" w:space="0" w:color="auto"/>
          </w:divBdr>
        </w:div>
        <w:div w:id="248928722">
          <w:marLeft w:val="0"/>
          <w:marRight w:val="0"/>
          <w:marTop w:val="0"/>
          <w:marBottom w:val="0"/>
          <w:divBdr>
            <w:top w:val="none" w:sz="0" w:space="0" w:color="auto"/>
            <w:left w:val="none" w:sz="0" w:space="0" w:color="auto"/>
            <w:bottom w:val="none" w:sz="0" w:space="0" w:color="auto"/>
            <w:right w:val="none" w:sz="0" w:space="0" w:color="auto"/>
          </w:divBdr>
        </w:div>
        <w:div w:id="1763984675">
          <w:marLeft w:val="0"/>
          <w:marRight w:val="0"/>
          <w:marTop w:val="0"/>
          <w:marBottom w:val="0"/>
          <w:divBdr>
            <w:top w:val="none" w:sz="0" w:space="0" w:color="auto"/>
            <w:left w:val="none" w:sz="0" w:space="0" w:color="auto"/>
            <w:bottom w:val="none" w:sz="0" w:space="0" w:color="auto"/>
            <w:right w:val="none" w:sz="0" w:space="0" w:color="auto"/>
          </w:divBdr>
        </w:div>
      </w:divsChild>
    </w:div>
    <w:div w:id="18082349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356">
          <w:marLeft w:val="0"/>
          <w:marRight w:val="0"/>
          <w:marTop w:val="0"/>
          <w:marBottom w:val="0"/>
          <w:divBdr>
            <w:top w:val="none" w:sz="0" w:space="0" w:color="auto"/>
            <w:left w:val="none" w:sz="0" w:space="0" w:color="auto"/>
            <w:bottom w:val="none" w:sz="0" w:space="0" w:color="auto"/>
            <w:right w:val="none" w:sz="0" w:space="0" w:color="auto"/>
          </w:divBdr>
        </w:div>
        <w:div w:id="571358529">
          <w:marLeft w:val="0"/>
          <w:marRight w:val="0"/>
          <w:marTop w:val="0"/>
          <w:marBottom w:val="0"/>
          <w:divBdr>
            <w:top w:val="none" w:sz="0" w:space="0" w:color="auto"/>
            <w:left w:val="none" w:sz="0" w:space="0" w:color="auto"/>
            <w:bottom w:val="none" w:sz="0" w:space="0" w:color="auto"/>
            <w:right w:val="none" w:sz="0" w:space="0" w:color="auto"/>
          </w:divBdr>
        </w:div>
        <w:div w:id="80110082">
          <w:marLeft w:val="0"/>
          <w:marRight w:val="0"/>
          <w:marTop w:val="0"/>
          <w:marBottom w:val="0"/>
          <w:divBdr>
            <w:top w:val="none" w:sz="0" w:space="0" w:color="auto"/>
            <w:left w:val="none" w:sz="0" w:space="0" w:color="auto"/>
            <w:bottom w:val="none" w:sz="0" w:space="0" w:color="auto"/>
            <w:right w:val="none" w:sz="0" w:space="0" w:color="auto"/>
          </w:divBdr>
        </w:div>
        <w:div w:id="87579513">
          <w:marLeft w:val="0"/>
          <w:marRight w:val="0"/>
          <w:marTop w:val="0"/>
          <w:marBottom w:val="0"/>
          <w:divBdr>
            <w:top w:val="none" w:sz="0" w:space="0" w:color="auto"/>
            <w:left w:val="none" w:sz="0" w:space="0" w:color="auto"/>
            <w:bottom w:val="none" w:sz="0" w:space="0" w:color="auto"/>
            <w:right w:val="none" w:sz="0" w:space="0" w:color="auto"/>
          </w:divBdr>
        </w:div>
        <w:div w:id="1524588350">
          <w:marLeft w:val="0"/>
          <w:marRight w:val="0"/>
          <w:marTop w:val="0"/>
          <w:marBottom w:val="0"/>
          <w:divBdr>
            <w:top w:val="none" w:sz="0" w:space="0" w:color="auto"/>
            <w:left w:val="none" w:sz="0" w:space="0" w:color="auto"/>
            <w:bottom w:val="none" w:sz="0" w:space="0" w:color="auto"/>
            <w:right w:val="none" w:sz="0" w:space="0" w:color="auto"/>
          </w:divBdr>
        </w:div>
        <w:div w:id="1794906869">
          <w:marLeft w:val="0"/>
          <w:marRight w:val="0"/>
          <w:marTop w:val="0"/>
          <w:marBottom w:val="0"/>
          <w:divBdr>
            <w:top w:val="none" w:sz="0" w:space="0" w:color="auto"/>
            <w:left w:val="none" w:sz="0" w:space="0" w:color="auto"/>
            <w:bottom w:val="none" w:sz="0" w:space="0" w:color="auto"/>
            <w:right w:val="none" w:sz="0" w:space="0" w:color="auto"/>
          </w:divBdr>
        </w:div>
        <w:div w:id="770511996">
          <w:marLeft w:val="0"/>
          <w:marRight w:val="0"/>
          <w:marTop w:val="0"/>
          <w:marBottom w:val="0"/>
          <w:divBdr>
            <w:top w:val="none" w:sz="0" w:space="0" w:color="auto"/>
            <w:left w:val="none" w:sz="0" w:space="0" w:color="auto"/>
            <w:bottom w:val="none" w:sz="0" w:space="0" w:color="auto"/>
            <w:right w:val="none" w:sz="0" w:space="0" w:color="auto"/>
          </w:divBdr>
        </w:div>
        <w:div w:id="2013026953">
          <w:marLeft w:val="0"/>
          <w:marRight w:val="0"/>
          <w:marTop w:val="0"/>
          <w:marBottom w:val="0"/>
          <w:divBdr>
            <w:top w:val="none" w:sz="0" w:space="0" w:color="auto"/>
            <w:left w:val="none" w:sz="0" w:space="0" w:color="auto"/>
            <w:bottom w:val="none" w:sz="0" w:space="0" w:color="auto"/>
            <w:right w:val="none" w:sz="0" w:space="0" w:color="auto"/>
          </w:divBdr>
        </w:div>
        <w:div w:id="1471897323">
          <w:marLeft w:val="0"/>
          <w:marRight w:val="0"/>
          <w:marTop w:val="0"/>
          <w:marBottom w:val="0"/>
          <w:divBdr>
            <w:top w:val="none" w:sz="0" w:space="0" w:color="auto"/>
            <w:left w:val="none" w:sz="0" w:space="0" w:color="auto"/>
            <w:bottom w:val="none" w:sz="0" w:space="0" w:color="auto"/>
            <w:right w:val="none" w:sz="0" w:space="0" w:color="auto"/>
          </w:divBdr>
        </w:div>
        <w:div w:id="306982637">
          <w:marLeft w:val="0"/>
          <w:marRight w:val="0"/>
          <w:marTop w:val="0"/>
          <w:marBottom w:val="0"/>
          <w:divBdr>
            <w:top w:val="none" w:sz="0" w:space="0" w:color="auto"/>
            <w:left w:val="none" w:sz="0" w:space="0" w:color="auto"/>
            <w:bottom w:val="none" w:sz="0" w:space="0" w:color="auto"/>
            <w:right w:val="none" w:sz="0" w:space="0" w:color="auto"/>
          </w:divBdr>
        </w:div>
        <w:div w:id="1523936625">
          <w:marLeft w:val="0"/>
          <w:marRight w:val="0"/>
          <w:marTop w:val="0"/>
          <w:marBottom w:val="0"/>
          <w:divBdr>
            <w:top w:val="none" w:sz="0" w:space="0" w:color="auto"/>
            <w:left w:val="none" w:sz="0" w:space="0" w:color="auto"/>
            <w:bottom w:val="none" w:sz="0" w:space="0" w:color="auto"/>
            <w:right w:val="none" w:sz="0" w:space="0" w:color="auto"/>
          </w:divBdr>
        </w:div>
        <w:div w:id="527528037">
          <w:marLeft w:val="0"/>
          <w:marRight w:val="0"/>
          <w:marTop w:val="0"/>
          <w:marBottom w:val="0"/>
          <w:divBdr>
            <w:top w:val="none" w:sz="0" w:space="0" w:color="auto"/>
            <w:left w:val="none" w:sz="0" w:space="0" w:color="auto"/>
            <w:bottom w:val="none" w:sz="0" w:space="0" w:color="auto"/>
            <w:right w:val="none" w:sz="0" w:space="0" w:color="auto"/>
          </w:divBdr>
        </w:div>
        <w:div w:id="1862280507">
          <w:marLeft w:val="0"/>
          <w:marRight w:val="0"/>
          <w:marTop w:val="0"/>
          <w:marBottom w:val="0"/>
          <w:divBdr>
            <w:top w:val="none" w:sz="0" w:space="0" w:color="auto"/>
            <w:left w:val="none" w:sz="0" w:space="0" w:color="auto"/>
            <w:bottom w:val="none" w:sz="0" w:space="0" w:color="auto"/>
            <w:right w:val="none" w:sz="0" w:space="0" w:color="auto"/>
          </w:divBdr>
        </w:div>
        <w:div w:id="1820078356">
          <w:marLeft w:val="0"/>
          <w:marRight w:val="0"/>
          <w:marTop w:val="0"/>
          <w:marBottom w:val="0"/>
          <w:divBdr>
            <w:top w:val="none" w:sz="0" w:space="0" w:color="auto"/>
            <w:left w:val="none" w:sz="0" w:space="0" w:color="auto"/>
            <w:bottom w:val="none" w:sz="0" w:space="0" w:color="auto"/>
            <w:right w:val="none" w:sz="0" w:space="0" w:color="auto"/>
          </w:divBdr>
        </w:div>
        <w:div w:id="1936748898">
          <w:marLeft w:val="0"/>
          <w:marRight w:val="0"/>
          <w:marTop w:val="0"/>
          <w:marBottom w:val="0"/>
          <w:divBdr>
            <w:top w:val="none" w:sz="0" w:space="0" w:color="auto"/>
            <w:left w:val="none" w:sz="0" w:space="0" w:color="auto"/>
            <w:bottom w:val="none" w:sz="0" w:space="0" w:color="auto"/>
            <w:right w:val="none" w:sz="0" w:space="0" w:color="auto"/>
          </w:divBdr>
        </w:div>
        <w:div w:id="1902327255">
          <w:marLeft w:val="0"/>
          <w:marRight w:val="0"/>
          <w:marTop w:val="0"/>
          <w:marBottom w:val="0"/>
          <w:divBdr>
            <w:top w:val="none" w:sz="0" w:space="0" w:color="auto"/>
            <w:left w:val="none" w:sz="0" w:space="0" w:color="auto"/>
            <w:bottom w:val="none" w:sz="0" w:space="0" w:color="auto"/>
            <w:right w:val="none" w:sz="0" w:space="0" w:color="auto"/>
          </w:divBdr>
        </w:div>
        <w:div w:id="173693581">
          <w:marLeft w:val="0"/>
          <w:marRight w:val="0"/>
          <w:marTop w:val="0"/>
          <w:marBottom w:val="0"/>
          <w:divBdr>
            <w:top w:val="none" w:sz="0" w:space="0" w:color="auto"/>
            <w:left w:val="none" w:sz="0" w:space="0" w:color="auto"/>
            <w:bottom w:val="none" w:sz="0" w:space="0" w:color="auto"/>
            <w:right w:val="none" w:sz="0" w:space="0" w:color="auto"/>
          </w:divBdr>
        </w:div>
        <w:div w:id="1776167964">
          <w:marLeft w:val="0"/>
          <w:marRight w:val="0"/>
          <w:marTop w:val="0"/>
          <w:marBottom w:val="0"/>
          <w:divBdr>
            <w:top w:val="none" w:sz="0" w:space="0" w:color="auto"/>
            <w:left w:val="none" w:sz="0" w:space="0" w:color="auto"/>
            <w:bottom w:val="none" w:sz="0" w:space="0" w:color="auto"/>
            <w:right w:val="none" w:sz="0" w:space="0" w:color="auto"/>
          </w:divBdr>
        </w:div>
        <w:div w:id="1236473239">
          <w:marLeft w:val="0"/>
          <w:marRight w:val="0"/>
          <w:marTop w:val="0"/>
          <w:marBottom w:val="0"/>
          <w:divBdr>
            <w:top w:val="none" w:sz="0" w:space="0" w:color="auto"/>
            <w:left w:val="none" w:sz="0" w:space="0" w:color="auto"/>
            <w:bottom w:val="none" w:sz="0" w:space="0" w:color="auto"/>
            <w:right w:val="none" w:sz="0" w:space="0" w:color="auto"/>
          </w:divBdr>
        </w:div>
        <w:div w:id="1229652429">
          <w:marLeft w:val="0"/>
          <w:marRight w:val="0"/>
          <w:marTop w:val="0"/>
          <w:marBottom w:val="0"/>
          <w:divBdr>
            <w:top w:val="none" w:sz="0" w:space="0" w:color="auto"/>
            <w:left w:val="none" w:sz="0" w:space="0" w:color="auto"/>
            <w:bottom w:val="none" w:sz="0" w:space="0" w:color="auto"/>
            <w:right w:val="none" w:sz="0" w:space="0" w:color="auto"/>
          </w:divBdr>
        </w:div>
        <w:div w:id="777407900">
          <w:marLeft w:val="0"/>
          <w:marRight w:val="0"/>
          <w:marTop w:val="0"/>
          <w:marBottom w:val="0"/>
          <w:divBdr>
            <w:top w:val="none" w:sz="0" w:space="0" w:color="auto"/>
            <w:left w:val="none" w:sz="0" w:space="0" w:color="auto"/>
            <w:bottom w:val="none" w:sz="0" w:space="0" w:color="auto"/>
            <w:right w:val="none" w:sz="0" w:space="0" w:color="auto"/>
          </w:divBdr>
        </w:div>
        <w:div w:id="152648535">
          <w:marLeft w:val="0"/>
          <w:marRight w:val="0"/>
          <w:marTop w:val="0"/>
          <w:marBottom w:val="0"/>
          <w:divBdr>
            <w:top w:val="none" w:sz="0" w:space="0" w:color="auto"/>
            <w:left w:val="none" w:sz="0" w:space="0" w:color="auto"/>
            <w:bottom w:val="none" w:sz="0" w:space="0" w:color="auto"/>
            <w:right w:val="none" w:sz="0" w:space="0" w:color="auto"/>
          </w:divBdr>
        </w:div>
        <w:div w:id="604726995">
          <w:marLeft w:val="0"/>
          <w:marRight w:val="0"/>
          <w:marTop w:val="0"/>
          <w:marBottom w:val="0"/>
          <w:divBdr>
            <w:top w:val="none" w:sz="0" w:space="0" w:color="auto"/>
            <w:left w:val="none" w:sz="0" w:space="0" w:color="auto"/>
            <w:bottom w:val="none" w:sz="0" w:space="0" w:color="auto"/>
            <w:right w:val="none" w:sz="0" w:space="0" w:color="auto"/>
          </w:divBdr>
        </w:div>
        <w:div w:id="1130703339">
          <w:marLeft w:val="0"/>
          <w:marRight w:val="0"/>
          <w:marTop w:val="0"/>
          <w:marBottom w:val="0"/>
          <w:divBdr>
            <w:top w:val="none" w:sz="0" w:space="0" w:color="auto"/>
            <w:left w:val="none" w:sz="0" w:space="0" w:color="auto"/>
            <w:bottom w:val="none" w:sz="0" w:space="0" w:color="auto"/>
            <w:right w:val="none" w:sz="0" w:space="0" w:color="auto"/>
          </w:divBdr>
        </w:div>
        <w:div w:id="806241212">
          <w:marLeft w:val="0"/>
          <w:marRight w:val="0"/>
          <w:marTop w:val="0"/>
          <w:marBottom w:val="0"/>
          <w:divBdr>
            <w:top w:val="none" w:sz="0" w:space="0" w:color="auto"/>
            <w:left w:val="none" w:sz="0" w:space="0" w:color="auto"/>
            <w:bottom w:val="none" w:sz="0" w:space="0" w:color="auto"/>
            <w:right w:val="none" w:sz="0" w:space="0" w:color="auto"/>
          </w:divBdr>
        </w:div>
        <w:div w:id="215288744">
          <w:marLeft w:val="0"/>
          <w:marRight w:val="0"/>
          <w:marTop w:val="0"/>
          <w:marBottom w:val="0"/>
          <w:divBdr>
            <w:top w:val="none" w:sz="0" w:space="0" w:color="auto"/>
            <w:left w:val="none" w:sz="0" w:space="0" w:color="auto"/>
            <w:bottom w:val="none" w:sz="0" w:space="0" w:color="auto"/>
            <w:right w:val="none" w:sz="0" w:space="0" w:color="auto"/>
          </w:divBdr>
        </w:div>
        <w:div w:id="1189954907">
          <w:marLeft w:val="0"/>
          <w:marRight w:val="0"/>
          <w:marTop w:val="0"/>
          <w:marBottom w:val="0"/>
          <w:divBdr>
            <w:top w:val="none" w:sz="0" w:space="0" w:color="auto"/>
            <w:left w:val="none" w:sz="0" w:space="0" w:color="auto"/>
            <w:bottom w:val="none" w:sz="0" w:space="0" w:color="auto"/>
            <w:right w:val="none" w:sz="0" w:space="0" w:color="auto"/>
          </w:divBdr>
        </w:div>
        <w:div w:id="1165559199">
          <w:marLeft w:val="0"/>
          <w:marRight w:val="0"/>
          <w:marTop w:val="0"/>
          <w:marBottom w:val="0"/>
          <w:divBdr>
            <w:top w:val="none" w:sz="0" w:space="0" w:color="auto"/>
            <w:left w:val="none" w:sz="0" w:space="0" w:color="auto"/>
            <w:bottom w:val="none" w:sz="0" w:space="0" w:color="auto"/>
            <w:right w:val="none" w:sz="0" w:space="0" w:color="auto"/>
          </w:divBdr>
        </w:div>
        <w:div w:id="759256627">
          <w:marLeft w:val="0"/>
          <w:marRight w:val="0"/>
          <w:marTop w:val="0"/>
          <w:marBottom w:val="0"/>
          <w:divBdr>
            <w:top w:val="none" w:sz="0" w:space="0" w:color="auto"/>
            <w:left w:val="none" w:sz="0" w:space="0" w:color="auto"/>
            <w:bottom w:val="none" w:sz="0" w:space="0" w:color="auto"/>
            <w:right w:val="none" w:sz="0" w:space="0" w:color="auto"/>
          </w:divBdr>
        </w:div>
        <w:div w:id="151063248">
          <w:marLeft w:val="0"/>
          <w:marRight w:val="0"/>
          <w:marTop w:val="0"/>
          <w:marBottom w:val="0"/>
          <w:divBdr>
            <w:top w:val="none" w:sz="0" w:space="0" w:color="auto"/>
            <w:left w:val="none" w:sz="0" w:space="0" w:color="auto"/>
            <w:bottom w:val="none" w:sz="0" w:space="0" w:color="auto"/>
            <w:right w:val="none" w:sz="0" w:space="0" w:color="auto"/>
          </w:divBdr>
        </w:div>
        <w:div w:id="1596555025">
          <w:marLeft w:val="0"/>
          <w:marRight w:val="0"/>
          <w:marTop w:val="0"/>
          <w:marBottom w:val="0"/>
          <w:divBdr>
            <w:top w:val="none" w:sz="0" w:space="0" w:color="auto"/>
            <w:left w:val="none" w:sz="0" w:space="0" w:color="auto"/>
            <w:bottom w:val="none" w:sz="0" w:space="0" w:color="auto"/>
            <w:right w:val="none" w:sz="0" w:space="0" w:color="auto"/>
          </w:divBdr>
        </w:div>
        <w:div w:id="1529484355">
          <w:marLeft w:val="0"/>
          <w:marRight w:val="0"/>
          <w:marTop w:val="0"/>
          <w:marBottom w:val="0"/>
          <w:divBdr>
            <w:top w:val="none" w:sz="0" w:space="0" w:color="auto"/>
            <w:left w:val="none" w:sz="0" w:space="0" w:color="auto"/>
            <w:bottom w:val="none" w:sz="0" w:space="0" w:color="auto"/>
            <w:right w:val="none" w:sz="0" w:space="0" w:color="auto"/>
          </w:divBdr>
        </w:div>
        <w:div w:id="1561937114">
          <w:marLeft w:val="0"/>
          <w:marRight w:val="0"/>
          <w:marTop w:val="0"/>
          <w:marBottom w:val="0"/>
          <w:divBdr>
            <w:top w:val="none" w:sz="0" w:space="0" w:color="auto"/>
            <w:left w:val="none" w:sz="0" w:space="0" w:color="auto"/>
            <w:bottom w:val="none" w:sz="0" w:space="0" w:color="auto"/>
            <w:right w:val="none" w:sz="0" w:space="0" w:color="auto"/>
          </w:divBdr>
        </w:div>
        <w:div w:id="2004621557">
          <w:marLeft w:val="0"/>
          <w:marRight w:val="0"/>
          <w:marTop w:val="0"/>
          <w:marBottom w:val="0"/>
          <w:divBdr>
            <w:top w:val="none" w:sz="0" w:space="0" w:color="auto"/>
            <w:left w:val="none" w:sz="0" w:space="0" w:color="auto"/>
            <w:bottom w:val="none" w:sz="0" w:space="0" w:color="auto"/>
            <w:right w:val="none" w:sz="0" w:space="0" w:color="auto"/>
          </w:divBdr>
        </w:div>
        <w:div w:id="2125155226">
          <w:marLeft w:val="0"/>
          <w:marRight w:val="0"/>
          <w:marTop w:val="0"/>
          <w:marBottom w:val="0"/>
          <w:divBdr>
            <w:top w:val="none" w:sz="0" w:space="0" w:color="auto"/>
            <w:left w:val="none" w:sz="0" w:space="0" w:color="auto"/>
            <w:bottom w:val="none" w:sz="0" w:space="0" w:color="auto"/>
            <w:right w:val="none" w:sz="0" w:space="0" w:color="auto"/>
          </w:divBdr>
        </w:div>
        <w:div w:id="1871455364">
          <w:marLeft w:val="0"/>
          <w:marRight w:val="0"/>
          <w:marTop w:val="0"/>
          <w:marBottom w:val="0"/>
          <w:divBdr>
            <w:top w:val="none" w:sz="0" w:space="0" w:color="auto"/>
            <w:left w:val="none" w:sz="0" w:space="0" w:color="auto"/>
            <w:bottom w:val="none" w:sz="0" w:space="0" w:color="auto"/>
            <w:right w:val="none" w:sz="0" w:space="0" w:color="auto"/>
          </w:divBdr>
        </w:div>
        <w:div w:id="1810517795">
          <w:marLeft w:val="0"/>
          <w:marRight w:val="0"/>
          <w:marTop w:val="0"/>
          <w:marBottom w:val="0"/>
          <w:divBdr>
            <w:top w:val="none" w:sz="0" w:space="0" w:color="auto"/>
            <w:left w:val="none" w:sz="0" w:space="0" w:color="auto"/>
            <w:bottom w:val="none" w:sz="0" w:space="0" w:color="auto"/>
            <w:right w:val="none" w:sz="0" w:space="0" w:color="auto"/>
          </w:divBdr>
        </w:div>
        <w:div w:id="311105912">
          <w:marLeft w:val="0"/>
          <w:marRight w:val="0"/>
          <w:marTop w:val="0"/>
          <w:marBottom w:val="0"/>
          <w:divBdr>
            <w:top w:val="none" w:sz="0" w:space="0" w:color="auto"/>
            <w:left w:val="none" w:sz="0" w:space="0" w:color="auto"/>
            <w:bottom w:val="none" w:sz="0" w:space="0" w:color="auto"/>
            <w:right w:val="none" w:sz="0" w:space="0" w:color="auto"/>
          </w:divBdr>
        </w:div>
        <w:div w:id="365177384">
          <w:marLeft w:val="0"/>
          <w:marRight w:val="0"/>
          <w:marTop w:val="0"/>
          <w:marBottom w:val="0"/>
          <w:divBdr>
            <w:top w:val="none" w:sz="0" w:space="0" w:color="auto"/>
            <w:left w:val="none" w:sz="0" w:space="0" w:color="auto"/>
            <w:bottom w:val="none" w:sz="0" w:space="0" w:color="auto"/>
            <w:right w:val="none" w:sz="0" w:space="0" w:color="auto"/>
          </w:divBdr>
        </w:div>
        <w:div w:id="1531379927">
          <w:marLeft w:val="0"/>
          <w:marRight w:val="0"/>
          <w:marTop w:val="0"/>
          <w:marBottom w:val="0"/>
          <w:divBdr>
            <w:top w:val="none" w:sz="0" w:space="0" w:color="auto"/>
            <w:left w:val="none" w:sz="0" w:space="0" w:color="auto"/>
            <w:bottom w:val="none" w:sz="0" w:space="0" w:color="auto"/>
            <w:right w:val="none" w:sz="0" w:space="0" w:color="auto"/>
          </w:divBdr>
        </w:div>
        <w:div w:id="1038700118">
          <w:marLeft w:val="0"/>
          <w:marRight w:val="0"/>
          <w:marTop w:val="0"/>
          <w:marBottom w:val="0"/>
          <w:divBdr>
            <w:top w:val="none" w:sz="0" w:space="0" w:color="auto"/>
            <w:left w:val="none" w:sz="0" w:space="0" w:color="auto"/>
            <w:bottom w:val="none" w:sz="0" w:space="0" w:color="auto"/>
            <w:right w:val="none" w:sz="0" w:space="0" w:color="auto"/>
          </w:divBdr>
        </w:div>
        <w:div w:id="1496451836">
          <w:marLeft w:val="0"/>
          <w:marRight w:val="0"/>
          <w:marTop w:val="0"/>
          <w:marBottom w:val="0"/>
          <w:divBdr>
            <w:top w:val="none" w:sz="0" w:space="0" w:color="auto"/>
            <w:left w:val="none" w:sz="0" w:space="0" w:color="auto"/>
            <w:bottom w:val="none" w:sz="0" w:space="0" w:color="auto"/>
            <w:right w:val="none" w:sz="0" w:space="0" w:color="auto"/>
          </w:divBdr>
        </w:div>
        <w:div w:id="54667943">
          <w:marLeft w:val="0"/>
          <w:marRight w:val="0"/>
          <w:marTop w:val="0"/>
          <w:marBottom w:val="0"/>
          <w:divBdr>
            <w:top w:val="none" w:sz="0" w:space="0" w:color="auto"/>
            <w:left w:val="none" w:sz="0" w:space="0" w:color="auto"/>
            <w:bottom w:val="none" w:sz="0" w:space="0" w:color="auto"/>
            <w:right w:val="none" w:sz="0" w:space="0" w:color="auto"/>
          </w:divBdr>
        </w:div>
        <w:div w:id="1613169628">
          <w:marLeft w:val="0"/>
          <w:marRight w:val="0"/>
          <w:marTop w:val="0"/>
          <w:marBottom w:val="0"/>
          <w:divBdr>
            <w:top w:val="none" w:sz="0" w:space="0" w:color="auto"/>
            <w:left w:val="none" w:sz="0" w:space="0" w:color="auto"/>
            <w:bottom w:val="none" w:sz="0" w:space="0" w:color="auto"/>
            <w:right w:val="none" w:sz="0" w:space="0" w:color="auto"/>
          </w:divBdr>
        </w:div>
        <w:div w:id="525950829">
          <w:marLeft w:val="0"/>
          <w:marRight w:val="0"/>
          <w:marTop w:val="0"/>
          <w:marBottom w:val="0"/>
          <w:divBdr>
            <w:top w:val="none" w:sz="0" w:space="0" w:color="auto"/>
            <w:left w:val="none" w:sz="0" w:space="0" w:color="auto"/>
            <w:bottom w:val="none" w:sz="0" w:space="0" w:color="auto"/>
            <w:right w:val="none" w:sz="0" w:space="0" w:color="auto"/>
          </w:divBdr>
        </w:div>
        <w:div w:id="200482136">
          <w:marLeft w:val="0"/>
          <w:marRight w:val="0"/>
          <w:marTop w:val="0"/>
          <w:marBottom w:val="0"/>
          <w:divBdr>
            <w:top w:val="none" w:sz="0" w:space="0" w:color="auto"/>
            <w:left w:val="none" w:sz="0" w:space="0" w:color="auto"/>
            <w:bottom w:val="none" w:sz="0" w:space="0" w:color="auto"/>
            <w:right w:val="none" w:sz="0" w:space="0" w:color="auto"/>
          </w:divBdr>
        </w:div>
        <w:div w:id="1454977681">
          <w:marLeft w:val="0"/>
          <w:marRight w:val="0"/>
          <w:marTop w:val="0"/>
          <w:marBottom w:val="0"/>
          <w:divBdr>
            <w:top w:val="none" w:sz="0" w:space="0" w:color="auto"/>
            <w:left w:val="none" w:sz="0" w:space="0" w:color="auto"/>
            <w:bottom w:val="none" w:sz="0" w:space="0" w:color="auto"/>
            <w:right w:val="none" w:sz="0" w:space="0" w:color="auto"/>
          </w:divBdr>
        </w:div>
        <w:div w:id="1834294128">
          <w:marLeft w:val="0"/>
          <w:marRight w:val="0"/>
          <w:marTop w:val="0"/>
          <w:marBottom w:val="0"/>
          <w:divBdr>
            <w:top w:val="none" w:sz="0" w:space="0" w:color="auto"/>
            <w:left w:val="none" w:sz="0" w:space="0" w:color="auto"/>
            <w:bottom w:val="none" w:sz="0" w:space="0" w:color="auto"/>
            <w:right w:val="none" w:sz="0" w:space="0" w:color="auto"/>
          </w:divBdr>
        </w:div>
        <w:div w:id="794830919">
          <w:marLeft w:val="0"/>
          <w:marRight w:val="0"/>
          <w:marTop w:val="0"/>
          <w:marBottom w:val="0"/>
          <w:divBdr>
            <w:top w:val="none" w:sz="0" w:space="0" w:color="auto"/>
            <w:left w:val="none" w:sz="0" w:space="0" w:color="auto"/>
            <w:bottom w:val="none" w:sz="0" w:space="0" w:color="auto"/>
            <w:right w:val="none" w:sz="0" w:space="0" w:color="auto"/>
          </w:divBdr>
        </w:div>
        <w:div w:id="959606500">
          <w:marLeft w:val="0"/>
          <w:marRight w:val="0"/>
          <w:marTop w:val="0"/>
          <w:marBottom w:val="0"/>
          <w:divBdr>
            <w:top w:val="none" w:sz="0" w:space="0" w:color="auto"/>
            <w:left w:val="none" w:sz="0" w:space="0" w:color="auto"/>
            <w:bottom w:val="none" w:sz="0" w:space="0" w:color="auto"/>
            <w:right w:val="none" w:sz="0" w:space="0" w:color="auto"/>
          </w:divBdr>
        </w:div>
        <w:div w:id="1339427709">
          <w:marLeft w:val="0"/>
          <w:marRight w:val="0"/>
          <w:marTop w:val="0"/>
          <w:marBottom w:val="0"/>
          <w:divBdr>
            <w:top w:val="none" w:sz="0" w:space="0" w:color="auto"/>
            <w:left w:val="none" w:sz="0" w:space="0" w:color="auto"/>
            <w:bottom w:val="none" w:sz="0" w:space="0" w:color="auto"/>
            <w:right w:val="none" w:sz="0" w:space="0" w:color="auto"/>
          </w:divBdr>
        </w:div>
        <w:div w:id="1457681201">
          <w:marLeft w:val="0"/>
          <w:marRight w:val="0"/>
          <w:marTop w:val="0"/>
          <w:marBottom w:val="0"/>
          <w:divBdr>
            <w:top w:val="none" w:sz="0" w:space="0" w:color="auto"/>
            <w:left w:val="none" w:sz="0" w:space="0" w:color="auto"/>
            <w:bottom w:val="none" w:sz="0" w:space="0" w:color="auto"/>
            <w:right w:val="none" w:sz="0" w:space="0" w:color="auto"/>
          </w:divBdr>
        </w:div>
        <w:div w:id="1147092742">
          <w:marLeft w:val="0"/>
          <w:marRight w:val="0"/>
          <w:marTop w:val="0"/>
          <w:marBottom w:val="0"/>
          <w:divBdr>
            <w:top w:val="none" w:sz="0" w:space="0" w:color="auto"/>
            <w:left w:val="none" w:sz="0" w:space="0" w:color="auto"/>
            <w:bottom w:val="none" w:sz="0" w:space="0" w:color="auto"/>
            <w:right w:val="none" w:sz="0" w:space="0" w:color="auto"/>
          </w:divBdr>
        </w:div>
        <w:div w:id="1403025781">
          <w:marLeft w:val="0"/>
          <w:marRight w:val="0"/>
          <w:marTop w:val="0"/>
          <w:marBottom w:val="0"/>
          <w:divBdr>
            <w:top w:val="none" w:sz="0" w:space="0" w:color="auto"/>
            <w:left w:val="none" w:sz="0" w:space="0" w:color="auto"/>
            <w:bottom w:val="none" w:sz="0" w:space="0" w:color="auto"/>
            <w:right w:val="none" w:sz="0" w:space="0" w:color="auto"/>
          </w:divBdr>
        </w:div>
        <w:div w:id="532159510">
          <w:marLeft w:val="0"/>
          <w:marRight w:val="0"/>
          <w:marTop w:val="0"/>
          <w:marBottom w:val="0"/>
          <w:divBdr>
            <w:top w:val="none" w:sz="0" w:space="0" w:color="auto"/>
            <w:left w:val="none" w:sz="0" w:space="0" w:color="auto"/>
            <w:bottom w:val="none" w:sz="0" w:space="0" w:color="auto"/>
            <w:right w:val="none" w:sz="0" w:space="0" w:color="auto"/>
          </w:divBdr>
        </w:div>
        <w:div w:id="363992407">
          <w:marLeft w:val="0"/>
          <w:marRight w:val="0"/>
          <w:marTop w:val="0"/>
          <w:marBottom w:val="0"/>
          <w:divBdr>
            <w:top w:val="none" w:sz="0" w:space="0" w:color="auto"/>
            <w:left w:val="none" w:sz="0" w:space="0" w:color="auto"/>
            <w:bottom w:val="none" w:sz="0" w:space="0" w:color="auto"/>
            <w:right w:val="none" w:sz="0" w:space="0" w:color="auto"/>
          </w:divBdr>
        </w:div>
        <w:div w:id="704868406">
          <w:marLeft w:val="0"/>
          <w:marRight w:val="0"/>
          <w:marTop w:val="0"/>
          <w:marBottom w:val="0"/>
          <w:divBdr>
            <w:top w:val="none" w:sz="0" w:space="0" w:color="auto"/>
            <w:left w:val="none" w:sz="0" w:space="0" w:color="auto"/>
            <w:bottom w:val="none" w:sz="0" w:space="0" w:color="auto"/>
            <w:right w:val="none" w:sz="0" w:space="0" w:color="auto"/>
          </w:divBdr>
        </w:div>
        <w:div w:id="1921669291">
          <w:marLeft w:val="0"/>
          <w:marRight w:val="0"/>
          <w:marTop w:val="0"/>
          <w:marBottom w:val="0"/>
          <w:divBdr>
            <w:top w:val="none" w:sz="0" w:space="0" w:color="auto"/>
            <w:left w:val="none" w:sz="0" w:space="0" w:color="auto"/>
            <w:bottom w:val="none" w:sz="0" w:space="0" w:color="auto"/>
            <w:right w:val="none" w:sz="0" w:space="0" w:color="auto"/>
          </w:divBdr>
        </w:div>
        <w:div w:id="1072779475">
          <w:marLeft w:val="0"/>
          <w:marRight w:val="0"/>
          <w:marTop w:val="0"/>
          <w:marBottom w:val="0"/>
          <w:divBdr>
            <w:top w:val="none" w:sz="0" w:space="0" w:color="auto"/>
            <w:left w:val="none" w:sz="0" w:space="0" w:color="auto"/>
            <w:bottom w:val="none" w:sz="0" w:space="0" w:color="auto"/>
            <w:right w:val="none" w:sz="0" w:space="0" w:color="auto"/>
          </w:divBdr>
        </w:div>
        <w:div w:id="1519391480">
          <w:marLeft w:val="0"/>
          <w:marRight w:val="0"/>
          <w:marTop w:val="0"/>
          <w:marBottom w:val="0"/>
          <w:divBdr>
            <w:top w:val="none" w:sz="0" w:space="0" w:color="auto"/>
            <w:left w:val="none" w:sz="0" w:space="0" w:color="auto"/>
            <w:bottom w:val="none" w:sz="0" w:space="0" w:color="auto"/>
            <w:right w:val="none" w:sz="0" w:space="0" w:color="auto"/>
          </w:divBdr>
        </w:div>
        <w:div w:id="835723953">
          <w:marLeft w:val="0"/>
          <w:marRight w:val="0"/>
          <w:marTop w:val="0"/>
          <w:marBottom w:val="0"/>
          <w:divBdr>
            <w:top w:val="none" w:sz="0" w:space="0" w:color="auto"/>
            <w:left w:val="none" w:sz="0" w:space="0" w:color="auto"/>
            <w:bottom w:val="none" w:sz="0" w:space="0" w:color="auto"/>
            <w:right w:val="none" w:sz="0" w:space="0" w:color="auto"/>
          </w:divBdr>
        </w:div>
        <w:div w:id="1704817820">
          <w:marLeft w:val="0"/>
          <w:marRight w:val="0"/>
          <w:marTop w:val="0"/>
          <w:marBottom w:val="0"/>
          <w:divBdr>
            <w:top w:val="none" w:sz="0" w:space="0" w:color="auto"/>
            <w:left w:val="none" w:sz="0" w:space="0" w:color="auto"/>
            <w:bottom w:val="none" w:sz="0" w:space="0" w:color="auto"/>
            <w:right w:val="none" w:sz="0" w:space="0" w:color="auto"/>
          </w:divBdr>
        </w:div>
        <w:div w:id="544173869">
          <w:marLeft w:val="0"/>
          <w:marRight w:val="0"/>
          <w:marTop w:val="0"/>
          <w:marBottom w:val="0"/>
          <w:divBdr>
            <w:top w:val="none" w:sz="0" w:space="0" w:color="auto"/>
            <w:left w:val="none" w:sz="0" w:space="0" w:color="auto"/>
            <w:bottom w:val="none" w:sz="0" w:space="0" w:color="auto"/>
            <w:right w:val="none" w:sz="0" w:space="0" w:color="auto"/>
          </w:divBdr>
        </w:div>
        <w:div w:id="861435408">
          <w:marLeft w:val="0"/>
          <w:marRight w:val="0"/>
          <w:marTop w:val="0"/>
          <w:marBottom w:val="0"/>
          <w:divBdr>
            <w:top w:val="none" w:sz="0" w:space="0" w:color="auto"/>
            <w:left w:val="none" w:sz="0" w:space="0" w:color="auto"/>
            <w:bottom w:val="none" w:sz="0" w:space="0" w:color="auto"/>
            <w:right w:val="none" w:sz="0" w:space="0" w:color="auto"/>
          </w:divBdr>
        </w:div>
        <w:div w:id="2104455749">
          <w:marLeft w:val="0"/>
          <w:marRight w:val="0"/>
          <w:marTop w:val="0"/>
          <w:marBottom w:val="0"/>
          <w:divBdr>
            <w:top w:val="none" w:sz="0" w:space="0" w:color="auto"/>
            <w:left w:val="none" w:sz="0" w:space="0" w:color="auto"/>
            <w:bottom w:val="none" w:sz="0" w:space="0" w:color="auto"/>
            <w:right w:val="none" w:sz="0" w:space="0" w:color="auto"/>
          </w:divBdr>
        </w:div>
        <w:div w:id="1985961617">
          <w:marLeft w:val="0"/>
          <w:marRight w:val="0"/>
          <w:marTop w:val="0"/>
          <w:marBottom w:val="0"/>
          <w:divBdr>
            <w:top w:val="none" w:sz="0" w:space="0" w:color="auto"/>
            <w:left w:val="none" w:sz="0" w:space="0" w:color="auto"/>
            <w:bottom w:val="none" w:sz="0" w:space="0" w:color="auto"/>
            <w:right w:val="none" w:sz="0" w:space="0" w:color="auto"/>
          </w:divBdr>
        </w:div>
        <w:div w:id="1981686237">
          <w:marLeft w:val="0"/>
          <w:marRight w:val="0"/>
          <w:marTop w:val="0"/>
          <w:marBottom w:val="0"/>
          <w:divBdr>
            <w:top w:val="none" w:sz="0" w:space="0" w:color="auto"/>
            <w:left w:val="none" w:sz="0" w:space="0" w:color="auto"/>
            <w:bottom w:val="none" w:sz="0" w:space="0" w:color="auto"/>
            <w:right w:val="none" w:sz="0" w:space="0" w:color="auto"/>
          </w:divBdr>
        </w:div>
        <w:div w:id="754790429">
          <w:marLeft w:val="0"/>
          <w:marRight w:val="0"/>
          <w:marTop w:val="0"/>
          <w:marBottom w:val="0"/>
          <w:divBdr>
            <w:top w:val="none" w:sz="0" w:space="0" w:color="auto"/>
            <w:left w:val="none" w:sz="0" w:space="0" w:color="auto"/>
            <w:bottom w:val="none" w:sz="0" w:space="0" w:color="auto"/>
            <w:right w:val="none" w:sz="0" w:space="0" w:color="auto"/>
          </w:divBdr>
        </w:div>
        <w:div w:id="1540895382">
          <w:marLeft w:val="0"/>
          <w:marRight w:val="0"/>
          <w:marTop w:val="0"/>
          <w:marBottom w:val="0"/>
          <w:divBdr>
            <w:top w:val="none" w:sz="0" w:space="0" w:color="auto"/>
            <w:left w:val="none" w:sz="0" w:space="0" w:color="auto"/>
            <w:bottom w:val="none" w:sz="0" w:space="0" w:color="auto"/>
            <w:right w:val="none" w:sz="0" w:space="0" w:color="auto"/>
          </w:divBdr>
        </w:div>
        <w:div w:id="1318920445">
          <w:marLeft w:val="0"/>
          <w:marRight w:val="0"/>
          <w:marTop w:val="0"/>
          <w:marBottom w:val="0"/>
          <w:divBdr>
            <w:top w:val="none" w:sz="0" w:space="0" w:color="auto"/>
            <w:left w:val="none" w:sz="0" w:space="0" w:color="auto"/>
            <w:bottom w:val="none" w:sz="0" w:space="0" w:color="auto"/>
            <w:right w:val="none" w:sz="0" w:space="0" w:color="auto"/>
          </w:divBdr>
        </w:div>
        <w:div w:id="222839032">
          <w:marLeft w:val="0"/>
          <w:marRight w:val="0"/>
          <w:marTop w:val="0"/>
          <w:marBottom w:val="0"/>
          <w:divBdr>
            <w:top w:val="none" w:sz="0" w:space="0" w:color="auto"/>
            <w:left w:val="none" w:sz="0" w:space="0" w:color="auto"/>
            <w:bottom w:val="none" w:sz="0" w:space="0" w:color="auto"/>
            <w:right w:val="none" w:sz="0" w:space="0" w:color="auto"/>
          </w:divBdr>
        </w:div>
        <w:div w:id="268122458">
          <w:marLeft w:val="0"/>
          <w:marRight w:val="0"/>
          <w:marTop w:val="0"/>
          <w:marBottom w:val="0"/>
          <w:divBdr>
            <w:top w:val="none" w:sz="0" w:space="0" w:color="auto"/>
            <w:left w:val="none" w:sz="0" w:space="0" w:color="auto"/>
            <w:bottom w:val="none" w:sz="0" w:space="0" w:color="auto"/>
            <w:right w:val="none" w:sz="0" w:space="0" w:color="auto"/>
          </w:divBdr>
        </w:div>
        <w:div w:id="1330449613">
          <w:marLeft w:val="0"/>
          <w:marRight w:val="0"/>
          <w:marTop w:val="0"/>
          <w:marBottom w:val="0"/>
          <w:divBdr>
            <w:top w:val="none" w:sz="0" w:space="0" w:color="auto"/>
            <w:left w:val="none" w:sz="0" w:space="0" w:color="auto"/>
            <w:bottom w:val="none" w:sz="0" w:space="0" w:color="auto"/>
            <w:right w:val="none" w:sz="0" w:space="0" w:color="auto"/>
          </w:divBdr>
        </w:div>
        <w:div w:id="274407434">
          <w:marLeft w:val="0"/>
          <w:marRight w:val="0"/>
          <w:marTop w:val="0"/>
          <w:marBottom w:val="0"/>
          <w:divBdr>
            <w:top w:val="none" w:sz="0" w:space="0" w:color="auto"/>
            <w:left w:val="none" w:sz="0" w:space="0" w:color="auto"/>
            <w:bottom w:val="none" w:sz="0" w:space="0" w:color="auto"/>
            <w:right w:val="none" w:sz="0" w:space="0" w:color="auto"/>
          </w:divBdr>
        </w:div>
        <w:div w:id="999163540">
          <w:marLeft w:val="0"/>
          <w:marRight w:val="0"/>
          <w:marTop w:val="0"/>
          <w:marBottom w:val="0"/>
          <w:divBdr>
            <w:top w:val="none" w:sz="0" w:space="0" w:color="auto"/>
            <w:left w:val="none" w:sz="0" w:space="0" w:color="auto"/>
            <w:bottom w:val="none" w:sz="0" w:space="0" w:color="auto"/>
            <w:right w:val="none" w:sz="0" w:space="0" w:color="auto"/>
          </w:divBdr>
        </w:div>
        <w:div w:id="1725644627">
          <w:marLeft w:val="0"/>
          <w:marRight w:val="0"/>
          <w:marTop w:val="0"/>
          <w:marBottom w:val="0"/>
          <w:divBdr>
            <w:top w:val="none" w:sz="0" w:space="0" w:color="auto"/>
            <w:left w:val="none" w:sz="0" w:space="0" w:color="auto"/>
            <w:bottom w:val="none" w:sz="0" w:space="0" w:color="auto"/>
            <w:right w:val="none" w:sz="0" w:space="0" w:color="auto"/>
          </w:divBdr>
        </w:div>
        <w:div w:id="1809085254">
          <w:marLeft w:val="0"/>
          <w:marRight w:val="0"/>
          <w:marTop w:val="0"/>
          <w:marBottom w:val="0"/>
          <w:divBdr>
            <w:top w:val="none" w:sz="0" w:space="0" w:color="auto"/>
            <w:left w:val="none" w:sz="0" w:space="0" w:color="auto"/>
            <w:bottom w:val="none" w:sz="0" w:space="0" w:color="auto"/>
            <w:right w:val="none" w:sz="0" w:space="0" w:color="auto"/>
          </w:divBdr>
        </w:div>
        <w:div w:id="1871603950">
          <w:marLeft w:val="0"/>
          <w:marRight w:val="0"/>
          <w:marTop w:val="0"/>
          <w:marBottom w:val="0"/>
          <w:divBdr>
            <w:top w:val="none" w:sz="0" w:space="0" w:color="auto"/>
            <w:left w:val="none" w:sz="0" w:space="0" w:color="auto"/>
            <w:bottom w:val="none" w:sz="0" w:space="0" w:color="auto"/>
            <w:right w:val="none" w:sz="0" w:space="0" w:color="auto"/>
          </w:divBdr>
        </w:div>
        <w:div w:id="442042727">
          <w:marLeft w:val="0"/>
          <w:marRight w:val="0"/>
          <w:marTop w:val="0"/>
          <w:marBottom w:val="0"/>
          <w:divBdr>
            <w:top w:val="none" w:sz="0" w:space="0" w:color="auto"/>
            <w:left w:val="none" w:sz="0" w:space="0" w:color="auto"/>
            <w:bottom w:val="none" w:sz="0" w:space="0" w:color="auto"/>
            <w:right w:val="none" w:sz="0" w:space="0" w:color="auto"/>
          </w:divBdr>
        </w:div>
        <w:div w:id="1192764727">
          <w:marLeft w:val="0"/>
          <w:marRight w:val="0"/>
          <w:marTop w:val="0"/>
          <w:marBottom w:val="0"/>
          <w:divBdr>
            <w:top w:val="none" w:sz="0" w:space="0" w:color="auto"/>
            <w:left w:val="none" w:sz="0" w:space="0" w:color="auto"/>
            <w:bottom w:val="none" w:sz="0" w:space="0" w:color="auto"/>
            <w:right w:val="none" w:sz="0" w:space="0" w:color="auto"/>
          </w:divBdr>
        </w:div>
        <w:div w:id="1027829173">
          <w:marLeft w:val="0"/>
          <w:marRight w:val="0"/>
          <w:marTop w:val="0"/>
          <w:marBottom w:val="0"/>
          <w:divBdr>
            <w:top w:val="none" w:sz="0" w:space="0" w:color="auto"/>
            <w:left w:val="none" w:sz="0" w:space="0" w:color="auto"/>
            <w:bottom w:val="none" w:sz="0" w:space="0" w:color="auto"/>
            <w:right w:val="none" w:sz="0" w:space="0" w:color="auto"/>
          </w:divBdr>
        </w:div>
        <w:div w:id="1716539478">
          <w:marLeft w:val="0"/>
          <w:marRight w:val="0"/>
          <w:marTop w:val="0"/>
          <w:marBottom w:val="0"/>
          <w:divBdr>
            <w:top w:val="none" w:sz="0" w:space="0" w:color="auto"/>
            <w:left w:val="none" w:sz="0" w:space="0" w:color="auto"/>
            <w:bottom w:val="none" w:sz="0" w:space="0" w:color="auto"/>
            <w:right w:val="none" w:sz="0" w:space="0" w:color="auto"/>
          </w:divBdr>
        </w:div>
        <w:div w:id="45296629">
          <w:marLeft w:val="0"/>
          <w:marRight w:val="0"/>
          <w:marTop w:val="0"/>
          <w:marBottom w:val="0"/>
          <w:divBdr>
            <w:top w:val="none" w:sz="0" w:space="0" w:color="auto"/>
            <w:left w:val="none" w:sz="0" w:space="0" w:color="auto"/>
            <w:bottom w:val="none" w:sz="0" w:space="0" w:color="auto"/>
            <w:right w:val="none" w:sz="0" w:space="0" w:color="auto"/>
          </w:divBdr>
        </w:div>
        <w:div w:id="1940065280">
          <w:marLeft w:val="0"/>
          <w:marRight w:val="0"/>
          <w:marTop w:val="0"/>
          <w:marBottom w:val="0"/>
          <w:divBdr>
            <w:top w:val="none" w:sz="0" w:space="0" w:color="auto"/>
            <w:left w:val="none" w:sz="0" w:space="0" w:color="auto"/>
            <w:bottom w:val="none" w:sz="0" w:space="0" w:color="auto"/>
            <w:right w:val="none" w:sz="0" w:space="0" w:color="auto"/>
          </w:divBdr>
        </w:div>
        <w:div w:id="1812138933">
          <w:marLeft w:val="0"/>
          <w:marRight w:val="0"/>
          <w:marTop w:val="0"/>
          <w:marBottom w:val="0"/>
          <w:divBdr>
            <w:top w:val="none" w:sz="0" w:space="0" w:color="auto"/>
            <w:left w:val="none" w:sz="0" w:space="0" w:color="auto"/>
            <w:bottom w:val="none" w:sz="0" w:space="0" w:color="auto"/>
            <w:right w:val="none" w:sz="0" w:space="0" w:color="auto"/>
          </w:divBdr>
        </w:div>
        <w:div w:id="857624392">
          <w:marLeft w:val="0"/>
          <w:marRight w:val="0"/>
          <w:marTop w:val="0"/>
          <w:marBottom w:val="0"/>
          <w:divBdr>
            <w:top w:val="none" w:sz="0" w:space="0" w:color="auto"/>
            <w:left w:val="none" w:sz="0" w:space="0" w:color="auto"/>
            <w:bottom w:val="none" w:sz="0" w:space="0" w:color="auto"/>
            <w:right w:val="none" w:sz="0" w:space="0" w:color="auto"/>
          </w:divBdr>
        </w:div>
        <w:div w:id="684358177">
          <w:marLeft w:val="0"/>
          <w:marRight w:val="0"/>
          <w:marTop w:val="0"/>
          <w:marBottom w:val="0"/>
          <w:divBdr>
            <w:top w:val="none" w:sz="0" w:space="0" w:color="auto"/>
            <w:left w:val="none" w:sz="0" w:space="0" w:color="auto"/>
            <w:bottom w:val="none" w:sz="0" w:space="0" w:color="auto"/>
            <w:right w:val="none" w:sz="0" w:space="0" w:color="auto"/>
          </w:divBdr>
        </w:div>
        <w:div w:id="2055612365">
          <w:marLeft w:val="0"/>
          <w:marRight w:val="0"/>
          <w:marTop w:val="0"/>
          <w:marBottom w:val="0"/>
          <w:divBdr>
            <w:top w:val="none" w:sz="0" w:space="0" w:color="auto"/>
            <w:left w:val="none" w:sz="0" w:space="0" w:color="auto"/>
            <w:bottom w:val="none" w:sz="0" w:space="0" w:color="auto"/>
            <w:right w:val="none" w:sz="0" w:space="0" w:color="auto"/>
          </w:divBdr>
        </w:div>
        <w:div w:id="166558013">
          <w:marLeft w:val="0"/>
          <w:marRight w:val="0"/>
          <w:marTop w:val="0"/>
          <w:marBottom w:val="0"/>
          <w:divBdr>
            <w:top w:val="none" w:sz="0" w:space="0" w:color="auto"/>
            <w:left w:val="none" w:sz="0" w:space="0" w:color="auto"/>
            <w:bottom w:val="none" w:sz="0" w:space="0" w:color="auto"/>
            <w:right w:val="none" w:sz="0" w:space="0" w:color="auto"/>
          </w:divBdr>
        </w:div>
        <w:div w:id="865411339">
          <w:marLeft w:val="0"/>
          <w:marRight w:val="0"/>
          <w:marTop w:val="0"/>
          <w:marBottom w:val="0"/>
          <w:divBdr>
            <w:top w:val="none" w:sz="0" w:space="0" w:color="auto"/>
            <w:left w:val="none" w:sz="0" w:space="0" w:color="auto"/>
            <w:bottom w:val="none" w:sz="0" w:space="0" w:color="auto"/>
            <w:right w:val="none" w:sz="0" w:space="0" w:color="auto"/>
          </w:divBdr>
        </w:div>
        <w:div w:id="925042604">
          <w:marLeft w:val="0"/>
          <w:marRight w:val="0"/>
          <w:marTop w:val="0"/>
          <w:marBottom w:val="0"/>
          <w:divBdr>
            <w:top w:val="none" w:sz="0" w:space="0" w:color="auto"/>
            <w:left w:val="none" w:sz="0" w:space="0" w:color="auto"/>
            <w:bottom w:val="none" w:sz="0" w:space="0" w:color="auto"/>
            <w:right w:val="none" w:sz="0" w:space="0" w:color="auto"/>
          </w:divBdr>
        </w:div>
        <w:div w:id="1810123295">
          <w:marLeft w:val="0"/>
          <w:marRight w:val="0"/>
          <w:marTop w:val="0"/>
          <w:marBottom w:val="0"/>
          <w:divBdr>
            <w:top w:val="none" w:sz="0" w:space="0" w:color="auto"/>
            <w:left w:val="none" w:sz="0" w:space="0" w:color="auto"/>
            <w:bottom w:val="none" w:sz="0" w:space="0" w:color="auto"/>
            <w:right w:val="none" w:sz="0" w:space="0" w:color="auto"/>
          </w:divBdr>
        </w:div>
        <w:div w:id="480118493">
          <w:marLeft w:val="0"/>
          <w:marRight w:val="0"/>
          <w:marTop w:val="0"/>
          <w:marBottom w:val="0"/>
          <w:divBdr>
            <w:top w:val="none" w:sz="0" w:space="0" w:color="auto"/>
            <w:left w:val="none" w:sz="0" w:space="0" w:color="auto"/>
            <w:bottom w:val="none" w:sz="0" w:space="0" w:color="auto"/>
            <w:right w:val="none" w:sz="0" w:space="0" w:color="auto"/>
          </w:divBdr>
        </w:div>
        <w:div w:id="1756515457">
          <w:marLeft w:val="0"/>
          <w:marRight w:val="0"/>
          <w:marTop w:val="0"/>
          <w:marBottom w:val="0"/>
          <w:divBdr>
            <w:top w:val="none" w:sz="0" w:space="0" w:color="auto"/>
            <w:left w:val="none" w:sz="0" w:space="0" w:color="auto"/>
            <w:bottom w:val="none" w:sz="0" w:space="0" w:color="auto"/>
            <w:right w:val="none" w:sz="0" w:space="0" w:color="auto"/>
          </w:divBdr>
        </w:div>
        <w:div w:id="27144064">
          <w:marLeft w:val="0"/>
          <w:marRight w:val="0"/>
          <w:marTop w:val="0"/>
          <w:marBottom w:val="0"/>
          <w:divBdr>
            <w:top w:val="none" w:sz="0" w:space="0" w:color="auto"/>
            <w:left w:val="none" w:sz="0" w:space="0" w:color="auto"/>
            <w:bottom w:val="none" w:sz="0" w:space="0" w:color="auto"/>
            <w:right w:val="none" w:sz="0" w:space="0" w:color="auto"/>
          </w:divBdr>
        </w:div>
        <w:div w:id="1639144397">
          <w:marLeft w:val="0"/>
          <w:marRight w:val="0"/>
          <w:marTop w:val="0"/>
          <w:marBottom w:val="0"/>
          <w:divBdr>
            <w:top w:val="none" w:sz="0" w:space="0" w:color="auto"/>
            <w:left w:val="none" w:sz="0" w:space="0" w:color="auto"/>
            <w:bottom w:val="none" w:sz="0" w:space="0" w:color="auto"/>
            <w:right w:val="none" w:sz="0" w:space="0" w:color="auto"/>
          </w:divBdr>
        </w:div>
        <w:div w:id="2041542259">
          <w:marLeft w:val="0"/>
          <w:marRight w:val="0"/>
          <w:marTop w:val="0"/>
          <w:marBottom w:val="0"/>
          <w:divBdr>
            <w:top w:val="none" w:sz="0" w:space="0" w:color="auto"/>
            <w:left w:val="none" w:sz="0" w:space="0" w:color="auto"/>
            <w:bottom w:val="none" w:sz="0" w:space="0" w:color="auto"/>
            <w:right w:val="none" w:sz="0" w:space="0" w:color="auto"/>
          </w:divBdr>
        </w:div>
        <w:div w:id="1236939885">
          <w:marLeft w:val="0"/>
          <w:marRight w:val="0"/>
          <w:marTop w:val="0"/>
          <w:marBottom w:val="0"/>
          <w:divBdr>
            <w:top w:val="none" w:sz="0" w:space="0" w:color="auto"/>
            <w:left w:val="none" w:sz="0" w:space="0" w:color="auto"/>
            <w:bottom w:val="none" w:sz="0" w:space="0" w:color="auto"/>
            <w:right w:val="none" w:sz="0" w:space="0" w:color="auto"/>
          </w:divBdr>
        </w:div>
        <w:div w:id="1524704396">
          <w:marLeft w:val="0"/>
          <w:marRight w:val="0"/>
          <w:marTop w:val="0"/>
          <w:marBottom w:val="0"/>
          <w:divBdr>
            <w:top w:val="none" w:sz="0" w:space="0" w:color="auto"/>
            <w:left w:val="none" w:sz="0" w:space="0" w:color="auto"/>
            <w:bottom w:val="none" w:sz="0" w:space="0" w:color="auto"/>
            <w:right w:val="none" w:sz="0" w:space="0" w:color="auto"/>
          </w:divBdr>
        </w:div>
        <w:div w:id="282616423">
          <w:marLeft w:val="0"/>
          <w:marRight w:val="0"/>
          <w:marTop w:val="0"/>
          <w:marBottom w:val="0"/>
          <w:divBdr>
            <w:top w:val="none" w:sz="0" w:space="0" w:color="auto"/>
            <w:left w:val="none" w:sz="0" w:space="0" w:color="auto"/>
            <w:bottom w:val="none" w:sz="0" w:space="0" w:color="auto"/>
            <w:right w:val="none" w:sz="0" w:space="0" w:color="auto"/>
          </w:divBdr>
        </w:div>
        <w:div w:id="663511763">
          <w:marLeft w:val="0"/>
          <w:marRight w:val="0"/>
          <w:marTop w:val="0"/>
          <w:marBottom w:val="0"/>
          <w:divBdr>
            <w:top w:val="none" w:sz="0" w:space="0" w:color="auto"/>
            <w:left w:val="none" w:sz="0" w:space="0" w:color="auto"/>
            <w:bottom w:val="none" w:sz="0" w:space="0" w:color="auto"/>
            <w:right w:val="none" w:sz="0" w:space="0" w:color="auto"/>
          </w:divBdr>
        </w:div>
      </w:divsChild>
    </w:div>
    <w:div w:id="2083597246">
      <w:bodyDiv w:val="1"/>
      <w:marLeft w:val="0"/>
      <w:marRight w:val="0"/>
      <w:marTop w:val="0"/>
      <w:marBottom w:val="0"/>
      <w:divBdr>
        <w:top w:val="none" w:sz="0" w:space="0" w:color="auto"/>
        <w:left w:val="none" w:sz="0" w:space="0" w:color="auto"/>
        <w:bottom w:val="none" w:sz="0" w:space="0" w:color="auto"/>
        <w:right w:val="none" w:sz="0" w:space="0" w:color="auto"/>
      </w:divBdr>
      <w:divsChild>
        <w:div w:id="2068871020">
          <w:marLeft w:val="0"/>
          <w:marRight w:val="0"/>
          <w:marTop w:val="0"/>
          <w:marBottom w:val="0"/>
          <w:divBdr>
            <w:top w:val="none" w:sz="0" w:space="0" w:color="auto"/>
            <w:left w:val="none" w:sz="0" w:space="0" w:color="auto"/>
            <w:bottom w:val="none" w:sz="0" w:space="0" w:color="auto"/>
            <w:right w:val="none" w:sz="0" w:space="0" w:color="auto"/>
          </w:divBdr>
        </w:div>
        <w:div w:id="204368852">
          <w:marLeft w:val="0"/>
          <w:marRight w:val="0"/>
          <w:marTop w:val="0"/>
          <w:marBottom w:val="0"/>
          <w:divBdr>
            <w:top w:val="none" w:sz="0" w:space="0" w:color="auto"/>
            <w:left w:val="none" w:sz="0" w:space="0" w:color="auto"/>
            <w:bottom w:val="none" w:sz="0" w:space="0" w:color="auto"/>
            <w:right w:val="none" w:sz="0" w:space="0" w:color="auto"/>
          </w:divBdr>
        </w:div>
        <w:div w:id="1385329857">
          <w:marLeft w:val="0"/>
          <w:marRight w:val="0"/>
          <w:marTop w:val="0"/>
          <w:marBottom w:val="0"/>
          <w:divBdr>
            <w:top w:val="none" w:sz="0" w:space="0" w:color="auto"/>
            <w:left w:val="none" w:sz="0" w:space="0" w:color="auto"/>
            <w:bottom w:val="none" w:sz="0" w:space="0" w:color="auto"/>
            <w:right w:val="none" w:sz="0" w:space="0" w:color="auto"/>
          </w:divBdr>
        </w:div>
        <w:div w:id="1203202329">
          <w:marLeft w:val="0"/>
          <w:marRight w:val="0"/>
          <w:marTop w:val="0"/>
          <w:marBottom w:val="0"/>
          <w:divBdr>
            <w:top w:val="none" w:sz="0" w:space="0" w:color="auto"/>
            <w:left w:val="none" w:sz="0" w:space="0" w:color="auto"/>
            <w:bottom w:val="none" w:sz="0" w:space="0" w:color="auto"/>
            <w:right w:val="none" w:sz="0" w:space="0" w:color="auto"/>
          </w:divBdr>
        </w:div>
      </w:divsChild>
    </w:div>
    <w:div w:id="2136369194">
      <w:bodyDiv w:val="1"/>
      <w:marLeft w:val="0"/>
      <w:marRight w:val="0"/>
      <w:marTop w:val="0"/>
      <w:marBottom w:val="0"/>
      <w:divBdr>
        <w:top w:val="none" w:sz="0" w:space="0" w:color="auto"/>
        <w:left w:val="none" w:sz="0" w:space="0" w:color="auto"/>
        <w:bottom w:val="none" w:sz="0" w:space="0" w:color="auto"/>
        <w:right w:val="none" w:sz="0" w:space="0" w:color="auto"/>
      </w:divBdr>
      <w:divsChild>
        <w:div w:id="201287571">
          <w:marLeft w:val="0"/>
          <w:marRight w:val="0"/>
          <w:marTop w:val="0"/>
          <w:marBottom w:val="0"/>
          <w:divBdr>
            <w:top w:val="none" w:sz="0" w:space="0" w:color="auto"/>
            <w:left w:val="none" w:sz="0" w:space="0" w:color="auto"/>
            <w:bottom w:val="none" w:sz="0" w:space="0" w:color="auto"/>
            <w:right w:val="none" w:sz="0" w:space="0" w:color="auto"/>
          </w:divBdr>
        </w:div>
        <w:div w:id="720595705">
          <w:marLeft w:val="0"/>
          <w:marRight w:val="0"/>
          <w:marTop w:val="0"/>
          <w:marBottom w:val="0"/>
          <w:divBdr>
            <w:top w:val="none" w:sz="0" w:space="0" w:color="auto"/>
            <w:left w:val="none" w:sz="0" w:space="0" w:color="auto"/>
            <w:bottom w:val="none" w:sz="0" w:space="0" w:color="auto"/>
            <w:right w:val="none" w:sz="0" w:space="0" w:color="auto"/>
          </w:divBdr>
        </w:div>
        <w:div w:id="176869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13CAE-2AC5-4AC8-9FE1-3A3CE1DA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11</Pages>
  <Words>5976</Words>
  <Characters>32870</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175</cp:revision>
  <cp:lastPrinted>2016-01-29T09:17:00Z</cp:lastPrinted>
  <dcterms:created xsi:type="dcterms:W3CDTF">2015-11-02T08:56:00Z</dcterms:created>
  <dcterms:modified xsi:type="dcterms:W3CDTF">2016-02-23T07:44:00Z</dcterms:modified>
</cp:coreProperties>
</file>