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EF026" w14:textId="77777777" w:rsidR="00773FCF" w:rsidRDefault="0030114E" w:rsidP="005655FB">
      <w:pPr>
        <w:tabs>
          <w:tab w:val="num" w:pos="0"/>
        </w:tabs>
        <w:ind w:right="-35"/>
        <w:jc w:val="both"/>
        <w:rPr>
          <w:rFonts w:eastAsia="標楷體"/>
          <w:b/>
          <w:bCs/>
          <w:color w:val="000000" w:themeColor="text1"/>
        </w:rPr>
      </w:pPr>
      <w:r>
        <w:rPr>
          <w:rFonts w:eastAsia="標楷體"/>
          <w:b/>
          <w:bCs/>
          <w:color w:val="000000" w:themeColor="text1"/>
        </w:rPr>
        <w:t xml:space="preserve"> </w:t>
      </w:r>
    </w:p>
    <w:p w14:paraId="69CC2EF1" w14:textId="77777777" w:rsidR="00457D66" w:rsidRPr="00457D66" w:rsidRDefault="00D178CB" w:rsidP="00221FAD">
      <w:pPr>
        <w:tabs>
          <w:tab w:val="num" w:pos="0"/>
        </w:tabs>
        <w:ind w:right="-35"/>
        <w:jc w:val="center"/>
        <w:rPr>
          <w:rFonts w:eastAsia="標楷體"/>
          <w:b/>
          <w:bCs/>
          <w:color w:val="000000" w:themeColor="text1"/>
          <w:sz w:val="28"/>
        </w:rPr>
      </w:pPr>
      <w:r w:rsidRPr="00457D66">
        <w:rPr>
          <w:rFonts w:eastAsia="標楷體"/>
          <w:b/>
          <w:bCs/>
          <w:color w:val="000000" w:themeColor="text1"/>
          <w:sz w:val="28"/>
        </w:rPr>
        <w:t xml:space="preserve">The Effects of Financial Ratios on the Perceived Risk Count </w:t>
      </w:r>
    </w:p>
    <w:p w14:paraId="001116FD" w14:textId="3DAC282C" w:rsidR="00D178CB" w:rsidRPr="00457D66" w:rsidRDefault="00D178CB" w:rsidP="00221FAD">
      <w:pPr>
        <w:tabs>
          <w:tab w:val="num" w:pos="0"/>
        </w:tabs>
        <w:ind w:right="-35"/>
        <w:jc w:val="center"/>
        <w:rPr>
          <w:rFonts w:eastAsia="標楷體"/>
          <w:b/>
          <w:bCs/>
          <w:color w:val="000000" w:themeColor="text1"/>
          <w:sz w:val="28"/>
        </w:rPr>
      </w:pPr>
      <w:r w:rsidRPr="00457D66">
        <w:rPr>
          <w:rFonts w:eastAsia="標楷體"/>
          <w:b/>
          <w:bCs/>
          <w:color w:val="000000" w:themeColor="text1"/>
          <w:sz w:val="28"/>
        </w:rPr>
        <w:t>for Single Equity VIX</w:t>
      </w:r>
    </w:p>
    <w:p w14:paraId="2AAB96D1" w14:textId="54BD7BC7" w:rsidR="00D178CB" w:rsidRDefault="00D178CB" w:rsidP="005655FB">
      <w:pPr>
        <w:tabs>
          <w:tab w:val="num" w:pos="0"/>
        </w:tabs>
        <w:ind w:right="-35"/>
        <w:jc w:val="both"/>
        <w:rPr>
          <w:rFonts w:eastAsia="標楷體"/>
          <w:b/>
          <w:bCs/>
          <w:color w:val="000000" w:themeColor="text1"/>
        </w:rPr>
      </w:pPr>
    </w:p>
    <w:p w14:paraId="0442639A" w14:textId="44FF84DA" w:rsidR="00457D66" w:rsidRDefault="00457D66" w:rsidP="005655FB">
      <w:pPr>
        <w:tabs>
          <w:tab w:val="num" w:pos="0"/>
        </w:tabs>
        <w:ind w:right="-35"/>
        <w:jc w:val="both"/>
        <w:rPr>
          <w:rFonts w:eastAsia="標楷體"/>
          <w:b/>
          <w:bCs/>
          <w:color w:val="000000" w:themeColor="text1"/>
        </w:rPr>
      </w:pPr>
    </w:p>
    <w:p w14:paraId="6EFE5C4E" w14:textId="77777777" w:rsidR="00457D66" w:rsidRPr="00457D66" w:rsidRDefault="00457D66" w:rsidP="00457D66">
      <w:pPr>
        <w:tabs>
          <w:tab w:val="num" w:pos="0"/>
        </w:tabs>
        <w:ind w:right="-35"/>
        <w:jc w:val="center"/>
        <w:rPr>
          <w:rFonts w:eastAsia="標楷體"/>
          <w:b/>
          <w:bCs/>
          <w:color w:val="000000" w:themeColor="text1"/>
        </w:rPr>
      </w:pPr>
    </w:p>
    <w:p w14:paraId="7B469E7B" w14:textId="77777777" w:rsidR="00457D66" w:rsidRPr="00446F8D" w:rsidRDefault="00457D66" w:rsidP="005655FB">
      <w:pPr>
        <w:tabs>
          <w:tab w:val="num" w:pos="0"/>
        </w:tabs>
        <w:ind w:right="-35"/>
        <w:jc w:val="both"/>
        <w:rPr>
          <w:rFonts w:eastAsia="標楷體"/>
          <w:b/>
          <w:bCs/>
          <w:color w:val="000000" w:themeColor="text1"/>
        </w:rPr>
      </w:pPr>
    </w:p>
    <w:p w14:paraId="13C59E88" w14:textId="77777777" w:rsidR="008503A8" w:rsidRPr="00446F8D" w:rsidRDefault="008503A8" w:rsidP="00C169F5">
      <w:pPr>
        <w:tabs>
          <w:tab w:val="num" w:pos="0"/>
        </w:tabs>
        <w:ind w:right="-35"/>
        <w:jc w:val="center"/>
        <w:rPr>
          <w:rFonts w:eastAsia="標楷體"/>
          <w:b/>
          <w:bCs/>
          <w:color w:val="000000" w:themeColor="text1"/>
        </w:rPr>
      </w:pPr>
      <w:r w:rsidRPr="00446F8D">
        <w:rPr>
          <w:rFonts w:eastAsia="標楷體"/>
          <w:b/>
          <w:bCs/>
          <w:color w:val="000000" w:themeColor="text1"/>
        </w:rPr>
        <w:t>Abstract</w:t>
      </w:r>
    </w:p>
    <w:p w14:paraId="2375DC2E" w14:textId="77777777" w:rsidR="008173DC" w:rsidRDefault="00B170B6" w:rsidP="005655FB">
      <w:pPr>
        <w:tabs>
          <w:tab w:val="num" w:pos="0"/>
        </w:tabs>
        <w:ind w:right="-35"/>
        <w:jc w:val="both"/>
        <w:rPr>
          <w:rFonts w:eastAsia="標楷體"/>
          <w:bCs/>
          <w:color w:val="000000" w:themeColor="text1"/>
        </w:rPr>
      </w:pPr>
      <w:r w:rsidRPr="00446F8D">
        <w:rPr>
          <w:rFonts w:eastAsia="標楷體"/>
          <w:bCs/>
          <w:color w:val="000000" w:themeColor="text1"/>
        </w:rPr>
        <w:tab/>
      </w:r>
    </w:p>
    <w:p w14:paraId="2C61A8A1" w14:textId="07D4B606" w:rsidR="00B170B6" w:rsidRDefault="008173DC" w:rsidP="00883B24">
      <w:pPr>
        <w:tabs>
          <w:tab w:val="num" w:pos="0"/>
        </w:tabs>
        <w:ind w:right="-35"/>
        <w:jc w:val="both"/>
        <w:rPr>
          <w:rFonts w:eastAsia="標楷體"/>
          <w:bCs/>
        </w:rPr>
      </w:pPr>
      <w:r>
        <w:rPr>
          <w:rFonts w:eastAsia="標楷體"/>
          <w:bCs/>
          <w:color w:val="000000" w:themeColor="text1"/>
        </w:rPr>
        <w:tab/>
      </w:r>
      <w:r w:rsidR="00883B24" w:rsidRPr="00883B24">
        <w:rPr>
          <w:rFonts w:eastAsia="標楷體"/>
          <w:bCs/>
        </w:rPr>
        <w:t>The determinants of fear gauge fr</w:t>
      </w:r>
      <w:r w:rsidR="00860BB6">
        <w:rPr>
          <w:rFonts w:eastAsia="標楷體" w:hint="eastAsia"/>
          <w:bCs/>
        </w:rPr>
        <w:t>o</w:t>
      </w:r>
      <w:r w:rsidR="00860BB6">
        <w:rPr>
          <w:rFonts w:eastAsia="標楷體"/>
          <w:bCs/>
        </w:rPr>
        <w:t>m</w:t>
      </w:r>
      <w:r w:rsidR="00883B24" w:rsidRPr="00883B24">
        <w:rPr>
          <w:rFonts w:eastAsia="標楷體"/>
          <w:bCs/>
        </w:rPr>
        <w:t xml:space="preserve"> March 2005 to September 2019 are empirically examined with attention to the single equity volatility index (VIX). Th</w:t>
      </w:r>
      <w:r w:rsidR="00477891">
        <w:rPr>
          <w:rFonts w:eastAsia="標楷體" w:hint="eastAsia"/>
          <w:bCs/>
        </w:rPr>
        <w:t>i</w:t>
      </w:r>
      <w:r w:rsidR="00477891">
        <w:rPr>
          <w:rFonts w:eastAsia="標楷體"/>
          <w:bCs/>
        </w:rPr>
        <w:t>s</w:t>
      </w:r>
      <w:r w:rsidR="00883B24" w:rsidRPr="00883B24">
        <w:rPr>
          <w:rFonts w:eastAsia="標楷體"/>
          <w:bCs/>
        </w:rPr>
        <w:t xml:space="preserve"> study utilized Poisson and Negative Binomial Regressions to investigate the link between perceived risk count and its variables at certain levels of quantiles. </w:t>
      </w:r>
      <w:r w:rsidR="00477891" w:rsidRPr="00477891">
        <w:rPr>
          <w:rFonts w:eastAsia="標楷體"/>
          <w:bCs/>
        </w:rPr>
        <w:t xml:space="preserve">The Negative Binomial model was chosen based on the highest log-likelihood value and the lowest the Akaike information criterion (AIC) value to analyze the market psychology condition of investors. </w:t>
      </w:r>
      <w:r w:rsidR="00883B24" w:rsidRPr="00883B24">
        <w:rPr>
          <w:rFonts w:eastAsia="標楷體"/>
          <w:bCs/>
        </w:rPr>
        <w:t>The result of the return on equity (ROE), cash conversion cycle (CCC), and dividend payout ratio (DPR) are negatively significant in both medium and higher quantile of perceived risk count. The debt ratio and free cash flow (FCF) positively affect the perceived risk count. The impacts of variables on higher quantile have a greater influence on perceived risk count, followed by medium quantile.</w:t>
      </w:r>
    </w:p>
    <w:p w14:paraId="0657CBF7" w14:textId="77777777" w:rsidR="00EE44B3" w:rsidRPr="00883B24" w:rsidRDefault="00EE44B3" w:rsidP="00883B24">
      <w:pPr>
        <w:tabs>
          <w:tab w:val="num" w:pos="0"/>
        </w:tabs>
        <w:ind w:right="-35"/>
        <w:jc w:val="both"/>
        <w:rPr>
          <w:rFonts w:eastAsia="標楷體"/>
          <w:bCs/>
        </w:rPr>
      </w:pPr>
    </w:p>
    <w:p w14:paraId="33EC5B8C" w14:textId="6AA29981" w:rsidR="00221FAD" w:rsidRPr="00EE44B3" w:rsidRDefault="00EE44B3" w:rsidP="005655FB">
      <w:pPr>
        <w:tabs>
          <w:tab w:val="num" w:pos="0"/>
        </w:tabs>
        <w:ind w:right="-35"/>
        <w:jc w:val="both"/>
        <w:rPr>
          <w:rFonts w:eastAsia="標楷體"/>
          <w:b/>
          <w:bCs/>
        </w:rPr>
      </w:pPr>
      <w:r w:rsidRPr="00EE44B3">
        <w:rPr>
          <w:rFonts w:eastAsia="標楷體" w:hint="eastAsia"/>
          <w:b/>
          <w:bCs/>
        </w:rPr>
        <w:t>K</w:t>
      </w:r>
      <w:r w:rsidRPr="00EE44B3">
        <w:rPr>
          <w:rFonts w:eastAsia="標楷體"/>
          <w:b/>
          <w:bCs/>
        </w:rPr>
        <w:t xml:space="preserve">eyword: </w:t>
      </w:r>
      <w:r w:rsidRPr="00EE44B3">
        <w:rPr>
          <w:rFonts w:eastAsia="標楷體"/>
          <w:b/>
          <w:bCs/>
          <w:color w:val="000000" w:themeColor="text1"/>
        </w:rPr>
        <w:t xml:space="preserve">Perceived Risk Count, Equity VIX, </w:t>
      </w:r>
      <w:r w:rsidRPr="00EE44B3">
        <w:rPr>
          <w:rFonts w:eastAsia="標楷體"/>
          <w:b/>
          <w:bCs/>
        </w:rPr>
        <w:t>Poisson and Negative Binomial Regressions</w:t>
      </w:r>
      <w:r w:rsidRPr="00EE44B3">
        <w:rPr>
          <w:rFonts w:eastAsia="標楷體"/>
          <w:b/>
          <w:bCs/>
          <w:color w:val="000000" w:themeColor="text1"/>
        </w:rPr>
        <w:t xml:space="preserve"> </w:t>
      </w:r>
    </w:p>
    <w:p w14:paraId="38E7B220" w14:textId="77777777" w:rsidR="00457D66" w:rsidRDefault="00EE44B3">
      <w:pPr>
        <w:widowControl/>
        <w:rPr>
          <w:rFonts w:eastAsia="標楷體"/>
          <w:b/>
          <w:bCs/>
        </w:rPr>
      </w:pPr>
      <w:r>
        <w:rPr>
          <w:rFonts w:eastAsia="標楷體" w:hint="eastAsia"/>
          <w:b/>
          <w:bCs/>
        </w:rPr>
        <w:t>J</w:t>
      </w:r>
      <w:r>
        <w:rPr>
          <w:rFonts w:eastAsia="標楷體"/>
          <w:b/>
          <w:bCs/>
        </w:rPr>
        <w:t>EL Code: G32</w:t>
      </w:r>
    </w:p>
    <w:p w14:paraId="07020F75" w14:textId="77777777" w:rsidR="00457D66" w:rsidRDefault="00457D66">
      <w:pPr>
        <w:widowControl/>
        <w:rPr>
          <w:rFonts w:eastAsia="標楷體"/>
          <w:b/>
          <w:bCs/>
        </w:rPr>
      </w:pPr>
    </w:p>
    <w:p w14:paraId="4EF0442E" w14:textId="02F5D297" w:rsidR="00457D66" w:rsidRDefault="00457D66">
      <w:pPr>
        <w:widowControl/>
        <w:rPr>
          <w:rFonts w:eastAsia="標楷體"/>
          <w:b/>
          <w:bCs/>
        </w:rPr>
      </w:pPr>
    </w:p>
    <w:p w14:paraId="2D26F639" w14:textId="77777777" w:rsidR="00457D66" w:rsidRDefault="00457D66">
      <w:pPr>
        <w:widowControl/>
        <w:rPr>
          <w:rFonts w:eastAsia="標楷體"/>
          <w:b/>
          <w:bCs/>
        </w:rPr>
      </w:pPr>
    </w:p>
    <w:p w14:paraId="7C9DB084" w14:textId="77777777" w:rsidR="00E04614" w:rsidRDefault="00E04614">
      <w:pPr>
        <w:widowControl/>
        <w:rPr>
          <w:rFonts w:eastAsia="標楷體"/>
          <w:b/>
          <w:bCs/>
        </w:rPr>
      </w:pPr>
      <w:r>
        <w:rPr>
          <w:rFonts w:eastAsia="標楷體"/>
          <w:b/>
          <w:bCs/>
        </w:rPr>
        <w:br w:type="page"/>
      </w:r>
    </w:p>
    <w:p w14:paraId="0751034F" w14:textId="22539C3E" w:rsidR="009826AA" w:rsidRPr="00D92F02" w:rsidRDefault="00340A8A" w:rsidP="005655FB">
      <w:pPr>
        <w:tabs>
          <w:tab w:val="num" w:pos="0"/>
        </w:tabs>
        <w:ind w:right="-35"/>
        <w:jc w:val="both"/>
        <w:rPr>
          <w:rFonts w:eastAsia="標楷體"/>
          <w:b/>
          <w:bCs/>
        </w:rPr>
      </w:pPr>
      <w:bookmarkStart w:id="0" w:name="_GoBack"/>
      <w:bookmarkEnd w:id="0"/>
      <w:r w:rsidRPr="00D92F02">
        <w:rPr>
          <w:rFonts w:eastAsia="標楷體"/>
          <w:b/>
          <w:bCs/>
        </w:rPr>
        <w:lastRenderedPageBreak/>
        <w:t>Introduction</w:t>
      </w:r>
    </w:p>
    <w:p w14:paraId="397CD146" w14:textId="77777777" w:rsidR="008173DC" w:rsidRPr="008173DC" w:rsidRDefault="00F55ECD" w:rsidP="008173DC">
      <w:pPr>
        <w:tabs>
          <w:tab w:val="num" w:pos="0"/>
        </w:tabs>
        <w:ind w:right="-35"/>
        <w:jc w:val="both"/>
        <w:rPr>
          <w:rFonts w:eastAsia="標楷體"/>
          <w:bCs/>
          <w:color w:val="000000" w:themeColor="text1"/>
        </w:rPr>
      </w:pPr>
      <w:r w:rsidRPr="00446F8D">
        <w:rPr>
          <w:rFonts w:eastAsia="標楷體"/>
          <w:b/>
          <w:bCs/>
          <w:color w:val="000000" w:themeColor="text1"/>
        </w:rPr>
        <w:tab/>
      </w:r>
      <w:r w:rsidR="008173DC" w:rsidRPr="008173DC">
        <w:rPr>
          <w:rFonts w:eastAsia="標楷體"/>
          <w:bCs/>
          <w:color w:val="000000" w:themeColor="text1"/>
        </w:rPr>
        <w:t>The role played by the volatility index (VIX), so-called fear gauge or fear index, was launched by The Chicago Board of Exchange (CBOE) in 1993. It was increasingly capturing the attention of hedgers and speculators for their trading demand regarding optimism or anxiety. (Gang and Li, 2014) In 2011, the Global Markets of CBOE had launched five single-equity VIX on Amazon, Apple, Goldman Sachs, Google, and IBM. CBOE started VIX futures and options on March 26, 2004, and February 24, 2006. The VIX index can be used to examine investor sentiment measured by the implied volatility of S&amp;P 500 index options. (Bordonado, Moln´ar, and Samdal, 2017 and Grifﬁn and Shams, 2018) To explore overall uncertainty in the financial market, Robe and Wallen (2016) found that the better measurement for market sentiment for fear or risk was the equity VIX.</w:t>
      </w:r>
    </w:p>
    <w:p w14:paraId="0475337D" w14:textId="617568C2" w:rsidR="008173DC" w:rsidRPr="008173DC" w:rsidRDefault="008173DC" w:rsidP="008173DC">
      <w:pPr>
        <w:tabs>
          <w:tab w:val="num" w:pos="0"/>
        </w:tabs>
        <w:ind w:right="-35"/>
        <w:jc w:val="both"/>
        <w:rPr>
          <w:rFonts w:eastAsia="標楷體"/>
          <w:bCs/>
          <w:color w:val="000000" w:themeColor="text1"/>
        </w:rPr>
      </w:pPr>
      <w:r w:rsidRPr="008173DC">
        <w:rPr>
          <w:rFonts w:eastAsia="標楷體"/>
          <w:bCs/>
          <w:color w:val="000000" w:themeColor="text1"/>
        </w:rPr>
        <w:tab/>
        <w:t>Market sentiment related to market psychology affects noise traders' behavior n</w:t>
      </w:r>
      <w:r w:rsidR="00477891">
        <w:rPr>
          <w:rFonts w:eastAsia="標楷體"/>
          <w:bCs/>
          <w:color w:val="000000" w:themeColor="text1"/>
        </w:rPr>
        <w:t>eglecting fundamental valuation</w:t>
      </w:r>
      <w:r w:rsidRPr="008173DC">
        <w:rPr>
          <w:rFonts w:eastAsia="標楷體"/>
          <w:bCs/>
          <w:color w:val="000000" w:themeColor="text1"/>
        </w:rPr>
        <w:t xml:space="preserve"> and helps clarify the unexplained movement in market changes. According to Karagozoglu and Fabozzi (2017), regarding the investing strategies accompanied by investor sentiment captured from financial and social media databases, the performance of the VIX-Exchange-trade products (ETPs) was superior to a benchmark. For many potential investors and academic scholars, market sentiment measured by VIX was arbitrage opportunities persisting through time. Consistent with this, as sources of information attract attention, the information or opinions disclosed about earnings announcements were expected to outperform the consensus earnings.   </w:t>
      </w:r>
    </w:p>
    <w:p w14:paraId="1F44F9B6" w14:textId="4383C35F" w:rsidR="008173DC" w:rsidRPr="008173DC" w:rsidRDefault="008173DC" w:rsidP="008173DC">
      <w:pPr>
        <w:tabs>
          <w:tab w:val="num" w:pos="0"/>
        </w:tabs>
        <w:ind w:right="-35"/>
        <w:jc w:val="both"/>
        <w:rPr>
          <w:rFonts w:eastAsia="標楷體"/>
          <w:bCs/>
          <w:color w:val="000000" w:themeColor="text1"/>
        </w:rPr>
      </w:pPr>
      <w:r w:rsidRPr="008173DC">
        <w:rPr>
          <w:rFonts w:eastAsia="標楷體"/>
          <w:bCs/>
          <w:color w:val="000000" w:themeColor="text1"/>
        </w:rPr>
        <w:tab/>
        <w:t xml:space="preserve">Based on the timeframe, the behavior of the VIX can be classified by four types: (1) short term: trends of intraday data, (2) medium-term: mean-reverting of daily and weekly data, (3) long term: staying in the range of monthly data, and (4) unusual term: big spikes for market crashes. Specifically, the VIX plays the role of contrarian indicator, regarded as mean-reverting. It provides a buying signal when VIX excesses at a certain high level with investor stress up and then reverse downwards. On the other hand, a selling signal indicates that VIX drops below a certain low level, reflecting investor stress and then turns upwards. </w:t>
      </w:r>
    </w:p>
    <w:p w14:paraId="342C708B" w14:textId="77777777" w:rsidR="008173DC" w:rsidRPr="008173DC" w:rsidRDefault="008173DC" w:rsidP="008173DC">
      <w:pPr>
        <w:tabs>
          <w:tab w:val="num" w:pos="0"/>
        </w:tabs>
        <w:ind w:right="-35"/>
        <w:jc w:val="both"/>
        <w:rPr>
          <w:rFonts w:eastAsia="標楷體"/>
          <w:bCs/>
          <w:color w:val="000000" w:themeColor="text1"/>
        </w:rPr>
      </w:pPr>
      <w:r w:rsidRPr="008173DC">
        <w:rPr>
          <w:rFonts w:eastAsia="標楷體"/>
          <w:bCs/>
          <w:color w:val="000000" w:themeColor="text1"/>
        </w:rPr>
        <w:t xml:space="preserve"> </w:t>
      </w:r>
      <w:r w:rsidRPr="008173DC">
        <w:rPr>
          <w:rFonts w:eastAsia="標楷體"/>
          <w:bCs/>
          <w:color w:val="000000" w:themeColor="text1"/>
        </w:rPr>
        <w:tab/>
        <w:t xml:space="preserve">Lee, Lu, and Chiang (2005) used the weighted price index of the Taiwan Stock Exchange (TAIEX) to create the volatility index (VXT) in order to seek a good contrarian indicator. The findings supported that the VXT behavior followed mean-reverting patterns. To hedge more efficiently for VIX futures, Kendrick (2012) suggested that the predictive importance of mean-reversion for VIX futures enabled investors to estimate their size positions and hedge remunerations. </w:t>
      </w:r>
    </w:p>
    <w:p w14:paraId="27E64B88" w14:textId="77777777" w:rsidR="008173DC" w:rsidRPr="008173DC" w:rsidRDefault="008173DC" w:rsidP="008173DC">
      <w:pPr>
        <w:tabs>
          <w:tab w:val="num" w:pos="0"/>
        </w:tabs>
        <w:ind w:right="-35"/>
        <w:jc w:val="both"/>
        <w:rPr>
          <w:rFonts w:eastAsia="標楷體"/>
          <w:bCs/>
          <w:color w:val="000000" w:themeColor="text1"/>
        </w:rPr>
      </w:pPr>
      <w:r w:rsidRPr="008173DC">
        <w:rPr>
          <w:rFonts w:eastAsia="標楷體"/>
          <w:bCs/>
          <w:color w:val="000000" w:themeColor="text1"/>
        </w:rPr>
        <w:tab/>
        <w:t xml:space="preserve">Gang and Li (2014) revealed that the risk-returns behavior was connected with sentiment shifts and their changing scales. Fu, Sandri, and Shackleton (2016) found the relationship between changes in volatility risk and portfolio returns associated with the asymmetric effect. More recently, Ghulam (2019) investigated the multi-directional risk interactions assessed by VIX and VIX-like measures between emerging stock markets. The empirical results showed that there existed persistent and expedited risk transmission. Huang (2014) applied Grey Relational Analysis (GRA) and selected critical elements like the U.S. dollar index, trading index, Commodity Research Bureau (CRB) index. Using these elements as input factors through Artificial Neural Network (ANN) methods, the empirical study showed that Recurrent Neural Network (RNN) could perform with superior ability to </w:t>
      </w:r>
      <w:r w:rsidRPr="008173DC">
        <w:rPr>
          <w:rFonts w:eastAsia="標楷體"/>
          <w:bCs/>
          <w:color w:val="000000" w:themeColor="text1"/>
        </w:rPr>
        <w:lastRenderedPageBreak/>
        <w:t xml:space="preserve">predict individual equity VIX. </w:t>
      </w:r>
    </w:p>
    <w:p w14:paraId="48EC5B60" w14:textId="35E63DBA" w:rsidR="008173DC" w:rsidRPr="008173DC" w:rsidRDefault="008173DC" w:rsidP="008173DC">
      <w:pPr>
        <w:tabs>
          <w:tab w:val="num" w:pos="0"/>
        </w:tabs>
        <w:ind w:right="-35"/>
        <w:jc w:val="both"/>
        <w:rPr>
          <w:rFonts w:eastAsia="標楷體"/>
          <w:bCs/>
          <w:color w:val="000000" w:themeColor="text1"/>
        </w:rPr>
      </w:pPr>
      <w:r w:rsidRPr="008173DC">
        <w:rPr>
          <w:rFonts w:eastAsia="標楷體"/>
          <w:bCs/>
          <w:color w:val="000000" w:themeColor="text1"/>
        </w:rPr>
        <w:tab/>
      </w:r>
      <w:r w:rsidR="00477891" w:rsidRPr="00477891">
        <w:rPr>
          <w:rFonts w:eastAsia="標楷體"/>
          <w:bCs/>
          <w:color w:val="000000" w:themeColor="text1"/>
        </w:rPr>
        <w:t>To the best of our knowledge, studies in the VIX as metrics of risk, mean reversion, or change of sentiment are mainly focused on the importance of stock market returns. However, they did not test the influence of critical financial ratios from the firm-level perspective.</w:t>
      </w:r>
      <w:r w:rsidRPr="008173DC">
        <w:rPr>
          <w:rFonts w:eastAsia="標楷體"/>
          <w:bCs/>
          <w:color w:val="000000" w:themeColor="text1"/>
        </w:rPr>
        <w:t xml:space="preserve"> The study is motivated by this gap and explores the extent to which financial variables influence the perceived risk of investors proxied by count data of the individual equity VIX with a new approach to enhance insolvency research.  </w:t>
      </w:r>
    </w:p>
    <w:p w14:paraId="2E7A49D8" w14:textId="77777777" w:rsidR="008173DC" w:rsidRPr="008173DC" w:rsidRDefault="008173DC" w:rsidP="008173DC">
      <w:pPr>
        <w:tabs>
          <w:tab w:val="num" w:pos="0"/>
        </w:tabs>
        <w:ind w:right="-35"/>
        <w:jc w:val="both"/>
        <w:rPr>
          <w:rFonts w:eastAsia="標楷體"/>
          <w:bCs/>
          <w:color w:val="000000" w:themeColor="text1"/>
        </w:rPr>
      </w:pPr>
      <w:r w:rsidRPr="008173DC">
        <w:rPr>
          <w:rFonts w:eastAsia="標楷體"/>
          <w:bCs/>
          <w:color w:val="000000" w:themeColor="text1"/>
        </w:rPr>
        <w:tab/>
        <w:t xml:space="preserve">The phenomenon of market psychology for noise traders' behavior is a highly debated stock market issue. Consistent with the evidence of previous studies, which stated the lack of any link between the fear gauge and financial ratios at firm-level status. This study uses Poisson and Negative Binomial Regressions and aims to explore the relationship between perceived risk count and its determinants the certain levels to gain insight into the investors' market psychology condition.   </w:t>
      </w:r>
    </w:p>
    <w:p w14:paraId="246FA063" w14:textId="0D3F9B43" w:rsidR="008173DC" w:rsidRPr="00477891" w:rsidRDefault="008173DC" w:rsidP="00477891">
      <w:pPr>
        <w:tabs>
          <w:tab w:val="num" w:pos="0"/>
        </w:tabs>
        <w:ind w:right="-35"/>
        <w:jc w:val="both"/>
        <w:rPr>
          <w:rFonts w:eastAsia="標楷體"/>
          <w:bCs/>
          <w:color w:val="000000" w:themeColor="text1"/>
        </w:rPr>
      </w:pPr>
      <w:r w:rsidRPr="008173DC">
        <w:rPr>
          <w:rFonts w:eastAsia="標楷體"/>
          <w:bCs/>
          <w:color w:val="000000" w:themeColor="text1"/>
        </w:rPr>
        <w:tab/>
      </w:r>
      <w:r w:rsidR="00477891" w:rsidRPr="00477891">
        <w:rPr>
          <w:rFonts w:eastAsia="標楷體"/>
          <w:bCs/>
          <w:color w:val="000000" w:themeColor="text1"/>
        </w:rPr>
        <w:t>The contribution of this study to the extant literature is that this work tests how the sentiment changes respond to the financial ratios at a firm level. This work incorporates perceived risk count and these financial ratios to understand the different influences at the different levels. This article uses the panel data from CBOE individual equity VIX and financial variables.</w:t>
      </w:r>
    </w:p>
    <w:p w14:paraId="3EA47930" w14:textId="6968C34A" w:rsidR="00340A8A" w:rsidRPr="00446F8D" w:rsidRDefault="008173DC" w:rsidP="008173DC">
      <w:pPr>
        <w:tabs>
          <w:tab w:val="num" w:pos="0"/>
        </w:tabs>
        <w:ind w:right="-35"/>
        <w:jc w:val="both"/>
        <w:rPr>
          <w:rFonts w:eastAsia="標楷體"/>
          <w:bCs/>
          <w:color w:val="000000" w:themeColor="text1"/>
        </w:rPr>
      </w:pPr>
      <w:r w:rsidRPr="008173DC">
        <w:rPr>
          <w:rFonts w:eastAsia="標楷體"/>
          <w:bCs/>
          <w:color w:val="000000" w:themeColor="text1"/>
        </w:rPr>
        <w:tab/>
        <w:t xml:space="preserve">The rest of this study is structured as follows. Section two is a literature review, while Section three describes data and methodological approach. Section four presents the empirical results. Section five concludes the conclusion and limitations of this paper.  </w:t>
      </w:r>
      <w:r w:rsidR="00340A8A" w:rsidRPr="00446F8D">
        <w:rPr>
          <w:rFonts w:eastAsia="標楷體"/>
          <w:bCs/>
          <w:color w:val="000000" w:themeColor="text1"/>
        </w:rPr>
        <w:t xml:space="preserve">  </w:t>
      </w:r>
    </w:p>
    <w:p w14:paraId="5A7387C7" w14:textId="77777777" w:rsidR="00221FAD" w:rsidRDefault="00221FAD" w:rsidP="005655FB">
      <w:pPr>
        <w:tabs>
          <w:tab w:val="num" w:pos="0"/>
        </w:tabs>
        <w:ind w:right="-35"/>
        <w:jc w:val="both"/>
        <w:rPr>
          <w:rFonts w:eastAsia="標楷體"/>
          <w:b/>
          <w:bCs/>
          <w:color w:val="000000" w:themeColor="text1"/>
        </w:rPr>
      </w:pPr>
    </w:p>
    <w:p w14:paraId="52972BFF" w14:textId="09AD5A72" w:rsidR="00340A8A" w:rsidRPr="00446F8D" w:rsidRDefault="00340A8A" w:rsidP="005655FB">
      <w:pPr>
        <w:tabs>
          <w:tab w:val="num" w:pos="0"/>
        </w:tabs>
        <w:ind w:right="-35"/>
        <w:jc w:val="both"/>
        <w:rPr>
          <w:rFonts w:eastAsia="標楷體"/>
          <w:b/>
          <w:bCs/>
          <w:color w:val="000000" w:themeColor="text1"/>
        </w:rPr>
      </w:pPr>
      <w:r w:rsidRPr="00446F8D">
        <w:rPr>
          <w:rFonts w:eastAsia="標楷體"/>
          <w:b/>
          <w:bCs/>
          <w:color w:val="000000" w:themeColor="text1"/>
        </w:rPr>
        <w:t>Literature Review</w:t>
      </w:r>
    </w:p>
    <w:p w14:paraId="481B9173" w14:textId="5B302A28" w:rsidR="00883B24" w:rsidRPr="00883B24" w:rsidRDefault="00F55ECD" w:rsidP="00883B24">
      <w:pPr>
        <w:tabs>
          <w:tab w:val="num" w:pos="0"/>
        </w:tabs>
        <w:ind w:right="-35"/>
        <w:jc w:val="both"/>
        <w:rPr>
          <w:rFonts w:eastAsia="標楷體"/>
          <w:bCs/>
          <w:color w:val="000000" w:themeColor="text1"/>
        </w:rPr>
      </w:pPr>
      <w:r w:rsidRPr="00446F8D">
        <w:rPr>
          <w:rFonts w:eastAsia="標楷體"/>
          <w:bCs/>
          <w:color w:val="000000" w:themeColor="text1"/>
        </w:rPr>
        <w:tab/>
      </w:r>
      <w:r w:rsidR="00477891" w:rsidRPr="00477891">
        <w:rPr>
          <w:rFonts w:eastAsia="標楷體"/>
          <w:bCs/>
          <w:color w:val="000000" w:themeColor="text1"/>
        </w:rPr>
        <w:t>Many studies have long been fascinated by bankruptcy prediction through financial ratios. (Beaver, 1966; Altman, 1968; Ohlson; 1980; Lennox; 1999) According to Altman's z-score method, the proposed ratios included in "working capital/total assets, retained earnings/total assets, earnings before interest and taxes/total assets, market value equity/book value of total liabilities, and sales/total assets" as a significant role for measuring credit risk. They found that financial ratios, such as the size, financial structure, performance, and current liquidity, are especially useful in evaluating insolvency predictive.</w:t>
      </w:r>
      <w:r w:rsidR="00883B24" w:rsidRPr="00883B24">
        <w:rPr>
          <w:rFonts w:eastAsia="標楷體"/>
          <w:bCs/>
          <w:color w:val="000000" w:themeColor="text1"/>
        </w:rPr>
        <w:t xml:space="preserve"> </w:t>
      </w:r>
    </w:p>
    <w:p w14:paraId="64A7B3C7" w14:textId="77777777" w:rsidR="00883B24" w:rsidRPr="00883B24" w:rsidRDefault="00883B24" w:rsidP="00883B24">
      <w:pPr>
        <w:tabs>
          <w:tab w:val="num" w:pos="0"/>
        </w:tabs>
        <w:ind w:right="-35"/>
        <w:jc w:val="both"/>
        <w:rPr>
          <w:rFonts w:eastAsia="標楷體"/>
          <w:bCs/>
          <w:color w:val="000000" w:themeColor="text1"/>
        </w:rPr>
      </w:pPr>
      <w:r w:rsidRPr="00883B24">
        <w:rPr>
          <w:rFonts w:eastAsia="標楷體"/>
          <w:bCs/>
          <w:color w:val="000000" w:themeColor="text1"/>
        </w:rPr>
        <w:tab/>
        <w:t xml:space="preserve">Ni, Kwak, Cheng, and Gong (2014) followed a set of financial ratios established by Altman (1968) and Ohlson (1980) and found that the determinants such as liquidity and profit loss have a significant influence in predicting Chinese business failure. José and José (2015) applied z-score ratios and used discriminant analysis techniques for obtaining more accurate business default forecasting. Layla, Maxwell, and Ranadeva (2016) reported that a parsimonious Logit model dealt with the proﬁtability ratio, the leverage ratio, and the cash flow ratios that can correctly predict corporate insolvency. Daniel (2016) incorporated the debt factor of Romanian companies and suggested that the debt ratio played an essential role in evaluating the risk levels two years in advance of bankruptcy. </w:t>
      </w:r>
    </w:p>
    <w:p w14:paraId="10A8D2AE" w14:textId="77777777" w:rsidR="00883B24" w:rsidRPr="00883B24" w:rsidRDefault="00883B24" w:rsidP="00883B24">
      <w:pPr>
        <w:tabs>
          <w:tab w:val="num" w:pos="0"/>
        </w:tabs>
        <w:ind w:right="-35"/>
        <w:jc w:val="both"/>
        <w:rPr>
          <w:rFonts w:eastAsia="標楷體"/>
          <w:bCs/>
          <w:color w:val="000000" w:themeColor="text1"/>
        </w:rPr>
      </w:pPr>
      <w:r w:rsidRPr="00883B24">
        <w:rPr>
          <w:rFonts w:eastAsia="標楷體"/>
          <w:bCs/>
          <w:color w:val="000000" w:themeColor="text1"/>
        </w:rPr>
        <w:tab/>
        <w:t xml:space="preserve">The economists have been continually active in the causes of bank failure. Cooper et al. (1994) and Heffernan (2003) showed that human capital measures like personality, fraud, management deﬁciencies, or losing customer contact played an influencing role. The empirical literature on the </w:t>
      </w:r>
      <w:r w:rsidRPr="00883B24">
        <w:rPr>
          <w:rFonts w:eastAsia="標楷體"/>
          <w:bCs/>
          <w:color w:val="000000" w:themeColor="text1"/>
        </w:rPr>
        <w:lastRenderedPageBreak/>
        <w:t xml:space="preserve">testing probability of failing for U.S. banks has already been reviewed by Abrams and Huang (1987). They found that increased nonperforming loans have higher risk exposures, causing bank failure. It was also CAMEL (Capital Adequacy, Assets, Management Capability, Earnings, and Liquidity) examined by Henebry (1997), who revealed the significant effect of nonperforming loans on total loans on bank failure. Carlos, Yolanda, Begoña, and Beatriz (2014) revealed that banks' monitoring systems could be used to assess the bank's risk. Monitoring systems included "CAMELS (Capital Adequacy, Assets, Management Capability, Earnings, Liquidity and Sensitivity to Interest Rate Risk)" and "PEARLS (Protection, Effective Financial Structure, Asset Quality, Rates of Return and Costs, Liquidity and Signs of Growth)." </w:t>
      </w:r>
    </w:p>
    <w:p w14:paraId="37A71A94" w14:textId="5D72A73D" w:rsidR="00883B24" w:rsidRPr="00883B24" w:rsidRDefault="00883B24" w:rsidP="00883B24">
      <w:pPr>
        <w:tabs>
          <w:tab w:val="num" w:pos="0"/>
        </w:tabs>
        <w:ind w:right="-35"/>
        <w:jc w:val="both"/>
        <w:rPr>
          <w:rFonts w:eastAsia="標楷體"/>
          <w:bCs/>
          <w:color w:val="000000" w:themeColor="text1"/>
        </w:rPr>
      </w:pPr>
      <w:r w:rsidRPr="00883B24">
        <w:rPr>
          <w:rFonts w:eastAsia="標楷體"/>
          <w:bCs/>
          <w:color w:val="000000" w:themeColor="text1"/>
        </w:rPr>
        <w:tab/>
      </w:r>
      <w:r w:rsidR="00CC78ED" w:rsidRPr="00CC78ED">
        <w:rPr>
          <w:rFonts w:eastAsia="標楷體"/>
          <w:bCs/>
          <w:color w:val="000000" w:themeColor="text1"/>
        </w:rPr>
        <w:t>Chen and Chen (2011) used the CAMEL criteria to investigate off-site surveillance on bank rating changes connected with credit risk management procedures. The research results revealed that banks with higher capital to loan ratio and liquid asset ratio could upgrade the probability of long-term creditworthiness. An empirical study of risk analysis by Deni and Adnan (2012) revealed that the return on assets (ROA) was one of the leading causes of the probability of credit default. Evgenia and Richard (2006) used the Value-at-Risk (VaR) to assess credit risk. They measured the bank's economic capital and correlations among systematic risk factors for evaluating off-site banking analysis.</w:t>
      </w:r>
      <w:r w:rsidRPr="00883B24">
        <w:rPr>
          <w:rFonts w:eastAsia="標楷體"/>
          <w:bCs/>
          <w:color w:val="000000" w:themeColor="text1"/>
        </w:rPr>
        <w:t xml:space="preserve">  </w:t>
      </w:r>
    </w:p>
    <w:p w14:paraId="0C0E8562" w14:textId="44FA607E" w:rsidR="00221FAD" w:rsidRDefault="00883B24" w:rsidP="00883B24">
      <w:pPr>
        <w:tabs>
          <w:tab w:val="num" w:pos="0"/>
        </w:tabs>
        <w:ind w:right="-35"/>
        <w:jc w:val="both"/>
        <w:rPr>
          <w:rFonts w:eastAsia="標楷體"/>
          <w:bCs/>
          <w:color w:val="000000" w:themeColor="text1"/>
        </w:rPr>
      </w:pPr>
      <w:r w:rsidRPr="00883B24">
        <w:rPr>
          <w:rFonts w:eastAsia="標楷體"/>
          <w:bCs/>
          <w:color w:val="000000" w:themeColor="text1"/>
        </w:rPr>
        <w:tab/>
      </w:r>
      <w:r w:rsidR="00CC78ED" w:rsidRPr="00CC78ED">
        <w:rPr>
          <w:rFonts w:eastAsia="標楷體"/>
          <w:bCs/>
          <w:color w:val="000000" w:themeColor="text1"/>
        </w:rPr>
        <w:t>A growing empirical literature investigates whether VIX has impacted market or firm-level returns. Chen (2003) specified that changes in the implied volatility are of interest to investors as a means of measuring future market risk. The investigation, enhanced by Ang, Hodrick, Xing, and Zhang (2006), verified sensitivity changes as the perceived risk can be reflected in firms' returns. Dennis, Mayhew, and Stivers (2006) examined the relationship between implied volatilities for the S&amp;P 100 equity index and the top 50 U.S firms and stock returns. They indicated that the negatively dynamic relation between stock returns and index volatility innovations existed. However, systematic market-wide factors were superior to aggregated firm-level effects in the asymmetric volatility phenomenon. Whaley (2009) concluded a strong negative concurrent relationship between VIX and stock market returns in the U.S and Europe.</w:t>
      </w:r>
    </w:p>
    <w:p w14:paraId="0B30B2BE" w14:textId="77777777" w:rsidR="00883B24" w:rsidRDefault="00883B24" w:rsidP="00883B24">
      <w:pPr>
        <w:tabs>
          <w:tab w:val="num" w:pos="0"/>
        </w:tabs>
        <w:ind w:right="-35"/>
        <w:jc w:val="both"/>
        <w:rPr>
          <w:rFonts w:eastAsia="標楷體"/>
          <w:b/>
          <w:bCs/>
          <w:color w:val="000000" w:themeColor="text1"/>
        </w:rPr>
      </w:pPr>
    </w:p>
    <w:p w14:paraId="2CAB461E" w14:textId="31BF1ED4" w:rsidR="00573399" w:rsidRPr="00446F8D" w:rsidRDefault="00BE328E" w:rsidP="005655FB">
      <w:pPr>
        <w:tabs>
          <w:tab w:val="num" w:pos="0"/>
        </w:tabs>
        <w:ind w:right="-35"/>
        <w:jc w:val="both"/>
        <w:rPr>
          <w:rFonts w:eastAsia="標楷體"/>
          <w:bCs/>
          <w:color w:val="000000" w:themeColor="text1"/>
        </w:rPr>
      </w:pPr>
      <w:r>
        <w:rPr>
          <w:rFonts w:eastAsia="標楷體"/>
          <w:b/>
          <w:bCs/>
          <w:color w:val="000000" w:themeColor="text1"/>
        </w:rPr>
        <w:t>Methodology</w:t>
      </w:r>
    </w:p>
    <w:p w14:paraId="21288406" w14:textId="77777777" w:rsidR="00883B24" w:rsidRPr="00883B24" w:rsidRDefault="00221FAD" w:rsidP="00883B24">
      <w:pPr>
        <w:tabs>
          <w:tab w:val="num" w:pos="0"/>
        </w:tabs>
        <w:ind w:right="-35"/>
        <w:jc w:val="both"/>
        <w:rPr>
          <w:rFonts w:eastAsia="標楷體"/>
        </w:rPr>
      </w:pPr>
      <w:r>
        <w:rPr>
          <w:rFonts w:eastAsia="標楷體"/>
        </w:rPr>
        <w:tab/>
      </w:r>
      <w:r w:rsidR="00883B24" w:rsidRPr="00883B24">
        <w:rPr>
          <w:rFonts w:eastAsia="標楷體"/>
        </w:rPr>
        <w:t xml:space="preserve">The quarterly data has been considered from the CBOE, which consists of five single equity VIXs. We have taken a perceived risk as the dependent variable. It classifies into three certain levels, such as lower (Q1), median (Q2), and higher (Q3) perceived risks based on the quantile. The association of independent and dependent variables (i.e., perceived risk count) is shown in Table 1. </w:t>
      </w:r>
    </w:p>
    <w:p w14:paraId="146FA68A" w14:textId="0F8B5EFA" w:rsidR="00883B24" w:rsidRDefault="00883B24" w:rsidP="00883B24">
      <w:pPr>
        <w:tabs>
          <w:tab w:val="num" w:pos="0"/>
        </w:tabs>
        <w:ind w:right="-35"/>
        <w:jc w:val="both"/>
        <w:rPr>
          <w:rFonts w:eastAsia="標楷體"/>
        </w:rPr>
      </w:pPr>
      <w:r w:rsidRPr="00883B24">
        <w:rPr>
          <w:rFonts w:eastAsia="標楷體"/>
        </w:rPr>
        <w:tab/>
        <w:t>This study collects quarterly data for all independent variables obtained from Macrotrends Net from March 2005 to September 2019. The CBOE data of five single equity VIXs, including Amazon, Apple, Goldman Sachs, Google, and IBM from Investing.com, is used for the following analysis. The independent variables used to estimate the impacts of the perceived risk count of the investor as measured by individual equity VIX are described in Table 1.</w:t>
      </w:r>
    </w:p>
    <w:p w14:paraId="70C753AA" w14:textId="77777777" w:rsidR="00883B24" w:rsidRPr="00446F8D" w:rsidRDefault="00883B24" w:rsidP="00883B24">
      <w:pPr>
        <w:tabs>
          <w:tab w:val="num" w:pos="0"/>
        </w:tabs>
        <w:ind w:right="-35"/>
        <w:jc w:val="both"/>
        <w:rPr>
          <w:rFonts w:eastAsia="標楷體"/>
          <w:bCs/>
          <w:color w:val="000000" w:themeColor="text1"/>
        </w:rPr>
      </w:pPr>
    </w:p>
    <w:p w14:paraId="1E91F6C3" w14:textId="77777777" w:rsidR="0061710A" w:rsidRPr="00446F8D" w:rsidRDefault="0061710A" w:rsidP="005655FB">
      <w:pPr>
        <w:tabs>
          <w:tab w:val="num" w:pos="0"/>
        </w:tabs>
        <w:ind w:right="-35"/>
        <w:jc w:val="both"/>
        <w:rPr>
          <w:rFonts w:eastAsia="標楷體"/>
          <w:b/>
          <w:bCs/>
          <w:color w:val="000000" w:themeColor="text1"/>
        </w:rPr>
      </w:pPr>
      <w:r w:rsidRPr="00446F8D">
        <w:rPr>
          <w:rFonts w:eastAsia="標楷體" w:hint="eastAsia"/>
          <w:b/>
          <w:bCs/>
          <w:color w:val="000000" w:themeColor="text1"/>
        </w:rPr>
        <w:lastRenderedPageBreak/>
        <w:t>T</w:t>
      </w:r>
      <w:r w:rsidRPr="00446F8D">
        <w:rPr>
          <w:rFonts w:eastAsia="標楷體"/>
          <w:b/>
          <w:bCs/>
          <w:color w:val="000000" w:themeColor="text1"/>
        </w:rPr>
        <w:t>able 1. The List of dependent and independent variables</w:t>
      </w:r>
    </w:p>
    <w:tbl>
      <w:tblPr>
        <w:tblStyle w:val="af"/>
        <w:tblW w:w="9634" w:type="dxa"/>
        <w:tblLook w:val="04A0" w:firstRow="1" w:lastRow="0" w:firstColumn="1" w:lastColumn="0" w:noHBand="0" w:noVBand="1"/>
      </w:tblPr>
      <w:tblGrid>
        <w:gridCol w:w="2405"/>
        <w:gridCol w:w="1418"/>
        <w:gridCol w:w="5103"/>
        <w:gridCol w:w="708"/>
      </w:tblGrid>
      <w:tr w:rsidR="00511019" w:rsidRPr="00446F8D" w14:paraId="5CA4613F" w14:textId="77777777" w:rsidTr="005140C5">
        <w:tc>
          <w:tcPr>
            <w:tcW w:w="2405" w:type="dxa"/>
          </w:tcPr>
          <w:p w14:paraId="60B44691" w14:textId="77777777" w:rsidR="0061710A" w:rsidRPr="00446F8D" w:rsidRDefault="0061710A" w:rsidP="0071002F">
            <w:pPr>
              <w:tabs>
                <w:tab w:val="num" w:pos="0"/>
              </w:tabs>
              <w:ind w:right="-35"/>
              <w:jc w:val="center"/>
              <w:rPr>
                <w:rFonts w:eastAsia="標楷體"/>
                <w:bCs/>
                <w:color w:val="000000" w:themeColor="text1"/>
              </w:rPr>
            </w:pPr>
            <w:r w:rsidRPr="00446F8D">
              <w:rPr>
                <w:rFonts w:eastAsia="標楷體"/>
                <w:bCs/>
                <w:color w:val="000000" w:themeColor="text1"/>
              </w:rPr>
              <w:t>Variable</w:t>
            </w:r>
          </w:p>
        </w:tc>
        <w:tc>
          <w:tcPr>
            <w:tcW w:w="1418" w:type="dxa"/>
          </w:tcPr>
          <w:p w14:paraId="7F041D8F" w14:textId="77777777" w:rsidR="0061710A" w:rsidRPr="00446F8D" w:rsidRDefault="0061710A" w:rsidP="0071002F">
            <w:pPr>
              <w:tabs>
                <w:tab w:val="num" w:pos="0"/>
              </w:tabs>
              <w:ind w:right="-35"/>
              <w:jc w:val="center"/>
              <w:rPr>
                <w:rFonts w:eastAsia="標楷體"/>
                <w:bCs/>
                <w:color w:val="000000" w:themeColor="text1"/>
              </w:rPr>
            </w:pPr>
            <w:r w:rsidRPr="00446F8D">
              <w:rPr>
                <w:rFonts w:eastAsia="標楷體" w:hint="eastAsia"/>
                <w:bCs/>
                <w:color w:val="000000" w:themeColor="text1"/>
              </w:rPr>
              <w:t>N</w:t>
            </w:r>
            <w:r w:rsidRPr="00446F8D">
              <w:rPr>
                <w:rFonts w:eastAsia="標楷體"/>
                <w:bCs/>
                <w:color w:val="000000" w:themeColor="text1"/>
              </w:rPr>
              <w:t>otation</w:t>
            </w:r>
          </w:p>
        </w:tc>
        <w:tc>
          <w:tcPr>
            <w:tcW w:w="5103" w:type="dxa"/>
          </w:tcPr>
          <w:p w14:paraId="5BEF04F0" w14:textId="77777777" w:rsidR="0061710A" w:rsidRPr="00446F8D" w:rsidRDefault="00CD100C" w:rsidP="0071002F">
            <w:pPr>
              <w:tabs>
                <w:tab w:val="num" w:pos="0"/>
              </w:tabs>
              <w:ind w:right="-35"/>
              <w:jc w:val="center"/>
              <w:rPr>
                <w:rFonts w:eastAsia="標楷體"/>
                <w:bCs/>
                <w:color w:val="000000" w:themeColor="text1"/>
              </w:rPr>
            </w:pPr>
            <w:r w:rsidRPr="00446F8D">
              <w:rPr>
                <w:rFonts w:eastAsia="標楷體"/>
                <w:bCs/>
                <w:color w:val="000000" w:themeColor="text1"/>
              </w:rPr>
              <w:t>Formula</w:t>
            </w:r>
          </w:p>
        </w:tc>
        <w:tc>
          <w:tcPr>
            <w:tcW w:w="708" w:type="dxa"/>
          </w:tcPr>
          <w:p w14:paraId="7B9D4D1E" w14:textId="77777777" w:rsidR="0061710A" w:rsidRPr="00446F8D" w:rsidRDefault="0061710A" w:rsidP="0071002F">
            <w:pPr>
              <w:tabs>
                <w:tab w:val="num" w:pos="0"/>
              </w:tabs>
              <w:ind w:right="-35"/>
              <w:jc w:val="center"/>
              <w:rPr>
                <w:rFonts w:eastAsia="標楷體"/>
                <w:bCs/>
                <w:color w:val="000000" w:themeColor="text1"/>
              </w:rPr>
            </w:pPr>
            <w:r w:rsidRPr="00446F8D">
              <w:rPr>
                <w:rFonts w:eastAsia="標楷體" w:hint="eastAsia"/>
                <w:bCs/>
                <w:color w:val="000000" w:themeColor="text1"/>
              </w:rPr>
              <w:t>S</w:t>
            </w:r>
            <w:r w:rsidRPr="00446F8D">
              <w:rPr>
                <w:rFonts w:eastAsia="標楷體"/>
                <w:bCs/>
                <w:color w:val="000000" w:themeColor="text1"/>
              </w:rPr>
              <w:t>ign</w:t>
            </w:r>
          </w:p>
        </w:tc>
      </w:tr>
      <w:tr w:rsidR="00511019" w:rsidRPr="00446F8D" w14:paraId="70EA3559" w14:textId="77777777" w:rsidTr="005140C5">
        <w:tc>
          <w:tcPr>
            <w:tcW w:w="2405" w:type="dxa"/>
          </w:tcPr>
          <w:p w14:paraId="293396B7" w14:textId="77777777" w:rsidR="0061710A" w:rsidRPr="00446F8D" w:rsidRDefault="0061710A" w:rsidP="0071002F">
            <w:pPr>
              <w:tabs>
                <w:tab w:val="num" w:pos="0"/>
              </w:tabs>
              <w:ind w:right="-35"/>
              <w:rPr>
                <w:rFonts w:eastAsia="標楷體"/>
                <w:bCs/>
                <w:color w:val="000000" w:themeColor="text1"/>
              </w:rPr>
            </w:pPr>
            <w:r w:rsidRPr="00446F8D">
              <w:rPr>
                <w:rFonts w:eastAsia="標楷體"/>
                <w:bCs/>
                <w:color w:val="000000" w:themeColor="text1"/>
              </w:rPr>
              <w:t xml:space="preserve">Perceived </w:t>
            </w:r>
            <w:r w:rsidR="0071002F" w:rsidRPr="00446F8D">
              <w:rPr>
                <w:rFonts w:eastAsia="標楷體"/>
                <w:bCs/>
                <w:color w:val="000000" w:themeColor="text1"/>
              </w:rPr>
              <w:t>Risk C</w:t>
            </w:r>
            <w:r w:rsidRPr="00446F8D">
              <w:rPr>
                <w:rFonts w:eastAsia="標楷體"/>
                <w:bCs/>
                <w:color w:val="000000" w:themeColor="text1"/>
              </w:rPr>
              <w:t>ount</w:t>
            </w:r>
          </w:p>
        </w:tc>
        <w:tc>
          <w:tcPr>
            <w:tcW w:w="1418" w:type="dxa"/>
          </w:tcPr>
          <w:p w14:paraId="3B29A261" w14:textId="77777777" w:rsidR="0061710A" w:rsidRPr="00446F8D" w:rsidRDefault="0061710A" w:rsidP="005655FB">
            <w:pPr>
              <w:tabs>
                <w:tab w:val="num" w:pos="0"/>
              </w:tabs>
              <w:ind w:right="-35"/>
              <w:jc w:val="center"/>
              <w:rPr>
                <w:rFonts w:eastAsia="標楷體"/>
                <w:bCs/>
                <w:color w:val="000000" w:themeColor="text1"/>
              </w:rPr>
            </w:pPr>
            <w:r w:rsidRPr="00446F8D">
              <w:rPr>
                <w:rFonts w:eastAsia="標楷體" w:hint="eastAsia"/>
                <w:bCs/>
                <w:color w:val="000000" w:themeColor="text1"/>
              </w:rPr>
              <w:t>R</w:t>
            </w:r>
            <w:r w:rsidRPr="00446F8D">
              <w:rPr>
                <w:rFonts w:eastAsia="標楷體"/>
                <w:bCs/>
                <w:color w:val="000000" w:themeColor="text1"/>
              </w:rPr>
              <w:t>ISK</w:t>
            </w:r>
          </w:p>
        </w:tc>
        <w:tc>
          <w:tcPr>
            <w:tcW w:w="5103" w:type="dxa"/>
          </w:tcPr>
          <w:p w14:paraId="47472A0C" w14:textId="77777777" w:rsidR="0061710A" w:rsidRPr="00446F8D" w:rsidRDefault="00614923" w:rsidP="005655FB">
            <w:pPr>
              <w:tabs>
                <w:tab w:val="num" w:pos="0"/>
              </w:tabs>
              <w:ind w:right="-35"/>
              <w:rPr>
                <w:rFonts w:eastAsia="標楷體"/>
                <w:bCs/>
                <w:color w:val="000000" w:themeColor="text1"/>
              </w:rPr>
            </w:pPr>
            <w:r w:rsidRPr="00446F8D">
              <w:rPr>
                <w:rFonts w:eastAsia="標楷體"/>
                <w:bCs/>
                <w:color w:val="000000" w:themeColor="text1"/>
              </w:rPr>
              <w:t>Single equity VIX</w:t>
            </w:r>
          </w:p>
        </w:tc>
        <w:tc>
          <w:tcPr>
            <w:tcW w:w="708" w:type="dxa"/>
          </w:tcPr>
          <w:p w14:paraId="1024DACA" w14:textId="77777777" w:rsidR="0061710A" w:rsidRPr="00446F8D" w:rsidRDefault="0061710A" w:rsidP="005655FB">
            <w:pPr>
              <w:tabs>
                <w:tab w:val="num" w:pos="0"/>
              </w:tabs>
              <w:ind w:right="-35"/>
              <w:rPr>
                <w:rFonts w:eastAsia="標楷體"/>
                <w:bCs/>
                <w:color w:val="000000" w:themeColor="text1"/>
              </w:rPr>
            </w:pPr>
          </w:p>
        </w:tc>
      </w:tr>
      <w:tr w:rsidR="00614923" w:rsidRPr="00446F8D" w14:paraId="73FA8873" w14:textId="77777777" w:rsidTr="0071002F">
        <w:tc>
          <w:tcPr>
            <w:tcW w:w="9634" w:type="dxa"/>
            <w:gridSpan w:val="4"/>
          </w:tcPr>
          <w:p w14:paraId="640D797C" w14:textId="77777777" w:rsidR="00614923" w:rsidRPr="00446F8D" w:rsidRDefault="00614923" w:rsidP="005655FB">
            <w:pPr>
              <w:tabs>
                <w:tab w:val="num" w:pos="0"/>
              </w:tabs>
              <w:ind w:right="-35"/>
              <w:rPr>
                <w:rFonts w:eastAsia="標楷體"/>
                <w:bCs/>
                <w:color w:val="000000" w:themeColor="text1"/>
              </w:rPr>
            </w:pPr>
            <w:r w:rsidRPr="00446F8D">
              <w:rPr>
                <w:rFonts w:eastAsia="標楷體"/>
                <w:bCs/>
                <w:color w:val="000000" w:themeColor="text1"/>
              </w:rPr>
              <w:t>Financial Health</w:t>
            </w:r>
          </w:p>
        </w:tc>
      </w:tr>
      <w:tr w:rsidR="00511019" w:rsidRPr="00446F8D" w14:paraId="4442DAF6" w14:textId="77777777" w:rsidTr="005140C5">
        <w:trPr>
          <w:trHeight w:val="2192"/>
        </w:trPr>
        <w:tc>
          <w:tcPr>
            <w:tcW w:w="2405" w:type="dxa"/>
          </w:tcPr>
          <w:p w14:paraId="6D518E06" w14:textId="77777777" w:rsidR="0061710A" w:rsidRPr="00446F8D" w:rsidRDefault="00614923" w:rsidP="005655FB">
            <w:pPr>
              <w:tabs>
                <w:tab w:val="num" w:pos="0"/>
              </w:tabs>
              <w:ind w:right="-35"/>
              <w:rPr>
                <w:rFonts w:eastAsia="標楷體"/>
                <w:bCs/>
                <w:color w:val="000000" w:themeColor="text1"/>
              </w:rPr>
            </w:pPr>
            <w:r w:rsidRPr="00446F8D">
              <w:rPr>
                <w:rFonts w:eastAsia="標楷體"/>
                <w:bCs/>
                <w:color w:val="000000" w:themeColor="text1"/>
              </w:rPr>
              <w:t>Z score</w:t>
            </w:r>
          </w:p>
        </w:tc>
        <w:tc>
          <w:tcPr>
            <w:tcW w:w="1418" w:type="dxa"/>
          </w:tcPr>
          <w:p w14:paraId="6CC26BE5" w14:textId="77777777" w:rsidR="0061710A" w:rsidRPr="00446F8D" w:rsidRDefault="00614923" w:rsidP="005655FB">
            <w:pPr>
              <w:tabs>
                <w:tab w:val="num" w:pos="0"/>
              </w:tabs>
              <w:ind w:right="-35"/>
              <w:jc w:val="center"/>
              <w:rPr>
                <w:rFonts w:eastAsia="標楷體"/>
                <w:bCs/>
                <w:color w:val="000000" w:themeColor="text1"/>
              </w:rPr>
            </w:pPr>
            <w:r w:rsidRPr="00446F8D">
              <w:rPr>
                <w:rFonts w:eastAsia="標楷體" w:hint="eastAsia"/>
                <w:bCs/>
                <w:color w:val="000000" w:themeColor="text1"/>
              </w:rPr>
              <w:t>Z</w:t>
            </w:r>
            <w:r w:rsidRPr="00446F8D">
              <w:rPr>
                <w:rFonts w:eastAsia="標楷體"/>
                <w:bCs/>
                <w:color w:val="000000" w:themeColor="text1"/>
              </w:rPr>
              <w:t>S</w:t>
            </w:r>
          </w:p>
        </w:tc>
        <w:tc>
          <w:tcPr>
            <w:tcW w:w="5103" w:type="dxa"/>
          </w:tcPr>
          <w:p w14:paraId="79B229CC" w14:textId="77777777" w:rsidR="0061710A" w:rsidRPr="00446F8D" w:rsidRDefault="00614923" w:rsidP="005655FB">
            <w:pPr>
              <w:tabs>
                <w:tab w:val="num" w:pos="0"/>
              </w:tabs>
              <w:ind w:right="-34"/>
              <w:rPr>
                <w:rFonts w:eastAsia="標楷體"/>
                <w:bCs/>
                <w:color w:val="000000" w:themeColor="text1"/>
              </w:rPr>
            </w:pPr>
            <w:r w:rsidRPr="00446F8D">
              <w:rPr>
                <w:rFonts w:eastAsia="標楷體" w:hint="eastAsia"/>
                <w:bCs/>
                <w:color w:val="000000" w:themeColor="text1"/>
              </w:rPr>
              <w:t>A</w:t>
            </w:r>
            <w:r w:rsidRPr="00446F8D">
              <w:rPr>
                <w:rFonts w:eastAsia="標楷體"/>
                <w:bCs/>
                <w:color w:val="000000" w:themeColor="text1"/>
              </w:rPr>
              <w:t>ltman’s</w:t>
            </w:r>
            <w:r w:rsidR="00796D53" w:rsidRPr="00446F8D">
              <w:rPr>
                <w:rFonts w:eastAsia="標楷體"/>
                <w:bCs/>
                <w:color w:val="000000" w:themeColor="text1"/>
              </w:rPr>
              <w:t xml:space="preserve"> (1968)</w:t>
            </w:r>
            <w:r w:rsidRPr="00446F8D">
              <w:rPr>
                <w:rFonts w:eastAsia="標楷體"/>
                <w:bCs/>
                <w:color w:val="000000" w:themeColor="text1"/>
              </w:rPr>
              <w:t xml:space="preserve"> Z score</w:t>
            </w:r>
            <w:r w:rsidR="00203AE9" w:rsidRPr="00446F8D">
              <w:rPr>
                <w:rFonts w:eastAsia="標楷體"/>
                <w:bCs/>
                <w:color w:val="000000" w:themeColor="text1"/>
              </w:rPr>
              <w:t>=</w:t>
            </w:r>
          </w:p>
          <w:p w14:paraId="42FA6FD2" w14:textId="77777777" w:rsidR="00203AE9" w:rsidRPr="00446F8D" w:rsidRDefault="00203AE9" w:rsidP="005655FB">
            <w:pPr>
              <w:tabs>
                <w:tab w:val="num" w:pos="0"/>
              </w:tabs>
              <w:ind w:right="-34"/>
              <w:rPr>
                <w:rFonts w:eastAsia="標楷體"/>
                <w:bCs/>
                <w:color w:val="000000" w:themeColor="text1"/>
              </w:rPr>
            </w:pPr>
            <w:r w:rsidRPr="00446F8D">
              <w:rPr>
                <w:rFonts w:eastAsia="標楷體"/>
                <w:bCs/>
                <w:color w:val="000000" w:themeColor="text1"/>
              </w:rPr>
              <w:t>(1.2×A)+(1.4×B)+(3.3×C)+(0.6×D) +(1.0×E)</w:t>
            </w:r>
          </w:p>
          <w:p w14:paraId="1CA096BF" w14:textId="77777777" w:rsidR="00203AE9" w:rsidRPr="00446F8D" w:rsidRDefault="00203AE9" w:rsidP="005655FB">
            <w:pPr>
              <w:tabs>
                <w:tab w:val="num" w:pos="0"/>
              </w:tabs>
              <w:ind w:right="-34"/>
              <w:jc w:val="both"/>
              <w:rPr>
                <w:rFonts w:eastAsia="標楷體"/>
                <w:bCs/>
                <w:color w:val="000000" w:themeColor="text1"/>
              </w:rPr>
            </w:pPr>
            <w:r w:rsidRPr="00446F8D">
              <w:rPr>
                <w:rFonts w:eastAsia="標楷體"/>
                <w:bCs/>
                <w:color w:val="000000" w:themeColor="text1"/>
              </w:rPr>
              <w:t>A=Working Capital/ Total Assets</w:t>
            </w:r>
          </w:p>
          <w:p w14:paraId="57C3CD7D" w14:textId="77777777" w:rsidR="00203AE9" w:rsidRPr="00446F8D" w:rsidRDefault="00203AE9" w:rsidP="005655FB">
            <w:pPr>
              <w:tabs>
                <w:tab w:val="num" w:pos="0"/>
              </w:tabs>
              <w:ind w:right="-34"/>
              <w:jc w:val="both"/>
              <w:rPr>
                <w:rFonts w:eastAsia="標楷體"/>
                <w:bCs/>
                <w:color w:val="000000" w:themeColor="text1"/>
              </w:rPr>
            </w:pPr>
            <w:r w:rsidRPr="00446F8D">
              <w:rPr>
                <w:rFonts w:eastAsia="標楷體"/>
                <w:bCs/>
                <w:color w:val="000000" w:themeColor="text1"/>
              </w:rPr>
              <w:t>B=Retained Earnings/ Total Assets</w:t>
            </w:r>
          </w:p>
          <w:p w14:paraId="0DAF25C8" w14:textId="77777777" w:rsidR="00203AE9" w:rsidRPr="00446F8D" w:rsidRDefault="00203AE9" w:rsidP="005655FB">
            <w:pPr>
              <w:tabs>
                <w:tab w:val="num" w:pos="0"/>
              </w:tabs>
              <w:ind w:right="-34"/>
              <w:jc w:val="both"/>
              <w:rPr>
                <w:rFonts w:eastAsia="標楷體"/>
                <w:bCs/>
                <w:color w:val="000000" w:themeColor="text1"/>
              </w:rPr>
            </w:pPr>
            <w:r w:rsidRPr="00446F8D">
              <w:rPr>
                <w:rFonts w:eastAsia="標楷體"/>
                <w:bCs/>
                <w:color w:val="000000" w:themeColor="text1"/>
              </w:rPr>
              <w:t>C=Earnings Before Interest &amp; Tax/ Total Assets</w:t>
            </w:r>
          </w:p>
          <w:p w14:paraId="13491651" w14:textId="77777777" w:rsidR="00203AE9" w:rsidRPr="00446F8D" w:rsidRDefault="00203AE9" w:rsidP="005655FB">
            <w:pPr>
              <w:tabs>
                <w:tab w:val="num" w:pos="0"/>
              </w:tabs>
              <w:ind w:right="-34"/>
              <w:jc w:val="both"/>
              <w:rPr>
                <w:rFonts w:eastAsia="標楷體"/>
                <w:bCs/>
                <w:color w:val="000000" w:themeColor="text1"/>
              </w:rPr>
            </w:pPr>
            <w:r w:rsidRPr="00446F8D">
              <w:rPr>
                <w:rFonts w:eastAsia="標楷體"/>
                <w:bCs/>
                <w:color w:val="000000" w:themeColor="text1"/>
              </w:rPr>
              <w:t>D=Market Value of Equity/ Total Liabilities</w:t>
            </w:r>
          </w:p>
          <w:p w14:paraId="75E9DECA" w14:textId="77777777" w:rsidR="00203AE9" w:rsidRPr="00446F8D" w:rsidRDefault="00203AE9" w:rsidP="005655FB">
            <w:pPr>
              <w:tabs>
                <w:tab w:val="num" w:pos="0"/>
              </w:tabs>
              <w:ind w:right="-34"/>
              <w:jc w:val="both"/>
              <w:rPr>
                <w:rFonts w:eastAsia="標楷體"/>
                <w:bCs/>
                <w:color w:val="000000" w:themeColor="text1"/>
              </w:rPr>
            </w:pPr>
            <w:r w:rsidRPr="00446F8D">
              <w:rPr>
                <w:rFonts w:eastAsia="標楷體"/>
                <w:bCs/>
                <w:color w:val="000000" w:themeColor="text1"/>
              </w:rPr>
              <w:t>E=Sales/ Total Assets</w:t>
            </w:r>
          </w:p>
        </w:tc>
        <w:tc>
          <w:tcPr>
            <w:tcW w:w="708" w:type="dxa"/>
            <w:vAlign w:val="center"/>
          </w:tcPr>
          <w:p w14:paraId="2814E285" w14:textId="77777777" w:rsidR="0061710A" w:rsidRPr="00446F8D" w:rsidRDefault="00614923" w:rsidP="005655FB">
            <w:pPr>
              <w:tabs>
                <w:tab w:val="num" w:pos="0"/>
              </w:tabs>
              <w:ind w:right="-35"/>
              <w:jc w:val="center"/>
              <w:rPr>
                <w:rFonts w:eastAsia="標楷體"/>
                <w:bCs/>
                <w:color w:val="000000" w:themeColor="text1"/>
              </w:rPr>
            </w:pPr>
            <w:r w:rsidRPr="00446F8D">
              <w:rPr>
                <w:rFonts w:eastAsia="標楷體" w:hint="eastAsia"/>
                <w:bCs/>
                <w:color w:val="000000" w:themeColor="text1"/>
              </w:rPr>
              <w:t>-</w:t>
            </w:r>
          </w:p>
        </w:tc>
      </w:tr>
      <w:tr w:rsidR="00511019" w:rsidRPr="00446F8D" w14:paraId="66339D17" w14:textId="77777777" w:rsidTr="005140C5">
        <w:trPr>
          <w:trHeight w:val="427"/>
        </w:trPr>
        <w:tc>
          <w:tcPr>
            <w:tcW w:w="2405" w:type="dxa"/>
          </w:tcPr>
          <w:p w14:paraId="53D6F69E" w14:textId="77777777" w:rsidR="0061710A" w:rsidRPr="00446F8D" w:rsidRDefault="00614923" w:rsidP="005655FB">
            <w:pPr>
              <w:tabs>
                <w:tab w:val="num" w:pos="0"/>
              </w:tabs>
              <w:ind w:right="-35"/>
              <w:rPr>
                <w:rFonts w:eastAsia="標楷體"/>
                <w:bCs/>
                <w:color w:val="000000" w:themeColor="text1"/>
              </w:rPr>
            </w:pPr>
            <w:r w:rsidRPr="00446F8D">
              <w:rPr>
                <w:rFonts w:eastAsia="標楷體" w:hint="eastAsia"/>
                <w:bCs/>
                <w:color w:val="000000" w:themeColor="text1"/>
              </w:rPr>
              <w:t>T</w:t>
            </w:r>
            <w:r w:rsidRPr="00446F8D">
              <w:rPr>
                <w:rFonts w:eastAsia="標楷體"/>
                <w:bCs/>
                <w:color w:val="000000" w:themeColor="text1"/>
              </w:rPr>
              <w:t>obin’s Q</w:t>
            </w:r>
          </w:p>
        </w:tc>
        <w:tc>
          <w:tcPr>
            <w:tcW w:w="1418" w:type="dxa"/>
          </w:tcPr>
          <w:p w14:paraId="78BFF0C6" w14:textId="77777777" w:rsidR="0061710A" w:rsidRPr="00446F8D" w:rsidRDefault="00614923" w:rsidP="005655FB">
            <w:pPr>
              <w:tabs>
                <w:tab w:val="num" w:pos="0"/>
              </w:tabs>
              <w:ind w:right="-35"/>
              <w:jc w:val="center"/>
              <w:rPr>
                <w:rFonts w:eastAsia="標楷體"/>
                <w:bCs/>
                <w:color w:val="000000" w:themeColor="text1"/>
              </w:rPr>
            </w:pPr>
            <w:r w:rsidRPr="00446F8D">
              <w:rPr>
                <w:rFonts w:eastAsia="標楷體" w:hint="eastAsia"/>
                <w:bCs/>
                <w:color w:val="000000" w:themeColor="text1"/>
              </w:rPr>
              <w:t>T</w:t>
            </w:r>
            <w:r w:rsidRPr="00446F8D">
              <w:rPr>
                <w:rFonts w:eastAsia="標楷體"/>
                <w:bCs/>
                <w:color w:val="000000" w:themeColor="text1"/>
              </w:rPr>
              <w:t>Q</w:t>
            </w:r>
          </w:p>
        </w:tc>
        <w:tc>
          <w:tcPr>
            <w:tcW w:w="5103" w:type="dxa"/>
          </w:tcPr>
          <w:p w14:paraId="7684D2EA" w14:textId="77777777" w:rsidR="0061710A" w:rsidRPr="00446F8D" w:rsidRDefault="00EF12E5" w:rsidP="005655FB">
            <w:pPr>
              <w:tabs>
                <w:tab w:val="num" w:pos="0"/>
              </w:tabs>
              <w:ind w:right="-35"/>
              <w:rPr>
                <w:rFonts w:eastAsia="標楷體"/>
                <w:bCs/>
                <w:color w:val="000000" w:themeColor="text1"/>
              </w:rPr>
            </w:pPr>
            <w:r w:rsidRPr="00446F8D">
              <w:rPr>
                <w:rFonts w:eastAsia="標楷體"/>
                <w:bCs/>
                <w:color w:val="000000" w:themeColor="text1"/>
              </w:rPr>
              <w:t xml:space="preserve">Total Market Value /Total </w:t>
            </w:r>
            <w:r w:rsidRPr="00446F8D">
              <w:rPr>
                <w:rFonts w:eastAsia="標楷體" w:hint="eastAsia"/>
                <w:bCs/>
                <w:color w:val="000000" w:themeColor="text1"/>
              </w:rPr>
              <w:t>A</w:t>
            </w:r>
            <w:r w:rsidRPr="00446F8D">
              <w:rPr>
                <w:rFonts w:eastAsia="標楷體"/>
                <w:bCs/>
                <w:color w:val="000000" w:themeColor="text1"/>
              </w:rPr>
              <w:t xml:space="preserve">sset Value </w:t>
            </w:r>
          </w:p>
        </w:tc>
        <w:tc>
          <w:tcPr>
            <w:tcW w:w="708" w:type="dxa"/>
            <w:vAlign w:val="center"/>
          </w:tcPr>
          <w:p w14:paraId="609C45EE" w14:textId="77777777" w:rsidR="0061710A" w:rsidRPr="00446F8D" w:rsidRDefault="00614923" w:rsidP="005655FB">
            <w:pPr>
              <w:tabs>
                <w:tab w:val="num" w:pos="0"/>
              </w:tabs>
              <w:ind w:right="-35"/>
              <w:jc w:val="center"/>
              <w:rPr>
                <w:rFonts w:eastAsia="標楷體"/>
                <w:bCs/>
                <w:color w:val="000000" w:themeColor="text1"/>
              </w:rPr>
            </w:pPr>
            <w:r w:rsidRPr="00446F8D">
              <w:rPr>
                <w:rFonts w:eastAsia="標楷體" w:hint="eastAsia"/>
                <w:bCs/>
                <w:color w:val="000000" w:themeColor="text1"/>
              </w:rPr>
              <w:t>-</w:t>
            </w:r>
          </w:p>
        </w:tc>
      </w:tr>
      <w:tr w:rsidR="00EF12E5" w:rsidRPr="00446F8D" w14:paraId="5B9CA3F5" w14:textId="77777777" w:rsidTr="0071002F">
        <w:tc>
          <w:tcPr>
            <w:tcW w:w="9634" w:type="dxa"/>
            <w:gridSpan w:val="4"/>
          </w:tcPr>
          <w:p w14:paraId="651E6F31" w14:textId="77777777" w:rsidR="00EF12E5" w:rsidRPr="00446F8D" w:rsidRDefault="00EF12E5" w:rsidP="005655FB">
            <w:pPr>
              <w:tabs>
                <w:tab w:val="num" w:pos="0"/>
              </w:tabs>
              <w:ind w:right="-35"/>
              <w:rPr>
                <w:rFonts w:eastAsia="標楷體"/>
                <w:bCs/>
                <w:color w:val="000000" w:themeColor="text1"/>
              </w:rPr>
            </w:pPr>
            <w:r w:rsidRPr="00446F8D">
              <w:rPr>
                <w:rFonts w:eastAsia="標楷體"/>
                <w:bCs/>
                <w:color w:val="000000" w:themeColor="text1"/>
              </w:rPr>
              <w:t>Technology Competition</w:t>
            </w:r>
          </w:p>
        </w:tc>
      </w:tr>
      <w:tr w:rsidR="00511019" w:rsidRPr="00446F8D" w14:paraId="211C6FBA" w14:textId="77777777" w:rsidTr="005140C5">
        <w:tc>
          <w:tcPr>
            <w:tcW w:w="2405" w:type="dxa"/>
          </w:tcPr>
          <w:p w14:paraId="234AE332" w14:textId="77777777" w:rsidR="00EF12E5" w:rsidRPr="00446F8D" w:rsidRDefault="00EF12E5" w:rsidP="005655FB">
            <w:pPr>
              <w:tabs>
                <w:tab w:val="num" w:pos="0"/>
              </w:tabs>
              <w:ind w:right="-35"/>
              <w:rPr>
                <w:rFonts w:eastAsia="標楷體"/>
                <w:bCs/>
                <w:color w:val="000000" w:themeColor="text1"/>
              </w:rPr>
            </w:pPr>
            <w:r w:rsidRPr="00446F8D">
              <w:rPr>
                <w:rFonts w:eastAsia="標楷體"/>
                <w:bCs/>
                <w:color w:val="000000" w:themeColor="text1"/>
              </w:rPr>
              <w:t>R&amp;D expenditure</w:t>
            </w:r>
          </w:p>
        </w:tc>
        <w:tc>
          <w:tcPr>
            <w:tcW w:w="1418" w:type="dxa"/>
          </w:tcPr>
          <w:p w14:paraId="0AFAABF1" w14:textId="77777777" w:rsidR="00EF12E5" w:rsidRPr="00446F8D" w:rsidRDefault="00EF12E5" w:rsidP="005655FB">
            <w:pPr>
              <w:tabs>
                <w:tab w:val="num" w:pos="0"/>
              </w:tabs>
              <w:ind w:right="-35"/>
              <w:jc w:val="center"/>
              <w:rPr>
                <w:rFonts w:eastAsia="標楷體"/>
                <w:bCs/>
                <w:color w:val="000000" w:themeColor="text1"/>
              </w:rPr>
            </w:pPr>
            <w:r w:rsidRPr="00446F8D">
              <w:rPr>
                <w:rFonts w:eastAsia="標楷體" w:hint="eastAsia"/>
                <w:bCs/>
                <w:color w:val="000000" w:themeColor="text1"/>
              </w:rPr>
              <w:t>R</w:t>
            </w:r>
            <w:r w:rsidRPr="00446F8D">
              <w:rPr>
                <w:rFonts w:eastAsia="標楷體"/>
                <w:bCs/>
                <w:color w:val="000000" w:themeColor="text1"/>
              </w:rPr>
              <w:t>D</w:t>
            </w:r>
          </w:p>
        </w:tc>
        <w:tc>
          <w:tcPr>
            <w:tcW w:w="5103" w:type="dxa"/>
          </w:tcPr>
          <w:p w14:paraId="4DA2E78F" w14:textId="77777777" w:rsidR="00EF12E5" w:rsidRPr="00446F8D" w:rsidRDefault="00EF12E5" w:rsidP="005655FB">
            <w:pPr>
              <w:tabs>
                <w:tab w:val="num" w:pos="0"/>
              </w:tabs>
              <w:ind w:right="-35"/>
              <w:rPr>
                <w:rFonts w:eastAsia="標楷體"/>
                <w:bCs/>
                <w:color w:val="000000" w:themeColor="text1"/>
              </w:rPr>
            </w:pPr>
            <w:r w:rsidRPr="00446F8D">
              <w:rPr>
                <w:rFonts w:eastAsia="標楷體"/>
                <w:bCs/>
                <w:color w:val="000000" w:themeColor="text1"/>
              </w:rPr>
              <w:t>R&amp;D expenditure</w:t>
            </w:r>
          </w:p>
        </w:tc>
        <w:tc>
          <w:tcPr>
            <w:tcW w:w="708" w:type="dxa"/>
          </w:tcPr>
          <w:p w14:paraId="7D9A3CD3" w14:textId="4FD75394" w:rsidR="004B3942" w:rsidRPr="00446F8D" w:rsidRDefault="004B3942" w:rsidP="004B3942">
            <w:pPr>
              <w:tabs>
                <w:tab w:val="num" w:pos="0"/>
              </w:tabs>
              <w:ind w:right="-35"/>
              <w:rPr>
                <w:rFonts w:eastAsia="標楷體"/>
                <w:bCs/>
                <w:color w:val="000000" w:themeColor="text1"/>
              </w:rPr>
            </w:pPr>
            <w:r>
              <w:rPr>
                <w:rFonts w:eastAsia="標楷體"/>
                <w:bCs/>
                <w:color w:val="000000" w:themeColor="text1"/>
              </w:rPr>
              <w:t>+/-</w:t>
            </w:r>
          </w:p>
        </w:tc>
      </w:tr>
      <w:tr w:rsidR="00EF12E5" w:rsidRPr="00446F8D" w14:paraId="504E04B7" w14:textId="77777777" w:rsidTr="0071002F">
        <w:tc>
          <w:tcPr>
            <w:tcW w:w="9634" w:type="dxa"/>
            <w:gridSpan w:val="4"/>
          </w:tcPr>
          <w:p w14:paraId="5AF6FCD3" w14:textId="77777777" w:rsidR="00EF12E5" w:rsidRPr="00446F8D" w:rsidRDefault="00EF12E5" w:rsidP="005655FB">
            <w:pPr>
              <w:tabs>
                <w:tab w:val="num" w:pos="0"/>
              </w:tabs>
              <w:ind w:right="-35"/>
              <w:rPr>
                <w:rFonts w:eastAsia="標楷體"/>
                <w:bCs/>
                <w:color w:val="000000" w:themeColor="text1"/>
              </w:rPr>
            </w:pPr>
            <w:r w:rsidRPr="00446F8D">
              <w:rPr>
                <w:rFonts w:eastAsia="標楷體"/>
                <w:bCs/>
                <w:color w:val="000000" w:themeColor="text1"/>
              </w:rPr>
              <w:t>Leverage Finance</w:t>
            </w:r>
          </w:p>
        </w:tc>
      </w:tr>
      <w:tr w:rsidR="00511019" w:rsidRPr="00446F8D" w14:paraId="65B96E5F" w14:textId="77777777" w:rsidTr="005140C5">
        <w:tc>
          <w:tcPr>
            <w:tcW w:w="2405" w:type="dxa"/>
          </w:tcPr>
          <w:p w14:paraId="5C17C70E" w14:textId="77777777" w:rsidR="00EF12E5" w:rsidRPr="00446F8D" w:rsidRDefault="00EF12E5" w:rsidP="005655FB">
            <w:pPr>
              <w:tabs>
                <w:tab w:val="num" w:pos="0"/>
              </w:tabs>
              <w:ind w:right="-35"/>
              <w:rPr>
                <w:rFonts w:eastAsia="標楷體"/>
                <w:bCs/>
                <w:color w:val="000000" w:themeColor="text1"/>
              </w:rPr>
            </w:pPr>
            <w:r w:rsidRPr="00446F8D">
              <w:rPr>
                <w:rFonts w:eastAsia="標楷體"/>
                <w:bCs/>
                <w:color w:val="000000" w:themeColor="text1"/>
              </w:rPr>
              <w:t>Debt Ratio</w:t>
            </w:r>
          </w:p>
        </w:tc>
        <w:tc>
          <w:tcPr>
            <w:tcW w:w="1418" w:type="dxa"/>
          </w:tcPr>
          <w:p w14:paraId="173C577A" w14:textId="77777777" w:rsidR="00EF12E5" w:rsidRPr="00446F8D" w:rsidRDefault="00EF12E5" w:rsidP="005655FB">
            <w:pPr>
              <w:tabs>
                <w:tab w:val="num" w:pos="0"/>
              </w:tabs>
              <w:ind w:right="-35"/>
              <w:jc w:val="center"/>
              <w:rPr>
                <w:rFonts w:eastAsia="標楷體"/>
                <w:bCs/>
                <w:color w:val="000000" w:themeColor="text1"/>
              </w:rPr>
            </w:pPr>
            <w:r w:rsidRPr="00446F8D">
              <w:rPr>
                <w:rFonts w:eastAsia="標楷體" w:hint="eastAsia"/>
                <w:bCs/>
                <w:color w:val="000000" w:themeColor="text1"/>
              </w:rPr>
              <w:t>D</w:t>
            </w:r>
            <w:r w:rsidRPr="00446F8D">
              <w:rPr>
                <w:rFonts w:eastAsia="標楷體"/>
                <w:bCs/>
                <w:color w:val="000000" w:themeColor="text1"/>
              </w:rPr>
              <w:t>R</w:t>
            </w:r>
          </w:p>
        </w:tc>
        <w:tc>
          <w:tcPr>
            <w:tcW w:w="5103" w:type="dxa"/>
          </w:tcPr>
          <w:p w14:paraId="00F4B2AC" w14:textId="77777777" w:rsidR="00EF12E5" w:rsidRPr="00446F8D" w:rsidRDefault="00EF12E5" w:rsidP="005655FB">
            <w:pPr>
              <w:tabs>
                <w:tab w:val="num" w:pos="0"/>
              </w:tabs>
              <w:ind w:right="-35"/>
              <w:rPr>
                <w:rFonts w:eastAsia="標楷體"/>
                <w:bCs/>
                <w:color w:val="000000" w:themeColor="text1"/>
              </w:rPr>
            </w:pPr>
            <w:r w:rsidRPr="00446F8D">
              <w:rPr>
                <w:rFonts w:eastAsia="標楷體" w:hint="eastAsia"/>
                <w:bCs/>
                <w:color w:val="000000" w:themeColor="text1"/>
              </w:rPr>
              <w:t>T</w:t>
            </w:r>
            <w:r w:rsidRPr="00446F8D">
              <w:rPr>
                <w:rFonts w:eastAsia="標楷體"/>
                <w:bCs/>
                <w:color w:val="000000" w:themeColor="text1"/>
              </w:rPr>
              <w:t>otal Debt/Total</w:t>
            </w:r>
            <w:r w:rsidRPr="00446F8D">
              <w:rPr>
                <w:rFonts w:eastAsia="標楷體" w:hint="eastAsia"/>
                <w:bCs/>
                <w:color w:val="000000" w:themeColor="text1"/>
              </w:rPr>
              <w:t xml:space="preserve"> </w:t>
            </w:r>
            <w:r w:rsidRPr="00446F8D">
              <w:rPr>
                <w:rFonts w:eastAsia="標楷體"/>
                <w:bCs/>
                <w:color w:val="000000" w:themeColor="text1"/>
              </w:rPr>
              <w:t>Asset</w:t>
            </w:r>
          </w:p>
        </w:tc>
        <w:tc>
          <w:tcPr>
            <w:tcW w:w="708" w:type="dxa"/>
          </w:tcPr>
          <w:p w14:paraId="467731AC" w14:textId="77777777" w:rsidR="00EF12E5" w:rsidRPr="00446F8D" w:rsidRDefault="00EF12E5" w:rsidP="005655FB">
            <w:pPr>
              <w:tabs>
                <w:tab w:val="num" w:pos="0"/>
              </w:tabs>
              <w:ind w:right="-35"/>
              <w:jc w:val="center"/>
              <w:rPr>
                <w:rFonts w:eastAsia="標楷體"/>
                <w:bCs/>
                <w:color w:val="000000" w:themeColor="text1"/>
              </w:rPr>
            </w:pPr>
            <w:r w:rsidRPr="00446F8D">
              <w:rPr>
                <w:rFonts w:eastAsia="標楷體" w:hint="eastAsia"/>
                <w:bCs/>
                <w:color w:val="000000" w:themeColor="text1"/>
              </w:rPr>
              <w:t>+</w:t>
            </w:r>
          </w:p>
        </w:tc>
      </w:tr>
      <w:tr w:rsidR="00511019" w:rsidRPr="00446F8D" w14:paraId="03717EFF" w14:textId="77777777" w:rsidTr="005140C5">
        <w:tc>
          <w:tcPr>
            <w:tcW w:w="2405" w:type="dxa"/>
          </w:tcPr>
          <w:p w14:paraId="15CC247B" w14:textId="77777777" w:rsidR="00EF12E5" w:rsidRPr="00446F8D" w:rsidRDefault="00EF12E5" w:rsidP="005655FB">
            <w:pPr>
              <w:rPr>
                <w:rFonts w:eastAsia="標楷體"/>
                <w:bCs/>
                <w:color w:val="000000" w:themeColor="text1"/>
              </w:rPr>
            </w:pPr>
            <w:r w:rsidRPr="00446F8D">
              <w:rPr>
                <w:rFonts w:eastAsia="標楷體"/>
                <w:bCs/>
                <w:color w:val="000000" w:themeColor="text1"/>
              </w:rPr>
              <w:t>Financial Liquidity</w:t>
            </w:r>
          </w:p>
        </w:tc>
        <w:tc>
          <w:tcPr>
            <w:tcW w:w="1418" w:type="dxa"/>
          </w:tcPr>
          <w:p w14:paraId="53A040B9" w14:textId="77777777" w:rsidR="00EF12E5" w:rsidRPr="00446F8D" w:rsidRDefault="00EF12E5" w:rsidP="005655FB">
            <w:pPr>
              <w:tabs>
                <w:tab w:val="num" w:pos="0"/>
              </w:tabs>
              <w:ind w:right="-35"/>
              <w:rPr>
                <w:rFonts w:eastAsia="標楷體"/>
                <w:bCs/>
                <w:color w:val="000000" w:themeColor="text1"/>
              </w:rPr>
            </w:pPr>
          </w:p>
        </w:tc>
        <w:tc>
          <w:tcPr>
            <w:tcW w:w="5103" w:type="dxa"/>
          </w:tcPr>
          <w:p w14:paraId="45DFE255" w14:textId="77777777" w:rsidR="00EF12E5" w:rsidRPr="00446F8D" w:rsidRDefault="00EF12E5" w:rsidP="005655FB">
            <w:pPr>
              <w:tabs>
                <w:tab w:val="num" w:pos="0"/>
              </w:tabs>
              <w:ind w:right="-35"/>
              <w:rPr>
                <w:rFonts w:eastAsia="標楷體"/>
                <w:bCs/>
                <w:color w:val="000000" w:themeColor="text1"/>
              </w:rPr>
            </w:pPr>
          </w:p>
        </w:tc>
        <w:tc>
          <w:tcPr>
            <w:tcW w:w="708" w:type="dxa"/>
          </w:tcPr>
          <w:p w14:paraId="38FAAAA6" w14:textId="77777777" w:rsidR="00EF12E5" w:rsidRPr="00446F8D" w:rsidRDefault="00EF12E5" w:rsidP="005655FB">
            <w:pPr>
              <w:tabs>
                <w:tab w:val="num" w:pos="0"/>
              </w:tabs>
              <w:ind w:right="-35"/>
              <w:rPr>
                <w:rFonts w:eastAsia="標楷體"/>
                <w:bCs/>
                <w:color w:val="000000" w:themeColor="text1"/>
              </w:rPr>
            </w:pPr>
          </w:p>
        </w:tc>
      </w:tr>
      <w:tr w:rsidR="00511019" w:rsidRPr="00446F8D" w14:paraId="328C6629" w14:textId="77777777" w:rsidTr="005140C5">
        <w:tc>
          <w:tcPr>
            <w:tcW w:w="2405" w:type="dxa"/>
            <w:vAlign w:val="center"/>
          </w:tcPr>
          <w:p w14:paraId="3421A433" w14:textId="77777777" w:rsidR="00EF12E5" w:rsidRPr="00446F8D" w:rsidRDefault="00EF12E5" w:rsidP="005655FB">
            <w:pPr>
              <w:tabs>
                <w:tab w:val="num" w:pos="0"/>
              </w:tabs>
              <w:ind w:right="-35"/>
              <w:rPr>
                <w:rFonts w:eastAsia="標楷體"/>
                <w:bCs/>
                <w:color w:val="000000" w:themeColor="text1"/>
              </w:rPr>
            </w:pPr>
            <w:r w:rsidRPr="00446F8D">
              <w:rPr>
                <w:rFonts w:eastAsia="標楷體"/>
                <w:bCs/>
                <w:color w:val="000000" w:themeColor="text1"/>
              </w:rPr>
              <w:t xml:space="preserve">Cash Conversion Cycle </w:t>
            </w:r>
            <w:r w:rsidR="00B43FEB" w:rsidRPr="00446F8D">
              <w:rPr>
                <w:rFonts w:eastAsia="標楷體"/>
                <w:bCs/>
                <w:color w:val="000000" w:themeColor="text1"/>
              </w:rPr>
              <w:t>*</w:t>
            </w:r>
          </w:p>
        </w:tc>
        <w:tc>
          <w:tcPr>
            <w:tcW w:w="1418" w:type="dxa"/>
          </w:tcPr>
          <w:p w14:paraId="09A50EC6" w14:textId="77777777" w:rsidR="00EF12E5" w:rsidRPr="00446F8D" w:rsidRDefault="00EF12E5" w:rsidP="005655FB">
            <w:pPr>
              <w:tabs>
                <w:tab w:val="num" w:pos="0"/>
              </w:tabs>
              <w:ind w:right="-35"/>
              <w:jc w:val="center"/>
              <w:rPr>
                <w:rFonts w:eastAsia="標楷體"/>
                <w:bCs/>
                <w:color w:val="000000" w:themeColor="text1"/>
              </w:rPr>
            </w:pPr>
            <w:r w:rsidRPr="00446F8D">
              <w:rPr>
                <w:rFonts w:eastAsia="標楷體"/>
                <w:bCs/>
                <w:color w:val="000000" w:themeColor="text1"/>
              </w:rPr>
              <w:t>CCC</w:t>
            </w:r>
          </w:p>
        </w:tc>
        <w:tc>
          <w:tcPr>
            <w:tcW w:w="5103" w:type="dxa"/>
          </w:tcPr>
          <w:p w14:paraId="1C347808" w14:textId="77777777" w:rsidR="00EF12E5" w:rsidRPr="00446F8D" w:rsidRDefault="00EF12E5" w:rsidP="005655FB">
            <w:pPr>
              <w:tabs>
                <w:tab w:val="num" w:pos="0"/>
              </w:tabs>
              <w:ind w:right="-35"/>
              <w:rPr>
                <w:rFonts w:eastAsia="標楷體"/>
                <w:bCs/>
                <w:color w:val="000000" w:themeColor="text1"/>
              </w:rPr>
            </w:pPr>
            <w:r w:rsidRPr="00446F8D">
              <w:rPr>
                <w:rFonts w:eastAsia="標楷體"/>
                <w:bCs/>
                <w:color w:val="000000" w:themeColor="text1"/>
              </w:rPr>
              <w:t>CCC= DIO+DSO−DPO</w:t>
            </w:r>
            <w:r w:rsidR="00203AE9" w:rsidRPr="00446F8D">
              <w:rPr>
                <w:rFonts w:eastAsia="標楷體"/>
                <w:bCs/>
                <w:color w:val="000000" w:themeColor="text1"/>
              </w:rPr>
              <w:t xml:space="preserve">= </w:t>
            </w:r>
          </w:p>
          <w:p w14:paraId="23ED83EE" w14:textId="77777777" w:rsidR="00511019" w:rsidRPr="00446F8D" w:rsidRDefault="00EF12E5" w:rsidP="005655FB">
            <w:pPr>
              <w:pStyle w:val="ab"/>
              <w:rPr>
                <w:color w:val="000000" w:themeColor="text1"/>
                <w:sz w:val="24"/>
                <w:szCs w:val="24"/>
              </w:rPr>
            </w:pPr>
            <w:r w:rsidRPr="00446F8D">
              <w:rPr>
                <w:color w:val="000000" w:themeColor="text1"/>
                <w:sz w:val="24"/>
                <w:szCs w:val="24"/>
              </w:rPr>
              <w:t xml:space="preserve">DIO </w:t>
            </w:r>
            <w:r w:rsidR="00203AE9" w:rsidRPr="00446F8D">
              <w:rPr>
                <w:color w:val="000000" w:themeColor="text1"/>
                <w:sz w:val="24"/>
                <w:szCs w:val="24"/>
              </w:rPr>
              <w:t>=</w:t>
            </w:r>
            <w:r w:rsidRPr="00446F8D">
              <w:rPr>
                <w:color w:val="000000" w:themeColor="text1"/>
                <w:sz w:val="24"/>
                <w:szCs w:val="24"/>
              </w:rPr>
              <w:t xml:space="preserve"> Days of inventory outstanding</w:t>
            </w:r>
            <w:r w:rsidR="00203AE9" w:rsidRPr="00446F8D">
              <w:rPr>
                <w:color w:val="000000" w:themeColor="text1"/>
                <w:sz w:val="24"/>
                <w:szCs w:val="24"/>
              </w:rPr>
              <w:t xml:space="preserve"> </w:t>
            </w:r>
          </w:p>
          <w:p w14:paraId="69EAFDB3" w14:textId="77777777" w:rsidR="00A5446D" w:rsidRPr="00446F8D" w:rsidRDefault="00203AE9" w:rsidP="005655FB">
            <w:pPr>
              <w:pStyle w:val="ab"/>
              <w:rPr>
                <w:color w:val="000000" w:themeColor="text1"/>
                <w:sz w:val="24"/>
                <w:szCs w:val="24"/>
              </w:rPr>
            </w:pPr>
            <w:r w:rsidRPr="00446F8D">
              <w:rPr>
                <w:color w:val="000000" w:themeColor="text1"/>
                <w:sz w:val="24"/>
                <w:szCs w:val="24"/>
              </w:rPr>
              <w:t xml:space="preserve">= </w:t>
            </w:r>
            <w:r w:rsidR="00511019" w:rsidRPr="00446F8D">
              <w:rPr>
                <w:color w:val="000000" w:themeColor="text1"/>
                <w:sz w:val="24"/>
                <w:szCs w:val="24"/>
              </w:rPr>
              <w:t>(</w:t>
            </w:r>
            <w:r w:rsidRPr="00446F8D">
              <w:rPr>
                <w:color w:val="000000" w:themeColor="text1"/>
                <w:sz w:val="24"/>
                <w:szCs w:val="24"/>
              </w:rPr>
              <w:t>Average Inventory/ Cost of Goods</w:t>
            </w:r>
            <w:r w:rsidR="00511019" w:rsidRPr="00446F8D">
              <w:rPr>
                <w:color w:val="000000" w:themeColor="text1"/>
                <w:sz w:val="24"/>
                <w:szCs w:val="24"/>
              </w:rPr>
              <w:t xml:space="preserve"> </w:t>
            </w:r>
            <w:r w:rsidRPr="00446F8D">
              <w:rPr>
                <w:color w:val="000000" w:themeColor="text1"/>
                <w:sz w:val="24"/>
                <w:szCs w:val="24"/>
              </w:rPr>
              <w:t>Sold</w:t>
            </w:r>
            <w:r w:rsidR="00511019" w:rsidRPr="00446F8D">
              <w:rPr>
                <w:color w:val="000000" w:themeColor="text1"/>
                <w:sz w:val="24"/>
                <w:szCs w:val="24"/>
              </w:rPr>
              <w:t>)*365.</w:t>
            </w:r>
            <w:r w:rsidR="00EF12E5" w:rsidRPr="00446F8D">
              <w:rPr>
                <w:color w:val="000000" w:themeColor="text1"/>
                <w:sz w:val="24"/>
                <w:szCs w:val="24"/>
              </w:rPr>
              <w:t xml:space="preserve"> </w:t>
            </w:r>
          </w:p>
          <w:p w14:paraId="7713BDBA" w14:textId="77777777" w:rsidR="00511019" w:rsidRPr="00446F8D" w:rsidRDefault="00EF12E5" w:rsidP="005655FB">
            <w:pPr>
              <w:pStyle w:val="ab"/>
              <w:rPr>
                <w:color w:val="000000" w:themeColor="text1"/>
                <w:sz w:val="24"/>
                <w:szCs w:val="24"/>
              </w:rPr>
            </w:pPr>
            <w:r w:rsidRPr="00446F8D">
              <w:rPr>
                <w:color w:val="000000" w:themeColor="text1"/>
                <w:sz w:val="24"/>
                <w:szCs w:val="24"/>
              </w:rPr>
              <w:t xml:space="preserve">DSO </w:t>
            </w:r>
            <w:r w:rsidR="00511019" w:rsidRPr="00446F8D">
              <w:rPr>
                <w:color w:val="000000" w:themeColor="text1"/>
                <w:sz w:val="24"/>
                <w:szCs w:val="24"/>
              </w:rPr>
              <w:t xml:space="preserve">= </w:t>
            </w:r>
            <w:r w:rsidRPr="00446F8D">
              <w:rPr>
                <w:color w:val="000000" w:themeColor="text1"/>
                <w:sz w:val="24"/>
                <w:szCs w:val="24"/>
              </w:rPr>
              <w:t>Days sales outstanding</w:t>
            </w:r>
          </w:p>
          <w:p w14:paraId="4B627285" w14:textId="77777777" w:rsidR="00A5446D" w:rsidRPr="00446F8D" w:rsidRDefault="00511019" w:rsidP="005655FB">
            <w:pPr>
              <w:pStyle w:val="ab"/>
              <w:rPr>
                <w:color w:val="000000" w:themeColor="text1"/>
                <w:sz w:val="24"/>
                <w:szCs w:val="24"/>
              </w:rPr>
            </w:pPr>
            <w:r w:rsidRPr="00446F8D">
              <w:rPr>
                <w:color w:val="000000" w:themeColor="text1"/>
                <w:sz w:val="24"/>
                <w:szCs w:val="24"/>
              </w:rPr>
              <w:t>= Average Account Receivable/ Revenue per day</w:t>
            </w:r>
            <w:r w:rsidR="00EF12E5" w:rsidRPr="00446F8D">
              <w:rPr>
                <w:color w:val="000000" w:themeColor="text1"/>
                <w:sz w:val="24"/>
                <w:szCs w:val="24"/>
              </w:rPr>
              <w:t xml:space="preserve"> </w:t>
            </w:r>
          </w:p>
          <w:p w14:paraId="1AD02C2A" w14:textId="77777777" w:rsidR="00511019" w:rsidRPr="00446F8D" w:rsidRDefault="00EF12E5" w:rsidP="005655FB">
            <w:pPr>
              <w:pStyle w:val="ab"/>
              <w:rPr>
                <w:color w:val="000000" w:themeColor="text1"/>
                <w:sz w:val="24"/>
                <w:szCs w:val="24"/>
              </w:rPr>
            </w:pPr>
            <w:r w:rsidRPr="00446F8D">
              <w:rPr>
                <w:color w:val="000000" w:themeColor="text1"/>
                <w:sz w:val="24"/>
                <w:szCs w:val="24"/>
              </w:rPr>
              <w:t xml:space="preserve">DPO </w:t>
            </w:r>
            <w:r w:rsidR="00511019" w:rsidRPr="00446F8D">
              <w:rPr>
                <w:color w:val="000000" w:themeColor="text1"/>
                <w:sz w:val="24"/>
                <w:szCs w:val="24"/>
              </w:rPr>
              <w:t xml:space="preserve">= </w:t>
            </w:r>
            <w:r w:rsidRPr="00446F8D">
              <w:rPr>
                <w:color w:val="000000" w:themeColor="text1"/>
                <w:sz w:val="24"/>
                <w:szCs w:val="24"/>
              </w:rPr>
              <w:t>Days payables outstanding</w:t>
            </w:r>
            <w:r w:rsidR="00511019" w:rsidRPr="00446F8D">
              <w:rPr>
                <w:color w:val="000000" w:themeColor="text1"/>
                <w:sz w:val="24"/>
                <w:szCs w:val="24"/>
              </w:rPr>
              <w:t xml:space="preserve"> </w:t>
            </w:r>
          </w:p>
          <w:p w14:paraId="3F3B048D" w14:textId="77777777" w:rsidR="00EF12E5" w:rsidRPr="00446F8D" w:rsidRDefault="00511019" w:rsidP="005655FB">
            <w:pPr>
              <w:pStyle w:val="ab"/>
              <w:ind w:left="240" w:hangingChars="100" w:hanging="240"/>
              <w:rPr>
                <w:color w:val="000000" w:themeColor="text1"/>
                <w:sz w:val="24"/>
                <w:szCs w:val="24"/>
              </w:rPr>
            </w:pPr>
            <w:r w:rsidRPr="00446F8D">
              <w:rPr>
                <w:color w:val="000000" w:themeColor="text1"/>
                <w:sz w:val="24"/>
                <w:szCs w:val="24"/>
              </w:rPr>
              <w:t xml:space="preserve">= Average Account Payable/ Cost of </w:t>
            </w:r>
            <w:r w:rsidRPr="00446F8D">
              <w:rPr>
                <w:rFonts w:hint="eastAsia"/>
                <w:color w:val="000000" w:themeColor="text1"/>
                <w:sz w:val="24"/>
                <w:szCs w:val="24"/>
              </w:rPr>
              <w:t>G</w:t>
            </w:r>
            <w:r w:rsidRPr="00446F8D">
              <w:rPr>
                <w:color w:val="000000" w:themeColor="text1"/>
                <w:sz w:val="24"/>
                <w:szCs w:val="24"/>
              </w:rPr>
              <w:t>oods Sold per day</w:t>
            </w:r>
            <w:r w:rsidR="00EF12E5" w:rsidRPr="00446F8D">
              <w:rPr>
                <w:color w:val="000000" w:themeColor="text1"/>
                <w:sz w:val="24"/>
                <w:szCs w:val="24"/>
              </w:rPr>
              <w:t xml:space="preserve"> </w:t>
            </w:r>
          </w:p>
        </w:tc>
        <w:tc>
          <w:tcPr>
            <w:tcW w:w="708" w:type="dxa"/>
            <w:vAlign w:val="center"/>
          </w:tcPr>
          <w:p w14:paraId="562A5F07" w14:textId="77777777" w:rsidR="00EF12E5" w:rsidRPr="00446F8D" w:rsidRDefault="00EF12E5" w:rsidP="005655FB">
            <w:pPr>
              <w:tabs>
                <w:tab w:val="num" w:pos="0"/>
              </w:tabs>
              <w:ind w:right="-35"/>
              <w:jc w:val="center"/>
              <w:rPr>
                <w:rFonts w:eastAsia="標楷體"/>
                <w:bCs/>
                <w:color w:val="000000" w:themeColor="text1"/>
              </w:rPr>
            </w:pPr>
            <w:r w:rsidRPr="00446F8D">
              <w:rPr>
                <w:rFonts w:eastAsia="標楷體" w:hint="eastAsia"/>
                <w:bCs/>
                <w:color w:val="000000" w:themeColor="text1"/>
              </w:rPr>
              <w:t>-</w:t>
            </w:r>
          </w:p>
        </w:tc>
      </w:tr>
      <w:tr w:rsidR="00CD100C" w:rsidRPr="00446F8D" w14:paraId="342ADB86" w14:textId="77777777" w:rsidTr="0071002F">
        <w:tc>
          <w:tcPr>
            <w:tcW w:w="9634" w:type="dxa"/>
            <w:gridSpan w:val="4"/>
          </w:tcPr>
          <w:p w14:paraId="4F380BD5" w14:textId="77777777" w:rsidR="00CD100C" w:rsidRPr="00446F8D" w:rsidRDefault="00CD100C" w:rsidP="005655FB">
            <w:pPr>
              <w:tabs>
                <w:tab w:val="num" w:pos="0"/>
              </w:tabs>
              <w:ind w:right="-35"/>
              <w:rPr>
                <w:rFonts w:eastAsia="標楷體"/>
                <w:bCs/>
                <w:color w:val="000000" w:themeColor="text1"/>
              </w:rPr>
            </w:pPr>
            <w:r w:rsidRPr="00446F8D">
              <w:rPr>
                <w:rFonts w:eastAsia="標楷體"/>
                <w:bCs/>
                <w:color w:val="000000" w:themeColor="text1"/>
              </w:rPr>
              <w:t>Profitability</w:t>
            </w:r>
          </w:p>
        </w:tc>
      </w:tr>
      <w:tr w:rsidR="00511019" w:rsidRPr="00446F8D" w14:paraId="1B5804C1" w14:textId="77777777" w:rsidTr="005140C5">
        <w:tc>
          <w:tcPr>
            <w:tcW w:w="2405" w:type="dxa"/>
          </w:tcPr>
          <w:p w14:paraId="6B3461CB" w14:textId="77777777" w:rsidR="00EF12E5" w:rsidRPr="00446F8D" w:rsidRDefault="00EF12E5" w:rsidP="005655FB">
            <w:pPr>
              <w:tabs>
                <w:tab w:val="num" w:pos="0"/>
              </w:tabs>
              <w:ind w:right="-35"/>
              <w:rPr>
                <w:rFonts w:eastAsia="標楷體"/>
                <w:bCs/>
                <w:color w:val="000000" w:themeColor="text1"/>
              </w:rPr>
            </w:pPr>
            <w:r w:rsidRPr="00446F8D">
              <w:rPr>
                <w:rFonts w:eastAsia="標楷體"/>
                <w:bCs/>
                <w:color w:val="000000" w:themeColor="text1"/>
              </w:rPr>
              <w:t xml:space="preserve">Return on Equity  </w:t>
            </w:r>
          </w:p>
        </w:tc>
        <w:tc>
          <w:tcPr>
            <w:tcW w:w="1418" w:type="dxa"/>
          </w:tcPr>
          <w:p w14:paraId="539898D7" w14:textId="77777777" w:rsidR="00EF12E5" w:rsidRPr="00446F8D" w:rsidRDefault="00CD100C" w:rsidP="005655FB">
            <w:pPr>
              <w:tabs>
                <w:tab w:val="num" w:pos="0"/>
              </w:tabs>
              <w:ind w:right="-35"/>
              <w:jc w:val="center"/>
              <w:rPr>
                <w:rFonts w:eastAsia="標楷體"/>
                <w:bCs/>
                <w:color w:val="000000" w:themeColor="text1"/>
              </w:rPr>
            </w:pPr>
            <w:r w:rsidRPr="00446F8D">
              <w:rPr>
                <w:rFonts w:eastAsia="標楷體"/>
                <w:bCs/>
                <w:color w:val="000000" w:themeColor="text1"/>
              </w:rPr>
              <w:t>ROE</w:t>
            </w:r>
          </w:p>
        </w:tc>
        <w:tc>
          <w:tcPr>
            <w:tcW w:w="5103" w:type="dxa"/>
          </w:tcPr>
          <w:p w14:paraId="202C3FC2" w14:textId="77777777" w:rsidR="00EF12E5" w:rsidRPr="00446F8D" w:rsidRDefault="00CD100C" w:rsidP="005655FB">
            <w:pPr>
              <w:tabs>
                <w:tab w:val="num" w:pos="0"/>
              </w:tabs>
              <w:ind w:right="-35"/>
              <w:rPr>
                <w:rFonts w:eastAsia="標楷體"/>
                <w:bCs/>
                <w:color w:val="000000" w:themeColor="text1"/>
              </w:rPr>
            </w:pPr>
            <w:r w:rsidRPr="00446F8D">
              <w:rPr>
                <w:rFonts w:eastAsia="標楷體" w:hint="eastAsia"/>
                <w:bCs/>
                <w:color w:val="000000" w:themeColor="text1"/>
              </w:rPr>
              <w:t>N</w:t>
            </w:r>
            <w:r w:rsidRPr="00446F8D">
              <w:rPr>
                <w:rFonts w:eastAsia="標楷體"/>
                <w:bCs/>
                <w:color w:val="000000" w:themeColor="text1"/>
              </w:rPr>
              <w:t>et Income/</w:t>
            </w:r>
            <w:r w:rsidR="00A5446D" w:rsidRPr="00446F8D">
              <w:rPr>
                <w:rFonts w:eastAsia="標楷體"/>
                <w:bCs/>
                <w:color w:val="000000" w:themeColor="text1"/>
              </w:rPr>
              <w:t xml:space="preserve"> </w:t>
            </w:r>
            <w:r w:rsidRPr="00446F8D">
              <w:rPr>
                <w:rFonts w:eastAsia="標楷體"/>
                <w:bCs/>
                <w:color w:val="000000" w:themeColor="text1"/>
              </w:rPr>
              <w:t>Equity</w:t>
            </w:r>
          </w:p>
        </w:tc>
        <w:tc>
          <w:tcPr>
            <w:tcW w:w="708" w:type="dxa"/>
          </w:tcPr>
          <w:p w14:paraId="5C96AC2C" w14:textId="77777777" w:rsidR="00EF12E5" w:rsidRPr="00446F8D" w:rsidRDefault="00CD100C" w:rsidP="005655FB">
            <w:pPr>
              <w:tabs>
                <w:tab w:val="num" w:pos="0"/>
              </w:tabs>
              <w:ind w:right="-35"/>
              <w:jc w:val="center"/>
              <w:rPr>
                <w:rFonts w:eastAsia="標楷體"/>
                <w:bCs/>
                <w:color w:val="000000" w:themeColor="text1"/>
              </w:rPr>
            </w:pPr>
            <w:r w:rsidRPr="00446F8D">
              <w:rPr>
                <w:rFonts w:eastAsia="標楷體" w:hint="eastAsia"/>
                <w:bCs/>
                <w:color w:val="000000" w:themeColor="text1"/>
              </w:rPr>
              <w:t>-</w:t>
            </w:r>
          </w:p>
        </w:tc>
      </w:tr>
      <w:tr w:rsidR="00511019" w:rsidRPr="00446F8D" w14:paraId="03100ECB" w14:textId="77777777" w:rsidTr="005140C5">
        <w:tc>
          <w:tcPr>
            <w:tcW w:w="2405" w:type="dxa"/>
          </w:tcPr>
          <w:p w14:paraId="1ABB21C1" w14:textId="77777777" w:rsidR="00CD100C" w:rsidRPr="00446F8D" w:rsidRDefault="00CD100C" w:rsidP="005655FB">
            <w:pPr>
              <w:tabs>
                <w:tab w:val="num" w:pos="0"/>
              </w:tabs>
              <w:ind w:right="-35"/>
              <w:rPr>
                <w:rFonts w:eastAsia="標楷體"/>
                <w:bCs/>
                <w:color w:val="000000" w:themeColor="text1"/>
              </w:rPr>
            </w:pPr>
            <w:r w:rsidRPr="00446F8D">
              <w:rPr>
                <w:rFonts w:eastAsia="標楷體"/>
                <w:bCs/>
                <w:color w:val="000000" w:themeColor="text1"/>
              </w:rPr>
              <w:t>Return on Asset</w:t>
            </w:r>
          </w:p>
        </w:tc>
        <w:tc>
          <w:tcPr>
            <w:tcW w:w="1418" w:type="dxa"/>
          </w:tcPr>
          <w:p w14:paraId="180AA116" w14:textId="77777777" w:rsidR="00CD100C" w:rsidRPr="00446F8D" w:rsidRDefault="00CD100C" w:rsidP="005655FB">
            <w:pPr>
              <w:tabs>
                <w:tab w:val="num" w:pos="0"/>
              </w:tabs>
              <w:ind w:right="-35"/>
              <w:jc w:val="center"/>
              <w:rPr>
                <w:rFonts w:eastAsia="標楷體"/>
                <w:bCs/>
                <w:color w:val="000000" w:themeColor="text1"/>
              </w:rPr>
            </w:pPr>
            <w:r w:rsidRPr="00446F8D">
              <w:rPr>
                <w:rFonts w:eastAsia="標楷體"/>
                <w:bCs/>
                <w:color w:val="000000" w:themeColor="text1"/>
              </w:rPr>
              <w:t>ROA</w:t>
            </w:r>
          </w:p>
        </w:tc>
        <w:tc>
          <w:tcPr>
            <w:tcW w:w="5103" w:type="dxa"/>
          </w:tcPr>
          <w:p w14:paraId="6AD296C4" w14:textId="77777777" w:rsidR="00CD100C" w:rsidRPr="00446F8D" w:rsidRDefault="00CD100C" w:rsidP="005655FB">
            <w:pPr>
              <w:tabs>
                <w:tab w:val="num" w:pos="0"/>
              </w:tabs>
              <w:ind w:right="-35"/>
              <w:rPr>
                <w:rFonts w:eastAsia="標楷體"/>
                <w:bCs/>
                <w:color w:val="000000" w:themeColor="text1"/>
              </w:rPr>
            </w:pPr>
            <w:r w:rsidRPr="00446F8D">
              <w:rPr>
                <w:rFonts w:eastAsia="標楷體" w:hint="eastAsia"/>
                <w:bCs/>
                <w:color w:val="000000" w:themeColor="text1"/>
              </w:rPr>
              <w:t>N</w:t>
            </w:r>
            <w:r w:rsidRPr="00446F8D">
              <w:rPr>
                <w:rFonts w:eastAsia="標楷體"/>
                <w:bCs/>
                <w:color w:val="000000" w:themeColor="text1"/>
              </w:rPr>
              <w:t>et Income/ Total Asset</w:t>
            </w:r>
          </w:p>
        </w:tc>
        <w:tc>
          <w:tcPr>
            <w:tcW w:w="708" w:type="dxa"/>
          </w:tcPr>
          <w:p w14:paraId="2BEECBE0" w14:textId="77777777" w:rsidR="00CD100C" w:rsidRPr="00446F8D" w:rsidRDefault="00CD100C" w:rsidP="005655FB">
            <w:pPr>
              <w:tabs>
                <w:tab w:val="num" w:pos="0"/>
              </w:tabs>
              <w:ind w:right="-35"/>
              <w:jc w:val="center"/>
              <w:rPr>
                <w:rFonts w:eastAsia="標楷體"/>
                <w:bCs/>
                <w:color w:val="000000" w:themeColor="text1"/>
              </w:rPr>
            </w:pPr>
            <w:r w:rsidRPr="00446F8D">
              <w:rPr>
                <w:rFonts w:eastAsia="標楷體" w:hint="eastAsia"/>
                <w:bCs/>
                <w:color w:val="000000" w:themeColor="text1"/>
              </w:rPr>
              <w:t>-</w:t>
            </w:r>
          </w:p>
        </w:tc>
      </w:tr>
      <w:tr w:rsidR="00CD100C" w:rsidRPr="00446F8D" w14:paraId="160DE914" w14:textId="77777777" w:rsidTr="0071002F">
        <w:tc>
          <w:tcPr>
            <w:tcW w:w="9634" w:type="dxa"/>
            <w:gridSpan w:val="4"/>
          </w:tcPr>
          <w:p w14:paraId="1A1440FD" w14:textId="77777777" w:rsidR="00CD100C" w:rsidRPr="00446F8D" w:rsidRDefault="00CD100C" w:rsidP="005655FB">
            <w:pPr>
              <w:tabs>
                <w:tab w:val="num" w:pos="0"/>
              </w:tabs>
              <w:ind w:right="-35"/>
              <w:rPr>
                <w:rFonts w:eastAsia="標楷體"/>
                <w:bCs/>
                <w:color w:val="000000" w:themeColor="text1"/>
              </w:rPr>
            </w:pPr>
            <w:r w:rsidRPr="00446F8D">
              <w:rPr>
                <w:rFonts w:eastAsia="標楷體"/>
                <w:bCs/>
                <w:color w:val="000000" w:themeColor="text1"/>
              </w:rPr>
              <w:t>Dividend Policy</w:t>
            </w:r>
          </w:p>
        </w:tc>
      </w:tr>
      <w:tr w:rsidR="00511019" w:rsidRPr="00446F8D" w14:paraId="2443A97F" w14:textId="77777777" w:rsidTr="005140C5">
        <w:tc>
          <w:tcPr>
            <w:tcW w:w="2405" w:type="dxa"/>
          </w:tcPr>
          <w:p w14:paraId="2EB37377" w14:textId="77777777" w:rsidR="00CD100C" w:rsidRPr="00446F8D" w:rsidRDefault="00CD100C" w:rsidP="005655FB">
            <w:pPr>
              <w:tabs>
                <w:tab w:val="num" w:pos="0"/>
              </w:tabs>
              <w:ind w:right="-35"/>
              <w:rPr>
                <w:rFonts w:eastAsia="標楷體"/>
                <w:bCs/>
                <w:color w:val="000000" w:themeColor="text1"/>
              </w:rPr>
            </w:pPr>
            <w:r w:rsidRPr="00446F8D">
              <w:rPr>
                <w:rFonts w:eastAsia="標楷體"/>
                <w:bCs/>
                <w:color w:val="000000" w:themeColor="text1"/>
              </w:rPr>
              <w:t>Dividend Payout Ratio</w:t>
            </w:r>
          </w:p>
        </w:tc>
        <w:tc>
          <w:tcPr>
            <w:tcW w:w="1418" w:type="dxa"/>
          </w:tcPr>
          <w:p w14:paraId="356175D8" w14:textId="77777777" w:rsidR="00CD100C" w:rsidRPr="00446F8D" w:rsidRDefault="00CD100C" w:rsidP="005655FB">
            <w:pPr>
              <w:tabs>
                <w:tab w:val="num" w:pos="0"/>
              </w:tabs>
              <w:ind w:right="-35"/>
              <w:jc w:val="center"/>
              <w:rPr>
                <w:rFonts w:eastAsia="標楷體"/>
                <w:bCs/>
                <w:color w:val="000000" w:themeColor="text1"/>
              </w:rPr>
            </w:pPr>
            <w:r w:rsidRPr="00446F8D">
              <w:rPr>
                <w:rFonts w:eastAsia="標楷體" w:hint="eastAsia"/>
                <w:bCs/>
                <w:color w:val="000000" w:themeColor="text1"/>
              </w:rPr>
              <w:t>D</w:t>
            </w:r>
            <w:r w:rsidRPr="00446F8D">
              <w:rPr>
                <w:rFonts w:eastAsia="標楷體"/>
                <w:bCs/>
                <w:color w:val="000000" w:themeColor="text1"/>
              </w:rPr>
              <w:t>PR</w:t>
            </w:r>
          </w:p>
        </w:tc>
        <w:tc>
          <w:tcPr>
            <w:tcW w:w="5103" w:type="dxa"/>
          </w:tcPr>
          <w:p w14:paraId="76F2C299" w14:textId="77777777" w:rsidR="00CD100C" w:rsidRPr="00446F8D" w:rsidRDefault="00CD100C" w:rsidP="005655FB">
            <w:pPr>
              <w:tabs>
                <w:tab w:val="num" w:pos="0"/>
              </w:tabs>
              <w:ind w:right="-35"/>
              <w:rPr>
                <w:rFonts w:eastAsia="標楷體"/>
                <w:bCs/>
                <w:color w:val="000000" w:themeColor="text1"/>
              </w:rPr>
            </w:pPr>
            <w:r w:rsidRPr="00446F8D">
              <w:rPr>
                <w:rFonts w:eastAsia="標楷體" w:hint="eastAsia"/>
                <w:bCs/>
                <w:color w:val="000000" w:themeColor="text1"/>
              </w:rPr>
              <w:t>D</w:t>
            </w:r>
            <w:r w:rsidRPr="00446F8D">
              <w:rPr>
                <w:rFonts w:eastAsia="標楷體"/>
                <w:bCs/>
                <w:color w:val="000000" w:themeColor="text1"/>
              </w:rPr>
              <w:t>ividend Paid/ Net Income</w:t>
            </w:r>
          </w:p>
        </w:tc>
        <w:tc>
          <w:tcPr>
            <w:tcW w:w="708" w:type="dxa"/>
            <w:vAlign w:val="center"/>
          </w:tcPr>
          <w:p w14:paraId="5A204D55" w14:textId="77777777" w:rsidR="00CD100C" w:rsidRPr="00446F8D" w:rsidRDefault="00CD100C" w:rsidP="005655FB">
            <w:pPr>
              <w:tabs>
                <w:tab w:val="num" w:pos="0"/>
              </w:tabs>
              <w:ind w:right="-35"/>
              <w:jc w:val="center"/>
              <w:rPr>
                <w:rFonts w:eastAsia="標楷體"/>
                <w:bCs/>
                <w:color w:val="000000" w:themeColor="text1"/>
              </w:rPr>
            </w:pPr>
            <w:r w:rsidRPr="00446F8D">
              <w:rPr>
                <w:rFonts w:eastAsia="標楷體" w:hint="eastAsia"/>
                <w:bCs/>
                <w:color w:val="000000" w:themeColor="text1"/>
              </w:rPr>
              <w:t>-</w:t>
            </w:r>
          </w:p>
        </w:tc>
      </w:tr>
      <w:tr w:rsidR="00CD100C" w:rsidRPr="00446F8D" w14:paraId="30E186BB" w14:textId="77777777" w:rsidTr="0071002F">
        <w:tc>
          <w:tcPr>
            <w:tcW w:w="9634" w:type="dxa"/>
            <w:gridSpan w:val="4"/>
          </w:tcPr>
          <w:p w14:paraId="52CA2B07" w14:textId="77777777" w:rsidR="00CD100C" w:rsidRPr="00446F8D" w:rsidRDefault="00CD100C" w:rsidP="005655FB">
            <w:pPr>
              <w:tabs>
                <w:tab w:val="num" w:pos="0"/>
              </w:tabs>
              <w:ind w:right="-35"/>
              <w:rPr>
                <w:rFonts w:eastAsia="標楷體"/>
                <w:bCs/>
                <w:color w:val="000000" w:themeColor="text1"/>
              </w:rPr>
            </w:pPr>
            <w:r w:rsidRPr="00446F8D">
              <w:rPr>
                <w:rFonts w:eastAsia="標楷體"/>
                <w:bCs/>
                <w:color w:val="000000" w:themeColor="text1"/>
              </w:rPr>
              <w:t>Company Value</w:t>
            </w:r>
          </w:p>
        </w:tc>
      </w:tr>
      <w:tr w:rsidR="00511019" w:rsidRPr="00446F8D" w14:paraId="5DE51D0C" w14:textId="77777777" w:rsidTr="005140C5">
        <w:tc>
          <w:tcPr>
            <w:tcW w:w="2405" w:type="dxa"/>
          </w:tcPr>
          <w:p w14:paraId="56FA8FF2" w14:textId="77777777" w:rsidR="00CD100C" w:rsidRPr="00446F8D" w:rsidRDefault="00CD100C" w:rsidP="005655FB">
            <w:pPr>
              <w:tabs>
                <w:tab w:val="num" w:pos="0"/>
              </w:tabs>
              <w:ind w:right="-35"/>
              <w:rPr>
                <w:rFonts w:eastAsia="標楷體"/>
                <w:bCs/>
                <w:color w:val="000000" w:themeColor="text1"/>
              </w:rPr>
            </w:pPr>
            <w:r w:rsidRPr="00446F8D">
              <w:rPr>
                <w:rFonts w:eastAsia="標楷體"/>
                <w:bCs/>
                <w:color w:val="000000" w:themeColor="text1"/>
              </w:rPr>
              <w:t>Price to Book Value</w:t>
            </w:r>
          </w:p>
        </w:tc>
        <w:tc>
          <w:tcPr>
            <w:tcW w:w="1418" w:type="dxa"/>
          </w:tcPr>
          <w:p w14:paraId="657112D9" w14:textId="77777777" w:rsidR="00CD100C" w:rsidRPr="00446F8D" w:rsidRDefault="00CD100C" w:rsidP="005655FB">
            <w:pPr>
              <w:tabs>
                <w:tab w:val="num" w:pos="0"/>
              </w:tabs>
              <w:ind w:right="-35"/>
              <w:jc w:val="center"/>
              <w:rPr>
                <w:rFonts w:eastAsia="標楷體"/>
                <w:bCs/>
                <w:color w:val="000000" w:themeColor="text1"/>
              </w:rPr>
            </w:pPr>
            <w:r w:rsidRPr="00446F8D">
              <w:rPr>
                <w:rFonts w:eastAsia="標楷體" w:hint="eastAsia"/>
                <w:bCs/>
                <w:color w:val="000000" w:themeColor="text1"/>
              </w:rPr>
              <w:t>P</w:t>
            </w:r>
            <w:r w:rsidRPr="00446F8D">
              <w:rPr>
                <w:rFonts w:eastAsia="標楷體"/>
                <w:bCs/>
                <w:color w:val="000000" w:themeColor="text1"/>
              </w:rPr>
              <w:t>BV</w:t>
            </w:r>
          </w:p>
        </w:tc>
        <w:tc>
          <w:tcPr>
            <w:tcW w:w="5103" w:type="dxa"/>
          </w:tcPr>
          <w:p w14:paraId="3DED0A2A" w14:textId="77777777" w:rsidR="00CD100C" w:rsidRPr="00446F8D" w:rsidRDefault="00CD100C" w:rsidP="005655FB">
            <w:pPr>
              <w:tabs>
                <w:tab w:val="num" w:pos="0"/>
              </w:tabs>
              <w:ind w:right="-35"/>
              <w:rPr>
                <w:rFonts w:eastAsia="標楷體"/>
                <w:bCs/>
                <w:color w:val="000000" w:themeColor="text1"/>
              </w:rPr>
            </w:pPr>
            <w:r w:rsidRPr="00446F8D">
              <w:rPr>
                <w:rFonts w:eastAsia="標楷體" w:hint="eastAsia"/>
                <w:bCs/>
                <w:color w:val="000000" w:themeColor="text1"/>
              </w:rPr>
              <w:t>M</w:t>
            </w:r>
            <w:r w:rsidRPr="00446F8D">
              <w:rPr>
                <w:rFonts w:eastAsia="標楷體"/>
                <w:bCs/>
                <w:color w:val="000000" w:themeColor="text1"/>
              </w:rPr>
              <w:t>arket Stock Price/ Book Value</w:t>
            </w:r>
          </w:p>
        </w:tc>
        <w:tc>
          <w:tcPr>
            <w:tcW w:w="708" w:type="dxa"/>
          </w:tcPr>
          <w:p w14:paraId="49ABC659" w14:textId="77777777" w:rsidR="00CD100C" w:rsidRPr="00446F8D" w:rsidRDefault="00CD100C" w:rsidP="005655FB">
            <w:pPr>
              <w:tabs>
                <w:tab w:val="num" w:pos="0"/>
              </w:tabs>
              <w:ind w:right="-35"/>
              <w:jc w:val="center"/>
              <w:rPr>
                <w:rFonts w:eastAsia="標楷體"/>
                <w:bCs/>
                <w:color w:val="000000" w:themeColor="text1"/>
              </w:rPr>
            </w:pPr>
            <w:r w:rsidRPr="00446F8D">
              <w:rPr>
                <w:rFonts w:eastAsia="標楷體" w:hint="eastAsia"/>
                <w:bCs/>
                <w:color w:val="000000" w:themeColor="text1"/>
              </w:rPr>
              <w:t>+</w:t>
            </w:r>
          </w:p>
        </w:tc>
      </w:tr>
      <w:tr w:rsidR="006D3AD7" w:rsidRPr="00446F8D" w14:paraId="0C7808F7" w14:textId="77777777" w:rsidTr="0071002F">
        <w:tc>
          <w:tcPr>
            <w:tcW w:w="9634" w:type="dxa"/>
            <w:gridSpan w:val="4"/>
          </w:tcPr>
          <w:p w14:paraId="307826DF" w14:textId="77777777" w:rsidR="006D3AD7" w:rsidRPr="00446F8D" w:rsidRDefault="006D3AD7" w:rsidP="005655FB">
            <w:pPr>
              <w:tabs>
                <w:tab w:val="num" w:pos="0"/>
              </w:tabs>
              <w:ind w:right="-35"/>
              <w:rPr>
                <w:rFonts w:eastAsia="標楷體"/>
                <w:bCs/>
                <w:color w:val="000000" w:themeColor="text1"/>
              </w:rPr>
            </w:pPr>
            <w:r w:rsidRPr="00446F8D">
              <w:rPr>
                <w:rFonts w:eastAsia="標楷體"/>
                <w:bCs/>
                <w:color w:val="000000" w:themeColor="text1"/>
              </w:rPr>
              <w:t>Cash management</w:t>
            </w:r>
          </w:p>
        </w:tc>
      </w:tr>
      <w:tr w:rsidR="00511019" w:rsidRPr="00446F8D" w14:paraId="17298CAE" w14:textId="77777777" w:rsidTr="005140C5">
        <w:tc>
          <w:tcPr>
            <w:tcW w:w="2405" w:type="dxa"/>
            <w:vAlign w:val="center"/>
          </w:tcPr>
          <w:p w14:paraId="73FC97EF" w14:textId="77777777" w:rsidR="006D3AD7" w:rsidRPr="00446F8D" w:rsidRDefault="006D3AD7" w:rsidP="005655FB">
            <w:pPr>
              <w:tabs>
                <w:tab w:val="num" w:pos="0"/>
              </w:tabs>
              <w:ind w:right="-35"/>
              <w:jc w:val="both"/>
              <w:rPr>
                <w:rFonts w:eastAsia="標楷體"/>
                <w:bCs/>
                <w:color w:val="000000" w:themeColor="text1"/>
              </w:rPr>
            </w:pPr>
            <w:r w:rsidRPr="00446F8D">
              <w:rPr>
                <w:rFonts w:eastAsia="標楷體"/>
                <w:bCs/>
                <w:color w:val="000000" w:themeColor="text1"/>
              </w:rPr>
              <w:t>Free Cash Flow</w:t>
            </w:r>
          </w:p>
        </w:tc>
        <w:tc>
          <w:tcPr>
            <w:tcW w:w="1418" w:type="dxa"/>
          </w:tcPr>
          <w:p w14:paraId="3C5DB279" w14:textId="77777777" w:rsidR="006D3AD7" w:rsidRPr="00446F8D" w:rsidRDefault="006D3AD7" w:rsidP="005655FB">
            <w:pPr>
              <w:tabs>
                <w:tab w:val="num" w:pos="0"/>
              </w:tabs>
              <w:ind w:right="-35"/>
              <w:jc w:val="center"/>
              <w:rPr>
                <w:rFonts w:eastAsia="標楷體"/>
                <w:bCs/>
                <w:color w:val="000000" w:themeColor="text1"/>
              </w:rPr>
            </w:pPr>
            <w:r w:rsidRPr="00446F8D">
              <w:rPr>
                <w:rFonts w:eastAsia="標楷體" w:hint="eastAsia"/>
                <w:bCs/>
                <w:color w:val="000000" w:themeColor="text1"/>
              </w:rPr>
              <w:t>F</w:t>
            </w:r>
            <w:r w:rsidRPr="00446F8D">
              <w:rPr>
                <w:rFonts w:eastAsia="標楷體"/>
                <w:bCs/>
                <w:color w:val="000000" w:themeColor="text1"/>
              </w:rPr>
              <w:t>CF</w:t>
            </w:r>
          </w:p>
        </w:tc>
        <w:tc>
          <w:tcPr>
            <w:tcW w:w="5103" w:type="dxa"/>
          </w:tcPr>
          <w:p w14:paraId="71948F2A" w14:textId="77777777" w:rsidR="006D3AD7" w:rsidRPr="00446F8D" w:rsidRDefault="006D3AD7" w:rsidP="005655FB">
            <w:pPr>
              <w:tabs>
                <w:tab w:val="num" w:pos="0"/>
              </w:tabs>
              <w:ind w:right="-34"/>
              <w:rPr>
                <w:rFonts w:eastAsia="標楷體"/>
                <w:bCs/>
                <w:color w:val="000000" w:themeColor="text1"/>
              </w:rPr>
            </w:pPr>
            <w:r w:rsidRPr="00446F8D">
              <w:rPr>
                <w:rFonts w:eastAsia="標楷體"/>
                <w:bCs/>
                <w:color w:val="000000" w:themeColor="text1"/>
              </w:rPr>
              <w:t xml:space="preserve">FCF = </w:t>
            </w:r>
            <w:r w:rsidRPr="00446F8D">
              <w:rPr>
                <w:rFonts w:eastAsia="標楷體" w:hint="eastAsia"/>
                <w:bCs/>
                <w:color w:val="000000" w:themeColor="text1"/>
              </w:rPr>
              <w:t>C</w:t>
            </w:r>
            <w:r w:rsidRPr="00446F8D">
              <w:rPr>
                <w:rFonts w:eastAsia="標楷體"/>
                <w:bCs/>
                <w:color w:val="000000" w:themeColor="text1"/>
              </w:rPr>
              <w:t xml:space="preserve">ash Flow from Operating Activities </w:t>
            </w:r>
          </w:p>
          <w:p w14:paraId="6B453BD6" w14:textId="77777777" w:rsidR="006D3AD7" w:rsidRPr="00446F8D" w:rsidRDefault="006D3AD7" w:rsidP="005655FB">
            <w:pPr>
              <w:tabs>
                <w:tab w:val="num" w:pos="0"/>
              </w:tabs>
              <w:ind w:right="-34"/>
              <w:rPr>
                <w:rFonts w:eastAsia="標楷體"/>
                <w:bCs/>
                <w:color w:val="000000" w:themeColor="text1"/>
              </w:rPr>
            </w:pPr>
            <w:r w:rsidRPr="00446F8D">
              <w:rPr>
                <w:rFonts w:eastAsia="標楷體"/>
                <w:bCs/>
                <w:color w:val="000000" w:themeColor="text1"/>
              </w:rPr>
              <w:t>+ Interest Expense -Tax Shield</w:t>
            </w:r>
          </w:p>
          <w:p w14:paraId="5A156B10" w14:textId="77777777" w:rsidR="006D3AD7" w:rsidRPr="00446F8D" w:rsidRDefault="006D3AD7" w:rsidP="005655FB">
            <w:pPr>
              <w:pStyle w:val="a8"/>
              <w:numPr>
                <w:ilvl w:val="0"/>
                <w:numId w:val="15"/>
              </w:numPr>
              <w:tabs>
                <w:tab w:val="num" w:pos="0"/>
              </w:tabs>
              <w:ind w:leftChars="0" w:left="133" w:right="-34" w:hanging="142"/>
              <w:rPr>
                <w:rFonts w:eastAsia="標楷體"/>
                <w:bCs/>
                <w:color w:val="000000" w:themeColor="text1"/>
              </w:rPr>
            </w:pPr>
            <w:r w:rsidRPr="00446F8D">
              <w:rPr>
                <w:rFonts w:eastAsia="標楷體" w:hint="eastAsia"/>
                <w:bCs/>
                <w:color w:val="000000" w:themeColor="text1"/>
              </w:rPr>
              <w:t>Ca</w:t>
            </w:r>
            <w:r w:rsidRPr="00446F8D">
              <w:rPr>
                <w:rFonts w:eastAsia="標楷體"/>
                <w:bCs/>
                <w:color w:val="000000" w:themeColor="text1"/>
              </w:rPr>
              <w:t>pital Expenditure</w:t>
            </w:r>
          </w:p>
        </w:tc>
        <w:tc>
          <w:tcPr>
            <w:tcW w:w="708" w:type="dxa"/>
            <w:vAlign w:val="center"/>
          </w:tcPr>
          <w:p w14:paraId="02B93B6E" w14:textId="121DDC4F" w:rsidR="006D3AD7" w:rsidRPr="00446F8D" w:rsidRDefault="00CF7544" w:rsidP="005655FB">
            <w:pPr>
              <w:tabs>
                <w:tab w:val="num" w:pos="0"/>
              </w:tabs>
              <w:ind w:right="-35"/>
              <w:jc w:val="center"/>
              <w:rPr>
                <w:rFonts w:eastAsia="標楷體"/>
                <w:bCs/>
                <w:color w:val="000000" w:themeColor="text1"/>
              </w:rPr>
            </w:pPr>
            <w:r w:rsidRPr="00446F8D">
              <w:rPr>
                <w:rFonts w:eastAsia="標楷體"/>
                <w:bCs/>
                <w:color w:val="000000" w:themeColor="text1"/>
              </w:rPr>
              <w:t>+</w:t>
            </w:r>
          </w:p>
        </w:tc>
      </w:tr>
      <w:tr w:rsidR="006D3AD7" w:rsidRPr="00446F8D" w14:paraId="0DDAB1BB" w14:textId="77777777" w:rsidTr="0071002F">
        <w:tc>
          <w:tcPr>
            <w:tcW w:w="9634" w:type="dxa"/>
            <w:gridSpan w:val="4"/>
          </w:tcPr>
          <w:p w14:paraId="3006BF03" w14:textId="77777777" w:rsidR="006D3AD7" w:rsidRPr="00446F8D" w:rsidRDefault="006D3AD7" w:rsidP="005655FB">
            <w:pPr>
              <w:tabs>
                <w:tab w:val="num" w:pos="0"/>
              </w:tabs>
              <w:ind w:right="-35"/>
              <w:rPr>
                <w:rFonts w:eastAsia="標楷體"/>
                <w:bCs/>
                <w:color w:val="000000" w:themeColor="text1"/>
              </w:rPr>
            </w:pPr>
            <w:r w:rsidRPr="00446F8D">
              <w:rPr>
                <w:rFonts w:eastAsia="標楷體"/>
                <w:bCs/>
                <w:color w:val="000000" w:themeColor="text1"/>
              </w:rPr>
              <w:t>Management Efficiency</w:t>
            </w:r>
          </w:p>
        </w:tc>
      </w:tr>
      <w:tr w:rsidR="006D3AD7" w:rsidRPr="00446F8D" w14:paraId="155DE22C" w14:textId="77777777" w:rsidTr="005140C5">
        <w:tc>
          <w:tcPr>
            <w:tcW w:w="2405" w:type="dxa"/>
          </w:tcPr>
          <w:p w14:paraId="19E10C08" w14:textId="77777777" w:rsidR="006D3AD7" w:rsidRPr="00446F8D" w:rsidRDefault="006D3AD7" w:rsidP="005655FB">
            <w:pPr>
              <w:tabs>
                <w:tab w:val="num" w:pos="0"/>
              </w:tabs>
              <w:ind w:right="-35"/>
              <w:rPr>
                <w:rFonts w:eastAsia="標楷體"/>
                <w:bCs/>
                <w:color w:val="000000" w:themeColor="text1"/>
              </w:rPr>
            </w:pPr>
            <w:r w:rsidRPr="00446F8D">
              <w:rPr>
                <w:rFonts w:eastAsia="標楷體"/>
                <w:bCs/>
                <w:color w:val="000000" w:themeColor="text1"/>
              </w:rPr>
              <w:t>Total Asset Turnover Ratio</w:t>
            </w:r>
          </w:p>
        </w:tc>
        <w:tc>
          <w:tcPr>
            <w:tcW w:w="1418" w:type="dxa"/>
          </w:tcPr>
          <w:p w14:paraId="6997521D" w14:textId="77777777" w:rsidR="006D3AD7" w:rsidRPr="00446F8D" w:rsidRDefault="006D3AD7" w:rsidP="005655FB">
            <w:pPr>
              <w:tabs>
                <w:tab w:val="num" w:pos="0"/>
              </w:tabs>
              <w:ind w:right="-35"/>
              <w:jc w:val="center"/>
              <w:rPr>
                <w:rFonts w:eastAsia="標楷體"/>
                <w:bCs/>
                <w:color w:val="000000" w:themeColor="text1"/>
              </w:rPr>
            </w:pPr>
            <w:r w:rsidRPr="00446F8D">
              <w:rPr>
                <w:rFonts w:eastAsia="標楷體" w:hint="eastAsia"/>
                <w:bCs/>
                <w:color w:val="000000" w:themeColor="text1"/>
              </w:rPr>
              <w:t>T</w:t>
            </w:r>
            <w:r w:rsidRPr="00446F8D">
              <w:rPr>
                <w:rFonts w:eastAsia="標楷體"/>
                <w:bCs/>
                <w:color w:val="000000" w:themeColor="text1"/>
              </w:rPr>
              <w:t>AT</w:t>
            </w:r>
          </w:p>
        </w:tc>
        <w:tc>
          <w:tcPr>
            <w:tcW w:w="5103" w:type="dxa"/>
            <w:vAlign w:val="center"/>
          </w:tcPr>
          <w:p w14:paraId="6D36201D" w14:textId="77777777" w:rsidR="006D3AD7" w:rsidRPr="00446F8D" w:rsidRDefault="00A5446D" w:rsidP="005655FB">
            <w:pPr>
              <w:tabs>
                <w:tab w:val="num" w:pos="0"/>
              </w:tabs>
              <w:ind w:right="-35"/>
              <w:jc w:val="both"/>
              <w:rPr>
                <w:rFonts w:eastAsia="標楷體"/>
                <w:bCs/>
                <w:color w:val="000000" w:themeColor="text1"/>
              </w:rPr>
            </w:pPr>
            <w:r w:rsidRPr="00446F8D">
              <w:rPr>
                <w:rFonts w:eastAsia="標楷體" w:hint="eastAsia"/>
                <w:bCs/>
                <w:color w:val="000000" w:themeColor="text1"/>
              </w:rPr>
              <w:t>T</w:t>
            </w:r>
            <w:r w:rsidRPr="00446F8D">
              <w:rPr>
                <w:rFonts w:eastAsia="標楷體"/>
                <w:bCs/>
                <w:color w:val="000000" w:themeColor="text1"/>
              </w:rPr>
              <w:t>otal Sales/ Total Asset</w:t>
            </w:r>
          </w:p>
        </w:tc>
        <w:tc>
          <w:tcPr>
            <w:tcW w:w="708" w:type="dxa"/>
            <w:vAlign w:val="center"/>
          </w:tcPr>
          <w:p w14:paraId="507AE2DC" w14:textId="77777777" w:rsidR="006D3AD7" w:rsidRPr="00446F8D" w:rsidRDefault="006D3AD7" w:rsidP="005655FB">
            <w:pPr>
              <w:tabs>
                <w:tab w:val="num" w:pos="0"/>
              </w:tabs>
              <w:ind w:right="-35"/>
              <w:jc w:val="center"/>
              <w:rPr>
                <w:rFonts w:eastAsia="標楷體"/>
                <w:bCs/>
                <w:color w:val="000000" w:themeColor="text1"/>
              </w:rPr>
            </w:pPr>
            <w:r w:rsidRPr="00446F8D">
              <w:rPr>
                <w:rFonts w:eastAsia="標楷體" w:hint="eastAsia"/>
                <w:bCs/>
                <w:color w:val="000000" w:themeColor="text1"/>
              </w:rPr>
              <w:t>-</w:t>
            </w:r>
          </w:p>
        </w:tc>
      </w:tr>
    </w:tbl>
    <w:p w14:paraId="05E9ADFA" w14:textId="6AF42A5F" w:rsidR="00B43FEB" w:rsidRPr="00446F8D" w:rsidRDefault="00B43FEB" w:rsidP="005655FB">
      <w:pPr>
        <w:tabs>
          <w:tab w:val="num" w:pos="0"/>
        </w:tabs>
        <w:ind w:right="-35"/>
        <w:jc w:val="both"/>
        <w:rPr>
          <w:rFonts w:eastAsia="標楷體"/>
          <w:bCs/>
          <w:color w:val="000000" w:themeColor="text1"/>
          <w:sz w:val="20"/>
        </w:rPr>
      </w:pPr>
      <w:r w:rsidRPr="00446F8D">
        <w:rPr>
          <w:rFonts w:eastAsia="標楷體"/>
          <w:bCs/>
          <w:color w:val="000000" w:themeColor="text1"/>
          <w:sz w:val="20"/>
        </w:rPr>
        <w:t>Note:</w:t>
      </w:r>
      <w:r w:rsidRPr="00446F8D">
        <w:rPr>
          <w:rFonts w:eastAsia="標楷體" w:hint="eastAsia"/>
          <w:bCs/>
          <w:color w:val="000000" w:themeColor="text1"/>
          <w:sz w:val="20"/>
        </w:rPr>
        <w:t xml:space="preserve"> </w:t>
      </w:r>
      <w:r w:rsidRPr="00446F8D">
        <w:rPr>
          <w:rFonts w:eastAsia="標楷體"/>
          <w:bCs/>
          <w:color w:val="000000" w:themeColor="text1"/>
          <w:sz w:val="20"/>
        </w:rPr>
        <w:t xml:space="preserve">* </w:t>
      </w:r>
      <w:r w:rsidR="00883B24" w:rsidRPr="00883B24">
        <w:rPr>
          <w:rFonts w:eastAsia="標楷體"/>
          <w:bCs/>
          <w:color w:val="000000" w:themeColor="text1"/>
          <w:sz w:val="20"/>
        </w:rPr>
        <w:t xml:space="preserve">The formula refers to Investopedia. </w:t>
      </w:r>
      <w:r w:rsidRPr="00446F8D">
        <w:rPr>
          <w:rFonts w:eastAsia="標楷體"/>
          <w:bCs/>
          <w:color w:val="000000" w:themeColor="text1"/>
          <w:sz w:val="20"/>
        </w:rPr>
        <w:t xml:space="preserve"> (</w:t>
      </w:r>
      <w:hyperlink r:id="rId8" w:history="1">
        <w:r w:rsidRPr="00446F8D">
          <w:rPr>
            <w:rStyle w:val="aa"/>
            <w:rFonts w:eastAsia="標楷體"/>
            <w:bCs/>
            <w:sz w:val="20"/>
          </w:rPr>
          <w:t>www.investopedia.com/terms/c/cashconversioncycle.asp</w:t>
        </w:r>
      </w:hyperlink>
      <w:r w:rsidRPr="00446F8D">
        <w:rPr>
          <w:rFonts w:eastAsia="標楷體"/>
          <w:bCs/>
          <w:color w:val="000000" w:themeColor="text1"/>
          <w:sz w:val="20"/>
        </w:rPr>
        <w:t>)</w:t>
      </w:r>
    </w:p>
    <w:p w14:paraId="2D518EAB" w14:textId="181A4228" w:rsidR="00F55ECD" w:rsidRPr="00883B24" w:rsidRDefault="00F55ECD" w:rsidP="00883B24">
      <w:pPr>
        <w:pStyle w:val="a8"/>
        <w:numPr>
          <w:ilvl w:val="0"/>
          <w:numId w:val="22"/>
        </w:numPr>
        <w:tabs>
          <w:tab w:val="num" w:pos="0"/>
        </w:tabs>
        <w:ind w:leftChars="0" w:right="-35"/>
        <w:jc w:val="both"/>
        <w:rPr>
          <w:rFonts w:eastAsia="標楷體"/>
          <w:b/>
          <w:bCs/>
          <w:color w:val="000000" w:themeColor="text1"/>
        </w:rPr>
      </w:pPr>
      <w:r w:rsidRPr="00883B24">
        <w:rPr>
          <w:rFonts w:eastAsia="標楷體"/>
          <w:b/>
          <w:bCs/>
          <w:color w:val="000000" w:themeColor="text1"/>
        </w:rPr>
        <w:lastRenderedPageBreak/>
        <w:t>Financial Health</w:t>
      </w:r>
    </w:p>
    <w:p w14:paraId="2CDAF896" w14:textId="77777777" w:rsidR="00F55ECD" w:rsidRPr="00446F8D" w:rsidRDefault="00F55ECD" w:rsidP="005655FB">
      <w:pPr>
        <w:pStyle w:val="a8"/>
        <w:numPr>
          <w:ilvl w:val="0"/>
          <w:numId w:val="16"/>
        </w:numPr>
        <w:tabs>
          <w:tab w:val="num" w:pos="0"/>
        </w:tabs>
        <w:ind w:leftChars="0" w:right="-35"/>
        <w:jc w:val="both"/>
        <w:rPr>
          <w:rFonts w:eastAsia="標楷體"/>
          <w:b/>
          <w:bCs/>
          <w:color w:val="000000" w:themeColor="text1"/>
        </w:rPr>
      </w:pPr>
      <w:r w:rsidRPr="00446F8D">
        <w:rPr>
          <w:rFonts w:eastAsia="標楷體"/>
          <w:b/>
          <w:bCs/>
          <w:color w:val="000000" w:themeColor="text1"/>
        </w:rPr>
        <w:t>Z Score</w:t>
      </w:r>
    </w:p>
    <w:p w14:paraId="08E27B56" w14:textId="3266DD3E" w:rsidR="00883B24" w:rsidRDefault="00F16466" w:rsidP="00883B24">
      <w:pPr>
        <w:tabs>
          <w:tab w:val="num" w:pos="0"/>
        </w:tabs>
        <w:ind w:right="-35"/>
        <w:jc w:val="both"/>
        <w:rPr>
          <w:rFonts w:eastAsia="標楷體"/>
          <w:bCs/>
          <w:color w:val="000000" w:themeColor="text1"/>
        </w:rPr>
      </w:pPr>
      <w:r w:rsidRPr="00446F8D">
        <w:rPr>
          <w:rFonts w:eastAsia="標楷體"/>
          <w:bCs/>
          <w:color w:val="000000" w:themeColor="text1"/>
        </w:rPr>
        <w:tab/>
      </w:r>
      <w:r w:rsidR="00CC78ED" w:rsidRPr="00CC78ED">
        <w:rPr>
          <w:rFonts w:eastAsia="標楷體"/>
          <w:bCs/>
          <w:color w:val="000000" w:themeColor="text1"/>
        </w:rPr>
        <w:t>The z score Model can help measure a company's financial health to predict financial distress status accurately. It may identify capability for operation and helps to lower the sentiment of the investor when evaluating insolvency. Foo (2015) and Foo and Pathak (2016, 2018) analyzed and compared the relationship between the financial health (z score) and corporate performance (the return on equity, ROE) for the manufacturing sector in China, Hong Kong, India, and Singapore. They found a positive association between ROE and z score, enhancing stakeholders' confidence in investment in these markets. Thus, the likelihood of perceived risk count is expected to decrease with increased financial health.</w:t>
      </w:r>
    </w:p>
    <w:p w14:paraId="5851D568" w14:textId="4CF428B4" w:rsidR="00F55ECD" w:rsidRPr="00883B24" w:rsidRDefault="00F55ECD" w:rsidP="00883B24">
      <w:pPr>
        <w:pStyle w:val="a8"/>
        <w:numPr>
          <w:ilvl w:val="0"/>
          <w:numId w:val="16"/>
        </w:numPr>
        <w:tabs>
          <w:tab w:val="num" w:pos="0"/>
        </w:tabs>
        <w:ind w:leftChars="0" w:right="-35"/>
        <w:jc w:val="both"/>
        <w:rPr>
          <w:rFonts w:eastAsia="標楷體"/>
          <w:b/>
          <w:bCs/>
          <w:color w:val="000000" w:themeColor="text1"/>
        </w:rPr>
      </w:pPr>
      <w:r w:rsidRPr="00883B24">
        <w:rPr>
          <w:rFonts w:eastAsia="標楷體"/>
          <w:b/>
          <w:bCs/>
          <w:color w:val="000000" w:themeColor="text1"/>
        </w:rPr>
        <w:t>Tobin's Q</w:t>
      </w:r>
    </w:p>
    <w:p w14:paraId="5BB34714" w14:textId="7AE240C1" w:rsidR="00F55ECD" w:rsidRPr="000A0229" w:rsidRDefault="00F16466" w:rsidP="005655FB">
      <w:pPr>
        <w:tabs>
          <w:tab w:val="num" w:pos="0"/>
        </w:tabs>
        <w:ind w:right="-35"/>
        <w:jc w:val="both"/>
        <w:rPr>
          <w:rFonts w:eastAsia="標楷體"/>
          <w:bCs/>
          <w:color w:val="000000" w:themeColor="text1"/>
        </w:rPr>
      </w:pPr>
      <w:r w:rsidRPr="00446F8D">
        <w:rPr>
          <w:rFonts w:eastAsia="標楷體"/>
          <w:bCs/>
          <w:color w:val="000000" w:themeColor="text1"/>
        </w:rPr>
        <w:tab/>
      </w:r>
      <w:r w:rsidR="00883B24" w:rsidRPr="00883B24">
        <w:rPr>
          <w:rFonts w:eastAsia="標楷體"/>
          <w:bCs/>
          <w:color w:val="000000" w:themeColor="text1"/>
        </w:rPr>
        <w:t xml:space="preserve">Raja and Kumar (2006) used the discriminate model to predict the probability of financial distress. They found that Tobin's Q value, which is higher than one firm have financially healthy, lowing the likelihood of insolvency. Kazemian, Shauri, Sanusi, Kamaluddin, and Shuhidan (2017) indicated that firms with higher Tobin's are likely to have a better performance slowing down the possibility of financial distress. Thus, Tobin's Q improves financial health, probably reducing the perceived risk count.     </w:t>
      </w:r>
      <w:r w:rsidR="00F55ECD" w:rsidRPr="00446F8D">
        <w:rPr>
          <w:rFonts w:eastAsia="標楷體"/>
          <w:bCs/>
          <w:color w:val="FF0000"/>
        </w:rPr>
        <w:t xml:space="preserve"> </w:t>
      </w:r>
    </w:p>
    <w:p w14:paraId="1E954D37" w14:textId="14F46FBE" w:rsidR="00F55ECD" w:rsidRPr="00446F8D" w:rsidRDefault="00F16466" w:rsidP="005655FB">
      <w:pPr>
        <w:tabs>
          <w:tab w:val="num" w:pos="0"/>
        </w:tabs>
        <w:ind w:right="-35"/>
        <w:jc w:val="both"/>
        <w:rPr>
          <w:rFonts w:eastAsia="標楷體"/>
          <w:b/>
          <w:bCs/>
          <w:color w:val="000000" w:themeColor="text1"/>
        </w:rPr>
      </w:pPr>
      <w:r w:rsidRPr="00446F8D">
        <w:rPr>
          <w:rFonts w:eastAsia="標楷體"/>
          <w:b/>
          <w:bCs/>
          <w:color w:val="000000" w:themeColor="text1"/>
        </w:rPr>
        <w:t xml:space="preserve">2. </w:t>
      </w:r>
      <w:r w:rsidR="00F55ECD" w:rsidRPr="00446F8D">
        <w:rPr>
          <w:rFonts w:eastAsia="標楷體"/>
          <w:b/>
          <w:bCs/>
          <w:color w:val="000000" w:themeColor="text1"/>
        </w:rPr>
        <w:t xml:space="preserve">Technology Competition </w:t>
      </w:r>
    </w:p>
    <w:p w14:paraId="04A720E5" w14:textId="24996D5A" w:rsidR="00883B24" w:rsidRPr="00446F8D" w:rsidRDefault="00F16466" w:rsidP="005655FB">
      <w:pPr>
        <w:tabs>
          <w:tab w:val="num" w:pos="0"/>
        </w:tabs>
        <w:ind w:right="-35"/>
        <w:jc w:val="both"/>
        <w:rPr>
          <w:rFonts w:eastAsia="標楷體"/>
          <w:bCs/>
          <w:color w:val="000000" w:themeColor="text1"/>
        </w:rPr>
      </w:pPr>
      <w:r w:rsidRPr="00446F8D">
        <w:rPr>
          <w:rFonts w:eastAsia="標楷體"/>
          <w:bCs/>
          <w:color w:val="000000" w:themeColor="text1"/>
        </w:rPr>
        <w:tab/>
      </w:r>
      <w:r w:rsidR="00CC78ED" w:rsidRPr="00CC78ED">
        <w:rPr>
          <w:rFonts w:eastAsia="標楷體"/>
          <w:bCs/>
          <w:color w:val="000000" w:themeColor="text1"/>
        </w:rPr>
        <w:t>Considering a linkage of Altman z score work, Toshiyuki and Mika (2009) revealed a positive relationship between R&amp;D expenditure and the financial performance for the Japanese machinery industry due to its matured technology and low risk with less competition. However, a negative impact of R&amp;D expenditure on the financial performance for the electric equipment industry because of the short life cycle product and aggressive global competition, causing a high risk for investment. Eisdorfer and Hsu (2011) indicated that firms underperformed in technology competition are more likely to file for bankruptcy due to severe technology competition dealing with operational risk and lowering profits and stock prices. Therefore, R&amp;D expenditure may positively or negatively affect financial performance depending on industrial attributes, likely influencing perceived risk count leading to mixed results.</w:t>
      </w:r>
    </w:p>
    <w:p w14:paraId="503255EA" w14:textId="4DBDA357" w:rsidR="00F55ECD" w:rsidRPr="00446F8D" w:rsidRDefault="00F16466" w:rsidP="005655FB">
      <w:pPr>
        <w:tabs>
          <w:tab w:val="num" w:pos="0"/>
        </w:tabs>
        <w:ind w:right="-35"/>
        <w:jc w:val="both"/>
        <w:rPr>
          <w:rFonts w:eastAsia="標楷體"/>
          <w:b/>
          <w:bCs/>
          <w:color w:val="000000" w:themeColor="text1"/>
        </w:rPr>
      </w:pPr>
      <w:r w:rsidRPr="00446F8D">
        <w:rPr>
          <w:rFonts w:eastAsia="標楷體"/>
          <w:b/>
          <w:bCs/>
          <w:color w:val="000000" w:themeColor="text1"/>
        </w:rPr>
        <w:t xml:space="preserve">3. </w:t>
      </w:r>
      <w:r w:rsidR="00F55ECD" w:rsidRPr="00446F8D">
        <w:rPr>
          <w:rFonts w:eastAsia="標楷體"/>
          <w:b/>
          <w:bCs/>
          <w:color w:val="000000" w:themeColor="text1"/>
        </w:rPr>
        <w:t>Leverage Finance</w:t>
      </w:r>
    </w:p>
    <w:p w14:paraId="2DFC9B32" w14:textId="6007091B" w:rsidR="00883B24" w:rsidRPr="000A0229" w:rsidRDefault="00F16466" w:rsidP="005655FB">
      <w:pPr>
        <w:tabs>
          <w:tab w:val="num" w:pos="0"/>
        </w:tabs>
        <w:ind w:right="-35"/>
        <w:jc w:val="both"/>
        <w:rPr>
          <w:rFonts w:eastAsia="標楷體"/>
          <w:bCs/>
          <w:color w:val="000000" w:themeColor="text1"/>
        </w:rPr>
      </w:pPr>
      <w:r w:rsidRPr="00446F8D">
        <w:rPr>
          <w:rFonts w:eastAsia="標楷體"/>
          <w:bCs/>
          <w:color w:val="000000" w:themeColor="text1"/>
        </w:rPr>
        <w:tab/>
      </w:r>
      <w:r w:rsidR="00883B24" w:rsidRPr="00883B24">
        <w:rPr>
          <w:rFonts w:eastAsia="標楷體"/>
          <w:bCs/>
          <w:color w:val="000000" w:themeColor="text1"/>
        </w:rPr>
        <w:t>Daniel (2016) suggested that the debt ratio can provide a more reliable means for assessing leverage finance, and the results showed a positive relationship between leverage finance and the default risk. Fazzari, Glenn, and Petersen (1988) revealed that firms faced with higher leverage have the likelihood of experiencing financial distress due to technical insolvency for repaying problems. The overuse of leverage due to an increased debt ratio will probably increase perceived risk count.</w:t>
      </w:r>
    </w:p>
    <w:p w14:paraId="033D8B7D" w14:textId="24D8D8A9" w:rsidR="00F55ECD" w:rsidRPr="00446F8D" w:rsidRDefault="00F16466" w:rsidP="005655FB">
      <w:pPr>
        <w:tabs>
          <w:tab w:val="num" w:pos="0"/>
        </w:tabs>
        <w:ind w:right="-35"/>
        <w:jc w:val="both"/>
        <w:rPr>
          <w:rFonts w:eastAsia="標楷體"/>
          <w:b/>
          <w:bCs/>
          <w:color w:val="000000" w:themeColor="text1"/>
        </w:rPr>
      </w:pPr>
      <w:r w:rsidRPr="00446F8D">
        <w:rPr>
          <w:rFonts w:eastAsia="標楷體"/>
          <w:b/>
          <w:bCs/>
          <w:color w:val="000000" w:themeColor="text1"/>
        </w:rPr>
        <w:t xml:space="preserve">4. </w:t>
      </w:r>
      <w:r w:rsidR="00F55ECD" w:rsidRPr="00446F8D">
        <w:rPr>
          <w:rFonts w:eastAsia="標楷體"/>
          <w:b/>
          <w:bCs/>
          <w:color w:val="000000" w:themeColor="text1"/>
        </w:rPr>
        <w:t>Financial Liquidity</w:t>
      </w:r>
    </w:p>
    <w:p w14:paraId="7ADB667D" w14:textId="7FFCD97F" w:rsidR="00343348" w:rsidRPr="00446F8D" w:rsidRDefault="00F16466" w:rsidP="005655FB">
      <w:pPr>
        <w:tabs>
          <w:tab w:val="num" w:pos="0"/>
        </w:tabs>
        <w:ind w:right="-35"/>
        <w:jc w:val="both"/>
        <w:rPr>
          <w:rFonts w:eastAsia="標楷體"/>
          <w:bCs/>
          <w:color w:val="000000" w:themeColor="text1"/>
        </w:rPr>
      </w:pPr>
      <w:r w:rsidRPr="00446F8D">
        <w:rPr>
          <w:rFonts w:eastAsia="標楷體"/>
          <w:bCs/>
          <w:color w:val="000000" w:themeColor="text1"/>
        </w:rPr>
        <w:tab/>
      </w:r>
      <w:r w:rsidR="00883B24" w:rsidRPr="00883B24">
        <w:rPr>
          <w:rFonts w:eastAsia="標楷體"/>
          <w:bCs/>
          <w:color w:val="000000" w:themeColor="text1"/>
        </w:rPr>
        <w:t xml:space="preserve">Liquidity risk measured by the Cash Conversion Cycle (CCC) can reveal the status of the health of a firm reflecting on cash management policies. (Faris and Nassem, 2013) CCC formula considers the time spans required for a company to get cash flows from the production and sales process, such as inventory, account receivables, and bill payment. Iman, Maryam, and Arezu (2014) and Szpulak </w:t>
      </w:r>
      <w:r w:rsidR="00883B24" w:rsidRPr="00883B24">
        <w:rPr>
          <w:rFonts w:eastAsia="標楷體"/>
          <w:bCs/>
          <w:color w:val="000000" w:themeColor="text1"/>
        </w:rPr>
        <w:lastRenderedPageBreak/>
        <w:t xml:space="preserve">(2017) indicated that the company's stakeholders experienced the financial distress risk under a negative CCC if firms were inefficiently dealing with surplus cash with an increase in credit. This paper investigates whether any significant relationship exists between CCC and the probability of the perceived risk count. The longer a firm's CCC, the likelihood of the worse situation of sentiment risk for stakeholders.  </w:t>
      </w:r>
    </w:p>
    <w:p w14:paraId="71862D38" w14:textId="719A3F37" w:rsidR="00F16466" w:rsidRPr="00446F8D" w:rsidRDefault="00F16466" w:rsidP="005655FB">
      <w:pPr>
        <w:tabs>
          <w:tab w:val="num" w:pos="0"/>
        </w:tabs>
        <w:ind w:right="-35"/>
        <w:jc w:val="both"/>
        <w:rPr>
          <w:rFonts w:eastAsia="標楷體"/>
          <w:b/>
          <w:bCs/>
          <w:color w:val="000000" w:themeColor="text1"/>
        </w:rPr>
      </w:pPr>
      <w:r w:rsidRPr="00446F8D">
        <w:rPr>
          <w:rFonts w:eastAsia="標楷體"/>
          <w:b/>
          <w:bCs/>
          <w:color w:val="000000" w:themeColor="text1"/>
        </w:rPr>
        <w:t xml:space="preserve">5. </w:t>
      </w:r>
      <w:r w:rsidR="00F55ECD" w:rsidRPr="00446F8D">
        <w:rPr>
          <w:rFonts w:eastAsia="標楷體"/>
          <w:b/>
          <w:bCs/>
          <w:color w:val="000000" w:themeColor="text1"/>
        </w:rPr>
        <w:t>Profitability</w:t>
      </w:r>
    </w:p>
    <w:p w14:paraId="57B39B8F" w14:textId="7D03A3C2" w:rsidR="00883B24" w:rsidRPr="000A0229" w:rsidRDefault="00F16466" w:rsidP="005655FB">
      <w:pPr>
        <w:tabs>
          <w:tab w:val="num" w:pos="0"/>
        </w:tabs>
        <w:ind w:right="-35"/>
        <w:jc w:val="both"/>
        <w:rPr>
          <w:rFonts w:eastAsia="標楷體"/>
          <w:bCs/>
          <w:color w:val="000000" w:themeColor="text1"/>
        </w:rPr>
      </w:pPr>
      <w:r w:rsidRPr="00446F8D">
        <w:rPr>
          <w:rFonts w:eastAsia="標楷體"/>
          <w:bCs/>
          <w:color w:val="000000" w:themeColor="text1"/>
        </w:rPr>
        <w:tab/>
      </w:r>
      <w:r w:rsidR="00883B24" w:rsidRPr="00883B24">
        <w:rPr>
          <w:rFonts w:eastAsia="標楷體"/>
          <w:bCs/>
          <w:color w:val="000000" w:themeColor="text1"/>
        </w:rPr>
        <w:t xml:space="preserve">Lina, Penmb, Gong, and Chang (2005) exerted a signiﬁcantly negative relationship between various ﬁnancial performances, such as return on equity (ROE) and return on asset (ROA), and insolvency risk index of Taiwanese banks. Likewise, Ikpesu and Eboiyehi (2018) have concluded that asset tangibility and profitability added explanatory power for influencing financial distress negatively. This study hypothesizes that the higher the financial performance of probability, the lower the perceived risk count for investors.  </w:t>
      </w:r>
    </w:p>
    <w:p w14:paraId="138F5D81" w14:textId="5ECEC259" w:rsidR="00F55ECD" w:rsidRPr="00446F8D" w:rsidRDefault="00F16466" w:rsidP="005655FB">
      <w:pPr>
        <w:tabs>
          <w:tab w:val="num" w:pos="0"/>
        </w:tabs>
        <w:ind w:right="-35"/>
        <w:jc w:val="both"/>
        <w:rPr>
          <w:rFonts w:eastAsia="標楷體"/>
          <w:b/>
          <w:bCs/>
          <w:color w:val="000000" w:themeColor="text1"/>
        </w:rPr>
      </w:pPr>
      <w:r w:rsidRPr="00446F8D">
        <w:rPr>
          <w:rFonts w:eastAsia="標楷體"/>
          <w:b/>
          <w:bCs/>
          <w:color w:val="000000" w:themeColor="text1"/>
        </w:rPr>
        <w:t xml:space="preserve">6. </w:t>
      </w:r>
      <w:r w:rsidR="00F55ECD" w:rsidRPr="00446F8D">
        <w:rPr>
          <w:rFonts w:eastAsia="標楷體"/>
          <w:b/>
          <w:bCs/>
          <w:color w:val="000000" w:themeColor="text1"/>
        </w:rPr>
        <w:t>Dividend Policy</w:t>
      </w:r>
    </w:p>
    <w:p w14:paraId="6C2481E0" w14:textId="70F58D2B" w:rsidR="00883B24" w:rsidRPr="00883B24" w:rsidRDefault="00F55ECD" w:rsidP="00883B24">
      <w:pPr>
        <w:tabs>
          <w:tab w:val="num" w:pos="0"/>
        </w:tabs>
        <w:ind w:right="-35"/>
        <w:jc w:val="both"/>
        <w:rPr>
          <w:rFonts w:eastAsia="標楷體"/>
          <w:bCs/>
          <w:color w:val="000000" w:themeColor="text1"/>
        </w:rPr>
      </w:pPr>
      <w:r w:rsidRPr="00446F8D">
        <w:rPr>
          <w:rFonts w:eastAsia="標楷體"/>
          <w:bCs/>
          <w:color w:val="000000" w:themeColor="text1"/>
        </w:rPr>
        <w:tab/>
      </w:r>
      <w:r w:rsidR="00883B24" w:rsidRPr="00883B24">
        <w:rPr>
          <w:rFonts w:eastAsia="標楷體"/>
          <w:bCs/>
          <w:color w:val="000000" w:themeColor="text1"/>
        </w:rPr>
        <w:t>In the light of signaling theory, Kale et al. (1990) and Kapoor (2006) reported that dividend yields signal steady cash flows and a firm's future perspective. Jaara, Alashhab, and Jaara (2018) found that the negative relationship between dividend payout ratio and the default risk which relating to financial gearing to the operation (i.e., debt to equity ratio) and the risk measure (i.e., volatility measure of the ROA). Therefore, the hypothesis of dividend policy is likely to have a negative relationship with the perceived risk count.</w:t>
      </w:r>
    </w:p>
    <w:p w14:paraId="0B5580DD" w14:textId="571D0616" w:rsidR="00F55ECD" w:rsidRPr="00446F8D" w:rsidRDefault="00F16466" w:rsidP="005655FB">
      <w:pPr>
        <w:tabs>
          <w:tab w:val="num" w:pos="0"/>
        </w:tabs>
        <w:ind w:right="-35"/>
        <w:jc w:val="both"/>
        <w:rPr>
          <w:rFonts w:eastAsia="標楷體"/>
          <w:b/>
          <w:bCs/>
          <w:color w:val="000000" w:themeColor="text1"/>
        </w:rPr>
      </w:pPr>
      <w:r w:rsidRPr="00446F8D">
        <w:rPr>
          <w:rFonts w:eastAsia="標楷體"/>
          <w:b/>
          <w:bCs/>
          <w:color w:val="000000" w:themeColor="text1"/>
        </w:rPr>
        <w:t xml:space="preserve">7. </w:t>
      </w:r>
      <w:r w:rsidR="00F55ECD" w:rsidRPr="00446F8D">
        <w:rPr>
          <w:rFonts w:eastAsia="標楷體"/>
          <w:b/>
          <w:bCs/>
          <w:color w:val="000000" w:themeColor="text1"/>
        </w:rPr>
        <w:t>Company Value</w:t>
      </w:r>
    </w:p>
    <w:p w14:paraId="616E8E64" w14:textId="42BE416E" w:rsidR="00883B24" w:rsidRPr="00446F8D" w:rsidRDefault="00F55ECD" w:rsidP="005655FB">
      <w:pPr>
        <w:tabs>
          <w:tab w:val="num" w:pos="0"/>
        </w:tabs>
        <w:ind w:right="-35"/>
        <w:jc w:val="both"/>
        <w:rPr>
          <w:rFonts w:eastAsia="標楷體"/>
          <w:bCs/>
          <w:color w:val="000000" w:themeColor="text1"/>
        </w:rPr>
      </w:pPr>
      <w:r w:rsidRPr="00446F8D">
        <w:rPr>
          <w:rFonts w:eastAsia="標楷體"/>
          <w:bCs/>
          <w:color w:val="000000" w:themeColor="text1"/>
        </w:rPr>
        <w:tab/>
      </w:r>
      <w:r w:rsidR="00CC78ED" w:rsidRPr="00CC78ED">
        <w:rPr>
          <w:rFonts w:eastAsia="標楷體"/>
          <w:bCs/>
          <w:color w:val="000000" w:themeColor="text1"/>
        </w:rPr>
        <w:t>Price to book value (PBV) can be measured as an indicator of the company value in evaluating an overvalued or undervalued stock level for the stakeholders. (Marangu and Jagongo, 2014) The empirical results revealed a negative but statistically insignificant relationship between the distress risk and the book-to-market equity ratio because of market inefficiency. (Idrees and Qayyum, 2018) Therefore, there is still a need to enhance the empirical study to accurately measure the impact of PBV on sentiment shifts. This paper analyzes the role of company value in evaluating a positive relationship between PBV and perceived risk count. The stakeholders will probably avoid the high overvalued stock under the consideration of high risk.</w:t>
      </w:r>
    </w:p>
    <w:p w14:paraId="295FFBB8" w14:textId="7AD729ED" w:rsidR="00F55ECD" w:rsidRPr="00446F8D" w:rsidRDefault="005140C5" w:rsidP="005655FB">
      <w:pPr>
        <w:tabs>
          <w:tab w:val="num" w:pos="0"/>
        </w:tabs>
        <w:ind w:right="-35"/>
        <w:jc w:val="both"/>
        <w:rPr>
          <w:rFonts w:eastAsia="標楷體"/>
          <w:b/>
          <w:bCs/>
          <w:color w:val="000000" w:themeColor="text1"/>
        </w:rPr>
      </w:pPr>
      <w:r>
        <w:rPr>
          <w:rFonts w:eastAsia="標楷體"/>
          <w:b/>
          <w:bCs/>
          <w:color w:val="000000" w:themeColor="text1"/>
        </w:rPr>
        <w:t>8</w:t>
      </w:r>
      <w:r w:rsidR="00F16466" w:rsidRPr="00446F8D">
        <w:rPr>
          <w:rFonts w:eastAsia="標楷體"/>
          <w:b/>
          <w:bCs/>
          <w:color w:val="000000" w:themeColor="text1"/>
        </w:rPr>
        <w:t xml:space="preserve">. </w:t>
      </w:r>
      <w:r w:rsidR="00F55ECD" w:rsidRPr="00446F8D">
        <w:rPr>
          <w:rFonts w:eastAsia="標楷體"/>
          <w:b/>
          <w:bCs/>
          <w:color w:val="000000" w:themeColor="text1"/>
        </w:rPr>
        <w:t xml:space="preserve">Cash Management </w:t>
      </w:r>
    </w:p>
    <w:p w14:paraId="13088299" w14:textId="0A7AF4FB" w:rsidR="00F55ECD" w:rsidRPr="00446F8D" w:rsidRDefault="00F55ECD" w:rsidP="005655FB">
      <w:pPr>
        <w:tabs>
          <w:tab w:val="num" w:pos="0"/>
        </w:tabs>
        <w:ind w:right="-35"/>
        <w:jc w:val="both"/>
        <w:rPr>
          <w:rFonts w:eastAsia="標楷體"/>
          <w:bCs/>
          <w:color w:val="000000" w:themeColor="text1"/>
        </w:rPr>
      </w:pPr>
      <w:r w:rsidRPr="00446F8D">
        <w:rPr>
          <w:rFonts w:eastAsia="標楷體"/>
          <w:bCs/>
          <w:color w:val="000000" w:themeColor="text1"/>
        </w:rPr>
        <w:tab/>
      </w:r>
      <w:r w:rsidR="00883B24" w:rsidRPr="00883B24">
        <w:rPr>
          <w:rFonts w:eastAsia="標楷體"/>
          <w:bCs/>
          <w:color w:val="000000" w:themeColor="text1"/>
        </w:rPr>
        <w:t xml:space="preserve">Jensen (1986) found that managers' opportunistic behavior such as over-investments and misusing capitals will likely optimize compensation if low-growth firms have greater FCF rushes risky activities. Thiruvadi, Huang, Wheatley, and Thiruvadi (2016) confirmed that such activities in manipulating cash flow are likely related to increased internal auditing for controlling risk. In contrast, Florentina (2019) supported the view that firms with good operating cash flow can probably avoid financial distress. Therefore, the relationship between free cash flow and perceived risk count remains ambiguous. </w:t>
      </w:r>
    </w:p>
    <w:p w14:paraId="7B743EC0" w14:textId="7BDE65B1" w:rsidR="00F55ECD" w:rsidRPr="00446F8D" w:rsidRDefault="005140C5" w:rsidP="005655FB">
      <w:pPr>
        <w:tabs>
          <w:tab w:val="num" w:pos="0"/>
        </w:tabs>
        <w:ind w:right="-35"/>
        <w:jc w:val="both"/>
        <w:rPr>
          <w:rFonts w:eastAsia="標楷體"/>
          <w:b/>
          <w:bCs/>
          <w:color w:val="000000" w:themeColor="text1"/>
        </w:rPr>
      </w:pPr>
      <w:r>
        <w:rPr>
          <w:rFonts w:eastAsia="標楷體"/>
          <w:b/>
          <w:bCs/>
          <w:color w:val="000000" w:themeColor="text1"/>
        </w:rPr>
        <w:t>9</w:t>
      </w:r>
      <w:r w:rsidR="00F16466" w:rsidRPr="00446F8D">
        <w:rPr>
          <w:rFonts w:eastAsia="標楷體"/>
          <w:b/>
          <w:bCs/>
          <w:color w:val="000000" w:themeColor="text1"/>
        </w:rPr>
        <w:t xml:space="preserve">. </w:t>
      </w:r>
      <w:r w:rsidR="00F55ECD" w:rsidRPr="00446F8D">
        <w:rPr>
          <w:rFonts w:eastAsia="標楷體"/>
          <w:b/>
          <w:bCs/>
          <w:color w:val="000000" w:themeColor="text1"/>
        </w:rPr>
        <w:t>Management Efficiency</w:t>
      </w:r>
    </w:p>
    <w:p w14:paraId="78443FD1" w14:textId="4AF8193A" w:rsidR="00572D62" w:rsidRDefault="00F55ECD" w:rsidP="00883B24">
      <w:pPr>
        <w:tabs>
          <w:tab w:val="num" w:pos="0"/>
        </w:tabs>
        <w:ind w:right="-35"/>
        <w:jc w:val="both"/>
        <w:rPr>
          <w:rFonts w:eastAsia="標楷體"/>
          <w:bCs/>
          <w:color w:val="000000" w:themeColor="text1"/>
        </w:rPr>
      </w:pPr>
      <w:r w:rsidRPr="00446F8D">
        <w:rPr>
          <w:rFonts w:eastAsia="標楷體"/>
          <w:bCs/>
          <w:color w:val="000000" w:themeColor="text1"/>
        </w:rPr>
        <w:tab/>
      </w:r>
      <w:r w:rsidR="00883B24" w:rsidRPr="00883B24">
        <w:rPr>
          <w:rFonts w:eastAsia="標楷體"/>
          <w:bCs/>
          <w:color w:val="000000" w:themeColor="text1"/>
        </w:rPr>
        <w:t xml:space="preserve">The empirical results of Khanna and Poulsen (1995) pointed out that incompetence and inefficient managerial decisions are the main reasons for financial difficulty, while managerial </w:t>
      </w:r>
      <w:r w:rsidR="00883B24" w:rsidRPr="00883B24">
        <w:rPr>
          <w:rFonts w:eastAsia="標楷體"/>
          <w:bCs/>
          <w:color w:val="000000" w:themeColor="text1"/>
        </w:rPr>
        <w:lastRenderedPageBreak/>
        <w:t>incentives fulfilling stockholder interests enhanced stock market reaction. Likewise, Evans, Luo, and Nagarajan (2014) reported that skilled CEOs familiar with businesses eager to perform excellently earn bonuses when satisfied stakeholders' needs. Ting (2011) indicated that the probability of a firm's default risk could be reduced by replacing top management. Pierluigi (2014) found a positive relationship between the total asset turnover ratio as proxies of management efficiency and profitability. The results provided a strong signal for the investor to evaluate firms' performance and react to financial distress by quickly divesting assets. Therefore, management efficiency would probably negatively influen</w:t>
      </w:r>
      <w:r w:rsidR="00883B24">
        <w:rPr>
          <w:rFonts w:eastAsia="標楷體"/>
          <w:bCs/>
          <w:color w:val="000000" w:themeColor="text1"/>
        </w:rPr>
        <w:t>ce the perceived risk count.</w:t>
      </w:r>
    </w:p>
    <w:p w14:paraId="2AECB51E" w14:textId="77777777" w:rsidR="00883B24" w:rsidRPr="00446F8D" w:rsidRDefault="00883B24" w:rsidP="00883B24">
      <w:pPr>
        <w:tabs>
          <w:tab w:val="num" w:pos="0"/>
        </w:tabs>
        <w:ind w:right="-35"/>
        <w:jc w:val="both"/>
        <w:rPr>
          <w:rFonts w:eastAsia="標楷體"/>
          <w:bCs/>
          <w:color w:val="000000" w:themeColor="text1"/>
        </w:rPr>
      </w:pPr>
    </w:p>
    <w:p w14:paraId="66BE22A6" w14:textId="5EB58538" w:rsidR="00000588" w:rsidRPr="005140C5" w:rsidRDefault="00AD53B8" w:rsidP="005655FB">
      <w:pPr>
        <w:tabs>
          <w:tab w:val="num" w:pos="0"/>
        </w:tabs>
        <w:ind w:right="-35"/>
        <w:jc w:val="both"/>
        <w:rPr>
          <w:rFonts w:eastAsia="標楷體"/>
          <w:b/>
          <w:bCs/>
          <w:color w:val="000000" w:themeColor="text1"/>
        </w:rPr>
      </w:pPr>
      <w:r w:rsidRPr="005140C5">
        <w:rPr>
          <w:rFonts w:eastAsia="標楷體"/>
          <w:b/>
          <w:bCs/>
          <w:color w:val="000000" w:themeColor="text1"/>
        </w:rPr>
        <w:t xml:space="preserve">Econometric </w:t>
      </w:r>
      <w:r w:rsidR="0043565D" w:rsidRPr="005140C5">
        <w:rPr>
          <w:rFonts w:eastAsia="標楷體" w:hint="eastAsia"/>
          <w:b/>
          <w:bCs/>
          <w:color w:val="000000" w:themeColor="text1"/>
        </w:rPr>
        <w:t>Me</w:t>
      </w:r>
      <w:r w:rsidR="0043565D" w:rsidRPr="005140C5">
        <w:rPr>
          <w:rFonts w:eastAsia="標楷體"/>
          <w:b/>
          <w:bCs/>
          <w:color w:val="000000" w:themeColor="text1"/>
        </w:rPr>
        <w:t>thodolog</w:t>
      </w:r>
      <w:r w:rsidR="006476B6" w:rsidRPr="005140C5">
        <w:rPr>
          <w:rFonts w:eastAsia="標楷體"/>
          <w:b/>
          <w:bCs/>
          <w:color w:val="000000" w:themeColor="text1"/>
        </w:rPr>
        <w:t>ies</w:t>
      </w:r>
    </w:p>
    <w:p w14:paraId="528EE946" w14:textId="5C7B50CE" w:rsidR="000A0229" w:rsidRPr="000A0229" w:rsidRDefault="00CC78ED" w:rsidP="000A0229">
      <w:pPr>
        <w:ind w:firstLine="480"/>
        <w:jc w:val="both"/>
        <w:rPr>
          <w:rFonts w:eastAsia="標楷體"/>
          <w:color w:val="000000" w:themeColor="text1"/>
        </w:rPr>
      </w:pPr>
      <w:r w:rsidRPr="00CC78ED">
        <w:rPr>
          <w:rFonts w:eastAsia="標楷體"/>
          <w:color w:val="000000" w:themeColor="text1"/>
        </w:rPr>
        <w:t xml:space="preserve">This article used negative binomial distribution to check the significant effect of the variable. The normal distribution is not suitable for the data due to the violation of ordinary least square regression for error terms. This paper compared it with poison distribution to show the novelty of our method. To elaborate more, we discuss both Poison and Negative Binomial Regression and their maximum likelihood estimation procedure for parameters.  </w:t>
      </w:r>
      <w:r w:rsidR="000A0229" w:rsidRPr="000A0229">
        <w:rPr>
          <w:rFonts w:eastAsia="標楷體"/>
          <w:color w:val="000000" w:themeColor="text1"/>
        </w:rPr>
        <w:t xml:space="preserve">  </w:t>
      </w:r>
    </w:p>
    <w:p w14:paraId="63E4A2CC" w14:textId="4F9810CC" w:rsidR="00097A14" w:rsidRPr="00446F8D" w:rsidRDefault="000A0229" w:rsidP="000A0229">
      <w:pPr>
        <w:ind w:firstLine="480"/>
        <w:jc w:val="both"/>
        <w:rPr>
          <w:rFonts w:eastAsia="標楷體"/>
          <w:b/>
          <w:bCs/>
          <w:color w:val="000000" w:themeColor="text1"/>
        </w:rPr>
      </w:pPr>
      <w:r w:rsidRPr="000A0229">
        <w:rPr>
          <w:rFonts w:eastAsia="標楷體"/>
          <w:color w:val="000000" w:themeColor="text1"/>
        </w:rPr>
        <w:t xml:space="preserve">This paper uses the panel data to examine estimated counts by analyzing traffic accidents (Quddus, 2008; Wan, Mohamad, and Yap, 2011), auto insurance claims (Mihaela and Jemna, 2015), and loan defaults (Dimitris and Mohieddine, 2007).  </w:t>
      </w:r>
      <w:r w:rsidR="00097A14" w:rsidRPr="00446F8D">
        <w:rPr>
          <w:rFonts w:eastAsia="標楷體"/>
          <w:bCs/>
          <w:color w:val="000000" w:themeColor="text1"/>
        </w:rPr>
        <w:t xml:space="preserve"> </w:t>
      </w:r>
    </w:p>
    <w:p w14:paraId="03DF4DFD" w14:textId="15FC05A9" w:rsidR="00A25C58" w:rsidRPr="00446F8D" w:rsidRDefault="00A8688C" w:rsidP="005655FB">
      <w:pPr>
        <w:tabs>
          <w:tab w:val="num" w:pos="0"/>
        </w:tabs>
        <w:ind w:right="-35"/>
        <w:jc w:val="both"/>
        <w:rPr>
          <w:rFonts w:eastAsia="標楷體"/>
          <w:color w:val="000000" w:themeColor="text1"/>
        </w:rPr>
      </w:pPr>
      <w:r w:rsidRPr="00446F8D">
        <w:rPr>
          <w:rFonts w:eastAsia="標楷體"/>
          <w:color w:val="000000" w:themeColor="text1"/>
        </w:rPr>
        <w:tab/>
      </w:r>
      <w:r w:rsidR="000A0229" w:rsidRPr="000A0229">
        <w:rPr>
          <w:rFonts w:eastAsia="標楷體"/>
          <w:color w:val="000000" w:themeColor="text1"/>
        </w:rPr>
        <w:t>This empirical study uses the quarterly count number of each single equity VIX as the perceived risk count at the quartile. These count data have discontinuities and non-negative characteristics. Under the normal distribution assumption of the error term, the regression is not suitable. (Chen and Chen, 2002) Therefore, Poisson Regression and Negative Binomial Regression are more suitable for the occurrence pattern. The two models are as follows:</w:t>
      </w:r>
    </w:p>
    <w:p w14:paraId="28BF908B" w14:textId="48A7F07C" w:rsidR="00BA7C59" w:rsidRPr="00F86E99" w:rsidRDefault="000A0229" w:rsidP="000A0229">
      <w:pPr>
        <w:pStyle w:val="a8"/>
        <w:numPr>
          <w:ilvl w:val="0"/>
          <w:numId w:val="21"/>
        </w:numPr>
        <w:tabs>
          <w:tab w:val="num" w:pos="0"/>
        </w:tabs>
        <w:ind w:leftChars="0" w:left="284" w:right="-35" w:hanging="284"/>
        <w:jc w:val="both"/>
        <w:rPr>
          <w:rFonts w:eastAsia="標楷體"/>
          <w:b/>
          <w:color w:val="000000" w:themeColor="text1"/>
        </w:rPr>
      </w:pPr>
      <w:r>
        <w:rPr>
          <w:rFonts w:eastAsia="標楷體"/>
          <w:b/>
          <w:color w:val="000000" w:themeColor="text1"/>
        </w:rPr>
        <w:t xml:space="preserve"> </w:t>
      </w:r>
      <w:r w:rsidR="00BA7C59" w:rsidRPr="00F86E99">
        <w:rPr>
          <w:rFonts w:eastAsia="標楷體"/>
          <w:b/>
          <w:color w:val="000000" w:themeColor="text1"/>
        </w:rPr>
        <w:t>Poisson Regression</w:t>
      </w:r>
      <w:r w:rsidR="00053B12" w:rsidRPr="00F86E99">
        <w:rPr>
          <w:rFonts w:eastAsia="標楷體"/>
          <w:b/>
          <w:color w:val="000000" w:themeColor="text1"/>
        </w:rPr>
        <w:t xml:space="preserve">    </w:t>
      </w:r>
    </w:p>
    <w:p w14:paraId="5818EFB9" w14:textId="20D284AC" w:rsidR="00BA7C59" w:rsidRPr="00446F8D" w:rsidRDefault="00BA7C59" w:rsidP="005655FB">
      <w:pPr>
        <w:tabs>
          <w:tab w:val="num" w:pos="-360"/>
          <w:tab w:val="num" w:pos="0"/>
          <w:tab w:val="num" w:pos="720"/>
        </w:tabs>
        <w:ind w:right="-199" w:firstLineChars="200" w:firstLine="480"/>
        <w:jc w:val="both"/>
        <w:rPr>
          <w:rFonts w:eastAsia="華康楷書體W5"/>
          <w:color w:val="000000" w:themeColor="text1"/>
        </w:rPr>
      </w:pPr>
      <w:r w:rsidRPr="00446F8D">
        <w:rPr>
          <w:rFonts w:eastAsia="華康楷書體W5"/>
          <w:color w:val="000000" w:themeColor="text1"/>
        </w:rPr>
        <w:t xml:space="preserve">Assume that </w:t>
      </w:r>
      <w:r w:rsidR="00B3368C" w:rsidRPr="00446F8D">
        <w:rPr>
          <w:b/>
          <w:position w:val="-12"/>
        </w:rPr>
        <w:object w:dxaOrig="240" w:dyaOrig="360" w14:anchorId="00DDA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8.25pt" o:ole="">
            <v:imagedata r:id="rId9" o:title=""/>
          </v:shape>
          <o:OLEObject Type="Embed" ProgID="Equation.DSMT4" ShapeID="_x0000_i1025" DrawAspect="Content" ObjectID="_1706643852" r:id="rId10"/>
        </w:object>
      </w:r>
      <w:r w:rsidRPr="00446F8D">
        <w:rPr>
          <w:rFonts w:eastAsia="華康楷書體W5"/>
          <w:b/>
          <w:color w:val="000000" w:themeColor="text1"/>
        </w:rPr>
        <w:t xml:space="preserve"> </w:t>
      </w:r>
      <w:r w:rsidRPr="00446F8D">
        <w:rPr>
          <w:rFonts w:eastAsia="華康楷書體W5"/>
          <w:color w:val="000000" w:themeColor="text1"/>
        </w:rPr>
        <w:t xml:space="preserve">is </w:t>
      </w:r>
      <w:r w:rsidR="00CC6EA5" w:rsidRPr="00446F8D">
        <w:rPr>
          <w:rFonts w:eastAsia="華康楷書體W5"/>
          <w:color w:val="000000" w:themeColor="text1"/>
        </w:rPr>
        <w:t>the</w:t>
      </w:r>
      <w:r w:rsidRPr="00446F8D">
        <w:rPr>
          <w:rFonts w:eastAsia="華康楷書體W5"/>
          <w:color w:val="000000" w:themeColor="text1"/>
        </w:rPr>
        <w:t xml:space="preserve"> number </w:t>
      </w:r>
      <w:r w:rsidR="00CC6EA5" w:rsidRPr="00446F8D">
        <w:rPr>
          <w:rFonts w:eastAsia="華康楷書體W5"/>
          <w:color w:val="000000" w:themeColor="text1"/>
        </w:rPr>
        <w:t xml:space="preserve">for </w:t>
      </w:r>
      <w:r w:rsidRPr="00446F8D">
        <w:rPr>
          <w:rFonts w:eastAsia="華康楷書體W5"/>
          <w:color w:val="000000" w:themeColor="text1"/>
        </w:rPr>
        <w:t>the quartile of VIX in the selected time range</w:t>
      </w:r>
      <w:r w:rsidR="00CC6EA5" w:rsidRPr="00446F8D">
        <w:rPr>
          <w:rFonts w:eastAsia="華康楷書體W5"/>
          <w:color w:val="000000" w:themeColor="text1"/>
        </w:rPr>
        <w:t>, and t</w:t>
      </w:r>
      <w:r w:rsidRPr="00446F8D">
        <w:rPr>
          <w:rFonts w:eastAsia="華康楷書體W5"/>
          <w:color w:val="000000" w:themeColor="text1"/>
        </w:rPr>
        <w:t>he independent observations of which are</w:t>
      </w:r>
      <w:r w:rsidR="00CC6EA5" w:rsidRPr="00446F8D">
        <w:rPr>
          <w:rFonts w:eastAsia="華康楷書體W5"/>
          <w:color w:val="000000" w:themeColor="text1"/>
        </w:rPr>
        <w:t>.</w:t>
      </w:r>
      <w:r w:rsidRPr="00446F8D">
        <w:rPr>
          <w:rFonts w:eastAsia="華康楷書體W5"/>
          <w:color w:val="000000" w:themeColor="text1"/>
        </w:rPr>
        <w:t xml:space="preserve"> </w:t>
      </w:r>
      <w:r w:rsidR="00CC6EA5" w:rsidRPr="00446F8D">
        <w:rPr>
          <w:rFonts w:eastAsia="華康楷書體W5"/>
          <w:color w:val="000000" w:themeColor="text1"/>
        </w:rPr>
        <w:t>T</w:t>
      </w:r>
      <w:r w:rsidRPr="00446F8D">
        <w:rPr>
          <w:rFonts w:eastAsia="華康楷書體W5"/>
          <w:color w:val="000000" w:themeColor="text1"/>
        </w:rPr>
        <w:t xml:space="preserve">he regression formula of the Poisson distribution probability function </w:t>
      </w:r>
      <w:r w:rsidR="00B3368C" w:rsidRPr="00446F8D">
        <w:rPr>
          <w:position w:val="-12"/>
        </w:rPr>
        <w:object w:dxaOrig="240" w:dyaOrig="360" w14:anchorId="0EA7EE19">
          <v:shape id="_x0000_i1026" type="#_x0000_t75" style="width:12.15pt;height:18.25pt" o:ole="">
            <v:imagedata r:id="rId9" o:title=""/>
          </v:shape>
          <o:OLEObject Type="Embed" ProgID="Equation.DSMT4" ShapeID="_x0000_i1026" DrawAspect="Content" ObjectID="_1706643853" r:id="rId11"/>
        </w:object>
      </w:r>
      <w:r w:rsidR="00B3368C" w:rsidRPr="00446F8D">
        <w:t xml:space="preserve"> </w:t>
      </w:r>
      <w:r w:rsidRPr="00446F8D">
        <w:rPr>
          <w:rFonts w:eastAsia="華康楷書體W5"/>
          <w:color w:val="000000" w:themeColor="text1"/>
        </w:rPr>
        <w:t>can be expressed as:</w:t>
      </w:r>
      <w:r w:rsidR="00097639" w:rsidRPr="00446F8D">
        <w:rPr>
          <w:rFonts w:eastAsia="華康楷書體W5"/>
          <w:color w:val="000000" w:themeColor="text1"/>
        </w:rPr>
        <w:t xml:space="preserve"> (Greene, 1998; Chen and Chen, 2002)</w:t>
      </w:r>
    </w:p>
    <w:p w14:paraId="1EA3FCFB" w14:textId="40E20C10" w:rsidR="0032035B" w:rsidRPr="00446F8D" w:rsidRDefault="00B3368C" w:rsidP="00855E07">
      <w:pPr>
        <w:tabs>
          <w:tab w:val="num" w:pos="0"/>
          <w:tab w:val="num" w:pos="720"/>
          <w:tab w:val="left" w:pos="7380"/>
        </w:tabs>
        <w:ind w:left="-23" w:rightChars="-64" w:right="-154"/>
        <w:rPr>
          <w:rFonts w:eastAsia="華康楷書體W5"/>
          <w:b/>
          <w:color w:val="000000" w:themeColor="text1"/>
        </w:rPr>
      </w:pPr>
      <w:r w:rsidRPr="00446F8D">
        <w:rPr>
          <w:rFonts w:eastAsia="華康楷書體W5"/>
          <w:b/>
          <w:color w:val="000000" w:themeColor="text1"/>
          <w:position w:val="-30"/>
        </w:rPr>
        <w:object w:dxaOrig="3860" w:dyaOrig="720" w14:anchorId="6D68DB73">
          <v:shape id="_x0000_i1027" type="#_x0000_t75" style="width:222.55pt;height:43.5pt" o:ole="">
            <v:imagedata r:id="rId12" o:title=""/>
          </v:shape>
          <o:OLEObject Type="Embed" ProgID="Equation.DSMT4" ShapeID="_x0000_i1027" DrawAspect="Content" ObjectID="_1706643854" r:id="rId13"/>
        </w:object>
      </w:r>
      <w:r w:rsidR="00855E07" w:rsidRPr="00446F8D">
        <w:rPr>
          <w:rFonts w:eastAsia="華康楷書體W5"/>
          <w:b/>
          <w:color w:val="000000" w:themeColor="text1"/>
        </w:rPr>
        <w:t xml:space="preserve">   </w:t>
      </w:r>
      <w:r w:rsidR="00855E07" w:rsidRPr="00446F8D">
        <w:rPr>
          <w:b/>
          <w:position w:val="-6"/>
        </w:rPr>
        <w:object w:dxaOrig="580" w:dyaOrig="279" w14:anchorId="6C6ACBAC">
          <v:shape id="_x0000_i1028" type="#_x0000_t75" style="width:29pt;height:14.05pt" o:ole="">
            <v:imagedata r:id="rId14" o:title=""/>
          </v:shape>
          <o:OLEObject Type="Embed" ProgID="Equation.DSMT4" ShapeID="_x0000_i1028" DrawAspect="Content" ObjectID="_1706643855" r:id="rId15"/>
        </w:object>
      </w:r>
      <w:r w:rsidR="000F289E" w:rsidRPr="000F289E">
        <w:rPr>
          <w:rFonts w:eastAsia="華康楷書體W5"/>
          <w:color w:val="000000" w:themeColor="text1"/>
        </w:rPr>
        <w:t>,</w:t>
      </w:r>
      <w:r w:rsidR="00B538ED" w:rsidRPr="00446F8D">
        <w:rPr>
          <w:rFonts w:eastAsia="華康楷書體W5"/>
          <w:b/>
          <w:color w:val="000000" w:themeColor="text1"/>
        </w:rPr>
        <w:tab/>
      </w:r>
      <w:r w:rsidR="00B538ED" w:rsidRPr="00446F8D">
        <w:rPr>
          <w:rFonts w:eastAsia="華康楷書體W5"/>
          <w:b/>
          <w:color w:val="000000" w:themeColor="text1"/>
        </w:rPr>
        <w:tab/>
      </w:r>
      <w:r w:rsidR="00B538ED" w:rsidRPr="00446F8D">
        <w:rPr>
          <w:rFonts w:eastAsia="華康楷書體W5"/>
          <w:b/>
          <w:color w:val="000000" w:themeColor="text1"/>
        </w:rPr>
        <w:tab/>
      </w:r>
      <w:r w:rsidR="00B538ED" w:rsidRPr="00446F8D">
        <w:rPr>
          <w:rFonts w:eastAsia="華康楷書體W5"/>
          <w:b/>
          <w:color w:val="000000" w:themeColor="text1"/>
        </w:rPr>
        <w:tab/>
      </w:r>
      <w:r w:rsidR="00661003" w:rsidRPr="00446F8D">
        <w:rPr>
          <w:rFonts w:eastAsia="華康楷書體W5"/>
          <w:b/>
          <w:color w:val="000000" w:themeColor="text1"/>
        </w:rPr>
        <w:tab/>
      </w:r>
      <w:r w:rsidR="00C55407">
        <w:rPr>
          <w:rFonts w:eastAsia="華康楷書體W5" w:hint="eastAsia"/>
          <w:b/>
          <w:color w:val="000000" w:themeColor="text1"/>
        </w:rPr>
        <w:t xml:space="preserve">  </w:t>
      </w:r>
      <w:r w:rsidR="008D1CAE" w:rsidRPr="00446F8D">
        <w:rPr>
          <w:rFonts w:eastAsia="華康楷書體W5"/>
          <w:bCs/>
          <w:color w:val="000000" w:themeColor="text1"/>
        </w:rPr>
        <w:t>(1)</w:t>
      </w:r>
      <w:r w:rsidR="009B488D" w:rsidRPr="00446F8D">
        <w:rPr>
          <w:rFonts w:eastAsia="華康楷書體W5"/>
          <w:b/>
          <w:color w:val="000000" w:themeColor="text1"/>
        </w:rPr>
        <w:t xml:space="preserve">                    </w:t>
      </w:r>
      <w:r w:rsidR="005655FB" w:rsidRPr="00446F8D">
        <w:rPr>
          <w:rFonts w:eastAsia="華康楷書體W5"/>
          <w:b/>
          <w:color w:val="000000" w:themeColor="text1"/>
        </w:rPr>
        <w:t xml:space="preserve">           </w:t>
      </w:r>
      <w:r w:rsidR="009B488D" w:rsidRPr="00446F8D">
        <w:rPr>
          <w:rFonts w:eastAsia="華康楷書體W5"/>
          <w:b/>
          <w:color w:val="000000" w:themeColor="text1"/>
        </w:rPr>
        <w:t xml:space="preserve">    </w:t>
      </w:r>
    </w:p>
    <w:p w14:paraId="2AD38DDC" w14:textId="66EE478C" w:rsidR="00855E07" w:rsidRPr="00446F8D" w:rsidRDefault="000F289E" w:rsidP="00855E07">
      <w:pPr>
        <w:tabs>
          <w:tab w:val="num" w:pos="0"/>
          <w:tab w:val="num" w:pos="720"/>
        </w:tabs>
        <w:ind w:left="-25" w:right="-35"/>
        <w:jc w:val="both"/>
        <w:rPr>
          <w:rFonts w:eastAsia="標楷體"/>
          <w:bCs/>
          <w:color w:val="000000" w:themeColor="text1"/>
        </w:rPr>
      </w:pPr>
      <w:r>
        <w:rPr>
          <w:rFonts w:eastAsia="標楷體"/>
          <w:bCs/>
          <w:color w:val="000000" w:themeColor="text1"/>
        </w:rPr>
        <w:t>w</w:t>
      </w:r>
      <w:r w:rsidR="00855E07" w:rsidRPr="00446F8D">
        <w:rPr>
          <w:rFonts w:eastAsia="標楷體"/>
          <w:bCs/>
          <w:color w:val="000000" w:themeColor="text1"/>
        </w:rPr>
        <w:t xml:space="preserve">here </w:t>
      </w:r>
      <w:r w:rsidR="00855E07" w:rsidRPr="00446F8D">
        <w:rPr>
          <w:bCs/>
          <w:position w:val="-6"/>
        </w:rPr>
        <w:object w:dxaOrig="220" w:dyaOrig="279" w14:anchorId="10F5FA6E">
          <v:shape id="_x0000_i1029" type="#_x0000_t75" style="width:10.3pt;height:14.05pt" o:ole="">
            <v:imagedata r:id="rId16" o:title=""/>
          </v:shape>
          <o:OLEObject Type="Embed" ProgID="Equation.DSMT4" ShapeID="_x0000_i1029" DrawAspect="Content" ObjectID="_1706643856" r:id="rId17"/>
        </w:object>
      </w:r>
      <w:r w:rsidR="000A0229">
        <w:rPr>
          <w:bCs/>
        </w:rPr>
        <w:t xml:space="preserve"> </w:t>
      </w:r>
      <w:r w:rsidR="00855E07" w:rsidRPr="00446F8D">
        <w:rPr>
          <w:rFonts w:eastAsia="標楷體"/>
          <w:bCs/>
          <w:color w:val="000000" w:themeColor="text1"/>
        </w:rPr>
        <w:t>is the mean and variance of Poisson distribution,</w:t>
      </w:r>
      <w:r w:rsidR="00855E07" w:rsidRPr="00446F8D">
        <w:rPr>
          <w:bCs/>
        </w:rPr>
        <w:t xml:space="preserve"> </w:t>
      </w:r>
      <w:r w:rsidR="00EB666E" w:rsidRPr="00446F8D">
        <w:rPr>
          <w:bCs/>
        </w:rPr>
        <w:t xml:space="preserve">and </w:t>
      </w:r>
      <w:r w:rsidR="00855E07" w:rsidRPr="00446F8D">
        <w:rPr>
          <w:bCs/>
          <w:position w:val="-12"/>
        </w:rPr>
        <w:object w:dxaOrig="240" w:dyaOrig="360" w14:anchorId="4F86D610">
          <v:shape id="_x0000_i1030" type="#_x0000_t75" style="width:12.15pt;height:18.25pt" o:ole="">
            <v:imagedata r:id="rId18" o:title=""/>
          </v:shape>
          <o:OLEObject Type="Embed" ProgID="Equation.DSMT4" ShapeID="_x0000_i1030" DrawAspect="Content" ObjectID="_1706643857" r:id="rId19"/>
        </w:object>
      </w:r>
      <w:r w:rsidR="00855E07" w:rsidRPr="00446F8D">
        <w:rPr>
          <w:bCs/>
        </w:rPr>
        <w:t xml:space="preserve"> </w:t>
      </w:r>
      <w:r w:rsidR="009913B1" w:rsidRPr="00446F8D">
        <w:rPr>
          <w:bCs/>
        </w:rPr>
        <w:t>represent</w:t>
      </w:r>
      <w:r w:rsidR="00CC78ED">
        <w:rPr>
          <w:bCs/>
        </w:rPr>
        <w:t xml:space="preserve"> a</w:t>
      </w:r>
      <w:r w:rsidR="00855E07" w:rsidRPr="00446F8D">
        <w:rPr>
          <w:bCs/>
        </w:rPr>
        <w:t xml:space="preserve"> </w:t>
      </w:r>
      <w:r w:rsidR="002E4B9C" w:rsidRPr="00446F8D">
        <w:rPr>
          <w:bCs/>
        </w:rPr>
        <w:t>dependent variable</w:t>
      </w:r>
      <w:r w:rsidR="00EB666E" w:rsidRPr="00446F8D">
        <w:rPr>
          <w:bCs/>
        </w:rPr>
        <w:t>.</w:t>
      </w:r>
    </w:p>
    <w:p w14:paraId="46BAC48B" w14:textId="2BE991E5" w:rsidR="006B328D" w:rsidRPr="00446F8D" w:rsidRDefault="00B3368C" w:rsidP="006B328D">
      <w:pPr>
        <w:tabs>
          <w:tab w:val="num" w:pos="0"/>
          <w:tab w:val="num" w:pos="720"/>
        </w:tabs>
        <w:ind w:left="-25" w:right="-35"/>
        <w:jc w:val="both"/>
        <w:rPr>
          <w:rFonts w:eastAsia="標楷體"/>
          <w:bCs/>
          <w:color w:val="000000" w:themeColor="text1"/>
        </w:rPr>
      </w:pPr>
      <w:r w:rsidRPr="00446F8D">
        <w:rPr>
          <w:rFonts w:eastAsia="標楷體"/>
          <w:bCs/>
          <w:color w:val="000000" w:themeColor="text1"/>
        </w:rPr>
        <w:t>The maximum likelihood of coefficients are as follows:</w:t>
      </w:r>
    </w:p>
    <w:p w14:paraId="695358CB" w14:textId="0A6E0730" w:rsidR="002E4B9C" w:rsidRPr="004201EF" w:rsidRDefault="0032035B" w:rsidP="00661003">
      <w:pPr>
        <w:tabs>
          <w:tab w:val="num" w:pos="0"/>
          <w:tab w:val="num" w:pos="720"/>
        </w:tabs>
        <w:ind w:left="-25" w:right="-35"/>
        <w:jc w:val="both"/>
        <w:rPr>
          <w:bCs/>
          <w:color w:val="00B0F0"/>
        </w:rPr>
      </w:pPr>
      <w:r w:rsidRPr="004201EF">
        <w:rPr>
          <w:b/>
          <w:color w:val="00B0F0"/>
        </w:rPr>
        <w:t xml:space="preserve"> </w:t>
      </w:r>
      <w:r w:rsidRPr="004201EF">
        <w:rPr>
          <w:b/>
          <w:color w:val="00B0F0"/>
          <w:position w:val="-12"/>
        </w:rPr>
        <w:object w:dxaOrig="2680" w:dyaOrig="360" w14:anchorId="6AEB003E">
          <v:shape id="_x0000_i1031" type="#_x0000_t75" style="width:135.1pt;height:18.25pt" o:ole="">
            <v:imagedata r:id="rId20" o:title=""/>
          </v:shape>
          <o:OLEObject Type="Embed" ProgID="Equation.DSMT4" ShapeID="_x0000_i1031" DrawAspect="Content" ObjectID="_1706643858" r:id="rId21"/>
        </w:object>
      </w:r>
      <w:r w:rsidR="00F86E99" w:rsidRPr="000F289E">
        <w:rPr>
          <w:color w:val="000000" w:themeColor="text1"/>
        </w:rPr>
        <w:t>,</w:t>
      </w:r>
      <w:r w:rsidR="006B328D" w:rsidRPr="000F289E">
        <w:rPr>
          <w:color w:val="000000" w:themeColor="text1"/>
        </w:rPr>
        <w:tab/>
      </w:r>
      <w:r w:rsidR="006B328D" w:rsidRPr="004201EF">
        <w:rPr>
          <w:b/>
          <w:color w:val="00B0F0"/>
        </w:rPr>
        <w:tab/>
      </w:r>
      <w:r w:rsidR="006B328D" w:rsidRPr="004201EF">
        <w:rPr>
          <w:b/>
          <w:color w:val="00B0F0"/>
        </w:rPr>
        <w:tab/>
      </w:r>
      <w:r w:rsidR="006B328D" w:rsidRPr="004201EF">
        <w:rPr>
          <w:b/>
          <w:color w:val="00B0F0"/>
        </w:rPr>
        <w:tab/>
      </w:r>
      <w:r w:rsidR="006B328D" w:rsidRPr="004201EF">
        <w:rPr>
          <w:b/>
          <w:color w:val="00B0F0"/>
        </w:rPr>
        <w:tab/>
      </w:r>
      <w:r w:rsidR="006B328D" w:rsidRPr="004201EF">
        <w:rPr>
          <w:b/>
          <w:color w:val="00B0F0"/>
        </w:rPr>
        <w:tab/>
      </w:r>
      <w:r w:rsidR="006B328D" w:rsidRPr="004201EF">
        <w:rPr>
          <w:b/>
          <w:color w:val="00B0F0"/>
        </w:rPr>
        <w:tab/>
      </w:r>
      <w:r w:rsidR="006B328D" w:rsidRPr="004201EF">
        <w:rPr>
          <w:b/>
          <w:color w:val="00B0F0"/>
        </w:rPr>
        <w:tab/>
      </w:r>
      <w:r w:rsidR="006B328D" w:rsidRPr="004201EF">
        <w:rPr>
          <w:b/>
          <w:color w:val="00B0F0"/>
        </w:rPr>
        <w:tab/>
      </w:r>
      <w:r w:rsidR="006B328D" w:rsidRPr="004201EF">
        <w:rPr>
          <w:b/>
          <w:color w:val="00B0F0"/>
        </w:rPr>
        <w:tab/>
      </w:r>
      <w:r w:rsidR="006B328D" w:rsidRPr="004201EF">
        <w:rPr>
          <w:b/>
          <w:color w:val="00B0F0"/>
        </w:rPr>
        <w:tab/>
      </w:r>
      <w:r w:rsidR="006B328D" w:rsidRPr="004201EF">
        <w:rPr>
          <w:b/>
          <w:color w:val="00B0F0"/>
        </w:rPr>
        <w:tab/>
      </w:r>
      <w:r w:rsidR="00C55407">
        <w:rPr>
          <w:rFonts w:hint="eastAsia"/>
          <w:b/>
          <w:color w:val="00B0F0"/>
        </w:rPr>
        <w:t xml:space="preserve">  </w:t>
      </w:r>
      <w:r w:rsidR="006B328D" w:rsidRPr="004201EF">
        <w:rPr>
          <w:b/>
          <w:color w:val="00B0F0"/>
        </w:rPr>
        <w:tab/>
      </w:r>
      <w:r w:rsidR="00C55407">
        <w:rPr>
          <w:rFonts w:hint="eastAsia"/>
          <w:b/>
          <w:color w:val="00B0F0"/>
        </w:rPr>
        <w:t xml:space="preserve">      </w:t>
      </w:r>
      <w:r w:rsidR="00661003" w:rsidRPr="004201EF">
        <w:rPr>
          <w:bCs/>
        </w:rPr>
        <w:t>(</w:t>
      </w:r>
      <w:r w:rsidR="006B328D" w:rsidRPr="004201EF">
        <w:rPr>
          <w:bCs/>
        </w:rPr>
        <w:t xml:space="preserve">2)  </w:t>
      </w:r>
      <w:r w:rsidR="006B328D" w:rsidRPr="004201EF">
        <w:rPr>
          <w:bCs/>
          <w:color w:val="00B0F0"/>
        </w:rPr>
        <w:t xml:space="preserve">                                                                                                                             </w:t>
      </w:r>
      <w:r w:rsidR="008D1CAE" w:rsidRPr="004201EF">
        <w:rPr>
          <w:bCs/>
          <w:color w:val="00B0F0"/>
        </w:rPr>
        <w:t xml:space="preserve"> </w:t>
      </w:r>
      <w:r w:rsidR="002E4B9C" w:rsidRPr="004201EF">
        <w:rPr>
          <w:bCs/>
          <w:color w:val="00B0F0"/>
        </w:rPr>
        <w:t xml:space="preserve"> </w:t>
      </w:r>
      <w:r w:rsidR="008D1CAE" w:rsidRPr="004201EF">
        <w:rPr>
          <w:bCs/>
          <w:color w:val="00B0F0"/>
        </w:rPr>
        <w:t xml:space="preserve">                                                   </w:t>
      </w:r>
      <w:r w:rsidR="00862303" w:rsidRPr="004201EF">
        <w:rPr>
          <w:bCs/>
          <w:color w:val="00B0F0"/>
        </w:rPr>
        <w:t xml:space="preserve"> </w:t>
      </w:r>
    </w:p>
    <w:p w14:paraId="471AA788" w14:textId="264D8A35" w:rsidR="00B3368C" w:rsidRPr="00446F8D" w:rsidRDefault="0032035B" w:rsidP="0032035B">
      <w:pPr>
        <w:tabs>
          <w:tab w:val="num" w:pos="0"/>
          <w:tab w:val="left" w:pos="1170"/>
        </w:tabs>
        <w:ind w:left="-25" w:right="-35"/>
        <w:jc w:val="both"/>
        <w:rPr>
          <w:rFonts w:eastAsia="標楷體"/>
          <w:bCs/>
          <w:color w:val="000000" w:themeColor="text1"/>
        </w:rPr>
      </w:pPr>
      <w:r w:rsidRPr="004201EF">
        <w:rPr>
          <w:b/>
          <w:color w:val="00B0F0"/>
        </w:rPr>
        <w:t xml:space="preserve"> </w:t>
      </w:r>
      <w:r w:rsidRPr="004201EF">
        <w:rPr>
          <w:bCs/>
          <w:color w:val="00B0F0"/>
          <w:position w:val="-12"/>
        </w:rPr>
        <w:object w:dxaOrig="1160" w:dyaOrig="360" w14:anchorId="008B8FEA">
          <v:shape id="_x0000_i1032" type="#_x0000_t75" style="width:58.45pt;height:18.25pt" o:ole="">
            <v:imagedata r:id="rId22" o:title=""/>
          </v:shape>
          <o:OLEObject Type="Embed" ProgID="Equation.DSMT4" ShapeID="_x0000_i1032" DrawAspect="Content" ObjectID="_1706643859" r:id="rId23"/>
        </w:object>
      </w:r>
      <w:r w:rsidR="00CC409C" w:rsidRPr="000F289E">
        <w:rPr>
          <w:bCs/>
          <w:color w:val="000000" w:themeColor="text1"/>
        </w:rPr>
        <w:t>,</w:t>
      </w:r>
      <w:r w:rsidR="00CC409C" w:rsidRPr="004201EF">
        <w:rPr>
          <w:bCs/>
          <w:color w:val="00B0F0"/>
        </w:rPr>
        <w:t xml:space="preserve"> </w:t>
      </w:r>
      <w:r w:rsidR="00CC409C" w:rsidRPr="004201EF">
        <w:rPr>
          <w:bCs/>
          <w:color w:val="00B0F0"/>
        </w:rPr>
        <w:tab/>
      </w:r>
      <w:r w:rsidR="00661003" w:rsidRPr="004201EF">
        <w:rPr>
          <w:bCs/>
          <w:color w:val="00B0F0"/>
        </w:rPr>
        <w:tab/>
      </w:r>
      <w:r w:rsidR="00661003" w:rsidRPr="004201EF">
        <w:rPr>
          <w:bCs/>
          <w:color w:val="00B0F0"/>
        </w:rPr>
        <w:tab/>
      </w:r>
      <w:r w:rsidR="00661003" w:rsidRPr="00446F8D">
        <w:rPr>
          <w:bCs/>
        </w:rPr>
        <w:tab/>
      </w:r>
      <w:r w:rsidR="00661003" w:rsidRPr="00446F8D">
        <w:rPr>
          <w:bCs/>
        </w:rPr>
        <w:tab/>
      </w:r>
      <w:r w:rsidR="00661003" w:rsidRPr="00446F8D">
        <w:rPr>
          <w:bCs/>
        </w:rPr>
        <w:tab/>
      </w:r>
      <w:r w:rsidR="00661003" w:rsidRPr="00446F8D">
        <w:rPr>
          <w:bCs/>
        </w:rPr>
        <w:tab/>
      </w:r>
      <w:r w:rsidR="00661003" w:rsidRPr="00446F8D">
        <w:rPr>
          <w:bCs/>
        </w:rPr>
        <w:tab/>
      </w:r>
      <w:r w:rsidR="00661003" w:rsidRPr="00446F8D">
        <w:rPr>
          <w:bCs/>
        </w:rPr>
        <w:tab/>
      </w:r>
      <w:r w:rsidR="00661003" w:rsidRPr="00446F8D">
        <w:rPr>
          <w:bCs/>
        </w:rPr>
        <w:tab/>
      </w:r>
      <w:r w:rsidR="00661003" w:rsidRPr="00446F8D">
        <w:rPr>
          <w:bCs/>
        </w:rPr>
        <w:tab/>
      </w:r>
      <w:r w:rsidR="00661003" w:rsidRPr="00446F8D">
        <w:rPr>
          <w:bCs/>
        </w:rPr>
        <w:tab/>
      </w:r>
      <w:r w:rsidR="00661003" w:rsidRPr="00446F8D">
        <w:rPr>
          <w:bCs/>
        </w:rPr>
        <w:tab/>
      </w:r>
      <w:r w:rsidR="00661003" w:rsidRPr="00446F8D">
        <w:rPr>
          <w:bCs/>
        </w:rPr>
        <w:tab/>
      </w:r>
      <w:r w:rsidR="00661003" w:rsidRPr="00446F8D">
        <w:rPr>
          <w:bCs/>
        </w:rPr>
        <w:tab/>
      </w:r>
      <w:r w:rsidR="00C55407">
        <w:rPr>
          <w:rFonts w:hint="eastAsia"/>
          <w:bCs/>
        </w:rPr>
        <w:t xml:space="preserve">   </w:t>
      </w:r>
      <w:r w:rsidR="00CC409C">
        <w:rPr>
          <w:bCs/>
        </w:rPr>
        <w:tab/>
      </w:r>
      <w:r w:rsidR="00C55407">
        <w:rPr>
          <w:rFonts w:hint="eastAsia"/>
          <w:bCs/>
        </w:rPr>
        <w:t xml:space="preserve">  </w:t>
      </w:r>
      <w:r w:rsidR="00661003" w:rsidRPr="00446F8D">
        <w:rPr>
          <w:bCs/>
        </w:rPr>
        <w:t>(3)</w:t>
      </w:r>
      <w:r w:rsidR="002E4B9C" w:rsidRPr="00446F8D">
        <w:rPr>
          <w:bCs/>
        </w:rPr>
        <w:t xml:space="preserve">                                                                  </w:t>
      </w:r>
      <w:r w:rsidR="008A394C" w:rsidRPr="00446F8D">
        <w:rPr>
          <w:bCs/>
        </w:rPr>
        <w:t xml:space="preserve">                                                           </w:t>
      </w:r>
    </w:p>
    <w:p w14:paraId="7E42FD40" w14:textId="79E96E5B" w:rsidR="00C60E7D" w:rsidRPr="004201EF" w:rsidRDefault="00B74C13" w:rsidP="00D14593">
      <w:pPr>
        <w:tabs>
          <w:tab w:val="num" w:pos="0"/>
          <w:tab w:val="num" w:pos="720"/>
        </w:tabs>
        <w:ind w:left="-25" w:right="-35"/>
        <w:jc w:val="both"/>
        <w:rPr>
          <w:bCs/>
          <w:color w:val="00B0F0"/>
          <w:shd w:val="clear" w:color="auto" w:fill="FFFFFF"/>
        </w:rPr>
      </w:pPr>
      <w:r w:rsidRPr="00E57063">
        <w:rPr>
          <w:rFonts w:eastAsia="標楷體"/>
          <w:bCs/>
        </w:rPr>
        <w:lastRenderedPageBreak/>
        <w:t>w</w:t>
      </w:r>
      <w:r w:rsidR="0032035B" w:rsidRPr="00E57063">
        <w:rPr>
          <w:rFonts w:eastAsia="標楷體"/>
          <w:bCs/>
        </w:rPr>
        <w:t>here</w:t>
      </w:r>
      <w:r w:rsidR="0032035B" w:rsidRPr="00E57063">
        <w:rPr>
          <w:bCs/>
          <w:position w:val="-10"/>
        </w:rPr>
        <w:object w:dxaOrig="240" w:dyaOrig="320" w14:anchorId="6A9C6AF2">
          <v:shape id="_x0000_i1033" type="#_x0000_t75" style="width:12.15pt;height:15.45pt" o:ole="">
            <v:imagedata r:id="rId24" o:title=""/>
          </v:shape>
          <o:OLEObject Type="Embed" ProgID="Equation.DSMT4" ShapeID="_x0000_i1033" DrawAspect="Content" ObjectID="_1706643860" r:id="rId25"/>
        </w:object>
      </w:r>
      <w:r w:rsidRPr="00E57063">
        <w:rPr>
          <w:bCs/>
        </w:rPr>
        <w:t xml:space="preserve"> </w:t>
      </w:r>
      <w:r w:rsidR="0032035B" w:rsidRPr="00E57063">
        <w:rPr>
          <w:bCs/>
        </w:rPr>
        <w:t>are coefficients</w:t>
      </w:r>
      <w:r w:rsidR="006B0CFC" w:rsidRPr="004201EF">
        <w:rPr>
          <w:bCs/>
          <w:color w:val="00B0F0"/>
          <w:shd w:val="clear" w:color="auto" w:fill="FFFFFF"/>
        </w:rPr>
        <w:t>.</w:t>
      </w:r>
    </w:p>
    <w:p w14:paraId="3B1E4BBE" w14:textId="3835738B" w:rsidR="00CC6EA5" w:rsidRPr="00446F8D" w:rsidRDefault="000A0229" w:rsidP="000A0229">
      <w:pPr>
        <w:pStyle w:val="a3"/>
        <w:numPr>
          <w:ilvl w:val="0"/>
          <w:numId w:val="21"/>
        </w:numPr>
        <w:spacing w:line="240" w:lineRule="auto"/>
        <w:ind w:leftChars="0" w:left="284" w:rightChars="-34" w:right="-82" w:hanging="284"/>
        <w:jc w:val="both"/>
        <w:rPr>
          <w:rFonts w:ascii="Times New Roman"/>
          <w:b/>
          <w:color w:val="000000" w:themeColor="text1"/>
          <w:sz w:val="24"/>
        </w:rPr>
      </w:pPr>
      <w:r>
        <w:rPr>
          <w:rFonts w:ascii="Times New Roman"/>
          <w:b/>
          <w:bCs/>
          <w:color w:val="000000" w:themeColor="text1"/>
          <w:sz w:val="24"/>
        </w:rPr>
        <w:t xml:space="preserve"> </w:t>
      </w:r>
      <w:r w:rsidR="00CC6EA5" w:rsidRPr="00446F8D">
        <w:rPr>
          <w:rFonts w:ascii="Times New Roman"/>
          <w:b/>
          <w:bCs/>
          <w:color w:val="000000" w:themeColor="text1"/>
          <w:sz w:val="24"/>
        </w:rPr>
        <w:t>Neg</w:t>
      </w:r>
      <w:r w:rsidR="00D14593" w:rsidRPr="00446F8D">
        <w:rPr>
          <w:rFonts w:ascii="Times New Roman"/>
          <w:b/>
          <w:bCs/>
          <w:color w:val="000000" w:themeColor="text1"/>
          <w:sz w:val="24"/>
        </w:rPr>
        <w:t>a</w:t>
      </w:r>
      <w:r w:rsidR="00CC6EA5" w:rsidRPr="00446F8D">
        <w:rPr>
          <w:rFonts w:ascii="Times New Roman"/>
          <w:b/>
          <w:bCs/>
          <w:color w:val="000000" w:themeColor="text1"/>
          <w:sz w:val="24"/>
        </w:rPr>
        <w:t>tive Binomial Regression</w:t>
      </w:r>
    </w:p>
    <w:p w14:paraId="144C7FF5" w14:textId="77777777" w:rsidR="00CC6EA5" w:rsidRPr="00446F8D" w:rsidRDefault="00CC6EA5" w:rsidP="005655FB">
      <w:pPr>
        <w:pStyle w:val="a3"/>
        <w:tabs>
          <w:tab w:val="clear" w:pos="-240"/>
          <w:tab w:val="num" w:pos="0"/>
          <w:tab w:val="num" w:pos="720"/>
        </w:tabs>
        <w:spacing w:line="240" w:lineRule="auto"/>
        <w:ind w:leftChars="0" w:left="0" w:rightChars="-82" w:right="-197" w:firstLineChars="200" w:firstLine="480"/>
        <w:jc w:val="both"/>
        <w:rPr>
          <w:rFonts w:ascii="Times New Roman"/>
          <w:color w:val="000000" w:themeColor="text1"/>
          <w:sz w:val="24"/>
        </w:rPr>
      </w:pPr>
      <w:r w:rsidRPr="00446F8D">
        <w:rPr>
          <w:rFonts w:ascii="Times New Roman"/>
          <w:color w:val="000000" w:themeColor="text1"/>
          <w:sz w:val="24"/>
        </w:rPr>
        <w:t>Due to the omission of variables, data incompleteness</w:t>
      </w:r>
      <w:r w:rsidR="00275914" w:rsidRPr="00446F8D">
        <w:rPr>
          <w:rFonts w:ascii="Times New Roman"/>
          <w:color w:val="000000" w:themeColor="text1"/>
          <w:sz w:val="24"/>
        </w:rPr>
        <w:t>,</w:t>
      </w:r>
      <w:r w:rsidRPr="00446F8D">
        <w:rPr>
          <w:rFonts w:ascii="Times New Roman"/>
          <w:color w:val="000000" w:themeColor="text1"/>
          <w:sz w:val="24"/>
        </w:rPr>
        <w:t xml:space="preserve"> and non-homogeneous, there is an overdispersion for the dependent variable. It leads to the contrary to the assumption of Poisson Regression </w:t>
      </w:r>
      <w:r w:rsidR="007939AC" w:rsidRPr="00446F8D">
        <w:rPr>
          <w:rFonts w:ascii="Times New Roman"/>
          <w:color w:val="000000" w:themeColor="text1"/>
          <w:sz w:val="24"/>
        </w:rPr>
        <w:t xml:space="preserve">for </w:t>
      </w:r>
      <w:r w:rsidRPr="00446F8D">
        <w:rPr>
          <w:rFonts w:ascii="Times New Roman"/>
          <w:color w:val="000000" w:themeColor="text1"/>
          <w:sz w:val="24"/>
        </w:rPr>
        <w:t>"</w:t>
      </w:r>
      <w:r w:rsidR="007939AC" w:rsidRPr="00446F8D">
        <w:rPr>
          <w:rFonts w:ascii="Times New Roman"/>
          <w:color w:val="000000" w:themeColor="text1"/>
          <w:sz w:val="24"/>
        </w:rPr>
        <w:t xml:space="preserve">the </w:t>
      </w:r>
      <w:r w:rsidRPr="00446F8D">
        <w:rPr>
          <w:rFonts w:ascii="Times New Roman"/>
          <w:color w:val="000000" w:themeColor="text1"/>
          <w:sz w:val="24"/>
        </w:rPr>
        <w:t xml:space="preserve">mean is equal to </w:t>
      </w:r>
      <w:r w:rsidR="007939AC" w:rsidRPr="00446F8D">
        <w:rPr>
          <w:rFonts w:ascii="Times New Roman"/>
          <w:color w:val="000000" w:themeColor="text1"/>
          <w:sz w:val="24"/>
        </w:rPr>
        <w:t xml:space="preserve">the </w:t>
      </w:r>
      <w:r w:rsidRPr="00446F8D">
        <w:rPr>
          <w:rFonts w:ascii="Times New Roman"/>
          <w:color w:val="000000" w:themeColor="text1"/>
          <w:sz w:val="24"/>
        </w:rPr>
        <w:t xml:space="preserve">variation" phenomenon. Therefore, this </w:t>
      </w:r>
      <w:r w:rsidR="007939AC" w:rsidRPr="00446F8D">
        <w:rPr>
          <w:rFonts w:ascii="Times New Roman"/>
          <w:color w:val="000000" w:themeColor="text1"/>
          <w:sz w:val="24"/>
        </w:rPr>
        <w:t>paper</w:t>
      </w:r>
      <w:r w:rsidRPr="00446F8D">
        <w:rPr>
          <w:rFonts w:ascii="Times New Roman"/>
          <w:color w:val="000000" w:themeColor="text1"/>
          <w:sz w:val="24"/>
        </w:rPr>
        <w:t xml:space="preserve"> </w:t>
      </w:r>
      <w:r w:rsidR="007939AC" w:rsidRPr="00446F8D">
        <w:rPr>
          <w:rFonts w:ascii="Times New Roman"/>
          <w:color w:val="000000" w:themeColor="text1"/>
          <w:sz w:val="24"/>
        </w:rPr>
        <w:t>adopts Negative Binomial Regression for the analysis connected with different assumptions</w:t>
      </w:r>
      <w:r w:rsidR="00275914" w:rsidRPr="00446F8D">
        <w:rPr>
          <w:rFonts w:ascii="Times New Roman"/>
          <w:color w:val="000000" w:themeColor="text1"/>
          <w:sz w:val="24"/>
        </w:rPr>
        <w:t>;</w:t>
      </w:r>
      <w:r w:rsidR="007939AC" w:rsidRPr="00446F8D">
        <w:rPr>
          <w:rFonts w:ascii="Times New Roman"/>
          <w:color w:val="000000" w:themeColor="text1"/>
          <w:sz w:val="24"/>
        </w:rPr>
        <w:t xml:space="preserve"> that is</w:t>
      </w:r>
      <w:r w:rsidR="00275914" w:rsidRPr="00446F8D">
        <w:rPr>
          <w:rFonts w:ascii="Times New Roman"/>
          <w:color w:val="000000" w:themeColor="text1"/>
          <w:sz w:val="24"/>
        </w:rPr>
        <w:t>,</w:t>
      </w:r>
      <w:r w:rsidR="007939AC" w:rsidRPr="00446F8D">
        <w:rPr>
          <w:rFonts w:ascii="Times New Roman"/>
          <w:color w:val="000000" w:themeColor="text1"/>
          <w:sz w:val="24"/>
        </w:rPr>
        <w:t xml:space="preserve"> the </w:t>
      </w:r>
      <w:r w:rsidRPr="00446F8D">
        <w:rPr>
          <w:rFonts w:ascii="Times New Roman"/>
          <w:color w:val="000000" w:themeColor="text1"/>
          <w:sz w:val="24"/>
        </w:rPr>
        <w:t xml:space="preserve">variance </w:t>
      </w:r>
      <w:r w:rsidR="007939AC" w:rsidRPr="00446F8D">
        <w:rPr>
          <w:rFonts w:ascii="Times New Roman"/>
          <w:color w:val="000000" w:themeColor="text1"/>
          <w:sz w:val="24"/>
        </w:rPr>
        <w:t>is different from the mean. T</w:t>
      </w:r>
      <w:r w:rsidRPr="00446F8D">
        <w:rPr>
          <w:rFonts w:ascii="Times New Roman"/>
          <w:color w:val="000000" w:themeColor="text1"/>
          <w:sz w:val="24"/>
        </w:rPr>
        <w:t xml:space="preserve">he conditional expression </w:t>
      </w:r>
      <w:r w:rsidR="007939AC" w:rsidRPr="00446F8D">
        <w:rPr>
          <w:rFonts w:ascii="Times New Roman"/>
          <w:color w:val="000000" w:themeColor="text1"/>
          <w:sz w:val="24"/>
        </w:rPr>
        <w:t xml:space="preserve">for </w:t>
      </w:r>
      <w:r w:rsidR="00275914" w:rsidRPr="00446F8D">
        <w:rPr>
          <w:rFonts w:ascii="Times New Roman"/>
          <w:color w:val="000000" w:themeColor="text1"/>
          <w:sz w:val="24"/>
        </w:rPr>
        <w:t xml:space="preserve">the </w:t>
      </w:r>
      <w:r w:rsidRPr="00446F8D">
        <w:rPr>
          <w:rFonts w:ascii="Times New Roman"/>
          <w:color w:val="000000" w:themeColor="text1"/>
          <w:sz w:val="24"/>
        </w:rPr>
        <w:t>adjusted probability function mod</w:t>
      </w:r>
      <w:r w:rsidR="007939AC" w:rsidRPr="00446F8D">
        <w:rPr>
          <w:rFonts w:ascii="Times New Roman"/>
          <w:color w:val="000000" w:themeColor="text1"/>
          <w:sz w:val="24"/>
        </w:rPr>
        <w:t>el</w:t>
      </w:r>
      <w:r w:rsidRPr="00446F8D">
        <w:rPr>
          <w:rFonts w:ascii="Times New Roman"/>
          <w:color w:val="000000" w:themeColor="text1"/>
          <w:sz w:val="24"/>
        </w:rPr>
        <w:t xml:space="preserve"> can have the formula:</w:t>
      </w:r>
    </w:p>
    <w:p w14:paraId="55D59BDD" w14:textId="4604FE3D" w:rsidR="00DF6C08" w:rsidRPr="00446F8D" w:rsidRDefault="00053B12" w:rsidP="005655FB">
      <w:pPr>
        <w:tabs>
          <w:tab w:val="num" w:pos="0"/>
          <w:tab w:val="num" w:pos="120"/>
          <w:tab w:val="num" w:pos="720"/>
          <w:tab w:val="left" w:pos="7200"/>
          <w:tab w:val="left" w:pos="7380"/>
          <w:tab w:val="left" w:pos="7560"/>
        </w:tabs>
        <w:ind w:rightChars="-64" w:right="-154"/>
        <w:rPr>
          <w:rFonts w:eastAsia="華康楷書體W5"/>
          <w:color w:val="000000" w:themeColor="text1"/>
        </w:rPr>
      </w:pPr>
      <w:r w:rsidRPr="00446F8D">
        <w:rPr>
          <w:rFonts w:eastAsia="華康楷書體W5"/>
          <w:color w:val="000000" w:themeColor="text1"/>
          <w:position w:val="-12"/>
        </w:rPr>
        <w:object w:dxaOrig="1540" w:dyaOrig="360" w14:anchorId="6AB7BFF7">
          <v:shape id="_x0000_i1034" type="#_x0000_t75" style="width:101pt;height:21.5pt" o:ole="">
            <v:imagedata r:id="rId26" o:title=""/>
          </v:shape>
          <o:OLEObject Type="Embed" ProgID="Equation.3" ShapeID="_x0000_i1034" DrawAspect="Content" ObjectID="_1706643861" r:id="rId27"/>
        </w:object>
      </w:r>
      <w:r w:rsidR="000F289E">
        <w:rPr>
          <w:rFonts w:eastAsia="華康楷書體W5"/>
          <w:color w:val="000000" w:themeColor="text1"/>
        </w:rPr>
        <w:t>.</w:t>
      </w:r>
      <w:r w:rsidRPr="00446F8D">
        <w:rPr>
          <w:rFonts w:eastAsia="華康楷書體W5"/>
          <w:color w:val="000000" w:themeColor="text1"/>
        </w:rPr>
        <w:t xml:space="preserve"> </w:t>
      </w:r>
      <w:r w:rsidR="009B488D" w:rsidRPr="00446F8D">
        <w:rPr>
          <w:rFonts w:eastAsia="華康楷書體W5"/>
          <w:color w:val="000000" w:themeColor="text1"/>
        </w:rPr>
        <w:t xml:space="preserve">                                              </w:t>
      </w:r>
      <w:r w:rsidR="005655FB" w:rsidRPr="00446F8D">
        <w:rPr>
          <w:rFonts w:eastAsia="華康楷書體W5"/>
          <w:color w:val="000000" w:themeColor="text1"/>
        </w:rPr>
        <w:t xml:space="preserve">           </w:t>
      </w:r>
      <w:r w:rsidR="009B488D" w:rsidRPr="00446F8D">
        <w:rPr>
          <w:rFonts w:eastAsia="華康楷書體W5"/>
          <w:color w:val="000000" w:themeColor="text1"/>
        </w:rPr>
        <w:t xml:space="preserve">  </w:t>
      </w:r>
      <w:r w:rsidRPr="00446F8D">
        <w:rPr>
          <w:rFonts w:eastAsia="華康楷書體W5"/>
          <w:color w:val="000000" w:themeColor="text1"/>
        </w:rPr>
        <w:t>(</w:t>
      </w:r>
      <w:r w:rsidR="00D14593" w:rsidRPr="00446F8D">
        <w:rPr>
          <w:rFonts w:eastAsia="華康楷書體W5"/>
          <w:color w:val="000000" w:themeColor="text1"/>
        </w:rPr>
        <w:t>4</w:t>
      </w:r>
      <w:r w:rsidRPr="00446F8D">
        <w:rPr>
          <w:rFonts w:eastAsia="華康楷書體W5"/>
          <w:color w:val="000000" w:themeColor="text1"/>
        </w:rPr>
        <w:t>)</w:t>
      </w:r>
    </w:p>
    <w:p w14:paraId="7EC96085" w14:textId="77777777" w:rsidR="00015616" w:rsidRPr="00446F8D" w:rsidRDefault="00015616" w:rsidP="005655FB">
      <w:pPr>
        <w:tabs>
          <w:tab w:val="num" w:pos="0"/>
          <w:tab w:val="num" w:pos="120"/>
          <w:tab w:val="num" w:pos="720"/>
          <w:tab w:val="left" w:pos="7200"/>
          <w:tab w:val="left" w:pos="7380"/>
          <w:tab w:val="left" w:pos="7560"/>
        </w:tabs>
        <w:ind w:rightChars="-64" w:right="-154" w:firstLineChars="200" w:firstLine="480"/>
        <w:jc w:val="both"/>
        <w:rPr>
          <w:rFonts w:eastAsia="華康楷書體W5"/>
          <w:color w:val="000000" w:themeColor="text1"/>
        </w:rPr>
      </w:pPr>
      <w:r w:rsidRPr="00446F8D">
        <w:rPr>
          <w:rFonts w:eastAsia="華康楷書體W5"/>
          <w:color w:val="000000" w:themeColor="text1"/>
        </w:rPr>
        <w:t>Assume that the expected value of the residual follows a gamma distribution, with a mean of 1.0 and a variation of δ</w:t>
      </w:r>
      <w:r w:rsidR="003E7643" w:rsidRPr="00446F8D">
        <w:rPr>
          <w:rFonts w:eastAsia="華康楷書體W5"/>
          <w:color w:val="000000" w:themeColor="text1"/>
          <w:vertAlign w:val="superscript"/>
        </w:rPr>
        <w:t>2</w:t>
      </w:r>
      <w:r w:rsidRPr="00446F8D">
        <w:rPr>
          <w:rFonts w:eastAsia="華康楷書體W5"/>
          <w:color w:val="000000" w:themeColor="text1"/>
        </w:rPr>
        <w:t xml:space="preserve">. </w:t>
      </w:r>
      <w:r w:rsidR="003E7643" w:rsidRPr="00446F8D">
        <w:rPr>
          <w:rFonts w:eastAsia="華康楷書體W5"/>
          <w:color w:val="000000" w:themeColor="text1"/>
        </w:rPr>
        <w:t>Then, s</w:t>
      </w:r>
      <w:r w:rsidRPr="00446F8D">
        <w:rPr>
          <w:rFonts w:eastAsia="華康楷書體W5"/>
          <w:color w:val="000000" w:themeColor="text1"/>
        </w:rPr>
        <w:t>ubstitut</w:t>
      </w:r>
      <w:r w:rsidR="003E7643" w:rsidRPr="00446F8D">
        <w:rPr>
          <w:rFonts w:eastAsia="華康楷書體W5"/>
          <w:color w:val="000000" w:themeColor="text1"/>
        </w:rPr>
        <w:t>ing</w:t>
      </w:r>
      <w:r w:rsidRPr="00446F8D">
        <w:rPr>
          <w:rFonts w:eastAsia="華康楷書體W5"/>
          <w:color w:val="000000" w:themeColor="text1"/>
        </w:rPr>
        <w:t xml:space="preserve"> the adjusted conditional expression (2) into the probability mode</w:t>
      </w:r>
      <w:r w:rsidR="003E7643" w:rsidRPr="00446F8D">
        <w:rPr>
          <w:rFonts w:eastAsia="華康楷書體W5"/>
          <w:color w:val="000000" w:themeColor="text1"/>
        </w:rPr>
        <w:t>l can be expressed as</w:t>
      </w:r>
      <w:r w:rsidRPr="00446F8D">
        <w:rPr>
          <w:rFonts w:eastAsia="華康楷書體W5"/>
          <w:color w:val="000000" w:themeColor="text1"/>
        </w:rPr>
        <w:t>:</w:t>
      </w:r>
    </w:p>
    <w:p w14:paraId="0E88DC75" w14:textId="41AC70AC" w:rsidR="00053B12" w:rsidRPr="00446F8D" w:rsidRDefault="00A56D0D" w:rsidP="005655FB">
      <w:pPr>
        <w:tabs>
          <w:tab w:val="num" w:pos="0"/>
          <w:tab w:val="num" w:pos="120"/>
          <w:tab w:val="num" w:pos="720"/>
          <w:tab w:val="left" w:pos="6480"/>
          <w:tab w:val="left" w:pos="6660"/>
          <w:tab w:val="left" w:pos="7380"/>
        </w:tabs>
        <w:ind w:rightChars="-64" w:right="-154"/>
        <w:rPr>
          <w:rFonts w:eastAsia="華康楷書體W5"/>
          <w:color w:val="000000" w:themeColor="text1"/>
        </w:rPr>
      </w:pPr>
      <w:r w:rsidRPr="00446F8D">
        <w:rPr>
          <w:rFonts w:eastAsia="華康楷書體W5"/>
          <w:color w:val="000000" w:themeColor="text1"/>
          <w:position w:val="-30"/>
        </w:rPr>
        <w:object w:dxaOrig="3260" w:dyaOrig="720" w14:anchorId="264C43DE">
          <v:shape id="_x0000_i1035" type="#_x0000_t75" style="width:187pt;height:36.95pt" o:ole="" fillcolor="window">
            <v:imagedata r:id="rId28" o:title=""/>
          </v:shape>
          <o:OLEObject Type="Embed" ProgID="Equation.3" ShapeID="_x0000_i1035" DrawAspect="Content" ObjectID="_1706643862" r:id="rId29"/>
        </w:object>
      </w:r>
      <w:r w:rsidR="000F289E">
        <w:rPr>
          <w:rFonts w:eastAsia="華康楷書體W5" w:hint="eastAsia"/>
          <w:color w:val="000000" w:themeColor="text1"/>
        </w:rPr>
        <w:t>,</w:t>
      </w:r>
      <w:r w:rsidR="009B488D" w:rsidRPr="00446F8D">
        <w:rPr>
          <w:rFonts w:eastAsia="華康楷書體W5"/>
          <w:color w:val="000000" w:themeColor="text1"/>
        </w:rPr>
        <w:t xml:space="preserve"> </w:t>
      </w:r>
      <w:r w:rsidR="00053B12" w:rsidRPr="00446F8D">
        <w:rPr>
          <w:rFonts w:eastAsia="華康楷書體W5"/>
          <w:color w:val="000000" w:themeColor="text1"/>
        </w:rPr>
        <w:t xml:space="preserve">  </w:t>
      </w:r>
      <w:r w:rsidR="009B488D" w:rsidRPr="00446F8D">
        <w:rPr>
          <w:rFonts w:eastAsia="華康楷書體W5"/>
          <w:color w:val="000000" w:themeColor="text1"/>
        </w:rPr>
        <w:t xml:space="preserve">                             </w:t>
      </w:r>
      <w:r w:rsidRPr="00446F8D">
        <w:rPr>
          <w:rFonts w:eastAsia="華康楷書體W5"/>
          <w:color w:val="000000" w:themeColor="text1"/>
        </w:rPr>
        <w:t xml:space="preserve">          </w:t>
      </w:r>
      <w:r w:rsidR="000F289E">
        <w:rPr>
          <w:rFonts w:eastAsia="華康楷書體W5"/>
          <w:color w:val="000000" w:themeColor="text1"/>
        </w:rPr>
        <w:t xml:space="preserve">  </w:t>
      </w:r>
      <w:r w:rsidRPr="00446F8D">
        <w:rPr>
          <w:rFonts w:eastAsia="華康楷書體W5"/>
          <w:color w:val="000000" w:themeColor="text1"/>
        </w:rPr>
        <w:t xml:space="preserve"> </w:t>
      </w:r>
      <w:r w:rsidR="009B488D" w:rsidRPr="00446F8D">
        <w:rPr>
          <w:rFonts w:eastAsia="華康楷書體W5"/>
          <w:color w:val="000000" w:themeColor="text1"/>
        </w:rPr>
        <w:t xml:space="preserve"> </w:t>
      </w:r>
      <w:r w:rsidR="00053B12" w:rsidRPr="00446F8D">
        <w:rPr>
          <w:rFonts w:eastAsia="華康楷書體W5"/>
          <w:color w:val="000000" w:themeColor="text1"/>
        </w:rPr>
        <w:t>(</w:t>
      </w:r>
      <w:r w:rsidR="00D14593" w:rsidRPr="00446F8D">
        <w:rPr>
          <w:rFonts w:eastAsia="華康楷書體W5"/>
          <w:color w:val="000000" w:themeColor="text1"/>
        </w:rPr>
        <w:t>5</w:t>
      </w:r>
      <w:r w:rsidR="00053B12" w:rsidRPr="00446F8D">
        <w:rPr>
          <w:rFonts w:eastAsia="華康楷書體W5"/>
          <w:color w:val="000000" w:themeColor="text1"/>
        </w:rPr>
        <w:t>)</w:t>
      </w:r>
    </w:p>
    <w:p w14:paraId="337E3E02" w14:textId="77777777" w:rsidR="00053B12" w:rsidRPr="00446F8D" w:rsidRDefault="00053B12" w:rsidP="005655FB">
      <w:pPr>
        <w:tabs>
          <w:tab w:val="num" w:pos="0"/>
          <w:tab w:val="num" w:pos="120"/>
          <w:tab w:val="num" w:pos="720"/>
        </w:tabs>
        <w:ind w:right="-34"/>
        <w:jc w:val="both"/>
        <w:rPr>
          <w:rFonts w:eastAsia="標楷體"/>
          <w:color w:val="000000" w:themeColor="text1"/>
        </w:rPr>
      </w:pPr>
      <w:r w:rsidRPr="00446F8D">
        <w:rPr>
          <w:rFonts w:eastAsia="標楷體"/>
          <w:color w:val="000000" w:themeColor="text1"/>
        </w:rPr>
        <w:t>y</w:t>
      </w:r>
      <w:r w:rsidRPr="00446F8D">
        <w:rPr>
          <w:rFonts w:eastAsia="標楷體"/>
          <w:color w:val="000000" w:themeColor="text1"/>
          <w:vertAlign w:val="subscript"/>
        </w:rPr>
        <w:t xml:space="preserve">i </w:t>
      </w:r>
      <w:r w:rsidRPr="00446F8D">
        <w:rPr>
          <w:rFonts w:eastAsia="標楷體"/>
          <w:color w:val="000000" w:themeColor="text1"/>
        </w:rPr>
        <w:t>= 0,1,2,3,…..</w:t>
      </w:r>
      <w:r w:rsidRPr="00446F8D">
        <w:rPr>
          <w:rFonts w:eastAsia="標楷體"/>
          <w:color w:val="000000" w:themeColor="text1"/>
        </w:rPr>
        <w:t>，</w:t>
      </w:r>
    </w:p>
    <w:p w14:paraId="0D1DB3D6" w14:textId="77777777" w:rsidR="003E7643" w:rsidRPr="00446F8D" w:rsidRDefault="003E7643" w:rsidP="005655FB">
      <w:pPr>
        <w:tabs>
          <w:tab w:val="num" w:pos="0"/>
          <w:tab w:val="num" w:pos="120"/>
          <w:tab w:val="num" w:pos="720"/>
        </w:tabs>
        <w:ind w:right="-34"/>
        <w:jc w:val="both"/>
        <w:rPr>
          <w:rFonts w:eastAsia="標楷體"/>
          <w:color w:val="000000" w:themeColor="text1"/>
        </w:rPr>
      </w:pPr>
      <w:r w:rsidRPr="00446F8D">
        <w:rPr>
          <w:rFonts w:eastAsia="標楷體"/>
          <w:color w:val="000000" w:themeColor="text1"/>
        </w:rPr>
        <w:t>The distribution formula under unrestricted conditions is:</w:t>
      </w:r>
    </w:p>
    <w:p w14:paraId="4788DBCE" w14:textId="7882E884" w:rsidR="00053B12" w:rsidRPr="00446F8D" w:rsidRDefault="00A56D0D" w:rsidP="005655FB">
      <w:pPr>
        <w:tabs>
          <w:tab w:val="num" w:pos="0"/>
          <w:tab w:val="num" w:pos="120"/>
          <w:tab w:val="num" w:pos="720"/>
          <w:tab w:val="left" w:pos="7380"/>
        </w:tabs>
        <w:ind w:right="-1"/>
        <w:rPr>
          <w:rFonts w:eastAsia="華康楷書體W5"/>
          <w:color w:val="000000" w:themeColor="text1"/>
        </w:rPr>
      </w:pPr>
      <w:r w:rsidRPr="00446F8D">
        <w:rPr>
          <w:rFonts w:eastAsia="華康楷書體W5"/>
          <w:color w:val="000000" w:themeColor="text1"/>
          <w:position w:val="-30"/>
        </w:rPr>
        <w:object w:dxaOrig="3760" w:dyaOrig="680" w14:anchorId="56D46D05">
          <v:shape id="_x0000_i1036" type="#_x0000_t75" style="width:223.95pt;height:36.95pt" o:ole="" fillcolor="window">
            <v:imagedata r:id="rId30" o:title=""/>
          </v:shape>
          <o:OLEObject Type="Embed" ProgID="Equation.3" ShapeID="_x0000_i1036" DrawAspect="Content" ObjectID="_1706643863" r:id="rId31"/>
        </w:object>
      </w:r>
      <w:r w:rsidR="000F289E">
        <w:rPr>
          <w:rFonts w:eastAsia="華康楷書體W5" w:hint="eastAsia"/>
          <w:color w:val="000000" w:themeColor="text1"/>
        </w:rPr>
        <w:t>,</w:t>
      </w:r>
      <w:r w:rsidR="00053B12" w:rsidRPr="00446F8D">
        <w:rPr>
          <w:rFonts w:eastAsia="華康楷書體W5"/>
          <w:color w:val="000000" w:themeColor="text1"/>
        </w:rPr>
        <w:t xml:space="preserve"> </w:t>
      </w:r>
      <w:r w:rsidR="009B488D" w:rsidRPr="00446F8D">
        <w:rPr>
          <w:rFonts w:eastAsia="華康楷書體W5"/>
          <w:color w:val="000000" w:themeColor="text1"/>
        </w:rPr>
        <w:t xml:space="preserve">                 </w:t>
      </w:r>
      <w:r w:rsidR="005655FB" w:rsidRPr="00446F8D">
        <w:rPr>
          <w:rFonts w:eastAsia="華康楷書體W5"/>
          <w:color w:val="000000" w:themeColor="text1"/>
        </w:rPr>
        <w:t xml:space="preserve">          </w:t>
      </w:r>
      <w:r w:rsidR="009B488D" w:rsidRPr="00446F8D">
        <w:rPr>
          <w:rFonts w:eastAsia="華康楷書體W5"/>
          <w:color w:val="000000" w:themeColor="text1"/>
        </w:rPr>
        <w:t xml:space="preserve">       </w:t>
      </w:r>
      <w:r w:rsidR="00053B12" w:rsidRPr="00446F8D">
        <w:rPr>
          <w:rFonts w:eastAsia="華康楷書體W5"/>
          <w:color w:val="000000" w:themeColor="text1"/>
        </w:rPr>
        <w:t xml:space="preserve"> </w:t>
      </w:r>
      <w:r w:rsidR="000F289E">
        <w:rPr>
          <w:rFonts w:eastAsia="華康楷書體W5"/>
          <w:color w:val="000000" w:themeColor="text1"/>
        </w:rPr>
        <w:t xml:space="preserve">   </w:t>
      </w:r>
      <w:r w:rsidR="009B488D" w:rsidRPr="00446F8D">
        <w:rPr>
          <w:rFonts w:eastAsia="華康楷書體W5"/>
          <w:color w:val="000000" w:themeColor="text1"/>
        </w:rPr>
        <w:t xml:space="preserve"> </w:t>
      </w:r>
      <w:r w:rsidR="00053B12" w:rsidRPr="00446F8D">
        <w:rPr>
          <w:rFonts w:eastAsia="華康楷書體W5"/>
          <w:color w:val="000000" w:themeColor="text1"/>
        </w:rPr>
        <w:t>(</w:t>
      </w:r>
      <w:r w:rsidR="00D14593" w:rsidRPr="00446F8D">
        <w:rPr>
          <w:rFonts w:eastAsia="華康楷書體W5"/>
          <w:color w:val="000000" w:themeColor="text1"/>
        </w:rPr>
        <w:t>6</w:t>
      </w:r>
      <w:r w:rsidR="00053B12" w:rsidRPr="00446F8D">
        <w:rPr>
          <w:rFonts w:eastAsia="華康楷書體W5"/>
          <w:color w:val="000000" w:themeColor="text1"/>
        </w:rPr>
        <w:t>)</w:t>
      </w:r>
    </w:p>
    <w:p w14:paraId="6865371D" w14:textId="7600C197" w:rsidR="00E331CF" w:rsidRPr="00446F8D" w:rsidRDefault="003E7643" w:rsidP="005655FB">
      <w:pPr>
        <w:tabs>
          <w:tab w:val="num" w:pos="0"/>
          <w:tab w:val="num" w:pos="120"/>
          <w:tab w:val="num" w:pos="720"/>
        </w:tabs>
        <w:ind w:right="-34"/>
        <w:jc w:val="both"/>
        <w:rPr>
          <w:rFonts w:eastAsia="華康楷書體W5"/>
          <w:color w:val="000000" w:themeColor="text1"/>
        </w:rPr>
      </w:pPr>
      <w:r w:rsidRPr="00446F8D">
        <w:rPr>
          <w:rFonts w:eastAsia="標楷體"/>
          <w:color w:val="000000" w:themeColor="text1"/>
        </w:rPr>
        <w:t>where</w:t>
      </w:r>
      <w:r w:rsidR="00A56D0D" w:rsidRPr="00446F8D">
        <w:rPr>
          <w:rFonts w:eastAsia="標楷體"/>
          <w:color w:val="000000" w:themeColor="text1"/>
          <w:position w:val="-12"/>
        </w:rPr>
        <w:object w:dxaOrig="1500" w:dyaOrig="360" w14:anchorId="2E673CB2">
          <v:shape id="_x0000_i1037" type="#_x0000_t75" style="width:86.95pt;height:18.25pt" o:ole="" fillcolor="window">
            <v:imagedata r:id="rId32" o:title=""/>
          </v:shape>
          <o:OLEObject Type="Embed" ProgID="Equation.3" ShapeID="_x0000_i1037" DrawAspect="Content" ObjectID="_1706643864" r:id="rId33"/>
        </w:object>
      </w:r>
      <w:r w:rsidRPr="00446F8D">
        <w:rPr>
          <w:rFonts w:eastAsia="標楷體"/>
          <w:color w:val="000000" w:themeColor="text1"/>
        </w:rPr>
        <w:t xml:space="preserve"> and </w:t>
      </w:r>
      <w:r w:rsidR="00A56D0D" w:rsidRPr="00446F8D">
        <w:rPr>
          <w:rFonts w:eastAsia="標楷體"/>
          <w:color w:val="000000" w:themeColor="text1"/>
          <w:position w:val="-10"/>
        </w:rPr>
        <w:object w:dxaOrig="780" w:dyaOrig="340" w14:anchorId="49905760">
          <v:shape id="_x0000_i1038" type="#_x0000_t75" style="width:43pt;height:18.25pt" o:ole="" o:bullet="t" fillcolor="window">
            <v:imagedata r:id="rId34" o:title=""/>
          </v:shape>
          <o:OLEObject Type="Embed" ProgID="Equation.3" ShapeID="_x0000_i1038" DrawAspect="Content" ObjectID="_1706643865" r:id="rId35"/>
        </w:object>
      </w:r>
      <w:r w:rsidRPr="00446F8D">
        <w:rPr>
          <w:color w:val="000000" w:themeColor="text1"/>
        </w:rPr>
        <w:t xml:space="preserve">. The </w:t>
      </w:r>
      <w:r w:rsidR="00877FD5" w:rsidRPr="00446F8D">
        <w:rPr>
          <w:color w:val="000000" w:themeColor="text1"/>
        </w:rPr>
        <w:t>variance</w:t>
      </w:r>
      <w:r w:rsidRPr="00446F8D">
        <w:rPr>
          <w:color w:val="000000" w:themeColor="text1"/>
        </w:rPr>
        <w:t xml:space="preserve"> is:</w:t>
      </w:r>
      <w:r w:rsidR="00E331CF" w:rsidRPr="00446F8D">
        <w:rPr>
          <w:rFonts w:eastAsia="華康楷書體W5"/>
          <w:color w:val="000000" w:themeColor="text1"/>
        </w:rPr>
        <w:t xml:space="preserve"> </w:t>
      </w:r>
    </w:p>
    <w:p w14:paraId="0E00461B" w14:textId="4140A897" w:rsidR="00053B12" w:rsidRPr="00446F8D" w:rsidRDefault="00A56D0D" w:rsidP="005655FB">
      <w:pPr>
        <w:tabs>
          <w:tab w:val="num" w:pos="0"/>
          <w:tab w:val="num" w:pos="120"/>
          <w:tab w:val="num" w:pos="720"/>
          <w:tab w:val="left" w:pos="6480"/>
          <w:tab w:val="left" w:pos="6660"/>
          <w:tab w:val="left" w:pos="7380"/>
        </w:tabs>
        <w:ind w:right="-1"/>
        <w:rPr>
          <w:rFonts w:eastAsia="華康楷書體W5"/>
          <w:color w:val="000000" w:themeColor="text1"/>
        </w:rPr>
      </w:pPr>
      <w:r w:rsidRPr="00446F8D">
        <w:rPr>
          <w:rFonts w:eastAsia="華康楷書體W5"/>
          <w:color w:val="000000" w:themeColor="text1"/>
          <w:position w:val="-12"/>
        </w:rPr>
        <w:object w:dxaOrig="2740" w:dyaOrig="360" w14:anchorId="4174C821">
          <v:shape id="_x0000_i1039" type="#_x0000_t75" style="width:173pt;height:20.55pt" o:ole="" fillcolor="window">
            <v:imagedata r:id="rId36" o:title=""/>
          </v:shape>
          <o:OLEObject Type="Embed" ProgID="Equation.3" ShapeID="_x0000_i1039" DrawAspect="Content" ObjectID="_1706643866" r:id="rId37"/>
        </w:object>
      </w:r>
      <w:r w:rsidR="00053B12" w:rsidRPr="00446F8D">
        <w:rPr>
          <w:rFonts w:eastAsia="華康楷書體W5"/>
          <w:color w:val="000000" w:themeColor="text1"/>
        </w:rPr>
        <w:t>，</w:t>
      </w:r>
      <w:r w:rsidR="00053B12" w:rsidRPr="00446F8D">
        <w:rPr>
          <w:rFonts w:eastAsia="華康楷書體W5"/>
          <w:color w:val="000000" w:themeColor="text1"/>
        </w:rPr>
        <w:t xml:space="preserve">  </w:t>
      </w:r>
      <w:r w:rsidR="009B488D" w:rsidRPr="00446F8D">
        <w:rPr>
          <w:rFonts w:eastAsia="華康楷書體W5"/>
          <w:color w:val="000000" w:themeColor="text1"/>
        </w:rPr>
        <w:t xml:space="preserve">                </w:t>
      </w:r>
      <w:r w:rsidR="00511019" w:rsidRPr="00446F8D">
        <w:rPr>
          <w:rFonts w:eastAsia="華康楷書體W5"/>
          <w:color w:val="000000" w:themeColor="text1"/>
        </w:rPr>
        <w:t xml:space="preserve"> </w:t>
      </w:r>
      <w:r w:rsidR="009B488D" w:rsidRPr="00446F8D">
        <w:rPr>
          <w:rFonts w:eastAsia="華康楷書體W5"/>
          <w:color w:val="000000" w:themeColor="text1"/>
        </w:rPr>
        <w:t xml:space="preserve">              </w:t>
      </w:r>
      <w:r w:rsidR="00511019" w:rsidRPr="00446F8D">
        <w:rPr>
          <w:rFonts w:eastAsia="華康楷書體W5"/>
          <w:color w:val="000000" w:themeColor="text1"/>
        </w:rPr>
        <w:t xml:space="preserve">  </w:t>
      </w:r>
      <w:r w:rsidR="005655FB" w:rsidRPr="00446F8D">
        <w:rPr>
          <w:rFonts w:eastAsia="華康楷書體W5"/>
          <w:color w:val="000000" w:themeColor="text1"/>
        </w:rPr>
        <w:t xml:space="preserve">        </w:t>
      </w:r>
      <w:r w:rsidR="000F289E">
        <w:rPr>
          <w:rFonts w:eastAsia="華康楷書體W5"/>
          <w:color w:val="000000" w:themeColor="text1"/>
        </w:rPr>
        <w:t xml:space="preserve"> </w:t>
      </w:r>
      <w:r w:rsidR="005655FB" w:rsidRPr="00446F8D">
        <w:rPr>
          <w:rFonts w:eastAsia="華康楷書體W5"/>
          <w:color w:val="000000" w:themeColor="text1"/>
        </w:rPr>
        <w:t xml:space="preserve">  </w:t>
      </w:r>
      <w:r w:rsidR="009B488D" w:rsidRPr="00446F8D">
        <w:rPr>
          <w:rFonts w:eastAsia="華康楷書體W5"/>
          <w:color w:val="000000" w:themeColor="text1"/>
        </w:rPr>
        <w:t xml:space="preserve"> </w:t>
      </w:r>
      <w:r w:rsidR="00053B12" w:rsidRPr="00446F8D">
        <w:rPr>
          <w:rFonts w:eastAsia="華康楷書體W5"/>
          <w:color w:val="000000" w:themeColor="text1"/>
        </w:rPr>
        <w:t>(</w:t>
      </w:r>
      <w:r w:rsidR="00D14593" w:rsidRPr="00446F8D">
        <w:rPr>
          <w:rFonts w:eastAsia="華康楷書體W5"/>
          <w:color w:val="000000" w:themeColor="text1"/>
        </w:rPr>
        <w:t>7</w:t>
      </w:r>
      <w:r w:rsidR="00053B12" w:rsidRPr="00446F8D">
        <w:rPr>
          <w:rFonts w:eastAsia="華康楷書體W5"/>
          <w:color w:val="000000" w:themeColor="text1"/>
        </w:rPr>
        <w:t xml:space="preserve">) </w:t>
      </w:r>
    </w:p>
    <w:p w14:paraId="3B8E22DF" w14:textId="77777777" w:rsidR="00053B12" w:rsidRPr="00446F8D" w:rsidRDefault="003E7643" w:rsidP="005655FB">
      <w:pPr>
        <w:tabs>
          <w:tab w:val="num" w:pos="0"/>
          <w:tab w:val="num" w:pos="120"/>
          <w:tab w:val="num" w:pos="720"/>
        </w:tabs>
        <w:ind w:right="-34"/>
        <w:jc w:val="both"/>
        <w:rPr>
          <w:rFonts w:eastAsia="標楷體"/>
          <w:color w:val="000000" w:themeColor="text1"/>
        </w:rPr>
      </w:pPr>
      <w:r w:rsidRPr="00446F8D">
        <w:rPr>
          <w:rFonts w:eastAsia="標楷體"/>
          <w:color w:val="000000" w:themeColor="text1"/>
        </w:rPr>
        <w:t>The model dispersion is:</w:t>
      </w:r>
    </w:p>
    <w:p w14:paraId="56DC8D2B" w14:textId="4BCD7E87" w:rsidR="00053B12" w:rsidRPr="00446F8D" w:rsidRDefault="00A56D0D" w:rsidP="005655FB">
      <w:pPr>
        <w:tabs>
          <w:tab w:val="num" w:pos="0"/>
          <w:tab w:val="num" w:pos="120"/>
          <w:tab w:val="num" w:pos="720"/>
          <w:tab w:val="left" w:pos="7380"/>
          <w:tab w:val="left" w:pos="7560"/>
        </w:tabs>
        <w:ind w:right="-1"/>
        <w:rPr>
          <w:rFonts w:eastAsia="華康楷書體W5"/>
          <w:color w:val="000000" w:themeColor="text1"/>
        </w:rPr>
      </w:pPr>
      <w:r w:rsidRPr="00446F8D">
        <w:rPr>
          <w:rFonts w:eastAsia="華康楷書體W5"/>
          <w:color w:val="000000" w:themeColor="text1"/>
          <w:position w:val="-30"/>
        </w:rPr>
        <w:object w:dxaOrig="2040" w:dyaOrig="700" w14:anchorId="382E740E">
          <v:shape id="_x0000_i1040" type="#_x0000_t75" style="width:153.8pt;height:36.95pt" o:ole="">
            <v:imagedata r:id="rId38" o:title=""/>
          </v:shape>
          <o:OLEObject Type="Embed" ProgID="Equation.3" ShapeID="_x0000_i1040" DrawAspect="Content" ObjectID="_1706643867" r:id="rId39"/>
        </w:object>
      </w:r>
      <w:r w:rsidR="00053B12" w:rsidRPr="00446F8D">
        <w:rPr>
          <w:rFonts w:eastAsia="華康楷書體W5"/>
          <w:color w:val="000000" w:themeColor="text1"/>
        </w:rPr>
        <w:t>，</w:t>
      </w:r>
      <w:r w:rsidR="00860BB6">
        <w:rPr>
          <w:rFonts w:eastAsia="華康楷書體W5" w:hint="eastAsia"/>
          <w:color w:val="000000" w:themeColor="text1"/>
        </w:rPr>
        <w:t xml:space="preserve"> </w:t>
      </w:r>
      <w:r w:rsidR="00053B12" w:rsidRPr="00446F8D">
        <w:rPr>
          <w:rFonts w:eastAsia="華康楷書體W5"/>
          <w:color w:val="000000" w:themeColor="text1"/>
        </w:rPr>
        <w:t xml:space="preserve">    </w:t>
      </w:r>
      <w:r w:rsidR="00F45F36" w:rsidRPr="00446F8D">
        <w:rPr>
          <w:rFonts w:eastAsia="華康楷書體W5"/>
          <w:color w:val="000000" w:themeColor="text1"/>
        </w:rPr>
        <w:t xml:space="preserve">                                       </w:t>
      </w:r>
      <w:r w:rsidR="000F289E">
        <w:rPr>
          <w:rFonts w:eastAsia="華康楷書體W5"/>
          <w:color w:val="000000" w:themeColor="text1"/>
        </w:rPr>
        <w:t xml:space="preserve"> </w:t>
      </w:r>
      <w:r w:rsidRPr="00446F8D">
        <w:rPr>
          <w:rFonts w:eastAsia="華康楷書體W5"/>
          <w:color w:val="000000" w:themeColor="text1"/>
        </w:rPr>
        <w:t xml:space="preserve">     </w:t>
      </w:r>
      <w:r w:rsidR="00053B12" w:rsidRPr="00446F8D">
        <w:rPr>
          <w:rFonts w:eastAsia="華康楷書體W5"/>
          <w:color w:val="000000" w:themeColor="text1"/>
        </w:rPr>
        <w:t>(</w:t>
      </w:r>
      <w:r w:rsidR="00D14593" w:rsidRPr="00446F8D">
        <w:rPr>
          <w:rFonts w:eastAsia="華康楷書體W5"/>
          <w:color w:val="000000" w:themeColor="text1"/>
        </w:rPr>
        <w:t>8</w:t>
      </w:r>
      <w:r w:rsidR="00053B12" w:rsidRPr="00446F8D">
        <w:rPr>
          <w:rFonts w:eastAsia="華康楷書體W5"/>
          <w:color w:val="000000" w:themeColor="text1"/>
        </w:rPr>
        <w:t>)</w:t>
      </w:r>
    </w:p>
    <w:p w14:paraId="607721A8" w14:textId="2C8DD6F5" w:rsidR="00EB1D96" w:rsidRPr="00446F8D" w:rsidRDefault="00F312AE" w:rsidP="005655FB">
      <w:pPr>
        <w:tabs>
          <w:tab w:val="num" w:pos="0"/>
          <w:tab w:val="num" w:pos="120"/>
          <w:tab w:val="num" w:pos="720"/>
        </w:tabs>
        <w:ind w:right="-35"/>
        <w:jc w:val="both"/>
        <w:rPr>
          <w:rFonts w:eastAsia="標楷體"/>
          <w:b/>
          <w:color w:val="000000" w:themeColor="text1"/>
        </w:rPr>
      </w:pPr>
      <w:r w:rsidRPr="00446F8D">
        <w:rPr>
          <w:rFonts w:eastAsia="標楷體"/>
          <w:b/>
          <w:color w:val="000000" w:themeColor="text1"/>
        </w:rPr>
        <w:t>Overdispersion</w:t>
      </w:r>
      <w:r w:rsidR="003E7643" w:rsidRPr="00446F8D">
        <w:rPr>
          <w:rFonts w:eastAsia="標楷體"/>
          <w:b/>
          <w:color w:val="000000" w:themeColor="text1"/>
        </w:rPr>
        <w:t xml:space="preserve"> Examination</w:t>
      </w:r>
      <w:r w:rsidR="0030138E" w:rsidRPr="00446F8D">
        <w:rPr>
          <w:rFonts w:eastAsia="標楷體"/>
          <w:b/>
          <w:color w:val="000000" w:themeColor="text1"/>
        </w:rPr>
        <w:t>：</w:t>
      </w:r>
    </w:p>
    <w:p w14:paraId="7FEAB600" w14:textId="51A14164" w:rsidR="003E7643" w:rsidRPr="0048718A" w:rsidRDefault="003E7643" w:rsidP="005655FB">
      <w:pPr>
        <w:tabs>
          <w:tab w:val="num" w:pos="0"/>
          <w:tab w:val="num" w:pos="120"/>
          <w:tab w:val="num" w:pos="720"/>
        </w:tabs>
        <w:ind w:right="-35"/>
        <w:jc w:val="both"/>
        <w:rPr>
          <w:rFonts w:eastAsia="標楷體"/>
          <w:b/>
          <w:color w:val="000000" w:themeColor="text1"/>
        </w:rPr>
      </w:pPr>
      <w:r w:rsidRPr="00446F8D">
        <w:rPr>
          <w:rFonts w:eastAsia="標楷體"/>
          <w:color w:val="000000" w:themeColor="text1"/>
          <w:lang w:val="en"/>
        </w:rPr>
        <w:tab/>
        <w:t xml:space="preserve">  </w:t>
      </w:r>
      <w:r w:rsidR="00CC78ED" w:rsidRPr="00CC78ED">
        <w:rPr>
          <w:rFonts w:eastAsia="標楷體"/>
          <w:color w:val="000000" w:themeColor="text1"/>
          <w:lang w:val="en"/>
        </w:rPr>
        <w:t>In order to select a suitable model, the sample dispersion test proposed by Cameron and Trivedi (1990) was used. If the sample dispersion is too large and significant, H0 is rejected, and it is not suitable to use the Poisson Regression.</w:t>
      </w:r>
      <w:r w:rsidR="00CC78ED">
        <w:rPr>
          <w:rFonts w:eastAsia="標楷體"/>
          <w:color w:val="000000" w:themeColor="text1"/>
          <w:lang w:val="en"/>
        </w:rPr>
        <w:t xml:space="preserve"> </w:t>
      </w:r>
      <w:r w:rsidRPr="00446F8D">
        <w:rPr>
          <w:rFonts w:eastAsia="標楷體"/>
          <w:color w:val="000000" w:themeColor="text1"/>
          <w:lang w:val="en"/>
        </w:rPr>
        <w:t>A Negative Binomial Regression must be adopted. (Greene, 1997</w:t>
      </w:r>
      <w:r w:rsidR="00F40EA4" w:rsidRPr="00446F8D">
        <w:rPr>
          <w:rFonts w:eastAsia="標楷體"/>
          <w:color w:val="000000" w:themeColor="text1"/>
          <w:lang w:val="en"/>
        </w:rPr>
        <w:t>)</w:t>
      </w:r>
      <w:r w:rsidR="00F40EA4">
        <w:rPr>
          <w:rFonts w:eastAsia="標楷體"/>
          <w:b/>
          <w:color w:val="000000" w:themeColor="text1"/>
        </w:rPr>
        <w:t>.</w:t>
      </w:r>
      <w:r w:rsidR="00F40EA4" w:rsidRPr="00446F8D">
        <w:rPr>
          <w:rFonts w:eastAsia="標楷體"/>
          <w:color w:val="000000" w:themeColor="text1"/>
          <w:lang w:val="en"/>
        </w:rPr>
        <w:t xml:space="preserve"> The</w:t>
      </w:r>
      <w:r w:rsidRPr="00446F8D">
        <w:rPr>
          <w:rFonts w:eastAsia="標楷體"/>
          <w:color w:val="000000" w:themeColor="text1"/>
          <w:lang w:val="en"/>
        </w:rPr>
        <w:t xml:space="preserve"> test assumptions are:</w:t>
      </w:r>
    </w:p>
    <w:p w14:paraId="6A552997" w14:textId="6BCD7037" w:rsidR="0030138E" w:rsidRPr="00446F8D" w:rsidRDefault="0030138E" w:rsidP="005655FB">
      <w:pPr>
        <w:tabs>
          <w:tab w:val="num" w:pos="0"/>
          <w:tab w:val="num" w:pos="120"/>
          <w:tab w:val="num" w:pos="720"/>
        </w:tabs>
        <w:ind w:right="-35"/>
        <w:jc w:val="both"/>
        <w:rPr>
          <w:rFonts w:eastAsia="標楷體"/>
          <w:color w:val="000000" w:themeColor="text1"/>
        </w:rPr>
      </w:pPr>
      <w:r w:rsidRPr="00446F8D">
        <w:rPr>
          <w:rFonts w:eastAsia="標楷體"/>
          <w:color w:val="000000" w:themeColor="text1"/>
        </w:rPr>
        <w:t>H</w:t>
      </w:r>
      <w:r w:rsidR="00700AB3" w:rsidRPr="00446F8D">
        <w:rPr>
          <w:rFonts w:eastAsia="標楷體"/>
          <w:color w:val="000000" w:themeColor="text1"/>
          <w:vertAlign w:val="subscript"/>
        </w:rPr>
        <w:t>0</w:t>
      </w:r>
      <w:r w:rsidRPr="00446F8D">
        <w:rPr>
          <w:rFonts w:eastAsia="標楷體"/>
          <w:color w:val="000000" w:themeColor="text1"/>
        </w:rPr>
        <w:t>：</w:t>
      </w:r>
      <w:r w:rsidR="002536C3" w:rsidRPr="00446F8D">
        <w:rPr>
          <w:rFonts w:eastAsia="標楷體"/>
          <w:color w:val="000000" w:themeColor="text1"/>
        </w:rPr>
        <w:t>Var[y</w:t>
      </w:r>
      <w:r w:rsidR="00700AB3" w:rsidRPr="00446F8D">
        <w:rPr>
          <w:rFonts w:eastAsia="標楷體"/>
          <w:color w:val="000000" w:themeColor="text1"/>
          <w:vertAlign w:val="subscript"/>
        </w:rPr>
        <w:t>i</w:t>
      </w:r>
      <w:r w:rsidR="002536C3" w:rsidRPr="00446F8D">
        <w:rPr>
          <w:rFonts w:eastAsia="標楷體"/>
          <w:color w:val="000000" w:themeColor="text1"/>
        </w:rPr>
        <w:t>] = E[y</w:t>
      </w:r>
      <w:r w:rsidR="00700AB3" w:rsidRPr="00446F8D">
        <w:rPr>
          <w:rFonts w:eastAsia="標楷體"/>
          <w:color w:val="000000" w:themeColor="text1"/>
          <w:vertAlign w:val="subscript"/>
        </w:rPr>
        <w:t>i</w:t>
      </w:r>
      <w:r w:rsidR="002536C3" w:rsidRPr="00446F8D">
        <w:rPr>
          <w:rFonts w:eastAsia="標楷體"/>
          <w:color w:val="000000" w:themeColor="text1"/>
        </w:rPr>
        <w:t>] …………………</w:t>
      </w:r>
      <w:r w:rsidR="0096063C" w:rsidRPr="00446F8D">
        <w:rPr>
          <w:rFonts w:eastAsia="標楷體"/>
          <w:color w:val="000000" w:themeColor="text1"/>
        </w:rPr>
        <w:t>……</w:t>
      </w:r>
      <w:r w:rsidR="003E7643" w:rsidRPr="00446F8D">
        <w:rPr>
          <w:rFonts w:eastAsia="標楷體"/>
          <w:color w:val="000000" w:themeColor="text1"/>
        </w:rPr>
        <w:t xml:space="preserve"> </w:t>
      </w:r>
      <w:r w:rsidR="002536C3" w:rsidRPr="00446F8D">
        <w:rPr>
          <w:color w:val="000000" w:themeColor="text1"/>
        </w:rPr>
        <w:t xml:space="preserve"> (</w:t>
      </w:r>
      <w:r w:rsidR="003E7643" w:rsidRPr="00446F8D">
        <w:rPr>
          <w:rFonts w:eastAsia="標楷體"/>
          <w:color w:val="000000" w:themeColor="text1"/>
          <w:lang w:val="en"/>
        </w:rPr>
        <w:t>Poisson Regression</w:t>
      </w:r>
      <w:r w:rsidR="002536C3" w:rsidRPr="00446F8D">
        <w:rPr>
          <w:rFonts w:eastAsia="標楷體"/>
          <w:color w:val="000000" w:themeColor="text1"/>
        </w:rPr>
        <w:t>)</w:t>
      </w:r>
      <w:r w:rsidR="00700AB3" w:rsidRPr="00446F8D">
        <w:rPr>
          <w:rFonts w:eastAsia="標楷體"/>
          <w:color w:val="000000" w:themeColor="text1"/>
        </w:rPr>
        <w:t>,</w:t>
      </w:r>
    </w:p>
    <w:p w14:paraId="60296EFA" w14:textId="363C282C" w:rsidR="0030138E" w:rsidRPr="00446F8D" w:rsidRDefault="0030138E" w:rsidP="005655FB">
      <w:pPr>
        <w:tabs>
          <w:tab w:val="num" w:pos="0"/>
          <w:tab w:val="num" w:pos="120"/>
          <w:tab w:val="num" w:pos="720"/>
        </w:tabs>
        <w:ind w:right="-35"/>
        <w:jc w:val="both"/>
        <w:rPr>
          <w:rFonts w:eastAsia="標楷體"/>
          <w:color w:val="000000" w:themeColor="text1"/>
        </w:rPr>
      </w:pPr>
      <w:r w:rsidRPr="00446F8D">
        <w:rPr>
          <w:rFonts w:eastAsia="標楷體"/>
          <w:color w:val="000000" w:themeColor="text1"/>
        </w:rPr>
        <w:t>H</w:t>
      </w:r>
      <w:r w:rsidR="00700AB3" w:rsidRPr="00446F8D">
        <w:rPr>
          <w:rFonts w:eastAsia="標楷體"/>
          <w:color w:val="000000" w:themeColor="text1"/>
          <w:vertAlign w:val="subscript"/>
        </w:rPr>
        <w:t>1</w:t>
      </w:r>
      <w:r w:rsidRPr="00446F8D">
        <w:rPr>
          <w:rFonts w:eastAsia="標楷體"/>
          <w:color w:val="000000" w:themeColor="text1"/>
        </w:rPr>
        <w:t>：</w:t>
      </w:r>
      <w:r w:rsidRPr="00446F8D">
        <w:rPr>
          <w:rFonts w:eastAsia="標楷體"/>
          <w:color w:val="000000" w:themeColor="text1"/>
        </w:rPr>
        <w:t>Var[y</w:t>
      </w:r>
      <w:r w:rsidR="00700AB3" w:rsidRPr="00446F8D">
        <w:rPr>
          <w:rFonts w:eastAsia="標楷體"/>
          <w:color w:val="000000" w:themeColor="text1"/>
          <w:vertAlign w:val="subscript"/>
        </w:rPr>
        <w:t>i</w:t>
      </w:r>
      <w:r w:rsidRPr="00446F8D">
        <w:rPr>
          <w:rFonts w:eastAsia="標楷體"/>
          <w:color w:val="000000" w:themeColor="text1"/>
        </w:rPr>
        <w:t>] = E[y</w:t>
      </w:r>
      <w:r w:rsidR="00700AB3" w:rsidRPr="00446F8D">
        <w:rPr>
          <w:rFonts w:eastAsia="標楷體"/>
          <w:color w:val="000000" w:themeColor="text1"/>
          <w:vertAlign w:val="subscript"/>
        </w:rPr>
        <w:t>i</w:t>
      </w:r>
      <w:r w:rsidRPr="00446F8D">
        <w:rPr>
          <w:rFonts w:eastAsia="標楷體"/>
          <w:color w:val="000000" w:themeColor="text1"/>
        </w:rPr>
        <w:t>] + αg(μ</w:t>
      </w:r>
      <w:r w:rsidR="00700AB3" w:rsidRPr="00446F8D">
        <w:rPr>
          <w:rFonts w:eastAsia="標楷體"/>
          <w:color w:val="000000" w:themeColor="text1"/>
          <w:vertAlign w:val="subscript"/>
        </w:rPr>
        <w:t>i</w:t>
      </w:r>
      <w:r w:rsidRPr="00446F8D">
        <w:rPr>
          <w:rFonts w:eastAsia="標楷體"/>
          <w:color w:val="000000" w:themeColor="text1"/>
        </w:rPr>
        <w:t>)</w:t>
      </w:r>
      <w:r w:rsidR="002536C3" w:rsidRPr="00446F8D">
        <w:rPr>
          <w:rFonts w:eastAsia="標楷體"/>
          <w:color w:val="000000" w:themeColor="text1"/>
        </w:rPr>
        <w:t xml:space="preserve"> ……………</w:t>
      </w:r>
      <w:r w:rsidR="0096063C" w:rsidRPr="00446F8D">
        <w:rPr>
          <w:rFonts w:eastAsia="標楷體"/>
          <w:color w:val="000000" w:themeColor="text1"/>
        </w:rPr>
        <w:t>.</w:t>
      </w:r>
      <w:r w:rsidR="002536C3" w:rsidRPr="00446F8D">
        <w:rPr>
          <w:rFonts w:eastAsia="標楷體"/>
          <w:color w:val="000000" w:themeColor="text1"/>
        </w:rPr>
        <w:t xml:space="preserve"> </w:t>
      </w:r>
      <w:r w:rsidR="0096063C" w:rsidRPr="00446F8D">
        <w:rPr>
          <w:rFonts w:eastAsia="標楷體"/>
          <w:color w:val="000000" w:themeColor="text1"/>
        </w:rPr>
        <w:t xml:space="preserve"> </w:t>
      </w:r>
      <w:r w:rsidR="002536C3" w:rsidRPr="00446F8D">
        <w:rPr>
          <w:rFonts w:eastAsia="標楷體"/>
          <w:color w:val="000000" w:themeColor="text1"/>
        </w:rPr>
        <w:t>(</w:t>
      </w:r>
      <w:r w:rsidR="003E7643" w:rsidRPr="00446F8D">
        <w:rPr>
          <w:rFonts w:eastAsia="標楷體"/>
          <w:color w:val="000000" w:themeColor="text1"/>
          <w:lang w:val="en"/>
        </w:rPr>
        <w:t>Negative Binomial Regression</w:t>
      </w:r>
      <w:r w:rsidR="002536C3" w:rsidRPr="00446F8D">
        <w:rPr>
          <w:rFonts w:eastAsia="標楷體"/>
          <w:color w:val="000000" w:themeColor="text1"/>
        </w:rPr>
        <w:t>)</w:t>
      </w:r>
      <w:r w:rsidR="00700AB3" w:rsidRPr="00446F8D">
        <w:rPr>
          <w:rFonts w:eastAsia="標楷體"/>
          <w:color w:val="000000" w:themeColor="text1"/>
        </w:rPr>
        <w:t>,</w:t>
      </w:r>
    </w:p>
    <w:p w14:paraId="40E9B49E" w14:textId="3201B603" w:rsidR="00F3556F" w:rsidRPr="00446F8D" w:rsidRDefault="00700AB3" w:rsidP="009606D0">
      <w:pPr>
        <w:tabs>
          <w:tab w:val="num" w:pos="0"/>
          <w:tab w:val="num" w:pos="120"/>
          <w:tab w:val="num" w:pos="720"/>
        </w:tabs>
        <w:ind w:right="-35"/>
        <w:jc w:val="both"/>
        <w:rPr>
          <w:rFonts w:eastAsia="標楷體"/>
          <w:color w:val="000000" w:themeColor="text1"/>
        </w:rPr>
      </w:pPr>
      <w:r w:rsidRPr="00446F8D">
        <w:rPr>
          <w:rFonts w:eastAsia="標楷體"/>
          <w:color w:val="000000" w:themeColor="text1"/>
        </w:rPr>
        <w:t>w</w:t>
      </w:r>
      <w:r w:rsidR="0096347C" w:rsidRPr="00446F8D">
        <w:rPr>
          <w:rFonts w:eastAsia="標楷體"/>
          <w:color w:val="000000" w:themeColor="text1"/>
        </w:rPr>
        <w:t>here</w:t>
      </w:r>
      <w:r w:rsidR="003E7643" w:rsidRPr="00446F8D">
        <w:rPr>
          <w:rFonts w:eastAsia="標楷體"/>
          <w:color w:val="000000" w:themeColor="text1"/>
        </w:rPr>
        <w:t xml:space="preserve"> </w:t>
      </w:r>
      <w:r w:rsidR="0030138E" w:rsidRPr="00446F8D">
        <w:rPr>
          <w:rFonts w:eastAsia="標楷體"/>
          <w:color w:val="000000" w:themeColor="text1"/>
        </w:rPr>
        <w:t>α</w:t>
      </w:r>
      <w:r w:rsidR="003E7643" w:rsidRPr="00446F8D">
        <w:rPr>
          <w:rFonts w:eastAsia="標楷體"/>
          <w:color w:val="000000" w:themeColor="text1"/>
        </w:rPr>
        <w:t xml:space="preserve"> </w:t>
      </w:r>
      <w:r w:rsidR="008E6424">
        <w:rPr>
          <w:rFonts w:eastAsia="標楷體"/>
          <w:color w:val="000000" w:themeColor="text1"/>
        </w:rPr>
        <w:t>stands for</w:t>
      </w:r>
      <w:r w:rsidR="003E7643" w:rsidRPr="00446F8D">
        <w:rPr>
          <w:rFonts w:eastAsia="標楷體"/>
          <w:color w:val="000000" w:themeColor="text1"/>
        </w:rPr>
        <w:t xml:space="preserve"> </w:t>
      </w:r>
      <w:r w:rsidR="003E7643" w:rsidRPr="00446F8D">
        <w:rPr>
          <w:rFonts w:eastAsia="標楷體"/>
          <w:color w:val="000000" w:themeColor="text1"/>
          <w:lang w:val="en"/>
        </w:rPr>
        <w:t xml:space="preserve">parameter value and </w:t>
      </w:r>
      <w:r w:rsidR="0030138E" w:rsidRPr="00446F8D">
        <w:rPr>
          <w:rFonts w:eastAsia="標楷體"/>
          <w:color w:val="000000" w:themeColor="text1"/>
        </w:rPr>
        <w:t>g(μ</w:t>
      </w:r>
      <w:r w:rsidRPr="00446F8D">
        <w:rPr>
          <w:rFonts w:eastAsia="標楷體"/>
          <w:color w:val="000000" w:themeColor="text1"/>
          <w:vertAlign w:val="subscript"/>
        </w:rPr>
        <w:t>i</w:t>
      </w:r>
      <w:r w:rsidR="0030138E" w:rsidRPr="00446F8D">
        <w:rPr>
          <w:rFonts w:eastAsia="標楷體"/>
          <w:color w:val="000000" w:themeColor="text1"/>
        </w:rPr>
        <w:t>) =μ</w:t>
      </w:r>
      <w:r w:rsidRPr="00446F8D">
        <w:rPr>
          <w:rFonts w:eastAsia="標楷體"/>
          <w:color w:val="000000" w:themeColor="text1"/>
          <w:vertAlign w:val="subscript"/>
        </w:rPr>
        <w:t>i</w:t>
      </w:r>
      <w:r w:rsidR="0030138E" w:rsidRPr="00446F8D">
        <w:rPr>
          <w:rFonts w:eastAsia="標楷體"/>
          <w:color w:val="000000" w:themeColor="text1"/>
        </w:rPr>
        <w:t xml:space="preserve"> </w:t>
      </w:r>
      <w:r w:rsidR="00AD621E">
        <w:rPr>
          <w:rFonts w:eastAsia="標楷體"/>
          <w:color w:val="000000" w:themeColor="text1"/>
        </w:rPr>
        <w:t>are</w:t>
      </w:r>
      <w:r w:rsidR="003E7643" w:rsidRPr="00446F8D">
        <w:rPr>
          <w:rFonts w:eastAsia="標楷體"/>
          <w:color w:val="000000" w:themeColor="text1"/>
        </w:rPr>
        <w:t xml:space="preserve"> the sample mean.</w:t>
      </w:r>
    </w:p>
    <w:p w14:paraId="09B79CE6" w14:textId="1D3F74E8" w:rsidR="009606D0" w:rsidRPr="009831E8" w:rsidRDefault="009606D0" w:rsidP="009606D0">
      <w:pPr>
        <w:tabs>
          <w:tab w:val="num" w:pos="720"/>
        </w:tabs>
        <w:ind w:right="-34"/>
        <w:jc w:val="both"/>
        <w:rPr>
          <w:rFonts w:eastAsia="華康楷書體W5"/>
          <w:b/>
        </w:rPr>
      </w:pPr>
      <w:r w:rsidRPr="009831E8">
        <w:rPr>
          <w:rFonts w:eastAsia="華康楷書體W5"/>
          <w:b/>
        </w:rPr>
        <w:t>Results and Discussions</w:t>
      </w:r>
    </w:p>
    <w:p w14:paraId="640AD65B" w14:textId="3293545A" w:rsidR="009606D0" w:rsidRPr="009831E8" w:rsidRDefault="009606D0" w:rsidP="009606D0">
      <w:pPr>
        <w:tabs>
          <w:tab w:val="num" w:pos="720"/>
        </w:tabs>
        <w:ind w:right="-34"/>
        <w:jc w:val="both"/>
        <w:rPr>
          <w:shd w:val="clear" w:color="auto" w:fill="FFFFFF"/>
        </w:rPr>
      </w:pPr>
      <w:r w:rsidRPr="009831E8">
        <w:rPr>
          <w:rFonts w:eastAsia="華康楷書體W5" w:hint="eastAsia"/>
          <w:bCs/>
        </w:rPr>
        <w:t xml:space="preserve">    </w:t>
      </w:r>
      <w:r w:rsidR="00EE073B" w:rsidRPr="00EE073B">
        <w:rPr>
          <w:rFonts w:eastAsia="華康楷書體W5"/>
          <w:bCs/>
        </w:rPr>
        <w:t xml:space="preserve">The log-likelihood value and the Akaike Information Criterion (AIC) can be used to determine </w:t>
      </w:r>
      <w:r w:rsidR="00EE073B" w:rsidRPr="00EE073B">
        <w:rPr>
          <w:rFonts w:eastAsia="華康楷書體W5"/>
          <w:bCs/>
        </w:rPr>
        <w:lastRenderedPageBreak/>
        <w:t>the best-fitting model (Cleves et al., 2004 and Chen and Chen, 2011). As shown in Table 2, the results of the best fitting model are obtained for two different tests. The Negative Binomial model was chosen based on the highest log-likelihood value and the lowest AIC value.</w:t>
      </w:r>
    </w:p>
    <w:p w14:paraId="5D8BAA44" w14:textId="544383F7" w:rsidR="000A0229" w:rsidRPr="009831E8" w:rsidRDefault="00EE073B" w:rsidP="00C55407">
      <w:pPr>
        <w:widowControl/>
        <w:ind w:firstLine="480"/>
        <w:jc w:val="both"/>
        <w:rPr>
          <w:rFonts w:eastAsia="標楷體"/>
          <w:bCs/>
        </w:rPr>
      </w:pPr>
      <w:r w:rsidRPr="00EE073B">
        <w:rPr>
          <w:rFonts w:eastAsia="華康楷書體W5"/>
        </w:rPr>
        <w:t>The results provide evidence of overdispersion in the Poisson model in all three quantiles. If we look at the coefficients, the t-ratio is 7.423 and 5.979 in Q3 (i.e., g=mui and g=mui2). Both the values are higher than the criteria value 2.32. Furthermore, similar results indicate that both t-ratio are greater than the criteria value on Q1 and Q2. We confirm that results do not support the Poisson model, and we will choose the Negative Binomial model for perceived risk evaluation in our study.</w:t>
      </w:r>
    </w:p>
    <w:p w14:paraId="08D483F6" w14:textId="7C2C7984" w:rsidR="00763363" w:rsidRPr="009831E8" w:rsidRDefault="00763363" w:rsidP="009E4656">
      <w:pPr>
        <w:widowControl/>
        <w:jc w:val="both"/>
        <w:rPr>
          <w:rFonts w:eastAsia="標楷體"/>
          <w:b/>
        </w:rPr>
      </w:pPr>
      <w:r w:rsidRPr="009831E8">
        <w:rPr>
          <w:rFonts w:eastAsia="標楷體"/>
          <w:b/>
        </w:rPr>
        <w:t>Table</w:t>
      </w:r>
      <w:r w:rsidRPr="009831E8">
        <w:rPr>
          <w:rFonts w:eastAsia="標楷體" w:hint="eastAsia"/>
          <w:b/>
        </w:rPr>
        <w:t xml:space="preserve"> </w:t>
      </w:r>
      <w:r w:rsidRPr="009831E8">
        <w:rPr>
          <w:rFonts w:eastAsia="標楷體"/>
          <w:b/>
        </w:rPr>
        <w:t>2: Overdispersion test</w:t>
      </w:r>
    </w:p>
    <w:tbl>
      <w:tblPr>
        <w:tblStyle w:val="af"/>
        <w:tblW w:w="9628" w:type="dxa"/>
        <w:tblLook w:val="04A0" w:firstRow="1" w:lastRow="0" w:firstColumn="1" w:lastColumn="0" w:noHBand="0" w:noVBand="1"/>
      </w:tblPr>
      <w:tblGrid>
        <w:gridCol w:w="2407"/>
        <w:gridCol w:w="2407"/>
        <w:gridCol w:w="2407"/>
        <w:gridCol w:w="2407"/>
      </w:tblGrid>
      <w:tr w:rsidR="009831E8" w:rsidRPr="009831E8" w14:paraId="3455EF38" w14:textId="77777777" w:rsidTr="00994AF9">
        <w:tc>
          <w:tcPr>
            <w:tcW w:w="2407" w:type="dxa"/>
          </w:tcPr>
          <w:p w14:paraId="7C58A3A3" w14:textId="77777777" w:rsidR="00763363" w:rsidRPr="009831E8" w:rsidRDefault="00763363" w:rsidP="00994AF9">
            <w:pPr>
              <w:widowControl/>
              <w:jc w:val="both"/>
              <w:rPr>
                <w:rFonts w:eastAsia="標楷體"/>
                <w:b/>
              </w:rPr>
            </w:pPr>
          </w:p>
        </w:tc>
        <w:tc>
          <w:tcPr>
            <w:tcW w:w="2407" w:type="dxa"/>
          </w:tcPr>
          <w:p w14:paraId="6F8AA098" w14:textId="774A920D" w:rsidR="00763363" w:rsidRPr="009831E8" w:rsidRDefault="00763363" w:rsidP="000F289E">
            <w:pPr>
              <w:widowControl/>
              <w:jc w:val="center"/>
              <w:rPr>
                <w:rFonts w:eastAsia="標楷體"/>
                <w:b/>
              </w:rPr>
            </w:pPr>
            <w:r w:rsidRPr="009831E8">
              <w:rPr>
                <w:rFonts w:eastAsia="標楷體" w:hint="eastAsia"/>
                <w:bCs/>
              </w:rPr>
              <w:t>Q</w:t>
            </w:r>
            <w:r w:rsidRPr="009831E8">
              <w:rPr>
                <w:rFonts w:eastAsia="標楷體"/>
                <w:bCs/>
              </w:rPr>
              <w:t>1</w:t>
            </w:r>
          </w:p>
        </w:tc>
        <w:tc>
          <w:tcPr>
            <w:tcW w:w="2407" w:type="dxa"/>
          </w:tcPr>
          <w:p w14:paraId="343FD524" w14:textId="02D2071F" w:rsidR="00763363" w:rsidRPr="009831E8" w:rsidRDefault="00763363" w:rsidP="000F289E">
            <w:pPr>
              <w:widowControl/>
              <w:jc w:val="center"/>
              <w:rPr>
                <w:rFonts w:eastAsia="標楷體"/>
                <w:b/>
              </w:rPr>
            </w:pPr>
            <w:r w:rsidRPr="009831E8">
              <w:rPr>
                <w:rFonts w:eastAsia="標楷體" w:hint="eastAsia"/>
                <w:bCs/>
              </w:rPr>
              <w:t>Q</w:t>
            </w:r>
            <w:r w:rsidRPr="009831E8">
              <w:rPr>
                <w:rFonts w:eastAsia="標楷體"/>
                <w:bCs/>
              </w:rPr>
              <w:t>2</w:t>
            </w:r>
          </w:p>
        </w:tc>
        <w:tc>
          <w:tcPr>
            <w:tcW w:w="2407" w:type="dxa"/>
          </w:tcPr>
          <w:p w14:paraId="0FE08B8A" w14:textId="4E67D041" w:rsidR="00763363" w:rsidRPr="009831E8" w:rsidRDefault="00763363" w:rsidP="000F289E">
            <w:pPr>
              <w:widowControl/>
              <w:jc w:val="center"/>
              <w:rPr>
                <w:rFonts w:eastAsia="標楷體"/>
                <w:b/>
              </w:rPr>
            </w:pPr>
            <w:r w:rsidRPr="009831E8">
              <w:rPr>
                <w:rFonts w:eastAsia="標楷體" w:hint="eastAsia"/>
                <w:bCs/>
              </w:rPr>
              <w:t>Q</w:t>
            </w:r>
            <w:r w:rsidRPr="009831E8">
              <w:rPr>
                <w:rFonts w:eastAsia="標楷體"/>
                <w:bCs/>
              </w:rPr>
              <w:t>3</w:t>
            </w:r>
          </w:p>
        </w:tc>
      </w:tr>
      <w:tr w:rsidR="009831E8" w:rsidRPr="009831E8" w14:paraId="4DBF4C0D" w14:textId="77777777" w:rsidTr="00994AF9">
        <w:tc>
          <w:tcPr>
            <w:tcW w:w="2407" w:type="dxa"/>
          </w:tcPr>
          <w:p w14:paraId="5FC71920" w14:textId="77777777" w:rsidR="00763363" w:rsidRPr="009831E8" w:rsidRDefault="00763363" w:rsidP="00994AF9">
            <w:pPr>
              <w:widowControl/>
              <w:jc w:val="both"/>
              <w:rPr>
                <w:rFonts w:eastAsia="標楷體"/>
                <w:b/>
              </w:rPr>
            </w:pPr>
            <m:oMath>
              <m:r>
                <m:rPr>
                  <m:sty m:val="p"/>
                </m:rPr>
                <w:rPr>
                  <w:rFonts w:ascii="Cambria Math" w:eastAsia="標楷體" w:hAnsi="Cambria Math"/>
                </w:rPr>
                <m:t>g(</m:t>
              </m:r>
              <m:sSub>
                <m:sSubPr>
                  <m:ctrlPr>
                    <w:rPr>
                      <w:rFonts w:ascii="Cambria Math" w:eastAsia="標楷體" w:hAnsi="Cambria Math"/>
                      <w:bCs/>
                    </w:rPr>
                  </m:ctrlPr>
                </m:sSubPr>
                <m:e>
                  <m:r>
                    <w:rPr>
                      <w:rFonts w:ascii="Cambria Math" w:eastAsia="標楷體" w:hAnsi="Cambria Math"/>
                    </w:rPr>
                    <m:t>u</m:t>
                  </m:r>
                </m:e>
                <m:sub>
                  <m:r>
                    <w:rPr>
                      <w:rFonts w:ascii="Cambria Math" w:eastAsia="標楷體" w:hAnsi="Cambria Math"/>
                    </w:rPr>
                    <m:t>i</m:t>
                  </m:r>
                </m:sub>
              </m:sSub>
              <m:r>
                <m:rPr>
                  <m:sty m:val="p"/>
                </m:rPr>
                <w:rPr>
                  <w:rFonts w:ascii="Cambria Math" w:eastAsia="標楷體" w:hAnsi="Cambria Math"/>
                </w:rPr>
                <m:t>)</m:t>
              </m:r>
            </m:oMath>
            <w:r w:rsidRPr="009831E8">
              <w:rPr>
                <w:rFonts w:eastAsia="標楷體" w:hint="eastAsia"/>
              </w:rPr>
              <w:t xml:space="preserve"> </w:t>
            </w:r>
          </w:p>
        </w:tc>
        <w:tc>
          <w:tcPr>
            <w:tcW w:w="2407" w:type="dxa"/>
          </w:tcPr>
          <w:p w14:paraId="741BBC09" w14:textId="7FAD3CF5" w:rsidR="00763363" w:rsidRPr="009831E8" w:rsidRDefault="00763363" w:rsidP="000F289E">
            <w:pPr>
              <w:widowControl/>
              <w:jc w:val="center"/>
              <w:rPr>
                <w:rFonts w:eastAsia="標楷體"/>
                <w:b/>
              </w:rPr>
            </w:pPr>
            <w:r w:rsidRPr="009831E8">
              <w:rPr>
                <w:rFonts w:eastAsia="標楷體" w:hint="eastAsia"/>
                <w:bCs/>
              </w:rPr>
              <w:t>6</w:t>
            </w:r>
            <w:r w:rsidRPr="009831E8">
              <w:rPr>
                <w:rFonts w:eastAsia="標楷體"/>
                <w:bCs/>
              </w:rPr>
              <w:t>.987***</w:t>
            </w:r>
          </w:p>
        </w:tc>
        <w:tc>
          <w:tcPr>
            <w:tcW w:w="2407" w:type="dxa"/>
          </w:tcPr>
          <w:p w14:paraId="6709962F" w14:textId="340870B3" w:rsidR="00763363" w:rsidRPr="009831E8" w:rsidRDefault="00763363" w:rsidP="000F289E">
            <w:pPr>
              <w:widowControl/>
              <w:jc w:val="center"/>
              <w:rPr>
                <w:rFonts w:eastAsia="標楷體"/>
                <w:b/>
              </w:rPr>
            </w:pPr>
            <w:r w:rsidRPr="009831E8">
              <w:rPr>
                <w:rFonts w:eastAsia="標楷體" w:hint="eastAsia"/>
                <w:bCs/>
              </w:rPr>
              <w:t>9</w:t>
            </w:r>
            <w:r w:rsidRPr="009831E8">
              <w:rPr>
                <w:rFonts w:eastAsia="標楷體"/>
                <w:bCs/>
              </w:rPr>
              <w:t>.494***</w:t>
            </w:r>
          </w:p>
        </w:tc>
        <w:tc>
          <w:tcPr>
            <w:tcW w:w="2407" w:type="dxa"/>
          </w:tcPr>
          <w:p w14:paraId="75D37F15" w14:textId="42D859DF" w:rsidR="00763363" w:rsidRPr="009831E8" w:rsidRDefault="00763363" w:rsidP="000F289E">
            <w:pPr>
              <w:widowControl/>
              <w:jc w:val="center"/>
              <w:rPr>
                <w:rFonts w:eastAsia="標楷體"/>
                <w:b/>
              </w:rPr>
            </w:pPr>
            <w:r w:rsidRPr="009831E8">
              <w:rPr>
                <w:rFonts w:eastAsia="標楷體"/>
                <w:bCs/>
              </w:rPr>
              <w:t>7.423***</w:t>
            </w:r>
          </w:p>
        </w:tc>
      </w:tr>
      <w:tr w:rsidR="009831E8" w:rsidRPr="009831E8" w14:paraId="1D23B9EA" w14:textId="77777777" w:rsidTr="00994AF9">
        <w:tc>
          <w:tcPr>
            <w:tcW w:w="2407" w:type="dxa"/>
          </w:tcPr>
          <w:p w14:paraId="3ED57FA4" w14:textId="77777777" w:rsidR="00763363" w:rsidRPr="009831E8" w:rsidRDefault="00763363" w:rsidP="00994AF9">
            <w:pPr>
              <w:widowControl/>
              <w:jc w:val="both"/>
              <w:rPr>
                <w:rFonts w:eastAsia="標楷體"/>
                <w:b/>
              </w:rPr>
            </w:pPr>
            <m:oMath>
              <m:r>
                <m:rPr>
                  <m:sty m:val="p"/>
                </m:rPr>
                <w:rPr>
                  <w:rFonts w:ascii="Cambria Math" w:eastAsia="標楷體" w:hAnsi="Cambria Math"/>
                </w:rPr>
                <m:t>g(</m:t>
              </m:r>
              <m:sSubSup>
                <m:sSubSupPr>
                  <m:ctrlPr>
                    <w:rPr>
                      <w:rFonts w:ascii="Cambria Math" w:eastAsia="標楷體" w:hAnsi="Cambria Math"/>
                      <w:bCs/>
                    </w:rPr>
                  </m:ctrlPr>
                </m:sSubSupPr>
                <m:e>
                  <m:r>
                    <w:rPr>
                      <w:rFonts w:ascii="Cambria Math" w:eastAsia="標楷體" w:hAnsi="Cambria Math"/>
                    </w:rPr>
                    <m:t>u</m:t>
                  </m:r>
                </m:e>
                <m:sub>
                  <m:r>
                    <w:rPr>
                      <w:rFonts w:ascii="Cambria Math" w:eastAsia="標楷體" w:hAnsi="Cambria Math"/>
                    </w:rPr>
                    <m:t>i</m:t>
                  </m:r>
                </m:sub>
                <m:sup>
                  <m:r>
                    <w:rPr>
                      <w:rFonts w:ascii="Cambria Math" w:eastAsia="標楷體" w:hAnsi="Cambria Math"/>
                    </w:rPr>
                    <m:t>2</m:t>
                  </m:r>
                </m:sup>
              </m:sSubSup>
              <m:r>
                <m:rPr>
                  <m:sty m:val="p"/>
                </m:rPr>
                <w:rPr>
                  <w:rFonts w:ascii="Cambria Math" w:eastAsia="標楷體" w:hAnsi="Cambria Math"/>
                </w:rPr>
                <m:t>)</m:t>
              </m:r>
            </m:oMath>
            <w:r w:rsidRPr="009831E8">
              <w:rPr>
                <w:rFonts w:eastAsia="標楷體" w:hint="eastAsia"/>
              </w:rPr>
              <w:t xml:space="preserve"> </w:t>
            </w:r>
          </w:p>
        </w:tc>
        <w:tc>
          <w:tcPr>
            <w:tcW w:w="2407" w:type="dxa"/>
          </w:tcPr>
          <w:p w14:paraId="1F8E8627" w14:textId="00FC877F" w:rsidR="00763363" w:rsidRPr="009831E8" w:rsidRDefault="00763363" w:rsidP="000F289E">
            <w:pPr>
              <w:widowControl/>
              <w:jc w:val="center"/>
              <w:rPr>
                <w:rFonts w:eastAsia="標楷體"/>
                <w:b/>
              </w:rPr>
            </w:pPr>
            <w:r w:rsidRPr="009831E8">
              <w:rPr>
                <w:rFonts w:eastAsia="標楷體" w:hint="eastAsia"/>
                <w:bCs/>
              </w:rPr>
              <w:t>6</w:t>
            </w:r>
            <w:r w:rsidRPr="009831E8">
              <w:rPr>
                <w:rFonts w:eastAsia="標楷體"/>
                <w:bCs/>
              </w:rPr>
              <w:t>.481***</w:t>
            </w:r>
          </w:p>
        </w:tc>
        <w:tc>
          <w:tcPr>
            <w:tcW w:w="2407" w:type="dxa"/>
          </w:tcPr>
          <w:p w14:paraId="39BD5C43" w14:textId="77777777" w:rsidR="00763363" w:rsidRPr="009831E8" w:rsidRDefault="00763363" w:rsidP="000F289E">
            <w:pPr>
              <w:widowControl/>
              <w:jc w:val="center"/>
              <w:rPr>
                <w:rFonts w:eastAsia="標楷體"/>
                <w:b/>
              </w:rPr>
            </w:pPr>
            <w:r w:rsidRPr="009831E8">
              <w:rPr>
                <w:rFonts w:eastAsia="標楷體" w:hint="eastAsia"/>
                <w:bCs/>
              </w:rPr>
              <w:t>7</w:t>
            </w:r>
            <w:r w:rsidRPr="009831E8">
              <w:rPr>
                <w:rFonts w:eastAsia="標楷體"/>
                <w:bCs/>
              </w:rPr>
              <w:t>.689***</w:t>
            </w:r>
          </w:p>
        </w:tc>
        <w:tc>
          <w:tcPr>
            <w:tcW w:w="2407" w:type="dxa"/>
          </w:tcPr>
          <w:p w14:paraId="308944DE" w14:textId="77777777" w:rsidR="00763363" w:rsidRPr="009831E8" w:rsidRDefault="00763363" w:rsidP="000F289E">
            <w:pPr>
              <w:widowControl/>
              <w:jc w:val="center"/>
              <w:rPr>
                <w:rFonts w:eastAsia="標楷體"/>
                <w:b/>
              </w:rPr>
            </w:pPr>
            <w:r w:rsidRPr="009831E8">
              <w:rPr>
                <w:rFonts w:eastAsia="標楷體"/>
                <w:bCs/>
              </w:rPr>
              <w:t>5.979***</w:t>
            </w:r>
          </w:p>
        </w:tc>
      </w:tr>
      <w:tr w:rsidR="009831E8" w:rsidRPr="009831E8" w14:paraId="1F504F4F" w14:textId="77777777" w:rsidTr="00994AF9">
        <w:tc>
          <w:tcPr>
            <w:tcW w:w="2407" w:type="dxa"/>
          </w:tcPr>
          <w:p w14:paraId="7EA0017F" w14:textId="77777777" w:rsidR="00763363" w:rsidRPr="009831E8" w:rsidRDefault="00763363" w:rsidP="00994AF9">
            <w:pPr>
              <w:widowControl/>
              <w:jc w:val="both"/>
              <w:rPr>
                <w:rFonts w:eastAsia="標楷體"/>
                <w:b/>
              </w:rPr>
            </w:pPr>
            <w:r w:rsidRPr="009831E8">
              <w:t>Log-likelihood</w:t>
            </w:r>
          </w:p>
        </w:tc>
        <w:tc>
          <w:tcPr>
            <w:tcW w:w="2407" w:type="dxa"/>
          </w:tcPr>
          <w:p w14:paraId="5B666DE1" w14:textId="72E6D18D" w:rsidR="00763363" w:rsidRPr="009831E8" w:rsidRDefault="00763363" w:rsidP="000F289E">
            <w:pPr>
              <w:widowControl/>
              <w:jc w:val="center"/>
              <w:rPr>
                <w:rFonts w:eastAsia="標楷體"/>
                <w:b/>
              </w:rPr>
            </w:pPr>
            <w:r w:rsidRPr="009831E8">
              <w:rPr>
                <w:rFonts w:eastAsia="標楷體"/>
                <w:bCs/>
              </w:rPr>
              <w:t>-469.906</w:t>
            </w:r>
          </w:p>
        </w:tc>
        <w:tc>
          <w:tcPr>
            <w:tcW w:w="2407" w:type="dxa"/>
          </w:tcPr>
          <w:p w14:paraId="03923D9D" w14:textId="77777777" w:rsidR="00763363" w:rsidRPr="009831E8" w:rsidRDefault="00763363" w:rsidP="000F289E">
            <w:pPr>
              <w:widowControl/>
              <w:jc w:val="center"/>
              <w:rPr>
                <w:rFonts w:eastAsia="標楷體"/>
                <w:b/>
              </w:rPr>
            </w:pPr>
            <w:r w:rsidRPr="009831E8">
              <w:rPr>
                <w:rFonts w:eastAsia="標楷體"/>
                <w:bCs/>
              </w:rPr>
              <w:t>-555.871</w:t>
            </w:r>
          </w:p>
        </w:tc>
        <w:tc>
          <w:tcPr>
            <w:tcW w:w="2407" w:type="dxa"/>
          </w:tcPr>
          <w:p w14:paraId="1C526097" w14:textId="77777777" w:rsidR="00763363" w:rsidRPr="009831E8" w:rsidRDefault="00763363" w:rsidP="000F289E">
            <w:pPr>
              <w:widowControl/>
              <w:jc w:val="center"/>
              <w:rPr>
                <w:rFonts w:eastAsia="標楷體"/>
                <w:b/>
              </w:rPr>
            </w:pPr>
            <w:r w:rsidRPr="009831E8">
              <w:rPr>
                <w:rFonts w:eastAsia="標楷體"/>
                <w:bCs/>
              </w:rPr>
              <w:t>-659.672</w:t>
            </w:r>
          </w:p>
        </w:tc>
      </w:tr>
      <w:tr w:rsidR="009831E8" w:rsidRPr="009831E8" w14:paraId="379EEA04" w14:textId="77777777" w:rsidTr="00994AF9">
        <w:tc>
          <w:tcPr>
            <w:tcW w:w="2407" w:type="dxa"/>
          </w:tcPr>
          <w:p w14:paraId="66FF43FE" w14:textId="77777777" w:rsidR="00763363" w:rsidRPr="009831E8" w:rsidRDefault="00763363" w:rsidP="00994AF9">
            <w:pPr>
              <w:widowControl/>
              <w:jc w:val="both"/>
              <w:rPr>
                <w:rFonts w:eastAsia="標楷體"/>
                <w:b/>
              </w:rPr>
            </w:pPr>
            <w:r w:rsidRPr="009831E8">
              <w:t>AIC</w:t>
            </w:r>
          </w:p>
        </w:tc>
        <w:tc>
          <w:tcPr>
            <w:tcW w:w="2407" w:type="dxa"/>
          </w:tcPr>
          <w:p w14:paraId="69E04D40" w14:textId="1C01F3D4" w:rsidR="00763363" w:rsidRPr="009831E8" w:rsidRDefault="00763363" w:rsidP="000F289E">
            <w:pPr>
              <w:widowControl/>
              <w:jc w:val="center"/>
              <w:rPr>
                <w:rFonts w:eastAsia="標楷體"/>
                <w:b/>
              </w:rPr>
            </w:pPr>
            <w:r w:rsidRPr="009831E8">
              <w:rPr>
                <w:rFonts w:eastAsia="標楷體"/>
                <w:bCs/>
              </w:rPr>
              <w:t>3.038</w:t>
            </w:r>
          </w:p>
        </w:tc>
        <w:tc>
          <w:tcPr>
            <w:tcW w:w="2407" w:type="dxa"/>
          </w:tcPr>
          <w:p w14:paraId="5D007241" w14:textId="77777777" w:rsidR="00763363" w:rsidRPr="009831E8" w:rsidRDefault="00763363" w:rsidP="000F289E">
            <w:pPr>
              <w:widowControl/>
              <w:jc w:val="center"/>
              <w:rPr>
                <w:rFonts w:eastAsia="標楷體"/>
                <w:b/>
              </w:rPr>
            </w:pPr>
            <w:r w:rsidRPr="009831E8">
              <w:rPr>
                <w:rFonts w:eastAsia="標楷體"/>
                <w:bCs/>
              </w:rPr>
              <w:t>4.123</w:t>
            </w:r>
          </w:p>
        </w:tc>
        <w:tc>
          <w:tcPr>
            <w:tcW w:w="2407" w:type="dxa"/>
          </w:tcPr>
          <w:p w14:paraId="752C17EE" w14:textId="77777777" w:rsidR="00763363" w:rsidRPr="009831E8" w:rsidRDefault="00763363" w:rsidP="000F289E">
            <w:pPr>
              <w:widowControl/>
              <w:jc w:val="center"/>
              <w:rPr>
                <w:rFonts w:eastAsia="標楷體"/>
                <w:b/>
              </w:rPr>
            </w:pPr>
            <w:r w:rsidRPr="009831E8">
              <w:rPr>
                <w:rFonts w:eastAsia="標楷體"/>
                <w:bCs/>
              </w:rPr>
              <w:t>5.421</w:t>
            </w:r>
          </w:p>
        </w:tc>
      </w:tr>
    </w:tbl>
    <w:p w14:paraId="5E1F12A8" w14:textId="78479828" w:rsidR="00763363" w:rsidRPr="009831E8" w:rsidRDefault="00763363" w:rsidP="00763363">
      <w:pPr>
        <w:widowControl/>
        <w:jc w:val="both"/>
        <w:rPr>
          <w:rFonts w:eastAsia="標楷體"/>
          <w:b/>
        </w:rPr>
      </w:pPr>
      <w:r w:rsidRPr="009831E8">
        <w:rPr>
          <w:rFonts w:eastAsia="標楷體"/>
          <w:b/>
        </w:rPr>
        <w:t>Note: *, **, and *** denote 10%, 5% and 1% levels of significant for t ratio</w:t>
      </w:r>
      <w:r w:rsidR="0048718A">
        <w:rPr>
          <w:rFonts w:eastAsia="標楷體"/>
          <w:b/>
        </w:rPr>
        <w:t>.</w:t>
      </w:r>
    </w:p>
    <w:p w14:paraId="3F34EA55" w14:textId="6E44BD4D" w:rsidR="008C79BA" w:rsidRPr="009831E8" w:rsidRDefault="008C79BA" w:rsidP="008C79BA">
      <w:pPr>
        <w:widowControl/>
        <w:jc w:val="both"/>
        <w:rPr>
          <w:rFonts w:eastAsia="標楷體"/>
          <w:bCs/>
        </w:rPr>
      </w:pPr>
    </w:p>
    <w:p w14:paraId="02E3CACE" w14:textId="541D3210" w:rsidR="000A0229" w:rsidRDefault="005140C5" w:rsidP="000A0229">
      <w:pPr>
        <w:tabs>
          <w:tab w:val="num" w:pos="0"/>
        </w:tabs>
        <w:ind w:right="-35"/>
        <w:jc w:val="both"/>
      </w:pPr>
      <w:r>
        <w:tab/>
      </w:r>
      <w:r w:rsidR="00EE073B" w:rsidRPr="00EE073B">
        <w:t>The empirical result of the Poisson model in Table 3 shows a statistically significant and positive relationship between perceived risk count and the variables like ZS, TQ, and TAT in all quantiles. The results revealed that the likelihood of the increases in financial health (ZS), Tobin's Q (TQ), and total asset turnover ratio (TAT) added explanatory power for influencing financial distress positively. This positive relationship with perceived risk count adds to the evidence presented by Nguyen and Nghiem (2015) and Giordana and Schumacher (2017). This study hypothesizes that the higher the probability of financial performance, the lower the perceived risk count for investors. However, these results are inconsistent with the hypothesis. The coefficient of ROA is a positive and significant effect on the Z score. It tends to imply that the capital-to-asset ratio is mainly responsible for the dynamics of the Z score. The decline in cost efficiency raises the risk of insolvency.</w:t>
      </w:r>
    </w:p>
    <w:p w14:paraId="77E7F98E" w14:textId="107C1CD0" w:rsidR="000A0229" w:rsidRDefault="000A0229" w:rsidP="000A0229">
      <w:pPr>
        <w:tabs>
          <w:tab w:val="num" w:pos="0"/>
        </w:tabs>
        <w:ind w:right="-35"/>
        <w:jc w:val="both"/>
      </w:pPr>
      <w:r>
        <w:tab/>
      </w:r>
      <w:r w:rsidR="00EE073B" w:rsidRPr="00EE073B">
        <w:t>Silva and Majluf (2008) found that family-owned firms positively affect a firm's performance.</w:t>
      </w:r>
      <w:r>
        <w:t xml:space="preserve"> This positive relationship enhances a firm's performance when using Tobin's Q. In addition, for the variable (TQ), the coefficient for external connections to a company is positive and significant, as Tobin's Q determines. It is beneficial to have extensive family involvement to decrease the risk and maintain a firm's performance, revealing the fewer risk of bankruptcy. Further, managers strive to decrease the likelihood of bankruptcy to improve business stability and protect their investment in firm-specific human capital. As a result, they may take steps to decrease company risk. On the other hand, Membroek (2002) and Nocco and Stulz (2006) confirmed that firms with a risk portfolio were better to make an appropriate strategy in the capital market for enhancing corporate's value. </w:t>
      </w:r>
    </w:p>
    <w:p w14:paraId="39437B1D" w14:textId="067ECE0C" w:rsidR="000A0229" w:rsidRDefault="000A0229" w:rsidP="000A0229">
      <w:pPr>
        <w:tabs>
          <w:tab w:val="num" w:pos="0"/>
        </w:tabs>
        <w:ind w:right="-35"/>
        <w:jc w:val="both"/>
      </w:pPr>
      <w:r>
        <w:tab/>
        <w:t xml:space="preserve">The results for TAT provide evidence of a significant positive relationship with stock return presented by Patin et al. (2020). The results revealed that total asset turnover ratios significantly affect stock returns reflecting less risk. The significant results for DR and FCF for Q2 and Q3 are consistent with the hypothesis of this study. This finding adds to the evidence presented by Florentina (2019). </w:t>
      </w:r>
      <w:r>
        <w:lastRenderedPageBreak/>
        <w:t xml:space="preserve">Companies with good operating cash flow are less risky and likely not to go for bankruptcy. Free cash flow helps to improve the financial health of a firm and a higher probability of financial performance. </w:t>
      </w:r>
      <w:r w:rsidR="00EE073B" w:rsidRPr="00EE073B">
        <w:t>These results show less risk between the FCF and perceived risk count.</w:t>
      </w:r>
      <w:r w:rsidR="00C55407">
        <w:rPr>
          <w:rFonts w:hint="eastAsia"/>
        </w:rPr>
        <w:t xml:space="preserve"> </w:t>
      </w:r>
      <w:r>
        <w:t xml:space="preserve">Beasley et al. (2005) and Golshan and Rasid (2012) revealed that firms with increasing ROA had a higher risk awareness due to different regulatory requirements. </w:t>
      </w:r>
    </w:p>
    <w:p w14:paraId="6CD6C786" w14:textId="58794635" w:rsidR="000A0229" w:rsidRDefault="000A0229" w:rsidP="000A0229">
      <w:pPr>
        <w:tabs>
          <w:tab w:val="num" w:pos="0"/>
        </w:tabs>
        <w:ind w:right="-35"/>
        <w:jc w:val="both"/>
      </w:pPr>
      <w:r>
        <w:tab/>
      </w:r>
      <w:r w:rsidR="00EE073B" w:rsidRPr="00EE073B">
        <w:t>The statistically significant results negatively correlate with</w:t>
      </w:r>
      <w:r>
        <w:t xml:space="preserve"> perceived risk count in the Poison model representing RD, CCC, ROE, DPR, and PBV in most results for Q2 and Q3. Even though earlier studies have confirmed that investing in research and development (R&amp;D) improves a company's performance, Ahmed and Jinan (2011) and Antonelli (1989) found that there was a negative relationship between research and development (RD) expenditures and profitability when firms make innovative efforts. Their performance falls below a certain level. The findings indicated that the link between performance and R&amp;D expenditure is not linear but is regulated by a firm's life cycle, which should be considered when determining policy based on market-risk-based performance. Based on the results of R&amp;D expenditures may have both positive and negative impacts on perceived risk count for all five-single equity VIX. These results indicate that the equity VIX Amazon Apple, Google, Goldman Sachs, and IBM dominated the related field facing technology competition with less risk.</w:t>
      </w:r>
    </w:p>
    <w:p w14:paraId="0669CD59" w14:textId="1DA7FC0E" w:rsidR="00105089" w:rsidRDefault="000A0229" w:rsidP="000A0229">
      <w:pPr>
        <w:tabs>
          <w:tab w:val="num" w:pos="0"/>
        </w:tabs>
        <w:ind w:right="-35"/>
        <w:jc w:val="both"/>
      </w:pPr>
      <w:r>
        <w:tab/>
        <w:t>The return on equity (ROE) and Cash conversion cycle (CCC) are also negatively sig</w:t>
      </w:r>
      <w:r w:rsidR="000F289E">
        <w:t>n</w:t>
      </w:r>
      <w:r>
        <w:t>i</w:t>
      </w:r>
      <w:r w:rsidR="000F289E">
        <w:t>f</w:t>
      </w:r>
      <w:r>
        <w:t>icant in both Q2 and Q3. It added to control for negatively influencing financial distress, consistent with this study's hypothesis. The significant results for DPR and PBV also provide evidence of a negative relationship with perceived risk count. These financial ratios are strong factors and give good news for investing in the equity VIX index.</w:t>
      </w:r>
    </w:p>
    <w:p w14:paraId="517A66AA" w14:textId="1E581F23" w:rsidR="0048718A" w:rsidRDefault="00860BB6" w:rsidP="00105089">
      <w:pPr>
        <w:widowControl/>
        <w:jc w:val="both"/>
      </w:pPr>
      <w:r w:rsidRPr="003A23AD">
        <w:rPr>
          <w:rFonts w:eastAsia="華康楷書體W5"/>
          <w:b/>
          <w:bCs/>
        </w:rPr>
        <w:t>Table 3</w:t>
      </w:r>
      <w:r>
        <w:rPr>
          <w:rFonts w:eastAsia="華康楷書體W5"/>
          <w:b/>
          <w:bCs/>
        </w:rPr>
        <w:t>.</w:t>
      </w:r>
      <w:r w:rsidRPr="003A23AD">
        <w:rPr>
          <w:rFonts w:eastAsia="華康楷書體W5"/>
          <w:b/>
          <w:bCs/>
        </w:rPr>
        <w:t xml:space="preserve"> Estimation of Poisson Distribution</w:t>
      </w:r>
    </w:p>
    <w:tbl>
      <w:tblPr>
        <w:tblStyle w:val="af"/>
        <w:tblW w:w="0" w:type="auto"/>
        <w:tblLook w:val="04A0" w:firstRow="1" w:lastRow="0" w:firstColumn="1" w:lastColumn="0" w:noHBand="0" w:noVBand="1"/>
      </w:tblPr>
      <w:tblGrid>
        <w:gridCol w:w="1109"/>
        <w:gridCol w:w="1676"/>
        <w:gridCol w:w="1382"/>
        <w:gridCol w:w="1292"/>
        <w:gridCol w:w="1376"/>
        <w:gridCol w:w="1397"/>
        <w:gridCol w:w="1396"/>
      </w:tblGrid>
      <w:tr w:rsidR="0048718A" w:rsidRPr="009831E8" w14:paraId="29EDBA50" w14:textId="77777777" w:rsidTr="00994AF9">
        <w:trPr>
          <w:trHeight w:val="521"/>
        </w:trPr>
        <w:tc>
          <w:tcPr>
            <w:tcW w:w="1109" w:type="dxa"/>
          </w:tcPr>
          <w:p w14:paraId="4A72E897" w14:textId="77777777" w:rsidR="0048718A" w:rsidRPr="009831E8" w:rsidRDefault="0048718A" w:rsidP="00994AF9">
            <w:pPr>
              <w:widowControl/>
            </w:pPr>
          </w:p>
        </w:tc>
        <w:tc>
          <w:tcPr>
            <w:tcW w:w="3058" w:type="dxa"/>
            <w:gridSpan w:val="2"/>
          </w:tcPr>
          <w:p w14:paraId="3551C910" w14:textId="77777777" w:rsidR="0048718A" w:rsidRPr="009831E8" w:rsidRDefault="0048718A" w:rsidP="00994AF9">
            <w:pPr>
              <w:widowControl/>
              <w:jc w:val="center"/>
              <w:rPr>
                <w:rFonts w:eastAsia="華康楷書體W5"/>
              </w:rPr>
            </w:pPr>
            <w:r w:rsidRPr="009831E8">
              <w:rPr>
                <w:rFonts w:eastAsia="華康楷書體W5"/>
              </w:rPr>
              <w:t>Q1</w:t>
            </w:r>
          </w:p>
        </w:tc>
        <w:tc>
          <w:tcPr>
            <w:tcW w:w="2668" w:type="dxa"/>
            <w:gridSpan w:val="2"/>
          </w:tcPr>
          <w:p w14:paraId="1D9B4D58" w14:textId="77777777" w:rsidR="0048718A" w:rsidRPr="009831E8" w:rsidRDefault="0048718A" w:rsidP="00994AF9">
            <w:pPr>
              <w:widowControl/>
              <w:jc w:val="center"/>
              <w:rPr>
                <w:rFonts w:eastAsia="華康楷書體W5"/>
              </w:rPr>
            </w:pPr>
            <w:r w:rsidRPr="009831E8">
              <w:rPr>
                <w:rFonts w:eastAsia="華康楷書體W5"/>
              </w:rPr>
              <w:t>Q2</w:t>
            </w:r>
          </w:p>
        </w:tc>
        <w:tc>
          <w:tcPr>
            <w:tcW w:w="2793" w:type="dxa"/>
            <w:gridSpan w:val="2"/>
          </w:tcPr>
          <w:p w14:paraId="69F2FD56" w14:textId="77777777" w:rsidR="0048718A" w:rsidRPr="009831E8" w:rsidRDefault="0048718A" w:rsidP="00994AF9">
            <w:pPr>
              <w:widowControl/>
              <w:jc w:val="center"/>
              <w:rPr>
                <w:rFonts w:eastAsia="華康楷書體W5"/>
              </w:rPr>
            </w:pPr>
            <w:r w:rsidRPr="009831E8">
              <w:rPr>
                <w:rFonts w:eastAsia="華康楷書體W5"/>
              </w:rPr>
              <w:t>Q3</w:t>
            </w:r>
          </w:p>
        </w:tc>
      </w:tr>
      <w:tr w:rsidR="0048718A" w:rsidRPr="009831E8" w14:paraId="4AE94D0B" w14:textId="77777777" w:rsidTr="00994AF9">
        <w:trPr>
          <w:trHeight w:val="521"/>
        </w:trPr>
        <w:tc>
          <w:tcPr>
            <w:tcW w:w="1109" w:type="dxa"/>
          </w:tcPr>
          <w:p w14:paraId="20116263" w14:textId="77777777" w:rsidR="0048718A" w:rsidRPr="009831E8" w:rsidRDefault="0048718A" w:rsidP="00994AF9">
            <w:pPr>
              <w:widowControl/>
            </w:pPr>
            <w:r w:rsidRPr="009831E8">
              <w:t>Variables</w:t>
            </w:r>
          </w:p>
        </w:tc>
        <w:tc>
          <w:tcPr>
            <w:tcW w:w="1676" w:type="dxa"/>
          </w:tcPr>
          <w:p w14:paraId="55F822D7" w14:textId="77777777" w:rsidR="0048718A" w:rsidRPr="009831E8" w:rsidRDefault="0048718A" w:rsidP="00994AF9">
            <w:pPr>
              <w:widowControl/>
              <w:rPr>
                <w:rFonts w:eastAsia="華康楷書體W5"/>
              </w:rPr>
            </w:pPr>
            <w:r w:rsidRPr="009831E8">
              <w:rPr>
                <w:rFonts w:eastAsia="華康楷書體W5"/>
              </w:rPr>
              <w:t xml:space="preserve">Coefficient </w:t>
            </w:r>
          </w:p>
        </w:tc>
        <w:tc>
          <w:tcPr>
            <w:tcW w:w="1382" w:type="dxa"/>
          </w:tcPr>
          <w:p w14:paraId="2B5D78C2" w14:textId="77777777" w:rsidR="0048718A" w:rsidRPr="009831E8" w:rsidRDefault="0048718A" w:rsidP="00994AF9">
            <w:pPr>
              <w:widowControl/>
              <w:rPr>
                <w:rFonts w:eastAsia="華康楷書體W5"/>
              </w:rPr>
            </w:pPr>
            <w:r w:rsidRPr="009831E8">
              <w:rPr>
                <w:rFonts w:eastAsia="華康楷書體W5"/>
              </w:rPr>
              <w:t>Prob.</w:t>
            </w:r>
          </w:p>
        </w:tc>
        <w:tc>
          <w:tcPr>
            <w:tcW w:w="1292" w:type="dxa"/>
          </w:tcPr>
          <w:p w14:paraId="3BEE7E79" w14:textId="77777777" w:rsidR="0048718A" w:rsidRPr="009831E8" w:rsidRDefault="0048718A" w:rsidP="00994AF9">
            <w:pPr>
              <w:widowControl/>
              <w:rPr>
                <w:rFonts w:eastAsia="華康楷書體W5"/>
              </w:rPr>
            </w:pPr>
            <w:r w:rsidRPr="009831E8">
              <w:rPr>
                <w:rFonts w:eastAsia="華康楷書體W5"/>
              </w:rPr>
              <w:t>Coefficient</w:t>
            </w:r>
          </w:p>
        </w:tc>
        <w:tc>
          <w:tcPr>
            <w:tcW w:w="1376" w:type="dxa"/>
          </w:tcPr>
          <w:p w14:paraId="4776B32F" w14:textId="77777777" w:rsidR="0048718A" w:rsidRPr="009831E8" w:rsidRDefault="0048718A" w:rsidP="00994AF9">
            <w:pPr>
              <w:widowControl/>
              <w:rPr>
                <w:rFonts w:eastAsia="華康楷書體W5"/>
              </w:rPr>
            </w:pPr>
            <w:r w:rsidRPr="009831E8">
              <w:rPr>
                <w:rFonts w:eastAsia="華康楷書體W5"/>
              </w:rPr>
              <w:t>Prob.</w:t>
            </w:r>
          </w:p>
        </w:tc>
        <w:tc>
          <w:tcPr>
            <w:tcW w:w="1397" w:type="dxa"/>
          </w:tcPr>
          <w:p w14:paraId="2FC4FA00" w14:textId="77777777" w:rsidR="0048718A" w:rsidRPr="009831E8" w:rsidRDefault="0048718A" w:rsidP="00994AF9">
            <w:pPr>
              <w:widowControl/>
              <w:rPr>
                <w:rFonts w:eastAsia="華康楷書體W5"/>
              </w:rPr>
            </w:pPr>
            <w:r w:rsidRPr="009831E8">
              <w:rPr>
                <w:rFonts w:eastAsia="華康楷書體W5"/>
              </w:rPr>
              <w:t>Coefficient</w:t>
            </w:r>
          </w:p>
        </w:tc>
        <w:tc>
          <w:tcPr>
            <w:tcW w:w="1396" w:type="dxa"/>
          </w:tcPr>
          <w:p w14:paraId="32B7A95E" w14:textId="77777777" w:rsidR="0048718A" w:rsidRPr="009831E8" w:rsidRDefault="0048718A" w:rsidP="00994AF9">
            <w:pPr>
              <w:widowControl/>
              <w:rPr>
                <w:rFonts w:eastAsia="華康楷書體W5"/>
              </w:rPr>
            </w:pPr>
            <w:r w:rsidRPr="009831E8">
              <w:rPr>
                <w:rFonts w:eastAsia="華康楷書體W5"/>
              </w:rPr>
              <w:t>Prob.</w:t>
            </w:r>
          </w:p>
        </w:tc>
      </w:tr>
      <w:tr w:rsidR="0048718A" w:rsidRPr="009831E8" w14:paraId="4B62CBE0" w14:textId="77777777" w:rsidTr="00994AF9">
        <w:tc>
          <w:tcPr>
            <w:tcW w:w="1109" w:type="dxa"/>
          </w:tcPr>
          <w:p w14:paraId="733D8D4A" w14:textId="77777777" w:rsidR="0048718A" w:rsidRPr="009831E8" w:rsidRDefault="0048718A" w:rsidP="00994AF9">
            <w:pPr>
              <w:widowControl/>
            </w:pPr>
            <w:r w:rsidRPr="009831E8">
              <w:t>C</w:t>
            </w:r>
          </w:p>
        </w:tc>
        <w:tc>
          <w:tcPr>
            <w:tcW w:w="1676" w:type="dxa"/>
            <w:vAlign w:val="bottom"/>
          </w:tcPr>
          <w:p w14:paraId="1B62381C" w14:textId="77777777" w:rsidR="0048718A" w:rsidRPr="009831E8" w:rsidRDefault="0048718A" w:rsidP="00994AF9">
            <w:pPr>
              <w:widowControl/>
              <w:jc w:val="center"/>
              <w:rPr>
                <w:rFonts w:eastAsia="華康楷書體W5"/>
              </w:rPr>
            </w:pPr>
            <w:r w:rsidRPr="009831E8">
              <w:rPr>
                <w:kern w:val="0"/>
              </w:rPr>
              <w:t>3.204</w:t>
            </w:r>
          </w:p>
        </w:tc>
        <w:tc>
          <w:tcPr>
            <w:tcW w:w="1382" w:type="dxa"/>
            <w:vAlign w:val="bottom"/>
          </w:tcPr>
          <w:p w14:paraId="220F5720" w14:textId="77777777" w:rsidR="0048718A" w:rsidRPr="009831E8" w:rsidRDefault="0048718A" w:rsidP="00994AF9">
            <w:pPr>
              <w:widowControl/>
              <w:jc w:val="center"/>
              <w:rPr>
                <w:rFonts w:eastAsia="華康楷書體W5"/>
              </w:rPr>
            </w:pPr>
            <w:r w:rsidRPr="009831E8">
              <w:rPr>
                <w:kern w:val="0"/>
              </w:rPr>
              <w:t>(0.000) ***</w:t>
            </w:r>
          </w:p>
        </w:tc>
        <w:tc>
          <w:tcPr>
            <w:tcW w:w="1292" w:type="dxa"/>
            <w:vAlign w:val="bottom"/>
          </w:tcPr>
          <w:p w14:paraId="418E2F02" w14:textId="77777777" w:rsidR="0048718A" w:rsidRPr="009831E8" w:rsidRDefault="0048718A" w:rsidP="00994AF9">
            <w:pPr>
              <w:widowControl/>
              <w:jc w:val="center"/>
              <w:rPr>
                <w:rFonts w:eastAsia="華康楷書體W5"/>
              </w:rPr>
            </w:pPr>
            <w:r w:rsidRPr="009831E8">
              <w:rPr>
                <w:kern w:val="0"/>
              </w:rPr>
              <w:t>1.636</w:t>
            </w:r>
          </w:p>
        </w:tc>
        <w:tc>
          <w:tcPr>
            <w:tcW w:w="1376" w:type="dxa"/>
            <w:vAlign w:val="bottom"/>
          </w:tcPr>
          <w:p w14:paraId="06AE250A" w14:textId="77777777" w:rsidR="0048718A" w:rsidRPr="009831E8" w:rsidRDefault="0048718A" w:rsidP="00994AF9">
            <w:pPr>
              <w:widowControl/>
              <w:jc w:val="center"/>
              <w:rPr>
                <w:rFonts w:eastAsia="華康楷書體W5"/>
              </w:rPr>
            </w:pPr>
            <w:r w:rsidRPr="009831E8">
              <w:rPr>
                <w:kern w:val="0"/>
              </w:rPr>
              <w:t>(0.000) ***</w:t>
            </w:r>
          </w:p>
        </w:tc>
        <w:tc>
          <w:tcPr>
            <w:tcW w:w="1397" w:type="dxa"/>
            <w:vAlign w:val="bottom"/>
          </w:tcPr>
          <w:p w14:paraId="61CFA4C8" w14:textId="77777777" w:rsidR="0048718A" w:rsidRPr="009831E8" w:rsidRDefault="0048718A" w:rsidP="00994AF9">
            <w:pPr>
              <w:widowControl/>
              <w:jc w:val="center"/>
              <w:rPr>
                <w:rFonts w:eastAsia="華康楷書體W5"/>
              </w:rPr>
            </w:pPr>
            <w:r w:rsidRPr="009831E8">
              <w:rPr>
                <w:rFonts w:eastAsia="華康楷書體W5"/>
              </w:rPr>
              <w:t>-1.654</w:t>
            </w:r>
          </w:p>
        </w:tc>
        <w:tc>
          <w:tcPr>
            <w:tcW w:w="1396" w:type="dxa"/>
            <w:vAlign w:val="bottom"/>
          </w:tcPr>
          <w:p w14:paraId="75F176AD" w14:textId="77777777" w:rsidR="0048718A" w:rsidRPr="009831E8" w:rsidRDefault="0048718A" w:rsidP="00994AF9">
            <w:pPr>
              <w:widowControl/>
              <w:jc w:val="center"/>
              <w:rPr>
                <w:rFonts w:eastAsia="華康楷書體W5"/>
              </w:rPr>
            </w:pPr>
            <w:r w:rsidRPr="009831E8">
              <w:rPr>
                <w:rFonts w:eastAsia="華康楷書體W5"/>
              </w:rPr>
              <w:t>(0.000) ***</w:t>
            </w:r>
          </w:p>
        </w:tc>
      </w:tr>
      <w:tr w:rsidR="0048718A" w:rsidRPr="009831E8" w14:paraId="090ED0DF" w14:textId="77777777" w:rsidTr="00994AF9">
        <w:tc>
          <w:tcPr>
            <w:tcW w:w="1109" w:type="dxa"/>
          </w:tcPr>
          <w:p w14:paraId="28342220" w14:textId="77777777" w:rsidR="0048718A" w:rsidRPr="009831E8" w:rsidRDefault="0048718A" w:rsidP="00994AF9">
            <w:pPr>
              <w:widowControl/>
              <w:rPr>
                <w:rFonts w:eastAsia="華康楷書體W5"/>
              </w:rPr>
            </w:pPr>
            <w:r w:rsidRPr="009831E8">
              <w:t>ZS</w:t>
            </w:r>
          </w:p>
        </w:tc>
        <w:tc>
          <w:tcPr>
            <w:tcW w:w="1676" w:type="dxa"/>
            <w:vAlign w:val="bottom"/>
          </w:tcPr>
          <w:p w14:paraId="730DDF9E" w14:textId="77777777" w:rsidR="0048718A" w:rsidRPr="009831E8" w:rsidRDefault="0048718A" w:rsidP="00994AF9">
            <w:pPr>
              <w:widowControl/>
              <w:jc w:val="center"/>
              <w:rPr>
                <w:rFonts w:eastAsia="華康楷書體W5"/>
              </w:rPr>
            </w:pPr>
            <w:r w:rsidRPr="009831E8">
              <w:rPr>
                <w:kern w:val="0"/>
              </w:rPr>
              <w:t xml:space="preserve"> 0.098</w:t>
            </w:r>
          </w:p>
        </w:tc>
        <w:tc>
          <w:tcPr>
            <w:tcW w:w="1382" w:type="dxa"/>
            <w:vAlign w:val="bottom"/>
          </w:tcPr>
          <w:p w14:paraId="7648A0DD" w14:textId="77777777" w:rsidR="0048718A" w:rsidRPr="009831E8" w:rsidRDefault="0048718A" w:rsidP="00994AF9">
            <w:pPr>
              <w:widowControl/>
              <w:jc w:val="center"/>
              <w:rPr>
                <w:rFonts w:eastAsia="華康楷書體W5"/>
              </w:rPr>
            </w:pPr>
            <w:r w:rsidRPr="009831E8">
              <w:rPr>
                <w:kern w:val="0"/>
              </w:rPr>
              <w:t>(0.030) **</w:t>
            </w:r>
          </w:p>
        </w:tc>
        <w:tc>
          <w:tcPr>
            <w:tcW w:w="1292" w:type="dxa"/>
            <w:vAlign w:val="bottom"/>
          </w:tcPr>
          <w:p w14:paraId="5B5030D9" w14:textId="77777777" w:rsidR="0048718A" w:rsidRPr="009831E8" w:rsidRDefault="0048718A" w:rsidP="00994AF9">
            <w:pPr>
              <w:widowControl/>
              <w:jc w:val="center"/>
              <w:rPr>
                <w:rFonts w:eastAsia="華康楷書體W5"/>
              </w:rPr>
            </w:pPr>
            <w:r w:rsidRPr="009831E8">
              <w:rPr>
                <w:kern w:val="0"/>
              </w:rPr>
              <w:t>0.357</w:t>
            </w:r>
          </w:p>
        </w:tc>
        <w:tc>
          <w:tcPr>
            <w:tcW w:w="1376" w:type="dxa"/>
            <w:vAlign w:val="bottom"/>
          </w:tcPr>
          <w:p w14:paraId="2E6EEAB2" w14:textId="77777777" w:rsidR="0048718A" w:rsidRPr="009831E8" w:rsidRDefault="0048718A" w:rsidP="00994AF9">
            <w:pPr>
              <w:widowControl/>
              <w:jc w:val="center"/>
              <w:rPr>
                <w:rFonts w:eastAsia="華康楷書體W5"/>
              </w:rPr>
            </w:pPr>
            <w:r w:rsidRPr="009831E8">
              <w:rPr>
                <w:kern w:val="0"/>
              </w:rPr>
              <w:t>(0.000) ***</w:t>
            </w:r>
          </w:p>
        </w:tc>
        <w:tc>
          <w:tcPr>
            <w:tcW w:w="1397" w:type="dxa"/>
            <w:vAlign w:val="bottom"/>
          </w:tcPr>
          <w:p w14:paraId="702E7DC9" w14:textId="77777777" w:rsidR="0048718A" w:rsidRPr="009831E8" w:rsidRDefault="0048718A" w:rsidP="00994AF9">
            <w:pPr>
              <w:widowControl/>
              <w:jc w:val="center"/>
              <w:rPr>
                <w:rFonts w:eastAsia="華康楷書體W5"/>
              </w:rPr>
            </w:pPr>
            <w:r w:rsidRPr="009831E8">
              <w:rPr>
                <w:rFonts w:eastAsia="華康楷書體W5"/>
              </w:rPr>
              <w:t>0.617</w:t>
            </w:r>
          </w:p>
        </w:tc>
        <w:tc>
          <w:tcPr>
            <w:tcW w:w="1396" w:type="dxa"/>
            <w:vAlign w:val="bottom"/>
          </w:tcPr>
          <w:p w14:paraId="429C8107" w14:textId="77777777" w:rsidR="0048718A" w:rsidRPr="009831E8" w:rsidRDefault="0048718A" w:rsidP="00994AF9">
            <w:pPr>
              <w:widowControl/>
              <w:jc w:val="center"/>
              <w:rPr>
                <w:rFonts w:eastAsia="華康楷書體W5"/>
              </w:rPr>
            </w:pPr>
            <w:r w:rsidRPr="009831E8">
              <w:rPr>
                <w:rFonts w:eastAsia="華康楷書體W5"/>
              </w:rPr>
              <w:t>(0.000) ***</w:t>
            </w:r>
          </w:p>
        </w:tc>
      </w:tr>
      <w:tr w:rsidR="0048718A" w:rsidRPr="009831E8" w14:paraId="7324A2C2" w14:textId="77777777" w:rsidTr="00994AF9">
        <w:tc>
          <w:tcPr>
            <w:tcW w:w="1109" w:type="dxa"/>
          </w:tcPr>
          <w:p w14:paraId="186FC0FF" w14:textId="77777777" w:rsidR="0048718A" w:rsidRPr="009831E8" w:rsidRDefault="0048718A" w:rsidP="00994AF9">
            <w:pPr>
              <w:widowControl/>
              <w:rPr>
                <w:rFonts w:eastAsia="華康楷書體W5"/>
              </w:rPr>
            </w:pPr>
            <w:r w:rsidRPr="009831E8">
              <w:t>TQ</w:t>
            </w:r>
          </w:p>
        </w:tc>
        <w:tc>
          <w:tcPr>
            <w:tcW w:w="1676" w:type="dxa"/>
            <w:vAlign w:val="bottom"/>
          </w:tcPr>
          <w:p w14:paraId="124BC324" w14:textId="77777777" w:rsidR="0048718A" w:rsidRPr="009831E8" w:rsidRDefault="0048718A" w:rsidP="00994AF9">
            <w:pPr>
              <w:widowControl/>
              <w:jc w:val="center"/>
              <w:rPr>
                <w:rFonts w:eastAsia="華康楷書體W5"/>
              </w:rPr>
            </w:pPr>
            <w:r w:rsidRPr="009831E8">
              <w:rPr>
                <w:kern w:val="0"/>
              </w:rPr>
              <w:t>49.000</w:t>
            </w:r>
          </w:p>
        </w:tc>
        <w:tc>
          <w:tcPr>
            <w:tcW w:w="1382" w:type="dxa"/>
            <w:vAlign w:val="bottom"/>
          </w:tcPr>
          <w:p w14:paraId="7F8A0102" w14:textId="77777777" w:rsidR="0048718A" w:rsidRPr="009831E8" w:rsidRDefault="0048718A" w:rsidP="00994AF9">
            <w:pPr>
              <w:widowControl/>
              <w:jc w:val="center"/>
              <w:rPr>
                <w:rFonts w:eastAsia="華康楷書體W5"/>
              </w:rPr>
            </w:pPr>
            <w:r w:rsidRPr="009831E8">
              <w:rPr>
                <w:kern w:val="0"/>
              </w:rPr>
              <w:t>(0.004) ***</w:t>
            </w:r>
          </w:p>
        </w:tc>
        <w:tc>
          <w:tcPr>
            <w:tcW w:w="1292" w:type="dxa"/>
            <w:vAlign w:val="bottom"/>
          </w:tcPr>
          <w:p w14:paraId="6C55AE1F" w14:textId="77777777" w:rsidR="0048718A" w:rsidRPr="009831E8" w:rsidRDefault="0048718A" w:rsidP="00994AF9">
            <w:pPr>
              <w:widowControl/>
              <w:jc w:val="center"/>
              <w:rPr>
                <w:rFonts w:eastAsia="華康楷書體W5"/>
              </w:rPr>
            </w:pPr>
            <w:r w:rsidRPr="009831E8">
              <w:rPr>
                <w:kern w:val="0"/>
              </w:rPr>
              <w:t>116.105</w:t>
            </w:r>
          </w:p>
        </w:tc>
        <w:tc>
          <w:tcPr>
            <w:tcW w:w="1376" w:type="dxa"/>
            <w:vAlign w:val="bottom"/>
          </w:tcPr>
          <w:p w14:paraId="2E05D9F8" w14:textId="77777777" w:rsidR="0048718A" w:rsidRPr="009831E8" w:rsidRDefault="0048718A" w:rsidP="00994AF9">
            <w:pPr>
              <w:widowControl/>
              <w:jc w:val="center"/>
              <w:rPr>
                <w:rFonts w:eastAsia="華康楷書體W5"/>
              </w:rPr>
            </w:pPr>
            <w:r w:rsidRPr="009831E8">
              <w:rPr>
                <w:kern w:val="0"/>
              </w:rPr>
              <w:t>(0.000) ***</w:t>
            </w:r>
          </w:p>
        </w:tc>
        <w:tc>
          <w:tcPr>
            <w:tcW w:w="1397" w:type="dxa"/>
            <w:vAlign w:val="bottom"/>
          </w:tcPr>
          <w:p w14:paraId="3187B891" w14:textId="77777777" w:rsidR="0048718A" w:rsidRPr="009831E8" w:rsidRDefault="0048718A" w:rsidP="00994AF9">
            <w:pPr>
              <w:widowControl/>
              <w:jc w:val="center"/>
              <w:rPr>
                <w:rFonts w:eastAsia="華康楷書體W5"/>
              </w:rPr>
            </w:pPr>
            <w:r w:rsidRPr="009831E8">
              <w:rPr>
                <w:rFonts w:eastAsia="華康楷書體W5"/>
              </w:rPr>
              <w:t>274.697</w:t>
            </w:r>
          </w:p>
        </w:tc>
        <w:tc>
          <w:tcPr>
            <w:tcW w:w="1396" w:type="dxa"/>
            <w:vAlign w:val="bottom"/>
          </w:tcPr>
          <w:p w14:paraId="3EC0525D" w14:textId="77777777" w:rsidR="0048718A" w:rsidRPr="009831E8" w:rsidRDefault="0048718A" w:rsidP="00994AF9">
            <w:pPr>
              <w:widowControl/>
              <w:jc w:val="center"/>
              <w:rPr>
                <w:rFonts w:eastAsia="華康楷書體W5"/>
              </w:rPr>
            </w:pPr>
            <w:r w:rsidRPr="009831E8">
              <w:rPr>
                <w:rFonts w:eastAsia="華康楷書體W5"/>
              </w:rPr>
              <w:t>(0.000) ***</w:t>
            </w:r>
          </w:p>
        </w:tc>
      </w:tr>
      <w:tr w:rsidR="0048718A" w:rsidRPr="009831E8" w14:paraId="23D43F7E" w14:textId="77777777" w:rsidTr="00994AF9">
        <w:tc>
          <w:tcPr>
            <w:tcW w:w="1109" w:type="dxa"/>
          </w:tcPr>
          <w:p w14:paraId="5F84D8AC" w14:textId="77777777" w:rsidR="0048718A" w:rsidRPr="009831E8" w:rsidRDefault="0048718A" w:rsidP="00994AF9">
            <w:pPr>
              <w:widowControl/>
              <w:rPr>
                <w:rFonts w:eastAsia="華康楷書體W5"/>
              </w:rPr>
            </w:pPr>
            <w:r w:rsidRPr="009831E8">
              <w:t>RD</w:t>
            </w:r>
          </w:p>
        </w:tc>
        <w:tc>
          <w:tcPr>
            <w:tcW w:w="1676" w:type="dxa"/>
            <w:vAlign w:val="bottom"/>
          </w:tcPr>
          <w:p w14:paraId="0679236B" w14:textId="77777777" w:rsidR="0048718A" w:rsidRPr="009831E8" w:rsidRDefault="0048718A" w:rsidP="00994AF9">
            <w:pPr>
              <w:widowControl/>
              <w:jc w:val="center"/>
              <w:rPr>
                <w:rFonts w:eastAsia="華康楷書體W5"/>
              </w:rPr>
            </w:pPr>
            <w:r w:rsidRPr="009831E8">
              <w:rPr>
                <w:kern w:val="0"/>
              </w:rPr>
              <w:t>-0.183</w:t>
            </w:r>
          </w:p>
        </w:tc>
        <w:tc>
          <w:tcPr>
            <w:tcW w:w="1382" w:type="dxa"/>
            <w:vAlign w:val="bottom"/>
          </w:tcPr>
          <w:p w14:paraId="705066AE" w14:textId="77777777" w:rsidR="0048718A" w:rsidRPr="009831E8" w:rsidRDefault="0048718A" w:rsidP="00994AF9">
            <w:pPr>
              <w:widowControl/>
              <w:jc w:val="center"/>
              <w:rPr>
                <w:rFonts w:eastAsia="華康楷書體W5"/>
              </w:rPr>
            </w:pPr>
            <w:r w:rsidRPr="009831E8">
              <w:rPr>
                <w:kern w:val="0"/>
              </w:rPr>
              <w:t>(0.104)</w:t>
            </w:r>
          </w:p>
        </w:tc>
        <w:tc>
          <w:tcPr>
            <w:tcW w:w="1292" w:type="dxa"/>
            <w:vAlign w:val="bottom"/>
          </w:tcPr>
          <w:p w14:paraId="578024DC" w14:textId="77777777" w:rsidR="0048718A" w:rsidRPr="009831E8" w:rsidRDefault="0048718A" w:rsidP="00994AF9">
            <w:pPr>
              <w:widowControl/>
              <w:jc w:val="center"/>
              <w:rPr>
                <w:rFonts w:eastAsia="華康楷書體W5"/>
              </w:rPr>
            </w:pPr>
            <w:r w:rsidRPr="009831E8">
              <w:rPr>
                <w:kern w:val="0"/>
              </w:rPr>
              <w:t>-0.690</w:t>
            </w:r>
          </w:p>
        </w:tc>
        <w:tc>
          <w:tcPr>
            <w:tcW w:w="1376" w:type="dxa"/>
            <w:vAlign w:val="bottom"/>
          </w:tcPr>
          <w:p w14:paraId="6A12EB4E" w14:textId="77777777" w:rsidR="0048718A" w:rsidRPr="009831E8" w:rsidRDefault="0048718A" w:rsidP="00994AF9">
            <w:pPr>
              <w:widowControl/>
              <w:jc w:val="center"/>
              <w:rPr>
                <w:rFonts w:eastAsia="華康楷書體W5"/>
              </w:rPr>
            </w:pPr>
            <w:r w:rsidRPr="009831E8">
              <w:rPr>
                <w:kern w:val="0"/>
              </w:rPr>
              <w:t>(0.000) ***</w:t>
            </w:r>
          </w:p>
        </w:tc>
        <w:tc>
          <w:tcPr>
            <w:tcW w:w="1397" w:type="dxa"/>
            <w:vAlign w:val="bottom"/>
          </w:tcPr>
          <w:p w14:paraId="72D9F1F0" w14:textId="77777777" w:rsidR="0048718A" w:rsidRPr="009831E8" w:rsidRDefault="0048718A" w:rsidP="00994AF9">
            <w:pPr>
              <w:widowControl/>
              <w:jc w:val="center"/>
              <w:rPr>
                <w:rFonts w:eastAsia="華康楷書體W5"/>
              </w:rPr>
            </w:pPr>
            <w:r w:rsidRPr="009831E8">
              <w:rPr>
                <w:rFonts w:eastAsia="華康楷書體W5"/>
              </w:rPr>
              <w:t>-0.739</w:t>
            </w:r>
          </w:p>
        </w:tc>
        <w:tc>
          <w:tcPr>
            <w:tcW w:w="1396" w:type="dxa"/>
            <w:vAlign w:val="bottom"/>
          </w:tcPr>
          <w:p w14:paraId="2E2385E4" w14:textId="77777777" w:rsidR="0048718A" w:rsidRPr="009831E8" w:rsidRDefault="0048718A" w:rsidP="00994AF9">
            <w:pPr>
              <w:widowControl/>
              <w:jc w:val="center"/>
              <w:rPr>
                <w:rFonts w:eastAsia="華康楷書體W5"/>
              </w:rPr>
            </w:pPr>
            <w:r w:rsidRPr="009831E8">
              <w:rPr>
                <w:rFonts w:eastAsia="華康楷書體W5"/>
              </w:rPr>
              <w:t>(0.002) ***</w:t>
            </w:r>
          </w:p>
        </w:tc>
      </w:tr>
      <w:tr w:rsidR="0048718A" w:rsidRPr="009831E8" w14:paraId="70E638CF" w14:textId="77777777" w:rsidTr="00994AF9">
        <w:tc>
          <w:tcPr>
            <w:tcW w:w="1109" w:type="dxa"/>
          </w:tcPr>
          <w:p w14:paraId="20947913" w14:textId="77777777" w:rsidR="0048718A" w:rsidRPr="009831E8" w:rsidRDefault="0048718A" w:rsidP="00994AF9">
            <w:pPr>
              <w:widowControl/>
              <w:rPr>
                <w:rFonts w:eastAsia="華康楷書體W5"/>
              </w:rPr>
            </w:pPr>
            <w:r w:rsidRPr="009831E8">
              <w:t xml:space="preserve">DR </w:t>
            </w:r>
          </w:p>
        </w:tc>
        <w:tc>
          <w:tcPr>
            <w:tcW w:w="1676" w:type="dxa"/>
            <w:vAlign w:val="bottom"/>
          </w:tcPr>
          <w:p w14:paraId="7AF59F7F" w14:textId="77777777" w:rsidR="0048718A" w:rsidRPr="009831E8" w:rsidRDefault="0048718A" w:rsidP="00994AF9">
            <w:pPr>
              <w:widowControl/>
              <w:jc w:val="center"/>
              <w:rPr>
                <w:rFonts w:eastAsia="華康楷書體W5"/>
              </w:rPr>
            </w:pPr>
            <w:r w:rsidRPr="009831E8">
              <w:rPr>
                <w:kern w:val="0"/>
              </w:rPr>
              <w:t>-0-183</w:t>
            </w:r>
          </w:p>
        </w:tc>
        <w:tc>
          <w:tcPr>
            <w:tcW w:w="1382" w:type="dxa"/>
            <w:vAlign w:val="bottom"/>
          </w:tcPr>
          <w:p w14:paraId="3BF4C3EC" w14:textId="77777777" w:rsidR="0048718A" w:rsidRPr="009831E8" w:rsidRDefault="0048718A" w:rsidP="00994AF9">
            <w:pPr>
              <w:widowControl/>
              <w:jc w:val="center"/>
              <w:rPr>
                <w:rFonts w:eastAsia="華康楷書體W5"/>
              </w:rPr>
            </w:pPr>
            <w:r w:rsidRPr="009831E8">
              <w:rPr>
                <w:kern w:val="0"/>
              </w:rPr>
              <w:t>(0.108)</w:t>
            </w:r>
          </w:p>
        </w:tc>
        <w:tc>
          <w:tcPr>
            <w:tcW w:w="1292" w:type="dxa"/>
            <w:vAlign w:val="bottom"/>
          </w:tcPr>
          <w:p w14:paraId="380D0715" w14:textId="77777777" w:rsidR="0048718A" w:rsidRPr="009831E8" w:rsidRDefault="0048718A" w:rsidP="00994AF9">
            <w:pPr>
              <w:widowControl/>
              <w:jc w:val="center"/>
              <w:rPr>
                <w:rFonts w:eastAsia="華康楷書體W5"/>
              </w:rPr>
            </w:pPr>
            <w:r w:rsidRPr="009831E8">
              <w:rPr>
                <w:kern w:val="0"/>
              </w:rPr>
              <w:t>1.774</w:t>
            </w:r>
          </w:p>
        </w:tc>
        <w:tc>
          <w:tcPr>
            <w:tcW w:w="1376" w:type="dxa"/>
            <w:vAlign w:val="bottom"/>
          </w:tcPr>
          <w:p w14:paraId="66D57C01" w14:textId="77777777" w:rsidR="0048718A" w:rsidRPr="009831E8" w:rsidRDefault="0048718A" w:rsidP="00994AF9">
            <w:pPr>
              <w:widowControl/>
              <w:jc w:val="center"/>
              <w:rPr>
                <w:rFonts w:eastAsia="華康楷書體W5"/>
              </w:rPr>
            </w:pPr>
            <w:r w:rsidRPr="009831E8">
              <w:rPr>
                <w:kern w:val="0"/>
              </w:rPr>
              <w:t>(0.000) ***</w:t>
            </w:r>
          </w:p>
        </w:tc>
        <w:tc>
          <w:tcPr>
            <w:tcW w:w="1397" w:type="dxa"/>
            <w:vAlign w:val="bottom"/>
          </w:tcPr>
          <w:p w14:paraId="2703283A" w14:textId="77777777" w:rsidR="0048718A" w:rsidRPr="009831E8" w:rsidRDefault="0048718A" w:rsidP="00994AF9">
            <w:pPr>
              <w:widowControl/>
              <w:jc w:val="center"/>
              <w:rPr>
                <w:rFonts w:eastAsia="華康楷書體W5"/>
              </w:rPr>
            </w:pPr>
            <w:r w:rsidRPr="009831E8">
              <w:rPr>
                <w:rFonts w:eastAsia="華康楷書體W5"/>
              </w:rPr>
              <w:t>4.755</w:t>
            </w:r>
          </w:p>
        </w:tc>
        <w:tc>
          <w:tcPr>
            <w:tcW w:w="1396" w:type="dxa"/>
            <w:vAlign w:val="bottom"/>
          </w:tcPr>
          <w:p w14:paraId="3F2B0832" w14:textId="77777777" w:rsidR="0048718A" w:rsidRPr="009831E8" w:rsidRDefault="0048718A" w:rsidP="00994AF9">
            <w:pPr>
              <w:widowControl/>
              <w:jc w:val="center"/>
              <w:rPr>
                <w:rFonts w:eastAsia="華康楷書體W5"/>
              </w:rPr>
            </w:pPr>
            <w:r w:rsidRPr="009831E8">
              <w:rPr>
                <w:rFonts w:eastAsia="華康楷書體W5"/>
              </w:rPr>
              <w:t>(0.000) ***</w:t>
            </w:r>
          </w:p>
        </w:tc>
      </w:tr>
      <w:tr w:rsidR="0048718A" w:rsidRPr="009831E8" w14:paraId="6AD280F9" w14:textId="77777777" w:rsidTr="00994AF9">
        <w:tc>
          <w:tcPr>
            <w:tcW w:w="1109" w:type="dxa"/>
          </w:tcPr>
          <w:p w14:paraId="4B1E4473" w14:textId="77777777" w:rsidR="0048718A" w:rsidRPr="009831E8" w:rsidRDefault="0048718A" w:rsidP="00994AF9">
            <w:pPr>
              <w:widowControl/>
              <w:rPr>
                <w:rFonts w:eastAsia="華康楷書體W5"/>
              </w:rPr>
            </w:pPr>
            <w:r w:rsidRPr="009831E8">
              <w:t>CCC</w:t>
            </w:r>
          </w:p>
        </w:tc>
        <w:tc>
          <w:tcPr>
            <w:tcW w:w="1676" w:type="dxa"/>
            <w:vAlign w:val="bottom"/>
          </w:tcPr>
          <w:p w14:paraId="6334D54E" w14:textId="77777777" w:rsidR="0048718A" w:rsidRPr="009831E8" w:rsidRDefault="0048718A" w:rsidP="00994AF9">
            <w:pPr>
              <w:widowControl/>
              <w:jc w:val="center"/>
              <w:rPr>
                <w:rFonts w:eastAsia="華康楷書體W5"/>
              </w:rPr>
            </w:pPr>
            <w:r w:rsidRPr="009831E8">
              <w:rPr>
                <w:kern w:val="0"/>
              </w:rPr>
              <w:t>-0.000</w:t>
            </w:r>
          </w:p>
        </w:tc>
        <w:tc>
          <w:tcPr>
            <w:tcW w:w="1382" w:type="dxa"/>
            <w:vAlign w:val="bottom"/>
          </w:tcPr>
          <w:p w14:paraId="7CE7EFE4" w14:textId="77777777" w:rsidR="0048718A" w:rsidRPr="009831E8" w:rsidRDefault="0048718A" w:rsidP="00994AF9">
            <w:pPr>
              <w:widowControl/>
              <w:jc w:val="center"/>
              <w:rPr>
                <w:rFonts w:eastAsia="華康楷書體W5"/>
              </w:rPr>
            </w:pPr>
            <w:r w:rsidRPr="009831E8">
              <w:rPr>
                <w:kern w:val="0"/>
              </w:rPr>
              <w:t>(0.120)</w:t>
            </w:r>
          </w:p>
        </w:tc>
        <w:tc>
          <w:tcPr>
            <w:tcW w:w="1292" w:type="dxa"/>
            <w:vAlign w:val="bottom"/>
          </w:tcPr>
          <w:p w14:paraId="68EB06DF" w14:textId="77777777" w:rsidR="0048718A" w:rsidRPr="009831E8" w:rsidRDefault="0048718A" w:rsidP="00994AF9">
            <w:pPr>
              <w:widowControl/>
              <w:jc w:val="center"/>
              <w:rPr>
                <w:rFonts w:eastAsia="華康楷書體W5"/>
              </w:rPr>
            </w:pPr>
            <w:r w:rsidRPr="009831E8">
              <w:rPr>
                <w:kern w:val="0"/>
              </w:rPr>
              <w:t>-0.000</w:t>
            </w:r>
          </w:p>
        </w:tc>
        <w:tc>
          <w:tcPr>
            <w:tcW w:w="1376" w:type="dxa"/>
            <w:vAlign w:val="bottom"/>
          </w:tcPr>
          <w:p w14:paraId="1B737B65" w14:textId="77777777" w:rsidR="0048718A" w:rsidRPr="009831E8" w:rsidRDefault="0048718A" w:rsidP="00994AF9">
            <w:pPr>
              <w:widowControl/>
              <w:jc w:val="center"/>
              <w:rPr>
                <w:rFonts w:eastAsia="華康楷書體W5"/>
              </w:rPr>
            </w:pPr>
            <w:r w:rsidRPr="009831E8">
              <w:rPr>
                <w:kern w:val="0"/>
              </w:rPr>
              <w:t>(0.000) ***</w:t>
            </w:r>
          </w:p>
        </w:tc>
        <w:tc>
          <w:tcPr>
            <w:tcW w:w="1397" w:type="dxa"/>
            <w:vAlign w:val="bottom"/>
          </w:tcPr>
          <w:p w14:paraId="38519820" w14:textId="77777777" w:rsidR="0048718A" w:rsidRPr="009831E8" w:rsidRDefault="0048718A" w:rsidP="00994AF9">
            <w:pPr>
              <w:widowControl/>
              <w:jc w:val="center"/>
              <w:rPr>
                <w:rFonts w:eastAsia="華康楷書體W5"/>
              </w:rPr>
            </w:pPr>
            <w:r w:rsidRPr="009831E8">
              <w:rPr>
                <w:rFonts w:eastAsia="華康楷書體W5"/>
              </w:rPr>
              <w:t>-0.000</w:t>
            </w:r>
          </w:p>
        </w:tc>
        <w:tc>
          <w:tcPr>
            <w:tcW w:w="1396" w:type="dxa"/>
            <w:vAlign w:val="bottom"/>
          </w:tcPr>
          <w:p w14:paraId="2D45D393" w14:textId="77777777" w:rsidR="0048718A" w:rsidRPr="009831E8" w:rsidRDefault="0048718A" w:rsidP="00994AF9">
            <w:pPr>
              <w:widowControl/>
              <w:jc w:val="center"/>
              <w:rPr>
                <w:rFonts w:eastAsia="華康楷書體W5"/>
              </w:rPr>
            </w:pPr>
            <w:r w:rsidRPr="009831E8">
              <w:rPr>
                <w:rFonts w:eastAsia="華康楷書體W5"/>
              </w:rPr>
              <w:t>(0.028) ***</w:t>
            </w:r>
          </w:p>
        </w:tc>
      </w:tr>
      <w:tr w:rsidR="0048718A" w:rsidRPr="009831E8" w14:paraId="3B6344F7" w14:textId="77777777" w:rsidTr="00994AF9">
        <w:tc>
          <w:tcPr>
            <w:tcW w:w="1109" w:type="dxa"/>
          </w:tcPr>
          <w:p w14:paraId="28AAB0BE" w14:textId="77777777" w:rsidR="0048718A" w:rsidRPr="009831E8" w:rsidRDefault="0048718A" w:rsidP="00994AF9">
            <w:pPr>
              <w:widowControl/>
              <w:rPr>
                <w:rFonts w:eastAsia="華康楷書體W5"/>
              </w:rPr>
            </w:pPr>
            <w:r w:rsidRPr="009831E8">
              <w:rPr>
                <w:rFonts w:eastAsia="華康楷書體W5"/>
              </w:rPr>
              <w:t xml:space="preserve">ROE </w:t>
            </w:r>
          </w:p>
        </w:tc>
        <w:tc>
          <w:tcPr>
            <w:tcW w:w="1676" w:type="dxa"/>
            <w:vAlign w:val="bottom"/>
          </w:tcPr>
          <w:p w14:paraId="374B2C3C" w14:textId="77777777" w:rsidR="0048718A" w:rsidRPr="009831E8" w:rsidRDefault="0048718A" w:rsidP="00994AF9">
            <w:pPr>
              <w:widowControl/>
              <w:jc w:val="center"/>
              <w:rPr>
                <w:rFonts w:eastAsia="華康楷書體W5"/>
              </w:rPr>
            </w:pPr>
            <w:r w:rsidRPr="009831E8">
              <w:rPr>
                <w:kern w:val="0"/>
              </w:rPr>
              <w:t>-0.154</w:t>
            </w:r>
          </w:p>
        </w:tc>
        <w:tc>
          <w:tcPr>
            <w:tcW w:w="1382" w:type="dxa"/>
            <w:vAlign w:val="bottom"/>
          </w:tcPr>
          <w:p w14:paraId="59ECD103" w14:textId="77777777" w:rsidR="0048718A" w:rsidRPr="009831E8" w:rsidRDefault="0048718A" w:rsidP="00994AF9">
            <w:pPr>
              <w:widowControl/>
              <w:jc w:val="center"/>
              <w:rPr>
                <w:rFonts w:eastAsia="華康楷書體W5"/>
              </w:rPr>
            </w:pPr>
            <w:r w:rsidRPr="009831E8">
              <w:rPr>
                <w:kern w:val="0"/>
              </w:rPr>
              <w:t>(0.335)</w:t>
            </w:r>
          </w:p>
        </w:tc>
        <w:tc>
          <w:tcPr>
            <w:tcW w:w="1292" w:type="dxa"/>
            <w:vAlign w:val="bottom"/>
          </w:tcPr>
          <w:p w14:paraId="6D1B4A69" w14:textId="77777777" w:rsidR="0048718A" w:rsidRPr="009831E8" w:rsidRDefault="0048718A" w:rsidP="00994AF9">
            <w:pPr>
              <w:widowControl/>
              <w:jc w:val="center"/>
              <w:rPr>
                <w:rFonts w:eastAsia="華康楷書體W5"/>
              </w:rPr>
            </w:pPr>
            <w:r w:rsidRPr="009831E8">
              <w:rPr>
                <w:kern w:val="0"/>
              </w:rPr>
              <w:t>-0.976</w:t>
            </w:r>
          </w:p>
        </w:tc>
        <w:tc>
          <w:tcPr>
            <w:tcW w:w="1376" w:type="dxa"/>
            <w:vAlign w:val="bottom"/>
          </w:tcPr>
          <w:p w14:paraId="4B0294AE" w14:textId="77777777" w:rsidR="0048718A" w:rsidRPr="009831E8" w:rsidRDefault="0048718A" w:rsidP="00994AF9">
            <w:pPr>
              <w:widowControl/>
              <w:jc w:val="center"/>
              <w:rPr>
                <w:rFonts w:eastAsia="華康楷書體W5"/>
              </w:rPr>
            </w:pPr>
            <w:r w:rsidRPr="009831E8">
              <w:rPr>
                <w:kern w:val="0"/>
              </w:rPr>
              <w:t>(0.000) ***</w:t>
            </w:r>
          </w:p>
        </w:tc>
        <w:tc>
          <w:tcPr>
            <w:tcW w:w="1397" w:type="dxa"/>
            <w:vAlign w:val="bottom"/>
          </w:tcPr>
          <w:p w14:paraId="3D0EBED6" w14:textId="77777777" w:rsidR="0048718A" w:rsidRPr="009831E8" w:rsidRDefault="0048718A" w:rsidP="00994AF9">
            <w:pPr>
              <w:widowControl/>
              <w:jc w:val="center"/>
              <w:rPr>
                <w:rFonts w:eastAsia="華康楷書體W5"/>
              </w:rPr>
            </w:pPr>
            <w:r w:rsidRPr="009831E8">
              <w:rPr>
                <w:rFonts w:eastAsia="華康楷書體W5"/>
              </w:rPr>
              <w:t>-2.418</w:t>
            </w:r>
          </w:p>
        </w:tc>
        <w:tc>
          <w:tcPr>
            <w:tcW w:w="1396" w:type="dxa"/>
            <w:vAlign w:val="bottom"/>
          </w:tcPr>
          <w:p w14:paraId="79BBF998" w14:textId="77777777" w:rsidR="0048718A" w:rsidRPr="009831E8" w:rsidRDefault="0048718A" w:rsidP="00994AF9">
            <w:pPr>
              <w:widowControl/>
              <w:jc w:val="center"/>
              <w:rPr>
                <w:rFonts w:eastAsia="華康楷書體W5"/>
              </w:rPr>
            </w:pPr>
            <w:r w:rsidRPr="009831E8">
              <w:rPr>
                <w:rFonts w:eastAsia="華康楷書體W5"/>
              </w:rPr>
              <w:t>(0.000) ***</w:t>
            </w:r>
          </w:p>
        </w:tc>
      </w:tr>
      <w:tr w:rsidR="0048718A" w:rsidRPr="009831E8" w14:paraId="3C68E639" w14:textId="77777777" w:rsidTr="00994AF9">
        <w:tc>
          <w:tcPr>
            <w:tcW w:w="1109" w:type="dxa"/>
          </w:tcPr>
          <w:p w14:paraId="6A597E3C" w14:textId="77777777" w:rsidR="0048718A" w:rsidRPr="009831E8" w:rsidRDefault="0048718A" w:rsidP="00994AF9">
            <w:pPr>
              <w:widowControl/>
              <w:rPr>
                <w:rFonts w:eastAsia="華康楷書體W5"/>
              </w:rPr>
            </w:pPr>
            <w:r w:rsidRPr="009831E8">
              <w:rPr>
                <w:kern w:val="0"/>
              </w:rPr>
              <w:t>ROA</w:t>
            </w:r>
          </w:p>
        </w:tc>
        <w:tc>
          <w:tcPr>
            <w:tcW w:w="1676" w:type="dxa"/>
            <w:vAlign w:val="bottom"/>
          </w:tcPr>
          <w:p w14:paraId="064CC115" w14:textId="77777777" w:rsidR="0048718A" w:rsidRPr="009831E8" w:rsidRDefault="0048718A" w:rsidP="00994AF9">
            <w:pPr>
              <w:widowControl/>
              <w:jc w:val="center"/>
              <w:rPr>
                <w:rFonts w:eastAsia="華康楷書體W5"/>
              </w:rPr>
            </w:pPr>
            <w:r w:rsidRPr="009831E8">
              <w:rPr>
                <w:kern w:val="0"/>
              </w:rPr>
              <w:t>-</w:t>
            </w:r>
          </w:p>
        </w:tc>
        <w:tc>
          <w:tcPr>
            <w:tcW w:w="1382" w:type="dxa"/>
            <w:vAlign w:val="bottom"/>
          </w:tcPr>
          <w:p w14:paraId="4997EAB7" w14:textId="77777777" w:rsidR="0048718A" w:rsidRPr="009831E8" w:rsidRDefault="0048718A" w:rsidP="00994AF9">
            <w:pPr>
              <w:widowControl/>
              <w:jc w:val="center"/>
              <w:rPr>
                <w:rFonts w:eastAsia="華康楷書體W5"/>
              </w:rPr>
            </w:pPr>
            <w:r w:rsidRPr="009831E8">
              <w:rPr>
                <w:kern w:val="0"/>
              </w:rPr>
              <w:t>-</w:t>
            </w:r>
          </w:p>
        </w:tc>
        <w:tc>
          <w:tcPr>
            <w:tcW w:w="1292" w:type="dxa"/>
            <w:vAlign w:val="bottom"/>
          </w:tcPr>
          <w:p w14:paraId="64144F23" w14:textId="77777777" w:rsidR="0048718A" w:rsidRPr="009831E8" w:rsidRDefault="0048718A" w:rsidP="00994AF9">
            <w:pPr>
              <w:widowControl/>
              <w:jc w:val="center"/>
              <w:rPr>
                <w:rFonts w:eastAsia="華康楷書體W5"/>
              </w:rPr>
            </w:pPr>
            <w:r w:rsidRPr="009831E8">
              <w:t>6.081</w:t>
            </w:r>
          </w:p>
        </w:tc>
        <w:tc>
          <w:tcPr>
            <w:tcW w:w="1376" w:type="dxa"/>
            <w:vAlign w:val="bottom"/>
          </w:tcPr>
          <w:p w14:paraId="7A2CD7B0" w14:textId="77777777" w:rsidR="0048718A" w:rsidRPr="009831E8" w:rsidRDefault="0048718A" w:rsidP="00994AF9">
            <w:pPr>
              <w:widowControl/>
              <w:jc w:val="center"/>
              <w:rPr>
                <w:rFonts w:eastAsia="華康楷書體W5"/>
              </w:rPr>
            </w:pPr>
            <w:r w:rsidRPr="009831E8">
              <w:rPr>
                <w:kern w:val="0"/>
              </w:rPr>
              <w:t>(0.000) ***</w:t>
            </w:r>
          </w:p>
        </w:tc>
        <w:tc>
          <w:tcPr>
            <w:tcW w:w="1397" w:type="dxa"/>
            <w:vAlign w:val="bottom"/>
          </w:tcPr>
          <w:p w14:paraId="255B834F" w14:textId="77777777" w:rsidR="0048718A" w:rsidRPr="009831E8" w:rsidRDefault="0048718A" w:rsidP="00994AF9">
            <w:pPr>
              <w:widowControl/>
              <w:jc w:val="center"/>
              <w:rPr>
                <w:rFonts w:eastAsia="華康楷書體W5"/>
              </w:rPr>
            </w:pPr>
            <w:r w:rsidRPr="009831E8">
              <w:rPr>
                <w:rFonts w:eastAsia="華康楷書體W5"/>
              </w:rPr>
              <w:t>14.403</w:t>
            </w:r>
          </w:p>
        </w:tc>
        <w:tc>
          <w:tcPr>
            <w:tcW w:w="1396" w:type="dxa"/>
            <w:vAlign w:val="bottom"/>
          </w:tcPr>
          <w:p w14:paraId="42C937A7" w14:textId="77777777" w:rsidR="0048718A" w:rsidRPr="009831E8" w:rsidRDefault="0048718A" w:rsidP="00994AF9">
            <w:pPr>
              <w:widowControl/>
              <w:jc w:val="center"/>
              <w:rPr>
                <w:rFonts w:eastAsia="華康楷書體W5"/>
              </w:rPr>
            </w:pPr>
            <w:r w:rsidRPr="009831E8">
              <w:rPr>
                <w:rFonts w:eastAsia="華康楷書體W5"/>
              </w:rPr>
              <w:t>(0.000) ***</w:t>
            </w:r>
          </w:p>
        </w:tc>
      </w:tr>
      <w:tr w:rsidR="0048718A" w:rsidRPr="009831E8" w14:paraId="0F48DE46" w14:textId="77777777" w:rsidTr="00994AF9">
        <w:tc>
          <w:tcPr>
            <w:tcW w:w="1109" w:type="dxa"/>
          </w:tcPr>
          <w:p w14:paraId="1F54E968" w14:textId="77777777" w:rsidR="0048718A" w:rsidRPr="009831E8" w:rsidRDefault="0048718A" w:rsidP="00994AF9">
            <w:pPr>
              <w:widowControl/>
              <w:rPr>
                <w:kern w:val="0"/>
              </w:rPr>
            </w:pPr>
            <w:r w:rsidRPr="009831E8">
              <w:rPr>
                <w:kern w:val="0"/>
              </w:rPr>
              <w:t xml:space="preserve">DPR </w:t>
            </w:r>
          </w:p>
        </w:tc>
        <w:tc>
          <w:tcPr>
            <w:tcW w:w="1676" w:type="dxa"/>
            <w:vAlign w:val="bottom"/>
          </w:tcPr>
          <w:p w14:paraId="178B0650" w14:textId="77777777" w:rsidR="0048718A" w:rsidRPr="009831E8" w:rsidRDefault="0048718A" w:rsidP="00994AF9">
            <w:pPr>
              <w:jc w:val="center"/>
            </w:pPr>
            <w:r w:rsidRPr="009831E8">
              <w:rPr>
                <w:kern w:val="0"/>
              </w:rPr>
              <w:t>-0.003</w:t>
            </w:r>
          </w:p>
        </w:tc>
        <w:tc>
          <w:tcPr>
            <w:tcW w:w="1382" w:type="dxa"/>
            <w:vAlign w:val="bottom"/>
          </w:tcPr>
          <w:p w14:paraId="4B7DE222" w14:textId="77777777" w:rsidR="0048718A" w:rsidRPr="009831E8" w:rsidRDefault="0048718A" w:rsidP="00994AF9">
            <w:pPr>
              <w:widowControl/>
              <w:jc w:val="center"/>
              <w:rPr>
                <w:rFonts w:eastAsia="華康楷書體W5"/>
              </w:rPr>
            </w:pPr>
            <w:r w:rsidRPr="009831E8">
              <w:rPr>
                <w:kern w:val="0"/>
              </w:rPr>
              <w:t>(0.220)</w:t>
            </w:r>
          </w:p>
        </w:tc>
        <w:tc>
          <w:tcPr>
            <w:tcW w:w="1292" w:type="dxa"/>
            <w:vAlign w:val="bottom"/>
          </w:tcPr>
          <w:p w14:paraId="37591F99" w14:textId="77777777" w:rsidR="0048718A" w:rsidRPr="009831E8" w:rsidRDefault="0048718A" w:rsidP="00994AF9">
            <w:pPr>
              <w:widowControl/>
              <w:jc w:val="center"/>
              <w:rPr>
                <w:rFonts w:eastAsia="華康楷書體W5"/>
              </w:rPr>
            </w:pPr>
            <w:r w:rsidRPr="009831E8">
              <w:t>-0.009</w:t>
            </w:r>
          </w:p>
        </w:tc>
        <w:tc>
          <w:tcPr>
            <w:tcW w:w="1376" w:type="dxa"/>
            <w:vAlign w:val="bottom"/>
          </w:tcPr>
          <w:p w14:paraId="711E03F9" w14:textId="77777777" w:rsidR="0048718A" w:rsidRPr="009831E8" w:rsidRDefault="0048718A" w:rsidP="00994AF9">
            <w:pPr>
              <w:widowControl/>
              <w:jc w:val="center"/>
              <w:rPr>
                <w:rFonts w:eastAsia="華康楷書體W5"/>
              </w:rPr>
            </w:pPr>
            <w:r w:rsidRPr="009831E8">
              <w:rPr>
                <w:kern w:val="0"/>
              </w:rPr>
              <w:t>(0.000) ***</w:t>
            </w:r>
          </w:p>
        </w:tc>
        <w:tc>
          <w:tcPr>
            <w:tcW w:w="1397" w:type="dxa"/>
            <w:vAlign w:val="bottom"/>
          </w:tcPr>
          <w:p w14:paraId="278B6E08" w14:textId="77777777" w:rsidR="0048718A" w:rsidRPr="009831E8" w:rsidRDefault="0048718A" w:rsidP="00994AF9">
            <w:pPr>
              <w:widowControl/>
              <w:jc w:val="center"/>
              <w:rPr>
                <w:rFonts w:eastAsia="華康楷書體W5"/>
              </w:rPr>
            </w:pPr>
            <w:r w:rsidRPr="009831E8">
              <w:t>-0.454</w:t>
            </w:r>
          </w:p>
        </w:tc>
        <w:tc>
          <w:tcPr>
            <w:tcW w:w="1396" w:type="dxa"/>
            <w:vAlign w:val="bottom"/>
          </w:tcPr>
          <w:p w14:paraId="2B08E513" w14:textId="77777777" w:rsidR="0048718A" w:rsidRPr="009831E8" w:rsidRDefault="0048718A" w:rsidP="00994AF9">
            <w:pPr>
              <w:widowControl/>
              <w:rPr>
                <w:rFonts w:eastAsia="華康楷書體W5"/>
              </w:rPr>
            </w:pPr>
            <w:r w:rsidRPr="009831E8">
              <w:rPr>
                <w:rFonts w:eastAsia="華康楷書體W5"/>
              </w:rPr>
              <w:t xml:space="preserve">(0.232) </w:t>
            </w:r>
          </w:p>
        </w:tc>
      </w:tr>
      <w:tr w:rsidR="0048718A" w:rsidRPr="009831E8" w14:paraId="479AC7AD" w14:textId="77777777" w:rsidTr="00994AF9">
        <w:tc>
          <w:tcPr>
            <w:tcW w:w="1109" w:type="dxa"/>
          </w:tcPr>
          <w:p w14:paraId="7983EB22" w14:textId="77777777" w:rsidR="0048718A" w:rsidRPr="009831E8" w:rsidRDefault="0048718A" w:rsidP="00994AF9">
            <w:pPr>
              <w:widowControl/>
              <w:rPr>
                <w:kern w:val="0"/>
              </w:rPr>
            </w:pPr>
            <w:r w:rsidRPr="009831E8">
              <w:rPr>
                <w:kern w:val="0"/>
              </w:rPr>
              <w:t>PBV</w:t>
            </w:r>
          </w:p>
        </w:tc>
        <w:tc>
          <w:tcPr>
            <w:tcW w:w="1676" w:type="dxa"/>
            <w:vAlign w:val="bottom"/>
          </w:tcPr>
          <w:p w14:paraId="54E07109" w14:textId="77777777" w:rsidR="0048718A" w:rsidRPr="009831E8" w:rsidRDefault="0048718A" w:rsidP="00994AF9">
            <w:pPr>
              <w:jc w:val="center"/>
            </w:pPr>
            <w:r w:rsidRPr="009831E8">
              <w:rPr>
                <w:kern w:val="0"/>
              </w:rPr>
              <w:t>-0.040</w:t>
            </w:r>
          </w:p>
        </w:tc>
        <w:tc>
          <w:tcPr>
            <w:tcW w:w="1382" w:type="dxa"/>
            <w:vAlign w:val="bottom"/>
          </w:tcPr>
          <w:p w14:paraId="415D3F82" w14:textId="77777777" w:rsidR="0048718A" w:rsidRPr="009831E8" w:rsidRDefault="0048718A" w:rsidP="00994AF9">
            <w:pPr>
              <w:widowControl/>
              <w:jc w:val="center"/>
              <w:rPr>
                <w:rFonts w:eastAsia="華康楷書體W5"/>
              </w:rPr>
            </w:pPr>
            <w:r w:rsidRPr="009831E8">
              <w:rPr>
                <w:kern w:val="0"/>
              </w:rPr>
              <w:t>(0.000) ***</w:t>
            </w:r>
          </w:p>
        </w:tc>
        <w:tc>
          <w:tcPr>
            <w:tcW w:w="1292" w:type="dxa"/>
            <w:vAlign w:val="bottom"/>
          </w:tcPr>
          <w:p w14:paraId="315A44E1" w14:textId="77777777" w:rsidR="0048718A" w:rsidRPr="009831E8" w:rsidRDefault="0048718A" w:rsidP="00994AF9">
            <w:pPr>
              <w:widowControl/>
              <w:jc w:val="center"/>
              <w:rPr>
                <w:rFonts w:eastAsia="華康楷書體W5"/>
              </w:rPr>
            </w:pPr>
            <w:r w:rsidRPr="009831E8">
              <w:rPr>
                <w:kern w:val="0"/>
              </w:rPr>
              <w:t>-</w:t>
            </w:r>
          </w:p>
        </w:tc>
        <w:tc>
          <w:tcPr>
            <w:tcW w:w="1376" w:type="dxa"/>
            <w:vAlign w:val="bottom"/>
          </w:tcPr>
          <w:p w14:paraId="6F113FBB" w14:textId="77777777" w:rsidR="0048718A" w:rsidRPr="009831E8" w:rsidRDefault="0048718A" w:rsidP="00994AF9">
            <w:pPr>
              <w:widowControl/>
              <w:jc w:val="center"/>
              <w:rPr>
                <w:rFonts w:eastAsia="華康楷書體W5"/>
              </w:rPr>
            </w:pPr>
            <w:r w:rsidRPr="009831E8">
              <w:rPr>
                <w:rFonts w:eastAsia="華康楷書體W5"/>
              </w:rPr>
              <w:t>-</w:t>
            </w:r>
          </w:p>
        </w:tc>
        <w:tc>
          <w:tcPr>
            <w:tcW w:w="1397" w:type="dxa"/>
            <w:vAlign w:val="bottom"/>
          </w:tcPr>
          <w:p w14:paraId="03C6DA87" w14:textId="77777777" w:rsidR="0048718A" w:rsidRPr="009831E8" w:rsidRDefault="0048718A" w:rsidP="00994AF9">
            <w:pPr>
              <w:widowControl/>
              <w:jc w:val="center"/>
              <w:rPr>
                <w:rFonts w:eastAsia="華康楷書體W5"/>
              </w:rPr>
            </w:pPr>
            <w:r w:rsidRPr="009831E8">
              <w:t>-0.168</w:t>
            </w:r>
          </w:p>
        </w:tc>
        <w:tc>
          <w:tcPr>
            <w:tcW w:w="1396" w:type="dxa"/>
          </w:tcPr>
          <w:p w14:paraId="7EBA2E9A" w14:textId="77777777" w:rsidR="0048718A" w:rsidRPr="009831E8" w:rsidRDefault="0048718A" w:rsidP="00994AF9">
            <w:pPr>
              <w:widowControl/>
              <w:jc w:val="center"/>
              <w:rPr>
                <w:rFonts w:eastAsia="華康楷書體W5"/>
              </w:rPr>
            </w:pPr>
            <w:r w:rsidRPr="009831E8">
              <w:rPr>
                <w:rFonts w:eastAsia="華康楷書體W5"/>
              </w:rPr>
              <w:t>(0.000) ***</w:t>
            </w:r>
          </w:p>
        </w:tc>
      </w:tr>
      <w:tr w:rsidR="0048718A" w:rsidRPr="009831E8" w14:paraId="52961AE1" w14:textId="77777777" w:rsidTr="00994AF9">
        <w:tc>
          <w:tcPr>
            <w:tcW w:w="1109" w:type="dxa"/>
          </w:tcPr>
          <w:p w14:paraId="17EB09E6" w14:textId="77777777" w:rsidR="0048718A" w:rsidRPr="009831E8" w:rsidRDefault="0048718A" w:rsidP="00994AF9">
            <w:pPr>
              <w:widowControl/>
              <w:rPr>
                <w:kern w:val="0"/>
              </w:rPr>
            </w:pPr>
            <w:r w:rsidRPr="009831E8">
              <w:rPr>
                <w:kern w:val="0"/>
              </w:rPr>
              <w:t xml:space="preserve">FCF    </w:t>
            </w:r>
          </w:p>
        </w:tc>
        <w:tc>
          <w:tcPr>
            <w:tcW w:w="1676" w:type="dxa"/>
            <w:vAlign w:val="bottom"/>
          </w:tcPr>
          <w:p w14:paraId="2EE76C10" w14:textId="77777777" w:rsidR="0048718A" w:rsidRPr="009831E8" w:rsidRDefault="0048718A" w:rsidP="00994AF9">
            <w:pPr>
              <w:jc w:val="center"/>
            </w:pPr>
            <w:r w:rsidRPr="009831E8">
              <w:rPr>
                <w:kern w:val="0"/>
              </w:rPr>
              <w:t>0.000</w:t>
            </w:r>
          </w:p>
        </w:tc>
        <w:tc>
          <w:tcPr>
            <w:tcW w:w="1382" w:type="dxa"/>
            <w:vAlign w:val="bottom"/>
          </w:tcPr>
          <w:p w14:paraId="7F295B6E" w14:textId="77777777" w:rsidR="0048718A" w:rsidRPr="009831E8" w:rsidRDefault="0048718A" w:rsidP="00994AF9">
            <w:pPr>
              <w:widowControl/>
              <w:jc w:val="center"/>
              <w:rPr>
                <w:rFonts w:eastAsia="華康楷書體W5"/>
              </w:rPr>
            </w:pPr>
            <w:r w:rsidRPr="009831E8">
              <w:rPr>
                <w:kern w:val="0"/>
              </w:rPr>
              <w:t>(0.235)</w:t>
            </w:r>
          </w:p>
        </w:tc>
        <w:tc>
          <w:tcPr>
            <w:tcW w:w="1292" w:type="dxa"/>
            <w:vAlign w:val="bottom"/>
          </w:tcPr>
          <w:p w14:paraId="70A57EF3" w14:textId="77777777" w:rsidR="0048718A" w:rsidRPr="009831E8" w:rsidRDefault="0048718A" w:rsidP="00994AF9">
            <w:pPr>
              <w:widowControl/>
              <w:jc w:val="center"/>
              <w:rPr>
                <w:rFonts w:eastAsia="華康楷書體W5"/>
              </w:rPr>
            </w:pPr>
            <w:r w:rsidRPr="009831E8">
              <w:rPr>
                <w:kern w:val="0"/>
              </w:rPr>
              <w:t>0.0029</w:t>
            </w:r>
          </w:p>
        </w:tc>
        <w:tc>
          <w:tcPr>
            <w:tcW w:w="1376" w:type="dxa"/>
            <w:vAlign w:val="bottom"/>
          </w:tcPr>
          <w:p w14:paraId="18041103" w14:textId="77777777" w:rsidR="0048718A" w:rsidRPr="009831E8" w:rsidRDefault="0048718A" w:rsidP="00994AF9">
            <w:pPr>
              <w:widowControl/>
              <w:jc w:val="center"/>
              <w:rPr>
                <w:rFonts w:eastAsia="華康楷書體W5"/>
              </w:rPr>
            </w:pPr>
            <w:r w:rsidRPr="009831E8">
              <w:rPr>
                <w:kern w:val="0"/>
              </w:rPr>
              <w:t>(0.002) ***</w:t>
            </w:r>
          </w:p>
        </w:tc>
        <w:tc>
          <w:tcPr>
            <w:tcW w:w="1397" w:type="dxa"/>
            <w:vAlign w:val="bottom"/>
          </w:tcPr>
          <w:p w14:paraId="6F0D66BF" w14:textId="77777777" w:rsidR="0048718A" w:rsidRPr="009831E8" w:rsidRDefault="0048718A" w:rsidP="00994AF9">
            <w:pPr>
              <w:widowControl/>
              <w:jc w:val="center"/>
              <w:rPr>
                <w:rFonts w:eastAsia="華康楷書體W5"/>
              </w:rPr>
            </w:pPr>
            <w:r w:rsidRPr="009831E8">
              <w:t>0.023</w:t>
            </w:r>
          </w:p>
        </w:tc>
        <w:tc>
          <w:tcPr>
            <w:tcW w:w="1396" w:type="dxa"/>
          </w:tcPr>
          <w:p w14:paraId="702B923D" w14:textId="77777777" w:rsidR="0048718A" w:rsidRPr="009831E8" w:rsidRDefault="0048718A" w:rsidP="00994AF9">
            <w:pPr>
              <w:widowControl/>
              <w:jc w:val="center"/>
              <w:rPr>
                <w:rFonts w:eastAsia="華康楷書體W5"/>
              </w:rPr>
            </w:pPr>
            <w:r w:rsidRPr="009831E8">
              <w:rPr>
                <w:rFonts w:eastAsia="華康楷書體W5"/>
              </w:rPr>
              <w:t>(0.000) ***</w:t>
            </w:r>
          </w:p>
        </w:tc>
      </w:tr>
      <w:tr w:rsidR="0048718A" w:rsidRPr="009831E8" w14:paraId="7BDB3FDC" w14:textId="77777777" w:rsidTr="00994AF9">
        <w:trPr>
          <w:trHeight w:val="134"/>
        </w:trPr>
        <w:tc>
          <w:tcPr>
            <w:tcW w:w="1109" w:type="dxa"/>
          </w:tcPr>
          <w:p w14:paraId="63921928" w14:textId="77777777" w:rsidR="0048718A" w:rsidRPr="009831E8" w:rsidRDefault="0048718A" w:rsidP="00994AF9">
            <w:pPr>
              <w:widowControl/>
              <w:rPr>
                <w:kern w:val="0"/>
              </w:rPr>
            </w:pPr>
            <w:r w:rsidRPr="009831E8">
              <w:rPr>
                <w:kern w:val="0"/>
              </w:rPr>
              <w:t>TAT</w:t>
            </w:r>
          </w:p>
        </w:tc>
        <w:tc>
          <w:tcPr>
            <w:tcW w:w="1676" w:type="dxa"/>
            <w:vAlign w:val="bottom"/>
          </w:tcPr>
          <w:p w14:paraId="76DBF130" w14:textId="6E05CD08" w:rsidR="0048718A" w:rsidRPr="009831E8" w:rsidRDefault="0048718A" w:rsidP="00994AF9">
            <w:pPr>
              <w:jc w:val="center"/>
            </w:pPr>
            <w:r w:rsidRPr="009831E8">
              <w:rPr>
                <w:kern w:val="0"/>
              </w:rPr>
              <w:t>0.883</w:t>
            </w:r>
          </w:p>
        </w:tc>
        <w:tc>
          <w:tcPr>
            <w:tcW w:w="1382" w:type="dxa"/>
            <w:vAlign w:val="bottom"/>
          </w:tcPr>
          <w:p w14:paraId="6EC0C096" w14:textId="77777777" w:rsidR="0048718A" w:rsidRPr="009831E8" w:rsidRDefault="0048718A" w:rsidP="00994AF9">
            <w:pPr>
              <w:widowControl/>
              <w:jc w:val="center"/>
              <w:rPr>
                <w:rFonts w:eastAsia="華康楷書體W5"/>
              </w:rPr>
            </w:pPr>
            <w:r w:rsidRPr="009831E8">
              <w:rPr>
                <w:kern w:val="0"/>
              </w:rPr>
              <w:t>(0.000) ***</w:t>
            </w:r>
          </w:p>
        </w:tc>
        <w:tc>
          <w:tcPr>
            <w:tcW w:w="1292" w:type="dxa"/>
            <w:vAlign w:val="bottom"/>
          </w:tcPr>
          <w:p w14:paraId="73A927F6" w14:textId="77777777" w:rsidR="0048718A" w:rsidRPr="009831E8" w:rsidRDefault="0048718A" w:rsidP="00994AF9">
            <w:pPr>
              <w:widowControl/>
              <w:jc w:val="center"/>
              <w:rPr>
                <w:rFonts w:eastAsia="華康楷書體W5"/>
              </w:rPr>
            </w:pPr>
            <w:r w:rsidRPr="009831E8">
              <w:rPr>
                <w:kern w:val="0"/>
              </w:rPr>
              <w:t>1.181</w:t>
            </w:r>
          </w:p>
        </w:tc>
        <w:tc>
          <w:tcPr>
            <w:tcW w:w="1376" w:type="dxa"/>
            <w:vAlign w:val="bottom"/>
          </w:tcPr>
          <w:p w14:paraId="3B6EF0BE" w14:textId="77777777" w:rsidR="0048718A" w:rsidRPr="009831E8" w:rsidRDefault="0048718A" w:rsidP="00994AF9">
            <w:pPr>
              <w:widowControl/>
              <w:jc w:val="center"/>
              <w:rPr>
                <w:rFonts w:eastAsia="華康楷書體W5"/>
              </w:rPr>
            </w:pPr>
            <w:r w:rsidRPr="009831E8">
              <w:rPr>
                <w:kern w:val="0"/>
              </w:rPr>
              <w:t>(0.000) ***</w:t>
            </w:r>
          </w:p>
        </w:tc>
        <w:tc>
          <w:tcPr>
            <w:tcW w:w="1397" w:type="dxa"/>
            <w:vAlign w:val="bottom"/>
          </w:tcPr>
          <w:p w14:paraId="2A1683EA" w14:textId="77777777" w:rsidR="0048718A" w:rsidRPr="009831E8" w:rsidRDefault="0048718A" w:rsidP="00994AF9">
            <w:pPr>
              <w:widowControl/>
              <w:jc w:val="center"/>
              <w:rPr>
                <w:rFonts w:eastAsia="華康楷書體W5"/>
              </w:rPr>
            </w:pPr>
            <w:r w:rsidRPr="009831E8">
              <w:t>1.603</w:t>
            </w:r>
          </w:p>
        </w:tc>
        <w:tc>
          <w:tcPr>
            <w:tcW w:w="1396" w:type="dxa"/>
          </w:tcPr>
          <w:p w14:paraId="3CCF6826" w14:textId="77777777" w:rsidR="0048718A" w:rsidRPr="009831E8" w:rsidRDefault="0048718A" w:rsidP="00994AF9">
            <w:pPr>
              <w:widowControl/>
              <w:jc w:val="center"/>
              <w:rPr>
                <w:rFonts w:eastAsia="華康楷書體W5"/>
              </w:rPr>
            </w:pPr>
            <w:r w:rsidRPr="009831E8">
              <w:rPr>
                <w:rFonts w:eastAsia="華康楷書體W5"/>
              </w:rPr>
              <w:t>(0.000) ***</w:t>
            </w:r>
          </w:p>
        </w:tc>
      </w:tr>
    </w:tbl>
    <w:p w14:paraId="05B01CD6" w14:textId="37B6299D" w:rsidR="003A7047" w:rsidRPr="00776F07" w:rsidRDefault="0048718A" w:rsidP="00330959">
      <w:pPr>
        <w:widowControl/>
        <w:jc w:val="both"/>
        <w:rPr>
          <w:rFonts w:eastAsia="標楷體"/>
          <w:bCs/>
        </w:rPr>
      </w:pPr>
      <w:r w:rsidRPr="009831E8">
        <w:rPr>
          <w:rFonts w:eastAsia="標楷體"/>
          <w:b/>
        </w:rPr>
        <w:t>Note: *, **, and *** denote 10%, 5% and 1% levels of significant for p value</w:t>
      </w:r>
      <w:r w:rsidR="0077076A">
        <w:rPr>
          <w:rFonts w:eastAsia="標楷體"/>
          <w:b/>
        </w:rPr>
        <w:t>.</w:t>
      </w:r>
    </w:p>
    <w:p w14:paraId="4C8D26E1" w14:textId="34660061" w:rsidR="00E913A8" w:rsidRDefault="00780B2F" w:rsidP="009C4579">
      <w:pPr>
        <w:tabs>
          <w:tab w:val="num" w:pos="0"/>
        </w:tabs>
        <w:ind w:right="-35"/>
        <w:jc w:val="both"/>
      </w:pPr>
      <w:r w:rsidRPr="009831E8">
        <w:lastRenderedPageBreak/>
        <w:tab/>
      </w:r>
      <w:r w:rsidR="000A0229" w:rsidRPr="000A0229">
        <w:t xml:space="preserve">Table 4 shows the results of the negative binomial distribution. The test results for the ZS were positively significant in all quantiles. The results suggested that the prospect of the increases in financial health (ZS) added clarifying support for influencing financial distress positively. These results conflict with the proposed hypothesis. </w:t>
      </w:r>
      <w:r w:rsidR="00860BB6">
        <w:t xml:space="preserve">Giordana and </w:t>
      </w:r>
      <w:r w:rsidR="000A0229" w:rsidRPr="000A0229">
        <w:t>Schumacher (2017) confirmed a positive relationship between Z score and firm performance, but less cost efficiency enhances the risk of insolvency.</w:t>
      </w:r>
    </w:p>
    <w:p w14:paraId="31A4B8F8" w14:textId="1758E24E" w:rsidR="00776F07" w:rsidRDefault="00776F07" w:rsidP="009C4579">
      <w:pPr>
        <w:tabs>
          <w:tab w:val="num" w:pos="0"/>
        </w:tabs>
        <w:ind w:right="-35"/>
        <w:jc w:val="both"/>
        <w:rPr>
          <w:shd w:val="clear" w:color="auto" w:fill="FFFFFF"/>
        </w:rPr>
      </w:pPr>
      <w:r w:rsidRPr="009831E8">
        <w:rPr>
          <w:rFonts w:eastAsia="華康楷書體W5"/>
          <w:b/>
        </w:rPr>
        <w:t>Table 4 Estimations Negative Binomial Regression distribution</w:t>
      </w:r>
    </w:p>
    <w:tbl>
      <w:tblPr>
        <w:tblStyle w:val="af"/>
        <w:tblW w:w="0" w:type="auto"/>
        <w:tblLook w:val="04A0" w:firstRow="1" w:lastRow="0" w:firstColumn="1" w:lastColumn="0" w:noHBand="0" w:noVBand="1"/>
      </w:tblPr>
      <w:tblGrid>
        <w:gridCol w:w="1109"/>
        <w:gridCol w:w="1676"/>
        <w:gridCol w:w="1382"/>
        <w:gridCol w:w="1292"/>
        <w:gridCol w:w="1376"/>
        <w:gridCol w:w="1397"/>
        <w:gridCol w:w="1396"/>
      </w:tblGrid>
      <w:tr w:rsidR="006A4C6C" w:rsidRPr="009831E8" w14:paraId="549FF33C" w14:textId="77777777" w:rsidTr="00994AF9">
        <w:trPr>
          <w:trHeight w:val="521"/>
        </w:trPr>
        <w:tc>
          <w:tcPr>
            <w:tcW w:w="9628" w:type="dxa"/>
            <w:gridSpan w:val="7"/>
          </w:tcPr>
          <w:p w14:paraId="7FC8C7A5" w14:textId="77777777" w:rsidR="006A4C6C" w:rsidRPr="009831E8" w:rsidRDefault="006A4C6C" w:rsidP="00994AF9">
            <w:pPr>
              <w:widowControl/>
              <w:jc w:val="center"/>
              <w:rPr>
                <w:rFonts w:eastAsia="華康楷書體W5"/>
              </w:rPr>
            </w:pPr>
            <w:r w:rsidRPr="009831E8">
              <w:rPr>
                <w:rFonts w:eastAsia="華康楷書體W5"/>
              </w:rPr>
              <w:t>Negative Binomial</w:t>
            </w:r>
          </w:p>
        </w:tc>
      </w:tr>
      <w:tr w:rsidR="006A4C6C" w:rsidRPr="009831E8" w14:paraId="05F56DA0" w14:textId="77777777" w:rsidTr="00994AF9">
        <w:trPr>
          <w:trHeight w:val="521"/>
        </w:trPr>
        <w:tc>
          <w:tcPr>
            <w:tcW w:w="1109" w:type="dxa"/>
          </w:tcPr>
          <w:p w14:paraId="17432D06" w14:textId="77777777" w:rsidR="006A4C6C" w:rsidRPr="009831E8" w:rsidRDefault="006A4C6C" w:rsidP="00994AF9">
            <w:pPr>
              <w:widowControl/>
            </w:pPr>
          </w:p>
        </w:tc>
        <w:tc>
          <w:tcPr>
            <w:tcW w:w="3058" w:type="dxa"/>
            <w:gridSpan w:val="2"/>
          </w:tcPr>
          <w:p w14:paraId="07230C0F" w14:textId="77777777" w:rsidR="006A4C6C" w:rsidRPr="009831E8" w:rsidRDefault="006A4C6C" w:rsidP="00091988">
            <w:pPr>
              <w:widowControl/>
              <w:jc w:val="center"/>
              <w:rPr>
                <w:rFonts w:eastAsia="華康楷書體W5"/>
              </w:rPr>
            </w:pPr>
            <w:r w:rsidRPr="009831E8">
              <w:rPr>
                <w:rFonts w:eastAsia="華康楷書體W5"/>
              </w:rPr>
              <w:t>Q1</w:t>
            </w:r>
          </w:p>
        </w:tc>
        <w:tc>
          <w:tcPr>
            <w:tcW w:w="2668" w:type="dxa"/>
            <w:gridSpan w:val="2"/>
          </w:tcPr>
          <w:p w14:paraId="66925CDC" w14:textId="77777777" w:rsidR="006A4C6C" w:rsidRPr="009831E8" w:rsidRDefault="006A4C6C" w:rsidP="00091988">
            <w:pPr>
              <w:widowControl/>
              <w:jc w:val="center"/>
              <w:rPr>
                <w:rFonts w:eastAsia="華康楷書體W5"/>
              </w:rPr>
            </w:pPr>
            <w:r w:rsidRPr="009831E8">
              <w:rPr>
                <w:rFonts w:eastAsia="華康楷書體W5"/>
              </w:rPr>
              <w:t>Q2</w:t>
            </w:r>
          </w:p>
        </w:tc>
        <w:tc>
          <w:tcPr>
            <w:tcW w:w="2793" w:type="dxa"/>
            <w:gridSpan w:val="2"/>
          </w:tcPr>
          <w:p w14:paraId="180153B8" w14:textId="77777777" w:rsidR="006A4C6C" w:rsidRPr="009831E8" w:rsidRDefault="006A4C6C" w:rsidP="00091988">
            <w:pPr>
              <w:widowControl/>
              <w:jc w:val="center"/>
              <w:rPr>
                <w:rFonts w:eastAsia="華康楷書體W5"/>
              </w:rPr>
            </w:pPr>
            <w:r w:rsidRPr="009831E8">
              <w:rPr>
                <w:rFonts w:eastAsia="華康楷書體W5"/>
              </w:rPr>
              <w:t>Q3</w:t>
            </w:r>
          </w:p>
        </w:tc>
      </w:tr>
      <w:tr w:rsidR="006A4C6C" w:rsidRPr="009831E8" w14:paraId="12974C30" w14:textId="77777777" w:rsidTr="00994AF9">
        <w:trPr>
          <w:trHeight w:val="521"/>
        </w:trPr>
        <w:tc>
          <w:tcPr>
            <w:tcW w:w="1109" w:type="dxa"/>
          </w:tcPr>
          <w:p w14:paraId="337B33F2" w14:textId="77777777" w:rsidR="006A4C6C" w:rsidRPr="009831E8" w:rsidRDefault="006A4C6C" w:rsidP="00994AF9">
            <w:pPr>
              <w:widowControl/>
            </w:pPr>
            <w:r w:rsidRPr="009831E8">
              <w:t>Variables</w:t>
            </w:r>
          </w:p>
        </w:tc>
        <w:tc>
          <w:tcPr>
            <w:tcW w:w="1676" w:type="dxa"/>
          </w:tcPr>
          <w:p w14:paraId="188493D2" w14:textId="77777777" w:rsidR="006A4C6C" w:rsidRPr="009831E8" w:rsidRDefault="006A4C6C" w:rsidP="00994AF9">
            <w:pPr>
              <w:widowControl/>
              <w:rPr>
                <w:rFonts w:eastAsia="華康楷書體W5"/>
              </w:rPr>
            </w:pPr>
            <w:r w:rsidRPr="009831E8">
              <w:rPr>
                <w:rFonts w:eastAsia="華康楷書體W5"/>
              </w:rPr>
              <w:t xml:space="preserve">Coefficient </w:t>
            </w:r>
          </w:p>
        </w:tc>
        <w:tc>
          <w:tcPr>
            <w:tcW w:w="1382" w:type="dxa"/>
          </w:tcPr>
          <w:p w14:paraId="3127AF04" w14:textId="77777777" w:rsidR="006A4C6C" w:rsidRPr="009831E8" w:rsidRDefault="006A4C6C" w:rsidP="00994AF9">
            <w:pPr>
              <w:widowControl/>
              <w:rPr>
                <w:rFonts w:eastAsia="華康楷書體W5"/>
              </w:rPr>
            </w:pPr>
            <w:r w:rsidRPr="009831E8">
              <w:rPr>
                <w:rFonts w:eastAsia="華康楷書體W5"/>
              </w:rPr>
              <w:t>Prob.</w:t>
            </w:r>
          </w:p>
        </w:tc>
        <w:tc>
          <w:tcPr>
            <w:tcW w:w="1292" w:type="dxa"/>
          </w:tcPr>
          <w:p w14:paraId="5A71EA1E" w14:textId="77777777" w:rsidR="006A4C6C" w:rsidRPr="009831E8" w:rsidRDefault="006A4C6C" w:rsidP="00994AF9">
            <w:pPr>
              <w:widowControl/>
              <w:rPr>
                <w:rFonts w:eastAsia="華康楷書體W5"/>
              </w:rPr>
            </w:pPr>
            <w:r w:rsidRPr="009831E8">
              <w:rPr>
                <w:rFonts w:eastAsia="華康楷書體W5"/>
              </w:rPr>
              <w:t>Coefficient</w:t>
            </w:r>
          </w:p>
        </w:tc>
        <w:tc>
          <w:tcPr>
            <w:tcW w:w="1376" w:type="dxa"/>
          </w:tcPr>
          <w:p w14:paraId="5F2F6D8B" w14:textId="77777777" w:rsidR="006A4C6C" w:rsidRPr="009831E8" w:rsidRDefault="006A4C6C" w:rsidP="00994AF9">
            <w:pPr>
              <w:widowControl/>
              <w:rPr>
                <w:rFonts w:eastAsia="華康楷書體W5"/>
              </w:rPr>
            </w:pPr>
            <w:r w:rsidRPr="009831E8">
              <w:rPr>
                <w:rFonts w:eastAsia="華康楷書體W5"/>
              </w:rPr>
              <w:t>Prob.</w:t>
            </w:r>
          </w:p>
        </w:tc>
        <w:tc>
          <w:tcPr>
            <w:tcW w:w="1397" w:type="dxa"/>
          </w:tcPr>
          <w:p w14:paraId="398A55DF" w14:textId="77777777" w:rsidR="006A4C6C" w:rsidRPr="009831E8" w:rsidRDefault="006A4C6C" w:rsidP="00994AF9">
            <w:pPr>
              <w:widowControl/>
              <w:rPr>
                <w:rFonts w:eastAsia="華康楷書體W5"/>
              </w:rPr>
            </w:pPr>
            <w:r w:rsidRPr="009831E8">
              <w:rPr>
                <w:rFonts w:eastAsia="華康楷書體W5"/>
              </w:rPr>
              <w:t>Coefficient</w:t>
            </w:r>
          </w:p>
        </w:tc>
        <w:tc>
          <w:tcPr>
            <w:tcW w:w="1396" w:type="dxa"/>
          </w:tcPr>
          <w:p w14:paraId="0B0D26D4" w14:textId="77777777" w:rsidR="006A4C6C" w:rsidRPr="009831E8" w:rsidRDefault="006A4C6C" w:rsidP="00994AF9">
            <w:pPr>
              <w:widowControl/>
              <w:rPr>
                <w:rFonts w:eastAsia="華康楷書體W5"/>
              </w:rPr>
            </w:pPr>
            <w:r w:rsidRPr="009831E8">
              <w:rPr>
                <w:rFonts w:eastAsia="華康楷書體W5"/>
              </w:rPr>
              <w:t>Prob.</w:t>
            </w:r>
          </w:p>
        </w:tc>
      </w:tr>
      <w:tr w:rsidR="006A4C6C" w:rsidRPr="009831E8" w14:paraId="457D1AAC" w14:textId="77777777" w:rsidTr="00994AF9">
        <w:tc>
          <w:tcPr>
            <w:tcW w:w="1109" w:type="dxa"/>
          </w:tcPr>
          <w:p w14:paraId="5152979E" w14:textId="77777777" w:rsidR="006A4C6C" w:rsidRPr="009831E8" w:rsidRDefault="006A4C6C" w:rsidP="00994AF9">
            <w:pPr>
              <w:widowControl/>
            </w:pPr>
            <w:r w:rsidRPr="009831E8">
              <w:t>C</w:t>
            </w:r>
          </w:p>
        </w:tc>
        <w:tc>
          <w:tcPr>
            <w:tcW w:w="1676" w:type="dxa"/>
          </w:tcPr>
          <w:p w14:paraId="688F5B7E" w14:textId="77777777" w:rsidR="006A4C6C" w:rsidRPr="009831E8" w:rsidRDefault="006A4C6C" w:rsidP="00994AF9">
            <w:pPr>
              <w:widowControl/>
              <w:rPr>
                <w:rFonts w:eastAsia="華康楷書體W5"/>
              </w:rPr>
            </w:pPr>
            <w:r w:rsidRPr="009831E8">
              <w:rPr>
                <w:kern w:val="0"/>
              </w:rPr>
              <w:t xml:space="preserve">    3.196</w:t>
            </w:r>
          </w:p>
        </w:tc>
        <w:tc>
          <w:tcPr>
            <w:tcW w:w="1382" w:type="dxa"/>
          </w:tcPr>
          <w:p w14:paraId="5EB5DB78" w14:textId="77777777" w:rsidR="006A4C6C" w:rsidRPr="009831E8" w:rsidRDefault="006A4C6C" w:rsidP="00994AF9">
            <w:pPr>
              <w:widowControl/>
              <w:jc w:val="center"/>
              <w:rPr>
                <w:rFonts w:eastAsia="華康楷書體W5"/>
              </w:rPr>
            </w:pPr>
            <w:r w:rsidRPr="009831E8">
              <w:rPr>
                <w:rFonts w:eastAsia="華康楷書體W5"/>
              </w:rPr>
              <w:t>(0.000) ***</w:t>
            </w:r>
          </w:p>
        </w:tc>
        <w:tc>
          <w:tcPr>
            <w:tcW w:w="1292" w:type="dxa"/>
          </w:tcPr>
          <w:p w14:paraId="01B17D9D" w14:textId="77777777" w:rsidR="006A4C6C" w:rsidRPr="009831E8" w:rsidRDefault="006A4C6C" w:rsidP="00994AF9">
            <w:pPr>
              <w:widowControl/>
              <w:jc w:val="center"/>
              <w:rPr>
                <w:rFonts w:eastAsia="華康楷書體W5"/>
              </w:rPr>
            </w:pPr>
            <w:r w:rsidRPr="009831E8">
              <w:t>2.785</w:t>
            </w:r>
          </w:p>
        </w:tc>
        <w:tc>
          <w:tcPr>
            <w:tcW w:w="1376" w:type="dxa"/>
          </w:tcPr>
          <w:p w14:paraId="112C9C8C" w14:textId="77777777" w:rsidR="006A4C6C" w:rsidRPr="009831E8" w:rsidRDefault="006A4C6C" w:rsidP="00994AF9">
            <w:pPr>
              <w:widowControl/>
              <w:jc w:val="center"/>
              <w:rPr>
                <w:rFonts w:eastAsia="華康楷書體W5"/>
              </w:rPr>
            </w:pPr>
            <w:r w:rsidRPr="009831E8">
              <w:t>(0.000) ***</w:t>
            </w:r>
          </w:p>
        </w:tc>
        <w:tc>
          <w:tcPr>
            <w:tcW w:w="1397" w:type="dxa"/>
            <w:vAlign w:val="bottom"/>
          </w:tcPr>
          <w:p w14:paraId="777E564A" w14:textId="77777777" w:rsidR="006A4C6C" w:rsidRPr="009831E8" w:rsidRDefault="006A4C6C" w:rsidP="00994AF9">
            <w:pPr>
              <w:widowControl/>
              <w:jc w:val="center"/>
              <w:rPr>
                <w:rFonts w:eastAsia="華康楷書體W5"/>
              </w:rPr>
            </w:pPr>
            <w:r w:rsidRPr="009831E8">
              <w:rPr>
                <w:rFonts w:eastAsia="華康楷書體W5"/>
              </w:rPr>
              <w:t>-2.214</w:t>
            </w:r>
          </w:p>
        </w:tc>
        <w:tc>
          <w:tcPr>
            <w:tcW w:w="1396" w:type="dxa"/>
            <w:vAlign w:val="bottom"/>
          </w:tcPr>
          <w:p w14:paraId="44C144E7" w14:textId="77777777" w:rsidR="006A4C6C" w:rsidRPr="009831E8" w:rsidRDefault="006A4C6C" w:rsidP="00994AF9">
            <w:pPr>
              <w:widowControl/>
              <w:jc w:val="center"/>
              <w:rPr>
                <w:rFonts w:eastAsia="華康楷書體W5"/>
              </w:rPr>
            </w:pPr>
            <w:r w:rsidRPr="009831E8">
              <w:rPr>
                <w:rFonts w:eastAsia="華康楷書體W5"/>
              </w:rPr>
              <w:t>0.158</w:t>
            </w:r>
          </w:p>
        </w:tc>
      </w:tr>
      <w:tr w:rsidR="006A4C6C" w:rsidRPr="009831E8" w14:paraId="08CA9270" w14:textId="77777777" w:rsidTr="00994AF9">
        <w:tc>
          <w:tcPr>
            <w:tcW w:w="1109" w:type="dxa"/>
          </w:tcPr>
          <w:p w14:paraId="6B7520A2" w14:textId="77777777" w:rsidR="006A4C6C" w:rsidRPr="009831E8" w:rsidRDefault="006A4C6C" w:rsidP="00994AF9">
            <w:pPr>
              <w:widowControl/>
              <w:rPr>
                <w:rFonts w:eastAsia="華康楷書體W5"/>
              </w:rPr>
            </w:pPr>
            <w:r w:rsidRPr="009831E8">
              <w:t>ZS</w:t>
            </w:r>
          </w:p>
        </w:tc>
        <w:tc>
          <w:tcPr>
            <w:tcW w:w="1676" w:type="dxa"/>
          </w:tcPr>
          <w:p w14:paraId="0771D320" w14:textId="77777777" w:rsidR="006A4C6C" w:rsidRPr="009831E8" w:rsidRDefault="006A4C6C" w:rsidP="00994AF9">
            <w:pPr>
              <w:widowControl/>
              <w:jc w:val="center"/>
              <w:rPr>
                <w:rFonts w:eastAsia="華康楷書體W5"/>
              </w:rPr>
            </w:pPr>
            <w:r w:rsidRPr="009831E8">
              <w:t>3.848</w:t>
            </w:r>
          </w:p>
        </w:tc>
        <w:tc>
          <w:tcPr>
            <w:tcW w:w="1382" w:type="dxa"/>
          </w:tcPr>
          <w:p w14:paraId="34BD383C" w14:textId="77777777" w:rsidR="006A4C6C" w:rsidRPr="009831E8" w:rsidRDefault="006A4C6C" w:rsidP="00994AF9">
            <w:pPr>
              <w:widowControl/>
              <w:jc w:val="center"/>
              <w:rPr>
                <w:rFonts w:eastAsia="華康楷書體W5"/>
              </w:rPr>
            </w:pPr>
            <w:r w:rsidRPr="009831E8">
              <w:t>(0.000) ***</w:t>
            </w:r>
          </w:p>
        </w:tc>
        <w:tc>
          <w:tcPr>
            <w:tcW w:w="1292" w:type="dxa"/>
          </w:tcPr>
          <w:p w14:paraId="5A2325D2" w14:textId="77777777" w:rsidR="006A4C6C" w:rsidRPr="009831E8" w:rsidRDefault="006A4C6C" w:rsidP="00994AF9">
            <w:pPr>
              <w:widowControl/>
              <w:jc w:val="center"/>
              <w:rPr>
                <w:rFonts w:eastAsia="華康楷書體W5"/>
              </w:rPr>
            </w:pPr>
            <w:r w:rsidRPr="009831E8">
              <w:t>0.293</w:t>
            </w:r>
          </w:p>
        </w:tc>
        <w:tc>
          <w:tcPr>
            <w:tcW w:w="1376" w:type="dxa"/>
          </w:tcPr>
          <w:p w14:paraId="116EC2D5" w14:textId="77777777" w:rsidR="006A4C6C" w:rsidRPr="009831E8" w:rsidRDefault="006A4C6C" w:rsidP="00994AF9">
            <w:pPr>
              <w:widowControl/>
              <w:jc w:val="center"/>
              <w:rPr>
                <w:rFonts w:eastAsia="華康楷書體W5"/>
              </w:rPr>
            </w:pPr>
            <w:r w:rsidRPr="009831E8">
              <w:t>(0.037) **</w:t>
            </w:r>
          </w:p>
        </w:tc>
        <w:tc>
          <w:tcPr>
            <w:tcW w:w="1397" w:type="dxa"/>
            <w:vAlign w:val="bottom"/>
          </w:tcPr>
          <w:p w14:paraId="61351B2D" w14:textId="77777777" w:rsidR="006A4C6C" w:rsidRPr="009831E8" w:rsidRDefault="006A4C6C" w:rsidP="00994AF9">
            <w:pPr>
              <w:widowControl/>
              <w:jc w:val="center"/>
              <w:rPr>
                <w:rFonts w:eastAsia="華康楷書體W5"/>
              </w:rPr>
            </w:pPr>
            <w:r w:rsidRPr="009831E8">
              <w:rPr>
                <w:rFonts w:eastAsia="華康楷書體W5"/>
              </w:rPr>
              <w:t>0.746</w:t>
            </w:r>
          </w:p>
        </w:tc>
        <w:tc>
          <w:tcPr>
            <w:tcW w:w="1396" w:type="dxa"/>
            <w:vAlign w:val="bottom"/>
          </w:tcPr>
          <w:p w14:paraId="4D607739" w14:textId="77777777" w:rsidR="006A4C6C" w:rsidRPr="009831E8" w:rsidRDefault="006A4C6C" w:rsidP="00994AF9">
            <w:pPr>
              <w:widowControl/>
              <w:jc w:val="center"/>
              <w:rPr>
                <w:rFonts w:eastAsia="華康楷書體W5"/>
              </w:rPr>
            </w:pPr>
            <w:r w:rsidRPr="009831E8">
              <w:rPr>
                <w:rFonts w:eastAsia="華康楷書體W5"/>
              </w:rPr>
              <w:t>(0.026) **</w:t>
            </w:r>
          </w:p>
        </w:tc>
      </w:tr>
      <w:tr w:rsidR="006A4C6C" w:rsidRPr="009831E8" w14:paraId="304224ED" w14:textId="77777777" w:rsidTr="00994AF9">
        <w:tc>
          <w:tcPr>
            <w:tcW w:w="1109" w:type="dxa"/>
          </w:tcPr>
          <w:p w14:paraId="5E608629" w14:textId="77777777" w:rsidR="006A4C6C" w:rsidRPr="009831E8" w:rsidRDefault="006A4C6C" w:rsidP="00994AF9">
            <w:pPr>
              <w:widowControl/>
              <w:rPr>
                <w:rFonts w:eastAsia="華康楷書體W5"/>
              </w:rPr>
            </w:pPr>
            <w:r w:rsidRPr="009831E8">
              <w:t>TQ</w:t>
            </w:r>
          </w:p>
        </w:tc>
        <w:tc>
          <w:tcPr>
            <w:tcW w:w="1676" w:type="dxa"/>
          </w:tcPr>
          <w:p w14:paraId="3807CAEE" w14:textId="77777777" w:rsidR="006A4C6C" w:rsidRPr="009831E8" w:rsidRDefault="006A4C6C" w:rsidP="00994AF9">
            <w:pPr>
              <w:widowControl/>
              <w:jc w:val="center"/>
              <w:rPr>
                <w:rFonts w:eastAsia="華康楷書體W5"/>
              </w:rPr>
            </w:pPr>
            <w:r w:rsidRPr="009831E8">
              <w:t>-</w:t>
            </w:r>
          </w:p>
        </w:tc>
        <w:tc>
          <w:tcPr>
            <w:tcW w:w="1382" w:type="dxa"/>
          </w:tcPr>
          <w:p w14:paraId="1E00E5DA" w14:textId="77777777" w:rsidR="006A4C6C" w:rsidRPr="009831E8" w:rsidRDefault="006A4C6C" w:rsidP="00994AF9">
            <w:pPr>
              <w:widowControl/>
              <w:jc w:val="center"/>
              <w:rPr>
                <w:rFonts w:eastAsia="華康楷書體W5"/>
              </w:rPr>
            </w:pPr>
            <w:r w:rsidRPr="009831E8">
              <w:t>-</w:t>
            </w:r>
          </w:p>
        </w:tc>
        <w:tc>
          <w:tcPr>
            <w:tcW w:w="1292" w:type="dxa"/>
          </w:tcPr>
          <w:p w14:paraId="237EAA6C" w14:textId="77777777" w:rsidR="006A4C6C" w:rsidRPr="009831E8" w:rsidRDefault="006A4C6C" w:rsidP="00994AF9">
            <w:pPr>
              <w:widowControl/>
              <w:jc w:val="center"/>
              <w:rPr>
                <w:rFonts w:eastAsia="華康楷書體W5"/>
              </w:rPr>
            </w:pPr>
            <w:r w:rsidRPr="009831E8">
              <w:rPr>
                <w:rFonts w:eastAsia="華康楷書體W5"/>
              </w:rPr>
              <w:t>-</w:t>
            </w:r>
          </w:p>
        </w:tc>
        <w:tc>
          <w:tcPr>
            <w:tcW w:w="1376" w:type="dxa"/>
          </w:tcPr>
          <w:p w14:paraId="4D5CBCFD" w14:textId="77777777" w:rsidR="006A4C6C" w:rsidRPr="009831E8" w:rsidRDefault="006A4C6C" w:rsidP="00994AF9">
            <w:pPr>
              <w:widowControl/>
              <w:jc w:val="center"/>
              <w:rPr>
                <w:rFonts w:eastAsia="華康楷書體W5"/>
              </w:rPr>
            </w:pPr>
            <w:r w:rsidRPr="009831E8">
              <w:rPr>
                <w:rFonts w:eastAsia="華康楷書體W5"/>
              </w:rPr>
              <w:t>-</w:t>
            </w:r>
          </w:p>
        </w:tc>
        <w:tc>
          <w:tcPr>
            <w:tcW w:w="1397" w:type="dxa"/>
            <w:vAlign w:val="bottom"/>
          </w:tcPr>
          <w:p w14:paraId="79CB01E2" w14:textId="77777777" w:rsidR="006A4C6C" w:rsidRPr="009831E8" w:rsidRDefault="006A4C6C" w:rsidP="00994AF9">
            <w:pPr>
              <w:widowControl/>
              <w:jc w:val="center"/>
              <w:rPr>
                <w:rFonts w:eastAsia="華康楷書體W5"/>
              </w:rPr>
            </w:pPr>
            <w:r w:rsidRPr="009831E8">
              <w:rPr>
                <w:rFonts w:eastAsia="華康楷書體W5"/>
              </w:rPr>
              <w:t>341.194</w:t>
            </w:r>
          </w:p>
        </w:tc>
        <w:tc>
          <w:tcPr>
            <w:tcW w:w="1396" w:type="dxa"/>
            <w:vAlign w:val="bottom"/>
          </w:tcPr>
          <w:p w14:paraId="7C144258" w14:textId="77777777" w:rsidR="006A4C6C" w:rsidRPr="009831E8" w:rsidRDefault="006A4C6C" w:rsidP="00994AF9">
            <w:pPr>
              <w:widowControl/>
              <w:jc w:val="center"/>
              <w:rPr>
                <w:rFonts w:eastAsia="華康楷書體W5"/>
              </w:rPr>
            </w:pPr>
            <w:r w:rsidRPr="009831E8">
              <w:rPr>
                <w:rFonts w:eastAsia="華康楷書體W5"/>
              </w:rPr>
              <w:t>(0.012) **</w:t>
            </w:r>
          </w:p>
        </w:tc>
      </w:tr>
      <w:tr w:rsidR="006A4C6C" w:rsidRPr="009831E8" w14:paraId="7CF51E17" w14:textId="77777777" w:rsidTr="00994AF9">
        <w:tc>
          <w:tcPr>
            <w:tcW w:w="1109" w:type="dxa"/>
          </w:tcPr>
          <w:p w14:paraId="0E9E08AF" w14:textId="77777777" w:rsidR="006A4C6C" w:rsidRPr="009831E8" w:rsidRDefault="006A4C6C" w:rsidP="00994AF9">
            <w:pPr>
              <w:widowControl/>
              <w:rPr>
                <w:rFonts w:eastAsia="華康楷書體W5"/>
              </w:rPr>
            </w:pPr>
            <w:r w:rsidRPr="009831E8">
              <w:t>DR</w:t>
            </w:r>
          </w:p>
        </w:tc>
        <w:tc>
          <w:tcPr>
            <w:tcW w:w="1676" w:type="dxa"/>
          </w:tcPr>
          <w:p w14:paraId="5FBFD0ED" w14:textId="77777777" w:rsidR="006A4C6C" w:rsidRPr="009831E8" w:rsidRDefault="006A4C6C" w:rsidP="00994AF9">
            <w:pPr>
              <w:widowControl/>
              <w:jc w:val="center"/>
              <w:rPr>
                <w:rFonts w:eastAsia="華康楷書體W5"/>
              </w:rPr>
            </w:pPr>
            <w:r w:rsidRPr="009831E8">
              <w:t>-</w:t>
            </w:r>
          </w:p>
        </w:tc>
        <w:tc>
          <w:tcPr>
            <w:tcW w:w="1382" w:type="dxa"/>
          </w:tcPr>
          <w:p w14:paraId="5CBF0C82" w14:textId="77777777" w:rsidR="006A4C6C" w:rsidRPr="009831E8" w:rsidRDefault="006A4C6C" w:rsidP="00994AF9">
            <w:pPr>
              <w:widowControl/>
              <w:jc w:val="center"/>
              <w:rPr>
                <w:rFonts w:eastAsia="華康楷書體W5"/>
              </w:rPr>
            </w:pPr>
            <w:r w:rsidRPr="009831E8">
              <w:t>-</w:t>
            </w:r>
          </w:p>
        </w:tc>
        <w:tc>
          <w:tcPr>
            <w:tcW w:w="1292" w:type="dxa"/>
          </w:tcPr>
          <w:p w14:paraId="284FAD19" w14:textId="77777777" w:rsidR="006A4C6C" w:rsidRPr="009831E8" w:rsidRDefault="006A4C6C" w:rsidP="00994AF9">
            <w:pPr>
              <w:widowControl/>
              <w:jc w:val="center"/>
              <w:rPr>
                <w:rFonts w:eastAsia="華康楷書體W5"/>
              </w:rPr>
            </w:pPr>
          </w:p>
        </w:tc>
        <w:tc>
          <w:tcPr>
            <w:tcW w:w="1376" w:type="dxa"/>
          </w:tcPr>
          <w:p w14:paraId="13B051B4" w14:textId="77777777" w:rsidR="006A4C6C" w:rsidRPr="009831E8" w:rsidRDefault="006A4C6C" w:rsidP="00994AF9">
            <w:pPr>
              <w:widowControl/>
              <w:jc w:val="center"/>
              <w:rPr>
                <w:rFonts w:eastAsia="華康楷書體W5"/>
              </w:rPr>
            </w:pPr>
          </w:p>
        </w:tc>
        <w:tc>
          <w:tcPr>
            <w:tcW w:w="1397" w:type="dxa"/>
            <w:vAlign w:val="bottom"/>
          </w:tcPr>
          <w:p w14:paraId="6E3B3404" w14:textId="77777777" w:rsidR="006A4C6C" w:rsidRPr="009831E8" w:rsidRDefault="006A4C6C" w:rsidP="00994AF9">
            <w:pPr>
              <w:widowControl/>
              <w:jc w:val="center"/>
              <w:rPr>
                <w:rFonts w:eastAsia="華康楷書體W5"/>
              </w:rPr>
            </w:pPr>
            <w:r w:rsidRPr="009831E8">
              <w:rPr>
                <w:rFonts w:eastAsia="華康楷書體W5"/>
              </w:rPr>
              <w:t>5.734</w:t>
            </w:r>
          </w:p>
        </w:tc>
        <w:tc>
          <w:tcPr>
            <w:tcW w:w="1396" w:type="dxa"/>
            <w:vAlign w:val="bottom"/>
          </w:tcPr>
          <w:p w14:paraId="70475E2F" w14:textId="77777777" w:rsidR="006A4C6C" w:rsidRPr="009831E8" w:rsidRDefault="006A4C6C" w:rsidP="00994AF9">
            <w:pPr>
              <w:widowControl/>
              <w:jc w:val="center"/>
              <w:rPr>
                <w:rFonts w:eastAsia="華康楷書體W5"/>
              </w:rPr>
            </w:pPr>
            <w:r w:rsidRPr="009831E8">
              <w:rPr>
                <w:rFonts w:eastAsia="華康楷書體W5"/>
              </w:rPr>
              <w:t>(0.001) ***</w:t>
            </w:r>
          </w:p>
        </w:tc>
      </w:tr>
      <w:tr w:rsidR="006A4C6C" w:rsidRPr="009831E8" w14:paraId="09C04B10" w14:textId="77777777" w:rsidTr="00994AF9">
        <w:tc>
          <w:tcPr>
            <w:tcW w:w="1109" w:type="dxa"/>
          </w:tcPr>
          <w:p w14:paraId="629063A5" w14:textId="77777777" w:rsidR="006A4C6C" w:rsidRPr="009831E8" w:rsidRDefault="006A4C6C" w:rsidP="00994AF9">
            <w:pPr>
              <w:widowControl/>
              <w:rPr>
                <w:rFonts w:eastAsia="華康楷書體W5"/>
              </w:rPr>
            </w:pPr>
            <w:r w:rsidRPr="009831E8">
              <w:t>CCC</w:t>
            </w:r>
          </w:p>
        </w:tc>
        <w:tc>
          <w:tcPr>
            <w:tcW w:w="1676" w:type="dxa"/>
          </w:tcPr>
          <w:p w14:paraId="584BA48E" w14:textId="77777777" w:rsidR="006A4C6C" w:rsidRPr="009831E8" w:rsidRDefault="006A4C6C" w:rsidP="00994AF9">
            <w:pPr>
              <w:widowControl/>
              <w:jc w:val="center"/>
              <w:rPr>
                <w:rFonts w:eastAsia="華康楷書體W5"/>
              </w:rPr>
            </w:pPr>
            <w:r w:rsidRPr="009831E8">
              <w:t>-</w:t>
            </w:r>
          </w:p>
        </w:tc>
        <w:tc>
          <w:tcPr>
            <w:tcW w:w="1382" w:type="dxa"/>
          </w:tcPr>
          <w:p w14:paraId="68F4BFD6" w14:textId="77777777" w:rsidR="006A4C6C" w:rsidRPr="009831E8" w:rsidRDefault="006A4C6C" w:rsidP="00994AF9">
            <w:pPr>
              <w:widowControl/>
              <w:jc w:val="center"/>
              <w:rPr>
                <w:rFonts w:eastAsia="華康楷書體W5"/>
              </w:rPr>
            </w:pPr>
            <w:r w:rsidRPr="009831E8">
              <w:t>-</w:t>
            </w:r>
          </w:p>
        </w:tc>
        <w:tc>
          <w:tcPr>
            <w:tcW w:w="1292" w:type="dxa"/>
          </w:tcPr>
          <w:p w14:paraId="1070764C" w14:textId="77777777" w:rsidR="006A4C6C" w:rsidRPr="009831E8" w:rsidRDefault="006A4C6C" w:rsidP="00994AF9">
            <w:pPr>
              <w:widowControl/>
              <w:jc w:val="center"/>
              <w:rPr>
                <w:rFonts w:eastAsia="華康楷書體W5"/>
              </w:rPr>
            </w:pPr>
            <w:r w:rsidRPr="009831E8">
              <w:t>-0.000</w:t>
            </w:r>
          </w:p>
        </w:tc>
        <w:tc>
          <w:tcPr>
            <w:tcW w:w="1376" w:type="dxa"/>
          </w:tcPr>
          <w:p w14:paraId="4576F742" w14:textId="77777777" w:rsidR="006A4C6C" w:rsidRPr="009831E8" w:rsidRDefault="006A4C6C" w:rsidP="00994AF9">
            <w:pPr>
              <w:widowControl/>
              <w:jc w:val="center"/>
              <w:rPr>
                <w:rFonts w:eastAsia="華康楷書體W5"/>
              </w:rPr>
            </w:pPr>
            <w:r w:rsidRPr="009831E8">
              <w:t>(0.028) **</w:t>
            </w:r>
          </w:p>
        </w:tc>
        <w:tc>
          <w:tcPr>
            <w:tcW w:w="1397" w:type="dxa"/>
            <w:vAlign w:val="bottom"/>
          </w:tcPr>
          <w:p w14:paraId="7FF87AE9" w14:textId="77777777" w:rsidR="006A4C6C" w:rsidRPr="009831E8" w:rsidRDefault="006A4C6C" w:rsidP="00994AF9">
            <w:pPr>
              <w:widowControl/>
              <w:jc w:val="center"/>
              <w:rPr>
                <w:rFonts w:eastAsia="華康楷書體W5"/>
              </w:rPr>
            </w:pPr>
            <w:r w:rsidRPr="009831E8">
              <w:rPr>
                <w:rFonts w:eastAsia="華康楷書體W5"/>
              </w:rPr>
              <w:t>-</w:t>
            </w:r>
          </w:p>
        </w:tc>
        <w:tc>
          <w:tcPr>
            <w:tcW w:w="1396" w:type="dxa"/>
            <w:vAlign w:val="bottom"/>
          </w:tcPr>
          <w:p w14:paraId="7A9037F9" w14:textId="77777777" w:rsidR="006A4C6C" w:rsidRPr="009831E8" w:rsidRDefault="006A4C6C" w:rsidP="00994AF9">
            <w:pPr>
              <w:widowControl/>
              <w:jc w:val="center"/>
              <w:rPr>
                <w:rFonts w:eastAsia="華康楷書體W5"/>
              </w:rPr>
            </w:pPr>
            <w:r w:rsidRPr="009831E8">
              <w:rPr>
                <w:rFonts w:eastAsia="華康楷書體W5"/>
              </w:rPr>
              <w:t>-</w:t>
            </w:r>
          </w:p>
        </w:tc>
      </w:tr>
      <w:tr w:rsidR="006A4C6C" w:rsidRPr="009831E8" w14:paraId="1CBA7041" w14:textId="77777777" w:rsidTr="00994AF9">
        <w:tc>
          <w:tcPr>
            <w:tcW w:w="1109" w:type="dxa"/>
          </w:tcPr>
          <w:p w14:paraId="310C652D" w14:textId="09565BC1" w:rsidR="006A4C6C" w:rsidRPr="009831E8" w:rsidRDefault="006A4C6C" w:rsidP="00994AF9">
            <w:pPr>
              <w:widowControl/>
              <w:rPr>
                <w:rFonts w:eastAsia="華康楷書體W5"/>
              </w:rPr>
            </w:pPr>
            <w:r w:rsidRPr="009831E8">
              <w:rPr>
                <w:rFonts w:eastAsia="華康楷書體W5"/>
              </w:rPr>
              <w:t xml:space="preserve">ROE </w:t>
            </w:r>
          </w:p>
        </w:tc>
        <w:tc>
          <w:tcPr>
            <w:tcW w:w="1676" w:type="dxa"/>
          </w:tcPr>
          <w:p w14:paraId="43924A50" w14:textId="77777777" w:rsidR="006A4C6C" w:rsidRPr="009831E8" w:rsidRDefault="006A4C6C" w:rsidP="00994AF9">
            <w:pPr>
              <w:widowControl/>
              <w:jc w:val="center"/>
              <w:rPr>
                <w:rFonts w:eastAsia="華康楷書體W5"/>
              </w:rPr>
            </w:pPr>
            <w:r w:rsidRPr="009831E8">
              <w:t>-</w:t>
            </w:r>
          </w:p>
        </w:tc>
        <w:tc>
          <w:tcPr>
            <w:tcW w:w="1382" w:type="dxa"/>
          </w:tcPr>
          <w:p w14:paraId="5E39A62B" w14:textId="77777777" w:rsidR="006A4C6C" w:rsidRPr="009831E8" w:rsidRDefault="006A4C6C" w:rsidP="00994AF9">
            <w:pPr>
              <w:widowControl/>
              <w:jc w:val="center"/>
              <w:rPr>
                <w:rFonts w:eastAsia="華康楷書體W5"/>
              </w:rPr>
            </w:pPr>
            <w:r w:rsidRPr="009831E8">
              <w:t>-</w:t>
            </w:r>
          </w:p>
        </w:tc>
        <w:tc>
          <w:tcPr>
            <w:tcW w:w="1292" w:type="dxa"/>
          </w:tcPr>
          <w:p w14:paraId="64A8A7EB" w14:textId="77777777" w:rsidR="006A4C6C" w:rsidRPr="009831E8" w:rsidRDefault="006A4C6C" w:rsidP="00994AF9">
            <w:pPr>
              <w:widowControl/>
              <w:jc w:val="center"/>
              <w:rPr>
                <w:rFonts w:eastAsia="華康楷書體W5"/>
              </w:rPr>
            </w:pPr>
            <w:r w:rsidRPr="009831E8">
              <w:rPr>
                <w:rFonts w:eastAsia="華康楷書體W5"/>
              </w:rPr>
              <w:t>-</w:t>
            </w:r>
          </w:p>
        </w:tc>
        <w:tc>
          <w:tcPr>
            <w:tcW w:w="1376" w:type="dxa"/>
          </w:tcPr>
          <w:p w14:paraId="353EDC95" w14:textId="77777777" w:rsidR="006A4C6C" w:rsidRPr="009831E8" w:rsidRDefault="006A4C6C" w:rsidP="00994AF9">
            <w:pPr>
              <w:widowControl/>
              <w:jc w:val="center"/>
              <w:rPr>
                <w:rFonts w:eastAsia="華康楷書體W5"/>
              </w:rPr>
            </w:pPr>
            <w:r w:rsidRPr="009831E8">
              <w:rPr>
                <w:rFonts w:eastAsia="華康楷書體W5"/>
              </w:rPr>
              <w:t>-</w:t>
            </w:r>
          </w:p>
        </w:tc>
        <w:tc>
          <w:tcPr>
            <w:tcW w:w="1397" w:type="dxa"/>
            <w:vAlign w:val="bottom"/>
          </w:tcPr>
          <w:p w14:paraId="47A0FD6C" w14:textId="77777777" w:rsidR="006A4C6C" w:rsidRPr="009831E8" w:rsidRDefault="006A4C6C" w:rsidP="00994AF9">
            <w:pPr>
              <w:widowControl/>
              <w:jc w:val="center"/>
              <w:rPr>
                <w:rFonts w:eastAsia="華康楷書體W5"/>
              </w:rPr>
            </w:pPr>
            <w:r w:rsidRPr="009831E8">
              <w:rPr>
                <w:rFonts w:eastAsia="華康楷書體W5"/>
              </w:rPr>
              <w:t>-2.889</w:t>
            </w:r>
          </w:p>
        </w:tc>
        <w:tc>
          <w:tcPr>
            <w:tcW w:w="1396" w:type="dxa"/>
            <w:vAlign w:val="bottom"/>
          </w:tcPr>
          <w:p w14:paraId="0626E20B" w14:textId="77777777" w:rsidR="006A4C6C" w:rsidRPr="009831E8" w:rsidRDefault="006A4C6C" w:rsidP="00994AF9">
            <w:pPr>
              <w:widowControl/>
              <w:jc w:val="center"/>
              <w:rPr>
                <w:rFonts w:eastAsia="華康楷書體W5"/>
              </w:rPr>
            </w:pPr>
            <w:r w:rsidRPr="009831E8">
              <w:rPr>
                <w:rFonts w:eastAsia="華康楷書體W5"/>
              </w:rPr>
              <w:t>(0.016) **</w:t>
            </w:r>
          </w:p>
        </w:tc>
      </w:tr>
      <w:tr w:rsidR="006A4C6C" w:rsidRPr="009831E8" w14:paraId="737B2BF9" w14:textId="77777777" w:rsidTr="00994AF9">
        <w:tc>
          <w:tcPr>
            <w:tcW w:w="1109" w:type="dxa"/>
          </w:tcPr>
          <w:p w14:paraId="37712031" w14:textId="77777777" w:rsidR="006A4C6C" w:rsidRPr="009831E8" w:rsidRDefault="006A4C6C" w:rsidP="00994AF9">
            <w:pPr>
              <w:widowControl/>
              <w:rPr>
                <w:rFonts w:eastAsia="華康楷書體W5"/>
              </w:rPr>
            </w:pPr>
            <w:r w:rsidRPr="009831E8">
              <w:rPr>
                <w:kern w:val="0"/>
              </w:rPr>
              <w:t>ROA</w:t>
            </w:r>
          </w:p>
        </w:tc>
        <w:tc>
          <w:tcPr>
            <w:tcW w:w="1676" w:type="dxa"/>
          </w:tcPr>
          <w:p w14:paraId="09ECC295" w14:textId="77777777" w:rsidR="006A4C6C" w:rsidRPr="009831E8" w:rsidRDefault="006A4C6C" w:rsidP="00994AF9">
            <w:pPr>
              <w:widowControl/>
              <w:jc w:val="center"/>
              <w:rPr>
                <w:rFonts w:eastAsia="華康楷書體W5"/>
              </w:rPr>
            </w:pPr>
            <w:r w:rsidRPr="009831E8">
              <w:t>-</w:t>
            </w:r>
          </w:p>
        </w:tc>
        <w:tc>
          <w:tcPr>
            <w:tcW w:w="1382" w:type="dxa"/>
          </w:tcPr>
          <w:p w14:paraId="5AF18C3E" w14:textId="77777777" w:rsidR="006A4C6C" w:rsidRPr="009831E8" w:rsidRDefault="006A4C6C" w:rsidP="00994AF9">
            <w:pPr>
              <w:widowControl/>
              <w:jc w:val="center"/>
              <w:rPr>
                <w:rFonts w:eastAsia="華康楷書體W5"/>
              </w:rPr>
            </w:pPr>
            <w:r w:rsidRPr="009831E8">
              <w:t>-</w:t>
            </w:r>
          </w:p>
        </w:tc>
        <w:tc>
          <w:tcPr>
            <w:tcW w:w="1292" w:type="dxa"/>
          </w:tcPr>
          <w:p w14:paraId="7F9E169D" w14:textId="77777777" w:rsidR="006A4C6C" w:rsidRPr="009831E8" w:rsidRDefault="006A4C6C" w:rsidP="00994AF9">
            <w:pPr>
              <w:widowControl/>
              <w:jc w:val="center"/>
              <w:rPr>
                <w:rFonts w:eastAsia="華康楷書體W5"/>
              </w:rPr>
            </w:pPr>
            <w:r w:rsidRPr="009831E8">
              <w:rPr>
                <w:rFonts w:eastAsia="華康楷書體W5"/>
              </w:rPr>
              <w:t>-</w:t>
            </w:r>
          </w:p>
        </w:tc>
        <w:tc>
          <w:tcPr>
            <w:tcW w:w="1376" w:type="dxa"/>
          </w:tcPr>
          <w:p w14:paraId="6ED67B0B" w14:textId="77777777" w:rsidR="006A4C6C" w:rsidRPr="009831E8" w:rsidRDefault="006A4C6C" w:rsidP="00994AF9">
            <w:pPr>
              <w:widowControl/>
              <w:jc w:val="center"/>
              <w:rPr>
                <w:rFonts w:eastAsia="華康楷書體W5"/>
              </w:rPr>
            </w:pPr>
            <w:r w:rsidRPr="009831E8">
              <w:rPr>
                <w:rFonts w:eastAsia="華康楷書體W5"/>
              </w:rPr>
              <w:t>-</w:t>
            </w:r>
          </w:p>
        </w:tc>
        <w:tc>
          <w:tcPr>
            <w:tcW w:w="1397" w:type="dxa"/>
            <w:vAlign w:val="bottom"/>
          </w:tcPr>
          <w:p w14:paraId="353B587F" w14:textId="77777777" w:rsidR="006A4C6C" w:rsidRPr="009831E8" w:rsidRDefault="006A4C6C" w:rsidP="00994AF9">
            <w:pPr>
              <w:widowControl/>
              <w:jc w:val="center"/>
              <w:rPr>
                <w:rFonts w:eastAsia="華康楷書體W5"/>
              </w:rPr>
            </w:pPr>
            <w:r w:rsidRPr="009831E8">
              <w:rPr>
                <w:rFonts w:eastAsia="華康楷書體W5"/>
              </w:rPr>
              <w:t>16.102</w:t>
            </w:r>
          </w:p>
        </w:tc>
        <w:tc>
          <w:tcPr>
            <w:tcW w:w="1396" w:type="dxa"/>
            <w:vAlign w:val="bottom"/>
          </w:tcPr>
          <w:p w14:paraId="40BED196" w14:textId="77777777" w:rsidR="006A4C6C" w:rsidRPr="009831E8" w:rsidRDefault="006A4C6C" w:rsidP="00994AF9">
            <w:pPr>
              <w:widowControl/>
              <w:jc w:val="center"/>
              <w:rPr>
                <w:rFonts w:eastAsia="華康楷書體W5"/>
              </w:rPr>
            </w:pPr>
            <w:r w:rsidRPr="009831E8">
              <w:rPr>
                <w:rFonts w:eastAsia="華康楷書體W5"/>
              </w:rPr>
              <w:t>(0.002) ***</w:t>
            </w:r>
          </w:p>
        </w:tc>
      </w:tr>
      <w:tr w:rsidR="006A4C6C" w:rsidRPr="009831E8" w14:paraId="6AE47EA7" w14:textId="77777777" w:rsidTr="00994AF9">
        <w:tc>
          <w:tcPr>
            <w:tcW w:w="1109" w:type="dxa"/>
          </w:tcPr>
          <w:p w14:paraId="5752F068" w14:textId="510AAC1E" w:rsidR="006A4C6C" w:rsidRPr="009831E8" w:rsidRDefault="006A4C6C" w:rsidP="00994AF9">
            <w:pPr>
              <w:widowControl/>
              <w:rPr>
                <w:kern w:val="0"/>
              </w:rPr>
            </w:pPr>
            <w:r w:rsidRPr="009831E8">
              <w:rPr>
                <w:kern w:val="0"/>
              </w:rPr>
              <w:t xml:space="preserve">DPR </w:t>
            </w:r>
          </w:p>
        </w:tc>
        <w:tc>
          <w:tcPr>
            <w:tcW w:w="1676" w:type="dxa"/>
          </w:tcPr>
          <w:p w14:paraId="23DDB6DA" w14:textId="77777777" w:rsidR="006A4C6C" w:rsidRPr="009831E8" w:rsidRDefault="006A4C6C" w:rsidP="00994AF9">
            <w:pPr>
              <w:jc w:val="center"/>
            </w:pPr>
            <w:r w:rsidRPr="009831E8">
              <w:t>-</w:t>
            </w:r>
          </w:p>
        </w:tc>
        <w:tc>
          <w:tcPr>
            <w:tcW w:w="1382" w:type="dxa"/>
          </w:tcPr>
          <w:p w14:paraId="0BBC8059" w14:textId="77777777" w:rsidR="006A4C6C" w:rsidRPr="009831E8" w:rsidRDefault="006A4C6C" w:rsidP="00994AF9">
            <w:pPr>
              <w:widowControl/>
              <w:jc w:val="center"/>
              <w:rPr>
                <w:rFonts w:eastAsia="華康楷書體W5"/>
              </w:rPr>
            </w:pPr>
            <w:r w:rsidRPr="009831E8">
              <w:t>-</w:t>
            </w:r>
          </w:p>
        </w:tc>
        <w:tc>
          <w:tcPr>
            <w:tcW w:w="1292" w:type="dxa"/>
          </w:tcPr>
          <w:p w14:paraId="59947DD1" w14:textId="77777777" w:rsidR="006A4C6C" w:rsidRPr="009831E8" w:rsidRDefault="006A4C6C" w:rsidP="00994AF9">
            <w:pPr>
              <w:widowControl/>
              <w:jc w:val="center"/>
              <w:rPr>
                <w:rFonts w:eastAsia="華康楷書體W5"/>
              </w:rPr>
            </w:pPr>
            <w:r w:rsidRPr="009831E8">
              <w:t>-0.039</w:t>
            </w:r>
          </w:p>
        </w:tc>
        <w:tc>
          <w:tcPr>
            <w:tcW w:w="1376" w:type="dxa"/>
          </w:tcPr>
          <w:p w14:paraId="30ABB091" w14:textId="77777777" w:rsidR="006A4C6C" w:rsidRPr="009831E8" w:rsidRDefault="006A4C6C" w:rsidP="00994AF9">
            <w:pPr>
              <w:widowControl/>
              <w:jc w:val="center"/>
              <w:rPr>
                <w:rFonts w:eastAsia="華康楷書體W5"/>
              </w:rPr>
            </w:pPr>
            <w:r w:rsidRPr="009831E8">
              <w:t>(0.025) **</w:t>
            </w:r>
          </w:p>
        </w:tc>
        <w:tc>
          <w:tcPr>
            <w:tcW w:w="1397" w:type="dxa"/>
            <w:vAlign w:val="bottom"/>
          </w:tcPr>
          <w:p w14:paraId="45A164E5" w14:textId="77777777" w:rsidR="006A4C6C" w:rsidRPr="009831E8" w:rsidRDefault="006A4C6C" w:rsidP="00994AF9">
            <w:pPr>
              <w:widowControl/>
              <w:jc w:val="center"/>
              <w:rPr>
                <w:rFonts w:eastAsia="華康楷書體W5"/>
              </w:rPr>
            </w:pPr>
            <w:r w:rsidRPr="009831E8">
              <w:t>-</w:t>
            </w:r>
          </w:p>
        </w:tc>
        <w:tc>
          <w:tcPr>
            <w:tcW w:w="1396" w:type="dxa"/>
            <w:vAlign w:val="bottom"/>
          </w:tcPr>
          <w:p w14:paraId="5BA88433" w14:textId="77777777" w:rsidR="006A4C6C" w:rsidRPr="009831E8" w:rsidRDefault="006A4C6C" w:rsidP="00994AF9">
            <w:pPr>
              <w:widowControl/>
              <w:jc w:val="center"/>
              <w:rPr>
                <w:rFonts w:eastAsia="華康楷書體W5"/>
              </w:rPr>
            </w:pPr>
            <w:r w:rsidRPr="009831E8">
              <w:rPr>
                <w:rFonts w:eastAsia="華康楷書體W5"/>
              </w:rPr>
              <w:t>-</w:t>
            </w:r>
          </w:p>
        </w:tc>
      </w:tr>
      <w:tr w:rsidR="006A4C6C" w:rsidRPr="009831E8" w14:paraId="1E90B8D9" w14:textId="77777777" w:rsidTr="00994AF9">
        <w:tc>
          <w:tcPr>
            <w:tcW w:w="1109" w:type="dxa"/>
          </w:tcPr>
          <w:p w14:paraId="5ADBBC9C" w14:textId="77777777" w:rsidR="006A4C6C" w:rsidRPr="009831E8" w:rsidRDefault="006A4C6C" w:rsidP="00994AF9">
            <w:pPr>
              <w:widowControl/>
              <w:rPr>
                <w:kern w:val="0"/>
              </w:rPr>
            </w:pPr>
            <w:r w:rsidRPr="009831E8">
              <w:rPr>
                <w:kern w:val="0"/>
              </w:rPr>
              <w:t>PBV</w:t>
            </w:r>
          </w:p>
        </w:tc>
        <w:tc>
          <w:tcPr>
            <w:tcW w:w="1676" w:type="dxa"/>
          </w:tcPr>
          <w:p w14:paraId="3ADF94E6" w14:textId="77777777" w:rsidR="006A4C6C" w:rsidRPr="009831E8" w:rsidRDefault="006A4C6C" w:rsidP="00994AF9">
            <w:pPr>
              <w:jc w:val="center"/>
            </w:pPr>
            <w:r w:rsidRPr="009831E8">
              <w:t>-</w:t>
            </w:r>
          </w:p>
        </w:tc>
        <w:tc>
          <w:tcPr>
            <w:tcW w:w="1382" w:type="dxa"/>
          </w:tcPr>
          <w:p w14:paraId="2E60086F" w14:textId="77777777" w:rsidR="006A4C6C" w:rsidRPr="009831E8" w:rsidRDefault="006A4C6C" w:rsidP="00994AF9">
            <w:pPr>
              <w:widowControl/>
              <w:jc w:val="center"/>
              <w:rPr>
                <w:rFonts w:eastAsia="華康楷書體W5"/>
              </w:rPr>
            </w:pPr>
            <w:r w:rsidRPr="009831E8">
              <w:t>-</w:t>
            </w:r>
          </w:p>
        </w:tc>
        <w:tc>
          <w:tcPr>
            <w:tcW w:w="1292" w:type="dxa"/>
          </w:tcPr>
          <w:p w14:paraId="35304BBD" w14:textId="77777777" w:rsidR="006A4C6C" w:rsidRPr="009831E8" w:rsidRDefault="006A4C6C" w:rsidP="00994AF9">
            <w:pPr>
              <w:widowControl/>
              <w:jc w:val="center"/>
              <w:rPr>
                <w:rFonts w:eastAsia="華康楷書體W5"/>
              </w:rPr>
            </w:pPr>
            <w:r w:rsidRPr="009831E8">
              <w:rPr>
                <w:rFonts w:eastAsia="華康楷書體W5"/>
              </w:rPr>
              <w:t>-</w:t>
            </w:r>
          </w:p>
        </w:tc>
        <w:tc>
          <w:tcPr>
            <w:tcW w:w="1376" w:type="dxa"/>
          </w:tcPr>
          <w:p w14:paraId="18D65B18" w14:textId="77777777" w:rsidR="006A4C6C" w:rsidRPr="009831E8" w:rsidRDefault="006A4C6C" w:rsidP="00994AF9">
            <w:pPr>
              <w:widowControl/>
              <w:jc w:val="center"/>
              <w:rPr>
                <w:rFonts w:eastAsia="華康楷書體W5"/>
              </w:rPr>
            </w:pPr>
            <w:r w:rsidRPr="009831E8">
              <w:rPr>
                <w:rFonts w:eastAsia="華康楷書體W5"/>
              </w:rPr>
              <w:t>-</w:t>
            </w:r>
          </w:p>
        </w:tc>
        <w:tc>
          <w:tcPr>
            <w:tcW w:w="1397" w:type="dxa"/>
            <w:vAlign w:val="bottom"/>
          </w:tcPr>
          <w:p w14:paraId="72715B7E" w14:textId="77777777" w:rsidR="006A4C6C" w:rsidRPr="009831E8" w:rsidRDefault="006A4C6C" w:rsidP="00994AF9">
            <w:pPr>
              <w:widowControl/>
              <w:jc w:val="center"/>
              <w:rPr>
                <w:rFonts w:eastAsia="華康楷書體W5"/>
              </w:rPr>
            </w:pPr>
            <w:r w:rsidRPr="009831E8">
              <w:t>-0.188</w:t>
            </w:r>
          </w:p>
        </w:tc>
        <w:tc>
          <w:tcPr>
            <w:tcW w:w="1396" w:type="dxa"/>
            <w:vAlign w:val="bottom"/>
          </w:tcPr>
          <w:p w14:paraId="01CFDE53" w14:textId="77777777" w:rsidR="006A4C6C" w:rsidRPr="009831E8" w:rsidRDefault="006A4C6C" w:rsidP="00994AF9">
            <w:pPr>
              <w:widowControl/>
              <w:jc w:val="center"/>
              <w:rPr>
                <w:rFonts w:eastAsia="華康楷書體W5"/>
              </w:rPr>
            </w:pPr>
            <w:r w:rsidRPr="009831E8">
              <w:rPr>
                <w:rFonts w:eastAsia="華康楷書體W5"/>
              </w:rPr>
              <w:t>(0.007) ***</w:t>
            </w:r>
          </w:p>
        </w:tc>
      </w:tr>
      <w:tr w:rsidR="006A4C6C" w:rsidRPr="009831E8" w14:paraId="31CBC762" w14:textId="77777777" w:rsidTr="00994AF9">
        <w:tc>
          <w:tcPr>
            <w:tcW w:w="1109" w:type="dxa"/>
          </w:tcPr>
          <w:p w14:paraId="31101422" w14:textId="516745DB" w:rsidR="006A4C6C" w:rsidRPr="009831E8" w:rsidRDefault="006A4C6C" w:rsidP="00994AF9">
            <w:pPr>
              <w:widowControl/>
              <w:rPr>
                <w:kern w:val="0"/>
              </w:rPr>
            </w:pPr>
            <w:r w:rsidRPr="009831E8">
              <w:rPr>
                <w:kern w:val="0"/>
              </w:rPr>
              <w:t xml:space="preserve">FCF </w:t>
            </w:r>
          </w:p>
        </w:tc>
        <w:tc>
          <w:tcPr>
            <w:tcW w:w="1676" w:type="dxa"/>
          </w:tcPr>
          <w:p w14:paraId="50E128C7" w14:textId="77777777" w:rsidR="006A4C6C" w:rsidRPr="009831E8" w:rsidRDefault="006A4C6C" w:rsidP="00994AF9">
            <w:pPr>
              <w:jc w:val="center"/>
            </w:pPr>
            <w:r w:rsidRPr="009831E8">
              <w:t>-0.027</w:t>
            </w:r>
          </w:p>
        </w:tc>
        <w:tc>
          <w:tcPr>
            <w:tcW w:w="1382" w:type="dxa"/>
          </w:tcPr>
          <w:p w14:paraId="68E63E9F" w14:textId="77777777" w:rsidR="006A4C6C" w:rsidRPr="009831E8" w:rsidRDefault="006A4C6C" w:rsidP="00994AF9">
            <w:pPr>
              <w:widowControl/>
              <w:jc w:val="center"/>
              <w:rPr>
                <w:rFonts w:eastAsia="華康楷書體W5"/>
              </w:rPr>
            </w:pPr>
            <w:r w:rsidRPr="009831E8">
              <w:t>(0.002) ***</w:t>
            </w:r>
          </w:p>
        </w:tc>
        <w:tc>
          <w:tcPr>
            <w:tcW w:w="1292" w:type="dxa"/>
          </w:tcPr>
          <w:p w14:paraId="63FD3BEA" w14:textId="77777777" w:rsidR="006A4C6C" w:rsidRPr="009831E8" w:rsidRDefault="006A4C6C" w:rsidP="00994AF9">
            <w:pPr>
              <w:widowControl/>
              <w:jc w:val="center"/>
              <w:rPr>
                <w:rFonts w:eastAsia="華康楷書體W5"/>
              </w:rPr>
            </w:pPr>
            <w:r w:rsidRPr="009831E8">
              <w:rPr>
                <w:rFonts w:eastAsia="華康楷書體W5"/>
              </w:rPr>
              <w:t>-</w:t>
            </w:r>
          </w:p>
        </w:tc>
        <w:tc>
          <w:tcPr>
            <w:tcW w:w="1376" w:type="dxa"/>
          </w:tcPr>
          <w:p w14:paraId="04F07E44" w14:textId="77777777" w:rsidR="006A4C6C" w:rsidRPr="009831E8" w:rsidRDefault="006A4C6C" w:rsidP="00994AF9">
            <w:pPr>
              <w:widowControl/>
              <w:jc w:val="center"/>
              <w:rPr>
                <w:rFonts w:eastAsia="華康楷書體W5"/>
              </w:rPr>
            </w:pPr>
            <w:r w:rsidRPr="009831E8">
              <w:rPr>
                <w:rFonts w:eastAsia="華康楷書體W5"/>
              </w:rPr>
              <w:t>-</w:t>
            </w:r>
          </w:p>
        </w:tc>
        <w:tc>
          <w:tcPr>
            <w:tcW w:w="1397" w:type="dxa"/>
            <w:vAlign w:val="bottom"/>
          </w:tcPr>
          <w:p w14:paraId="1928ACA7" w14:textId="77777777" w:rsidR="006A4C6C" w:rsidRPr="009831E8" w:rsidRDefault="006A4C6C" w:rsidP="00994AF9">
            <w:pPr>
              <w:widowControl/>
              <w:jc w:val="center"/>
              <w:rPr>
                <w:rFonts w:eastAsia="華康楷書體W5"/>
              </w:rPr>
            </w:pPr>
            <w:r w:rsidRPr="009831E8">
              <w:t>0.012</w:t>
            </w:r>
          </w:p>
        </w:tc>
        <w:tc>
          <w:tcPr>
            <w:tcW w:w="1396" w:type="dxa"/>
            <w:vAlign w:val="bottom"/>
          </w:tcPr>
          <w:p w14:paraId="4874541D" w14:textId="77777777" w:rsidR="006A4C6C" w:rsidRPr="009831E8" w:rsidRDefault="006A4C6C" w:rsidP="00994AF9">
            <w:pPr>
              <w:widowControl/>
              <w:jc w:val="center"/>
              <w:rPr>
                <w:rFonts w:eastAsia="華康楷書體W5"/>
              </w:rPr>
            </w:pPr>
            <w:r w:rsidRPr="009831E8">
              <w:rPr>
                <w:rFonts w:eastAsia="華康楷書體W5"/>
              </w:rPr>
              <w:t>(0.020) **</w:t>
            </w:r>
          </w:p>
        </w:tc>
      </w:tr>
      <w:tr w:rsidR="006A4C6C" w:rsidRPr="009831E8" w14:paraId="42C93AFB" w14:textId="77777777" w:rsidTr="00994AF9">
        <w:trPr>
          <w:trHeight w:val="134"/>
        </w:trPr>
        <w:tc>
          <w:tcPr>
            <w:tcW w:w="1109" w:type="dxa"/>
          </w:tcPr>
          <w:p w14:paraId="71ACD530" w14:textId="77777777" w:rsidR="006A4C6C" w:rsidRPr="009831E8" w:rsidRDefault="006A4C6C" w:rsidP="00994AF9">
            <w:pPr>
              <w:widowControl/>
              <w:rPr>
                <w:kern w:val="0"/>
              </w:rPr>
            </w:pPr>
            <w:r w:rsidRPr="009831E8">
              <w:rPr>
                <w:kern w:val="0"/>
              </w:rPr>
              <w:t>TAT</w:t>
            </w:r>
          </w:p>
        </w:tc>
        <w:tc>
          <w:tcPr>
            <w:tcW w:w="1676" w:type="dxa"/>
          </w:tcPr>
          <w:p w14:paraId="0E7B836F" w14:textId="77777777" w:rsidR="006A4C6C" w:rsidRPr="009831E8" w:rsidRDefault="006A4C6C" w:rsidP="00994AF9">
            <w:pPr>
              <w:jc w:val="center"/>
            </w:pPr>
            <w:r w:rsidRPr="009831E8">
              <w:t>-</w:t>
            </w:r>
          </w:p>
        </w:tc>
        <w:tc>
          <w:tcPr>
            <w:tcW w:w="1382" w:type="dxa"/>
          </w:tcPr>
          <w:p w14:paraId="336DE981" w14:textId="77777777" w:rsidR="006A4C6C" w:rsidRPr="009831E8" w:rsidRDefault="006A4C6C" w:rsidP="00994AF9">
            <w:pPr>
              <w:widowControl/>
              <w:jc w:val="center"/>
              <w:rPr>
                <w:rFonts w:eastAsia="華康楷書體W5"/>
              </w:rPr>
            </w:pPr>
            <w:r w:rsidRPr="009831E8">
              <w:t>-</w:t>
            </w:r>
          </w:p>
        </w:tc>
        <w:tc>
          <w:tcPr>
            <w:tcW w:w="1292" w:type="dxa"/>
          </w:tcPr>
          <w:p w14:paraId="1AA3CBD6" w14:textId="77777777" w:rsidR="006A4C6C" w:rsidRPr="009831E8" w:rsidRDefault="006A4C6C" w:rsidP="00994AF9">
            <w:pPr>
              <w:widowControl/>
              <w:jc w:val="center"/>
              <w:rPr>
                <w:rFonts w:eastAsia="華康楷書體W5"/>
              </w:rPr>
            </w:pPr>
            <w:r w:rsidRPr="009831E8">
              <w:t>2.462</w:t>
            </w:r>
          </w:p>
        </w:tc>
        <w:tc>
          <w:tcPr>
            <w:tcW w:w="1376" w:type="dxa"/>
          </w:tcPr>
          <w:p w14:paraId="18CF9FA5" w14:textId="77777777" w:rsidR="006A4C6C" w:rsidRPr="009831E8" w:rsidRDefault="006A4C6C" w:rsidP="00994AF9">
            <w:pPr>
              <w:widowControl/>
              <w:jc w:val="center"/>
              <w:rPr>
                <w:rFonts w:eastAsia="華康楷書體W5"/>
              </w:rPr>
            </w:pPr>
            <w:r w:rsidRPr="009831E8">
              <w:t>(0.000) ***</w:t>
            </w:r>
          </w:p>
        </w:tc>
        <w:tc>
          <w:tcPr>
            <w:tcW w:w="1397" w:type="dxa"/>
            <w:vAlign w:val="bottom"/>
          </w:tcPr>
          <w:p w14:paraId="702C3AAE" w14:textId="77777777" w:rsidR="006A4C6C" w:rsidRPr="009831E8" w:rsidRDefault="006A4C6C" w:rsidP="00994AF9">
            <w:pPr>
              <w:widowControl/>
              <w:jc w:val="center"/>
              <w:rPr>
                <w:rFonts w:eastAsia="華康楷書體W5"/>
              </w:rPr>
            </w:pPr>
            <w:r w:rsidRPr="009831E8">
              <w:t>-</w:t>
            </w:r>
          </w:p>
        </w:tc>
        <w:tc>
          <w:tcPr>
            <w:tcW w:w="1396" w:type="dxa"/>
            <w:vAlign w:val="bottom"/>
          </w:tcPr>
          <w:p w14:paraId="6BD418D3" w14:textId="77777777" w:rsidR="006A4C6C" w:rsidRPr="009831E8" w:rsidRDefault="006A4C6C" w:rsidP="00994AF9">
            <w:pPr>
              <w:widowControl/>
              <w:jc w:val="center"/>
              <w:rPr>
                <w:rFonts w:eastAsia="華康楷書體W5"/>
              </w:rPr>
            </w:pPr>
            <w:r w:rsidRPr="009831E8">
              <w:rPr>
                <w:rFonts w:eastAsia="華康楷書體W5"/>
              </w:rPr>
              <w:t>-</w:t>
            </w:r>
          </w:p>
        </w:tc>
      </w:tr>
    </w:tbl>
    <w:p w14:paraId="68C8F0BF" w14:textId="6D03E704" w:rsidR="006A4C6C" w:rsidRPr="00FD6EFF" w:rsidRDefault="00776F07" w:rsidP="00FD6EFF">
      <w:pPr>
        <w:widowControl/>
        <w:jc w:val="both"/>
        <w:rPr>
          <w:rFonts w:eastAsia="標楷體"/>
          <w:bCs/>
        </w:rPr>
      </w:pPr>
      <w:r w:rsidRPr="009831E8">
        <w:rPr>
          <w:rFonts w:eastAsia="標楷體"/>
          <w:b/>
        </w:rPr>
        <w:t>Note: *, **, and *** denote 10%, 5% and 01% levels of significant for p value</w:t>
      </w:r>
      <w:r w:rsidR="00091988">
        <w:rPr>
          <w:rFonts w:eastAsia="標楷體"/>
          <w:b/>
        </w:rPr>
        <w:t>.</w:t>
      </w:r>
    </w:p>
    <w:p w14:paraId="64A758EF" w14:textId="77777777" w:rsidR="000A0229" w:rsidRDefault="000A0229" w:rsidP="00B244F4">
      <w:pPr>
        <w:widowControl/>
        <w:ind w:firstLine="480"/>
        <w:jc w:val="both"/>
        <w:rPr>
          <w:color w:val="000000" w:themeColor="text1"/>
          <w:shd w:val="clear" w:color="auto" w:fill="FFFFFF"/>
        </w:rPr>
      </w:pPr>
    </w:p>
    <w:p w14:paraId="0314192A" w14:textId="77777777" w:rsidR="000A0229" w:rsidRPr="000A0229" w:rsidRDefault="000A0229" w:rsidP="000A0229">
      <w:pPr>
        <w:widowControl/>
        <w:ind w:firstLine="480"/>
        <w:jc w:val="both"/>
        <w:rPr>
          <w:color w:val="000000" w:themeColor="text1"/>
          <w:shd w:val="clear" w:color="auto" w:fill="FFFFFF"/>
        </w:rPr>
      </w:pPr>
      <w:r w:rsidRPr="000A0229">
        <w:rPr>
          <w:color w:val="000000" w:themeColor="text1"/>
          <w:shd w:val="clear" w:color="auto" w:fill="FFFFFF"/>
        </w:rPr>
        <w:t xml:space="preserve">The mixed results for FCF in Negative Binomial Distribution for Q1 present less impact on perceived risk count, while the significant positive result in Q3 is likely to affect. This negative impact leads to the evidence presented by Florentina (2019), revealing that companies with good operating cash flow are less risky. The significant positive result for FCF was consistent with the hypothesis and proved that highly free cash flow and operating activities positively affect perceived risk count on equity VIX. The significant positive value in Q3 for TQ is inconsistent with the study. Silva and Majluf (2008) indicated that an increase in the profitability of equity VIX experienced less likelihood of perceived risk and insolvency. Membroek (2002) pointed out that an adequate risk policy influenced firms to lower debt costs by optimizing the risk-return trade-off inflecting firm value. </w:t>
      </w:r>
    </w:p>
    <w:p w14:paraId="35160C2B" w14:textId="79BCE0DC" w:rsidR="000A0229" w:rsidRPr="000A0229" w:rsidRDefault="000A0229" w:rsidP="000A0229">
      <w:pPr>
        <w:widowControl/>
        <w:ind w:firstLine="480"/>
        <w:jc w:val="both"/>
        <w:rPr>
          <w:color w:val="000000" w:themeColor="text1"/>
          <w:shd w:val="clear" w:color="auto" w:fill="FFFFFF"/>
        </w:rPr>
      </w:pPr>
      <w:r w:rsidRPr="000A0229">
        <w:rPr>
          <w:color w:val="000000" w:themeColor="text1"/>
          <w:shd w:val="clear" w:color="auto" w:fill="FFFFFF"/>
        </w:rPr>
        <w:t xml:space="preserve">The significant result for the DR factor in Q3 is consistent with the hypothesis. The results confirm the probability of an increasingly positive relationship between debt ratio and perceived risk count. The results give evidence to the finding presented by </w:t>
      </w:r>
      <w:r w:rsidR="00EE073B" w:rsidRPr="00EE073B">
        <w:rPr>
          <w:color w:val="000000" w:themeColor="text1"/>
          <w:shd w:val="clear" w:color="auto" w:fill="FFFFFF"/>
        </w:rPr>
        <w:t>Ma et al. (2020) that increased debt damages the firm's performance.</w:t>
      </w:r>
      <w:r w:rsidRPr="000A0229">
        <w:rPr>
          <w:color w:val="000000" w:themeColor="text1"/>
          <w:shd w:val="clear" w:color="auto" w:fill="FFFFFF"/>
        </w:rPr>
        <w:t xml:space="preserve"> High leverage and more debt ratio would almost certainly increase the perceived risk count on equity VIX. </w:t>
      </w:r>
    </w:p>
    <w:p w14:paraId="1287B5FA" w14:textId="4CF90AB7" w:rsidR="00D83BC5" w:rsidRPr="00D83BC5" w:rsidRDefault="000A0229" w:rsidP="000A0229">
      <w:pPr>
        <w:widowControl/>
        <w:ind w:firstLine="480"/>
        <w:jc w:val="both"/>
        <w:rPr>
          <w:rFonts w:ascii="Arial" w:hAnsi="Arial" w:cs="Arial"/>
          <w:color w:val="000000" w:themeColor="text1"/>
          <w:sz w:val="20"/>
          <w:szCs w:val="20"/>
          <w:shd w:val="clear" w:color="auto" w:fill="FFFFFF"/>
        </w:rPr>
      </w:pPr>
      <w:r w:rsidRPr="000A0229">
        <w:rPr>
          <w:color w:val="000000" w:themeColor="text1"/>
          <w:shd w:val="clear" w:color="auto" w:fill="FFFFFF"/>
        </w:rPr>
        <w:lastRenderedPageBreak/>
        <w:t>The CCC, ROE, and DPR results are negatively significant in Negative Binomial Distribution in Q2 and Q3, respectively. These results are consistent with the hypothesis of this study. The finding for the PBV ratio also has a negative relationship with perceived risk count that is consistent with Siregar</w:t>
      </w:r>
      <w:r w:rsidR="00860BB6">
        <w:rPr>
          <w:color w:val="000000" w:themeColor="text1"/>
          <w:shd w:val="clear" w:color="auto" w:fill="FFFFFF"/>
        </w:rPr>
        <w:t xml:space="preserve"> and Jahja</w:t>
      </w:r>
      <w:r w:rsidRPr="000A0229">
        <w:rPr>
          <w:color w:val="000000" w:themeColor="text1"/>
          <w:shd w:val="clear" w:color="auto" w:fill="FFFFFF"/>
        </w:rPr>
        <w:t xml:space="preserve"> (2020). </w:t>
      </w:r>
      <w:r w:rsidR="00860BB6">
        <w:rPr>
          <w:color w:val="000000" w:themeColor="text1"/>
          <w:shd w:val="clear" w:color="auto" w:fill="FFFFFF"/>
        </w:rPr>
        <w:t xml:space="preserve">Moreover, </w:t>
      </w:r>
      <w:r w:rsidRPr="000A0229">
        <w:rPr>
          <w:color w:val="000000" w:themeColor="text1"/>
          <w:shd w:val="clear" w:color="auto" w:fill="FFFFFF"/>
        </w:rPr>
        <w:t xml:space="preserve">Philipp and Nadine (2017) showed that the likelihood of profitability as measured by ROA increased with the implementation of risk management due to funding for the required financial resource. </w:t>
      </w:r>
      <w:r w:rsidR="00D83BC5" w:rsidRPr="00D83BC5">
        <w:rPr>
          <w:color w:val="000000" w:themeColor="text1"/>
          <w:szCs w:val="20"/>
          <w:shd w:val="clear" w:color="auto" w:fill="FFFFFF"/>
        </w:rPr>
        <w:t xml:space="preserve"> </w:t>
      </w:r>
    </w:p>
    <w:p w14:paraId="39EC459E" w14:textId="77777777" w:rsidR="00D83BC5" w:rsidRPr="00224659" w:rsidRDefault="00D83BC5" w:rsidP="00D83BC5">
      <w:pPr>
        <w:widowControl/>
        <w:ind w:firstLine="480"/>
        <w:jc w:val="both"/>
        <w:rPr>
          <w:rFonts w:ascii="Arial" w:hAnsi="Arial" w:cs="Arial"/>
          <w:color w:val="0070C0"/>
          <w:sz w:val="20"/>
          <w:szCs w:val="20"/>
          <w:shd w:val="clear" w:color="auto" w:fill="FFFFFF"/>
        </w:rPr>
      </w:pPr>
    </w:p>
    <w:p w14:paraId="2DF068AC" w14:textId="204CE880" w:rsidR="0030113E" w:rsidRPr="009831E8" w:rsidRDefault="00480152" w:rsidP="00480152">
      <w:pPr>
        <w:widowControl/>
        <w:jc w:val="both"/>
        <w:rPr>
          <w:rFonts w:eastAsia="Times New Roman"/>
          <w:b/>
          <w:bCs/>
          <w:kern w:val="0"/>
          <w:lang w:eastAsia="en-US"/>
        </w:rPr>
      </w:pPr>
      <w:r w:rsidRPr="009831E8">
        <w:rPr>
          <w:rFonts w:eastAsia="Times New Roman"/>
          <w:b/>
          <w:bCs/>
          <w:kern w:val="0"/>
          <w:lang w:eastAsia="en-US"/>
        </w:rPr>
        <w:t>Conclusion</w:t>
      </w:r>
    </w:p>
    <w:p w14:paraId="399393D0" w14:textId="77777777" w:rsidR="000A0229" w:rsidRPr="000A0229" w:rsidRDefault="00CB0B9B" w:rsidP="000A0229">
      <w:pPr>
        <w:widowControl/>
        <w:jc w:val="both"/>
        <w:rPr>
          <w:rFonts w:eastAsia="Times New Roman"/>
          <w:kern w:val="0"/>
          <w:lang w:eastAsia="en-US"/>
        </w:rPr>
      </w:pPr>
      <w:r w:rsidRPr="009831E8">
        <w:rPr>
          <w:rFonts w:eastAsia="Times New Roman"/>
          <w:kern w:val="0"/>
          <w:lang w:eastAsia="en-US"/>
        </w:rPr>
        <w:tab/>
      </w:r>
      <w:r w:rsidR="000A0229" w:rsidRPr="000A0229">
        <w:rPr>
          <w:rFonts w:eastAsia="Times New Roman"/>
          <w:kern w:val="0"/>
          <w:lang w:eastAsia="en-US"/>
        </w:rPr>
        <w:t>This study examined how financial ratios influence changes in sentiments at the firm level. The article employed CBOE individual equity VIX. Based on the financial ratios such as Financial Health, Technology Competition, Leverage Finance, Liquidity, Profitability, Dividend Policy, Company Value, Proprietary Asset, Cash Flow Management, and Management Efficiency. We evaluate whether financial variables influence perceived risks to count to investing in VIX individual equities.</w:t>
      </w:r>
    </w:p>
    <w:p w14:paraId="6D9A6099" w14:textId="77777777" w:rsidR="000A0229" w:rsidRPr="000A0229" w:rsidRDefault="000A0229" w:rsidP="000A0229">
      <w:pPr>
        <w:widowControl/>
        <w:jc w:val="both"/>
        <w:rPr>
          <w:rFonts w:eastAsia="Times New Roman"/>
          <w:kern w:val="0"/>
          <w:lang w:eastAsia="en-US"/>
        </w:rPr>
      </w:pPr>
      <w:r w:rsidRPr="000A0229">
        <w:rPr>
          <w:rFonts w:eastAsia="Times New Roman"/>
          <w:kern w:val="0"/>
          <w:lang w:eastAsia="en-US"/>
        </w:rPr>
        <w:t xml:space="preserve">The study utilized Poisson and Negative Binomial Regressions to investigate the link between perceived risk count and the variables at certain levels of quantiles to get insight into the market psychology condition of investors. The Negative Binomial model was chosen based on the highest log-likelihood value and the lowest AIC value. </w:t>
      </w:r>
    </w:p>
    <w:p w14:paraId="5678C16C" w14:textId="78DB79B5" w:rsidR="000A0229" w:rsidRPr="000A0229" w:rsidRDefault="000A0229" w:rsidP="00860BB6">
      <w:pPr>
        <w:widowControl/>
        <w:ind w:firstLine="480"/>
        <w:jc w:val="both"/>
        <w:rPr>
          <w:rFonts w:eastAsia="Times New Roman"/>
          <w:kern w:val="0"/>
          <w:lang w:eastAsia="en-US"/>
        </w:rPr>
      </w:pPr>
      <w:r w:rsidRPr="000A0229">
        <w:rPr>
          <w:rFonts w:eastAsia="Times New Roman"/>
          <w:kern w:val="0"/>
          <w:lang w:eastAsia="en-US"/>
        </w:rPr>
        <w:t xml:space="preserve">Most of the findings agreed with the hypothesis of this study. The variables like CCC, ROE, and DPR showed negatively significant in Negative Binomial Distribution in Q2 and Q3 quantiles. These variables are further helpful to control for affecting financial stress negatively. The significant positive result for FCF proved that highly free cash flow and operating activities positively affect perceived risk count. By comparing different quantile levels, the most influential variables associated with higher perceived risk based on Q3 quantile, followed by medium Q2 and lower Q1, have two variables that are significantly influenced. </w:t>
      </w:r>
      <w:r w:rsidR="0034675C" w:rsidRPr="0034675C">
        <w:rPr>
          <w:rFonts w:eastAsia="Times New Roman"/>
          <w:kern w:val="0"/>
          <w:lang w:eastAsia="en-US"/>
        </w:rPr>
        <w:t>Based on an adequate risk policy, firms have been encouraged to reduce debt related to the optimization trade-off for risk-reward that influenced enterprises' value.</w:t>
      </w:r>
      <w:r w:rsidRPr="000A0229">
        <w:rPr>
          <w:rFonts w:eastAsia="Times New Roman"/>
          <w:kern w:val="0"/>
          <w:lang w:eastAsia="en-US"/>
        </w:rPr>
        <w:t xml:space="preserve"> The probability of profitability measured by the ROA increased with the implementation of risk management because of the funding of the required financial resources. </w:t>
      </w:r>
    </w:p>
    <w:p w14:paraId="5EA7DA2A" w14:textId="235A97CE" w:rsidR="00690C8E" w:rsidRPr="00E328A8" w:rsidRDefault="000A0229" w:rsidP="00860BB6">
      <w:pPr>
        <w:widowControl/>
        <w:ind w:firstLine="480"/>
        <w:jc w:val="both"/>
        <w:rPr>
          <w:rFonts w:eastAsia="標楷體"/>
          <w:bCs/>
          <w:color w:val="0070C0"/>
        </w:rPr>
      </w:pPr>
      <w:r w:rsidRPr="000A0229">
        <w:rPr>
          <w:rFonts w:eastAsia="Times New Roman"/>
          <w:kern w:val="0"/>
          <w:lang w:eastAsia="en-US"/>
        </w:rPr>
        <w:t xml:space="preserve">This paper gives information to investors in VIX equities, and significant variables were influential factors and gave good news for investing in such investment. Appropriate control of relevant variables at different risk levels implies ensuring the extent to which it can effectively influence risk perception.  </w:t>
      </w:r>
      <w:r w:rsidR="00A36867" w:rsidRPr="009364DF">
        <w:rPr>
          <w:rFonts w:eastAsia="標楷體"/>
          <w:bCs/>
          <w:color w:val="000000" w:themeColor="text1"/>
        </w:rPr>
        <w:t xml:space="preserve"> </w:t>
      </w:r>
      <w:r w:rsidR="00A36867" w:rsidRPr="000E3D7C">
        <w:rPr>
          <w:rFonts w:eastAsia="標楷體"/>
          <w:bCs/>
          <w:color w:val="0070C0"/>
        </w:rPr>
        <w:t xml:space="preserve"> </w:t>
      </w:r>
    </w:p>
    <w:p w14:paraId="103F2EA4" w14:textId="77777777" w:rsidR="00F8263C" w:rsidRPr="009831E8" w:rsidRDefault="00F8263C" w:rsidP="00F8263C">
      <w:pPr>
        <w:widowControl/>
        <w:ind w:firstLine="480"/>
        <w:jc w:val="both"/>
        <w:rPr>
          <w:rFonts w:eastAsia="華康楷書體W5"/>
          <w:bCs/>
        </w:rPr>
      </w:pPr>
    </w:p>
    <w:p w14:paraId="27529AA7" w14:textId="77777777" w:rsidR="00A17A16" w:rsidRPr="00A17A16" w:rsidRDefault="00A17A16" w:rsidP="0066273E">
      <w:pPr>
        <w:tabs>
          <w:tab w:val="num" w:pos="0"/>
        </w:tabs>
        <w:ind w:right="-35"/>
        <w:jc w:val="both"/>
        <w:rPr>
          <w:rFonts w:eastAsia="標楷體"/>
          <w:b/>
          <w:bCs/>
        </w:rPr>
      </w:pPr>
    </w:p>
    <w:p w14:paraId="0442E687" w14:textId="3753DD03" w:rsidR="0066273E" w:rsidRPr="009831E8" w:rsidRDefault="0066273E" w:rsidP="0066273E">
      <w:pPr>
        <w:tabs>
          <w:tab w:val="num" w:pos="0"/>
        </w:tabs>
        <w:ind w:right="-35"/>
        <w:jc w:val="both"/>
        <w:rPr>
          <w:rFonts w:eastAsia="標楷體"/>
          <w:b/>
          <w:bCs/>
        </w:rPr>
      </w:pPr>
      <w:r w:rsidRPr="009831E8">
        <w:rPr>
          <w:rFonts w:eastAsia="標楷體"/>
          <w:b/>
          <w:bCs/>
        </w:rPr>
        <w:t>Reference</w:t>
      </w:r>
    </w:p>
    <w:p w14:paraId="159273AE" w14:textId="77777777" w:rsidR="0066273E" w:rsidRPr="009831E8" w:rsidRDefault="0066273E" w:rsidP="0066273E">
      <w:pPr>
        <w:tabs>
          <w:tab w:val="num" w:pos="0"/>
        </w:tabs>
        <w:ind w:right="-35"/>
        <w:jc w:val="both"/>
        <w:rPr>
          <w:rFonts w:eastAsia="標楷體"/>
          <w:bCs/>
        </w:rPr>
      </w:pPr>
    </w:p>
    <w:p w14:paraId="2E6CA915" w14:textId="2F02F0DA" w:rsidR="0066273E" w:rsidRDefault="0066273E" w:rsidP="0066273E">
      <w:pPr>
        <w:tabs>
          <w:tab w:val="num" w:pos="0"/>
        </w:tabs>
        <w:ind w:right="-35"/>
        <w:jc w:val="both"/>
        <w:rPr>
          <w:rFonts w:eastAsia="標楷體"/>
          <w:bCs/>
        </w:rPr>
      </w:pPr>
      <w:r w:rsidRPr="009831E8">
        <w:rPr>
          <w:rFonts w:eastAsia="標楷體"/>
          <w:bCs/>
        </w:rPr>
        <w:t>Abrams, B. A. and Huang, C. J. (1987). "Predicting bank failures: The role of structure in affecting recent failures experiences in the USA, Applied Economics, Vol.19, p.1291-1320.</w:t>
      </w:r>
    </w:p>
    <w:p w14:paraId="27961AAD" w14:textId="448A3218" w:rsidR="0017307F" w:rsidRDefault="0017307F" w:rsidP="0066273E">
      <w:pPr>
        <w:tabs>
          <w:tab w:val="num" w:pos="0"/>
        </w:tabs>
        <w:ind w:right="-35"/>
        <w:jc w:val="both"/>
        <w:rPr>
          <w:rFonts w:eastAsia="標楷體"/>
          <w:bCs/>
        </w:rPr>
      </w:pPr>
    </w:p>
    <w:p w14:paraId="199F6751" w14:textId="1B12038B" w:rsidR="0066273E" w:rsidRPr="009364DF" w:rsidRDefault="0017307F" w:rsidP="0066273E">
      <w:pPr>
        <w:tabs>
          <w:tab w:val="num" w:pos="0"/>
        </w:tabs>
        <w:ind w:right="-35"/>
        <w:jc w:val="both"/>
        <w:rPr>
          <w:color w:val="000000" w:themeColor="text1"/>
          <w:shd w:val="clear" w:color="auto" w:fill="FFFFFF"/>
        </w:rPr>
      </w:pPr>
      <w:r w:rsidRPr="009831E8">
        <w:rPr>
          <w:shd w:val="clear" w:color="auto" w:fill="FFFFFF"/>
        </w:rPr>
        <w:t xml:space="preserve">Ahmed, K., and Jinan, M. (2011). The association between research and development expenditure </w:t>
      </w:r>
      <w:r w:rsidRPr="009831E8">
        <w:rPr>
          <w:shd w:val="clear" w:color="auto" w:fill="FFFFFF"/>
        </w:rPr>
        <w:lastRenderedPageBreak/>
        <w:t>and firm performance: Testing a life cycle hypothesis. International Journal of Accounting, Auditing and Performance Evaluation, </w:t>
      </w:r>
      <w:r w:rsidR="00221FAD">
        <w:rPr>
          <w:rFonts w:hint="eastAsia"/>
          <w:shd w:val="clear" w:color="auto" w:fill="FFFFFF"/>
        </w:rPr>
        <w:t>V</w:t>
      </w:r>
      <w:r w:rsidR="00430215" w:rsidRPr="009364DF">
        <w:rPr>
          <w:color w:val="000000" w:themeColor="text1"/>
          <w:shd w:val="clear" w:color="auto" w:fill="FFFFFF"/>
        </w:rPr>
        <w:t>ol.</w:t>
      </w:r>
      <w:r w:rsidRPr="009364DF">
        <w:rPr>
          <w:color w:val="000000" w:themeColor="text1"/>
          <w:shd w:val="clear" w:color="auto" w:fill="FFFFFF"/>
        </w:rPr>
        <w:t>7</w:t>
      </w:r>
      <w:r w:rsidR="00860BB6">
        <w:rPr>
          <w:color w:val="000000" w:themeColor="text1"/>
          <w:shd w:val="clear" w:color="auto" w:fill="FFFFFF"/>
        </w:rPr>
        <w:t xml:space="preserve">, No. </w:t>
      </w:r>
      <w:r w:rsidRPr="009364DF">
        <w:rPr>
          <w:color w:val="000000" w:themeColor="text1"/>
          <w:shd w:val="clear" w:color="auto" w:fill="FFFFFF"/>
        </w:rPr>
        <w:t xml:space="preserve">4, </w:t>
      </w:r>
      <w:r w:rsidR="00430215" w:rsidRPr="009364DF">
        <w:rPr>
          <w:color w:val="000000" w:themeColor="text1"/>
          <w:shd w:val="clear" w:color="auto" w:fill="FFFFFF"/>
        </w:rPr>
        <w:t>p.</w:t>
      </w:r>
      <w:r w:rsidRPr="009364DF">
        <w:rPr>
          <w:color w:val="000000" w:themeColor="text1"/>
          <w:shd w:val="clear" w:color="auto" w:fill="FFFFFF"/>
        </w:rPr>
        <w:t>267-286.</w:t>
      </w:r>
    </w:p>
    <w:p w14:paraId="1D4B75D7" w14:textId="77777777" w:rsidR="001333D9" w:rsidRPr="001333D9" w:rsidRDefault="001333D9" w:rsidP="0066273E">
      <w:pPr>
        <w:tabs>
          <w:tab w:val="num" w:pos="0"/>
        </w:tabs>
        <w:ind w:right="-35"/>
        <w:jc w:val="both"/>
        <w:rPr>
          <w:shd w:val="clear" w:color="auto" w:fill="FFFFFF"/>
        </w:rPr>
      </w:pPr>
    </w:p>
    <w:p w14:paraId="134B5C5B" w14:textId="45DE90F6" w:rsidR="0066273E" w:rsidRPr="009831E8" w:rsidRDefault="0066273E" w:rsidP="0066273E">
      <w:pPr>
        <w:tabs>
          <w:tab w:val="num" w:pos="0"/>
        </w:tabs>
        <w:ind w:right="-35"/>
        <w:jc w:val="both"/>
        <w:rPr>
          <w:rFonts w:eastAsia="標楷體"/>
          <w:bCs/>
        </w:rPr>
      </w:pPr>
      <w:r w:rsidRPr="009831E8">
        <w:rPr>
          <w:rFonts w:eastAsia="標楷體"/>
          <w:bCs/>
        </w:rPr>
        <w:t>Altman, E. (1968). "Financial ratios, discriminant analysis and the prediction for corporate bankruptcy". Journal of Finance, Vol.23, No.4, p.589-609.</w:t>
      </w:r>
    </w:p>
    <w:p w14:paraId="4D22BEF0" w14:textId="77777777" w:rsidR="0066273E" w:rsidRPr="009831E8" w:rsidRDefault="0066273E" w:rsidP="0066273E">
      <w:pPr>
        <w:tabs>
          <w:tab w:val="num" w:pos="0"/>
        </w:tabs>
        <w:ind w:right="-35"/>
        <w:jc w:val="both"/>
        <w:rPr>
          <w:rFonts w:eastAsia="標楷體"/>
          <w:bCs/>
        </w:rPr>
      </w:pPr>
    </w:p>
    <w:p w14:paraId="4903D9A6" w14:textId="567581E9" w:rsidR="0066273E" w:rsidRDefault="0066273E" w:rsidP="0066273E">
      <w:pPr>
        <w:tabs>
          <w:tab w:val="num" w:pos="0"/>
        </w:tabs>
        <w:ind w:right="-35"/>
        <w:jc w:val="both"/>
        <w:rPr>
          <w:rFonts w:eastAsia="標楷體"/>
          <w:bCs/>
        </w:rPr>
      </w:pPr>
      <w:r w:rsidRPr="009831E8">
        <w:rPr>
          <w:rFonts w:eastAsia="標楷體"/>
          <w:bCs/>
        </w:rPr>
        <w:t>Ang, A., Hodrick, R. J., Xing, Y.</w:t>
      </w:r>
      <w:r w:rsidR="003758D4">
        <w:rPr>
          <w:rFonts w:eastAsia="標楷體"/>
          <w:bCs/>
        </w:rPr>
        <w:t>,</w:t>
      </w:r>
      <w:r w:rsidRPr="009831E8">
        <w:rPr>
          <w:rFonts w:eastAsia="標楷體"/>
          <w:bCs/>
        </w:rPr>
        <w:t xml:space="preserve"> and Zhang, X. (2006). "The cross-section of volatility and expected returns". Journal of Finance, Vol.61, p.259-99.</w:t>
      </w:r>
    </w:p>
    <w:p w14:paraId="00C53457" w14:textId="2875A893" w:rsidR="00C22D45" w:rsidRDefault="00C22D45" w:rsidP="0066273E">
      <w:pPr>
        <w:tabs>
          <w:tab w:val="num" w:pos="0"/>
        </w:tabs>
        <w:ind w:right="-35"/>
        <w:jc w:val="both"/>
        <w:rPr>
          <w:rFonts w:eastAsia="標楷體"/>
          <w:bCs/>
        </w:rPr>
      </w:pPr>
    </w:p>
    <w:p w14:paraId="33C194B1" w14:textId="7E03AA11" w:rsidR="0066273E" w:rsidRDefault="00C22D45" w:rsidP="0066273E">
      <w:pPr>
        <w:tabs>
          <w:tab w:val="num" w:pos="0"/>
        </w:tabs>
        <w:ind w:right="-35"/>
        <w:jc w:val="both"/>
        <w:rPr>
          <w:color w:val="000000" w:themeColor="text1"/>
          <w:shd w:val="clear" w:color="auto" w:fill="FFFFFF"/>
        </w:rPr>
      </w:pPr>
      <w:r w:rsidRPr="009831E8">
        <w:rPr>
          <w:shd w:val="clear" w:color="auto" w:fill="FFFFFF"/>
        </w:rPr>
        <w:t xml:space="preserve">Antonelli, C. (1989). A failure-inducement model of research and development expenditure: Italian evidence from the early 1980s. Journal of Economic Behavior </w:t>
      </w:r>
      <w:r>
        <w:rPr>
          <w:shd w:val="clear" w:color="auto" w:fill="FFFFFF"/>
        </w:rPr>
        <w:t>and</w:t>
      </w:r>
      <w:r w:rsidRPr="009831E8">
        <w:rPr>
          <w:shd w:val="clear" w:color="auto" w:fill="FFFFFF"/>
        </w:rPr>
        <w:t xml:space="preserve"> Organization, </w:t>
      </w:r>
      <w:r w:rsidR="009364DF" w:rsidRPr="009364DF">
        <w:rPr>
          <w:color w:val="000000" w:themeColor="text1"/>
          <w:shd w:val="clear" w:color="auto" w:fill="FFFFFF"/>
        </w:rPr>
        <w:t>V</w:t>
      </w:r>
      <w:r w:rsidRPr="009364DF">
        <w:rPr>
          <w:color w:val="000000" w:themeColor="text1"/>
          <w:shd w:val="clear" w:color="auto" w:fill="FFFFFF"/>
        </w:rPr>
        <w:t>ol.12</w:t>
      </w:r>
      <w:r w:rsidR="003758D4">
        <w:rPr>
          <w:color w:val="000000" w:themeColor="text1"/>
          <w:shd w:val="clear" w:color="auto" w:fill="FFFFFF"/>
        </w:rPr>
        <w:t>, No.</w:t>
      </w:r>
      <w:r w:rsidRPr="009364DF">
        <w:rPr>
          <w:color w:val="000000" w:themeColor="text1"/>
          <w:shd w:val="clear" w:color="auto" w:fill="FFFFFF"/>
        </w:rPr>
        <w:t>2, p.159-180.</w:t>
      </w:r>
    </w:p>
    <w:p w14:paraId="4400C6CC" w14:textId="4C612965" w:rsidR="00FA6718" w:rsidRDefault="00FA6718" w:rsidP="0066273E">
      <w:pPr>
        <w:tabs>
          <w:tab w:val="num" w:pos="0"/>
        </w:tabs>
        <w:ind w:right="-35"/>
        <w:jc w:val="both"/>
        <w:rPr>
          <w:rFonts w:eastAsia="標楷體"/>
        </w:rPr>
      </w:pPr>
    </w:p>
    <w:p w14:paraId="467DF529" w14:textId="51726B98" w:rsidR="009364DF" w:rsidRDefault="009364DF" w:rsidP="0066273E">
      <w:pPr>
        <w:tabs>
          <w:tab w:val="num" w:pos="0"/>
        </w:tabs>
        <w:ind w:right="-35"/>
        <w:jc w:val="both"/>
        <w:rPr>
          <w:rFonts w:eastAsia="標楷體"/>
        </w:rPr>
      </w:pPr>
      <w:r>
        <w:rPr>
          <w:rFonts w:eastAsia="標楷體" w:hint="eastAsia"/>
        </w:rPr>
        <w:t>B</w:t>
      </w:r>
      <w:r>
        <w:rPr>
          <w:rFonts w:eastAsia="標楷體"/>
        </w:rPr>
        <w:t xml:space="preserve">easley, M., Clune, R., and Hermanson, D. R. (2005). “Enterprise risk management: An empirical analysis of </w:t>
      </w:r>
      <w:r>
        <w:rPr>
          <w:rFonts w:eastAsia="標楷體" w:hint="eastAsia"/>
        </w:rPr>
        <w:t>f</w:t>
      </w:r>
      <w:r>
        <w:rPr>
          <w:rFonts w:eastAsia="標楷體"/>
        </w:rPr>
        <w:t>actor associated with the extent of implementation”. Journal of Acconting and Public Policy, Vol.24, p.521-531.</w:t>
      </w:r>
    </w:p>
    <w:p w14:paraId="005B6713" w14:textId="77777777" w:rsidR="009364DF" w:rsidRPr="009831E8" w:rsidRDefault="009364DF" w:rsidP="0066273E">
      <w:pPr>
        <w:tabs>
          <w:tab w:val="num" w:pos="0"/>
        </w:tabs>
        <w:ind w:right="-35"/>
        <w:jc w:val="both"/>
        <w:rPr>
          <w:rFonts w:eastAsia="標楷體"/>
        </w:rPr>
      </w:pPr>
    </w:p>
    <w:p w14:paraId="3C581E54" w14:textId="783594A3" w:rsidR="0066273E" w:rsidRPr="009831E8" w:rsidRDefault="0066273E" w:rsidP="0066273E">
      <w:pPr>
        <w:tabs>
          <w:tab w:val="num" w:pos="0"/>
        </w:tabs>
        <w:ind w:right="-35"/>
        <w:jc w:val="both"/>
        <w:rPr>
          <w:rFonts w:eastAsia="標楷體"/>
          <w:bCs/>
        </w:rPr>
      </w:pPr>
      <w:r w:rsidRPr="009831E8">
        <w:rPr>
          <w:rFonts w:eastAsia="標楷體"/>
          <w:bCs/>
        </w:rPr>
        <w:t>Beaver, W. H. (1966). "Financial ratios as predictors of bankruptcy". Journal of Accounting Research, Vol. Supplement, p.71-102.</w:t>
      </w:r>
    </w:p>
    <w:p w14:paraId="1B905037" w14:textId="77777777" w:rsidR="0066273E" w:rsidRPr="009831E8" w:rsidRDefault="0066273E" w:rsidP="0066273E">
      <w:pPr>
        <w:tabs>
          <w:tab w:val="num" w:pos="0"/>
        </w:tabs>
        <w:ind w:right="-35"/>
        <w:jc w:val="both"/>
        <w:rPr>
          <w:rFonts w:eastAsia="標楷體"/>
          <w:bCs/>
        </w:rPr>
      </w:pPr>
    </w:p>
    <w:p w14:paraId="0A61FD57" w14:textId="721987DA" w:rsidR="0066273E" w:rsidRPr="009831E8" w:rsidRDefault="0066273E" w:rsidP="0066273E">
      <w:pPr>
        <w:tabs>
          <w:tab w:val="num" w:pos="0"/>
        </w:tabs>
        <w:ind w:right="-35"/>
        <w:jc w:val="both"/>
        <w:rPr>
          <w:rFonts w:eastAsia="標楷體"/>
          <w:bCs/>
        </w:rPr>
      </w:pPr>
      <w:r w:rsidRPr="009831E8">
        <w:rPr>
          <w:rFonts w:eastAsia="標楷體"/>
          <w:bCs/>
        </w:rPr>
        <w:t>Bordonado, Christoffer, Moln´ar, Peter, and Samdal Sven R. (2017). "VIX exchange traded products: Price discovery, hedging, and trading strategy". The J</w:t>
      </w:r>
      <w:r w:rsidR="000F3B65">
        <w:rPr>
          <w:rFonts w:eastAsia="標楷體"/>
          <w:bCs/>
        </w:rPr>
        <w:t>ournal of Futures Markets, Vol.</w:t>
      </w:r>
      <w:r w:rsidRPr="009831E8">
        <w:rPr>
          <w:rFonts w:eastAsia="標楷體"/>
          <w:bCs/>
        </w:rPr>
        <w:t>37, No.2, p.164-183.</w:t>
      </w:r>
    </w:p>
    <w:p w14:paraId="6C409E49" w14:textId="2672B175" w:rsidR="0066273E" w:rsidRDefault="0066273E" w:rsidP="0066273E">
      <w:pPr>
        <w:tabs>
          <w:tab w:val="num" w:pos="0"/>
        </w:tabs>
        <w:ind w:right="-35"/>
        <w:jc w:val="both"/>
        <w:rPr>
          <w:rFonts w:eastAsia="標楷體"/>
          <w:bCs/>
        </w:rPr>
      </w:pPr>
    </w:p>
    <w:p w14:paraId="29FF06D1" w14:textId="1387AE7B" w:rsidR="003758D4" w:rsidRPr="00680D32" w:rsidRDefault="003758D4" w:rsidP="003758D4">
      <w:pPr>
        <w:tabs>
          <w:tab w:val="num" w:pos="0"/>
        </w:tabs>
        <w:ind w:right="-35"/>
        <w:jc w:val="both"/>
        <w:rPr>
          <w:rFonts w:eastAsia="標楷體"/>
          <w:bCs/>
        </w:rPr>
      </w:pPr>
      <w:r w:rsidRPr="00680D32">
        <w:rPr>
          <w:color w:val="222222"/>
          <w:shd w:val="clear" w:color="auto" w:fill="FFFFFF"/>
        </w:rPr>
        <w:t xml:space="preserve">Cameron, A. C., </w:t>
      </w:r>
      <w:r>
        <w:rPr>
          <w:color w:val="222222"/>
          <w:shd w:val="clear" w:color="auto" w:fill="FFFFFF"/>
        </w:rPr>
        <w:t>and</w:t>
      </w:r>
      <w:r w:rsidRPr="00680D32">
        <w:rPr>
          <w:color w:val="222222"/>
          <w:shd w:val="clear" w:color="auto" w:fill="FFFFFF"/>
        </w:rPr>
        <w:t xml:space="preserve"> Trivedi, P. K. (1990). Regression-based tests for overdispersion in the Poisson model. Journal of econometrics, </w:t>
      </w:r>
      <w:r>
        <w:rPr>
          <w:color w:val="222222"/>
          <w:shd w:val="clear" w:color="auto" w:fill="FFFFFF"/>
        </w:rPr>
        <w:t>vol.</w:t>
      </w:r>
      <w:r w:rsidRPr="00680D32">
        <w:rPr>
          <w:color w:val="222222"/>
          <w:shd w:val="clear" w:color="auto" w:fill="FFFFFF"/>
        </w:rPr>
        <w:t>46</w:t>
      </w:r>
      <w:r>
        <w:rPr>
          <w:color w:val="222222"/>
          <w:shd w:val="clear" w:color="auto" w:fill="FFFFFF"/>
        </w:rPr>
        <w:t>, No.3</w:t>
      </w:r>
      <w:r w:rsidRPr="00680D32">
        <w:rPr>
          <w:color w:val="222222"/>
          <w:shd w:val="clear" w:color="auto" w:fill="FFFFFF"/>
        </w:rPr>
        <w:t xml:space="preserve">, </w:t>
      </w:r>
      <w:r>
        <w:rPr>
          <w:color w:val="222222"/>
          <w:shd w:val="clear" w:color="auto" w:fill="FFFFFF"/>
        </w:rPr>
        <w:t>p.</w:t>
      </w:r>
      <w:r w:rsidRPr="00680D32">
        <w:rPr>
          <w:color w:val="222222"/>
          <w:shd w:val="clear" w:color="auto" w:fill="FFFFFF"/>
        </w:rPr>
        <w:t>347-364.</w:t>
      </w:r>
    </w:p>
    <w:p w14:paraId="190E963F" w14:textId="77777777" w:rsidR="003758D4" w:rsidRPr="009831E8" w:rsidRDefault="003758D4" w:rsidP="0066273E">
      <w:pPr>
        <w:tabs>
          <w:tab w:val="num" w:pos="0"/>
        </w:tabs>
        <w:ind w:right="-35"/>
        <w:jc w:val="both"/>
        <w:rPr>
          <w:rFonts w:eastAsia="標楷體"/>
          <w:bCs/>
        </w:rPr>
      </w:pPr>
    </w:p>
    <w:p w14:paraId="060552C1" w14:textId="67C9DC78" w:rsidR="0066273E" w:rsidRDefault="0066273E" w:rsidP="0066273E">
      <w:pPr>
        <w:tabs>
          <w:tab w:val="num" w:pos="0"/>
        </w:tabs>
        <w:ind w:right="-35"/>
        <w:jc w:val="both"/>
        <w:rPr>
          <w:rFonts w:eastAsia="標楷體"/>
          <w:bCs/>
        </w:rPr>
      </w:pPr>
      <w:r w:rsidRPr="009831E8">
        <w:rPr>
          <w:rFonts w:eastAsia="標楷體"/>
          <w:bCs/>
        </w:rPr>
        <w:t xml:space="preserve">Carlos, Serrano-Cinca, Yolanda, Fuertes-Callén, Begoña, Gutiérrez-Nieto and Beatriz, Cuellar-Fernández (2014). "Path modelling to </w:t>
      </w:r>
      <w:r w:rsidR="00EA7064" w:rsidRPr="009831E8">
        <w:rPr>
          <w:rFonts w:eastAsia="標楷體"/>
          <w:bCs/>
        </w:rPr>
        <w:t>bankruptcy</w:t>
      </w:r>
      <w:r w:rsidRPr="009831E8">
        <w:rPr>
          <w:rFonts w:eastAsia="標楷體"/>
          <w:bCs/>
        </w:rPr>
        <w:t xml:space="preserve"> causes and symptoms of the banking crisis". </w:t>
      </w:r>
      <w:r w:rsidR="000F3B65">
        <w:rPr>
          <w:rFonts w:eastAsia="標楷體"/>
          <w:bCs/>
        </w:rPr>
        <w:t>Applied Economics, Vol.46, No.</w:t>
      </w:r>
      <w:r w:rsidRPr="009831E8">
        <w:rPr>
          <w:rFonts w:eastAsia="標楷體"/>
          <w:bCs/>
        </w:rPr>
        <w:t>31, p.3798-3811.</w:t>
      </w:r>
    </w:p>
    <w:p w14:paraId="15446FE3" w14:textId="77777777" w:rsidR="0066273E" w:rsidRPr="00680D32" w:rsidRDefault="0066273E" w:rsidP="0066273E">
      <w:pPr>
        <w:tabs>
          <w:tab w:val="num" w:pos="0"/>
        </w:tabs>
        <w:ind w:right="-35"/>
        <w:jc w:val="both"/>
        <w:rPr>
          <w:rFonts w:eastAsia="標楷體"/>
          <w:bCs/>
        </w:rPr>
      </w:pPr>
    </w:p>
    <w:p w14:paraId="7D850CA9" w14:textId="77777777" w:rsidR="0066273E" w:rsidRPr="009831E8" w:rsidRDefault="0066273E" w:rsidP="0066273E">
      <w:pPr>
        <w:tabs>
          <w:tab w:val="num" w:pos="0"/>
        </w:tabs>
        <w:ind w:right="-35"/>
        <w:jc w:val="both"/>
        <w:rPr>
          <w:rFonts w:eastAsia="標楷體"/>
          <w:bCs/>
        </w:rPr>
      </w:pPr>
      <w:r w:rsidRPr="009831E8">
        <w:rPr>
          <w:rFonts w:eastAsia="標楷體"/>
          <w:bCs/>
        </w:rPr>
        <w:t>Chen, J. (2003). "Intertemporal CAPM and the cross-section of stock returns". Working Paper, University of Southern California.</w:t>
      </w:r>
    </w:p>
    <w:p w14:paraId="7443AE3F" w14:textId="77777777" w:rsidR="0066273E" w:rsidRPr="009831E8" w:rsidRDefault="0066273E" w:rsidP="0066273E">
      <w:pPr>
        <w:tabs>
          <w:tab w:val="num" w:pos="0"/>
        </w:tabs>
        <w:ind w:right="-35"/>
        <w:jc w:val="both"/>
        <w:rPr>
          <w:rFonts w:eastAsia="標楷體"/>
          <w:bCs/>
        </w:rPr>
      </w:pPr>
    </w:p>
    <w:p w14:paraId="638094A8" w14:textId="6D8AEE4A" w:rsidR="0066273E" w:rsidRPr="009831E8" w:rsidRDefault="0066273E" w:rsidP="0066273E">
      <w:pPr>
        <w:tabs>
          <w:tab w:val="num" w:pos="0"/>
        </w:tabs>
        <w:ind w:right="-35"/>
        <w:jc w:val="both"/>
        <w:rPr>
          <w:rFonts w:eastAsia="標楷體"/>
          <w:bCs/>
        </w:rPr>
      </w:pPr>
      <w:r w:rsidRPr="009831E8">
        <w:rPr>
          <w:shd w:val="clear" w:color="auto" w:fill="FFFFFF"/>
        </w:rPr>
        <w:t>Chen, J. H., and Chen, C. S. (201</w:t>
      </w:r>
      <w:r w:rsidR="002533B4">
        <w:rPr>
          <w:shd w:val="clear" w:color="auto" w:fill="FFFFFF"/>
        </w:rPr>
        <w:t>1</w:t>
      </w:r>
      <w:r w:rsidRPr="009831E8">
        <w:rPr>
          <w:shd w:val="clear" w:color="auto" w:fill="FFFFFF"/>
        </w:rPr>
        <w:t xml:space="preserve">). The study of contagious paces of financial crises. Quality </w:t>
      </w:r>
      <w:r w:rsidR="00D068EB">
        <w:rPr>
          <w:shd w:val="clear" w:color="auto" w:fill="FFFFFF"/>
        </w:rPr>
        <w:t>and</w:t>
      </w:r>
      <w:r w:rsidR="003E54AE">
        <w:rPr>
          <w:shd w:val="clear" w:color="auto" w:fill="FFFFFF"/>
        </w:rPr>
        <w:t xml:space="preserve">  </w:t>
      </w:r>
      <w:r w:rsidRPr="009831E8">
        <w:rPr>
          <w:shd w:val="clear" w:color="auto" w:fill="FFFFFF"/>
        </w:rPr>
        <w:t xml:space="preserve"> Quantity, </w:t>
      </w:r>
      <w:r w:rsidR="002533B4">
        <w:rPr>
          <w:shd w:val="clear" w:color="auto" w:fill="FFFFFF"/>
        </w:rPr>
        <w:t>V</w:t>
      </w:r>
      <w:r w:rsidR="00DB75C9">
        <w:rPr>
          <w:shd w:val="clear" w:color="auto" w:fill="FFFFFF"/>
        </w:rPr>
        <w:t>ol.</w:t>
      </w:r>
      <w:r w:rsidRPr="009831E8">
        <w:rPr>
          <w:shd w:val="clear" w:color="auto" w:fill="FFFFFF"/>
        </w:rPr>
        <w:t>46</w:t>
      </w:r>
      <w:r w:rsidR="003758D4">
        <w:rPr>
          <w:shd w:val="clear" w:color="auto" w:fill="FFFFFF"/>
        </w:rPr>
        <w:t>, No.</w:t>
      </w:r>
      <w:r w:rsidRPr="009831E8">
        <w:rPr>
          <w:shd w:val="clear" w:color="auto" w:fill="FFFFFF"/>
        </w:rPr>
        <w:t xml:space="preserve">6, </w:t>
      </w:r>
      <w:r w:rsidR="00DB75C9">
        <w:rPr>
          <w:shd w:val="clear" w:color="auto" w:fill="FFFFFF"/>
        </w:rPr>
        <w:t>p.</w:t>
      </w:r>
      <w:r w:rsidRPr="009831E8">
        <w:rPr>
          <w:shd w:val="clear" w:color="auto" w:fill="FFFFFF"/>
        </w:rPr>
        <w:t>1825-1846</w:t>
      </w:r>
      <w:r w:rsidRPr="009831E8">
        <w:rPr>
          <w:rFonts w:ascii="Arial" w:hAnsi="Arial" w:cs="Arial"/>
          <w:sz w:val="20"/>
          <w:szCs w:val="20"/>
          <w:shd w:val="clear" w:color="auto" w:fill="FFFFFF"/>
        </w:rPr>
        <w:t>.</w:t>
      </w:r>
    </w:p>
    <w:p w14:paraId="56D3CEEA" w14:textId="77777777" w:rsidR="0066273E" w:rsidRPr="009831E8" w:rsidRDefault="0066273E" w:rsidP="0066273E">
      <w:pPr>
        <w:tabs>
          <w:tab w:val="num" w:pos="0"/>
        </w:tabs>
        <w:ind w:right="-35"/>
        <w:jc w:val="both"/>
        <w:rPr>
          <w:rFonts w:eastAsia="標楷體"/>
          <w:bCs/>
        </w:rPr>
      </w:pPr>
    </w:p>
    <w:p w14:paraId="16B5D7B4" w14:textId="3B004CCA" w:rsidR="0066273E" w:rsidRPr="009831E8" w:rsidRDefault="0066273E" w:rsidP="0066273E">
      <w:pPr>
        <w:tabs>
          <w:tab w:val="num" w:pos="0"/>
        </w:tabs>
        <w:ind w:right="-35"/>
        <w:jc w:val="both"/>
        <w:rPr>
          <w:rFonts w:eastAsia="標楷體"/>
          <w:bCs/>
        </w:rPr>
      </w:pPr>
      <w:r w:rsidRPr="009831E8">
        <w:rPr>
          <w:rFonts w:eastAsia="標楷體" w:hint="eastAsia"/>
          <w:bCs/>
        </w:rPr>
        <w:t>C</w:t>
      </w:r>
      <w:r w:rsidRPr="009831E8">
        <w:rPr>
          <w:rFonts w:eastAsia="標楷體"/>
          <w:bCs/>
        </w:rPr>
        <w:t>hen, Jo-Hui and Chen, Yen-Min (2002</w:t>
      </w:r>
      <w:r w:rsidR="00F0440F" w:rsidRPr="009831E8">
        <w:rPr>
          <w:rFonts w:eastAsia="標楷體"/>
          <w:bCs/>
        </w:rPr>
        <w:t>). The</w:t>
      </w:r>
      <w:r w:rsidRPr="009831E8">
        <w:rPr>
          <w:rFonts w:eastAsia="標楷體"/>
          <w:bCs/>
        </w:rPr>
        <w:t xml:space="preserve"> study of the relationship between stock and the announcement of monitoring indicators in Taiwan”. Asia-Pacific Economic and</w:t>
      </w:r>
      <w:r w:rsidR="000F3B65">
        <w:rPr>
          <w:rFonts w:eastAsia="標楷體"/>
          <w:bCs/>
        </w:rPr>
        <w:t xml:space="preserve"> Management Review, </w:t>
      </w:r>
      <w:r w:rsidR="000F3B65">
        <w:rPr>
          <w:rFonts w:eastAsia="標楷體"/>
          <w:bCs/>
        </w:rPr>
        <w:lastRenderedPageBreak/>
        <w:t>Vol.5, No.</w:t>
      </w:r>
      <w:r w:rsidRPr="009831E8">
        <w:rPr>
          <w:rFonts w:eastAsia="標楷體"/>
          <w:bCs/>
        </w:rPr>
        <w:t>2, p.45-65.</w:t>
      </w:r>
    </w:p>
    <w:p w14:paraId="041C0509" w14:textId="5389D973" w:rsidR="003758D4" w:rsidRPr="009831E8" w:rsidRDefault="003758D4" w:rsidP="003758D4">
      <w:pPr>
        <w:tabs>
          <w:tab w:val="num" w:pos="0"/>
        </w:tabs>
        <w:ind w:right="-35"/>
        <w:jc w:val="both"/>
        <w:rPr>
          <w:rFonts w:eastAsia="標楷體"/>
          <w:bCs/>
        </w:rPr>
      </w:pPr>
      <w:r w:rsidRPr="009831E8">
        <w:rPr>
          <w:shd w:val="clear" w:color="auto" w:fill="FFFFFF"/>
        </w:rPr>
        <w:t>Cleves, M., Gould, W., Gould, W. W., Gutierrez, R.</w:t>
      </w:r>
      <w:r>
        <w:rPr>
          <w:shd w:val="clear" w:color="auto" w:fill="FFFFFF"/>
        </w:rPr>
        <w:t>,</w:t>
      </w:r>
      <w:r w:rsidRPr="009831E8">
        <w:rPr>
          <w:shd w:val="clear" w:color="auto" w:fill="FFFFFF"/>
        </w:rPr>
        <w:t xml:space="preserve"> and Marchenko, Y. (2008). An introduction to survival analysis using Stata. Stata press</w:t>
      </w:r>
      <w:r w:rsidRPr="009831E8">
        <w:rPr>
          <w:rFonts w:ascii="Arial" w:hAnsi="Arial" w:cs="Arial"/>
          <w:sz w:val="20"/>
          <w:szCs w:val="20"/>
          <w:shd w:val="clear" w:color="auto" w:fill="FFFFFF"/>
        </w:rPr>
        <w:t>.</w:t>
      </w:r>
    </w:p>
    <w:p w14:paraId="5920CF0F" w14:textId="77777777" w:rsidR="0066273E" w:rsidRPr="009831E8" w:rsidRDefault="0066273E" w:rsidP="0066273E">
      <w:pPr>
        <w:tabs>
          <w:tab w:val="num" w:pos="0"/>
        </w:tabs>
        <w:ind w:right="-35"/>
        <w:jc w:val="both"/>
        <w:rPr>
          <w:rFonts w:eastAsia="標楷體"/>
          <w:bCs/>
        </w:rPr>
      </w:pPr>
    </w:p>
    <w:p w14:paraId="5AB454E7" w14:textId="2224EB2D" w:rsidR="0066273E" w:rsidRPr="009831E8" w:rsidRDefault="0066273E" w:rsidP="0066273E">
      <w:pPr>
        <w:tabs>
          <w:tab w:val="num" w:pos="0"/>
        </w:tabs>
        <w:ind w:right="-35"/>
        <w:jc w:val="both"/>
        <w:rPr>
          <w:rFonts w:eastAsia="標楷體"/>
          <w:bCs/>
        </w:rPr>
      </w:pPr>
      <w:r w:rsidRPr="009831E8">
        <w:rPr>
          <w:rFonts w:eastAsia="標楷體"/>
          <w:bCs/>
        </w:rPr>
        <w:t>Cooper, A. C., Gimeno-Gascon, F. J.</w:t>
      </w:r>
      <w:r w:rsidR="003758D4">
        <w:rPr>
          <w:rFonts w:eastAsia="標楷體"/>
          <w:bCs/>
        </w:rPr>
        <w:t>,</w:t>
      </w:r>
      <w:r w:rsidRPr="009831E8">
        <w:rPr>
          <w:rFonts w:eastAsia="標楷體"/>
          <w:bCs/>
        </w:rPr>
        <w:t xml:space="preserve"> and Woo, C. Y. (1994). "Initial human and ﬁnancial capital as predictors of new venture performance". Journal of </w:t>
      </w:r>
      <w:r w:rsidR="000F3B65">
        <w:rPr>
          <w:rFonts w:eastAsia="標楷體"/>
          <w:bCs/>
        </w:rPr>
        <w:t>Business Venturing, Vol.</w:t>
      </w:r>
      <w:r w:rsidRPr="009831E8">
        <w:rPr>
          <w:rFonts w:eastAsia="標楷體"/>
          <w:bCs/>
        </w:rPr>
        <w:t>9, p.371–95.</w:t>
      </w:r>
    </w:p>
    <w:p w14:paraId="532A15AE" w14:textId="77777777" w:rsidR="0066273E" w:rsidRPr="009831E8" w:rsidRDefault="0066273E" w:rsidP="0066273E">
      <w:pPr>
        <w:tabs>
          <w:tab w:val="num" w:pos="0"/>
        </w:tabs>
        <w:ind w:right="-35"/>
        <w:jc w:val="both"/>
        <w:rPr>
          <w:rFonts w:eastAsia="標楷體"/>
          <w:bCs/>
        </w:rPr>
      </w:pPr>
    </w:p>
    <w:p w14:paraId="50B91C8C" w14:textId="3B2207FE" w:rsidR="0066273E" w:rsidRPr="009831E8" w:rsidRDefault="0066273E" w:rsidP="0066273E">
      <w:pPr>
        <w:tabs>
          <w:tab w:val="num" w:pos="0"/>
        </w:tabs>
        <w:ind w:right="-35"/>
        <w:jc w:val="both"/>
        <w:rPr>
          <w:rFonts w:eastAsia="標楷體"/>
          <w:bCs/>
        </w:rPr>
      </w:pPr>
      <w:r w:rsidRPr="009831E8">
        <w:rPr>
          <w:rFonts w:eastAsia="標楷體"/>
          <w:bCs/>
        </w:rPr>
        <w:t>Daniel, Brindescu-Olariu (2016). "Bankruptcy prediction based on the debt ratio". Theoretical and</w:t>
      </w:r>
      <w:r w:rsidR="000F3B65">
        <w:rPr>
          <w:rFonts w:eastAsia="標楷體"/>
          <w:bCs/>
        </w:rPr>
        <w:t xml:space="preserve"> Applied Economics, Vol 23, No</w:t>
      </w:r>
      <w:r w:rsidRPr="009831E8">
        <w:rPr>
          <w:rFonts w:eastAsia="標楷體"/>
          <w:bCs/>
        </w:rPr>
        <w:t xml:space="preserve"> 2, p.145-156.</w:t>
      </w:r>
    </w:p>
    <w:p w14:paraId="6888FBC0" w14:textId="77777777" w:rsidR="0066273E" w:rsidRPr="009831E8" w:rsidRDefault="0066273E" w:rsidP="0066273E">
      <w:pPr>
        <w:tabs>
          <w:tab w:val="num" w:pos="0"/>
        </w:tabs>
        <w:ind w:right="-35"/>
        <w:jc w:val="both"/>
        <w:rPr>
          <w:rFonts w:eastAsia="標楷體"/>
          <w:bCs/>
        </w:rPr>
      </w:pPr>
    </w:p>
    <w:p w14:paraId="6A2EED3C" w14:textId="3ED58A24" w:rsidR="0066273E" w:rsidRPr="009831E8" w:rsidRDefault="0066273E" w:rsidP="0066273E">
      <w:pPr>
        <w:tabs>
          <w:tab w:val="num" w:pos="0"/>
        </w:tabs>
        <w:ind w:right="-35"/>
        <w:jc w:val="both"/>
        <w:rPr>
          <w:rFonts w:eastAsia="標楷體"/>
          <w:bCs/>
        </w:rPr>
      </w:pPr>
      <w:r w:rsidRPr="009831E8">
        <w:rPr>
          <w:rFonts w:eastAsia="標楷體"/>
          <w:bCs/>
        </w:rPr>
        <w:t xml:space="preserve">Deni, Memić and Adnan, Rovčanin (2012). "On the main financial predictors of credit default: Evidence from the federation of Bosnia and </w:t>
      </w:r>
      <w:r w:rsidR="000F3B65">
        <w:rPr>
          <w:rFonts w:eastAsia="標楷體"/>
          <w:bCs/>
        </w:rPr>
        <w:t>Herzegovina". Our Economy, Vol.58, No.</w:t>
      </w:r>
      <w:r w:rsidRPr="009831E8">
        <w:rPr>
          <w:rFonts w:eastAsia="標楷體"/>
          <w:bCs/>
        </w:rPr>
        <w:t>1-2, p.3-15.</w:t>
      </w:r>
    </w:p>
    <w:p w14:paraId="254FF3A3" w14:textId="77777777" w:rsidR="0066273E" w:rsidRPr="009831E8" w:rsidRDefault="0066273E" w:rsidP="0066273E">
      <w:pPr>
        <w:tabs>
          <w:tab w:val="num" w:pos="0"/>
        </w:tabs>
        <w:ind w:right="-35"/>
        <w:jc w:val="both"/>
        <w:rPr>
          <w:rFonts w:eastAsia="標楷體"/>
          <w:bCs/>
        </w:rPr>
      </w:pPr>
    </w:p>
    <w:p w14:paraId="074269B8" w14:textId="04018D9B" w:rsidR="0066273E" w:rsidRPr="009831E8" w:rsidRDefault="0066273E" w:rsidP="0066273E">
      <w:pPr>
        <w:tabs>
          <w:tab w:val="num" w:pos="0"/>
        </w:tabs>
        <w:ind w:right="-35"/>
        <w:jc w:val="both"/>
        <w:rPr>
          <w:rFonts w:eastAsia="標楷體"/>
          <w:bCs/>
        </w:rPr>
      </w:pPr>
      <w:r w:rsidRPr="009831E8">
        <w:rPr>
          <w:rFonts w:eastAsia="標楷體"/>
          <w:bCs/>
        </w:rPr>
        <w:t>Dennis, Patrick, Mayhew, Stewart, and Stivers, Chris (2006). "Stock returns, implied volatility innovations, and the asymmetric volatility phenomenon". Journal of Financial and Quan</w:t>
      </w:r>
      <w:r w:rsidR="000F3B65">
        <w:rPr>
          <w:rFonts w:eastAsia="標楷體"/>
          <w:bCs/>
        </w:rPr>
        <w:t>titative Analysis, Vol.41, No.</w:t>
      </w:r>
      <w:r w:rsidRPr="009831E8">
        <w:rPr>
          <w:rFonts w:eastAsia="標楷體"/>
          <w:bCs/>
        </w:rPr>
        <w:t xml:space="preserve">2, p.381-406. </w:t>
      </w:r>
    </w:p>
    <w:p w14:paraId="19DE5F7C" w14:textId="77777777" w:rsidR="0066273E" w:rsidRPr="009831E8" w:rsidRDefault="0066273E" w:rsidP="0066273E">
      <w:pPr>
        <w:tabs>
          <w:tab w:val="num" w:pos="0"/>
        </w:tabs>
        <w:ind w:right="-35"/>
        <w:jc w:val="both"/>
        <w:rPr>
          <w:rFonts w:eastAsia="標楷體"/>
          <w:bCs/>
        </w:rPr>
      </w:pPr>
    </w:p>
    <w:p w14:paraId="0301CEE6" w14:textId="0639CE42" w:rsidR="0066273E" w:rsidRPr="009831E8" w:rsidRDefault="0066273E" w:rsidP="0066273E">
      <w:pPr>
        <w:tabs>
          <w:tab w:val="num" w:pos="0"/>
        </w:tabs>
        <w:ind w:right="-35"/>
        <w:jc w:val="both"/>
        <w:rPr>
          <w:rFonts w:eastAsia="標楷體"/>
          <w:bCs/>
        </w:rPr>
      </w:pPr>
      <w:r w:rsidRPr="009831E8">
        <w:rPr>
          <w:rFonts w:eastAsia="標楷體"/>
          <w:bCs/>
        </w:rPr>
        <w:t xml:space="preserve">Dimitris, Karlis and Mohieddine, Rahmouni (2007). "Analysis of defaulters' behaviour using the Poisson-Mixture Approach". Journal of Management </w:t>
      </w:r>
      <w:r w:rsidR="000F3B65">
        <w:rPr>
          <w:rFonts w:eastAsia="標楷體"/>
          <w:bCs/>
        </w:rPr>
        <w:t>Mathematics, Vol.18, No.</w:t>
      </w:r>
      <w:r w:rsidR="003758D4">
        <w:rPr>
          <w:rFonts w:eastAsia="標楷體"/>
          <w:bCs/>
        </w:rPr>
        <w:t>3, p.</w:t>
      </w:r>
      <w:r w:rsidRPr="009831E8">
        <w:rPr>
          <w:rFonts w:eastAsia="標楷體"/>
          <w:bCs/>
        </w:rPr>
        <w:t>297-311.</w:t>
      </w:r>
    </w:p>
    <w:p w14:paraId="776AFF87" w14:textId="77777777" w:rsidR="0066273E" w:rsidRPr="009831E8" w:rsidRDefault="0066273E" w:rsidP="0066273E">
      <w:pPr>
        <w:tabs>
          <w:tab w:val="num" w:pos="0"/>
        </w:tabs>
        <w:ind w:right="-35"/>
        <w:jc w:val="both"/>
        <w:rPr>
          <w:rFonts w:eastAsia="標楷體"/>
          <w:bCs/>
        </w:rPr>
      </w:pPr>
    </w:p>
    <w:p w14:paraId="5ED9E42A" w14:textId="5A6C3038" w:rsidR="0066273E" w:rsidRPr="009831E8" w:rsidRDefault="003758D4" w:rsidP="0066273E">
      <w:pPr>
        <w:tabs>
          <w:tab w:val="num" w:pos="0"/>
        </w:tabs>
        <w:ind w:right="-35"/>
        <w:jc w:val="both"/>
        <w:rPr>
          <w:rFonts w:eastAsia="標楷體"/>
          <w:bCs/>
        </w:rPr>
      </w:pPr>
      <w:r>
        <w:rPr>
          <w:rFonts w:eastAsia="標楷體"/>
          <w:bCs/>
        </w:rPr>
        <w:t>Eisdorfer, Assaf</w:t>
      </w:r>
      <w:r w:rsidR="0066273E" w:rsidRPr="009831E8">
        <w:rPr>
          <w:rFonts w:eastAsia="標楷體"/>
          <w:bCs/>
        </w:rPr>
        <w:t xml:space="preserve"> and Hsu, Po-Hsuan (2011). "Innovate to Survive: The Effect of Technology Competition on Corporate Bankrupt</w:t>
      </w:r>
      <w:r w:rsidR="000F3B65">
        <w:rPr>
          <w:rFonts w:eastAsia="標楷體"/>
          <w:bCs/>
        </w:rPr>
        <w:t>cy". Financial Management, Vol.</w:t>
      </w:r>
      <w:r w:rsidR="0066273E" w:rsidRPr="009831E8">
        <w:rPr>
          <w:rFonts w:eastAsia="標楷體"/>
          <w:bCs/>
        </w:rPr>
        <w:t>40, No</w:t>
      </w:r>
      <w:r w:rsidR="000F3B65">
        <w:rPr>
          <w:rFonts w:eastAsia="標楷體"/>
          <w:bCs/>
        </w:rPr>
        <w:t>.</w:t>
      </w:r>
      <w:r w:rsidR="0066273E" w:rsidRPr="009831E8">
        <w:rPr>
          <w:rFonts w:eastAsia="標楷體"/>
          <w:bCs/>
        </w:rPr>
        <w:t>4, p.1087-1117.</w:t>
      </w:r>
    </w:p>
    <w:p w14:paraId="6813156B" w14:textId="77777777" w:rsidR="0066273E" w:rsidRPr="009831E8" w:rsidRDefault="0066273E" w:rsidP="0066273E">
      <w:pPr>
        <w:tabs>
          <w:tab w:val="num" w:pos="0"/>
        </w:tabs>
        <w:ind w:right="-35"/>
        <w:jc w:val="both"/>
        <w:rPr>
          <w:rFonts w:eastAsia="標楷體"/>
          <w:bCs/>
        </w:rPr>
      </w:pPr>
    </w:p>
    <w:p w14:paraId="3F2994DE" w14:textId="0A97D870" w:rsidR="0066273E" w:rsidRPr="009831E8" w:rsidRDefault="0066273E" w:rsidP="0066273E">
      <w:pPr>
        <w:tabs>
          <w:tab w:val="num" w:pos="0"/>
        </w:tabs>
        <w:ind w:right="-35"/>
        <w:jc w:val="both"/>
        <w:rPr>
          <w:rFonts w:eastAsia="標楷體"/>
          <w:bCs/>
        </w:rPr>
      </w:pPr>
      <w:r w:rsidRPr="009831E8">
        <w:rPr>
          <w:rFonts w:eastAsia="標楷體"/>
          <w:bCs/>
        </w:rPr>
        <w:t>Evans, John Harry III, Luo, Shuqing, and Nagarajan, Nandu J. (2014)." CEO turnover, financial distress, and contractual innovations". The</w:t>
      </w:r>
      <w:r w:rsidR="000F3B65">
        <w:rPr>
          <w:rFonts w:eastAsia="標楷體"/>
          <w:bCs/>
        </w:rPr>
        <w:t xml:space="preserve"> Accounting Review, Vol.89, No</w:t>
      </w:r>
      <w:r w:rsidRPr="009831E8">
        <w:rPr>
          <w:rFonts w:eastAsia="標楷體"/>
          <w:bCs/>
        </w:rPr>
        <w:t xml:space="preserve"> 3, p.959-990.</w:t>
      </w:r>
    </w:p>
    <w:p w14:paraId="3940F12D" w14:textId="77777777" w:rsidR="0066273E" w:rsidRPr="009831E8" w:rsidRDefault="0066273E" w:rsidP="0066273E">
      <w:pPr>
        <w:tabs>
          <w:tab w:val="num" w:pos="0"/>
        </w:tabs>
        <w:ind w:right="-35"/>
        <w:jc w:val="both"/>
        <w:rPr>
          <w:rFonts w:eastAsia="標楷體"/>
          <w:bCs/>
        </w:rPr>
      </w:pPr>
    </w:p>
    <w:p w14:paraId="0B710DBD" w14:textId="72E5383F" w:rsidR="0066273E" w:rsidRPr="009831E8" w:rsidRDefault="0066273E" w:rsidP="0066273E">
      <w:pPr>
        <w:tabs>
          <w:tab w:val="num" w:pos="0"/>
        </w:tabs>
        <w:ind w:right="-35"/>
        <w:jc w:val="both"/>
        <w:rPr>
          <w:rFonts w:eastAsia="標楷體"/>
          <w:bCs/>
        </w:rPr>
      </w:pPr>
      <w:r w:rsidRPr="009831E8">
        <w:rPr>
          <w:rFonts w:eastAsia="標楷體"/>
          <w:bCs/>
        </w:rPr>
        <w:t>Evgenia, Glogova and Richard, Warnung (2006). "Modeling dependent credit risks for application to off-site banking supervision, F</w:t>
      </w:r>
      <w:r w:rsidR="000F3B65">
        <w:rPr>
          <w:rFonts w:eastAsia="標楷體"/>
          <w:bCs/>
        </w:rPr>
        <w:t>inancial Stability Report, Vol.</w:t>
      </w:r>
      <w:r w:rsidRPr="009831E8">
        <w:rPr>
          <w:rFonts w:eastAsia="標楷體"/>
          <w:bCs/>
        </w:rPr>
        <w:t>12, p.79-91.</w:t>
      </w:r>
    </w:p>
    <w:p w14:paraId="0B28BC98" w14:textId="77777777" w:rsidR="0066273E" w:rsidRPr="009831E8" w:rsidRDefault="0066273E" w:rsidP="0066273E">
      <w:pPr>
        <w:tabs>
          <w:tab w:val="num" w:pos="0"/>
        </w:tabs>
        <w:ind w:right="-35"/>
        <w:jc w:val="both"/>
        <w:rPr>
          <w:rFonts w:eastAsia="標楷體"/>
          <w:bCs/>
        </w:rPr>
      </w:pPr>
    </w:p>
    <w:p w14:paraId="34D7B7C9" w14:textId="2234346A" w:rsidR="0066273E" w:rsidRPr="009831E8" w:rsidRDefault="0066273E" w:rsidP="0066273E">
      <w:pPr>
        <w:tabs>
          <w:tab w:val="num" w:pos="0"/>
        </w:tabs>
        <w:ind w:right="-35"/>
        <w:jc w:val="both"/>
        <w:rPr>
          <w:rFonts w:eastAsia="標楷體"/>
          <w:bCs/>
        </w:rPr>
      </w:pPr>
      <w:r w:rsidRPr="009831E8">
        <w:rPr>
          <w:rFonts w:eastAsia="標楷體"/>
          <w:bCs/>
        </w:rPr>
        <w:t xml:space="preserve">Faris, Nasif Al-Shubiri and Nassem, Mohammad Aburumman (2013). </w:t>
      </w:r>
      <w:r w:rsidR="003758D4" w:rsidRPr="009831E8">
        <w:rPr>
          <w:rFonts w:eastAsia="標楷體"/>
          <w:bCs/>
        </w:rPr>
        <w:t>"</w:t>
      </w:r>
      <w:r w:rsidRPr="009831E8">
        <w:rPr>
          <w:rFonts w:eastAsia="標楷體"/>
          <w:bCs/>
        </w:rPr>
        <w:t xml:space="preserve">The relationship between cash conversion cycle and financial characteristics of industrial sectors: </w:t>
      </w:r>
      <w:r w:rsidR="002533B4">
        <w:rPr>
          <w:rFonts w:eastAsia="標楷體"/>
          <w:bCs/>
        </w:rPr>
        <w:t>A</w:t>
      </w:r>
      <w:r w:rsidRPr="009831E8">
        <w:rPr>
          <w:rFonts w:eastAsia="標楷體"/>
          <w:bCs/>
        </w:rPr>
        <w:t>n empirical study</w:t>
      </w:r>
      <w:r w:rsidR="003758D4" w:rsidRPr="009831E8">
        <w:rPr>
          <w:rFonts w:eastAsia="標楷體"/>
          <w:bCs/>
        </w:rPr>
        <w:t xml:space="preserve"> "</w:t>
      </w:r>
      <w:r w:rsidRPr="009831E8">
        <w:rPr>
          <w:rFonts w:eastAsia="標楷體"/>
          <w:bCs/>
        </w:rPr>
        <w:t>. Investment Management and Fina</w:t>
      </w:r>
      <w:r w:rsidR="000F3B65">
        <w:rPr>
          <w:rFonts w:eastAsia="標楷體"/>
          <w:bCs/>
        </w:rPr>
        <w:t>ncial Innovations, Vol.10, No.</w:t>
      </w:r>
      <w:r w:rsidRPr="009831E8">
        <w:rPr>
          <w:rFonts w:eastAsia="標楷體"/>
          <w:bCs/>
        </w:rPr>
        <w:t>4, p.95-102.</w:t>
      </w:r>
    </w:p>
    <w:p w14:paraId="52B26612" w14:textId="77777777" w:rsidR="0066273E" w:rsidRPr="009831E8" w:rsidRDefault="0066273E" w:rsidP="0066273E">
      <w:pPr>
        <w:tabs>
          <w:tab w:val="num" w:pos="0"/>
        </w:tabs>
        <w:ind w:right="-35"/>
        <w:jc w:val="both"/>
        <w:rPr>
          <w:rFonts w:eastAsia="標楷體"/>
          <w:bCs/>
        </w:rPr>
      </w:pPr>
    </w:p>
    <w:p w14:paraId="2102A864" w14:textId="160EFDAD" w:rsidR="0066273E" w:rsidRPr="009831E8" w:rsidRDefault="0066273E" w:rsidP="0066273E">
      <w:pPr>
        <w:tabs>
          <w:tab w:val="num" w:pos="0"/>
        </w:tabs>
        <w:ind w:right="-35"/>
        <w:jc w:val="both"/>
        <w:rPr>
          <w:rFonts w:eastAsia="標楷體"/>
          <w:bCs/>
        </w:rPr>
      </w:pPr>
      <w:r w:rsidRPr="009831E8">
        <w:rPr>
          <w:rFonts w:eastAsia="標楷體"/>
          <w:bCs/>
        </w:rPr>
        <w:t>Fazzari, Steven, R. Hubbard, Glenn, and Petersen, Bruce C. (1988). "Financing constraints and corporate investment". Brookings Pa</w:t>
      </w:r>
      <w:r w:rsidR="000F3B65">
        <w:rPr>
          <w:rFonts w:eastAsia="標楷體"/>
          <w:bCs/>
        </w:rPr>
        <w:t>pers on Economic Activity, Vol.</w:t>
      </w:r>
      <w:r w:rsidRPr="009831E8">
        <w:rPr>
          <w:rFonts w:eastAsia="標楷體"/>
          <w:bCs/>
        </w:rPr>
        <w:t xml:space="preserve">1, p.141-206. </w:t>
      </w:r>
    </w:p>
    <w:p w14:paraId="7E02D4B9" w14:textId="77777777" w:rsidR="0066273E" w:rsidRPr="009831E8" w:rsidRDefault="0066273E" w:rsidP="0066273E">
      <w:pPr>
        <w:tabs>
          <w:tab w:val="num" w:pos="0"/>
        </w:tabs>
        <w:ind w:right="-35"/>
        <w:jc w:val="both"/>
        <w:rPr>
          <w:rFonts w:eastAsia="標楷體"/>
          <w:bCs/>
        </w:rPr>
      </w:pPr>
    </w:p>
    <w:p w14:paraId="4DA7B996" w14:textId="7BAAFFDF" w:rsidR="0066273E" w:rsidRPr="009831E8" w:rsidRDefault="0066273E" w:rsidP="0066273E">
      <w:pPr>
        <w:tabs>
          <w:tab w:val="num" w:pos="0"/>
        </w:tabs>
        <w:ind w:right="-35"/>
        <w:jc w:val="both"/>
        <w:rPr>
          <w:rFonts w:eastAsia="標楷體"/>
          <w:bCs/>
        </w:rPr>
      </w:pPr>
      <w:r w:rsidRPr="009831E8">
        <w:rPr>
          <w:rFonts w:eastAsia="標楷體"/>
          <w:bCs/>
        </w:rPr>
        <w:t>Florentina, Cindy Finishtya (2019). "The role of cash flow of operational, probability, and financial leverage in predicting financial distress on manufacturing company in Indonesia". Journal of Applied M</w:t>
      </w:r>
      <w:r w:rsidR="000F3B65">
        <w:rPr>
          <w:rFonts w:eastAsia="標楷體"/>
          <w:bCs/>
        </w:rPr>
        <w:t>anagement, Vol.</w:t>
      </w:r>
      <w:r w:rsidRPr="009831E8">
        <w:rPr>
          <w:rFonts w:eastAsia="標楷體"/>
          <w:bCs/>
        </w:rPr>
        <w:t>17, No.1, p.110-117.</w:t>
      </w:r>
    </w:p>
    <w:p w14:paraId="36879D6A" w14:textId="77777777" w:rsidR="0066273E" w:rsidRPr="009831E8" w:rsidRDefault="0066273E" w:rsidP="0066273E">
      <w:pPr>
        <w:tabs>
          <w:tab w:val="num" w:pos="0"/>
        </w:tabs>
        <w:ind w:right="-35"/>
        <w:jc w:val="both"/>
        <w:rPr>
          <w:rFonts w:eastAsia="標楷體"/>
          <w:bCs/>
        </w:rPr>
      </w:pPr>
    </w:p>
    <w:p w14:paraId="0BAEB0E5" w14:textId="2B090155" w:rsidR="0066273E" w:rsidRPr="009831E8" w:rsidRDefault="0066273E" w:rsidP="0066273E">
      <w:pPr>
        <w:tabs>
          <w:tab w:val="num" w:pos="0"/>
        </w:tabs>
        <w:ind w:right="-35"/>
        <w:jc w:val="both"/>
        <w:rPr>
          <w:rFonts w:eastAsia="標楷體"/>
          <w:bCs/>
        </w:rPr>
      </w:pPr>
      <w:r w:rsidRPr="009831E8">
        <w:rPr>
          <w:rFonts w:eastAsia="標楷體"/>
          <w:bCs/>
        </w:rPr>
        <w:t xml:space="preserve">Foo, See Liang (2015). "Financial health </w:t>
      </w:r>
      <w:r w:rsidR="00A8662B">
        <w:rPr>
          <w:rFonts w:eastAsia="標楷體"/>
          <w:bCs/>
        </w:rPr>
        <w:t>and</w:t>
      </w:r>
      <w:r w:rsidRPr="009831E8">
        <w:rPr>
          <w:rFonts w:eastAsia="標楷體"/>
          <w:bCs/>
        </w:rPr>
        <w:t xml:space="preserve"> corporate performance of listed manufacturing companies in Hong Kong &amp; Singapore: A comparative study of the two Asian tigers". Asian Journal of Business and Management, Vo</w:t>
      </w:r>
      <w:r w:rsidR="000F3B65">
        <w:rPr>
          <w:rFonts w:eastAsia="標楷體"/>
          <w:bCs/>
        </w:rPr>
        <w:t>l.3, No.</w:t>
      </w:r>
      <w:r w:rsidRPr="009831E8">
        <w:rPr>
          <w:rFonts w:eastAsia="標楷體"/>
          <w:bCs/>
        </w:rPr>
        <w:t>2, p.148-154.</w:t>
      </w:r>
    </w:p>
    <w:p w14:paraId="47C4FC4F" w14:textId="77777777" w:rsidR="0066273E" w:rsidRPr="009831E8" w:rsidRDefault="0066273E" w:rsidP="0066273E">
      <w:pPr>
        <w:tabs>
          <w:tab w:val="num" w:pos="0"/>
        </w:tabs>
        <w:ind w:right="-35"/>
        <w:jc w:val="both"/>
        <w:rPr>
          <w:rFonts w:eastAsia="標楷體"/>
          <w:bCs/>
        </w:rPr>
      </w:pPr>
    </w:p>
    <w:p w14:paraId="6B104899" w14:textId="4B5F179C" w:rsidR="0066273E" w:rsidRPr="009831E8" w:rsidRDefault="0066273E" w:rsidP="0066273E">
      <w:pPr>
        <w:tabs>
          <w:tab w:val="num" w:pos="0"/>
        </w:tabs>
        <w:ind w:right="-35"/>
        <w:jc w:val="both"/>
        <w:rPr>
          <w:rFonts w:eastAsia="標楷體"/>
          <w:bCs/>
        </w:rPr>
      </w:pPr>
      <w:r w:rsidRPr="009831E8">
        <w:rPr>
          <w:rFonts w:eastAsia="標楷體"/>
          <w:bCs/>
        </w:rPr>
        <w:t xml:space="preserve">Foo, See Liang and Pathak, Shaakalya (2016). "Financial health &amp; corporate performance – A comparison of manufacturing companies in China </w:t>
      </w:r>
      <w:r w:rsidR="00A8662B">
        <w:rPr>
          <w:rFonts w:eastAsia="標楷體"/>
          <w:bCs/>
        </w:rPr>
        <w:t>and</w:t>
      </w:r>
      <w:r w:rsidRPr="009831E8">
        <w:rPr>
          <w:rFonts w:eastAsia="標楷體"/>
          <w:bCs/>
        </w:rPr>
        <w:t xml:space="preserve"> India". Jou</w:t>
      </w:r>
      <w:r w:rsidR="000F3B65">
        <w:rPr>
          <w:rFonts w:eastAsia="標楷體"/>
          <w:bCs/>
        </w:rPr>
        <w:t>rnal of Asian Development, Vol.2, No.</w:t>
      </w:r>
      <w:r w:rsidRPr="009831E8">
        <w:rPr>
          <w:rFonts w:eastAsia="標楷體"/>
          <w:bCs/>
        </w:rPr>
        <w:t>1, p.18-29.</w:t>
      </w:r>
    </w:p>
    <w:p w14:paraId="6ABE16FB" w14:textId="77777777" w:rsidR="0066273E" w:rsidRPr="009831E8" w:rsidRDefault="0066273E" w:rsidP="0066273E">
      <w:pPr>
        <w:tabs>
          <w:tab w:val="num" w:pos="0"/>
        </w:tabs>
        <w:ind w:right="-35"/>
        <w:jc w:val="both"/>
        <w:rPr>
          <w:rFonts w:eastAsia="標楷體"/>
          <w:bCs/>
        </w:rPr>
      </w:pPr>
    </w:p>
    <w:p w14:paraId="19848FB3" w14:textId="022D9150" w:rsidR="0066273E" w:rsidRPr="009831E8" w:rsidRDefault="0066273E" w:rsidP="0066273E">
      <w:pPr>
        <w:tabs>
          <w:tab w:val="num" w:pos="0"/>
        </w:tabs>
        <w:ind w:right="-35"/>
        <w:jc w:val="both"/>
        <w:rPr>
          <w:rFonts w:eastAsia="標楷體"/>
          <w:bCs/>
        </w:rPr>
      </w:pPr>
      <w:r w:rsidRPr="009831E8">
        <w:rPr>
          <w:rFonts w:eastAsia="標楷體"/>
          <w:bCs/>
        </w:rPr>
        <w:t>Foo, See Liang and Pathak, Shaakalya (2018). "Financial health &amp; corporate performance: A comparison of manufacturing companies in China". Jou</w:t>
      </w:r>
      <w:r w:rsidR="000F3B65">
        <w:rPr>
          <w:rFonts w:eastAsia="標楷體"/>
          <w:bCs/>
        </w:rPr>
        <w:t>rnal of Asian Development, Vol.4, No.</w:t>
      </w:r>
      <w:r w:rsidRPr="009831E8">
        <w:rPr>
          <w:rFonts w:eastAsia="標楷體"/>
          <w:bCs/>
        </w:rPr>
        <w:t>2, p. 123-132.</w:t>
      </w:r>
    </w:p>
    <w:p w14:paraId="0D898AD1" w14:textId="77777777" w:rsidR="0066273E" w:rsidRPr="009831E8" w:rsidRDefault="0066273E" w:rsidP="0066273E">
      <w:pPr>
        <w:tabs>
          <w:tab w:val="num" w:pos="0"/>
        </w:tabs>
        <w:ind w:right="-35"/>
        <w:jc w:val="both"/>
        <w:rPr>
          <w:rFonts w:eastAsia="標楷體"/>
          <w:bCs/>
        </w:rPr>
      </w:pPr>
    </w:p>
    <w:p w14:paraId="709F1DA9" w14:textId="72A4874C" w:rsidR="0066273E" w:rsidRPr="009831E8" w:rsidRDefault="0066273E" w:rsidP="0066273E">
      <w:pPr>
        <w:tabs>
          <w:tab w:val="num" w:pos="0"/>
        </w:tabs>
        <w:ind w:right="-35"/>
        <w:jc w:val="both"/>
        <w:rPr>
          <w:rFonts w:eastAsia="標楷體"/>
          <w:bCs/>
        </w:rPr>
      </w:pPr>
      <w:r w:rsidRPr="009831E8">
        <w:rPr>
          <w:rFonts w:eastAsia="標楷體"/>
          <w:bCs/>
        </w:rPr>
        <w:t>Fu, Xi, Sandri, Matteo</w:t>
      </w:r>
      <w:r w:rsidR="003758D4">
        <w:rPr>
          <w:rFonts w:eastAsia="標楷體"/>
          <w:bCs/>
        </w:rPr>
        <w:t>,</w:t>
      </w:r>
      <w:r w:rsidRPr="009831E8">
        <w:rPr>
          <w:rFonts w:eastAsia="標楷體"/>
          <w:bCs/>
        </w:rPr>
        <w:t xml:space="preserve"> and Shackleton</w:t>
      </w:r>
      <w:r w:rsidR="00991127">
        <w:rPr>
          <w:rFonts w:eastAsia="標楷體"/>
          <w:bCs/>
        </w:rPr>
        <w:t>,</w:t>
      </w:r>
      <w:r w:rsidRPr="009831E8">
        <w:rPr>
          <w:rFonts w:eastAsia="標楷體"/>
          <w:bCs/>
        </w:rPr>
        <w:t xml:space="preserve"> Mark B. (2016). "Asymmetric </w:t>
      </w:r>
      <w:r w:rsidR="0072642C">
        <w:rPr>
          <w:rFonts w:eastAsia="標楷體"/>
          <w:bCs/>
        </w:rPr>
        <w:t>e</w:t>
      </w:r>
      <w:r w:rsidRPr="009831E8">
        <w:rPr>
          <w:rFonts w:eastAsia="標楷體"/>
          <w:bCs/>
        </w:rPr>
        <w:t xml:space="preserve">ffects of </w:t>
      </w:r>
      <w:r w:rsidR="0072642C">
        <w:rPr>
          <w:rFonts w:eastAsia="標楷體"/>
          <w:bCs/>
        </w:rPr>
        <w:t>v</w:t>
      </w:r>
      <w:r w:rsidRPr="009831E8">
        <w:rPr>
          <w:rFonts w:eastAsia="標楷體"/>
          <w:bCs/>
        </w:rPr>
        <w:t xml:space="preserve">olatility </w:t>
      </w:r>
      <w:r w:rsidR="0072642C">
        <w:rPr>
          <w:rFonts w:eastAsia="標楷體"/>
          <w:bCs/>
        </w:rPr>
        <w:t>r</w:t>
      </w:r>
      <w:r w:rsidRPr="009831E8">
        <w:rPr>
          <w:rFonts w:eastAsia="標楷體"/>
          <w:bCs/>
        </w:rPr>
        <w:t xml:space="preserve">isk on </w:t>
      </w:r>
      <w:r w:rsidR="0072642C">
        <w:rPr>
          <w:rFonts w:eastAsia="標楷體"/>
          <w:bCs/>
        </w:rPr>
        <w:t>s</w:t>
      </w:r>
      <w:r w:rsidRPr="009831E8">
        <w:rPr>
          <w:rFonts w:eastAsia="標楷體"/>
          <w:bCs/>
        </w:rPr>
        <w:t xml:space="preserve">tock </w:t>
      </w:r>
      <w:r w:rsidR="0072642C">
        <w:rPr>
          <w:rFonts w:eastAsia="標楷體"/>
          <w:bCs/>
        </w:rPr>
        <w:t>r</w:t>
      </w:r>
      <w:r w:rsidRPr="009831E8">
        <w:rPr>
          <w:rFonts w:eastAsia="標楷體"/>
          <w:bCs/>
        </w:rPr>
        <w:t xml:space="preserve">eturns: Evidence from VIX and VIX </w:t>
      </w:r>
      <w:r w:rsidR="00991127">
        <w:rPr>
          <w:rFonts w:eastAsia="標楷體"/>
          <w:bCs/>
        </w:rPr>
        <w:t>f</w:t>
      </w:r>
      <w:r w:rsidRPr="009831E8">
        <w:rPr>
          <w:rFonts w:eastAsia="標楷體"/>
          <w:bCs/>
        </w:rPr>
        <w:t>utures". The J</w:t>
      </w:r>
      <w:r w:rsidR="000F3B65">
        <w:rPr>
          <w:rFonts w:eastAsia="標楷體"/>
          <w:bCs/>
        </w:rPr>
        <w:t>ournal of Futures Markets, Vol.36, No.</w:t>
      </w:r>
      <w:r w:rsidRPr="009831E8">
        <w:rPr>
          <w:rFonts w:eastAsia="標楷體"/>
          <w:bCs/>
        </w:rPr>
        <w:t>11, p.1029–1056.</w:t>
      </w:r>
    </w:p>
    <w:p w14:paraId="2341BCE7" w14:textId="77777777" w:rsidR="0066273E" w:rsidRPr="009831E8" w:rsidRDefault="0066273E" w:rsidP="0066273E">
      <w:pPr>
        <w:tabs>
          <w:tab w:val="num" w:pos="0"/>
        </w:tabs>
        <w:ind w:right="-35"/>
        <w:jc w:val="both"/>
        <w:rPr>
          <w:rFonts w:eastAsia="標楷體"/>
          <w:bCs/>
        </w:rPr>
      </w:pPr>
    </w:p>
    <w:p w14:paraId="2BF8C1F6" w14:textId="2FD663CF" w:rsidR="0066273E" w:rsidRPr="009831E8" w:rsidRDefault="0066273E" w:rsidP="0066273E">
      <w:pPr>
        <w:tabs>
          <w:tab w:val="num" w:pos="0"/>
        </w:tabs>
        <w:ind w:right="-35"/>
        <w:jc w:val="both"/>
        <w:rPr>
          <w:rFonts w:eastAsia="標楷體"/>
          <w:bCs/>
        </w:rPr>
      </w:pPr>
      <w:r w:rsidRPr="009831E8">
        <w:rPr>
          <w:rFonts w:eastAsia="標楷體"/>
          <w:bCs/>
        </w:rPr>
        <w:t xml:space="preserve">Gang, Jianhua and Li, Xiang (2014). "Risk perception and equity </w:t>
      </w:r>
      <w:r w:rsidR="003E2581" w:rsidRPr="009831E8">
        <w:rPr>
          <w:rFonts w:eastAsia="標楷體"/>
          <w:bCs/>
        </w:rPr>
        <w:t>return</w:t>
      </w:r>
      <w:r w:rsidRPr="009831E8">
        <w:rPr>
          <w:rFonts w:eastAsia="標楷體"/>
          <w:bCs/>
        </w:rPr>
        <w:t>: Evidence from the SPX and VIX". Bulletin of Economic Res</w:t>
      </w:r>
      <w:r w:rsidR="000F3B65">
        <w:rPr>
          <w:rFonts w:eastAsia="標楷體"/>
          <w:bCs/>
        </w:rPr>
        <w:t>earch, Vol.</w:t>
      </w:r>
      <w:r w:rsidRPr="009831E8">
        <w:rPr>
          <w:rFonts w:eastAsia="標楷體"/>
          <w:bCs/>
        </w:rPr>
        <w:t>66, No.1, p. 20-44.</w:t>
      </w:r>
    </w:p>
    <w:p w14:paraId="0135BE42" w14:textId="77777777" w:rsidR="0066273E" w:rsidRPr="009831E8" w:rsidRDefault="0066273E" w:rsidP="0066273E">
      <w:pPr>
        <w:tabs>
          <w:tab w:val="num" w:pos="0"/>
        </w:tabs>
        <w:ind w:right="-35"/>
        <w:jc w:val="both"/>
        <w:rPr>
          <w:rFonts w:eastAsia="標楷體"/>
          <w:bCs/>
        </w:rPr>
      </w:pPr>
    </w:p>
    <w:p w14:paraId="05D08CD2" w14:textId="7ACFD9B2" w:rsidR="0066273E" w:rsidRPr="009831E8" w:rsidRDefault="0066273E" w:rsidP="0066273E">
      <w:pPr>
        <w:tabs>
          <w:tab w:val="num" w:pos="0"/>
        </w:tabs>
        <w:ind w:right="-35"/>
        <w:jc w:val="both"/>
        <w:rPr>
          <w:rFonts w:eastAsia="標楷體"/>
          <w:bCs/>
        </w:rPr>
      </w:pPr>
      <w:r w:rsidRPr="009831E8">
        <w:rPr>
          <w:rFonts w:eastAsia="標楷體"/>
          <w:bCs/>
        </w:rPr>
        <w:t xml:space="preserve">Ghulam, Sarwar (2019). "Transmission of risk between U.S. and emerging equity markets". Emerging Markets Finance </w:t>
      </w:r>
      <w:r w:rsidR="00C46E45">
        <w:rPr>
          <w:rFonts w:eastAsia="標楷體"/>
          <w:bCs/>
        </w:rPr>
        <w:t>and</w:t>
      </w:r>
      <w:r w:rsidR="000F3B65">
        <w:rPr>
          <w:rFonts w:eastAsia="標楷體"/>
          <w:bCs/>
        </w:rPr>
        <w:t xml:space="preserve"> Trade, Vol</w:t>
      </w:r>
      <w:r w:rsidRPr="009831E8">
        <w:rPr>
          <w:rFonts w:eastAsia="標楷體"/>
          <w:bCs/>
        </w:rPr>
        <w:t xml:space="preserve"> 55, p.1171-1183. </w:t>
      </w:r>
    </w:p>
    <w:p w14:paraId="2CB71987" w14:textId="77777777" w:rsidR="0066273E" w:rsidRPr="009831E8" w:rsidRDefault="0066273E" w:rsidP="0066273E">
      <w:pPr>
        <w:tabs>
          <w:tab w:val="num" w:pos="0"/>
        </w:tabs>
        <w:ind w:right="-35"/>
        <w:jc w:val="both"/>
        <w:rPr>
          <w:rFonts w:eastAsia="標楷體"/>
          <w:bCs/>
        </w:rPr>
      </w:pPr>
    </w:p>
    <w:p w14:paraId="075B08BA" w14:textId="3D0299ED" w:rsidR="0066273E" w:rsidRDefault="0066273E" w:rsidP="0066273E">
      <w:pPr>
        <w:tabs>
          <w:tab w:val="num" w:pos="0"/>
        </w:tabs>
        <w:ind w:right="-35"/>
        <w:jc w:val="both"/>
        <w:rPr>
          <w:rFonts w:eastAsia="標楷體"/>
          <w:bCs/>
        </w:rPr>
      </w:pPr>
      <w:r w:rsidRPr="009831E8">
        <w:rPr>
          <w:rFonts w:eastAsia="標楷體" w:hint="eastAsia"/>
          <w:bCs/>
        </w:rPr>
        <w:t>G</w:t>
      </w:r>
      <w:r w:rsidRPr="009831E8">
        <w:rPr>
          <w:rFonts w:eastAsia="標楷體"/>
          <w:bCs/>
        </w:rPr>
        <w:t>reene, William H. (1998). “LIMDEP”. Econometric Software, Inc.</w:t>
      </w:r>
    </w:p>
    <w:p w14:paraId="27D7F93C" w14:textId="238127FF" w:rsidR="0072347D" w:rsidRDefault="0072347D" w:rsidP="0066273E">
      <w:pPr>
        <w:tabs>
          <w:tab w:val="num" w:pos="0"/>
        </w:tabs>
        <w:ind w:right="-35"/>
        <w:jc w:val="both"/>
        <w:rPr>
          <w:rFonts w:eastAsia="標楷體"/>
          <w:bCs/>
        </w:rPr>
      </w:pPr>
    </w:p>
    <w:p w14:paraId="2CE83A21" w14:textId="36D29072" w:rsidR="0072347D" w:rsidRPr="001D2C91" w:rsidRDefault="0072347D" w:rsidP="0066273E">
      <w:pPr>
        <w:tabs>
          <w:tab w:val="num" w:pos="0"/>
        </w:tabs>
        <w:ind w:right="-35"/>
        <w:jc w:val="both"/>
        <w:rPr>
          <w:shd w:val="clear" w:color="auto" w:fill="FFFFFF"/>
        </w:rPr>
      </w:pPr>
      <w:r w:rsidRPr="009831E8">
        <w:rPr>
          <w:shd w:val="clear" w:color="auto" w:fill="FFFFFF"/>
        </w:rPr>
        <w:t xml:space="preserve">Giordana, G. A, and Schumacher, I. (2017). </w:t>
      </w:r>
      <w:r w:rsidR="003758D4" w:rsidRPr="009831E8">
        <w:rPr>
          <w:rFonts w:eastAsia="標楷體"/>
          <w:bCs/>
        </w:rPr>
        <w:t>"</w:t>
      </w:r>
      <w:r w:rsidRPr="009831E8">
        <w:rPr>
          <w:shd w:val="clear" w:color="auto" w:fill="FFFFFF"/>
        </w:rPr>
        <w:t>An empirical study on the impact of Basel III standards on banks’ default risk: The case of Luxembourg</w:t>
      </w:r>
      <w:r w:rsidR="003758D4" w:rsidRPr="009831E8">
        <w:rPr>
          <w:rFonts w:eastAsia="標楷體"/>
          <w:bCs/>
        </w:rPr>
        <w:t>"</w:t>
      </w:r>
      <w:r w:rsidRPr="009831E8">
        <w:rPr>
          <w:shd w:val="clear" w:color="auto" w:fill="FFFFFF"/>
        </w:rPr>
        <w:t>. Journal of Risk and Financial Management, </w:t>
      </w:r>
      <w:r w:rsidR="003758D4">
        <w:rPr>
          <w:shd w:val="clear" w:color="auto" w:fill="FFFFFF"/>
        </w:rPr>
        <w:t>Vol.</w:t>
      </w:r>
      <w:r w:rsidRPr="009831E8">
        <w:rPr>
          <w:shd w:val="clear" w:color="auto" w:fill="FFFFFF"/>
        </w:rPr>
        <w:t>10</w:t>
      </w:r>
      <w:r w:rsidR="003758D4">
        <w:rPr>
          <w:shd w:val="clear" w:color="auto" w:fill="FFFFFF"/>
        </w:rPr>
        <w:t>, No.</w:t>
      </w:r>
      <w:r w:rsidRPr="009831E8">
        <w:rPr>
          <w:shd w:val="clear" w:color="auto" w:fill="FFFFFF"/>
        </w:rPr>
        <w:t>2,</w:t>
      </w:r>
      <w:r w:rsidR="003758D4">
        <w:rPr>
          <w:shd w:val="clear" w:color="auto" w:fill="FFFFFF"/>
        </w:rPr>
        <w:t xml:space="preserve"> p.1-21</w:t>
      </w:r>
      <w:r w:rsidRPr="009831E8">
        <w:rPr>
          <w:shd w:val="clear" w:color="auto" w:fill="FFFFFF"/>
        </w:rPr>
        <w:t>.</w:t>
      </w:r>
    </w:p>
    <w:p w14:paraId="4A6A6FFE" w14:textId="331F7EB0" w:rsidR="0066273E" w:rsidRDefault="0066273E" w:rsidP="0066273E">
      <w:pPr>
        <w:tabs>
          <w:tab w:val="num" w:pos="0"/>
        </w:tabs>
        <w:ind w:right="-35"/>
        <w:jc w:val="both"/>
        <w:rPr>
          <w:rFonts w:eastAsia="標楷體"/>
          <w:bCs/>
        </w:rPr>
      </w:pPr>
    </w:p>
    <w:p w14:paraId="5A4BFBF4" w14:textId="23928599" w:rsidR="002533B4" w:rsidRDefault="002533B4" w:rsidP="0066273E">
      <w:pPr>
        <w:tabs>
          <w:tab w:val="num" w:pos="0"/>
        </w:tabs>
        <w:ind w:right="-35"/>
        <w:jc w:val="both"/>
        <w:rPr>
          <w:rFonts w:eastAsia="標楷體"/>
          <w:bCs/>
        </w:rPr>
      </w:pPr>
      <w:r>
        <w:rPr>
          <w:rFonts w:eastAsia="標楷體" w:hint="eastAsia"/>
          <w:bCs/>
        </w:rPr>
        <w:t>G</w:t>
      </w:r>
      <w:r>
        <w:rPr>
          <w:rFonts w:eastAsia="標楷體"/>
          <w:bCs/>
        </w:rPr>
        <w:t>olshan, N. and Rasid, S. (2012). “Dete</w:t>
      </w:r>
      <w:r w:rsidR="00463745">
        <w:rPr>
          <w:rFonts w:eastAsia="標楷體"/>
          <w:bCs/>
        </w:rPr>
        <w:t>r</w:t>
      </w:r>
      <w:r>
        <w:rPr>
          <w:rFonts w:eastAsia="標楷體"/>
          <w:bCs/>
        </w:rPr>
        <w:t>minants of enterprise risk management adoption: An empirical analysis of Malaysian public listed firms”. International Journal of Social and Human Sciences, Vol.6, p.119-126.</w:t>
      </w:r>
    </w:p>
    <w:p w14:paraId="268FFB96" w14:textId="77777777" w:rsidR="002533B4" w:rsidRPr="009831E8" w:rsidRDefault="002533B4" w:rsidP="0066273E">
      <w:pPr>
        <w:tabs>
          <w:tab w:val="num" w:pos="0"/>
        </w:tabs>
        <w:ind w:right="-35"/>
        <w:jc w:val="both"/>
        <w:rPr>
          <w:rFonts w:eastAsia="標楷體"/>
          <w:bCs/>
        </w:rPr>
      </w:pPr>
    </w:p>
    <w:p w14:paraId="7057501B" w14:textId="744315EA" w:rsidR="0066273E" w:rsidRPr="009831E8" w:rsidRDefault="0066273E" w:rsidP="0066273E">
      <w:pPr>
        <w:tabs>
          <w:tab w:val="num" w:pos="0"/>
        </w:tabs>
        <w:ind w:right="-35"/>
        <w:jc w:val="both"/>
        <w:rPr>
          <w:rFonts w:eastAsia="標楷體"/>
          <w:bCs/>
        </w:rPr>
      </w:pPr>
      <w:r w:rsidRPr="009831E8">
        <w:rPr>
          <w:rFonts w:eastAsia="標楷體"/>
          <w:bCs/>
        </w:rPr>
        <w:t>Grifﬁn, John M. and Shams, Amin (2018). "Manipulation in theVIX?". The Review of Financial Studies, Vol.31, No.4, p.1377-1417.</w:t>
      </w:r>
    </w:p>
    <w:p w14:paraId="5820624C" w14:textId="77777777" w:rsidR="00860BB6" w:rsidRDefault="00860BB6" w:rsidP="0066273E">
      <w:pPr>
        <w:tabs>
          <w:tab w:val="num" w:pos="0"/>
        </w:tabs>
        <w:ind w:right="-35"/>
        <w:jc w:val="both"/>
        <w:rPr>
          <w:rFonts w:eastAsia="標楷體"/>
          <w:bCs/>
        </w:rPr>
      </w:pPr>
    </w:p>
    <w:p w14:paraId="09BC1E4D" w14:textId="3885887F" w:rsidR="0066273E" w:rsidRDefault="0066273E" w:rsidP="0066273E">
      <w:pPr>
        <w:tabs>
          <w:tab w:val="num" w:pos="0"/>
        </w:tabs>
        <w:ind w:right="-35"/>
        <w:jc w:val="both"/>
        <w:rPr>
          <w:rFonts w:eastAsia="標楷體"/>
          <w:bCs/>
        </w:rPr>
      </w:pPr>
      <w:r w:rsidRPr="009831E8">
        <w:rPr>
          <w:rFonts w:eastAsia="標楷體"/>
          <w:bCs/>
        </w:rPr>
        <w:t>Heffernan, S. (2003). "The causes of bank failures". in Handbook of International Banking, Mullineux, A. and Murinate, V. (Eds), Edward Elgar Publishing Limited, London, p.366–403.</w:t>
      </w:r>
    </w:p>
    <w:p w14:paraId="10E321BA" w14:textId="159AEB55" w:rsidR="0066273E" w:rsidRDefault="0066273E" w:rsidP="0066273E">
      <w:pPr>
        <w:tabs>
          <w:tab w:val="num" w:pos="0"/>
        </w:tabs>
        <w:ind w:right="-35"/>
        <w:jc w:val="both"/>
        <w:rPr>
          <w:rFonts w:eastAsia="標楷體"/>
          <w:bCs/>
          <w:color w:val="0070C0"/>
        </w:rPr>
      </w:pPr>
    </w:p>
    <w:p w14:paraId="7342D353" w14:textId="3847BCE9" w:rsidR="00860BB6" w:rsidRPr="00860BB6" w:rsidRDefault="00860BB6" w:rsidP="0066273E">
      <w:pPr>
        <w:tabs>
          <w:tab w:val="num" w:pos="0"/>
        </w:tabs>
        <w:ind w:right="-35"/>
        <w:jc w:val="both"/>
        <w:rPr>
          <w:rFonts w:eastAsia="標楷體"/>
          <w:bCs/>
          <w:color w:val="000000" w:themeColor="text1"/>
        </w:rPr>
      </w:pPr>
      <w:r w:rsidRPr="00860BB6">
        <w:rPr>
          <w:rFonts w:eastAsia="標楷體" w:hint="eastAsia"/>
          <w:bCs/>
          <w:color w:val="000000" w:themeColor="text1"/>
        </w:rPr>
        <w:lastRenderedPageBreak/>
        <w:t>H</w:t>
      </w:r>
      <w:r w:rsidRPr="00860BB6">
        <w:rPr>
          <w:rFonts w:eastAsia="標楷體"/>
          <w:bCs/>
          <w:color w:val="000000" w:themeColor="text1"/>
        </w:rPr>
        <w:t>enebry, K. L. (1997). “</w:t>
      </w:r>
      <w:r w:rsidRPr="00860BB6">
        <w:rPr>
          <w:rFonts w:eastAsia="標楷體" w:hint="eastAsia"/>
          <w:bCs/>
          <w:color w:val="000000" w:themeColor="text1"/>
        </w:rPr>
        <w:t>A</w:t>
      </w:r>
      <w:r w:rsidRPr="00860BB6">
        <w:rPr>
          <w:rFonts w:eastAsia="標楷體"/>
          <w:bCs/>
          <w:color w:val="000000" w:themeColor="text1"/>
        </w:rPr>
        <w:t xml:space="preserve"> </w:t>
      </w:r>
      <w:r w:rsidRPr="00860BB6">
        <w:rPr>
          <w:rFonts w:eastAsia="標楷體" w:hint="eastAsia"/>
          <w:bCs/>
          <w:color w:val="000000" w:themeColor="text1"/>
        </w:rPr>
        <w:t>t</w:t>
      </w:r>
      <w:r w:rsidRPr="00860BB6">
        <w:rPr>
          <w:rFonts w:eastAsia="標楷體"/>
          <w:bCs/>
          <w:color w:val="000000" w:themeColor="text1"/>
        </w:rPr>
        <w:t>est of the temporal stability of proportiona hazard models for predicting bank failure”. Journal of Financia</w:t>
      </w:r>
      <w:r w:rsidR="000F3B65">
        <w:rPr>
          <w:rFonts w:eastAsia="標楷體"/>
          <w:bCs/>
          <w:color w:val="000000" w:themeColor="text1"/>
        </w:rPr>
        <w:t>l and Strategic Decisions, Vol.</w:t>
      </w:r>
      <w:r w:rsidRPr="00860BB6">
        <w:rPr>
          <w:rFonts w:eastAsia="標楷體"/>
          <w:bCs/>
          <w:color w:val="000000" w:themeColor="text1"/>
        </w:rPr>
        <w:t xml:space="preserve">10, </w:t>
      </w:r>
      <w:r w:rsidR="000F3B65">
        <w:rPr>
          <w:rFonts w:eastAsia="標楷體"/>
          <w:bCs/>
          <w:color w:val="000000" w:themeColor="text1"/>
        </w:rPr>
        <w:t>No.</w:t>
      </w:r>
      <w:r w:rsidRPr="00860BB6">
        <w:rPr>
          <w:rFonts w:eastAsia="標楷體"/>
          <w:bCs/>
          <w:color w:val="000000" w:themeColor="text1"/>
        </w:rPr>
        <w:t>3, p.1-11.</w:t>
      </w:r>
    </w:p>
    <w:p w14:paraId="539ED169" w14:textId="77777777" w:rsidR="00860BB6" w:rsidRPr="002A0121" w:rsidRDefault="00860BB6" w:rsidP="0066273E">
      <w:pPr>
        <w:tabs>
          <w:tab w:val="num" w:pos="0"/>
        </w:tabs>
        <w:ind w:right="-35"/>
        <w:jc w:val="both"/>
        <w:rPr>
          <w:rFonts w:eastAsia="標楷體"/>
          <w:bCs/>
          <w:color w:val="0070C0"/>
        </w:rPr>
      </w:pPr>
    </w:p>
    <w:p w14:paraId="7491A76C" w14:textId="77777777" w:rsidR="0066273E" w:rsidRPr="009831E8" w:rsidRDefault="0066273E" w:rsidP="0066273E">
      <w:pPr>
        <w:tabs>
          <w:tab w:val="num" w:pos="0"/>
        </w:tabs>
        <w:ind w:right="-35"/>
        <w:jc w:val="both"/>
        <w:rPr>
          <w:rFonts w:eastAsia="標楷體"/>
          <w:bCs/>
        </w:rPr>
      </w:pPr>
      <w:r w:rsidRPr="009831E8">
        <w:rPr>
          <w:rFonts w:eastAsia="標楷體"/>
          <w:bCs/>
        </w:rPr>
        <w:t xml:space="preserve">Huang, Yu-Fang (2014). "The co-movement effects, multiple structure breaks and forecast: Essays on the relative of volatility index (VIX)". PhD dissertation, Chung Yuan Christian University.   </w:t>
      </w:r>
    </w:p>
    <w:p w14:paraId="12D0C5AF" w14:textId="77777777" w:rsidR="0066273E" w:rsidRPr="009831E8" w:rsidRDefault="0066273E" w:rsidP="0066273E">
      <w:pPr>
        <w:tabs>
          <w:tab w:val="num" w:pos="0"/>
        </w:tabs>
        <w:ind w:right="-35"/>
        <w:jc w:val="both"/>
        <w:rPr>
          <w:rFonts w:eastAsia="標楷體"/>
          <w:bCs/>
        </w:rPr>
      </w:pPr>
    </w:p>
    <w:p w14:paraId="6E3C9054" w14:textId="29791C55" w:rsidR="0066273E" w:rsidRPr="009831E8" w:rsidRDefault="0066273E" w:rsidP="0066273E">
      <w:pPr>
        <w:tabs>
          <w:tab w:val="num" w:pos="0"/>
        </w:tabs>
        <w:ind w:right="-35"/>
        <w:jc w:val="both"/>
        <w:rPr>
          <w:rFonts w:eastAsia="標楷體"/>
          <w:bCs/>
        </w:rPr>
      </w:pPr>
      <w:r w:rsidRPr="009831E8">
        <w:rPr>
          <w:rFonts w:eastAsia="標楷體"/>
          <w:bCs/>
        </w:rPr>
        <w:t>Idrees, Sahar and Qayyum, Abdul (2018). "The impact of financial distress risk on equity returns: A case study of non-financial firms of Pakistan Stock Exchange". Pakistan Institute of Development Economics (PIDE)</w:t>
      </w:r>
      <w:r w:rsidR="003758D4">
        <w:rPr>
          <w:rFonts w:eastAsia="標楷體"/>
          <w:bCs/>
        </w:rPr>
        <w:t>, Working Paper</w:t>
      </w:r>
      <w:r w:rsidRPr="009831E8">
        <w:rPr>
          <w:rFonts w:eastAsia="標楷體"/>
          <w:bCs/>
        </w:rPr>
        <w:t>.</w:t>
      </w:r>
    </w:p>
    <w:p w14:paraId="2479EAD7" w14:textId="77777777" w:rsidR="0066273E" w:rsidRPr="009831E8" w:rsidRDefault="0066273E" w:rsidP="0066273E">
      <w:pPr>
        <w:tabs>
          <w:tab w:val="num" w:pos="0"/>
        </w:tabs>
        <w:ind w:right="-35"/>
        <w:jc w:val="both"/>
        <w:rPr>
          <w:rFonts w:eastAsia="標楷體"/>
          <w:bCs/>
        </w:rPr>
      </w:pPr>
    </w:p>
    <w:p w14:paraId="74330B8D" w14:textId="35D32BC4" w:rsidR="0066273E" w:rsidRPr="009831E8" w:rsidRDefault="0066273E" w:rsidP="0066273E">
      <w:pPr>
        <w:tabs>
          <w:tab w:val="num" w:pos="0"/>
        </w:tabs>
        <w:ind w:right="-35"/>
        <w:jc w:val="both"/>
        <w:rPr>
          <w:rFonts w:eastAsia="標楷體"/>
          <w:bCs/>
        </w:rPr>
      </w:pPr>
      <w:r w:rsidRPr="009831E8">
        <w:rPr>
          <w:rFonts w:eastAsia="標楷體"/>
          <w:bCs/>
        </w:rPr>
        <w:t>Ikpesu, Fredrick and Eboiyehi, Osazemenv (2018). "Capital structure and corporate financial distress of manufacturing firms in Nigeria". Journal o</w:t>
      </w:r>
      <w:r w:rsidR="000F3B65">
        <w:rPr>
          <w:rFonts w:eastAsia="標楷體"/>
          <w:bCs/>
        </w:rPr>
        <w:t>f Accounting and Taxation, Vol.</w:t>
      </w:r>
      <w:r w:rsidRPr="009831E8">
        <w:rPr>
          <w:rFonts w:eastAsia="標楷體"/>
          <w:bCs/>
        </w:rPr>
        <w:t>10, No.7, p.78-84.</w:t>
      </w:r>
    </w:p>
    <w:p w14:paraId="654F0B12" w14:textId="77777777" w:rsidR="0066273E" w:rsidRPr="009831E8" w:rsidRDefault="0066273E" w:rsidP="0066273E">
      <w:pPr>
        <w:tabs>
          <w:tab w:val="num" w:pos="0"/>
        </w:tabs>
        <w:ind w:right="-35"/>
        <w:jc w:val="both"/>
        <w:rPr>
          <w:rFonts w:eastAsia="標楷體"/>
          <w:bCs/>
        </w:rPr>
      </w:pPr>
    </w:p>
    <w:p w14:paraId="24688C47" w14:textId="2691DED5" w:rsidR="0066273E" w:rsidRPr="009831E8" w:rsidRDefault="0066273E" w:rsidP="0066273E">
      <w:pPr>
        <w:tabs>
          <w:tab w:val="num" w:pos="0"/>
        </w:tabs>
        <w:ind w:right="-35"/>
        <w:jc w:val="both"/>
        <w:rPr>
          <w:rFonts w:eastAsia="標楷體"/>
          <w:bCs/>
        </w:rPr>
      </w:pPr>
      <w:r w:rsidRPr="009831E8">
        <w:rPr>
          <w:rFonts w:eastAsia="標楷體"/>
          <w:bCs/>
        </w:rPr>
        <w:t>Iman, Joneidi Jafari1, Maryam, Salahinezhad, and Arezu, Jalili (2014). "Effects of working capital management on firm's bankruptcy probability". International SAMANM Journal of Fina</w:t>
      </w:r>
      <w:r w:rsidR="000F3B65">
        <w:rPr>
          <w:rFonts w:eastAsia="標楷體"/>
          <w:bCs/>
        </w:rPr>
        <w:t>nce and Accounting, Vol.2, No.</w:t>
      </w:r>
      <w:r w:rsidRPr="009831E8">
        <w:rPr>
          <w:rFonts w:eastAsia="標楷體"/>
          <w:bCs/>
        </w:rPr>
        <w:t xml:space="preserve">1, p.55-70. </w:t>
      </w:r>
    </w:p>
    <w:p w14:paraId="59DA585B" w14:textId="77777777" w:rsidR="0066273E" w:rsidRPr="009831E8" w:rsidRDefault="0066273E" w:rsidP="0066273E">
      <w:pPr>
        <w:tabs>
          <w:tab w:val="num" w:pos="0"/>
        </w:tabs>
        <w:ind w:right="-35"/>
        <w:jc w:val="both"/>
        <w:rPr>
          <w:rFonts w:eastAsia="標楷體"/>
          <w:bCs/>
        </w:rPr>
      </w:pPr>
    </w:p>
    <w:p w14:paraId="287C8FB9" w14:textId="7BD83743" w:rsidR="0066273E" w:rsidRPr="009831E8" w:rsidRDefault="0066273E" w:rsidP="0066273E">
      <w:pPr>
        <w:tabs>
          <w:tab w:val="num" w:pos="0"/>
        </w:tabs>
        <w:ind w:right="-35"/>
        <w:jc w:val="both"/>
        <w:rPr>
          <w:rFonts w:eastAsia="標楷體"/>
          <w:bCs/>
        </w:rPr>
      </w:pPr>
      <w:r w:rsidRPr="009831E8">
        <w:rPr>
          <w:rFonts w:eastAsia="標楷體"/>
          <w:bCs/>
        </w:rPr>
        <w:t xml:space="preserve">Jaara, Bassam, Alashhab, Hikmat, and Jaara, Osama Omar (2018). "The </w:t>
      </w:r>
      <w:r w:rsidR="001B34A0">
        <w:rPr>
          <w:rFonts w:eastAsia="標楷體"/>
          <w:bCs/>
        </w:rPr>
        <w:t>d</w:t>
      </w:r>
      <w:r w:rsidRPr="009831E8">
        <w:rPr>
          <w:rFonts w:eastAsia="標楷體"/>
          <w:bCs/>
        </w:rPr>
        <w:t xml:space="preserve">eterminants of </w:t>
      </w:r>
      <w:r w:rsidR="001B34A0">
        <w:rPr>
          <w:rFonts w:eastAsia="標楷體"/>
          <w:bCs/>
        </w:rPr>
        <w:t>d</w:t>
      </w:r>
      <w:r w:rsidRPr="009831E8">
        <w:rPr>
          <w:rFonts w:eastAsia="標楷體"/>
          <w:bCs/>
        </w:rPr>
        <w:t>ividend Policy for Non-financial Companies in Jordan". International Journal of Economics an</w:t>
      </w:r>
      <w:r w:rsidR="000F3B65">
        <w:rPr>
          <w:rFonts w:eastAsia="標楷體"/>
          <w:bCs/>
        </w:rPr>
        <w:t>d Financial Issues, Vol.8, No.</w:t>
      </w:r>
      <w:r w:rsidRPr="009831E8">
        <w:rPr>
          <w:rFonts w:eastAsia="標楷體"/>
          <w:bCs/>
        </w:rPr>
        <w:t>2, p.198-209.</w:t>
      </w:r>
    </w:p>
    <w:p w14:paraId="4DA27EED" w14:textId="77777777" w:rsidR="0066273E" w:rsidRPr="009831E8" w:rsidRDefault="0066273E" w:rsidP="0066273E">
      <w:pPr>
        <w:tabs>
          <w:tab w:val="num" w:pos="0"/>
        </w:tabs>
        <w:ind w:right="-35"/>
        <w:jc w:val="both"/>
        <w:rPr>
          <w:rFonts w:eastAsia="標楷體"/>
          <w:bCs/>
        </w:rPr>
      </w:pPr>
    </w:p>
    <w:p w14:paraId="6DEC3851" w14:textId="2F2CFF3A" w:rsidR="0066273E" w:rsidRPr="009831E8" w:rsidRDefault="002533B4" w:rsidP="0066273E">
      <w:pPr>
        <w:tabs>
          <w:tab w:val="num" w:pos="0"/>
        </w:tabs>
        <w:ind w:right="-35"/>
        <w:jc w:val="both"/>
        <w:rPr>
          <w:rFonts w:eastAsia="標楷體"/>
          <w:bCs/>
        </w:rPr>
      </w:pPr>
      <w:r>
        <w:rPr>
          <w:rFonts w:eastAsia="標楷體"/>
          <w:bCs/>
        </w:rPr>
        <w:t>Jensen</w:t>
      </w:r>
      <w:r w:rsidR="0066273E" w:rsidRPr="009831E8">
        <w:rPr>
          <w:rFonts w:eastAsia="標楷體"/>
          <w:bCs/>
        </w:rPr>
        <w:t>, M. C. (1986). "Agency costs of free cash flow, corporate finance, and takeovers". The</w:t>
      </w:r>
      <w:r w:rsidR="000F3B65">
        <w:rPr>
          <w:rFonts w:eastAsia="標楷體"/>
          <w:bCs/>
        </w:rPr>
        <w:t xml:space="preserve"> American Economic Review, Vol.</w:t>
      </w:r>
      <w:r w:rsidR="0066273E" w:rsidRPr="009831E8">
        <w:rPr>
          <w:rFonts w:eastAsia="標楷體"/>
          <w:bCs/>
        </w:rPr>
        <w:t>76, p.323-329.</w:t>
      </w:r>
    </w:p>
    <w:p w14:paraId="1A395CAF" w14:textId="77777777" w:rsidR="0066273E" w:rsidRPr="009831E8" w:rsidRDefault="0066273E" w:rsidP="0066273E">
      <w:pPr>
        <w:tabs>
          <w:tab w:val="num" w:pos="0"/>
        </w:tabs>
        <w:ind w:right="-35"/>
        <w:jc w:val="both"/>
        <w:rPr>
          <w:rFonts w:eastAsia="標楷體"/>
          <w:bCs/>
        </w:rPr>
      </w:pPr>
    </w:p>
    <w:p w14:paraId="25A576B9" w14:textId="4289B21B" w:rsidR="0066273E" w:rsidRPr="009831E8" w:rsidRDefault="0066273E" w:rsidP="0066273E">
      <w:pPr>
        <w:tabs>
          <w:tab w:val="num" w:pos="0"/>
        </w:tabs>
        <w:ind w:right="-35"/>
        <w:jc w:val="both"/>
        <w:rPr>
          <w:rFonts w:eastAsia="標楷體"/>
          <w:bCs/>
        </w:rPr>
      </w:pPr>
      <w:r w:rsidRPr="009831E8">
        <w:rPr>
          <w:rFonts w:eastAsia="標楷體"/>
          <w:bCs/>
        </w:rPr>
        <w:t>José</w:t>
      </w:r>
      <w:r w:rsidR="002533B4">
        <w:rPr>
          <w:rFonts w:eastAsia="標楷體"/>
          <w:bCs/>
        </w:rPr>
        <w:t>,</w:t>
      </w:r>
      <w:r w:rsidRPr="009831E8">
        <w:rPr>
          <w:rFonts w:eastAsia="標楷體"/>
          <w:bCs/>
        </w:rPr>
        <w:t xml:space="preserve"> David Cabedoa and José</w:t>
      </w:r>
      <w:r w:rsidR="002533B4">
        <w:rPr>
          <w:rFonts w:eastAsia="標楷體"/>
          <w:bCs/>
        </w:rPr>
        <w:t>,</w:t>
      </w:r>
      <w:r w:rsidRPr="009831E8">
        <w:rPr>
          <w:rFonts w:eastAsia="標楷體"/>
          <w:bCs/>
        </w:rPr>
        <w:t xml:space="preserve"> Miguel Tiradob (2015). "Rough sets and discriminant analysis techniques for business default forecasting". Fuzz</w:t>
      </w:r>
      <w:r w:rsidR="000F3B65">
        <w:rPr>
          <w:rFonts w:eastAsia="標楷體"/>
          <w:bCs/>
        </w:rPr>
        <w:t>y Economic Review, Vol.XX, No.</w:t>
      </w:r>
      <w:r w:rsidRPr="009831E8">
        <w:rPr>
          <w:rFonts w:eastAsia="標楷體"/>
          <w:bCs/>
        </w:rPr>
        <w:t>1, p.3-37.</w:t>
      </w:r>
    </w:p>
    <w:p w14:paraId="57C8662E" w14:textId="77777777" w:rsidR="0066273E" w:rsidRPr="009831E8" w:rsidRDefault="0066273E" w:rsidP="0066273E">
      <w:pPr>
        <w:tabs>
          <w:tab w:val="num" w:pos="0"/>
        </w:tabs>
        <w:ind w:right="-35"/>
        <w:jc w:val="both"/>
        <w:rPr>
          <w:rFonts w:eastAsia="標楷體"/>
          <w:bCs/>
        </w:rPr>
      </w:pPr>
    </w:p>
    <w:p w14:paraId="3E04DDC9" w14:textId="1D53DE91" w:rsidR="0066273E" w:rsidRPr="009831E8" w:rsidRDefault="0066273E" w:rsidP="0066273E">
      <w:pPr>
        <w:tabs>
          <w:tab w:val="num" w:pos="0"/>
        </w:tabs>
        <w:ind w:right="-35"/>
        <w:jc w:val="both"/>
        <w:rPr>
          <w:rFonts w:eastAsia="標楷體"/>
          <w:bCs/>
        </w:rPr>
      </w:pPr>
      <w:r w:rsidRPr="009831E8">
        <w:rPr>
          <w:rFonts w:eastAsia="標楷體"/>
          <w:bCs/>
        </w:rPr>
        <w:t>Kale, A., Jayant, R., Thomas, H., Noe, M. (1990). "Dividends, uncertainty and underwriting costs under asymmetric information". The Jour</w:t>
      </w:r>
      <w:r w:rsidR="000F3B65">
        <w:rPr>
          <w:rFonts w:eastAsia="標楷體"/>
          <w:bCs/>
        </w:rPr>
        <w:t>nal of Financial Research, Vol.</w:t>
      </w:r>
      <w:r w:rsidRPr="009831E8">
        <w:rPr>
          <w:rFonts w:eastAsia="標楷體"/>
          <w:bCs/>
        </w:rPr>
        <w:t>13, p.265-277.</w:t>
      </w:r>
    </w:p>
    <w:p w14:paraId="5BBD3126" w14:textId="77777777" w:rsidR="0066273E" w:rsidRPr="009831E8" w:rsidRDefault="0066273E" w:rsidP="0066273E">
      <w:pPr>
        <w:tabs>
          <w:tab w:val="num" w:pos="0"/>
        </w:tabs>
        <w:ind w:right="-35"/>
        <w:jc w:val="both"/>
        <w:rPr>
          <w:rFonts w:eastAsia="標楷體"/>
          <w:bCs/>
        </w:rPr>
      </w:pPr>
    </w:p>
    <w:p w14:paraId="04136370" w14:textId="25EDD2AF" w:rsidR="0066273E" w:rsidRPr="009831E8" w:rsidRDefault="0066273E" w:rsidP="0066273E">
      <w:pPr>
        <w:tabs>
          <w:tab w:val="num" w:pos="0"/>
        </w:tabs>
        <w:ind w:right="-35"/>
        <w:jc w:val="both"/>
        <w:rPr>
          <w:rFonts w:eastAsia="標楷體"/>
          <w:bCs/>
        </w:rPr>
      </w:pPr>
      <w:r w:rsidRPr="009831E8">
        <w:rPr>
          <w:rFonts w:eastAsia="標楷體"/>
          <w:bCs/>
        </w:rPr>
        <w:t>Kapoor, S. (2006). "Impact of dividend policy on shareholders' value: A study of Indian firms</w:t>
      </w:r>
      <w:r w:rsidR="003758D4" w:rsidRPr="009831E8">
        <w:rPr>
          <w:rFonts w:eastAsia="標楷體"/>
          <w:bCs/>
        </w:rPr>
        <w:t>"</w:t>
      </w:r>
      <w:r w:rsidRPr="009831E8">
        <w:rPr>
          <w:rFonts w:eastAsia="標楷體"/>
          <w:bCs/>
        </w:rPr>
        <w:t>. Synopsis of the Thesis to be Submitted in Fulfillment of the Requirements for the Degree of Doctor of Philosophy in Management.</w:t>
      </w:r>
    </w:p>
    <w:p w14:paraId="76DA70FD" w14:textId="77777777" w:rsidR="0066273E" w:rsidRPr="009831E8" w:rsidRDefault="0066273E" w:rsidP="0066273E">
      <w:pPr>
        <w:tabs>
          <w:tab w:val="num" w:pos="0"/>
        </w:tabs>
        <w:ind w:right="-35"/>
        <w:jc w:val="both"/>
        <w:rPr>
          <w:rFonts w:eastAsia="標楷體"/>
          <w:bCs/>
        </w:rPr>
      </w:pPr>
    </w:p>
    <w:p w14:paraId="352D87AE" w14:textId="34C8A522" w:rsidR="0066273E" w:rsidRPr="009831E8" w:rsidRDefault="0066273E" w:rsidP="0066273E">
      <w:pPr>
        <w:tabs>
          <w:tab w:val="num" w:pos="0"/>
        </w:tabs>
        <w:ind w:right="-35"/>
        <w:jc w:val="both"/>
        <w:rPr>
          <w:rFonts w:eastAsia="標楷體"/>
          <w:bCs/>
        </w:rPr>
      </w:pPr>
      <w:r w:rsidRPr="009831E8">
        <w:rPr>
          <w:rFonts w:eastAsia="標楷體"/>
          <w:bCs/>
        </w:rPr>
        <w:t>Karagozoglu, Ahmet K. and Fabozzi, Frank J. (2017). "Volatility Wisdom of Social Media Crowds". The Journal of Po</w:t>
      </w:r>
      <w:r w:rsidR="000F3B65">
        <w:rPr>
          <w:rFonts w:eastAsia="標楷體"/>
          <w:bCs/>
        </w:rPr>
        <w:t>rtfolio Management, Vo.43, No.</w:t>
      </w:r>
      <w:r w:rsidRPr="009831E8">
        <w:rPr>
          <w:rFonts w:eastAsia="標楷體"/>
          <w:bCs/>
        </w:rPr>
        <w:t>2, p.136-151.</w:t>
      </w:r>
    </w:p>
    <w:p w14:paraId="2EBAFC19" w14:textId="77777777" w:rsidR="0066273E" w:rsidRPr="009831E8" w:rsidRDefault="0066273E" w:rsidP="0066273E">
      <w:pPr>
        <w:tabs>
          <w:tab w:val="num" w:pos="0"/>
        </w:tabs>
        <w:ind w:right="-35"/>
        <w:jc w:val="both"/>
        <w:rPr>
          <w:rFonts w:eastAsia="標楷體"/>
          <w:bCs/>
        </w:rPr>
      </w:pPr>
    </w:p>
    <w:p w14:paraId="56661569" w14:textId="4337EDAF" w:rsidR="0066273E" w:rsidRPr="002533B4" w:rsidRDefault="0066273E" w:rsidP="0066273E">
      <w:pPr>
        <w:tabs>
          <w:tab w:val="num" w:pos="0"/>
        </w:tabs>
        <w:ind w:right="-35"/>
        <w:jc w:val="both"/>
        <w:rPr>
          <w:rFonts w:eastAsia="標楷體"/>
          <w:bCs/>
          <w:color w:val="000000" w:themeColor="text1"/>
        </w:rPr>
      </w:pPr>
      <w:r w:rsidRPr="002533B4">
        <w:rPr>
          <w:rFonts w:eastAsia="標楷體"/>
          <w:bCs/>
          <w:color w:val="000000" w:themeColor="text1"/>
        </w:rPr>
        <w:t xml:space="preserve">Kazemian, S., Shauri, N., Sanusi, Z., Kamaluddin, A., </w:t>
      </w:r>
      <w:r w:rsidR="007F0929" w:rsidRPr="002533B4">
        <w:rPr>
          <w:rFonts w:eastAsia="標楷體"/>
          <w:bCs/>
          <w:color w:val="000000" w:themeColor="text1"/>
        </w:rPr>
        <w:t>and</w:t>
      </w:r>
      <w:r w:rsidRPr="002533B4">
        <w:rPr>
          <w:rFonts w:eastAsia="標楷體"/>
          <w:bCs/>
          <w:color w:val="000000" w:themeColor="text1"/>
        </w:rPr>
        <w:t xml:space="preserve"> Shuhidan, S. (2017). "Monitoring mechanisms and financial distress of public listed companies in Malaysia". Journal of International </w:t>
      </w:r>
      <w:r w:rsidR="000F3B65">
        <w:rPr>
          <w:rFonts w:eastAsia="標楷體"/>
          <w:bCs/>
          <w:color w:val="000000" w:themeColor="text1"/>
        </w:rPr>
        <w:lastRenderedPageBreak/>
        <w:t>Studies, Vol.</w:t>
      </w:r>
      <w:r w:rsidR="002533B4">
        <w:rPr>
          <w:rFonts w:eastAsia="標楷體"/>
          <w:bCs/>
          <w:color w:val="000000" w:themeColor="text1"/>
        </w:rPr>
        <w:t>10</w:t>
      </w:r>
      <w:r w:rsidR="003758D4">
        <w:rPr>
          <w:rFonts w:eastAsia="標楷體"/>
          <w:bCs/>
          <w:color w:val="000000" w:themeColor="text1"/>
        </w:rPr>
        <w:t>, No.</w:t>
      </w:r>
      <w:r w:rsidRPr="002533B4">
        <w:rPr>
          <w:rFonts w:eastAsia="標楷體"/>
          <w:bCs/>
          <w:color w:val="000000" w:themeColor="text1"/>
        </w:rPr>
        <w:t>1, p.92-109.</w:t>
      </w:r>
    </w:p>
    <w:p w14:paraId="25503E2E" w14:textId="77777777" w:rsidR="0066273E" w:rsidRPr="009831E8" w:rsidRDefault="0066273E" w:rsidP="0066273E">
      <w:pPr>
        <w:tabs>
          <w:tab w:val="num" w:pos="0"/>
        </w:tabs>
        <w:ind w:right="-35"/>
        <w:jc w:val="both"/>
        <w:rPr>
          <w:rFonts w:eastAsia="標楷體"/>
          <w:bCs/>
        </w:rPr>
      </w:pPr>
    </w:p>
    <w:p w14:paraId="126E26CE" w14:textId="349272BF" w:rsidR="0066273E" w:rsidRPr="009831E8" w:rsidRDefault="0066273E" w:rsidP="0066273E">
      <w:pPr>
        <w:tabs>
          <w:tab w:val="num" w:pos="0"/>
        </w:tabs>
        <w:ind w:right="-35"/>
        <w:jc w:val="both"/>
        <w:rPr>
          <w:rFonts w:eastAsia="標楷體"/>
          <w:bCs/>
        </w:rPr>
      </w:pPr>
      <w:r w:rsidRPr="009831E8">
        <w:rPr>
          <w:rFonts w:eastAsia="標楷體"/>
          <w:bCs/>
        </w:rPr>
        <w:t>Kendrick, Wakeman (2012). "Hedging with VIX futures making sense of the futures curve". Badon Hill White Paper Series, p.1-8.</w:t>
      </w:r>
    </w:p>
    <w:p w14:paraId="26D37A3D" w14:textId="77777777" w:rsidR="0066273E" w:rsidRPr="009831E8" w:rsidRDefault="0066273E" w:rsidP="0066273E">
      <w:pPr>
        <w:tabs>
          <w:tab w:val="num" w:pos="0"/>
        </w:tabs>
        <w:ind w:right="-35"/>
        <w:jc w:val="both"/>
        <w:rPr>
          <w:rFonts w:eastAsia="標楷體"/>
          <w:bCs/>
        </w:rPr>
      </w:pPr>
    </w:p>
    <w:p w14:paraId="56C159DB" w14:textId="571C4DA5" w:rsidR="0066273E" w:rsidRPr="009831E8" w:rsidRDefault="0066273E" w:rsidP="0066273E">
      <w:pPr>
        <w:tabs>
          <w:tab w:val="num" w:pos="0"/>
        </w:tabs>
        <w:ind w:right="-35"/>
        <w:jc w:val="both"/>
        <w:rPr>
          <w:rFonts w:eastAsia="標楷體"/>
          <w:bCs/>
        </w:rPr>
      </w:pPr>
      <w:r w:rsidRPr="009831E8">
        <w:rPr>
          <w:rFonts w:eastAsia="標楷體"/>
          <w:bCs/>
        </w:rPr>
        <w:t>Khanna, Naveen and Poulsen, Annette B. (1995). "Managers of financially distressed</w:t>
      </w:r>
      <w:r w:rsidR="002533B4">
        <w:rPr>
          <w:rFonts w:eastAsia="標楷體"/>
          <w:bCs/>
        </w:rPr>
        <w:t xml:space="preserve"> </w:t>
      </w:r>
      <w:r w:rsidRPr="009831E8">
        <w:rPr>
          <w:rFonts w:eastAsia="標楷體"/>
          <w:bCs/>
        </w:rPr>
        <w:t>firms: Villains or Scapegoats</w:t>
      </w:r>
      <w:r w:rsidR="000F3B65">
        <w:rPr>
          <w:rFonts w:eastAsia="標楷體"/>
          <w:bCs/>
        </w:rPr>
        <w:t>?" The Journal of Finance, Vol.</w:t>
      </w:r>
      <w:r w:rsidRPr="009831E8">
        <w:rPr>
          <w:rFonts w:eastAsia="標楷體"/>
          <w:bCs/>
        </w:rPr>
        <w:t>L, No.3, p.919-940.</w:t>
      </w:r>
    </w:p>
    <w:p w14:paraId="52A10352" w14:textId="77777777" w:rsidR="0066273E" w:rsidRPr="009831E8" w:rsidRDefault="0066273E" w:rsidP="0066273E">
      <w:pPr>
        <w:tabs>
          <w:tab w:val="num" w:pos="0"/>
        </w:tabs>
        <w:ind w:right="-35"/>
        <w:jc w:val="both"/>
        <w:rPr>
          <w:rFonts w:eastAsia="標楷體"/>
          <w:bCs/>
        </w:rPr>
      </w:pPr>
    </w:p>
    <w:p w14:paraId="060935B0" w14:textId="12A5D17B" w:rsidR="0066273E" w:rsidRPr="009831E8" w:rsidRDefault="0066273E" w:rsidP="0066273E">
      <w:pPr>
        <w:tabs>
          <w:tab w:val="num" w:pos="0"/>
        </w:tabs>
        <w:ind w:right="-35"/>
        <w:jc w:val="both"/>
        <w:rPr>
          <w:rFonts w:eastAsia="標楷體"/>
          <w:bCs/>
        </w:rPr>
      </w:pPr>
      <w:r w:rsidRPr="009831E8">
        <w:rPr>
          <w:rFonts w:eastAsia="標楷體"/>
          <w:bCs/>
        </w:rPr>
        <w:t>Layla, Khoja, Maxwell, Chipulu, and Ranadeva, Jayasekera (2016). "Analysing corporate insolvency in the Gulf Cooperation Council using logistic regression and multidimensional scaling". Review of Quantitative Fina</w:t>
      </w:r>
      <w:r w:rsidR="000F3B65">
        <w:rPr>
          <w:rFonts w:eastAsia="標楷體"/>
          <w:bCs/>
        </w:rPr>
        <w:t>nce and Accounting, Vol.46, p.</w:t>
      </w:r>
      <w:r w:rsidRPr="009831E8">
        <w:rPr>
          <w:rFonts w:eastAsia="標楷體"/>
          <w:bCs/>
        </w:rPr>
        <w:t>483–518.</w:t>
      </w:r>
    </w:p>
    <w:p w14:paraId="2A5D4CB3" w14:textId="77777777" w:rsidR="0066273E" w:rsidRPr="009831E8" w:rsidRDefault="0066273E" w:rsidP="0066273E">
      <w:pPr>
        <w:tabs>
          <w:tab w:val="num" w:pos="0"/>
        </w:tabs>
        <w:ind w:right="-35"/>
        <w:jc w:val="both"/>
        <w:rPr>
          <w:rFonts w:eastAsia="標楷體"/>
          <w:bCs/>
        </w:rPr>
      </w:pPr>
    </w:p>
    <w:p w14:paraId="58542580" w14:textId="02F87EC5" w:rsidR="0066273E" w:rsidRPr="009831E8" w:rsidRDefault="0066273E" w:rsidP="0066273E">
      <w:pPr>
        <w:tabs>
          <w:tab w:val="num" w:pos="0"/>
        </w:tabs>
        <w:ind w:right="-35"/>
        <w:jc w:val="both"/>
        <w:rPr>
          <w:rFonts w:eastAsia="標楷體"/>
          <w:bCs/>
        </w:rPr>
      </w:pPr>
      <w:r w:rsidRPr="009831E8">
        <w:rPr>
          <w:rFonts w:eastAsia="標楷體"/>
          <w:bCs/>
        </w:rPr>
        <w:t xml:space="preserve">Lee, Tsun-Siou, Lu, Chia-Yu, and Chiang, Mu-Wei (2005). "The Information Content of the Volatility Index Implied by TAIEX Index Options". Review of Securities </w:t>
      </w:r>
      <w:r w:rsidR="00DD31D1">
        <w:rPr>
          <w:rFonts w:eastAsia="標楷體"/>
          <w:bCs/>
        </w:rPr>
        <w:t>and</w:t>
      </w:r>
      <w:r w:rsidR="000F3B65">
        <w:rPr>
          <w:rFonts w:eastAsia="標楷體"/>
          <w:bCs/>
        </w:rPr>
        <w:t xml:space="preserve"> Futures Markets, Vol.</w:t>
      </w:r>
      <w:r w:rsidRPr="009831E8">
        <w:rPr>
          <w:rFonts w:eastAsia="標楷體"/>
          <w:bCs/>
        </w:rPr>
        <w:t>17</w:t>
      </w:r>
      <w:r w:rsidR="000F3B65">
        <w:rPr>
          <w:rFonts w:eastAsia="標楷體"/>
          <w:bCs/>
        </w:rPr>
        <w:t>, No.</w:t>
      </w:r>
      <w:r w:rsidRPr="009831E8">
        <w:rPr>
          <w:rFonts w:eastAsia="標楷體"/>
          <w:bCs/>
        </w:rPr>
        <w:t>4</w:t>
      </w:r>
      <w:r w:rsidR="000F3B65">
        <w:rPr>
          <w:rFonts w:eastAsia="標楷體"/>
          <w:bCs/>
        </w:rPr>
        <w:t>, p.</w:t>
      </w:r>
      <w:r w:rsidRPr="009831E8">
        <w:rPr>
          <w:rFonts w:eastAsia="標楷體"/>
          <w:bCs/>
        </w:rPr>
        <w:t xml:space="preserve">1-42. </w:t>
      </w:r>
    </w:p>
    <w:p w14:paraId="2F2F7B5D" w14:textId="77777777" w:rsidR="0066273E" w:rsidRPr="009831E8" w:rsidRDefault="0066273E" w:rsidP="0066273E">
      <w:pPr>
        <w:tabs>
          <w:tab w:val="num" w:pos="0"/>
        </w:tabs>
        <w:ind w:right="-35"/>
        <w:jc w:val="both"/>
        <w:rPr>
          <w:rFonts w:eastAsia="標楷體"/>
          <w:bCs/>
        </w:rPr>
      </w:pPr>
    </w:p>
    <w:p w14:paraId="4B9C6CC9" w14:textId="3EEDA492" w:rsidR="0066273E" w:rsidRPr="009831E8" w:rsidRDefault="0066273E" w:rsidP="0066273E">
      <w:pPr>
        <w:tabs>
          <w:tab w:val="num" w:pos="0"/>
        </w:tabs>
        <w:ind w:right="-35"/>
        <w:jc w:val="both"/>
        <w:rPr>
          <w:rFonts w:eastAsia="標楷體"/>
          <w:bCs/>
        </w:rPr>
      </w:pPr>
      <w:r w:rsidRPr="009831E8">
        <w:rPr>
          <w:rFonts w:eastAsia="標楷體"/>
          <w:bCs/>
        </w:rPr>
        <w:t xml:space="preserve">Lennox, C. (1999). "Identifying failing companies: a revaluation of the logit, probit and DA approaches". Journal </w:t>
      </w:r>
      <w:r w:rsidR="000F3B65">
        <w:rPr>
          <w:rFonts w:eastAsia="標楷體"/>
          <w:bCs/>
        </w:rPr>
        <w:t>of Economics and Business, Vol.</w:t>
      </w:r>
      <w:r w:rsidRPr="009831E8">
        <w:rPr>
          <w:rFonts w:eastAsia="標楷體"/>
          <w:bCs/>
        </w:rPr>
        <w:t>51, p.347-364.</w:t>
      </w:r>
    </w:p>
    <w:p w14:paraId="4B06383B" w14:textId="77777777" w:rsidR="0066273E" w:rsidRPr="009831E8" w:rsidRDefault="0066273E" w:rsidP="0066273E">
      <w:pPr>
        <w:tabs>
          <w:tab w:val="num" w:pos="0"/>
        </w:tabs>
        <w:ind w:right="-35"/>
        <w:jc w:val="both"/>
        <w:rPr>
          <w:rFonts w:eastAsia="標楷體"/>
          <w:bCs/>
        </w:rPr>
      </w:pPr>
    </w:p>
    <w:p w14:paraId="48A807C6" w14:textId="7E1DE756" w:rsidR="0066273E" w:rsidRPr="009831E8" w:rsidRDefault="0066273E" w:rsidP="0066273E">
      <w:pPr>
        <w:tabs>
          <w:tab w:val="num" w:pos="0"/>
        </w:tabs>
        <w:ind w:right="-35"/>
        <w:jc w:val="both"/>
        <w:rPr>
          <w:rFonts w:eastAsia="標楷體"/>
          <w:bCs/>
        </w:rPr>
      </w:pPr>
      <w:r w:rsidRPr="009831E8">
        <w:rPr>
          <w:rFonts w:eastAsia="標楷體"/>
          <w:bCs/>
        </w:rPr>
        <w:t>Lina, Shu Ling, Penmb, Jack H.W., Gong, Shang-Chi, and Chang, Ching-Shan (2005). "Risk-based capital adequacy in assessing on insolvency-risk and ﬁnancial performances in Taiwan's banking industry". Research in International Business and Finance, Vol.19, p.111-153.</w:t>
      </w:r>
    </w:p>
    <w:p w14:paraId="713F16AF" w14:textId="23BC6AA6" w:rsidR="0066273E" w:rsidRDefault="0066273E" w:rsidP="0066273E">
      <w:pPr>
        <w:tabs>
          <w:tab w:val="num" w:pos="0"/>
        </w:tabs>
        <w:ind w:right="-35"/>
        <w:jc w:val="both"/>
        <w:rPr>
          <w:rFonts w:eastAsia="標楷體"/>
          <w:bCs/>
        </w:rPr>
      </w:pPr>
    </w:p>
    <w:p w14:paraId="11B7390B" w14:textId="1C83DC2E" w:rsidR="000F3B65" w:rsidRPr="002533B4" w:rsidRDefault="000F3B65" w:rsidP="000F3B65">
      <w:pPr>
        <w:tabs>
          <w:tab w:val="num" w:pos="0"/>
        </w:tabs>
        <w:ind w:right="-35"/>
        <w:jc w:val="both"/>
        <w:rPr>
          <w:rFonts w:eastAsia="標楷體"/>
          <w:bCs/>
          <w:color w:val="000000" w:themeColor="text1"/>
        </w:rPr>
      </w:pPr>
      <w:r w:rsidRPr="002533B4">
        <w:rPr>
          <w:color w:val="000000" w:themeColor="text1"/>
          <w:shd w:val="clear" w:color="auto" w:fill="FFFFFF"/>
        </w:rPr>
        <w:t>Ma, W., Renwick, A., and Zhou, X. (2020). The relationship between farm debt and dairy productivity and profitability in New Zealand. Journal of Dairy Science, </w:t>
      </w:r>
      <w:r>
        <w:rPr>
          <w:color w:val="000000" w:themeColor="text1"/>
          <w:shd w:val="clear" w:color="auto" w:fill="FFFFFF"/>
        </w:rPr>
        <w:t>V</w:t>
      </w:r>
      <w:r w:rsidRPr="002533B4">
        <w:rPr>
          <w:color w:val="000000" w:themeColor="text1"/>
          <w:shd w:val="clear" w:color="auto" w:fill="FFFFFF"/>
        </w:rPr>
        <w:t>ol.103</w:t>
      </w:r>
      <w:r>
        <w:rPr>
          <w:color w:val="000000" w:themeColor="text1"/>
          <w:shd w:val="clear" w:color="auto" w:fill="FFFFFF"/>
        </w:rPr>
        <w:t>, No.</w:t>
      </w:r>
      <w:r w:rsidRPr="002533B4">
        <w:rPr>
          <w:color w:val="000000" w:themeColor="text1"/>
          <w:shd w:val="clear" w:color="auto" w:fill="FFFFFF"/>
        </w:rPr>
        <w:t>9, p.8251-8256.</w:t>
      </w:r>
    </w:p>
    <w:p w14:paraId="0E541F86" w14:textId="77777777" w:rsidR="000F3B65" w:rsidRPr="009831E8" w:rsidRDefault="000F3B65" w:rsidP="0066273E">
      <w:pPr>
        <w:tabs>
          <w:tab w:val="num" w:pos="0"/>
        </w:tabs>
        <w:ind w:right="-35"/>
        <w:jc w:val="both"/>
        <w:rPr>
          <w:rFonts w:eastAsia="標楷體"/>
          <w:bCs/>
        </w:rPr>
      </w:pPr>
    </w:p>
    <w:p w14:paraId="1C563D06" w14:textId="1C8CEE33" w:rsidR="0066273E" w:rsidRPr="009831E8" w:rsidRDefault="0066273E" w:rsidP="0066273E">
      <w:pPr>
        <w:tabs>
          <w:tab w:val="num" w:pos="0"/>
        </w:tabs>
        <w:ind w:right="-35"/>
        <w:jc w:val="both"/>
        <w:rPr>
          <w:rFonts w:eastAsia="標楷體"/>
          <w:bCs/>
        </w:rPr>
      </w:pPr>
      <w:r w:rsidRPr="009831E8">
        <w:rPr>
          <w:rFonts w:eastAsia="標楷體"/>
          <w:bCs/>
        </w:rPr>
        <w:t xml:space="preserve">Marangu, Kenneth and Jagongo, Ambrose (2014). "Price to </w:t>
      </w:r>
      <w:r w:rsidR="005701CC">
        <w:rPr>
          <w:rFonts w:eastAsia="標楷體"/>
          <w:bCs/>
        </w:rPr>
        <w:t>b</w:t>
      </w:r>
      <w:r w:rsidRPr="009831E8">
        <w:rPr>
          <w:rFonts w:eastAsia="標楷體"/>
          <w:bCs/>
        </w:rPr>
        <w:t xml:space="preserve">ook </w:t>
      </w:r>
      <w:r w:rsidR="005701CC">
        <w:rPr>
          <w:rFonts w:eastAsia="標楷體"/>
          <w:bCs/>
        </w:rPr>
        <w:t>v</w:t>
      </w:r>
      <w:r w:rsidRPr="009831E8">
        <w:rPr>
          <w:rFonts w:eastAsia="標楷體"/>
          <w:bCs/>
        </w:rPr>
        <w:t xml:space="preserve">alue </w:t>
      </w:r>
      <w:r w:rsidR="005701CC">
        <w:rPr>
          <w:rFonts w:eastAsia="標楷體"/>
          <w:bCs/>
        </w:rPr>
        <w:t>r</w:t>
      </w:r>
      <w:r w:rsidRPr="009831E8">
        <w:rPr>
          <w:rFonts w:eastAsia="標楷體"/>
          <w:bCs/>
        </w:rPr>
        <w:t xml:space="preserve">atio and </w:t>
      </w:r>
      <w:r w:rsidR="00920732">
        <w:rPr>
          <w:rFonts w:eastAsia="標楷體"/>
          <w:bCs/>
        </w:rPr>
        <w:t>f</w:t>
      </w:r>
      <w:r w:rsidRPr="009831E8">
        <w:rPr>
          <w:rFonts w:eastAsia="標楷體"/>
          <w:bCs/>
        </w:rPr>
        <w:t xml:space="preserve">inancial </w:t>
      </w:r>
      <w:r w:rsidR="00920732">
        <w:rPr>
          <w:rFonts w:eastAsia="標楷體"/>
          <w:bCs/>
        </w:rPr>
        <w:t>s</w:t>
      </w:r>
      <w:r w:rsidRPr="009831E8">
        <w:rPr>
          <w:rFonts w:eastAsia="標楷體"/>
          <w:bCs/>
        </w:rPr>
        <w:t xml:space="preserve">tatement </w:t>
      </w:r>
      <w:r w:rsidR="00920732">
        <w:rPr>
          <w:rFonts w:eastAsia="標楷體"/>
          <w:bCs/>
        </w:rPr>
        <w:t>v</w:t>
      </w:r>
      <w:r w:rsidRPr="009831E8">
        <w:rPr>
          <w:rFonts w:eastAsia="標楷體"/>
          <w:bCs/>
        </w:rPr>
        <w:t xml:space="preserve">ariables". </w:t>
      </w:r>
      <w:r w:rsidR="00920732">
        <w:rPr>
          <w:rFonts w:eastAsia="標楷體"/>
          <w:bCs/>
        </w:rPr>
        <w:t>G</w:t>
      </w:r>
      <w:r w:rsidRPr="009831E8">
        <w:rPr>
          <w:rFonts w:eastAsia="標楷體"/>
          <w:bCs/>
        </w:rPr>
        <w:t xml:space="preserve">lobal Journal of Commerce </w:t>
      </w:r>
      <w:r w:rsidR="00DD31D1">
        <w:rPr>
          <w:rFonts w:eastAsia="標楷體"/>
          <w:bCs/>
        </w:rPr>
        <w:t>and</w:t>
      </w:r>
      <w:r w:rsidR="000F3B65">
        <w:rPr>
          <w:rFonts w:eastAsia="標楷體"/>
          <w:bCs/>
        </w:rPr>
        <w:t xml:space="preserve"> Management Perspective, Vol.3 No.</w:t>
      </w:r>
      <w:r w:rsidRPr="009831E8">
        <w:rPr>
          <w:rFonts w:eastAsia="標楷體"/>
          <w:bCs/>
        </w:rPr>
        <w:t xml:space="preserve">6, p.50-56. </w:t>
      </w:r>
    </w:p>
    <w:p w14:paraId="336FD5FD" w14:textId="33050430" w:rsidR="0066273E" w:rsidRDefault="0066273E" w:rsidP="0066273E">
      <w:pPr>
        <w:tabs>
          <w:tab w:val="num" w:pos="0"/>
        </w:tabs>
        <w:ind w:right="-35"/>
        <w:jc w:val="both"/>
        <w:rPr>
          <w:rFonts w:eastAsia="標楷體"/>
          <w:bCs/>
        </w:rPr>
      </w:pPr>
    </w:p>
    <w:p w14:paraId="627E6D5E" w14:textId="69DF4D4D" w:rsidR="002533B4" w:rsidRDefault="002533B4" w:rsidP="0066273E">
      <w:pPr>
        <w:tabs>
          <w:tab w:val="num" w:pos="0"/>
        </w:tabs>
        <w:ind w:right="-35"/>
        <w:jc w:val="both"/>
        <w:rPr>
          <w:rFonts w:eastAsia="標楷體"/>
          <w:bCs/>
        </w:rPr>
      </w:pPr>
      <w:r>
        <w:rPr>
          <w:rFonts w:eastAsia="標楷體" w:hint="eastAsia"/>
          <w:bCs/>
        </w:rPr>
        <w:t>M</w:t>
      </w:r>
      <w:r>
        <w:rPr>
          <w:rFonts w:eastAsia="標楷體"/>
          <w:bCs/>
        </w:rPr>
        <w:t>embroek, L., K. (2002). “Integrated risk management for the fimr: A senior manager’s guide”. Journal of Applied Corporate Finance, Vol.14</w:t>
      </w:r>
      <w:r w:rsidR="000F3B65">
        <w:rPr>
          <w:rFonts w:eastAsia="標楷體"/>
          <w:bCs/>
        </w:rPr>
        <w:t>, No.</w:t>
      </w:r>
      <w:r>
        <w:rPr>
          <w:rFonts w:eastAsia="標楷體"/>
          <w:bCs/>
        </w:rPr>
        <w:t>4, p.56-70.</w:t>
      </w:r>
    </w:p>
    <w:p w14:paraId="0F158889" w14:textId="77777777" w:rsidR="002533B4" w:rsidRPr="009831E8" w:rsidRDefault="002533B4" w:rsidP="0066273E">
      <w:pPr>
        <w:tabs>
          <w:tab w:val="num" w:pos="0"/>
        </w:tabs>
        <w:ind w:right="-35"/>
        <w:jc w:val="both"/>
        <w:rPr>
          <w:rFonts w:eastAsia="標楷體"/>
          <w:bCs/>
        </w:rPr>
      </w:pPr>
    </w:p>
    <w:p w14:paraId="64711756" w14:textId="5708EC1D" w:rsidR="0066273E" w:rsidRPr="009831E8" w:rsidRDefault="0066273E" w:rsidP="0066273E">
      <w:pPr>
        <w:tabs>
          <w:tab w:val="num" w:pos="0"/>
        </w:tabs>
        <w:ind w:right="-35"/>
        <w:jc w:val="both"/>
        <w:rPr>
          <w:rFonts w:eastAsia="標楷體"/>
          <w:bCs/>
        </w:rPr>
      </w:pPr>
      <w:r w:rsidRPr="009831E8">
        <w:rPr>
          <w:rFonts w:eastAsia="標楷體"/>
          <w:bCs/>
        </w:rPr>
        <w:t xml:space="preserve">Mihaela, David and Jemna Dănuţ-Vasile (2015). "Modeling the frequency of auto insurance claims by means of poisson and negative binomial models". </w:t>
      </w:r>
      <w:r w:rsidR="000F3B65">
        <w:rPr>
          <w:rFonts w:eastAsia="標楷體"/>
          <w:bCs/>
        </w:rPr>
        <w:t>Scientific Annals, Vol.62, No.</w:t>
      </w:r>
      <w:r w:rsidRPr="009831E8">
        <w:rPr>
          <w:rFonts w:eastAsia="標楷體"/>
          <w:bCs/>
        </w:rPr>
        <w:t>2, p.151-168.</w:t>
      </w:r>
    </w:p>
    <w:p w14:paraId="61992292" w14:textId="66A466FF" w:rsidR="0066273E" w:rsidRPr="009831E8" w:rsidRDefault="0066273E" w:rsidP="0066273E">
      <w:pPr>
        <w:tabs>
          <w:tab w:val="num" w:pos="0"/>
        </w:tabs>
        <w:ind w:right="-35"/>
        <w:jc w:val="both"/>
        <w:rPr>
          <w:rFonts w:eastAsia="標楷體"/>
          <w:bCs/>
        </w:rPr>
      </w:pPr>
    </w:p>
    <w:p w14:paraId="4AD01D32" w14:textId="56C9340B" w:rsidR="0066273E" w:rsidRPr="009831E8" w:rsidRDefault="0066273E" w:rsidP="0066273E">
      <w:pPr>
        <w:tabs>
          <w:tab w:val="num" w:pos="0"/>
        </w:tabs>
        <w:ind w:right="-35"/>
        <w:jc w:val="both"/>
        <w:rPr>
          <w:rFonts w:eastAsia="標楷體"/>
          <w:bCs/>
        </w:rPr>
      </w:pPr>
      <w:r w:rsidRPr="009831E8">
        <w:rPr>
          <w:rFonts w:eastAsia="標楷體"/>
          <w:bCs/>
        </w:rPr>
        <w:t>Ni, Jinlan, Kwak, Wikil, Cheng, Xiaoyan, and Gong, Guan (2014). "The determinants of bankruptcy for Chinese firms". Review of Paciﬁc Basin Financial Markets and Policies, Vol.17, No.2, p.1-22.</w:t>
      </w:r>
    </w:p>
    <w:p w14:paraId="2CFCDF0E" w14:textId="77777777" w:rsidR="0066273E" w:rsidRPr="009831E8" w:rsidRDefault="0066273E" w:rsidP="0066273E">
      <w:pPr>
        <w:tabs>
          <w:tab w:val="num" w:pos="0"/>
        </w:tabs>
        <w:ind w:right="-35"/>
        <w:jc w:val="both"/>
        <w:rPr>
          <w:rFonts w:eastAsia="標楷體"/>
          <w:bCs/>
        </w:rPr>
      </w:pPr>
    </w:p>
    <w:p w14:paraId="0C173281" w14:textId="7AC3972D" w:rsidR="0066273E" w:rsidRDefault="002533B4" w:rsidP="0066273E">
      <w:pPr>
        <w:tabs>
          <w:tab w:val="num" w:pos="0"/>
        </w:tabs>
        <w:ind w:right="-35"/>
        <w:jc w:val="both"/>
        <w:rPr>
          <w:rFonts w:eastAsia="標楷體"/>
          <w:bCs/>
        </w:rPr>
      </w:pPr>
      <w:r>
        <w:rPr>
          <w:rFonts w:eastAsia="標楷體" w:hint="eastAsia"/>
          <w:bCs/>
        </w:rPr>
        <w:t>N</w:t>
      </w:r>
      <w:r>
        <w:rPr>
          <w:rFonts w:eastAsia="標楷體"/>
          <w:bCs/>
        </w:rPr>
        <w:t xml:space="preserve">occo, B. W. and Stulz, R. M. (2006). “Enterpirse risk management: Theory and practice”. Journal </w:t>
      </w:r>
      <w:r>
        <w:rPr>
          <w:rFonts w:eastAsia="標楷體"/>
          <w:bCs/>
        </w:rPr>
        <w:lastRenderedPageBreak/>
        <w:t>of Applied Corporate Finance, Vol.18</w:t>
      </w:r>
      <w:r w:rsidR="000F3B65">
        <w:rPr>
          <w:rFonts w:eastAsia="標楷體"/>
          <w:bCs/>
        </w:rPr>
        <w:t>, No.</w:t>
      </w:r>
      <w:r>
        <w:rPr>
          <w:rFonts w:eastAsia="標楷體"/>
          <w:bCs/>
        </w:rPr>
        <w:t>4, p.8-20.</w:t>
      </w:r>
    </w:p>
    <w:p w14:paraId="4CADEB74" w14:textId="77777777" w:rsidR="002533B4" w:rsidRPr="009831E8" w:rsidRDefault="002533B4" w:rsidP="0066273E">
      <w:pPr>
        <w:tabs>
          <w:tab w:val="num" w:pos="0"/>
        </w:tabs>
        <w:ind w:right="-35"/>
        <w:jc w:val="both"/>
        <w:rPr>
          <w:rFonts w:eastAsia="標楷體"/>
          <w:bCs/>
        </w:rPr>
      </w:pPr>
    </w:p>
    <w:p w14:paraId="70F9436C" w14:textId="65EB2E3B" w:rsidR="0066273E" w:rsidRPr="000B02D3" w:rsidRDefault="0066273E" w:rsidP="0066273E">
      <w:pPr>
        <w:tabs>
          <w:tab w:val="num" w:pos="0"/>
        </w:tabs>
        <w:ind w:right="-35"/>
        <w:jc w:val="both"/>
        <w:rPr>
          <w:rFonts w:eastAsia="標楷體"/>
          <w:color w:val="00B0F0"/>
        </w:rPr>
      </w:pPr>
      <w:r w:rsidRPr="009831E8">
        <w:rPr>
          <w:shd w:val="clear" w:color="auto" w:fill="FFFFFF"/>
        </w:rPr>
        <w:t>Nguyen, T. P. T, and Nghiem, S. H. (2015). The interrelationships among default risk, capital ratio and efficiency: Evidence from Indian banks. Managerial</w:t>
      </w:r>
      <w:r w:rsidRPr="002533B4">
        <w:rPr>
          <w:color w:val="000000" w:themeColor="text1"/>
          <w:shd w:val="clear" w:color="auto" w:fill="FFFFFF"/>
        </w:rPr>
        <w:t xml:space="preserve"> Finance.</w:t>
      </w:r>
      <w:r w:rsidR="00210EEB" w:rsidRPr="002533B4">
        <w:rPr>
          <w:color w:val="000000" w:themeColor="text1"/>
          <w:shd w:val="clear" w:color="auto" w:fill="FFFFFF"/>
        </w:rPr>
        <w:t xml:space="preserve"> Vo</w:t>
      </w:r>
      <w:r w:rsidR="000F3B65">
        <w:rPr>
          <w:color w:val="000000" w:themeColor="text1"/>
          <w:shd w:val="clear" w:color="auto" w:fill="FFFFFF"/>
        </w:rPr>
        <w:t>l.</w:t>
      </w:r>
      <w:r w:rsidR="00210EEB" w:rsidRPr="002533B4">
        <w:rPr>
          <w:color w:val="000000" w:themeColor="text1"/>
          <w:shd w:val="clear" w:color="auto" w:fill="FFFFFF"/>
        </w:rPr>
        <w:t>41</w:t>
      </w:r>
      <w:r w:rsidR="000F3B65">
        <w:rPr>
          <w:color w:val="000000" w:themeColor="text1"/>
          <w:shd w:val="clear" w:color="auto" w:fill="FFFFFF"/>
        </w:rPr>
        <w:t>, No.</w:t>
      </w:r>
      <w:r w:rsidR="00210EEB" w:rsidRPr="002533B4">
        <w:rPr>
          <w:color w:val="000000" w:themeColor="text1"/>
          <w:shd w:val="clear" w:color="auto" w:fill="FFFFFF"/>
        </w:rPr>
        <w:t>5, p.507-525. </w:t>
      </w:r>
      <w:r w:rsidR="002533B4" w:rsidRPr="002533B4">
        <w:rPr>
          <w:rFonts w:eastAsia="標楷體"/>
          <w:color w:val="000000" w:themeColor="text1"/>
        </w:rPr>
        <w:t xml:space="preserve"> </w:t>
      </w:r>
    </w:p>
    <w:p w14:paraId="259C67CB" w14:textId="77777777" w:rsidR="0066273E" w:rsidRPr="009831E8" w:rsidRDefault="0066273E" w:rsidP="0066273E">
      <w:pPr>
        <w:tabs>
          <w:tab w:val="num" w:pos="0"/>
        </w:tabs>
        <w:ind w:right="-35"/>
        <w:jc w:val="both"/>
        <w:rPr>
          <w:rFonts w:eastAsia="標楷體"/>
          <w:bCs/>
        </w:rPr>
      </w:pPr>
    </w:p>
    <w:p w14:paraId="7C469D66" w14:textId="4FDE4008" w:rsidR="0066273E" w:rsidRPr="009831E8" w:rsidRDefault="0066273E" w:rsidP="0066273E">
      <w:pPr>
        <w:tabs>
          <w:tab w:val="num" w:pos="0"/>
        </w:tabs>
        <w:ind w:right="-35"/>
        <w:jc w:val="both"/>
        <w:rPr>
          <w:rFonts w:eastAsia="標楷體"/>
          <w:bCs/>
        </w:rPr>
      </w:pPr>
      <w:r w:rsidRPr="009831E8">
        <w:rPr>
          <w:rFonts w:eastAsia="標楷體"/>
          <w:bCs/>
        </w:rPr>
        <w:t>Ohlson, J. A. (1980). "Financial ratios and the probabilistic prediction of bankruptcy". Journal of Accounting Research, Vol.18, No.1, p.109-131.</w:t>
      </w:r>
    </w:p>
    <w:p w14:paraId="3C115D46" w14:textId="027B9B0E" w:rsidR="0066273E" w:rsidRDefault="0066273E" w:rsidP="0066273E">
      <w:pPr>
        <w:tabs>
          <w:tab w:val="num" w:pos="0"/>
        </w:tabs>
        <w:ind w:right="-35"/>
        <w:jc w:val="both"/>
        <w:rPr>
          <w:rFonts w:eastAsia="標楷體"/>
          <w:bCs/>
        </w:rPr>
      </w:pPr>
    </w:p>
    <w:p w14:paraId="5AF82A65" w14:textId="6C0213E9" w:rsidR="002533B4" w:rsidRDefault="002533B4" w:rsidP="0066273E">
      <w:pPr>
        <w:tabs>
          <w:tab w:val="num" w:pos="0"/>
        </w:tabs>
        <w:ind w:right="-35"/>
        <w:jc w:val="both"/>
        <w:rPr>
          <w:rFonts w:eastAsia="標楷體"/>
          <w:bCs/>
        </w:rPr>
      </w:pPr>
      <w:r>
        <w:rPr>
          <w:rFonts w:eastAsia="標楷體" w:hint="eastAsia"/>
          <w:bCs/>
        </w:rPr>
        <w:t>P</w:t>
      </w:r>
      <w:r>
        <w:rPr>
          <w:rFonts w:eastAsia="標楷體"/>
          <w:bCs/>
        </w:rPr>
        <w:t xml:space="preserve">hilipp L. and Nadin, G. (2017). “Determinants and </w:t>
      </w:r>
      <w:r>
        <w:rPr>
          <w:rFonts w:eastAsia="標楷體" w:hint="eastAsia"/>
          <w:bCs/>
        </w:rPr>
        <w:t>v</w:t>
      </w:r>
      <w:r>
        <w:rPr>
          <w:rFonts w:eastAsia="標楷體"/>
          <w:bCs/>
        </w:rPr>
        <w:t>alue of enterprise risk management empirical evidence from Germany</w:t>
      </w:r>
      <w:r w:rsidR="00697A1B">
        <w:rPr>
          <w:rFonts w:eastAsia="標楷體"/>
          <w:bCs/>
        </w:rPr>
        <w:t>”.  The Eu</w:t>
      </w:r>
      <w:r w:rsidR="000F3B65">
        <w:rPr>
          <w:rFonts w:eastAsia="標楷體"/>
          <w:bCs/>
        </w:rPr>
        <w:t>ropean Journal of Finance, Vol.</w:t>
      </w:r>
      <w:r w:rsidR="00697A1B">
        <w:rPr>
          <w:rFonts w:eastAsia="標楷體"/>
          <w:bCs/>
        </w:rPr>
        <w:t>24</w:t>
      </w:r>
      <w:r w:rsidR="000F3B65">
        <w:rPr>
          <w:rFonts w:eastAsia="標楷體"/>
          <w:bCs/>
        </w:rPr>
        <w:t>, No.</w:t>
      </w:r>
      <w:r w:rsidR="00697A1B">
        <w:rPr>
          <w:rFonts w:eastAsia="標楷體"/>
          <w:bCs/>
        </w:rPr>
        <w:t>2, p.1-27.</w:t>
      </w:r>
      <w:r>
        <w:rPr>
          <w:rFonts w:eastAsia="標楷體"/>
          <w:bCs/>
        </w:rPr>
        <w:t xml:space="preserve"> </w:t>
      </w:r>
    </w:p>
    <w:p w14:paraId="00FED4B0" w14:textId="77777777" w:rsidR="002533B4" w:rsidRPr="009831E8" w:rsidRDefault="002533B4" w:rsidP="0066273E">
      <w:pPr>
        <w:tabs>
          <w:tab w:val="num" w:pos="0"/>
        </w:tabs>
        <w:ind w:right="-35"/>
        <w:jc w:val="both"/>
        <w:rPr>
          <w:rFonts w:eastAsia="標楷體"/>
          <w:bCs/>
        </w:rPr>
      </w:pPr>
    </w:p>
    <w:p w14:paraId="01340CCB" w14:textId="3140E4EA" w:rsidR="0066273E" w:rsidRPr="009831E8" w:rsidRDefault="0066273E" w:rsidP="0066273E">
      <w:pPr>
        <w:tabs>
          <w:tab w:val="num" w:pos="0"/>
        </w:tabs>
        <w:ind w:right="-35"/>
        <w:jc w:val="both"/>
        <w:rPr>
          <w:rFonts w:eastAsia="標楷體"/>
          <w:bCs/>
        </w:rPr>
      </w:pPr>
      <w:r w:rsidRPr="009831E8">
        <w:rPr>
          <w:rFonts w:eastAsia="標楷體"/>
          <w:bCs/>
        </w:rPr>
        <w:t>Pierluigi, Santosuosso (2014). "Do efficiency ratios help investors to explore firm performances? Evidence from Italian listed firms". International Business Research, Vol.7, No.12, p.111-119.</w:t>
      </w:r>
    </w:p>
    <w:p w14:paraId="44DB6A5D" w14:textId="77777777" w:rsidR="0066273E" w:rsidRPr="009831E8" w:rsidRDefault="0066273E" w:rsidP="0066273E">
      <w:pPr>
        <w:tabs>
          <w:tab w:val="num" w:pos="0"/>
        </w:tabs>
        <w:ind w:right="-35"/>
        <w:jc w:val="both"/>
        <w:rPr>
          <w:rFonts w:eastAsia="標楷體"/>
          <w:bCs/>
        </w:rPr>
      </w:pPr>
    </w:p>
    <w:p w14:paraId="308C487B" w14:textId="2E348EAC" w:rsidR="0066273E" w:rsidRPr="009831E8" w:rsidRDefault="0066273E" w:rsidP="0066273E">
      <w:pPr>
        <w:tabs>
          <w:tab w:val="num" w:pos="0"/>
        </w:tabs>
        <w:ind w:right="-35"/>
        <w:jc w:val="both"/>
        <w:rPr>
          <w:rFonts w:eastAsia="標楷體"/>
          <w:bCs/>
        </w:rPr>
      </w:pPr>
      <w:r w:rsidRPr="009831E8">
        <w:rPr>
          <w:shd w:val="clear" w:color="auto" w:fill="FFFFFF"/>
        </w:rPr>
        <w:t xml:space="preserve">Patin, J. C., Rahman, M., and Mustafa, M. (2020). </w:t>
      </w:r>
      <w:r w:rsidR="000F3B65" w:rsidRPr="009831E8">
        <w:rPr>
          <w:rFonts w:eastAsia="標楷體"/>
          <w:bCs/>
        </w:rPr>
        <w:t>"</w:t>
      </w:r>
      <w:r w:rsidRPr="009831E8">
        <w:rPr>
          <w:shd w:val="clear" w:color="auto" w:fill="FFFFFF"/>
        </w:rPr>
        <w:t>Impact of total asset turnover ratios on equity returns: dynamic panel data analyses</w:t>
      </w:r>
      <w:r w:rsidR="000F3B65" w:rsidRPr="009831E8">
        <w:rPr>
          <w:rFonts w:eastAsia="標楷體"/>
          <w:bCs/>
        </w:rPr>
        <w:t>"</w:t>
      </w:r>
      <w:r w:rsidRPr="009831E8">
        <w:rPr>
          <w:shd w:val="clear" w:color="auto" w:fill="FFFFFF"/>
        </w:rPr>
        <w:t>. Journal of Accounting</w:t>
      </w:r>
      <w:r w:rsidR="000F3B65">
        <w:rPr>
          <w:shd w:val="clear" w:color="auto" w:fill="FFFFFF"/>
        </w:rPr>
        <w:t>, Business and Management</w:t>
      </w:r>
      <w:r w:rsidRPr="009831E8">
        <w:rPr>
          <w:shd w:val="clear" w:color="auto" w:fill="FFFFFF"/>
        </w:rPr>
        <w:t>, </w:t>
      </w:r>
      <w:r w:rsidR="000F3B65">
        <w:rPr>
          <w:shd w:val="clear" w:color="auto" w:fill="FFFFFF"/>
        </w:rPr>
        <w:t>V</w:t>
      </w:r>
      <w:r w:rsidR="00AB0390">
        <w:rPr>
          <w:shd w:val="clear" w:color="auto" w:fill="FFFFFF"/>
        </w:rPr>
        <w:t>ol.</w:t>
      </w:r>
      <w:r w:rsidRPr="009831E8">
        <w:rPr>
          <w:shd w:val="clear" w:color="auto" w:fill="FFFFFF"/>
        </w:rPr>
        <w:t>27</w:t>
      </w:r>
      <w:r w:rsidR="000F3B65">
        <w:rPr>
          <w:shd w:val="clear" w:color="auto" w:fill="FFFFFF"/>
        </w:rPr>
        <w:t>, No.</w:t>
      </w:r>
      <w:r w:rsidRPr="009831E8">
        <w:rPr>
          <w:shd w:val="clear" w:color="auto" w:fill="FFFFFF"/>
        </w:rPr>
        <w:t xml:space="preserve">1, </w:t>
      </w:r>
      <w:r w:rsidR="00AB0390">
        <w:rPr>
          <w:shd w:val="clear" w:color="auto" w:fill="FFFFFF"/>
        </w:rPr>
        <w:t>p.</w:t>
      </w:r>
      <w:r w:rsidRPr="009831E8">
        <w:rPr>
          <w:shd w:val="clear" w:color="auto" w:fill="FFFFFF"/>
        </w:rPr>
        <w:t>19-29.</w:t>
      </w:r>
    </w:p>
    <w:p w14:paraId="10C55BB2" w14:textId="77777777" w:rsidR="0066273E" w:rsidRPr="009831E8" w:rsidRDefault="0066273E" w:rsidP="0066273E">
      <w:pPr>
        <w:tabs>
          <w:tab w:val="num" w:pos="0"/>
        </w:tabs>
        <w:ind w:right="-35"/>
        <w:jc w:val="both"/>
        <w:rPr>
          <w:rFonts w:eastAsia="標楷體"/>
          <w:bCs/>
        </w:rPr>
      </w:pPr>
    </w:p>
    <w:p w14:paraId="7E5B7A4D" w14:textId="1D324FF0" w:rsidR="0066273E" w:rsidRPr="009831E8" w:rsidRDefault="0066273E" w:rsidP="0066273E">
      <w:pPr>
        <w:tabs>
          <w:tab w:val="num" w:pos="0"/>
        </w:tabs>
        <w:ind w:right="-35"/>
        <w:jc w:val="both"/>
        <w:rPr>
          <w:rFonts w:eastAsia="標楷體"/>
          <w:bCs/>
        </w:rPr>
      </w:pPr>
      <w:r w:rsidRPr="009831E8">
        <w:rPr>
          <w:rFonts w:eastAsia="標楷體"/>
          <w:bCs/>
        </w:rPr>
        <w:t xml:space="preserve">Quddus, Mohammed A. (2008). "Time series count data models: An empirical application to traffic accidents". Accident Analysis </w:t>
      </w:r>
      <w:r w:rsidR="00AB0390">
        <w:rPr>
          <w:rFonts w:eastAsia="標楷體"/>
          <w:bCs/>
        </w:rPr>
        <w:t>and</w:t>
      </w:r>
      <w:r w:rsidRPr="009831E8">
        <w:rPr>
          <w:rFonts w:eastAsia="標楷體"/>
          <w:bCs/>
        </w:rPr>
        <w:t xml:space="preserve"> Prevention, Vol.40, No.5, p.1732-1741.</w:t>
      </w:r>
    </w:p>
    <w:p w14:paraId="166FD67C" w14:textId="77777777" w:rsidR="0066273E" w:rsidRPr="009831E8" w:rsidRDefault="0066273E" w:rsidP="0066273E">
      <w:pPr>
        <w:tabs>
          <w:tab w:val="num" w:pos="0"/>
        </w:tabs>
        <w:ind w:right="-35"/>
        <w:jc w:val="both"/>
        <w:rPr>
          <w:rFonts w:eastAsia="標楷體"/>
          <w:bCs/>
        </w:rPr>
      </w:pPr>
    </w:p>
    <w:p w14:paraId="5B8405EC" w14:textId="4231FEF8" w:rsidR="0066273E" w:rsidRPr="009831E8" w:rsidRDefault="0066273E" w:rsidP="0066273E">
      <w:pPr>
        <w:tabs>
          <w:tab w:val="num" w:pos="0"/>
        </w:tabs>
        <w:ind w:right="-35"/>
        <w:jc w:val="both"/>
        <w:rPr>
          <w:rFonts w:eastAsia="標楷體"/>
          <w:bCs/>
        </w:rPr>
      </w:pPr>
      <w:r w:rsidRPr="009831E8">
        <w:rPr>
          <w:rFonts w:eastAsia="標楷體"/>
          <w:bCs/>
        </w:rPr>
        <w:t>Raja, J. and Kumar, Suresh A. (2006). "Efficient market hypotheses, firm performance and financial distress- An empirical analysis on manufacturing sector". Journal of Business Management Studies, Vol.2</w:t>
      </w:r>
      <w:r w:rsidR="000F3B65">
        <w:rPr>
          <w:rFonts w:eastAsia="標楷體"/>
          <w:bCs/>
        </w:rPr>
        <w:t>, No.</w:t>
      </w:r>
      <w:r w:rsidRPr="009831E8">
        <w:rPr>
          <w:rFonts w:eastAsia="標楷體"/>
          <w:bCs/>
        </w:rPr>
        <w:t xml:space="preserve">1, p.20-27. </w:t>
      </w:r>
    </w:p>
    <w:p w14:paraId="72E41562" w14:textId="77777777" w:rsidR="0066273E" w:rsidRPr="009831E8" w:rsidRDefault="0066273E" w:rsidP="0066273E">
      <w:pPr>
        <w:tabs>
          <w:tab w:val="num" w:pos="0"/>
        </w:tabs>
        <w:ind w:right="-35"/>
        <w:jc w:val="both"/>
        <w:rPr>
          <w:rFonts w:eastAsia="標楷體"/>
          <w:bCs/>
        </w:rPr>
      </w:pPr>
    </w:p>
    <w:p w14:paraId="33154AF6" w14:textId="6155BEE0" w:rsidR="0066273E" w:rsidRPr="009831E8" w:rsidRDefault="0066273E" w:rsidP="0066273E">
      <w:pPr>
        <w:tabs>
          <w:tab w:val="num" w:pos="0"/>
        </w:tabs>
        <w:ind w:right="-35"/>
        <w:jc w:val="both"/>
        <w:rPr>
          <w:rFonts w:eastAsia="標楷體"/>
          <w:bCs/>
        </w:rPr>
      </w:pPr>
      <w:r w:rsidRPr="009831E8">
        <w:rPr>
          <w:rFonts w:eastAsia="標楷體"/>
          <w:bCs/>
        </w:rPr>
        <w:t xml:space="preserve">Robe, Michel A. and Wallen, Jonathan (2016). "Fundamentals, derivatives market information and oil price volatility". The Journal of Futures Markets, Vol.36, No.4, p.317-344. </w:t>
      </w:r>
    </w:p>
    <w:p w14:paraId="52E98AAB" w14:textId="77777777" w:rsidR="0066273E" w:rsidRPr="009831E8" w:rsidRDefault="0066273E" w:rsidP="0066273E">
      <w:pPr>
        <w:tabs>
          <w:tab w:val="num" w:pos="0"/>
        </w:tabs>
        <w:ind w:right="-35"/>
        <w:jc w:val="both"/>
        <w:rPr>
          <w:rFonts w:eastAsia="標楷體"/>
          <w:bCs/>
        </w:rPr>
      </w:pPr>
    </w:p>
    <w:p w14:paraId="37894884" w14:textId="62394AC2" w:rsidR="00255825" w:rsidRPr="00697A1B" w:rsidRDefault="00255825" w:rsidP="00255825">
      <w:pPr>
        <w:tabs>
          <w:tab w:val="num" w:pos="0"/>
        </w:tabs>
        <w:ind w:right="-35"/>
        <w:jc w:val="both"/>
        <w:rPr>
          <w:color w:val="000000" w:themeColor="text1"/>
          <w:shd w:val="clear" w:color="auto" w:fill="FFFFFF"/>
        </w:rPr>
      </w:pPr>
      <w:r w:rsidRPr="009831E8">
        <w:rPr>
          <w:shd w:val="clear" w:color="auto" w:fill="FFFFFF"/>
        </w:rPr>
        <w:t xml:space="preserve">Siregar, R. I. and Jahja, J. (2020). The </w:t>
      </w:r>
      <w:r w:rsidR="00470709">
        <w:rPr>
          <w:shd w:val="clear" w:color="auto" w:fill="FFFFFF"/>
        </w:rPr>
        <w:t>i</w:t>
      </w:r>
      <w:r w:rsidRPr="009831E8">
        <w:rPr>
          <w:shd w:val="clear" w:color="auto" w:fill="FFFFFF"/>
        </w:rPr>
        <w:t xml:space="preserve">mpact of </w:t>
      </w:r>
      <w:r w:rsidR="00470709">
        <w:rPr>
          <w:shd w:val="clear" w:color="auto" w:fill="FFFFFF"/>
        </w:rPr>
        <w:t>c</w:t>
      </w:r>
      <w:r w:rsidRPr="009831E8">
        <w:rPr>
          <w:shd w:val="clear" w:color="auto" w:fill="FFFFFF"/>
        </w:rPr>
        <w:t xml:space="preserve">orporate </w:t>
      </w:r>
      <w:r w:rsidR="00470709">
        <w:rPr>
          <w:shd w:val="clear" w:color="auto" w:fill="FFFFFF"/>
        </w:rPr>
        <w:t>g</w:t>
      </w:r>
      <w:r w:rsidRPr="009831E8">
        <w:rPr>
          <w:shd w:val="clear" w:color="auto" w:fill="FFFFFF"/>
        </w:rPr>
        <w:t xml:space="preserve">overnance </w:t>
      </w:r>
      <w:r w:rsidR="00470709">
        <w:rPr>
          <w:shd w:val="clear" w:color="auto" w:fill="FFFFFF"/>
        </w:rPr>
        <w:t>p</w:t>
      </w:r>
      <w:r w:rsidRPr="009831E8">
        <w:rPr>
          <w:shd w:val="clear" w:color="auto" w:fill="FFFFFF"/>
        </w:rPr>
        <w:t xml:space="preserve">erception </w:t>
      </w:r>
      <w:r w:rsidR="00470709">
        <w:rPr>
          <w:shd w:val="clear" w:color="auto" w:fill="FFFFFF"/>
        </w:rPr>
        <w:t>i</w:t>
      </w:r>
      <w:r w:rsidRPr="009831E8">
        <w:rPr>
          <w:shd w:val="clear" w:color="auto" w:fill="FFFFFF"/>
        </w:rPr>
        <w:t xml:space="preserve">ndex (CGPI) on </w:t>
      </w:r>
      <w:r w:rsidR="00470709">
        <w:rPr>
          <w:shd w:val="clear" w:color="auto" w:fill="FFFFFF"/>
        </w:rPr>
        <w:t>p</w:t>
      </w:r>
      <w:r w:rsidRPr="009831E8">
        <w:rPr>
          <w:shd w:val="clear" w:color="auto" w:fill="FFFFFF"/>
        </w:rPr>
        <w:t xml:space="preserve">rice to </w:t>
      </w:r>
      <w:r w:rsidR="00470709">
        <w:rPr>
          <w:shd w:val="clear" w:color="auto" w:fill="FFFFFF"/>
        </w:rPr>
        <w:t>b</w:t>
      </w:r>
      <w:r w:rsidRPr="009831E8">
        <w:rPr>
          <w:shd w:val="clear" w:color="auto" w:fill="FFFFFF"/>
        </w:rPr>
        <w:t xml:space="preserve">ook </w:t>
      </w:r>
      <w:r w:rsidR="00470709">
        <w:rPr>
          <w:shd w:val="clear" w:color="auto" w:fill="FFFFFF"/>
        </w:rPr>
        <w:t>v</w:t>
      </w:r>
      <w:r w:rsidRPr="009831E8">
        <w:rPr>
          <w:shd w:val="clear" w:color="auto" w:fill="FFFFFF"/>
        </w:rPr>
        <w:t xml:space="preserve">alue with </w:t>
      </w:r>
      <w:r w:rsidR="00470709">
        <w:rPr>
          <w:shd w:val="clear" w:color="auto" w:fill="FFFFFF"/>
        </w:rPr>
        <w:t>c</w:t>
      </w:r>
      <w:r w:rsidRPr="009831E8">
        <w:rPr>
          <w:shd w:val="clear" w:color="auto" w:fill="FFFFFF"/>
        </w:rPr>
        <w:t xml:space="preserve">orporate </w:t>
      </w:r>
      <w:r w:rsidR="00470709">
        <w:rPr>
          <w:shd w:val="clear" w:color="auto" w:fill="FFFFFF"/>
        </w:rPr>
        <w:t>s</w:t>
      </w:r>
      <w:r w:rsidRPr="009831E8">
        <w:rPr>
          <w:shd w:val="clear" w:color="auto" w:fill="FFFFFF"/>
        </w:rPr>
        <w:t xml:space="preserve">ocial </w:t>
      </w:r>
      <w:r w:rsidR="00470709">
        <w:rPr>
          <w:shd w:val="clear" w:color="auto" w:fill="FFFFFF"/>
        </w:rPr>
        <w:t>r</w:t>
      </w:r>
      <w:r w:rsidRPr="009831E8">
        <w:rPr>
          <w:shd w:val="clear" w:color="auto" w:fill="FFFFFF"/>
        </w:rPr>
        <w:t xml:space="preserve">esponsibility (CSR) as </w:t>
      </w:r>
      <w:r w:rsidR="003E3FD5">
        <w:rPr>
          <w:shd w:val="clear" w:color="auto" w:fill="FFFFFF"/>
        </w:rPr>
        <w:t>m</w:t>
      </w:r>
      <w:r w:rsidRPr="009831E8">
        <w:rPr>
          <w:shd w:val="clear" w:color="auto" w:fill="FFFFFF"/>
        </w:rPr>
        <w:t xml:space="preserve">oderating </w:t>
      </w:r>
      <w:r w:rsidR="003E3FD5">
        <w:rPr>
          <w:shd w:val="clear" w:color="auto" w:fill="FFFFFF"/>
        </w:rPr>
        <w:t>v</w:t>
      </w:r>
      <w:r w:rsidRPr="009831E8">
        <w:rPr>
          <w:shd w:val="clear" w:color="auto" w:fill="FFFFFF"/>
        </w:rPr>
        <w:t>ariable (Bank Listed on Indonesia Stock Exchange in 2016-2018).</w:t>
      </w:r>
      <w:r w:rsidR="00541676" w:rsidRPr="00541676">
        <w:t xml:space="preserve"> </w:t>
      </w:r>
      <w:r w:rsidR="00541676" w:rsidRPr="00697A1B">
        <w:rPr>
          <w:color w:val="000000" w:themeColor="text1"/>
          <w:shd w:val="clear" w:color="auto" w:fill="FFFFFF"/>
        </w:rPr>
        <w:t>In: ICBAE 2020, 5 - 6 August 2020, Purwokerto, Indonesia</w:t>
      </w:r>
      <w:r w:rsidR="00697A1B">
        <w:rPr>
          <w:color w:val="000000" w:themeColor="text1"/>
          <w:shd w:val="clear" w:color="auto" w:fill="FFFFFF"/>
        </w:rPr>
        <w:t>.</w:t>
      </w:r>
    </w:p>
    <w:p w14:paraId="5BD64C21" w14:textId="47337D7B" w:rsidR="00FA23C7" w:rsidRDefault="00FA23C7" w:rsidP="00255825">
      <w:pPr>
        <w:tabs>
          <w:tab w:val="num" w:pos="0"/>
        </w:tabs>
        <w:ind w:right="-35"/>
        <w:jc w:val="both"/>
        <w:rPr>
          <w:color w:val="00B0F0"/>
          <w:shd w:val="clear" w:color="auto" w:fill="FFFFFF"/>
        </w:rPr>
      </w:pPr>
    </w:p>
    <w:p w14:paraId="1D61BC51" w14:textId="0D980077" w:rsidR="00FA23C7" w:rsidRPr="00541676" w:rsidRDefault="00FA23C7" w:rsidP="00255825">
      <w:pPr>
        <w:tabs>
          <w:tab w:val="num" w:pos="0"/>
        </w:tabs>
        <w:ind w:right="-35"/>
        <w:jc w:val="both"/>
        <w:rPr>
          <w:color w:val="00B0F0"/>
          <w:shd w:val="clear" w:color="auto" w:fill="FFFFFF"/>
        </w:rPr>
      </w:pPr>
      <w:r w:rsidRPr="009831E8">
        <w:rPr>
          <w:shd w:val="clear" w:color="auto" w:fill="FFFFFF"/>
        </w:rPr>
        <w:t>Silva, F., and Majluf, N. (2008). Does family ownership shape performance outcomes? Journal of Business Research, </w:t>
      </w:r>
      <w:r w:rsidR="000F3B65">
        <w:rPr>
          <w:shd w:val="clear" w:color="auto" w:fill="FFFFFF"/>
        </w:rPr>
        <w:t>V</w:t>
      </w:r>
      <w:r w:rsidR="00D53DB8">
        <w:rPr>
          <w:shd w:val="clear" w:color="auto" w:fill="FFFFFF"/>
        </w:rPr>
        <w:t>ol.</w:t>
      </w:r>
      <w:r w:rsidRPr="009831E8">
        <w:rPr>
          <w:shd w:val="clear" w:color="auto" w:fill="FFFFFF"/>
        </w:rPr>
        <w:t>61</w:t>
      </w:r>
      <w:r w:rsidR="000F3B65">
        <w:rPr>
          <w:shd w:val="clear" w:color="auto" w:fill="FFFFFF"/>
        </w:rPr>
        <w:t>, No.</w:t>
      </w:r>
      <w:r w:rsidRPr="009831E8">
        <w:rPr>
          <w:shd w:val="clear" w:color="auto" w:fill="FFFFFF"/>
        </w:rPr>
        <w:t xml:space="preserve">6, </w:t>
      </w:r>
      <w:r w:rsidR="00D53DB8">
        <w:rPr>
          <w:shd w:val="clear" w:color="auto" w:fill="FFFFFF"/>
        </w:rPr>
        <w:t>p.</w:t>
      </w:r>
      <w:r w:rsidRPr="009831E8">
        <w:rPr>
          <w:shd w:val="clear" w:color="auto" w:fill="FFFFFF"/>
        </w:rPr>
        <w:t>609-614</w:t>
      </w:r>
      <w:r w:rsidR="00697A1B">
        <w:rPr>
          <w:shd w:val="clear" w:color="auto" w:fill="FFFFFF"/>
        </w:rPr>
        <w:t>.</w:t>
      </w:r>
    </w:p>
    <w:p w14:paraId="00EB8063" w14:textId="77777777" w:rsidR="0066273E" w:rsidRPr="009831E8" w:rsidRDefault="0066273E" w:rsidP="0066273E">
      <w:pPr>
        <w:tabs>
          <w:tab w:val="num" w:pos="0"/>
        </w:tabs>
        <w:ind w:right="-35"/>
        <w:jc w:val="both"/>
        <w:rPr>
          <w:rFonts w:eastAsia="標楷體"/>
          <w:bCs/>
        </w:rPr>
      </w:pPr>
    </w:p>
    <w:p w14:paraId="73001A22" w14:textId="51B4EE18" w:rsidR="0066273E" w:rsidRPr="009831E8" w:rsidRDefault="0066273E" w:rsidP="0066273E">
      <w:pPr>
        <w:tabs>
          <w:tab w:val="num" w:pos="0"/>
        </w:tabs>
        <w:ind w:right="-35"/>
        <w:jc w:val="both"/>
        <w:rPr>
          <w:rFonts w:eastAsia="標楷體"/>
          <w:bCs/>
        </w:rPr>
      </w:pPr>
      <w:r w:rsidRPr="009831E8">
        <w:rPr>
          <w:rFonts w:eastAsia="標楷體"/>
          <w:bCs/>
        </w:rPr>
        <w:t xml:space="preserve">Szpulak, Aleksandra (2017). "Assessing the Financial Distress Risk of Companies Operating Under Conditions of a Negative Cash Conversion Cycle". e-Finanse, Vol.12, No.4, p.72-82. </w:t>
      </w:r>
    </w:p>
    <w:p w14:paraId="65F77E30" w14:textId="77777777" w:rsidR="0066273E" w:rsidRPr="009831E8" w:rsidRDefault="0066273E" w:rsidP="0066273E">
      <w:pPr>
        <w:tabs>
          <w:tab w:val="num" w:pos="0"/>
        </w:tabs>
        <w:ind w:right="-35"/>
        <w:jc w:val="both"/>
        <w:rPr>
          <w:rFonts w:eastAsia="標楷體"/>
          <w:bCs/>
        </w:rPr>
      </w:pPr>
    </w:p>
    <w:p w14:paraId="62B0F0BF" w14:textId="4778A4C5" w:rsidR="0066273E" w:rsidRPr="009831E8" w:rsidRDefault="0066273E" w:rsidP="0066273E">
      <w:pPr>
        <w:tabs>
          <w:tab w:val="num" w:pos="0"/>
        </w:tabs>
        <w:ind w:right="-35"/>
        <w:jc w:val="both"/>
        <w:rPr>
          <w:rFonts w:eastAsia="標楷體"/>
          <w:bCs/>
        </w:rPr>
      </w:pPr>
      <w:r w:rsidRPr="009831E8">
        <w:rPr>
          <w:rFonts w:eastAsia="標楷體"/>
          <w:bCs/>
        </w:rPr>
        <w:lastRenderedPageBreak/>
        <w:t>Thiruvadi, Sheela, Huang, Hua-Wei, Wheatley, Clark M., and Thiruvadi, Shiyaamsundar (2016). "Free cash flow and debt monitoring hypotheses: Evidence from material internal control weakness disclosure". Journal of Forensic and Investigative Accounting, Vol.8, No.1, p.49-67.</w:t>
      </w:r>
    </w:p>
    <w:p w14:paraId="3910AC26" w14:textId="77777777" w:rsidR="0066273E" w:rsidRPr="009831E8" w:rsidRDefault="0066273E" w:rsidP="0066273E">
      <w:pPr>
        <w:tabs>
          <w:tab w:val="num" w:pos="0"/>
        </w:tabs>
        <w:ind w:right="-35"/>
        <w:jc w:val="both"/>
        <w:rPr>
          <w:rFonts w:eastAsia="標楷體"/>
          <w:bCs/>
        </w:rPr>
      </w:pPr>
    </w:p>
    <w:p w14:paraId="4FA902B3" w14:textId="2302DDDF" w:rsidR="0066273E" w:rsidRPr="009831E8" w:rsidRDefault="0066273E" w:rsidP="0066273E">
      <w:pPr>
        <w:tabs>
          <w:tab w:val="num" w:pos="0"/>
        </w:tabs>
        <w:ind w:right="-35"/>
        <w:jc w:val="both"/>
        <w:rPr>
          <w:rFonts w:eastAsia="標楷體"/>
          <w:bCs/>
        </w:rPr>
      </w:pPr>
      <w:r w:rsidRPr="009831E8">
        <w:rPr>
          <w:rFonts w:eastAsia="標楷體"/>
          <w:bCs/>
        </w:rPr>
        <w:t>Ting, Wei (2011). "Top management turnover and firm default risk: Evidence from the Chinese securities market". China Journal of Accounting Research, Vol.4, p.81-89.</w:t>
      </w:r>
    </w:p>
    <w:p w14:paraId="21D95F27" w14:textId="77777777" w:rsidR="0066273E" w:rsidRPr="009831E8" w:rsidRDefault="0066273E" w:rsidP="0066273E">
      <w:pPr>
        <w:tabs>
          <w:tab w:val="num" w:pos="0"/>
        </w:tabs>
        <w:ind w:right="-35"/>
        <w:jc w:val="both"/>
        <w:rPr>
          <w:rFonts w:eastAsia="標楷體"/>
          <w:bCs/>
        </w:rPr>
      </w:pPr>
    </w:p>
    <w:p w14:paraId="2B2411A4" w14:textId="6CB05F75" w:rsidR="0066273E" w:rsidRPr="009831E8" w:rsidRDefault="0066273E" w:rsidP="0066273E">
      <w:pPr>
        <w:tabs>
          <w:tab w:val="num" w:pos="0"/>
        </w:tabs>
        <w:ind w:right="-35"/>
        <w:jc w:val="both"/>
        <w:rPr>
          <w:rFonts w:eastAsia="標楷體"/>
          <w:bCs/>
        </w:rPr>
      </w:pPr>
      <w:r w:rsidRPr="009831E8">
        <w:rPr>
          <w:rFonts w:eastAsia="標楷體"/>
          <w:bCs/>
        </w:rPr>
        <w:t>Toshiyuki, Sueyoshi and Mika Goto (2009). "Can R&amp;D expenditure avoid corporate bankruptcy? Comparison between Japanese machinery and electrical equipment industries using DEA–discriminant analysis". European Journal of Operational Research, Vol.196, p.289-311.</w:t>
      </w:r>
    </w:p>
    <w:p w14:paraId="21C59C71" w14:textId="77777777" w:rsidR="0066273E" w:rsidRPr="009831E8" w:rsidRDefault="0066273E" w:rsidP="0066273E">
      <w:pPr>
        <w:tabs>
          <w:tab w:val="num" w:pos="0"/>
        </w:tabs>
        <w:ind w:right="-35"/>
        <w:jc w:val="both"/>
        <w:rPr>
          <w:rFonts w:eastAsia="標楷體"/>
          <w:bCs/>
        </w:rPr>
      </w:pPr>
    </w:p>
    <w:p w14:paraId="350F690D" w14:textId="18059F86" w:rsidR="0066273E" w:rsidRPr="009831E8" w:rsidRDefault="0066273E" w:rsidP="0066273E">
      <w:pPr>
        <w:tabs>
          <w:tab w:val="num" w:pos="0"/>
        </w:tabs>
        <w:ind w:right="-35"/>
        <w:jc w:val="both"/>
        <w:rPr>
          <w:rFonts w:eastAsia="標楷體"/>
          <w:bCs/>
        </w:rPr>
      </w:pPr>
      <w:r w:rsidRPr="009831E8">
        <w:rPr>
          <w:rFonts w:eastAsia="標楷體"/>
          <w:bCs/>
        </w:rPr>
        <w:t>Wan, Fairos Wan Yaacob, Mohamad, Alias Lazim, and Yap, Bee Wah (2011). "Applying fixed effects panel count model to examine road accident occurrence". Journal of Applied Sciences, Vol.11, No.7, p.1185-1191.</w:t>
      </w:r>
    </w:p>
    <w:p w14:paraId="2B3DF4EF" w14:textId="77777777" w:rsidR="0066273E" w:rsidRPr="009831E8" w:rsidRDefault="0066273E" w:rsidP="0066273E">
      <w:pPr>
        <w:tabs>
          <w:tab w:val="num" w:pos="0"/>
        </w:tabs>
        <w:ind w:right="-35"/>
        <w:jc w:val="both"/>
        <w:rPr>
          <w:rFonts w:eastAsia="標楷體"/>
          <w:bCs/>
        </w:rPr>
      </w:pPr>
    </w:p>
    <w:p w14:paraId="02EA4D2B" w14:textId="40CD4A73" w:rsidR="0066273E" w:rsidRPr="009831E8" w:rsidRDefault="0066273E" w:rsidP="0066273E">
      <w:pPr>
        <w:tabs>
          <w:tab w:val="num" w:pos="0"/>
        </w:tabs>
        <w:ind w:right="-35"/>
        <w:jc w:val="both"/>
        <w:rPr>
          <w:rFonts w:eastAsia="標楷體"/>
          <w:bCs/>
        </w:rPr>
      </w:pPr>
      <w:r w:rsidRPr="009831E8">
        <w:rPr>
          <w:rFonts w:eastAsia="標楷體"/>
          <w:bCs/>
        </w:rPr>
        <w:t>Whaley, R. E. (2009). "Understanding the VIX". Journal of Portfolio Management, Vol.</w:t>
      </w:r>
      <w:r w:rsidR="000F3B65">
        <w:rPr>
          <w:rFonts w:eastAsia="標楷體"/>
          <w:bCs/>
        </w:rPr>
        <w:t>35, p.</w:t>
      </w:r>
      <w:r w:rsidRPr="009831E8">
        <w:rPr>
          <w:rFonts w:eastAsia="標楷體"/>
          <w:bCs/>
        </w:rPr>
        <w:t>98–105.</w:t>
      </w:r>
    </w:p>
    <w:p w14:paraId="0002BE15" w14:textId="77777777" w:rsidR="0066273E" w:rsidRPr="009831E8" w:rsidRDefault="0066273E" w:rsidP="00330959">
      <w:pPr>
        <w:widowControl/>
        <w:jc w:val="both"/>
        <w:rPr>
          <w:rFonts w:eastAsia="標楷體"/>
          <w:bCs/>
        </w:rPr>
      </w:pPr>
    </w:p>
    <w:p w14:paraId="0227C197" w14:textId="53B32824" w:rsidR="003437DE" w:rsidRPr="009831E8" w:rsidRDefault="008B7382" w:rsidP="00330959">
      <w:pPr>
        <w:widowControl/>
        <w:jc w:val="both"/>
        <w:rPr>
          <w:rFonts w:eastAsia="標楷體"/>
          <w:bCs/>
        </w:rPr>
      </w:pPr>
      <w:r w:rsidRPr="009831E8">
        <w:rPr>
          <w:rFonts w:eastAsia="標楷體"/>
          <w:bCs/>
        </w:rPr>
        <w:t xml:space="preserve"> </w:t>
      </w:r>
    </w:p>
    <w:sectPr w:rsidR="003437DE" w:rsidRPr="009831E8" w:rsidSect="005655FB">
      <w:footerReference w:type="default" r:id="rId4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6645E" w14:textId="77777777" w:rsidR="009F103A" w:rsidRDefault="009F103A" w:rsidP="00DE4FA8">
      <w:r>
        <w:separator/>
      </w:r>
    </w:p>
  </w:endnote>
  <w:endnote w:type="continuationSeparator" w:id="0">
    <w:p w14:paraId="08C8C912" w14:textId="77777777" w:rsidR="009F103A" w:rsidRDefault="009F103A" w:rsidP="00DE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楷書體W5">
    <w:altName w:val="微軟正黑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489547"/>
      <w:docPartObj>
        <w:docPartGallery w:val="Page Numbers (Bottom of Page)"/>
        <w:docPartUnique/>
      </w:docPartObj>
    </w:sdtPr>
    <w:sdtEndPr>
      <w:rPr>
        <w:noProof/>
      </w:rPr>
    </w:sdtEndPr>
    <w:sdtContent>
      <w:p w14:paraId="1632F83D" w14:textId="479516A1" w:rsidR="00E04614" w:rsidRDefault="00E04614">
        <w:pPr>
          <w:pStyle w:val="a6"/>
          <w:jc w:val="center"/>
        </w:pPr>
        <w:r>
          <w:fldChar w:fldCharType="begin"/>
        </w:r>
        <w:r>
          <w:instrText xml:space="preserve"> PAGE   \* MERGEFORMAT </w:instrText>
        </w:r>
        <w:r>
          <w:fldChar w:fldCharType="separate"/>
        </w:r>
        <w:r w:rsidR="008525A8">
          <w:rPr>
            <w:noProof/>
          </w:rPr>
          <w:t>20</w:t>
        </w:r>
        <w:r>
          <w:rPr>
            <w:noProof/>
          </w:rPr>
          <w:fldChar w:fldCharType="end"/>
        </w:r>
      </w:p>
    </w:sdtContent>
  </w:sdt>
  <w:p w14:paraId="1CDC2B88" w14:textId="77777777" w:rsidR="00E04614" w:rsidRDefault="00E0461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287F9" w14:textId="77777777" w:rsidR="009F103A" w:rsidRDefault="009F103A" w:rsidP="00DE4FA8">
      <w:r>
        <w:separator/>
      </w:r>
    </w:p>
  </w:footnote>
  <w:footnote w:type="continuationSeparator" w:id="0">
    <w:p w14:paraId="54FE0A66" w14:textId="77777777" w:rsidR="009F103A" w:rsidRDefault="009F103A" w:rsidP="00DE4F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95A"/>
    <w:multiLevelType w:val="multilevel"/>
    <w:tmpl w:val="F836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B5E3F"/>
    <w:multiLevelType w:val="hybridMultilevel"/>
    <w:tmpl w:val="10FA9FB2"/>
    <w:lvl w:ilvl="0" w:tplc="46AEDFBE">
      <w:numFmt w:val="bullet"/>
      <w:lvlText w:val=""/>
      <w:lvlJc w:val="left"/>
      <w:pPr>
        <w:ind w:left="720" w:hanging="360"/>
      </w:pPr>
      <w:rPr>
        <w:rFonts w:ascii="Wingdings" w:eastAsia="華康楷書體W5"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15:restartNumberingAfterBreak="0">
    <w:nsid w:val="1BB93202"/>
    <w:multiLevelType w:val="hybridMultilevel"/>
    <w:tmpl w:val="9190A5D2"/>
    <w:lvl w:ilvl="0" w:tplc="B5BEA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627EA6"/>
    <w:multiLevelType w:val="hybridMultilevel"/>
    <w:tmpl w:val="4AA88F52"/>
    <w:lvl w:ilvl="0" w:tplc="32B84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3C031A"/>
    <w:multiLevelType w:val="hybridMultilevel"/>
    <w:tmpl w:val="F2C87B98"/>
    <w:lvl w:ilvl="0" w:tplc="21D8C31E">
      <w:start w:val="1"/>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2DE57C6"/>
    <w:multiLevelType w:val="hybridMultilevel"/>
    <w:tmpl w:val="389413C4"/>
    <w:lvl w:ilvl="0" w:tplc="2F2E6E76">
      <w:numFmt w:val="bullet"/>
      <w:lvlText w:val=""/>
      <w:lvlJc w:val="left"/>
      <w:pPr>
        <w:ind w:left="720" w:hanging="360"/>
      </w:pPr>
      <w:rPr>
        <w:rFonts w:ascii="Wingdings" w:eastAsia="華康楷書體W5"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24A15F12"/>
    <w:multiLevelType w:val="hybridMultilevel"/>
    <w:tmpl w:val="E042055A"/>
    <w:lvl w:ilvl="0" w:tplc="D850082C">
      <w:start w:val="1"/>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ED5AEA"/>
    <w:multiLevelType w:val="multilevel"/>
    <w:tmpl w:val="1BAA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A65B9"/>
    <w:multiLevelType w:val="hybridMultilevel"/>
    <w:tmpl w:val="3920CE9C"/>
    <w:lvl w:ilvl="0" w:tplc="2646BD00">
      <w:start w:val="1"/>
      <w:numFmt w:val="decimal"/>
      <w:lvlText w:val="(%1)"/>
      <w:lvlJc w:val="left"/>
      <w:pPr>
        <w:ind w:left="565" w:hanging="405"/>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9" w15:restartNumberingAfterBreak="0">
    <w:nsid w:val="426847A8"/>
    <w:multiLevelType w:val="hybridMultilevel"/>
    <w:tmpl w:val="DDC45A84"/>
    <w:lvl w:ilvl="0" w:tplc="62421D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356018"/>
    <w:multiLevelType w:val="hybridMultilevel"/>
    <w:tmpl w:val="275E95D2"/>
    <w:lvl w:ilvl="0" w:tplc="BD3C31EA">
      <w:start w:val="3"/>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1" w15:restartNumberingAfterBreak="0">
    <w:nsid w:val="4B652E01"/>
    <w:multiLevelType w:val="hybridMultilevel"/>
    <w:tmpl w:val="B630C986"/>
    <w:lvl w:ilvl="0" w:tplc="E6C84120">
      <w:numFmt w:val="bullet"/>
      <w:lvlText w:val=""/>
      <w:lvlJc w:val="left"/>
      <w:pPr>
        <w:ind w:left="360" w:hanging="360"/>
      </w:pPr>
      <w:rPr>
        <w:rFonts w:ascii="Wingdings" w:eastAsia="華康楷書體W5"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5B36E68"/>
    <w:multiLevelType w:val="hybridMultilevel"/>
    <w:tmpl w:val="5E4264CE"/>
    <w:lvl w:ilvl="0" w:tplc="6862E3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912E50"/>
    <w:multiLevelType w:val="hybridMultilevel"/>
    <w:tmpl w:val="6B1A500C"/>
    <w:lvl w:ilvl="0" w:tplc="8FAC4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46403"/>
    <w:multiLevelType w:val="hybridMultilevel"/>
    <w:tmpl w:val="FBB2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F4BC1"/>
    <w:multiLevelType w:val="hybridMultilevel"/>
    <w:tmpl w:val="45E0F68A"/>
    <w:lvl w:ilvl="0" w:tplc="7E423DE0">
      <w:start w:val="1"/>
      <w:numFmt w:val="upperLetter"/>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8511FA"/>
    <w:multiLevelType w:val="hybridMultilevel"/>
    <w:tmpl w:val="CB503508"/>
    <w:lvl w:ilvl="0" w:tplc="9E7C94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073E5A"/>
    <w:multiLevelType w:val="multilevel"/>
    <w:tmpl w:val="A632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D571D"/>
    <w:multiLevelType w:val="multilevel"/>
    <w:tmpl w:val="6030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D24E4B"/>
    <w:multiLevelType w:val="hybridMultilevel"/>
    <w:tmpl w:val="6DFA94EE"/>
    <w:lvl w:ilvl="0" w:tplc="451CA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9B67C16"/>
    <w:multiLevelType w:val="hybridMultilevel"/>
    <w:tmpl w:val="3F7A8554"/>
    <w:lvl w:ilvl="0" w:tplc="F05A372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A6125D"/>
    <w:multiLevelType w:val="hybridMultilevel"/>
    <w:tmpl w:val="33BCF990"/>
    <w:lvl w:ilvl="0" w:tplc="7752EA5A">
      <w:start w:val="1"/>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20"/>
  </w:num>
  <w:num w:numId="3">
    <w:abstractNumId w:val="8"/>
  </w:num>
  <w:num w:numId="4">
    <w:abstractNumId w:val="15"/>
  </w:num>
  <w:num w:numId="5">
    <w:abstractNumId w:val="0"/>
  </w:num>
  <w:num w:numId="6">
    <w:abstractNumId w:val="19"/>
  </w:num>
  <w:num w:numId="7">
    <w:abstractNumId w:val="7"/>
  </w:num>
  <w:num w:numId="8">
    <w:abstractNumId w:val="2"/>
  </w:num>
  <w:num w:numId="9">
    <w:abstractNumId w:val="16"/>
  </w:num>
  <w:num w:numId="10">
    <w:abstractNumId w:val="17"/>
  </w:num>
  <w:num w:numId="11">
    <w:abstractNumId w:val="18"/>
  </w:num>
  <w:num w:numId="12">
    <w:abstractNumId w:val="3"/>
  </w:num>
  <w:num w:numId="13">
    <w:abstractNumId w:val="4"/>
  </w:num>
  <w:num w:numId="14">
    <w:abstractNumId w:val="6"/>
  </w:num>
  <w:num w:numId="15">
    <w:abstractNumId w:val="21"/>
  </w:num>
  <w:num w:numId="16">
    <w:abstractNumId w:val="12"/>
  </w:num>
  <w:num w:numId="17">
    <w:abstractNumId w:val="11"/>
  </w:num>
  <w:num w:numId="18">
    <w:abstractNumId w:val="5"/>
  </w:num>
  <w:num w:numId="19">
    <w:abstractNumId w:val="1"/>
  </w:num>
  <w:num w:numId="20">
    <w:abstractNumId w:val="14"/>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12"/>
    <w:rsid w:val="00000588"/>
    <w:rsid w:val="00000EEC"/>
    <w:rsid w:val="00001E6C"/>
    <w:rsid w:val="00002D0F"/>
    <w:rsid w:val="000041A1"/>
    <w:rsid w:val="00005337"/>
    <w:rsid w:val="00005390"/>
    <w:rsid w:val="00006DA6"/>
    <w:rsid w:val="000070A0"/>
    <w:rsid w:val="000078A0"/>
    <w:rsid w:val="0001186F"/>
    <w:rsid w:val="00011DBE"/>
    <w:rsid w:val="00013FDD"/>
    <w:rsid w:val="000141C2"/>
    <w:rsid w:val="00014C04"/>
    <w:rsid w:val="00015616"/>
    <w:rsid w:val="00020DF7"/>
    <w:rsid w:val="00020FF8"/>
    <w:rsid w:val="00022188"/>
    <w:rsid w:val="000239BE"/>
    <w:rsid w:val="00025145"/>
    <w:rsid w:val="00025AD4"/>
    <w:rsid w:val="00025B6C"/>
    <w:rsid w:val="00026D84"/>
    <w:rsid w:val="0003004C"/>
    <w:rsid w:val="00030B0D"/>
    <w:rsid w:val="0003139C"/>
    <w:rsid w:val="00032B44"/>
    <w:rsid w:val="0003326F"/>
    <w:rsid w:val="00035F73"/>
    <w:rsid w:val="00036874"/>
    <w:rsid w:val="0004250A"/>
    <w:rsid w:val="0004308C"/>
    <w:rsid w:val="0004375B"/>
    <w:rsid w:val="00045704"/>
    <w:rsid w:val="00047415"/>
    <w:rsid w:val="00047924"/>
    <w:rsid w:val="00050AA0"/>
    <w:rsid w:val="00050AAF"/>
    <w:rsid w:val="000519DC"/>
    <w:rsid w:val="00053B12"/>
    <w:rsid w:val="00054216"/>
    <w:rsid w:val="000545E0"/>
    <w:rsid w:val="00054CB8"/>
    <w:rsid w:val="00060A03"/>
    <w:rsid w:val="00067016"/>
    <w:rsid w:val="00067BD3"/>
    <w:rsid w:val="0007130C"/>
    <w:rsid w:val="000727C2"/>
    <w:rsid w:val="00074B1D"/>
    <w:rsid w:val="00076E49"/>
    <w:rsid w:val="00077F09"/>
    <w:rsid w:val="00080D69"/>
    <w:rsid w:val="00081A0A"/>
    <w:rsid w:val="00081B35"/>
    <w:rsid w:val="0008463B"/>
    <w:rsid w:val="00087100"/>
    <w:rsid w:val="00090363"/>
    <w:rsid w:val="00091988"/>
    <w:rsid w:val="00091B51"/>
    <w:rsid w:val="0009323B"/>
    <w:rsid w:val="0009346E"/>
    <w:rsid w:val="000944F8"/>
    <w:rsid w:val="00094F0B"/>
    <w:rsid w:val="00097564"/>
    <w:rsid w:val="00097639"/>
    <w:rsid w:val="00097A14"/>
    <w:rsid w:val="000A0229"/>
    <w:rsid w:val="000A043A"/>
    <w:rsid w:val="000A0832"/>
    <w:rsid w:val="000A2DBC"/>
    <w:rsid w:val="000A3CED"/>
    <w:rsid w:val="000A5C54"/>
    <w:rsid w:val="000A6A1B"/>
    <w:rsid w:val="000B02D3"/>
    <w:rsid w:val="000B2145"/>
    <w:rsid w:val="000B2159"/>
    <w:rsid w:val="000B2829"/>
    <w:rsid w:val="000B2A95"/>
    <w:rsid w:val="000B61DE"/>
    <w:rsid w:val="000B6590"/>
    <w:rsid w:val="000B74B0"/>
    <w:rsid w:val="000C0A2B"/>
    <w:rsid w:val="000C30FF"/>
    <w:rsid w:val="000C33A8"/>
    <w:rsid w:val="000C43F6"/>
    <w:rsid w:val="000C447B"/>
    <w:rsid w:val="000D135E"/>
    <w:rsid w:val="000D24D8"/>
    <w:rsid w:val="000D6378"/>
    <w:rsid w:val="000E13C9"/>
    <w:rsid w:val="000E1F28"/>
    <w:rsid w:val="000E37E1"/>
    <w:rsid w:val="000E3D7C"/>
    <w:rsid w:val="000E524A"/>
    <w:rsid w:val="000F1535"/>
    <w:rsid w:val="000F182D"/>
    <w:rsid w:val="000F289E"/>
    <w:rsid w:val="000F3B65"/>
    <w:rsid w:val="000F5D84"/>
    <w:rsid w:val="00102299"/>
    <w:rsid w:val="00102CA6"/>
    <w:rsid w:val="001045C4"/>
    <w:rsid w:val="00104974"/>
    <w:rsid w:val="00104D30"/>
    <w:rsid w:val="00105089"/>
    <w:rsid w:val="00105B0A"/>
    <w:rsid w:val="00106304"/>
    <w:rsid w:val="00106EC6"/>
    <w:rsid w:val="0011004E"/>
    <w:rsid w:val="00112074"/>
    <w:rsid w:val="001134EC"/>
    <w:rsid w:val="00113F1E"/>
    <w:rsid w:val="0011559D"/>
    <w:rsid w:val="001158D6"/>
    <w:rsid w:val="00116484"/>
    <w:rsid w:val="0012366A"/>
    <w:rsid w:val="00124BFB"/>
    <w:rsid w:val="00125C74"/>
    <w:rsid w:val="001269A4"/>
    <w:rsid w:val="00127B69"/>
    <w:rsid w:val="001301D6"/>
    <w:rsid w:val="001307DE"/>
    <w:rsid w:val="001314B6"/>
    <w:rsid w:val="001318FE"/>
    <w:rsid w:val="00132A55"/>
    <w:rsid w:val="00132CEA"/>
    <w:rsid w:val="00132D28"/>
    <w:rsid w:val="001333D9"/>
    <w:rsid w:val="0013597A"/>
    <w:rsid w:val="0013713E"/>
    <w:rsid w:val="00137F1E"/>
    <w:rsid w:val="00140EA1"/>
    <w:rsid w:val="00143592"/>
    <w:rsid w:val="00144C58"/>
    <w:rsid w:val="00146C8B"/>
    <w:rsid w:val="00147315"/>
    <w:rsid w:val="001522E0"/>
    <w:rsid w:val="00152E71"/>
    <w:rsid w:val="0015332D"/>
    <w:rsid w:val="0015402F"/>
    <w:rsid w:val="00156E78"/>
    <w:rsid w:val="00157D56"/>
    <w:rsid w:val="00161F76"/>
    <w:rsid w:val="00167F25"/>
    <w:rsid w:val="00171421"/>
    <w:rsid w:val="00172E12"/>
    <w:rsid w:val="0017307F"/>
    <w:rsid w:val="00173B6E"/>
    <w:rsid w:val="00175378"/>
    <w:rsid w:val="00182F60"/>
    <w:rsid w:val="001872DC"/>
    <w:rsid w:val="00190FBF"/>
    <w:rsid w:val="0019213C"/>
    <w:rsid w:val="001933D0"/>
    <w:rsid w:val="001943EC"/>
    <w:rsid w:val="0019514B"/>
    <w:rsid w:val="0019704F"/>
    <w:rsid w:val="0019782B"/>
    <w:rsid w:val="00197ABF"/>
    <w:rsid w:val="00197E6C"/>
    <w:rsid w:val="001A152C"/>
    <w:rsid w:val="001A2495"/>
    <w:rsid w:val="001A2CE6"/>
    <w:rsid w:val="001A4757"/>
    <w:rsid w:val="001A48B4"/>
    <w:rsid w:val="001A48FA"/>
    <w:rsid w:val="001A4E91"/>
    <w:rsid w:val="001A62A1"/>
    <w:rsid w:val="001A6E7E"/>
    <w:rsid w:val="001A707C"/>
    <w:rsid w:val="001A7527"/>
    <w:rsid w:val="001B34A0"/>
    <w:rsid w:val="001B7B92"/>
    <w:rsid w:val="001B7DE5"/>
    <w:rsid w:val="001C1476"/>
    <w:rsid w:val="001C30BC"/>
    <w:rsid w:val="001C32C3"/>
    <w:rsid w:val="001C5497"/>
    <w:rsid w:val="001C66BC"/>
    <w:rsid w:val="001D0212"/>
    <w:rsid w:val="001D2B8D"/>
    <w:rsid w:val="001D2C91"/>
    <w:rsid w:val="001D5833"/>
    <w:rsid w:val="001D6D56"/>
    <w:rsid w:val="001E1660"/>
    <w:rsid w:val="001E1F2C"/>
    <w:rsid w:val="001F09FC"/>
    <w:rsid w:val="001F1571"/>
    <w:rsid w:val="001F22ED"/>
    <w:rsid w:val="001F23EA"/>
    <w:rsid w:val="001F3AD1"/>
    <w:rsid w:val="001F3E38"/>
    <w:rsid w:val="001F554C"/>
    <w:rsid w:val="001F622A"/>
    <w:rsid w:val="001F66FD"/>
    <w:rsid w:val="001F6FB7"/>
    <w:rsid w:val="001F73A1"/>
    <w:rsid w:val="00200D97"/>
    <w:rsid w:val="002010DE"/>
    <w:rsid w:val="00201441"/>
    <w:rsid w:val="002017B9"/>
    <w:rsid w:val="00203AE9"/>
    <w:rsid w:val="0020405C"/>
    <w:rsid w:val="00205042"/>
    <w:rsid w:val="00205266"/>
    <w:rsid w:val="002067F7"/>
    <w:rsid w:val="00206D0D"/>
    <w:rsid w:val="00210EEB"/>
    <w:rsid w:val="00211675"/>
    <w:rsid w:val="00211D75"/>
    <w:rsid w:val="00213478"/>
    <w:rsid w:val="002143C5"/>
    <w:rsid w:val="0021452F"/>
    <w:rsid w:val="00214D0D"/>
    <w:rsid w:val="00216AF3"/>
    <w:rsid w:val="00220244"/>
    <w:rsid w:val="00221FAD"/>
    <w:rsid w:val="00224659"/>
    <w:rsid w:val="002262B0"/>
    <w:rsid w:val="00226BE6"/>
    <w:rsid w:val="00230ACE"/>
    <w:rsid w:val="00232120"/>
    <w:rsid w:val="00232B31"/>
    <w:rsid w:val="00240877"/>
    <w:rsid w:val="00241185"/>
    <w:rsid w:val="002412AF"/>
    <w:rsid w:val="00241528"/>
    <w:rsid w:val="002448B3"/>
    <w:rsid w:val="0024564E"/>
    <w:rsid w:val="00247848"/>
    <w:rsid w:val="0025162F"/>
    <w:rsid w:val="00251673"/>
    <w:rsid w:val="00251FA2"/>
    <w:rsid w:val="00252AAA"/>
    <w:rsid w:val="002533B4"/>
    <w:rsid w:val="002536C3"/>
    <w:rsid w:val="002538A6"/>
    <w:rsid w:val="00255825"/>
    <w:rsid w:val="002559AD"/>
    <w:rsid w:val="00256049"/>
    <w:rsid w:val="0025658F"/>
    <w:rsid w:val="00257942"/>
    <w:rsid w:val="00257A81"/>
    <w:rsid w:val="00257F8B"/>
    <w:rsid w:val="002627ED"/>
    <w:rsid w:val="00263448"/>
    <w:rsid w:val="00263E4C"/>
    <w:rsid w:val="00263EB1"/>
    <w:rsid w:val="002640F9"/>
    <w:rsid w:val="00264562"/>
    <w:rsid w:val="0026588E"/>
    <w:rsid w:val="00266DD9"/>
    <w:rsid w:val="00267DC3"/>
    <w:rsid w:val="002704F9"/>
    <w:rsid w:val="00270ACC"/>
    <w:rsid w:val="00271366"/>
    <w:rsid w:val="002715B9"/>
    <w:rsid w:val="002748A4"/>
    <w:rsid w:val="00274CD0"/>
    <w:rsid w:val="00275914"/>
    <w:rsid w:val="00275927"/>
    <w:rsid w:val="00276C17"/>
    <w:rsid w:val="0028257A"/>
    <w:rsid w:val="00285663"/>
    <w:rsid w:val="00285C5B"/>
    <w:rsid w:val="00286F61"/>
    <w:rsid w:val="0028768F"/>
    <w:rsid w:val="00290691"/>
    <w:rsid w:val="00293317"/>
    <w:rsid w:val="002967FD"/>
    <w:rsid w:val="00296E01"/>
    <w:rsid w:val="002A0121"/>
    <w:rsid w:val="002A0338"/>
    <w:rsid w:val="002A10C5"/>
    <w:rsid w:val="002A2148"/>
    <w:rsid w:val="002A3011"/>
    <w:rsid w:val="002A43F4"/>
    <w:rsid w:val="002A4C0C"/>
    <w:rsid w:val="002A5668"/>
    <w:rsid w:val="002A6A33"/>
    <w:rsid w:val="002B0BE3"/>
    <w:rsid w:val="002B240C"/>
    <w:rsid w:val="002B29C0"/>
    <w:rsid w:val="002B3B8F"/>
    <w:rsid w:val="002B4247"/>
    <w:rsid w:val="002B6634"/>
    <w:rsid w:val="002B7287"/>
    <w:rsid w:val="002B7EAF"/>
    <w:rsid w:val="002C3F3F"/>
    <w:rsid w:val="002C5A31"/>
    <w:rsid w:val="002C6C1B"/>
    <w:rsid w:val="002C7CAF"/>
    <w:rsid w:val="002D12BB"/>
    <w:rsid w:val="002D14DE"/>
    <w:rsid w:val="002D36B2"/>
    <w:rsid w:val="002D5B04"/>
    <w:rsid w:val="002D6AB4"/>
    <w:rsid w:val="002E0155"/>
    <w:rsid w:val="002E4B9C"/>
    <w:rsid w:val="002F0720"/>
    <w:rsid w:val="002F4D1D"/>
    <w:rsid w:val="0030113E"/>
    <w:rsid w:val="0030114E"/>
    <w:rsid w:val="0030138E"/>
    <w:rsid w:val="00302B6D"/>
    <w:rsid w:val="0030549C"/>
    <w:rsid w:val="00306069"/>
    <w:rsid w:val="00306109"/>
    <w:rsid w:val="0030643A"/>
    <w:rsid w:val="00306D4E"/>
    <w:rsid w:val="00307571"/>
    <w:rsid w:val="00307CAC"/>
    <w:rsid w:val="00313C0C"/>
    <w:rsid w:val="00315F1D"/>
    <w:rsid w:val="00316642"/>
    <w:rsid w:val="0032035B"/>
    <w:rsid w:val="0032154F"/>
    <w:rsid w:val="0032297B"/>
    <w:rsid w:val="00323187"/>
    <w:rsid w:val="003239F9"/>
    <w:rsid w:val="00324D81"/>
    <w:rsid w:val="003267B0"/>
    <w:rsid w:val="00330959"/>
    <w:rsid w:val="003319C2"/>
    <w:rsid w:val="00335C8A"/>
    <w:rsid w:val="00340A8A"/>
    <w:rsid w:val="00341CC1"/>
    <w:rsid w:val="00341D40"/>
    <w:rsid w:val="003431F1"/>
    <w:rsid w:val="00343348"/>
    <w:rsid w:val="003437DE"/>
    <w:rsid w:val="0034675C"/>
    <w:rsid w:val="00347FA2"/>
    <w:rsid w:val="00354950"/>
    <w:rsid w:val="003551E2"/>
    <w:rsid w:val="003553BF"/>
    <w:rsid w:val="00357C74"/>
    <w:rsid w:val="00357EB6"/>
    <w:rsid w:val="00360318"/>
    <w:rsid w:val="00360CAA"/>
    <w:rsid w:val="00363C33"/>
    <w:rsid w:val="00363FC9"/>
    <w:rsid w:val="00367A55"/>
    <w:rsid w:val="00371115"/>
    <w:rsid w:val="003731EE"/>
    <w:rsid w:val="0037330B"/>
    <w:rsid w:val="00375207"/>
    <w:rsid w:val="0037576D"/>
    <w:rsid w:val="00375807"/>
    <w:rsid w:val="003758D4"/>
    <w:rsid w:val="00376ECD"/>
    <w:rsid w:val="003776C7"/>
    <w:rsid w:val="00380B5D"/>
    <w:rsid w:val="00380EDD"/>
    <w:rsid w:val="003817D3"/>
    <w:rsid w:val="003825CD"/>
    <w:rsid w:val="003829DD"/>
    <w:rsid w:val="0038480F"/>
    <w:rsid w:val="0038516E"/>
    <w:rsid w:val="00390613"/>
    <w:rsid w:val="003938B8"/>
    <w:rsid w:val="0039502D"/>
    <w:rsid w:val="00397290"/>
    <w:rsid w:val="0039730A"/>
    <w:rsid w:val="00397A09"/>
    <w:rsid w:val="003A1423"/>
    <w:rsid w:val="003A23AD"/>
    <w:rsid w:val="003A39DB"/>
    <w:rsid w:val="003A3B8F"/>
    <w:rsid w:val="003A7047"/>
    <w:rsid w:val="003A73A1"/>
    <w:rsid w:val="003B0012"/>
    <w:rsid w:val="003B1C90"/>
    <w:rsid w:val="003B2C22"/>
    <w:rsid w:val="003B43FD"/>
    <w:rsid w:val="003B68A7"/>
    <w:rsid w:val="003C154C"/>
    <w:rsid w:val="003D1A5B"/>
    <w:rsid w:val="003D2522"/>
    <w:rsid w:val="003D37BC"/>
    <w:rsid w:val="003D3BA8"/>
    <w:rsid w:val="003D411D"/>
    <w:rsid w:val="003D415A"/>
    <w:rsid w:val="003D42CB"/>
    <w:rsid w:val="003D7739"/>
    <w:rsid w:val="003E2581"/>
    <w:rsid w:val="003E323D"/>
    <w:rsid w:val="003E3FD5"/>
    <w:rsid w:val="003E41E1"/>
    <w:rsid w:val="003E51E1"/>
    <w:rsid w:val="003E54AE"/>
    <w:rsid w:val="003E5E71"/>
    <w:rsid w:val="003E7643"/>
    <w:rsid w:val="003E7B09"/>
    <w:rsid w:val="003F006C"/>
    <w:rsid w:val="003F1265"/>
    <w:rsid w:val="003F2E64"/>
    <w:rsid w:val="003F4409"/>
    <w:rsid w:val="003F4BA7"/>
    <w:rsid w:val="003F691E"/>
    <w:rsid w:val="00403FBE"/>
    <w:rsid w:val="00404DD3"/>
    <w:rsid w:val="004050AB"/>
    <w:rsid w:val="004057EE"/>
    <w:rsid w:val="0040588B"/>
    <w:rsid w:val="00407E05"/>
    <w:rsid w:val="00407F75"/>
    <w:rsid w:val="0041080B"/>
    <w:rsid w:val="004116C2"/>
    <w:rsid w:val="00412E70"/>
    <w:rsid w:val="00413309"/>
    <w:rsid w:val="00415878"/>
    <w:rsid w:val="00415920"/>
    <w:rsid w:val="0041666D"/>
    <w:rsid w:val="00417AE1"/>
    <w:rsid w:val="004201EF"/>
    <w:rsid w:val="004226E4"/>
    <w:rsid w:val="00423A3E"/>
    <w:rsid w:val="00423E27"/>
    <w:rsid w:val="00430215"/>
    <w:rsid w:val="00432348"/>
    <w:rsid w:val="00435502"/>
    <w:rsid w:val="0043565D"/>
    <w:rsid w:val="00436702"/>
    <w:rsid w:val="00436E7E"/>
    <w:rsid w:val="00440155"/>
    <w:rsid w:val="00441C5E"/>
    <w:rsid w:val="00442F41"/>
    <w:rsid w:val="00444903"/>
    <w:rsid w:val="00446F8D"/>
    <w:rsid w:val="004473BD"/>
    <w:rsid w:val="00453189"/>
    <w:rsid w:val="0045356E"/>
    <w:rsid w:val="00456575"/>
    <w:rsid w:val="004567C9"/>
    <w:rsid w:val="00456B08"/>
    <w:rsid w:val="00457D66"/>
    <w:rsid w:val="00460C2D"/>
    <w:rsid w:val="0046131D"/>
    <w:rsid w:val="00461E98"/>
    <w:rsid w:val="00461EBC"/>
    <w:rsid w:val="0046270C"/>
    <w:rsid w:val="004628BB"/>
    <w:rsid w:val="00462AA7"/>
    <w:rsid w:val="00462B21"/>
    <w:rsid w:val="00463745"/>
    <w:rsid w:val="00464A7C"/>
    <w:rsid w:val="00465C35"/>
    <w:rsid w:val="004674AE"/>
    <w:rsid w:val="00467A9E"/>
    <w:rsid w:val="0047048F"/>
    <w:rsid w:val="004706A2"/>
    <w:rsid w:val="00470709"/>
    <w:rsid w:val="00474165"/>
    <w:rsid w:val="00475CEB"/>
    <w:rsid w:val="00477891"/>
    <w:rsid w:val="00480152"/>
    <w:rsid w:val="00483A0C"/>
    <w:rsid w:val="00484A7B"/>
    <w:rsid w:val="0048624B"/>
    <w:rsid w:val="00486C7B"/>
    <w:rsid w:val="0048718A"/>
    <w:rsid w:val="00491F45"/>
    <w:rsid w:val="004959F9"/>
    <w:rsid w:val="00495EC2"/>
    <w:rsid w:val="00496532"/>
    <w:rsid w:val="004A0B49"/>
    <w:rsid w:val="004A2365"/>
    <w:rsid w:val="004A3387"/>
    <w:rsid w:val="004A606E"/>
    <w:rsid w:val="004B1034"/>
    <w:rsid w:val="004B2153"/>
    <w:rsid w:val="004B3942"/>
    <w:rsid w:val="004B589B"/>
    <w:rsid w:val="004B7AB1"/>
    <w:rsid w:val="004C0A6A"/>
    <w:rsid w:val="004C2100"/>
    <w:rsid w:val="004C2650"/>
    <w:rsid w:val="004C2D4C"/>
    <w:rsid w:val="004C5ED8"/>
    <w:rsid w:val="004C7817"/>
    <w:rsid w:val="004D1EBC"/>
    <w:rsid w:val="004D4063"/>
    <w:rsid w:val="004D4608"/>
    <w:rsid w:val="004E029E"/>
    <w:rsid w:val="004E27A6"/>
    <w:rsid w:val="004E30FE"/>
    <w:rsid w:val="004E4F45"/>
    <w:rsid w:val="004E6686"/>
    <w:rsid w:val="004F4126"/>
    <w:rsid w:val="004F42B7"/>
    <w:rsid w:val="004F4A3D"/>
    <w:rsid w:val="004F5436"/>
    <w:rsid w:val="004F57FF"/>
    <w:rsid w:val="004F67B4"/>
    <w:rsid w:val="004F76DD"/>
    <w:rsid w:val="00500071"/>
    <w:rsid w:val="00503006"/>
    <w:rsid w:val="00504951"/>
    <w:rsid w:val="00511019"/>
    <w:rsid w:val="00511690"/>
    <w:rsid w:val="00512227"/>
    <w:rsid w:val="00512B9F"/>
    <w:rsid w:val="00513517"/>
    <w:rsid w:val="005140C5"/>
    <w:rsid w:val="00515167"/>
    <w:rsid w:val="005218A8"/>
    <w:rsid w:val="00524C60"/>
    <w:rsid w:val="00527BC8"/>
    <w:rsid w:val="00534355"/>
    <w:rsid w:val="00535FA0"/>
    <w:rsid w:val="00536597"/>
    <w:rsid w:val="00540D35"/>
    <w:rsid w:val="00541676"/>
    <w:rsid w:val="00541CB0"/>
    <w:rsid w:val="005430A4"/>
    <w:rsid w:val="00543A00"/>
    <w:rsid w:val="00550584"/>
    <w:rsid w:val="00554049"/>
    <w:rsid w:val="00554D76"/>
    <w:rsid w:val="005559C6"/>
    <w:rsid w:val="00556B27"/>
    <w:rsid w:val="005571B4"/>
    <w:rsid w:val="005574F2"/>
    <w:rsid w:val="005606DB"/>
    <w:rsid w:val="00564304"/>
    <w:rsid w:val="00564C6B"/>
    <w:rsid w:val="005655FB"/>
    <w:rsid w:val="00565749"/>
    <w:rsid w:val="005701CC"/>
    <w:rsid w:val="00570749"/>
    <w:rsid w:val="00572005"/>
    <w:rsid w:val="00572D62"/>
    <w:rsid w:val="00573399"/>
    <w:rsid w:val="00575B9A"/>
    <w:rsid w:val="0057637B"/>
    <w:rsid w:val="00576DAB"/>
    <w:rsid w:val="00581917"/>
    <w:rsid w:val="0058406C"/>
    <w:rsid w:val="005852BB"/>
    <w:rsid w:val="00585C71"/>
    <w:rsid w:val="00587BF1"/>
    <w:rsid w:val="00590D83"/>
    <w:rsid w:val="0059291E"/>
    <w:rsid w:val="0059319F"/>
    <w:rsid w:val="005975DB"/>
    <w:rsid w:val="00597E1A"/>
    <w:rsid w:val="005A46EF"/>
    <w:rsid w:val="005A4E22"/>
    <w:rsid w:val="005A6D92"/>
    <w:rsid w:val="005B1B73"/>
    <w:rsid w:val="005B1BA6"/>
    <w:rsid w:val="005B36B0"/>
    <w:rsid w:val="005B433E"/>
    <w:rsid w:val="005B57B3"/>
    <w:rsid w:val="005B6238"/>
    <w:rsid w:val="005B73CD"/>
    <w:rsid w:val="005B7F1E"/>
    <w:rsid w:val="005C0C36"/>
    <w:rsid w:val="005C530A"/>
    <w:rsid w:val="005C5464"/>
    <w:rsid w:val="005C7DCD"/>
    <w:rsid w:val="005D3D5F"/>
    <w:rsid w:val="005D5552"/>
    <w:rsid w:val="005D5970"/>
    <w:rsid w:val="005D74C5"/>
    <w:rsid w:val="005E10E0"/>
    <w:rsid w:val="005E1BF0"/>
    <w:rsid w:val="005E1FE9"/>
    <w:rsid w:val="005E3823"/>
    <w:rsid w:val="005E4FF2"/>
    <w:rsid w:val="005E6B05"/>
    <w:rsid w:val="005E7104"/>
    <w:rsid w:val="005E71B2"/>
    <w:rsid w:val="005E7D92"/>
    <w:rsid w:val="005F0876"/>
    <w:rsid w:val="005F1C6D"/>
    <w:rsid w:val="005F386D"/>
    <w:rsid w:val="005F5F04"/>
    <w:rsid w:val="005F64B0"/>
    <w:rsid w:val="005F79A5"/>
    <w:rsid w:val="005F7E72"/>
    <w:rsid w:val="00604F9F"/>
    <w:rsid w:val="00604FA6"/>
    <w:rsid w:val="00605180"/>
    <w:rsid w:val="00606D7C"/>
    <w:rsid w:val="006119BD"/>
    <w:rsid w:val="0061308E"/>
    <w:rsid w:val="006131E2"/>
    <w:rsid w:val="00614923"/>
    <w:rsid w:val="0061710A"/>
    <w:rsid w:val="0062411B"/>
    <w:rsid w:val="00627B75"/>
    <w:rsid w:val="006306B0"/>
    <w:rsid w:val="006328A2"/>
    <w:rsid w:val="00633321"/>
    <w:rsid w:val="00640879"/>
    <w:rsid w:val="0064387E"/>
    <w:rsid w:val="00644A3F"/>
    <w:rsid w:val="00646982"/>
    <w:rsid w:val="006474E5"/>
    <w:rsid w:val="006476B6"/>
    <w:rsid w:val="00651358"/>
    <w:rsid w:val="00653986"/>
    <w:rsid w:val="006562FC"/>
    <w:rsid w:val="0065667E"/>
    <w:rsid w:val="00657099"/>
    <w:rsid w:val="00661003"/>
    <w:rsid w:val="00661960"/>
    <w:rsid w:val="0066273E"/>
    <w:rsid w:val="00664936"/>
    <w:rsid w:val="006656CA"/>
    <w:rsid w:val="006667A9"/>
    <w:rsid w:val="0066688C"/>
    <w:rsid w:val="0067037A"/>
    <w:rsid w:val="0067055D"/>
    <w:rsid w:val="0067056B"/>
    <w:rsid w:val="00672367"/>
    <w:rsid w:val="00672A9D"/>
    <w:rsid w:val="00673049"/>
    <w:rsid w:val="00680D32"/>
    <w:rsid w:val="00681053"/>
    <w:rsid w:val="006813B1"/>
    <w:rsid w:val="00682AA2"/>
    <w:rsid w:val="00682B10"/>
    <w:rsid w:val="00684F5D"/>
    <w:rsid w:val="00686519"/>
    <w:rsid w:val="0068693D"/>
    <w:rsid w:val="0068761E"/>
    <w:rsid w:val="00690C8E"/>
    <w:rsid w:val="00691309"/>
    <w:rsid w:val="006918EF"/>
    <w:rsid w:val="00693699"/>
    <w:rsid w:val="006946AC"/>
    <w:rsid w:val="00694814"/>
    <w:rsid w:val="00697A1B"/>
    <w:rsid w:val="006A3A2F"/>
    <w:rsid w:val="006A4C6C"/>
    <w:rsid w:val="006A6BE0"/>
    <w:rsid w:val="006B0CFC"/>
    <w:rsid w:val="006B328D"/>
    <w:rsid w:val="006B36A1"/>
    <w:rsid w:val="006B4719"/>
    <w:rsid w:val="006B5264"/>
    <w:rsid w:val="006B597D"/>
    <w:rsid w:val="006B6C96"/>
    <w:rsid w:val="006C0183"/>
    <w:rsid w:val="006C0A88"/>
    <w:rsid w:val="006C2DD0"/>
    <w:rsid w:val="006C3582"/>
    <w:rsid w:val="006C43DA"/>
    <w:rsid w:val="006C4AA6"/>
    <w:rsid w:val="006D02DF"/>
    <w:rsid w:val="006D3AD7"/>
    <w:rsid w:val="006D53B6"/>
    <w:rsid w:val="006D5554"/>
    <w:rsid w:val="006D6767"/>
    <w:rsid w:val="006E16B8"/>
    <w:rsid w:val="006E1FC7"/>
    <w:rsid w:val="006E3EED"/>
    <w:rsid w:val="006E584F"/>
    <w:rsid w:val="006E7A95"/>
    <w:rsid w:val="006F1DFE"/>
    <w:rsid w:val="006F2903"/>
    <w:rsid w:val="006F2DDE"/>
    <w:rsid w:val="006F33FE"/>
    <w:rsid w:val="006F34A4"/>
    <w:rsid w:val="006F5CDF"/>
    <w:rsid w:val="006F64A2"/>
    <w:rsid w:val="006F713F"/>
    <w:rsid w:val="006F7B4E"/>
    <w:rsid w:val="006F7C81"/>
    <w:rsid w:val="006F7CC3"/>
    <w:rsid w:val="006F7D84"/>
    <w:rsid w:val="00700AB3"/>
    <w:rsid w:val="00703790"/>
    <w:rsid w:val="00703A09"/>
    <w:rsid w:val="007049AB"/>
    <w:rsid w:val="00704ED6"/>
    <w:rsid w:val="007052AE"/>
    <w:rsid w:val="0070696D"/>
    <w:rsid w:val="0071002F"/>
    <w:rsid w:val="007105FE"/>
    <w:rsid w:val="007114D4"/>
    <w:rsid w:val="00711D9F"/>
    <w:rsid w:val="00712701"/>
    <w:rsid w:val="00713694"/>
    <w:rsid w:val="00714208"/>
    <w:rsid w:val="0072059C"/>
    <w:rsid w:val="00722D1D"/>
    <w:rsid w:val="0072347D"/>
    <w:rsid w:val="00723E6B"/>
    <w:rsid w:val="00725852"/>
    <w:rsid w:val="00725E49"/>
    <w:rsid w:val="00725FE0"/>
    <w:rsid w:val="0072642C"/>
    <w:rsid w:val="007300AE"/>
    <w:rsid w:val="007324DB"/>
    <w:rsid w:val="00732BCC"/>
    <w:rsid w:val="00734A5E"/>
    <w:rsid w:val="00737266"/>
    <w:rsid w:val="00737788"/>
    <w:rsid w:val="0074027B"/>
    <w:rsid w:val="007410E2"/>
    <w:rsid w:val="0074322D"/>
    <w:rsid w:val="007441F9"/>
    <w:rsid w:val="00744814"/>
    <w:rsid w:val="00745C86"/>
    <w:rsid w:val="00746628"/>
    <w:rsid w:val="00747410"/>
    <w:rsid w:val="007516E2"/>
    <w:rsid w:val="007545AD"/>
    <w:rsid w:val="00754ACE"/>
    <w:rsid w:val="00754B57"/>
    <w:rsid w:val="00754CB1"/>
    <w:rsid w:val="00754E15"/>
    <w:rsid w:val="00756242"/>
    <w:rsid w:val="00756445"/>
    <w:rsid w:val="0075664B"/>
    <w:rsid w:val="00763363"/>
    <w:rsid w:val="007654B2"/>
    <w:rsid w:val="00766B0D"/>
    <w:rsid w:val="00767637"/>
    <w:rsid w:val="00770313"/>
    <w:rsid w:val="0077076A"/>
    <w:rsid w:val="00770DF8"/>
    <w:rsid w:val="00773413"/>
    <w:rsid w:val="0077370B"/>
    <w:rsid w:val="00773FCF"/>
    <w:rsid w:val="00774920"/>
    <w:rsid w:val="007763D4"/>
    <w:rsid w:val="00776DBF"/>
    <w:rsid w:val="00776F07"/>
    <w:rsid w:val="0077781F"/>
    <w:rsid w:val="00777C72"/>
    <w:rsid w:val="00780B2F"/>
    <w:rsid w:val="007816CC"/>
    <w:rsid w:val="007824E2"/>
    <w:rsid w:val="00791CB6"/>
    <w:rsid w:val="00792A0C"/>
    <w:rsid w:val="007939AC"/>
    <w:rsid w:val="00796386"/>
    <w:rsid w:val="0079677C"/>
    <w:rsid w:val="0079684C"/>
    <w:rsid w:val="00796D53"/>
    <w:rsid w:val="00796D98"/>
    <w:rsid w:val="007A08A9"/>
    <w:rsid w:val="007A0F09"/>
    <w:rsid w:val="007A1DB1"/>
    <w:rsid w:val="007A1E09"/>
    <w:rsid w:val="007A31A4"/>
    <w:rsid w:val="007A3240"/>
    <w:rsid w:val="007A3E88"/>
    <w:rsid w:val="007A6846"/>
    <w:rsid w:val="007B07DD"/>
    <w:rsid w:val="007B1128"/>
    <w:rsid w:val="007B2091"/>
    <w:rsid w:val="007B2765"/>
    <w:rsid w:val="007B67DD"/>
    <w:rsid w:val="007B6C82"/>
    <w:rsid w:val="007B6D37"/>
    <w:rsid w:val="007B75B4"/>
    <w:rsid w:val="007C1A21"/>
    <w:rsid w:val="007C2E8B"/>
    <w:rsid w:val="007C371D"/>
    <w:rsid w:val="007C5EC1"/>
    <w:rsid w:val="007C6F0D"/>
    <w:rsid w:val="007D2855"/>
    <w:rsid w:val="007D31BC"/>
    <w:rsid w:val="007D46B5"/>
    <w:rsid w:val="007E09FF"/>
    <w:rsid w:val="007E0C67"/>
    <w:rsid w:val="007E1642"/>
    <w:rsid w:val="007E2026"/>
    <w:rsid w:val="007E32DA"/>
    <w:rsid w:val="007E656B"/>
    <w:rsid w:val="007E7DC8"/>
    <w:rsid w:val="007F0929"/>
    <w:rsid w:val="007F21D8"/>
    <w:rsid w:val="007F2734"/>
    <w:rsid w:val="007F2945"/>
    <w:rsid w:val="007F2B56"/>
    <w:rsid w:val="007F2C80"/>
    <w:rsid w:val="007F3BF4"/>
    <w:rsid w:val="007F6829"/>
    <w:rsid w:val="00800927"/>
    <w:rsid w:val="00800970"/>
    <w:rsid w:val="0080272B"/>
    <w:rsid w:val="008035FB"/>
    <w:rsid w:val="0080524C"/>
    <w:rsid w:val="008075D5"/>
    <w:rsid w:val="00810AB9"/>
    <w:rsid w:val="008127A5"/>
    <w:rsid w:val="00814B2F"/>
    <w:rsid w:val="00814D67"/>
    <w:rsid w:val="00816A0A"/>
    <w:rsid w:val="008173DC"/>
    <w:rsid w:val="00822880"/>
    <w:rsid w:val="0082415C"/>
    <w:rsid w:val="00827E6D"/>
    <w:rsid w:val="00831257"/>
    <w:rsid w:val="0083351E"/>
    <w:rsid w:val="00833CCF"/>
    <w:rsid w:val="00836917"/>
    <w:rsid w:val="00837223"/>
    <w:rsid w:val="00837A6F"/>
    <w:rsid w:val="00841FD2"/>
    <w:rsid w:val="008427F0"/>
    <w:rsid w:val="00843E0E"/>
    <w:rsid w:val="00844809"/>
    <w:rsid w:val="00846466"/>
    <w:rsid w:val="00846A5A"/>
    <w:rsid w:val="00847129"/>
    <w:rsid w:val="00847B54"/>
    <w:rsid w:val="00847B93"/>
    <w:rsid w:val="00847FA6"/>
    <w:rsid w:val="008503A8"/>
    <w:rsid w:val="00850E9D"/>
    <w:rsid w:val="00851DDB"/>
    <w:rsid w:val="008525A8"/>
    <w:rsid w:val="00854145"/>
    <w:rsid w:val="008550E6"/>
    <w:rsid w:val="00855458"/>
    <w:rsid w:val="00855E07"/>
    <w:rsid w:val="00860BB6"/>
    <w:rsid w:val="00862303"/>
    <w:rsid w:val="00863934"/>
    <w:rsid w:val="00864C8B"/>
    <w:rsid w:val="00864C9F"/>
    <w:rsid w:val="008668DC"/>
    <w:rsid w:val="008706BE"/>
    <w:rsid w:val="0087248C"/>
    <w:rsid w:val="00874307"/>
    <w:rsid w:val="00876E2B"/>
    <w:rsid w:val="00877FD5"/>
    <w:rsid w:val="00880A75"/>
    <w:rsid w:val="00883B24"/>
    <w:rsid w:val="00886ACF"/>
    <w:rsid w:val="00887D1F"/>
    <w:rsid w:val="00890369"/>
    <w:rsid w:val="0089072E"/>
    <w:rsid w:val="00890DC9"/>
    <w:rsid w:val="008A394C"/>
    <w:rsid w:val="008A4AB7"/>
    <w:rsid w:val="008A4CB9"/>
    <w:rsid w:val="008A6B77"/>
    <w:rsid w:val="008B0463"/>
    <w:rsid w:val="008B25EC"/>
    <w:rsid w:val="008B3697"/>
    <w:rsid w:val="008B5003"/>
    <w:rsid w:val="008B5732"/>
    <w:rsid w:val="008B7382"/>
    <w:rsid w:val="008B7D8D"/>
    <w:rsid w:val="008C05A5"/>
    <w:rsid w:val="008C0CBF"/>
    <w:rsid w:val="008C291B"/>
    <w:rsid w:val="008C3266"/>
    <w:rsid w:val="008C79BA"/>
    <w:rsid w:val="008D1CAE"/>
    <w:rsid w:val="008D1CF0"/>
    <w:rsid w:val="008D4529"/>
    <w:rsid w:val="008D4877"/>
    <w:rsid w:val="008D5A4A"/>
    <w:rsid w:val="008D6503"/>
    <w:rsid w:val="008D66F1"/>
    <w:rsid w:val="008E0106"/>
    <w:rsid w:val="008E10CA"/>
    <w:rsid w:val="008E4E33"/>
    <w:rsid w:val="008E6424"/>
    <w:rsid w:val="008E7980"/>
    <w:rsid w:val="008F0D24"/>
    <w:rsid w:val="008F1C4F"/>
    <w:rsid w:val="009006D3"/>
    <w:rsid w:val="00901BB0"/>
    <w:rsid w:val="00902F3F"/>
    <w:rsid w:val="00904D34"/>
    <w:rsid w:val="00910091"/>
    <w:rsid w:val="009108B8"/>
    <w:rsid w:val="00912E8D"/>
    <w:rsid w:val="009165C7"/>
    <w:rsid w:val="00917786"/>
    <w:rsid w:val="00920598"/>
    <w:rsid w:val="009205BA"/>
    <w:rsid w:val="00920732"/>
    <w:rsid w:val="0092149C"/>
    <w:rsid w:val="00921592"/>
    <w:rsid w:val="00921DBE"/>
    <w:rsid w:val="009249D4"/>
    <w:rsid w:val="00930591"/>
    <w:rsid w:val="00931BA5"/>
    <w:rsid w:val="00933F51"/>
    <w:rsid w:val="009364DF"/>
    <w:rsid w:val="0093718E"/>
    <w:rsid w:val="00942B08"/>
    <w:rsid w:val="0094773D"/>
    <w:rsid w:val="009501CB"/>
    <w:rsid w:val="00950430"/>
    <w:rsid w:val="00950DA3"/>
    <w:rsid w:val="00952185"/>
    <w:rsid w:val="00952E89"/>
    <w:rsid w:val="00955699"/>
    <w:rsid w:val="009568E2"/>
    <w:rsid w:val="0096063C"/>
    <w:rsid w:val="009606CB"/>
    <w:rsid w:val="009606D0"/>
    <w:rsid w:val="009630D6"/>
    <w:rsid w:val="00963452"/>
    <w:rsid w:val="0096347C"/>
    <w:rsid w:val="009639A1"/>
    <w:rsid w:val="00964F98"/>
    <w:rsid w:val="009674C7"/>
    <w:rsid w:val="009713F5"/>
    <w:rsid w:val="009748E1"/>
    <w:rsid w:val="00976522"/>
    <w:rsid w:val="009773EA"/>
    <w:rsid w:val="00980798"/>
    <w:rsid w:val="00980B07"/>
    <w:rsid w:val="009826AA"/>
    <w:rsid w:val="00982DB2"/>
    <w:rsid w:val="00982FDC"/>
    <w:rsid w:val="009831E8"/>
    <w:rsid w:val="0098386D"/>
    <w:rsid w:val="009860C8"/>
    <w:rsid w:val="00986C33"/>
    <w:rsid w:val="009874A6"/>
    <w:rsid w:val="0098751C"/>
    <w:rsid w:val="0098788B"/>
    <w:rsid w:val="00991127"/>
    <w:rsid w:val="009913B1"/>
    <w:rsid w:val="00993593"/>
    <w:rsid w:val="00994AF9"/>
    <w:rsid w:val="00996B6A"/>
    <w:rsid w:val="00996BAD"/>
    <w:rsid w:val="00996E0B"/>
    <w:rsid w:val="009A068F"/>
    <w:rsid w:val="009A06A8"/>
    <w:rsid w:val="009A1DE9"/>
    <w:rsid w:val="009A2B45"/>
    <w:rsid w:val="009A6471"/>
    <w:rsid w:val="009A769F"/>
    <w:rsid w:val="009B0E17"/>
    <w:rsid w:val="009B236E"/>
    <w:rsid w:val="009B488D"/>
    <w:rsid w:val="009B7409"/>
    <w:rsid w:val="009C3947"/>
    <w:rsid w:val="009C41AD"/>
    <w:rsid w:val="009C4579"/>
    <w:rsid w:val="009C4B1C"/>
    <w:rsid w:val="009C5CCA"/>
    <w:rsid w:val="009D2140"/>
    <w:rsid w:val="009D2B39"/>
    <w:rsid w:val="009D32A6"/>
    <w:rsid w:val="009D4EFE"/>
    <w:rsid w:val="009D640F"/>
    <w:rsid w:val="009E0C16"/>
    <w:rsid w:val="009E2BA4"/>
    <w:rsid w:val="009E356E"/>
    <w:rsid w:val="009E455E"/>
    <w:rsid w:val="009E4656"/>
    <w:rsid w:val="009E4B29"/>
    <w:rsid w:val="009F05F6"/>
    <w:rsid w:val="009F103A"/>
    <w:rsid w:val="009F19D4"/>
    <w:rsid w:val="009F31D3"/>
    <w:rsid w:val="009F3C1F"/>
    <w:rsid w:val="009F4FE5"/>
    <w:rsid w:val="009F72FF"/>
    <w:rsid w:val="009F7337"/>
    <w:rsid w:val="009F73AA"/>
    <w:rsid w:val="00A008B2"/>
    <w:rsid w:val="00A00D5F"/>
    <w:rsid w:val="00A03658"/>
    <w:rsid w:val="00A04E85"/>
    <w:rsid w:val="00A06A28"/>
    <w:rsid w:val="00A10F22"/>
    <w:rsid w:val="00A11CDC"/>
    <w:rsid w:val="00A12011"/>
    <w:rsid w:val="00A1214C"/>
    <w:rsid w:val="00A12D28"/>
    <w:rsid w:val="00A13FAB"/>
    <w:rsid w:val="00A13FC7"/>
    <w:rsid w:val="00A14452"/>
    <w:rsid w:val="00A14C59"/>
    <w:rsid w:val="00A158F3"/>
    <w:rsid w:val="00A164CF"/>
    <w:rsid w:val="00A17A16"/>
    <w:rsid w:val="00A21405"/>
    <w:rsid w:val="00A25468"/>
    <w:rsid w:val="00A25C58"/>
    <w:rsid w:val="00A25D37"/>
    <w:rsid w:val="00A25E77"/>
    <w:rsid w:val="00A26F0D"/>
    <w:rsid w:val="00A31B60"/>
    <w:rsid w:val="00A31CED"/>
    <w:rsid w:val="00A33132"/>
    <w:rsid w:val="00A339CA"/>
    <w:rsid w:val="00A34D74"/>
    <w:rsid w:val="00A35C0D"/>
    <w:rsid w:val="00A36867"/>
    <w:rsid w:val="00A40F12"/>
    <w:rsid w:val="00A4118A"/>
    <w:rsid w:val="00A418B9"/>
    <w:rsid w:val="00A440C3"/>
    <w:rsid w:val="00A461E6"/>
    <w:rsid w:val="00A4669B"/>
    <w:rsid w:val="00A47DE0"/>
    <w:rsid w:val="00A51655"/>
    <w:rsid w:val="00A52A44"/>
    <w:rsid w:val="00A54304"/>
    <w:rsid w:val="00A5446D"/>
    <w:rsid w:val="00A56660"/>
    <w:rsid w:val="00A56CDD"/>
    <w:rsid w:val="00A56D0D"/>
    <w:rsid w:val="00A61756"/>
    <w:rsid w:val="00A61BFB"/>
    <w:rsid w:val="00A62D93"/>
    <w:rsid w:val="00A63FC1"/>
    <w:rsid w:val="00A64377"/>
    <w:rsid w:val="00A6474A"/>
    <w:rsid w:val="00A650E4"/>
    <w:rsid w:val="00A67FCF"/>
    <w:rsid w:val="00A70DC2"/>
    <w:rsid w:val="00A711A5"/>
    <w:rsid w:val="00A71917"/>
    <w:rsid w:val="00A71A8E"/>
    <w:rsid w:val="00A71F9E"/>
    <w:rsid w:val="00A73B46"/>
    <w:rsid w:val="00A76183"/>
    <w:rsid w:val="00A768DF"/>
    <w:rsid w:val="00A80C29"/>
    <w:rsid w:val="00A82552"/>
    <w:rsid w:val="00A8301A"/>
    <w:rsid w:val="00A833BF"/>
    <w:rsid w:val="00A84668"/>
    <w:rsid w:val="00A8662B"/>
    <w:rsid w:val="00A8688C"/>
    <w:rsid w:val="00A903E6"/>
    <w:rsid w:val="00A9059F"/>
    <w:rsid w:val="00A90E50"/>
    <w:rsid w:val="00A92421"/>
    <w:rsid w:val="00A94850"/>
    <w:rsid w:val="00A94D2F"/>
    <w:rsid w:val="00A973D0"/>
    <w:rsid w:val="00AA07DA"/>
    <w:rsid w:val="00AA319C"/>
    <w:rsid w:val="00AA3733"/>
    <w:rsid w:val="00AA3CA7"/>
    <w:rsid w:val="00AA5743"/>
    <w:rsid w:val="00AA64D2"/>
    <w:rsid w:val="00AB0296"/>
    <w:rsid w:val="00AB0390"/>
    <w:rsid w:val="00AB1523"/>
    <w:rsid w:val="00AB1B70"/>
    <w:rsid w:val="00AB1DC1"/>
    <w:rsid w:val="00AB2B30"/>
    <w:rsid w:val="00AB2F50"/>
    <w:rsid w:val="00AB4119"/>
    <w:rsid w:val="00AB436C"/>
    <w:rsid w:val="00AB4812"/>
    <w:rsid w:val="00AB4AF3"/>
    <w:rsid w:val="00AB4C4B"/>
    <w:rsid w:val="00AB75AB"/>
    <w:rsid w:val="00AC010E"/>
    <w:rsid w:val="00AC0646"/>
    <w:rsid w:val="00AC183F"/>
    <w:rsid w:val="00AC1B10"/>
    <w:rsid w:val="00AC2B5E"/>
    <w:rsid w:val="00AC4E3A"/>
    <w:rsid w:val="00AC5951"/>
    <w:rsid w:val="00AC6672"/>
    <w:rsid w:val="00AC79FD"/>
    <w:rsid w:val="00AD16CD"/>
    <w:rsid w:val="00AD2024"/>
    <w:rsid w:val="00AD4F90"/>
    <w:rsid w:val="00AD53B8"/>
    <w:rsid w:val="00AD621E"/>
    <w:rsid w:val="00AD64CA"/>
    <w:rsid w:val="00AE0613"/>
    <w:rsid w:val="00AE2F9F"/>
    <w:rsid w:val="00AE32FB"/>
    <w:rsid w:val="00AE35AD"/>
    <w:rsid w:val="00AE3EAE"/>
    <w:rsid w:val="00AF0EE2"/>
    <w:rsid w:val="00AF1577"/>
    <w:rsid w:val="00AF2F3D"/>
    <w:rsid w:val="00AF3526"/>
    <w:rsid w:val="00AF3BAE"/>
    <w:rsid w:val="00AF3EA3"/>
    <w:rsid w:val="00AF59DE"/>
    <w:rsid w:val="00AF64A7"/>
    <w:rsid w:val="00AF6518"/>
    <w:rsid w:val="00AF6D80"/>
    <w:rsid w:val="00B007DA"/>
    <w:rsid w:val="00B008C2"/>
    <w:rsid w:val="00B05A91"/>
    <w:rsid w:val="00B05E5B"/>
    <w:rsid w:val="00B064DA"/>
    <w:rsid w:val="00B06B27"/>
    <w:rsid w:val="00B07A72"/>
    <w:rsid w:val="00B10A65"/>
    <w:rsid w:val="00B10A87"/>
    <w:rsid w:val="00B10C2F"/>
    <w:rsid w:val="00B10ECE"/>
    <w:rsid w:val="00B12E81"/>
    <w:rsid w:val="00B14E9E"/>
    <w:rsid w:val="00B16DD5"/>
    <w:rsid w:val="00B170B6"/>
    <w:rsid w:val="00B17F76"/>
    <w:rsid w:val="00B200D9"/>
    <w:rsid w:val="00B2114F"/>
    <w:rsid w:val="00B244F4"/>
    <w:rsid w:val="00B24636"/>
    <w:rsid w:val="00B2479A"/>
    <w:rsid w:val="00B25517"/>
    <w:rsid w:val="00B2656C"/>
    <w:rsid w:val="00B26702"/>
    <w:rsid w:val="00B31A93"/>
    <w:rsid w:val="00B3368C"/>
    <w:rsid w:val="00B43FEB"/>
    <w:rsid w:val="00B44DCE"/>
    <w:rsid w:val="00B459A3"/>
    <w:rsid w:val="00B5306B"/>
    <w:rsid w:val="00B537CD"/>
    <w:rsid w:val="00B538ED"/>
    <w:rsid w:val="00B56DF5"/>
    <w:rsid w:val="00B57F64"/>
    <w:rsid w:val="00B6271D"/>
    <w:rsid w:val="00B62B51"/>
    <w:rsid w:val="00B62B95"/>
    <w:rsid w:val="00B647E7"/>
    <w:rsid w:val="00B649AA"/>
    <w:rsid w:val="00B67297"/>
    <w:rsid w:val="00B67EC5"/>
    <w:rsid w:val="00B70AAC"/>
    <w:rsid w:val="00B710E1"/>
    <w:rsid w:val="00B722CA"/>
    <w:rsid w:val="00B73BB6"/>
    <w:rsid w:val="00B7431A"/>
    <w:rsid w:val="00B74C13"/>
    <w:rsid w:val="00B76EEC"/>
    <w:rsid w:val="00B76FE8"/>
    <w:rsid w:val="00B77606"/>
    <w:rsid w:val="00B84451"/>
    <w:rsid w:val="00B84CCB"/>
    <w:rsid w:val="00B85DB5"/>
    <w:rsid w:val="00B92A8A"/>
    <w:rsid w:val="00B94FBA"/>
    <w:rsid w:val="00B9558D"/>
    <w:rsid w:val="00B97540"/>
    <w:rsid w:val="00B97C4E"/>
    <w:rsid w:val="00BA1434"/>
    <w:rsid w:val="00BA1D84"/>
    <w:rsid w:val="00BA39E6"/>
    <w:rsid w:val="00BA5C41"/>
    <w:rsid w:val="00BA6A1C"/>
    <w:rsid w:val="00BA7C59"/>
    <w:rsid w:val="00BB1A39"/>
    <w:rsid w:val="00BB1E8F"/>
    <w:rsid w:val="00BB202C"/>
    <w:rsid w:val="00BB3207"/>
    <w:rsid w:val="00BB35B0"/>
    <w:rsid w:val="00BB39D0"/>
    <w:rsid w:val="00BB573D"/>
    <w:rsid w:val="00BC1AD1"/>
    <w:rsid w:val="00BC393E"/>
    <w:rsid w:val="00BC50A3"/>
    <w:rsid w:val="00BC69D5"/>
    <w:rsid w:val="00BD33A7"/>
    <w:rsid w:val="00BD3DF9"/>
    <w:rsid w:val="00BD41C2"/>
    <w:rsid w:val="00BD69E0"/>
    <w:rsid w:val="00BD6FA9"/>
    <w:rsid w:val="00BD72C9"/>
    <w:rsid w:val="00BE25EE"/>
    <w:rsid w:val="00BE328E"/>
    <w:rsid w:val="00BE580D"/>
    <w:rsid w:val="00BE6D8A"/>
    <w:rsid w:val="00BE6E45"/>
    <w:rsid w:val="00BE79E5"/>
    <w:rsid w:val="00BF0BC0"/>
    <w:rsid w:val="00BF1AB5"/>
    <w:rsid w:val="00BF2F23"/>
    <w:rsid w:val="00BF4DFB"/>
    <w:rsid w:val="00BF689B"/>
    <w:rsid w:val="00BF6A62"/>
    <w:rsid w:val="00BF6F1F"/>
    <w:rsid w:val="00C0233A"/>
    <w:rsid w:val="00C03618"/>
    <w:rsid w:val="00C03FF3"/>
    <w:rsid w:val="00C061C9"/>
    <w:rsid w:val="00C07414"/>
    <w:rsid w:val="00C134B8"/>
    <w:rsid w:val="00C1544E"/>
    <w:rsid w:val="00C169F5"/>
    <w:rsid w:val="00C17EEA"/>
    <w:rsid w:val="00C21356"/>
    <w:rsid w:val="00C21E18"/>
    <w:rsid w:val="00C22663"/>
    <w:rsid w:val="00C22D45"/>
    <w:rsid w:val="00C25D99"/>
    <w:rsid w:val="00C26923"/>
    <w:rsid w:val="00C26F57"/>
    <w:rsid w:val="00C27EE4"/>
    <w:rsid w:val="00C32309"/>
    <w:rsid w:val="00C32DA1"/>
    <w:rsid w:val="00C32DC3"/>
    <w:rsid w:val="00C32F9A"/>
    <w:rsid w:val="00C337D7"/>
    <w:rsid w:val="00C35E96"/>
    <w:rsid w:val="00C36775"/>
    <w:rsid w:val="00C4390A"/>
    <w:rsid w:val="00C44F93"/>
    <w:rsid w:val="00C46E45"/>
    <w:rsid w:val="00C4705E"/>
    <w:rsid w:val="00C51A27"/>
    <w:rsid w:val="00C51B6E"/>
    <w:rsid w:val="00C52ADA"/>
    <w:rsid w:val="00C53FC0"/>
    <w:rsid w:val="00C553C2"/>
    <w:rsid w:val="00C55407"/>
    <w:rsid w:val="00C60E7D"/>
    <w:rsid w:val="00C612C4"/>
    <w:rsid w:val="00C6306C"/>
    <w:rsid w:val="00C64527"/>
    <w:rsid w:val="00C66FC6"/>
    <w:rsid w:val="00C677CB"/>
    <w:rsid w:val="00C700F5"/>
    <w:rsid w:val="00C70C6A"/>
    <w:rsid w:val="00C71086"/>
    <w:rsid w:val="00C71B1B"/>
    <w:rsid w:val="00C745FB"/>
    <w:rsid w:val="00C7796A"/>
    <w:rsid w:val="00C83EFF"/>
    <w:rsid w:val="00C865CB"/>
    <w:rsid w:val="00C8713F"/>
    <w:rsid w:val="00C90027"/>
    <w:rsid w:val="00C921D2"/>
    <w:rsid w:val="00C9234E"/>
    <w:rsid w:val="00C92F75"/>
    <w:rsid w:val="00C93C49"/>
    <w:rsid w:val="00C945C0"/>
    <w:rsid w:val="00C955F8"/>
    <w:rsid w:val="00C9578B"/>
    <w:rsid w:val="00C974E3"/>
    <w:rsid w:val="00C9778C"/>
    <w:rsid w:val="00CA0B9D"/>
    <w:rsid w:val="00CA0C68"/>
    <w:rsid w:val="00CA36E5"/>
    <w:rsid w:val="00CA3B5C"/>
    <w:rsid w:val="00CA4226"/>
    <w:rsid w:val="00CA5A48"/>
    <w:rsid w:val="00CA6908"/>
    <w:rsid w:val="00CA78CC"/>
    <w:rsid w:val="00CA7FA7"/>
    <w:rsid w:val="00CB0B9B"/>
    <w:rsid w:val="00CB1F99"/>
    <w:rsid w:val="00CB2A69"/>
    <w:rsid w:val="00CB31FA"/>
    <w:rsid w:val="00CB3F5C"/>
    <w:rsid w:val="00CB465B"/>
    <w:rsid w:val="00CC0142"/>
    <w:rsid w:val="00CC0EA1"/>
    <w:rsid w:val="00CC0F04"/>
    <w:rsid w:val="00CC409C"/>
    <w:rsid w:val="00CC6EA5"/>
    <w:rsid w:val="00CC78ED"/>
    <w:rsid w:val="00CD100C"/>
    <w:rsid w:val="00CD27B4"/>
    <w:rsid w:val="00CD4956"/>
    <w:rsid w:val="00CD4C9F"/>
    <w:rsid w:val="00CE3E6B"/>
    <w:rsid w:val="00CE40C2"/>
    <w:rsid w:val="00CE44EB"/>
    <w:rsid w:val="00CE4D51"/>
    <w:rsid w:val="00CE4DB9"/>
    <w:rsid w:val="00CF0A99"/>
    <w:rsid w:val="00CF179F"/>
    <w:rsid w:val="00CF1A2B"/>
    <w:rsid w:val="00CF701E"/>
    <w:rsid w:val="00CF7544"/>
    <w:rsid w:val="00CF7866"/>
    <w:rsid w:val="00D01542"/>
    <w:rsid w:val="00D031FA"/>
    <w:rsid w:val="00D0323E"/>
    <w:rsid w:val="00D03D34"/>
    <w:rsid w:val="00D0525D"/>
    <w:rsid w:val="00D05D45"/>
    <w:rsid w:val="00D068EB"/>
    <w:rsid w:val="00D06C49"/>
    <w:rsid w:val="00D079AA"/>
    <w:rsid w:val="00D07B70"/>
    <w:rsid w:val="00D1048E"/>
    <w:rsid w:val="00D12D65"/>
    <w:rsid w:val="00D12E0B"/>
    <w:rsid w:val="00D14593"/>
    <w:rsid w:val="00D178CB"/>
    <w:rsid w:val="00D20126"/>
    <w:rsid w:val="00D21D4E"/>
    <w:rsid w:val="00D25FB6"/>
    <w:rsid w:val="00D26ACE"/>
    <w:rsid w:val="00D279DE"/>
    <w:rsid w:val="00D27B9A"/>
    <w:rsid w:val="00D27F65"/>
    <w:rsid w:val="00D30B3A"/>
    <w:rsid w:val="00D3174B"/>
    <w:rsid w:val="00D3278F"/>
    <w:rsid w:val="00D32969"/>
    <w:rsid w:val="00D33598"/>
    <w:rsid w:val="00D33A0C"/>
    <w:rsid w:val="00D340E4"/>
    <w:rsid w:val="00D353EB"/>
    <w:rsid w:val="00D36023"/>
    <w:rsid w:val="00D3626C"/>
    <w:rsid w:val="00D369FF"/>
    <w:rsid w:val="00D3796F"/>
    <w:rsid w:val="00D37D20"/>
    <w:rsid w:val="00D40DC9"/>
    <w:rsid w:val="00D422C5"/>
    <w:rsid w:val="00D43242"/>
    <w:rsid w:val="00D4633F"/>
    <w:rsid w:val="00D46E79"/>
    <w:rsid w:val="00D50EB7"/>
    <w:rsid w:val="00D50F87"/>
    <w:rsid w:val="00D531D1"/>
    <w:rsid w:val="00D53DB8"/>
    <w:rsid w:val="00D567C6"/>
    <w:rsid w:val="00D56D78"/>
    <w:rsid w:val="00D56E12"/>
    <w:rsid w:val="00D56E5C"/>
    <w:rsid w:val="00D57D26"/>
    <w:rsid w:val="00D63DBD"/>
    <w:rsid w:val="00D66A3E"/>
    <w:rsid w:val="00D7011D"/>
    <w:rsid w:val="00D70B25"/>
    <w:rsid w:val="00D70E62"/>
    <w:rsid w:val="00D71CFF"/>
    <w:rsid w:val="00D72208"/>
    <w:rsid w:val="00D72CEE"/>
    <w:rsid w:val="00D74BEE"/>
    <w:rsid w:val="00D83BC5"/>
    <w:rsid w:val="00D8454F"/>
    <w:rsid w:val="00D85D47"/>
    <w:rsid w:val="00D86E92"/>
    <w:rsid w:val="00D870D4"/>
    <w:rsid w:val="00D87D47"/>
    <w:rsid w:val="00D9133D"/>
    <w:rsid w:val="00D91FF1"/>
    <w:rsid w:val="00D92F02"/>
    <w:rsid w:val="00D931FA"/>
    <w:rsid w:val="00D95953"/>
    <w:rsid w:val="00D95D4E"/>
    <w:rsid w:val="00D9773C"/>
    <w:rsid w:val="00D978E4"/>
    <w:rsid w:val="00DA0877"/>
    <w:rsid w:val="00DA19F5"/>
    <w:rsid w:val="00DA2303"/>
    <w:rsid w:val="00DA54ED"/>
    <w:rsid w:val="00DA6170"/>
    <w:rsid w:val="00DA635B"/>
    <w:rsid w:val="00DA6F13"/>
    <w:rsid w:val="00DA7292"/>
    <w:rsid w:val="00DA7554"/>
    <w:rsid w:val="00DA7E94"/>
    <w:rsid w:val="00DB108C"/>
    <w:rsid w:val="00DB3881"/>
    <w:rsid w:val="00DB4FFA"/>
    <w:rsid w:val="00DB75C9"/>
    <w:rsid w:val="00DB7853"/>
    <w:rsid w:val="00DC0B4B"/>
    <w:rsid w:val="00DC3943"/>
    <w:rsid w:val="00DC5E02"/>
    <w:rsid w:val="00DC6761"/>
    <w:rsid w:val="00DC6B00"/>
    <w:rsid w:val="00DC7376"/>
    <w:rsid w:val="00DC792E"/>
    <w:rsid w:val="00DD07F2"/>
    <w:rsid w:val="00DD15EF"/>
    <w:rsid w:val="00DD28A4"/>
    <w:rsid w:val="00DD2F3E"/>
    <w:rsid w:val="00DD31D1"/>
    <w:rsid w:val="00DD35CC"/>
    <w:rsid w:val="00DD4BFE"/>
    <w:rsid w:val="00DD68DF"/>
    <w:rsid w:val="00DD6B1D"/>
    <w:rsid w:val="00DD734F"/>
    <w:rsid w:val="00DE4123"/>
    <w:rsid w:val="00DE4729"/>
    <w:rsid w:val="00DE4FA8"/>
    <w:rsid w:val="00DE593B"/>
    <w:rsid w:val="00DE5EE6"/>
    <w:rsid w:val="00DE6AE0"/>
    <w:rsid w:val="00DE7F51"/>
    <w:rsid w:val="00DF375E"/>
    <w:rsid w:val="00DF494F"/>
    <w:rsid w:val="00DF5771"/>
    <w:rsid w:val="00DF6C08"/>
    <w:rsid w:val="00DF6E64"/>
    <w:rsid w:val="00DF718B"/>
    <w:rsid w:val="00E000B2"/>
    <w:rsid w:val="00E04614"/>
    <w:rsid w:val="00E04B09"/>
    <w:rsid w:val="00E079F5"/>
    <w:rsid w:val="00E119AD"/>
    <w:rsid w:val="00E1296E"/>
    <w:rsid w:val="00E12B5D"/>
    <w:rsid w:val="00E13553"/>
    <w:rsid w:val="00E16DBF"/>
    <w:rsid w:val="00E17F02"/>
    <w:rsid w:val="00E20E03"/>
    <w:rsid w:val="00E23A28"/>
    <w:rsid w:val="00E24E3C"/>
    <w:rsid w:val="00E26D3C"/>
    <w:rsid w:val="00E31C8F"/>
    <w:rsid w:val="00E328A8"/>
    <w:rsid w:val="00E331CF"/>
    <w:rsid w:val="00E33B10"/>
    <w:rsid w:val="00E34440"/>
    <w:rsid w:val="00E3520D"/>
    <w:rsid w:val="00E356B3"/>
    <w:rsid w:val="00E36E65"/>
    <w:rsid w:val="00E37757"/>
    <w:rsid w:val="00E40440"/>
    <w:rsid w:val="00E406B6"/>
    <w:rsid w:val="00E406C7"/>
    <w:rsid w:val="00E41C6E"/>
    <w:rsid w:val="00E440F6"/>
    <w:rsid w:val="00E500B3"/>
    <w:rsid w:val="00E51133"/>
    <w:rsid w:val="00E51DE4"/>
    <w:rsid w:val="00E5345D"/>
    <w:rsid w:val="00E545B8"/>
    <w:rsid w:val="00E54A19"/>
    <w:rsid w:val="00E54E02"/>
    <w:rsid w:val="00E54F7E"/>
    <w:rsid w:val="00E55DEF"/>
    <w:rsid w:val="00E56077"/>
    <w:rsid w:val="00E57063"/>
    <w:rsid w:val="00E57335"/>
    <w:rsid w:val="00E623DC"/>
    <w:rsid w:val="00E64833"/>
    <w:rsid w:val="00E701A0"/>
    <w:rsid w:val="00E7281E"/>
    <w:rsid w:val="00E72CC0"/>
    <w:rsid w:val="00E77078"/>
    <w:rsid w:val="00E7762D"/>
    <w:rsid w:val="00E80A6A"/>
    <w:rsid w:val="00E86775"/>
    <w:rsid w:val="00E86D16"/>
    <w:rsid w:val="00E876B9"/>
    <w:rsid w:val="00E913A8"/>
    <w:rsid w:val="00E9306E"/>
    <w:rsid w:val="00E93A06"/>
    <w:rsid w:val="00E951C1"/>
    <w:rsid w:val="00E95319"/>
    <w:rsid w:val="00E9613D"/>
    <w:rsid w:val="00E9637E"/>
    <w:rsid w:val="00EA61A5"/>
    <w:rsid w:val="00EA67BE"/>
    <w:rsid w:val="00EA7064"/>
    <w:rsid w:val="00EB1764"/>
    <w:rsid w:val="00EB1D96"/>
    <w:rsid w:val="00EB3A66"/>
    <w:rsid w:val="00EB51DE"/>
    <w:rsid w:val="00EB5C12"/>
    <w:rsid w:val="00EB666E"/>
    <w:rsid w:val="00EC161E"/>
    <w:rsid w:val="00EC181D"/>
    <w:rsid w:val="00EC2828"/>
    <w:rsid w:val="00EC4176"/>
    <w:rsid w:val="00EC5D2B"/>
    <w:rsid w:val="00EC779E"/>
    <w:rsid w:val="00ED01BE"/>
    <w:rsid w:val="00ED227C"/>
    <w:rsid w:val="00ED4118"/>
    <w:rsid w:val="00ED4EBC"/>
    <w:rsid w:val="00ED5F53"/>
    <w:rsid w:val="00ED6754"/>
    <w:rsid w:val="00EE073B"/>
    <w:rsid w:val="00EE0B69"/>
    <w:rsid w:val="00EE26BA"/>
    <w:rsid w:val="00EE31EA"/>
    <w:rsid w:val="00EE3A56"/>
    <w:rsid w:val="00EE4453"/>
    <w:rsid w:val="00EE44B3"/>
    <w:rsid w:val="00EE52F5"/>
    <w:rsid w:val="00EE716A"/>
    <w:rsid w:val="00EE7811"/>
    <w:rsid w:val="00EF1173"/>
    <w:rsid w:val="00EF12E5"/>
    <w:rsid w:val="00EF311B"/>
    <w:rsid w:val="00EF553F"/>
    <w:rsid w:val="00EF5BBE"/>
    <w:rsid w:val="00EF5DC0"/>
    <w:rsid w:val="00F02922"/>
    <w:rsid w:val="00F0440F"/>
    <w:rsid w:val="00F04822"/>
    <w:rsid w:val="00F14DDF"/>
    <w:rsid w:val="00F15DCE"/>
    <w:rsid w:val="00F16466"/>
    <w:rsid w:val="00F171F2"/>
    <w:rsid w:val="00F17439"/>
    <w:rsid w:val="00F2095B"/>
    <w:rsid w:val="00F22048"/>
    <w:rsid w:val="00F23E05"/>
    <w:rsid w:val="00F23E40"/>
    <w:rsid w:val="00F25A0D"/>
    <w:rsid w:val="00F26958"/>
    <w:rsid w:val="00F276BD"/>
    <w:rsid w:val="00F312AE"/>
    <w:rsid w:val="00F3189E"/>
    <w:rsid w:val="00F32C55"/>
    <w:rsid w:val="00F32F04"/>
    <w:rsid w:val="00F33851"/>
    <w:rsid w:val="00F33A3E"/>
    <w:rsid w:val="00F3556F"/>
    <w:rsid w:val="00F36260"/>
    <w:rsid w:val="00F373A1"/>
    <w:rsid w:val="00F40EA4"/>
    <w:rsid w:val="00F4386A"/>
    <w:rsid w:val="00F43A4A"/>
    <w:rsid w:val="00F43AA2"/>
    <w:rsid w:val="00F43DA3"/>
    <w:rsid w:val="00F451CF"/>
    <w:rsid w:val="00F45F36"/>
    <w:rsid w:val="00F46165"/>
    <w:rsid w:val="00F47932"/>
    <w:rsid w:val="00F51260"/>
    <w:rsid w:val="00F526D2"/>
    <w:rsid w:val="00F531CF"/>
    <w:rsid w:val="00F533A2"/>
    <w:rsid w:val="00F55ECD"/>
    <w:rsid w:val="00F57DC0"/>
    <w:rsid w:val="00F6258A"/>
    <w:rsid w:val="00F62C70"/>
    <w:rsid w:val="00F6340A"/>
    <w:rsid w:val="00F64B8B"/>
    <w:rsid w:val="00F650D3"/>
    <w:rsid w:val="00F65CBD"/>
    <w:rsid w:val="00F70F20"/>
    <w:rsid w:val="00F71007"/>
    <w:rsid w:val="00F722D1"/>
    <w:rsid w:val="00F726EF"/>
    <w:rsid w:val="00F75873"/>
    <w:rsid w:val="00F778DF"/>
    <w:rsid w:val="00F8263C"/>
    <w:rsid w:val="00F8690B"/>
    <w:rsid w:val="00F86E99"/>
    <w:rsid w:val="00F86F2F"/>
    <w:rsid w:val="00F87B8A"/>
    <w:rsid w:val="00F91AA3"/>
    <w:rsid w:val="00F91DB2"/>
    <w:rsid w:val="00F9309A"/>
    <w:rsid w:val="00F93F57"/>
    <w:rsid w:val="00F9513B"/>
    <w:rsid w:val="00F9614C"/>
    <w:rsid w:val="00FA1B58"/>
    <w:rsid w:val="00FA233D"/>
    <w:rsid w:val="00FA23C7"/>
    <w:rsid w:val="00FA3A65"/>
    <w:rsid w:val="00FA6718"/>
    <w:rsid w:val="00FB03D7"/>
    <w:rsid w:val="00FB05B6"/>
    <w:rsid w:val="00FB07AB"/>
    <w:rsid w:val="00FB0F99"/>
    <w:rsid w:val="00FB28F8"/>
    <w:rsid w:val="00FB3338"/>
    <w:rsid w:val="00FB36F7"/>
    <w:rsid w:val="00FB4539"/>
    <w:rsid w:val="00FB4CE2"/>
    <w:rsid w:val="00FB5260"/>
    <w:rsid w:val="00FB6A3F"/>
    <w:rsid w:val="00FC5E8F"/>
    <w:rsid w:val="00FC6F09"/>
    <w:rsid w:val="00FD0D19"/>
    <w:rsid w:val="00FD15A6"/>
    <w:rsid w:val="00FD2EBB"/>
    <w:rsid w:val="00FD5251"/>
    <w:rsid w:val="00FD53FF"/>
    <w:rsid w:val="00FD5A9B"/>
    <w:rsid w:val="00FD621C"/>
    <w:rsid w:val="00FD6EFF"/>
    <w:rsid w:val="00FD7D65"/>
    <w:rsid w:val="00FE2294"/>
    <w:rsid w:val="00FE2EE6"/>
    <w:rsid w:val="00FE3328"/>
    <w:rsid w:val="00FE378D"/>
    <w:rsid w:val="00FE3CA7"/>
    <w:rsid w:val="00FE4A32"/>
    <w:rsid w:val="00FE5CB8"/>
    <w:rsid w:val="00FE691E"/>
    <w:rsid w:val="00FE6D02"/>
    <w:rsid w:val="00FF00E6"/>
    <w:rsid w:val="00FF0532"/>
    <w:rsid w:val="00FF0D17"/>
    <w:rsid w:val="00FF1632"/>
    <w:rsid w:val="00FF1BCF"/>
    <w:rsid w:val="00FF305C"/>
    <w:rsid w:val="00FF6637"/>
    <w:rsid w:val="00FF6E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D3AA4"/>
  <w15:chartTrackingRefBased/>
  <w15:docId w15:val="{FA1844F5-B65C-4845-827E-670630EE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A1B"/>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07130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484A7B"/>
    <w:pPr>
      <w:widowControl/>
      <w:spacing w:before="100" w:beforeAutospacing="1" w:after="100" w:afterAutospacing="1"/>
      <w:outlineLvl w:val="2"/>
    </w:pPr>
    <w:rPr>
      <w:rFonts w:ascii="新細明體" w:hAnsi="新細明體" w:cs="新細明體"/>
      <w:b/>
      <w:bCs/>
      <w:kern w:val="0"/>
      <w:sz w:val="27"/>
      <w:szCs w:val="27"/>
    </w:rPr>
  </w:style>
  <w:style w:type="paragraph" w:styleId="4">
    <w:name w:val="heading 4"/>
    <w:basedOn w:val="a"/>
    <w:next w:val="a"/>
    <w:link w:val="40"/>
    <w:uiPriority w:val="9"/>
    <w:semiHidden/>
    <w:unhideWhenUsed/>
    <w:qFormat/>
    <w:rsid w:val="004E6686"/>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053B12"/>
    <w:pPr>
      <w:tabs>
        <w:tab w:val="num" w:pos="-240"/>
      </w:tabs>
      <w:spacing w:line="320" w:lineRule="exact"/>
      <w:ind w:leftChars="-100" w:left="-240" w:rightChars="-86" w:right="-206" w:firstLine="599"/>
    </w:pPr>
    <w:rPr>
      <w:rFonts w:ascii="標楷體" w:eastAsia="標楷體"/>
      <w:sz w:val="28"/>
    </w:rPr>
  </w:style>
  <w:style w:type="paragraph" w:styleId="a4">
    <w:name w:val="header"/>
    <w:basedOn w:val="a"/>
    <w:link w:val="a5"/>
    <w:unhideWhenUsed/>
    <w:rsid w:val="00DE4FA8"/>
    <w:pPr>
      <w:tabs>
        <w:tab w:val="center" w:pos="4153"/>
        <w:tab w:val="right" w:pos="8306"/>
      </w:tabs>
      <w:snapToGrid w:val="0"/>
    </w:pPr>
    <w:rPr>
      <w:sz w:val="20"/>
      <w:szCs w:val="20"/>
    </w:rPr>
  </w:style>
  <w:style w:type="character" w:customStyle="1" w:styleId="a5">
    <w:name w:val="頁首 字元"/>
    <w:basedOn w:val="a0"/>
    <w:link w:val="a4"/>
    <w:uiPriority w:val="99"/>
    <w:rsid w:val="00DE4FA8"/>
    <w:rPr>
      <w:rFonts w:ascii="Times New Roman" w:eastAsia="新細明體" w:hAnsi="Times New Roman" w:cs="Times New Roman"/>
      <w:sz w:val="20"/>
      <w:szCs w:val="20"/>
    </w:rPr>
  </w:style>
  <w:style w:type="paragraph" w:styleId="a6">
    <w:name w:val="footer"/>
    <w:basedOn w:val="a"/>
    <w:link w:val="a7"/>
    <w:uiPriority w:val="99"/>
    <w:unhideWhenUsed/>
    <w:rsid w:val="00DE4FA8"/>
    <w:pPr>
      <w:tabs>
        <w:tab w:val="center" w:pos="4153"/>
        <w:tab w:val="right" w:pos="8306"/>
      </w:tabs>
      <w:snapToGrid w:val="0"/>
    </w:pPr>
    <w:rPr>
      <w:sz w:val="20"/>
      <w:szCs w:val="20"/>
    </w:rPr>
  </w:style>
  <w:style w:type="character" w:customStyle="1" w:styleId="a7">
    <w:name w:val="頁尾 字元"/>
    <w:basedOn w:val="a0"/>
    <w:link w:val="a6"/>
    <w:uiPriority w:val="99"/>
    <w:rsid w:val="00DE4FA8"/>
    <w:rPr>
      <w:rFonts w:ascii="Times New Roman" w:eastAsia="新細明體" w:hAnsi="Times New Roman" w:cs="Times New Roman"/>
      <w:sz w:val="20"/>
      <w:szCs w:val="20"/>
    </w:rPr>
  </w:style>
  <w:style w:type="paragraph" w:styleId="a8">
    <w:name w:val="List Paragraph"/>
    <w:basedOn w:val="a"/>
    <w:uiPriority w:val="34"/>
    <w:qFormat/>
    <w:rsid w:val="001933D0"/>
    <w:pPr>
      <w:ind w:leftChars="200" w:left="480"/>
    </w:pPr>
  </w:style>
  <w:style w:type="character" w:styleId="a9">
    <w:name w:val="Placeholder Text"/>
    <w:basedOn w:val="a0"/>
    <w:uiPriority w:val="99"/>
    <w:semiHidden/>
    <w:rsid w:val="001933D0"/>
    <w:rPr>
      <w:color w:val="808080"/>
    </w:rPr>
  </w:style>
  <w:style w:type="paragraph" w:styleId="HTML">
    <w:name w:val="HTML Preformatted"/>
    <w:basedOn w:val="a"/>
    <w:link w:val="HTML0"/>
    <w:uiPriority w:val="99"/>
    <w:unhideWhenUsed/>
    <w:rsid w:val="003E7643"/>
    <w:rPr>
      <w:rFonts w:ascii="Courier New" w:hAnsi="Courier New" w:cs="Courier New"/>
      <w:sz w:val="20"/>
      <w:szCs w:val="20"/>
    </w:rPr>
  </w:style>
  <w:style w:type="character" w:customStyle="1" w:styleId="HTML0">
    <w:name w:val="HTML 預設格式 字元"/>
    <w:basedOn w:val="a0"/>
    <w:link w:val="HTML"/>
    <w:uiPriority w:val="99"/>
    <w:rsid w:val="003E7643"/>
    <w:rPr>
      <w:rFonts w:ascii="Courier New" w:eastAsia="新細明體" w:hAnsi="Courier New" w:cs="Courier New"/>
      <w:sz w:val="20"/>
      <w:szCs w:val="20"/>
    </w:rPr>
  </w:style>
  <w:style w:type="character" w:customStyle="1" w:styleId="text">
    <w:name w:val="text"/>
    <w:basedOn w:val="a0"/>
    <w:rsid w:val="00097A14"/>
  </w:style>
  <w:style w:type="character" w:styleId="aa">
    <w:name w:val="Hyperlink"/>
    <w:basedOn w:val="a0"/>
    <w:uiPriority w:val="99"/>
    <w:unhideWhenUsed/>
    <w:rsid w:val="00423E27"/>
    <w:rPr>
      <w:color w:val="0000FF"/>
      <w:u w:val="single"/>
    </w:rPr>
  </w:style>
  <w:style w:type="character" w:customStyle="1" w:styleId="30">
    <w:name w:val="標題 3 字元"/>
    <w:basedOn w:val="a0"/>
    <w:link w:val="3"/>
    <w:uiPriority w:val="9"/>
    <w:rsid w:val="00484A7B"/>
    <w:rPr>
      <w:rFonts w:ascii="新細明體" w:eastAsia="新細明體" w:hAnsi="新細明體" w:cs="新細明體"/>
      <w:b/>
      <w:bCs/>
      <w:kern w:val="0"/>
      <w:sz w:val="27"/>
      <w:szCs w:val="27"/>
    </w:rPr>
  </w:style>
  <w:style w:type="paragraph" w:styleId="Web">
    <w:name w:val="Normal (Web)"/>
    <w:basedOn w:val="a"/>
    <w:uiPriority w:val="99"/>
    <w:semiHidden/>
    <w:unhideWhenUsed/>
    <w:rsid w:val="00484A7B"/>
    <w:pPr>
      <w:widowControl/>
      <w:spacing w:before="100" w:beforeAutospacing="1" w:after="100" w:afterAutospacing="1"/>
    </w:pPr>
    <w:rPr>
      <w:rFonts w:ascii="新細明體" w:hAnsi="新細明體" w:cs="新細明體"/>
      <w:kern w:val="0"/>
    </w:rPr>
  </w:style>
  <w:style w:type="character" w:customStyle="1" w:styleId="mntl-sc-block-headingtext">
    <w:name w:val="mntl-sc-block-heading__text"/>
    <w:basedOn w:val="a0"/>
    <w:rsid w:val="00484A7B"/>
  </w:style>
  <w:style w:type="character" w:customStyle="1" w:styleId="katex-mathml">
    <w:name w:val="katex-mathml"/>
    <w:basedOn w:val="a0"/>
    <w:rsid w:val="00484A7B"/>
  </w:style>
  <w:style w:type="character" w:customStyle="1" w:styleId="mord">
    <w:name w:val="mord"/>
    <w:basedOn w:val="a0"/>
    <w:rsid w:val="00484A7B"/>
  </w:style>
  <w:style w:type="character" w:customStyle="1" w:styleId="mrel">
    <w:name w:val="mrel"/>
    <w:basedOn w:val="a0"/>
    <w:rsid w:val="00484A7B"/>
  </w:style>
  <w:style w:type="character" w:customStyle="1" w:styleId="vlist-s">
    <w:name w:val="vlist-s"/>
    <w:basedOn w:val="a0"/>
    <w:rsid w:val="00484A7B"/>
  </w:style>
  <w:style w:type="paragraph" w:styleId="ab">
    <w:name w:val="footnote text"/>
    <w:basedOn w:val="a"/>
    <w:link w:val="ac"/>
    <w:uiPriority w:val="99"/>
    <w:unhideWhenUsed/>
    <w:rsid w:val="00FD15A6"/>
    <w:pPr>
      <w:snapToGrid w:val="0"/>
    </w:pPr>
    <w:rPr>
      <w:sz w:val="20"/>
      <w:szCs w:val="20"/>
    </w:rPr>
  </w:style>
  <w:style w:type="character" w:customStyle="1" w:styleId="ac">
    <w:name w:val="註腳文字 字元"/>
    <w:basedOn w:val="a0"/>
    <w:link w:val="ab"/>
    <w:uiPriority w:val="99"/>
    <w:rsid w:val="00FD15A6"/>
    <w:rPr>
      <w:rFonts w:ascii="Times New Roman" w:eastAsia="新細明體" w:hAnsi="Times New Roman" w:cs="Times New Roman"/>
      <w:sz w:val="20"/>
      <w:szCs w:val="20"/>
    </w:rPr>
  </w:style>
  <w:style w:type="character" w:styleId="ad">
    <w:name w:val="footnote reference"/>
    <w:basedOn w:val="a0"/>
    <w:uiPriority w:val="99"/>
    <w:semiHidden/>
    <w:unhideWhenUsed/>
    <w:rsid w:val="00FD15A6"/>
    <w:rPr>
      <w:vertAlign w:val="superscript"/>
    </w:rPr>
  </w:style>
  <w:style w:type="paragraph" w:customStyle="1" w:styleId="Default">
    <w:name w:val="Default"/>
    <w:rsid w:val="00930591"/>
    <w:pPr>
      <w:widowControl w:val="0"/>
      <w:autoSpaceDE w:val="0"/>
      <w:autoSpaceDN w:val="0"/>
      <w:adjustRightInd w:val="0"/>
    </w:pPr>
    <w:rPr>
      <w:rFonts w:ascii="Times New Roman" w:hAnsi="Times New Roman" w:cs="Times New Roman"/>
      <w:color w:val="000000"/>
      <w:kern w:val="0"/>
      <w:szCs w:val="24"/>
    </w:rPr>
  </w:style>
  <w:style w:type="paragraph" w:customStyle="1" w:styleId="Pa13">
    <w:name w:val="Pa13"/>
    <w:basedOn w:val="Default"/>
    <w:next w:val="Default"/>
    <w:uiPriority w:val="99"/>
    <w:rsid w:val="00286F61"/>
    <w:pPr>
      <w:spacing w:line="201" w:lineRule="atLeast"/>
    </w:pPr>
    <w:rPr>
      <w:color w:val="auto"/>
    </w:rPr>
  </w:style>
  <w:style w:type="paragraph" w:customStyle="1" w:styleId="Pa10">
    <w:name w:val="Pa10"/>
    <w:basedOn w:val="Default"/>
    <w:next w:val="Default"/>
    <w:uiPriority w:val="99"/>
    <w:rsid w:val="00286F61"/>
    <w:pPr>
      <w:spacing w:line="201" w:lineRule="atLeast"/>
    </w:pPr>
    <w:rPr>
      <w:color w:val="auto"/>
    </w:rPr>
  </w:style>
  <w:style w:type="character" w:customStyle="1" w:styleId="A50">
    <w:name w:val="A5"/>
    <w:uiPriority w:val="99"/>
    <w:rsid w:val="00BA39E6"/>
    <w:rPr>
      <w:b/>
      <w:bCs/>
      <w:color w:val="000000"/>
      <w:sz w:val="14"/>
      <w:szCs w:val="14"/>
    </w:rPr>
  </w:style>
  <w:style w:type="character" w:styleId="ae">
    <w:name w:val="Strong"/>
    <w:basedOn w:val="a0"/>
    <w:uiPriority w:val="22"/>
    <w:qFormat/>
    <w:rsid w:val="00921592"/>
    <w:rPr>
      <w:b/>
      <w:bCs/>
    </w:rPr>
  </w:style>
  <w:style w:type="character" w:customStyle="1" w:styleId="40">
    <w:name w:val="標題 4 字元"/>
    <w:basedOn w:val="a0"/>
    <w:link w:val="4"/>
    <w:uiPriority w:val="9"/>
    <w:semiHidden/>
    <w:rsid w:val="004E6686"/>
    <w:rPr>
      <w:rFonts w:asciiTheme="majorHAnsi" w:eastAsiaTheme="majorEastAsia" w:hAnsiTheme="majorHAnsi" w:cstheme="majorBidi"/>
      <w:sz w:val="36"/>
      <w:szCs w:val="36"/>
    </w:rPr>
  </w:style>
  <w:style w:type="character" w:customStyle="1" w:styleId="10">
    <w:name w:val="標題 1 字元"/>
    <w:basedOn w:val="a0"/>
    <w:link w:val="1"/>
    <w:uiPriority w:val="9"/>
    <w:rsid w:val="0007130C"/>
    <w:rPr>
      <w:rFonts w:asciiTheme="majorHAnsi" w:eastAsiaTheme="majorEastAsia" w:hAnsiTheme="majorHAnsi" w:cstheme="majorBidi"/>
      <w:b/>
      <w:bCs/>
      <w:kern w:val="52"/>
      <w:sz w:val="52"/>
      <w:szCs w:val="52"/>
    </w:rPr>
  </w:style>
  <w:style w:type="table" w:styleId="af">
    <w:name w:val="Table Grid"/>
    <w:basedOn w:val="a1"/>
    <w:uiPriority w:val="39"/>
    <w:rsid w:val="0061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307CAC"/>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307CAC"/>
    <w:rPr>
      <w:rFonts w:asciiTheme="majorHAnsi" w:eastAsiaTheme="majorEastAsia" w:hAnsiTheme="majorHAnsi" w:cstheme="majorBidi"/>
      <w:sz w:val="18"/>
      <w:szCs w:val="18"/>
    </w:rPr>
  </w:style>
  <w:style w:type="character" w:styleId="af2">
    <w:name w:val="Emphasis"/>
    <w:basedOn w:val="a0"/>
    <w:uiPriority w:val="20"/>
    <w:qFormat/>
    <w:rsid w:val="007B1128"/>
    <w:rPr>
      <w:i/>
      <w:iCs/>
    </w:rPr>
  </w:style>
  <w:style w:type="character" w:customStyle="1" w:styleId="author-ref">
    <w:name w:val="author-ref"/>
    <w:basedOn w:val="a0"/>
    <w:rsid w:val="00B1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358">
      <w:bodyDiv w:val="1"/>
      <w:marLeft w:val="0"/>
      <w:marRight w:val="0"/>
      <w:marTop w:val="0"/>
      <w:marBottom w:val="0"/>
      <w:divBdr>
        <w:top w:val="none" w:sz="0" w:space="0" w:color="auto"/>
        <w:left w:val="none" w:sz="0" w:space="0" w:color="auto"/>
        <w:bottom w:val="none" w:sz="0" w:space="0" w:color="auto"/>
        <w:right w:val="none" w:sz="0" w:space="0" w:color="auto"/>
      </w:divBdr>
    </w:div>
    <w:div w:id="74134771">
      <w:bodyDiv w:val="1"/>
      <w:marLeft w:val="0"/>
      <w:marRight w:val="0"/>
      <w:marTop w:val="0"/>
      <w:marBottom w:val="0"/>
      <w:divBdr>
        <w:top w:val="none" w:sz="0" w:space="0" w:color="auto"/>
        <w:left w:val="none" w:sz="0" w:space="0" w:color="auto"/>
        <w:bottom w:val="none" w:sz="0" w:space="0" w:color="auto"/>
        <w:right w:val="none" w:sz="0" w:space="0" w:color="auto"/>
      </w:divBdr>
    </w:div>
    <w:div w:id="310258165">
      <w:bodyDiv w:val="1"/>
      <w:marLeft w:val="0"/>
      <w:marRight w:val="0"/>
      <w:marTop w:val="0"/>
      <w:marBottom w:val="0"/>
      <w:divBdr>
        <w:top w:val="none" w:sz="0" w:space="0" w:color="auto"/>
        <w:left w:val="none" w:sz="0" w:space="0" w:color="auto"/>
        <w:bottom w:val="none" w:sz="0" w:space="0" w:color="auto"/>
        <w:right w:val="none" w:sz="0" w:space="0" w:color="auto"/>
      </w:divBdr>
    </w:div>
    <w:div w:id="371349095">
      <w:bodyDiv w:val="1"/>
      <w:marLeft w:val="0"/>
      <w:marRight w:val="0"/>
      <w:marTop w:val="0"/>
      <w:marBottom w:val="0"/>
      <w:divBdr>
        <w:top w:val="none" w:sz="0" w:space="0" w:color="auto"/>
        <w:left w:val="none" w:sz="0" w:space="0" w:color="auto"/>
        <w:bottom w:val="none" w:sz="0" w:space="0" w:color="auto"/>
        <w:right w:val="none" w:sz="0" w:space="0" w:color="auto"/>
      </w:divBdr>
      <w:divsChild>
        <w:div w:id="2133597483">
          <w:marLeft w:val="0"/>
          <w:marRight w:val="0"/>
          <w:marTop w:val="0"/>
          <w:marBottom w:val="0"/>
          <w:divBdr>
            <w:top w:val="none" w:sz="0" w:space="0" w:color="auto"/>
            <w:left w:val="none" w:sz="0" w:space="0" w:color="auto"/>
            <w:bottom w:val="none" w:sz="0" w:space="0" w:color="auto"/>
            <w:right w:val="none" w:sz="0" w:space="0" w:color="auto"/>
          </w:divBdr>
        </w:div>
      </w:divsChild>
    </w:div>
    <w:div w:id="441922791">
      <w:bodyDiv w:val="1"/>
      <w:marLeft w:val="0"/>
      <w:marRight w:val="0"/>
      <w:marTop w:val="0"/>
      <w:marBottom w:val="0"/>
      <w:divBdr>
        <w:top w:val="none" w:sz="0" w:space="0" w:color="auto"/>
        <w:left w:val="none" w:sz="0" w:space="0" w:color="auto"/>
        <w:bottom w:val="none" w:sz="0" w:space="0" w:color="auto"/>
        <w:right w:val="none" w:sz="0" w:space="0" w:color="auto"/>
      </w:divBdr>
    </w:div>
    <w:div w:id="846215877">
      <w:bodyDiv w:val="1"/>
      <w:marLeft w:val="0"/>
      <w:marRight w:val="0"/>
      <w:marTop w:val="0"/>
      <w:marBottom w:val="0"/>
      <w:divBdr>
        <w:top w:val="none" w:sz="0" w:space="0" w:color="auto"/>
        <w:left w:val="none" w:sz="0" w:space="0" w:color="auto"/>
        <w:bottom w:val="none" w:sz="0" w:space="0" w:color="auto"/>
        <w:right w:val="none" w:sz="0" w:space="0" w:color="auto"/>
      </w:divBdr>
      <w:divsChild>
        <w:div w:id="884219814">
          <w:marLeft w:val="-240"/>
          <w:marRight w:val="-240"/>
          <w:marTop w:val="0"/>
          <w:marBottom w:val="0"/>
          <w:divBdr>
            <w:top w:val="none" w:sz="0" w:space="0" w:color="auto"/>
            <w:left w:val="none" w:sz="0" w:space="0" w:color="auto"/>
            <w:bottom w:val="none" w:sz="0" w:space="0" w:color="auto"/>
            <w:right w:val="none" w:sz="0" w:space="0" w:color="auto"/>
          </w:divBdr>
          <w:divsChild>
            <w:div w:id="991101566">
              <w:marLeft w:val="0"/>
              <w:marRight w:val="0"/>
              <w:marTop w:val="0"/>
              <w:marBottom w:val="0"/>
              <w:divBdr>
                <w:top w:val="none" w:sz="0" w:space="0" w:color="auto"/>
                <w:left w:val="none" w:sz="0" w:space="0" w:color="auto"/>
                <w:bottom w:val="none" w:sz="0" w:space="0" w:color="auto"/>
                <w:right w:val="none" w:sz="0" w:space="0" w:color="auto"/>
              </w:divBdr>
              <w:divsChild>
                <w:div w:id="1079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97996">
      <w:bodyDiv w:val="1"/>
      <w:marLeft w:val="0"/>
      <w:marRight w:val="0"/>
      <w:marTop w:val="0"/>
      <w:marBottom w:val="0"/>
      <w:divBdr>
        <w:top w:val="none" w:sz="0" w:space="0" w:color="auto"/>
        <w:left w:val="none" w:sz="0" w:space="0" w:color="auto"/>
        <w:bottom w:val="none" w:sz="0" w:space="0" w:color="auto"/>
        <w:right w:val="none" w:sz="0" w:space="0" w:color="auto"/>
      </w:divBdr>
    </w:div>
    <w:div w:id="1001619058">
      <w:bodyDiv w:val="1"/>
      <w:marLeft w:val="0"/>
      <w:marRight w:val="0"/>
      <w:marTop w:val="0"/>
      <w:marBottom w:val="0"/>
      <w:divBdr>
        <w:top w:val="none" w:sz="0" w:space="0" w:color="auto"/>
        <w:left w:val="none" w:sz="0" w:space="0" w:color="auto"/>
        <w:bottom w:val="none" w:sz="0" w:space="0" w:color="auto"/>
        <w:right w:val="none" w:sz="0" w:space="0" w:color="auto"/>
      </w:divBdr>
      <w:divsChild>
        <w:div w:id="52584297">
          <w:marLeft w:val="0"/>
          <w:marRight w:val="0"/>
          <w:marTop w:val="0"/>
          <w:marBottom w:val="0"/>
          <w:divBdr>
            <w:top w:val="none" w:sz="0" w:space="0" w:color="auto"/>
            <w:left w:val="none" w:sz="0" w:space="0" w:color="auto"/>
            <w:bottom w:val="none" w:sz="0" w:space="0" w:color="auto"/>
            <w:right w:val="none" w:sz="0" w:space="0" w:color="auto"/>
          </w:divBdr>
        </w:div>
        <w:div w:id="110364223">
          <w:marLeft w:val="0"/>
          <w:marRight w:val="0"/>
          <w:marTop w:val="0"/>
          <w:marBottom w:val="0"/>
          <w:divBdr>
            <w:top w:val="none" w:sz="0" w:space="0" w:color="auto"/>
            <w:left w:val="none" w:sz="0" w:space="0" w:color="auto"/>
            <w:bottom w:val="none" w:sz="0" w:space="0" w:color="auto"/>
            <w:right w:val="none" w:sz="0" w:space="0" w:color="auto"/>
          </w:divBdr>
        </w:div>
        <w:div w:id="163059630">
          <w:marLeft w:val="0"/>
          <w:marRight w:val="0"/>
          <w:marTop w:val="0"/>
          <w:marBottom w:val="0"/>
          <w:divBdr>
            <w:top w:val="none" w:sz="0" w:space="0" w:color="auto"/>
            <w:left w:val="none" w:sz="0" w:space="0" w:color="auto"/>
            <w:bottom w:val="none" w:sz="0" w:space="0" w:color="auto"/>
            <w:right w:val="none" w:sz="0" w:space="0" w:color="auto"/>
          </w:divBdr>
        </w:div>
        <w:div w:id="241566653">
          <w:marLeft w:val="0"/>
          <w:marRight w:val="0"/>
          <w:marTop w:val="0"/>
          <w:marBottom w:val="0"/>
          <w:divBdr>
            <w:top w:val="none" w:sz="0" w:space="0" w:color="auto"/>
            <w:left w:val="none" w:sz="0" w:space="0" w:color="auto"/>
            <w:bottom w:val="none" w:sz="0" w:space="0" w:color="auto"/>
            <w:right w:val="none" w:sz="0" w:space="0" w:color="auto"/>
          </w:divBdr>
        </w:div>
        <w:div w:id="243616094">
          <w:marLeft w:val="0"/>
          <w:marRight w:val="0"/>
          <w:marTop w:val="0"/>
          <w:marBottom w:val="0"/>
          <w:divBdr>
            <w:top w:val="none" w:sz="0" w:space="0" w:color="auto"/>
            <w:left w:val="none" w:sz="0" w:space="0" w:color="auto"/>
            <w:bottom w:val="none" w:sz="0" w:space="0" w:color="auto"/>
            <w:right w:val="none" w:sz="0" w:space="0" w:color="auto"/>
          </w:divBdr>
        </w:div>
        <w:div w:id="282466601">
          <w:marLeft w:val="0"/>
          <w:marRight w:val="0"/>
          <w:marTop w:val="0"/>
          <w:marBottom w:val="0"/>
          <w:divBdr>
            <w:top w:val="none" w:sz="0" w:space="0" w:color="auto"/>
            <w:left w:val="none" w:sz="0" w:space="0" w:color="auto"/>
            <w:bottom w:val="none" w:sz="0" w:space="0" w:color="auto"/>
            <w:right w:val="none" w:sz="0" w:space="0" w:color="auto"/>
          </w:divBdr>
        </w:div>
        <w:div w:id="307828156">
          <w:marLeft w:val="0"/>
          <w:marRight w:val="0"/>
          <w:marTop w:val="0"/>
          <w:marBottom w:val="0"/>
          <w:divBdr>
            <w:top w:val="none" w:sz="0" w:space="0" w:color="auto"/>
            <w:left w:val="none" w:sz="0" w:space="0" w:color="auto"/>
            <w:bottom w:val="none" w:sz="0" w:space="0" w:color="auto"/>
            <w:right w:val="none" w:sz="0" w:space="0" w:color="auto"/>
          </w:divBdr>
        </w:div>
        <w:div w:id="343670957">
          <w:marLeft w:val="0"/>
          <w:marRight w:val="0"/>
          <w:marTop w:val="0"/>
          <w:marBottom w:val="0"/>
          <w:divBdr>
            <w:top w:val="none" w:sz="0" w:space="0" w:color="auto"/>
            <w:left w:val="none" w:sz="0" w:space="0" w:color="auto"/>
            <w:bottom w:val="none" w:sz="0" w:space="0" w:color="auto"/>
            <w:right w:val="none" w:sz="0" w:space="0" w:color="auto"/>
          </w:divBdr>
        </w:div>
        <w:div w:id="350108244">
          <w:marLeft w:val="0"/>
          <w:marRight w:val="0"/>
          <w:marTop w:val="0"/>
          <w:marBottom w:val="0"/>
          <w:divBdr>
            <w:top w:val="none" w:sz="0" w:space="0" w:color="auto"/>
            <w:left w:val="none" w:sz="0" w:space="0" w:color="auto"/>
            <w:bottom w:val="none" w:sz="0" w:space="0" w:color="auto"/>
            <w:right w:val="none" w:sz="0" w:space="0" w:color="auto"/>
          </w:divBdr>
        </w:div>
        <w:div w:id="412167350">
          <w:marLeft w:val="0"/>
          <w:marRight w:val="0"/>
          <w:marTop w:val="0"/>
          <w:marBottom w:val="0"/>
          <w:divBdr>
            <w:top w:val="none" w:sz="0" w:space="0" w:color="auto"/>
            <w:left w:val="none" w:sz="0" w:space="0" w:color="auto"/>
            <w:bottom w:val="none" w:sz="0" w:space="0" w:color="auto"/>
            <w:right w:val="none" w:sz="0" w:space="0" w:color="auto"/>
          </w:divBdr>
        </w:div>
        <w:div w:id="420299364">
          <w:marLeft w:val="0"/>
          <w:marRight w:val="0"/>
          <w:marTop w:val="0"/>
          <w:marBottom w:val="0"/>
          <w:divBdr>
            <w:top w:val="none" w:sz="0" w:space="0" w:color="auto"/>
            <w:left w:val="none" w:sz="0" w:space="0" w:color="auto"/>
            <w:bottom w:val="none" w:sz="0" w:space="0" w:color="auto"/>
            <w:right w:val="none" w:sz="0" w:space="0" w:color="auto"/>
          </w:divBdr>
        </w:div>
        <w:div w:id="474757488">
          <w:marLeft w:val="0"/>
          <w:marRight w:val="0"/>
          <w:marTop w:val="0"/>
          <w:marBottom w:val="0"/>
          <w:divBdr>
            <w:top w:val="none" w:sz="0" w:space="0" w:color="auto"/>
            <w:left w:val="none" w:sz="0" w:space="0" w:color="auto"/>
            <w:bottom w:val="none" w:sz="0" w:space="0" w:color="auto"/>
            <w:right w:val="none" w:sz="0" w:space="0" w:color="auto"/>
          </w:divBdr>
        </w:div>
        <w:div w:id="496845674">
          <w:marLeft w:val="0"/>
          <w:marRight w:val="0"/>
          <w:marTop w:val="0"/>
          <w:marBottom w:val="0"/>
          <w:divBdr>
            <w:top w:val="none" w:sz="0" w:space="0" w:color="auto"/>
            <w:left w:val="none" w:sz="0" w:space="0" w:color="auto"/>
            <w:bottom w:val="none" w:sz="0" w:space="0" w:color="auto"/>
            <w:right w:val="none" w:sz="0" w:space="0" w:color="auto"/>
          </w:divBdr>
        </w:div>
        <w:div w:id="584917489">
          <w:marLeft w:val="0"/>
          <w:marRight w:val="0"/>
          <w:marTop w:val="0"/>
          <w:marBottom w:val="0"/>
          <w:divBdr>
            <w:top w:val="none" w:sz="0" w:space="0" w:color="auto"/>
            <w:left w:val="none" w:sz="0" w:space="0" w:color="auto"/>
            <w:bottom w:val="none" w:sz="0" w:space="0" w:color="auto"/>
            <w:right w:val="none" w:sz="0" w:space="0" w:color="auto"/>
          </w:divBdr>
        </w:div>
        <w:div w:id="624508450">
          <w:marLeft w:val="0"/>
          <w:marRight w:val="0"/>
          <w:marTop w:val="0"/>
          <w:marBottom w:val="0"/>
          <w:divBdr>
            <w:top w:val="none" w:sz="0" w:space="0" w:color="auto"/>
            <w:left w:val="none" w:sz="0" w:space="0" w:color="auto"/>
            <w:bottom w:val="none" w:sz="0" w:space="0" w:color="auto"/>
            <w:right w:val="none" w:sz="0" w:space="0" w:color="auto"/>
          </w:divBdr>
        </w:div>
        <w:div w:id="630869548">
          <w:marLeft w:val="0"/>
          <w:marRight w:val="0"/>
          <w:marTop w:val="0"/>
          <w:marBottom w:val="0"/>
          <w:divBdr>
            <w:top w:val="none" w:sz="0" w:space="0" w:color="auto"/>
            <w:left w:val="none" w:sz="0" w:space="0" w:color="auto"/>
            <w:bottom w:val="none" w:sz="0" w:space="0" w:color="auto"/>
            <w:right w:val="none" w:sz="0" w:space="0" w:color="auto"/>
          </w:divBdr>
        </w:div>
        <w:div w:id="664867275">
          <w:marLeft w:val="0"/>
          <w:marRight w:val="0"/>
          <w:marTop w:val="0"/>
          <w:marBottom w:val="0"/>
          <w:divBdr>
            <w:top w:val="none" w:sz="0" w:space="0" w:color="auto"/>
            <w:left w:val="none" w:sz="0" w:space="0" w:color="auto"/>
            <w:bottom w:val="none" w:sz="0" w:space="0" w:color="auto"/>
            <w:right w:val="none" w:sz="0" w:space="0" w:color="auto"/>
          </w:divBdr>
        </w:div>
        <w:div w:id="666710766">
          <w:marLeft w:val="0"/>
          <w:marRight w:val="0"/>
          <w:marTop w:val="0"/>
          <w:marBottom w:val="0"/>
          <w:divBdr>
            <w:top w:val="none" w:sz="0" w:space="0" w:color="auto"/>
            <w:left w:val="none" w:sz="0" w:space="0" w:color="auto"/>
            <w:bottom w:val="none" w:sz="0" w:space="0" w:color="auto"/>
            <w:right w:val="none" w:sz="0" w:space="0" w:color="auto"/>
          </w:divBdr>
        </w:div>
        <w:div w:id="742801763">
          <w:marLeft w:val="0"/>
          <w:marRight w:val="0"/>
          <w:marTop w:val="0"/>
          <w:marBottom w:val="0"/>
          <w:divBdr>
            <w:top w:val="none" w:sz="0" w:space="0" w:color="auto"/>
            <w:left w:val="none" w:sz="0" w:space="0" w:color="auto"/>
            <w:bottom w:val="none" w:sz="0" w:space="0" w:color="auto"/>
            <w:right w:val="none" w:sz="0" w:space="0" w:color="auto"/>
          </w:divBdr>
        </w:div>
        <w:div w:id="792286472">
          <w:marLeft w:val="0"/>
          <w:marRight w:val="0"/>
          <w:marTop w:val="0"/>
          <w:marBottom w:val="0"/>
          <w:divBdr>
            <w:top w:val="none" w:sz="0" w:space="0" w:color="auto"/>
            <w:left w:val="none" w:sz="0" w:space="0" w:color="auto"/>
            <w:bottom w:val="none" w:sz="0" w:space="0" w:color="auto"/>
            <w:right w:val="none" w:sz="0" w:space="0" w:color="auto"/>
          </w:divBdr>
        </w:div>
        <w:div w:id="801197068">
          <w:marLeft w:val="0"/>
          <w:marRight w:val="0"/>
          <w:marTop w:val="0"/>
          <w:marBottom w:val="0"/>
          <w:divBdr>
            <w:top w:val="none" w:sz="0" w:space="0" w:color="auto"/>
            <w:left w:val="none" w:sz="0" w:space="0" w:color="auto"/>
            <w:bottom w:val="none" w:sz="0" w:space="0" w:color="auto"/>
            <w:right w:val="none" w:sz="0" w:space="0" w:color="auto"/>
          </w:divBdr>
        </w:div>
        <w:div w:id="819232037">
          <w:marLeft w:val="0"/>
          <w:marRight w:val="0"/>
          <w:marTop w:val="0"/>
          <w:marBottom w:val="0"/>
          <w:divBdr>
            <w:top w:val="none" w:sz="0" w:space="0" w:color="auto"/>
            <w:left w:val="none" w:sz="0" w:space="0" w:color="auto"/>
            <w:bottom w:val="none" w:sz="0" w:space="0" w:color="auto"/>
            <w:right w:val="none" w:sz="0" w:space="0" w:color="auto"/>
          </w:divBdr>
        </w:div>
        <w:div w:id="877594653">
          <w:marLeft w:val="0"/>
          <w:marRight w:val="0"/>
          <w:marTop w:val="0"/>
          <w:marBottom w:val="0"/>
          <w:divBdr>
            <w:top w:val="none" w:sz="0" w:space="0" w:color="auto"/>
            <w:left w:val="none" w:sz="0" w:space="0" w:color="auto"/>
            <w:bottom w:val="none" w:sz="0" w:space="0" w:color="auto"/>
            <w:right w:val="none" w:sz="0" w:space="0" w:color="auto"/>
          </w:divBdr>
        </w:div>
        <w:div w:id="893345721">
          <w:marLeft w:val="0"/>
          <w:marRight w:val="0"/>
          <w:marTop w:val="0"/>
          <w:marBottom w:val="0"/>
          <w:divBdr>
            <w:top w:val="none" w:sz="0" w:space="0" w:color="auto"/>
            <w:left w:val="none" w:sz="0" w:space="0" w:color="auto"/>
            <w:bottom w:val="none" w:sz="0" w:space="0" w:color="auto"/>
            <w:right w:val="none" w:sz="0" w:space="0" w:color="auto"/>
          </w:divBdr>
        </w:div>
        <w:div w:id="901525746">
          <w:marLeft w:val="0"/>
          <w:marRight w:val="0"/>
          <w:marTop w:val="0"/>
          <w:marBottom w:val="0"/>
          <w:divBdr>
            <w:top w:val="none" w:sz="0" w:space="0" w:color="auto"/>
            <w:left w:val="none" w:sz="0" w:space="0" w:color="auto"/>
            <w:bottom w:val="none" w:sz="0" w:space="0" w:color="auto"/>
            <w:right w:val="none" w:sz="0" w:space="0" w:color="auto"/>
          </w:divBdr>
        </w:div>
        <w:div w:id="927226549">
          <w:marLeft w:val="0"/>
          <w:marRight w:val="0"/>
          <w:marTop w:val="0"/>
          <w:marBottom w:val="0"/>
          <w:divBdr>
            <w:top w:val="none" w:sz="0" w:space="0" w:color="auto"/>
            <w:left w:val="none" w:sz="0" w:space="0" w:color="auto"/>
            <w:bottom w:val="none" w:sz="0" w:space="0" w:color="auto"/>
            <w:right w:val="none" w:sz="0" w:space="0" w:color="auto"/>
          </w:divBdr>
        </w:div>
        <w:div w:id="927615160">
          <w:marLeft w:val="0"/>
          <w:marRight w:val="0"/>
          <w:marTop w:val="0"/>
          <w:marBottom w:val="0"/>
          <w:divBdr>
            <w:top w:val="none" w:sz="0" w:space="0" w:color="auto"/>
            <w:left w:val="none" w:sz="0" w:space="0" w:color="auto"/>
            <w:bottom w:val="none" w:sz="0" w:space="0" w:color="auto"/>
            <w:right w:val="none" w:sz="0" w:space="0" w:color="auto"/>
          </w:divBdr>
        </w:div>
        <w:div w:id="961620103">
          <w:marLeft w:val="0"/>
          <w:marRight w:val="0"/>
          <w:marTop w:val="0"/>
          <w:marBottom w:val="0"/>
          <w:divBdr>
            <w:top w:val="none" w:sz="0" w:space="0" w:color="auto"/>
            <w:left w:val="none" w:sz="0" w:space="0" w:color="auto"/>
            <w:bottom w:val="none" w:sz="0" w:space="0" w:color="auto"/>
            <w:right w:val="none" w:sz="0" w:space="0" w:color="auto"/>
          </w:divBdr>
        </w:div>
        <w:div w:id="986974968">
          <w:marLeft w:val="0"/>
          <w:marRight w:val="0"/>
          <w:marTop w:val="0"/>
          <w:marBottom w:val="0"/>
          <w:divBdr>
            <w:top w:val="none" w:sz="0" w:space="0" w:color="auto"/>
            <w:left w:val="none" w:sz="0" w:space="0" w:color="auto"/>
            <w:bottom w:val="none" w:sz="0" w:space="0" w:color="auto"/>
            <w:right w:val="none" w:sz="0" w:space="0" w:color="auto"/>
          </w:divBdr>
        </w:div>
        <w:div w:id="1018700319">
          <w:marLeft w:val="0"/>
          <w:marRight w:val="0"/>
          <w:marTop w:val="0"/>
          <w:marBottom w:val="0"/>
          <w:divBdr>
            <w:top w:val="none" w:sz="0" w:space="0" w:color="auto"/>
            <w:left w:val="none" w:sz="0" w:space="0" w:color="auto"/>
            <w:bottom w:val="none" w:sz="0" w:space="0" w:color="auto"/>
            <w:right w:val="none" w:sz="0" w:space="0" w:color="auto"/>
          </w:divBdr>
        </w:div>
        <w:div w:id="1023747759">
          <w:marLeft w:val="0"/>
          <w:marRight w:val="0"/>
          <w:marTop w:val="0"/>
          <w:marBottom w:val="0"/>
          <w:divBdr>
            <w:top w:val="none" w:sz="0" w:space="0" w:color="auto"/>
            <w:left w:val="none" w:sz="0" w:space="0" w:color="auto"/>
            <w:bottom w:val="none" w:sz="0" w:space="0" w:color="auto"/>
            <w:right w:val="none" w:sz="0" w:space="0" w:color="auto"/>
          </w:divBdr>
        </w:div>
        <w:div w:id="1025137039">
          <w:marLeft w:val="0"/>
          <w:marRight w:val="0"/>
          <w:marTop w:val="0"/>
          <w:marBottom w:val="0"/>
          <w:divBdr>
            <w:top w:val="none" w:sz="0" w:space="0" w:color="auto"/>
            <w:left w:val="none" w:sz="0" w:space="0" w:color="auto"/>
            <w:bottom w:val="none" w:sz="0" w:space="0" w:color="auto"/>
            <w:right w:val="none" w:sz="0" w:space="0" w:color="auto"/>
          </w:divBdr>
        </w:div>
        <w:div w:id="1061714043">
          <w:marLeft w:val="0"/>
          <w:marRight w:val="0"/>
          <w:marTop w:val="0"/>
          <w:marBottom w:val="0"/>
          <w:divBdr>
            <w:top w:val="none" w:sz="0" w:space="0" w:color="auto"/>
            <w:left w:val="none" w:sz="0" w:space="0" w:color="auto"/>
            <w:bottom w:val="none" w:sz="0" w:space="0" w:color="auto"/>
            <w:right w:val="none" w:sz="0" w:space="0" w:color="auto"/>
          </w:divBdr>
        </w:div>
        <w:div w:id="1110469828">
          <w:marLeft w:val="0"/>
          <w:marRight w:val="0"/>
          <w:marTop w:val="0"/>
          <w:marBottom w:val="0"/>
          <w:divBdr>
            <w:top w:val="none" w:sz="0" w:space="0" w:color="auto"/>
            <w:left w:val="none" w:sz="0" w:space="0" w:color="auto"/>
            <w:bottom w:val="none" w:sz="0" w:space="0" w:color="auto"/>
            <w:right w:val="none" w:sz="0" w:space="0" w:color="auto"/>
          </w:divBdr>
        </w:div>
        <w:div w:id="1148208622">
          <w:marLeft w:val="0"/>
          <w:marRight w:val="0"/>
          <w:marTop w:val="0"/>
          <w:marBottom w:val="0"/>
          <w:divBdr>
            <w:top w:val="none" w:sz="0" w:space="0" w:color="auto"/>
            <w:left w:val="none" w:sz="0" w:space="0" w:color="auto"/>
            <w:bottom w:val="none" w:sz="0" w:space="0" w:color="auto"/>
            <w:right w:val="none" w:sz="0" w:space="0" w:color="auto"/>
          </w:divBdr>
        </w:div>
        <w:div w:id="1171414579">
          <w:marLeft w:val="0"/>
          <w:marRight w:val="0"/>
          <w:marTop w:val="0"/>
          <w:marBottom w:val="0"/>
          <w:divBdr>
            <w:top w:val="none" w:sz="0" w:space="0" w:color="auto"/>
            <w:left w:val="none" w:sz="0" w:space="0" w:color="auto"/>
            <w:bottom w:val="none" w:sz="0" w:space="0" w:color="auto"/>
            <w:right w:val="none" w:sz="0" w:space="0" w:color="auto"/>
          </w:divBdr>
        </w:div>
        <w:div w:id="1174682697">
          <w:marLeft w:val="0"/>
          <w:marRight w:val="0"/>
          <w:marTop w:val="0"/>
          <w:marBottom w:val="0"/>
          <w:divBdr>
            <w:top w:val="none" w:sz="0" w:space="0" w:color="auto"/>
            <w:left w:val="none" w:sz="0" w:space="0" w:color="auto"/>
            <w:bottom w:val="none" w:sz="0" w:space="0" w:color="auto"/>
            <w:right w:val="none" w:sz="0" w:space="0" w:color="auto"/>
          </w:divBdr>
        </w:div>
        <w:div w:id="1191605675">
          <w:marLeft w:val="0"/>
          <w:marRight w:val="0"/>
          <w:marTop w:val="0"/>
          <w:marBottom w:val="0"/>
          <w:divBdr>
            <w:top w:val="none" w:sz="0" w:space="0" w:color="auto"/>
            <w:left w:val="none" w:sz="0" w:space="0" w:color="auto"/>
            <w:bottom w:val="none" w:sz="0" w:space="0" w:color="auto"/>
            <w:right w:val="none" w:sz="0" w:space="0" w:color="auto"/>
          </w:divBdr>
        </w:div>
        <w:div w:id="1291744012">
          <w:marLeft w:val="0"/>
          <w:marRight w:val="0"/>
          <w:marTop w:val="0"/>
          <w:marBottom w:val="0"/>
          <w:divBdr>
            <w:top w:val="none" w:sz="0" w:space="0" w:color="auto"/>
            <w:left w:val="none" w:sz="0" w:space="0" w:color="auto"/>
            <w:bottom w:val="none" w:sz="0" w:space="0" w:color="auto"/>
            <w:right w:val="none" w:sz="0" w:space="0" w:color="auto"/>
          </w:divBdr>
        </w:div>
        <w:div w:id="1312172936">
          <w:marLeft w:val="0"/>
          <w:marRight w:val="0"/>
          <w:marTop w:val="0"/>
          <w:marBottom w:val="0"/>
          <w:divBdr>
            <w:top w:val="none" w:sz="0" w:space="0" w:color="auto"/>
            <w:left w:val="none" w:sz="0" w:space="0" w:color="auto"/>
            <w:bottom w:val="none" w:sz="0" w:space="0" w:color="auto"/>
            <w:right w:val="none" w:sz="0" w:space="0" w:color="auto"/>
          </w:divBdr>
        </w:div>
        <w:div w:id="1372919567">
          <w:marLeft w:val="0"/>
          <w:marRight w:val="0"/>
          <w:marTop w:val="0"/>
          <w:marBottom w:val="0"/>
          <w:divBdr>
            <w:top w:val="none" w:sz="0" w:space="0" w:color="auto"/>
            <w:left w:val="none" w:sz="0" w:space="0" w:color="auto"/>
            <w:bottom w:val="none" w:sz="0" w:space="0" w:color="auto"/>
            <w:right w:val="none" w:sz="0" w:space="0" w:color="auto"/>
          </w:divBdr>
        </w:div>
        <w:div w:id="1465154370">
          <w:marLeft w:val="0"/>
          <w:marRight w:val="0"/>
          <w:marTop w:val="0"/>
          <w:marBottom w:val="0"/>
          <w:divBdr>
            <w:top w:val="none" w:sz="0" w:space="0" w:color="auto"/>
            <w:left w:val="none" w:sz="0" w:space="0" w:color="auto"/>
            <w:bottom w:val="none" w:sz="0" w:space="0" w:color="auto"/>
            <w:right w:val="none" w:sz="0" w:space="0" w:color="auto"/>
          </w:divBdr>
        </w:div>
        <w:div w:id="1467434562">
          <w:marLeft w:val="0"/>
          <w:marRight w:val="0"/>
          <w:marTop w:val="0"/>
          <w:marBottom w:val="0"/>
          <w:divBdr>
            <w:top w:val="none" w:sz="0" w:space="0" w:color="auto"/>
            <w:left w:val="none" w:sz="0" w:space="0" w:color="auto"/>
            <w:bottom w:val="none" w:sz="0" w:space="0" w:color="auto"/>
            <w:right w:val="none" w:sz="0" w:space="0" w:color="auto"/>
          </w:divBdr>
        </w:div>
        <w:div w:id="1496650748">
          <w:marLeft w:val="0"/>
          <w:marRight w:val="0"/>
          <w:marTop w:val="0"/>
          <w:marBottom w:val="0"/>
          <w:divBdr>
            <w:top w:val="none" w:sz="0" w:space="0" w:color="auto"/>
            <w:left w:val="none" w:sz="0" w:space="0" w:color="auto"/>
            <w:bottom w:val="none" w:sz="0" w:space="0" w:color="auto"/>
            <w:right w:val="none" w:sz="0" w:space="0" w:color="auto"/>
          </w:divBdr>
        </w:div>
        <w:div w:id="1501577796">
          <w:marLeft w:val="0"/>
          <w:marRight w:val="0"/>
          <w:marTop w:val="0"/>
          <w:marBottom w:val="0"/>
          <w:divBdr>
            <w:top w:val="none" w:sz="0" w:space="0" w:color="auto"/>
            <w:left w:val="none" w:sz="0" w:space="0" w:color="auto"/>
            <w:bottom w:val="none" w:sz="0" w:space="0" w:color="auto"/>
            <w:right w:val="none" w:sz="0" w:space="0" w:color="auto"/>
          </w:divBdr>
        </w:div>
        <w:div w:id="1561014779">
          <w:marLeft w:val="0"/>
          <w:marRight w:val="0"/>
          <w:marTop w:val="0"/>
          <w:marBottom w:val="0"/>
          <w:divBdr>
            <w:top w:val="none" w:sz="0" w:space="0" w:color="auto"/>
            <w:left w:val="none" w:sz="0" w:space="0" w:color="auto"/>
            <w:bottom w:val="none" w:sz="0" w:space="0" w:color="auto"/>
            <w:right w:val="none" w:sz="0" w:space="0" w:color="auto"/>
          </w:divBdr>
        </w:div>
        <w:div w:id="1619750117">
          <w:marLeft w:val="0"/>
          <w:marRight w:val="0"/>
          <w:marTop w:val="0"/>
          <w:marBottom w:val="0"/>
          <w:divBdr>
            <w:top w:val="none" w:sz="0" w:space="0" w:color="auto"/>
            <w:left w:val="none" w:sz="0" w:space="0" w:color="auto"/>
            <w:bottom w:val="none" w:sz="0" w:space="0" w:color="auto"/>
            <w:right w:val="none" w:sz="0" w:space="0" w:color="auto"/>
          </w:divBdr>
        </w:div>
        <w:div w:id="1626547147">
          <w:marLeft w:val="0"/>
          <w:marRight w:val="0"/>
          <w:marTop w:val="0"/>
          <w:marBottom w:val="0"/>
          <w:divBdr>
            <w:top w:val="none" w:sz="0" w:space="0" w:color="auto"/>
            <w:left w:val="none" w:sz="0" w:space="0" w:color="auto"/>
            <w:bottom w:val="none" w:sz="0" w:space="0" w:color="auto"/>
            <w:right w:val="none" w:sz="0" w:space="0" w:color="auto"/>
          </w:divBdr>
        </w:div>
        <w:div w:id="1646854243">
          <w:marLeft w:val="0"/>
          <w:marRight w:val="0"/>
          <w:marTop w:val="0"/>
          <w:marBottom w:val="0"/>
          <w:divBdr>
            <w:top w:val="none" w:sz="0" w:space="0" w:color="auto"/>
            <w:left w:val="none" w:sz="0" w:space="0" w:color="auto"/>
            <w:bottom w:val="none" w:sz="0" w:space="0" w:color="auto"/>
            <w:right w:val="none" w:sz="0" w:space="0" w:color="auto"/>
          </w:divBdr>
        </w:div>
        <w:div w:id="1658151766">
          <w:marLeft w:val="0"/>
          <w:marRight w:val="0"/>
          <w:marTop w:val="0"/>
          <w:marBottom w:val="0"/>
          <w:divBdr>
            <w:top w:val="none" w:sz="0" w:space="0" w:color="auto"/>
            <w:left w:val="none" w:sz="0" w:space="0" w:color="auto"/>
            <w:bottom w:val="none" w:sz="0" w:space="0" w:color="auto"/>
            <w:right w:val="none" w:sz="0" w:space="0" w:color="auto"/>
          </w:divBdr>
        </w:div>
        <w:div w:id="1660114270">
          <w:marLeft w:val="0"/>
          <w:marRight w:val="0"/>
          <w:marTop w:val="0"/>
          <w:marBottom w:val="0"/>
          <w:divBdr>
            <w:top w:val="none" w:sz="0" w:space="0" w:color="auto"/>
            <w:left w:val="none" w:sz="0" w:space="0" w:color="auto"/>
            <w:bottom w:val="none" w:sz="0" w:space="0" w:color="auto"/>
            <w:right w:val="none" w:sz="0" w:space="0" w:color="auto"/>
          </w:divBdr>
        </w:div>
        <w:div w:id="1681279637">
          <w:marLeft w:val="0"/>
          <w:marRight w:val="0"/>
          <w:marTop w:val="0"/>
          <w:marBottom w:val="0"/>
          <w:divBdr>
            <w:top w:val="none" w:sz="0" w:space="0" w:color="auto"/>
            <w:left w:val="none" w:sz="0" w:space="0" w:color="auto"/>
            <w:bottom w:val="none" w:sz="0" w:space="0" w:color="auto"/>
            <w:right w:val="none" w:sz="0" w:space="0" w:color="auto"/>
          </w:divBdr>
        </w:div>
        <w:div w:id="1727756902">
          <w:marLeft w:val="0"/>
          <w:marRight w:val="0"/>
          <w:marTop w:val="0"/>
          <w:marBottom w:val="0"/>
          <w:divBdr>
            <w:top w:val="none" w:sz="0" w:space="0" w:color="auto"/>
            <w:left w:val="none" w:sz="0" w:space="0" w:color="auto"/>
            <w:bottom w:val="none" w:sz="0" w:space="0" w:color="auto"/>
            <w:right w:val="none" w:sz="0" w:space="0" w:color="auto"/>
          </w:divBdr>
        </w:div>
        <w:div w:id="1732995494">
          <w:marLeft w:val="0"/>
          <w:marRight w:val="0"/>
          <w:marTop w:val="0"/>
          <w:marBottom w:val="0"/>
          <w:divBdr>
            <w:top w:val="none" w:sz="0" w:space="0" w:color="auto"/>
            <w:left w:val="none" w:sz="0" w:space="0" w:color="auto"/>
            <w:bottom w:val="none" w:sz="0" w:space="0" w:color="auto"/>
            <w:right w:val="none" w:sz="0" w:space="0" w:color="auto"/>
          </w:divBdr>
        </w:div>
        <w:div w:id="1771776044">
          <w:marLeft w:val="0"/>
          <w:marRight w:val="0"/>
          <w:marTop w:val="0"/>
          <w:marBottom w:val="0"/>
          <w:divBdr>
            <w:top w:val="none" w:sz="0" w:space="0" w:color="auto"/>
            <w:left w:val="none" w:sz="0" w:space="0" w:color="auto"/>
            <w:bottom w:val="none" w:sz="0" w:space="0" w:color="auto"/>
            <w:right w:val="none" w:sz="0" w:space="0" w:color="auto"/>
          </w:divBdr>
        </w:div>
        <w:div w:id="1833375047">
          <w:marLeft w:val="0"/>
          <w:marRight w:val="0"/>
          <w:marTop w:val="0"/>
          <w:marBottom w:val="0"/>
          <w:divBdr>
            <w:top w:val="none" w:sz="0" w:space="0" w:color="auto"/>
            <w:left w:val="none" w:sz="0" w:space="0" w:color="auto"/>
            <w:bottom w:val="none" w:sz="0" w:space="0" w:color="auto"/>
            <w:right w:val="none" w:sz="0" w:space="0" w:color="auto"/>
          </w:divBdr>
        </w:div>
        <w:div w:id="1855460443">
          <w:marLeft w:val="0"/>
          <w:marRight w:val="0"/>
          <w:marTop w:val="0"/>
          <w:marBottom w:val="0"/>
          <w:divBdr>
            <w:top w:val="none" w:sz="0" w:space="0" w:color="auto"/>
            <w:left w:val="none" w:sz="0" w:space="0" w:color="auto"/>
            <w:bottom w:val="none" w:sz="0" w:space="0" w:color="auto"/>
            <w:right w:val="none" w:sz="0" w:space="0" w:color="auto"/>
          </w:divBdr>
        </w:div>
        <w:div w:id="1870072143">
          <w:marLeft w:val="0"/>
          <w:marRight w:val="0"/>
          <w:marTop w:val="0"/>
          <w:marBottom w:val="0"/>
          <w:divBdr>
            <w:top w:val="none" w:sz="0" w:space="0" w:color="auto"/>
            <w:left w:val="none" w:sz="0" w:space="0" w:color="auto"/>
            <w:bottom w:val="none" w:sz="0" w:space="0" w:color="auto"/>
            <w:right w:val="none" w:sz="0" w:space="0" w:color="auto"/>
          </w:divBdr>
        </w:div>
        <w:div w:id="1885826853">
          <w:marLeft w:val="0"/>
          <w:marRight w:val="0"/>
          <w:marTop w:val="0"/>
          <w:marBottom w:val="0"/>
          <w:divBdr>
            <w:top w:val="none" w:sz="0" w:space="0" w:color="auto"/>
            <w:left w:val="none" w:sz="0" w:space="0" w:color="auto"/>
            <w:bottom w:val="none" w:sz="0" w:space="0" w:color="auto"/>
            <w:right w:val="none" w:sz="0" w:space="0" w:color="auto"/>
          </w:divBdr>
        </w:div>
        <w:div w:id="1955747072">
          <w:marLeft w:val="0"/>
          <w:marRight w:val="0"/>
          <w:marTop w:val="0"/>
          <w:marBottom w:val="0"/>
          <w:divBdr>
            <w:top w:val="none" w:sz="0" w:space="0" w:color="auto"/>
            <w:left w:val="none" w:sz="0" w:space="0" w:color="auto"/>
            <w:bottom w:val="none" w:sz="0" w:space="0" w:color="auto"/>
            <w:right w:val="none" w:sz="0" w:space="0" w:color="auto"/>
          </w:divBdr>
        </w:div>
        <w:div w:id="1962414468">
          <w:marLeft w:val="0"/>
          <w:marRight w:val="0"/>
          <w:marTop w:val="0"/>
          <w:marBottom w:val="0"/>
          <w:divBdr>
            <w:top w:val="none" w:sz="0" w:space="0" w:color="auto"/>
            <w:left w:val="none" w:sz="0" w:space="0" w:color="auto"/>
            <w:bottom w:val="none" w:sz="0" w:space="0" w:color="auto"/>
            <w:right w:val="none" w:sz="0" w:space="0" w:color="auto"/>
          </w:divBdr>
        </w:div>
        <w:div w:id="1997955330">
          <w:marLeft w:val="0"/>
          <w:marRight w:val="0"/>
          <w:marTop w:val="0"/>
          <w:marBottom w:val="0"/>
          <w:divBdr>
            <w:top w:val="none" w:sz="0" w:space="0" w:color="auto"/>
            <w:left w:val="none" w:sz="0" w:space="0" w:color="auto"/>
            <w:bottom w:val="none" w:sz="0" w:space="0" w:color="auto"/>
            <w:right w:val="none" w:sz="0" w:space="0" w:color="auto"/>
          </w:divBdr>
        </w:div>
        <w:div w:id="2131850553">
          <w:marLeft w:val="0"/>
          <w:marRight w:val="0"/>
          <w:marTop w:val="0"/>
          <w:marBottom w:val="0"/>
          <w:divBdr>
            <w:top w:val="none" w:sz="0" w:space="0" w:color="auto"/>
            <w:left w:val="none" w:sz="0" w:space="0" w:color="auto"/>
            <w:bottom w:val="none" w:sz="0" w:space="0" w:color="auto"/>
            <w:right w:val="none" w:sz="0" w:space="0" w:color="auto"/>
          </w:divBdr>
        </w:div>
      </w:divsChild>
    </w:div>
    <w:div w:id="1442649035">
      <w:bodyDiv w:val="1"/>
      <w:marLeft w:val="0"/>
      <w:marRight w:val="0"/>
      <w:marTop w:val="0"/>
      <w:marBottom w:val="0"/>
      <w:divBdr>
        <w:top w:val="none" w:sz="0" w:space="0" w:color="auto"/>
        <w:left w:val="none" w:sz="0" w:space="0" w:color="auto"/>
        <w:bottom w:val="none" w:sz="0" w:space="0" w:color="auto"/>
        <w:right w:val="none" w:sz="0" w:space="0" w:color="auto"/>
      </w:divBdr>
    </w:div>
    <w:div w:id="1485707534">
      <w:bodyDiv w:val="1"/>
      <w:marLeft w:val="0"/>
      <w:marRight w:val="0"/>
      <w:marTop w:val="0"/>
      <w:marBottom w:val="0"/>
      <w:divBdr>
        <w:top w:val="none" w:sz="0" w:space="0" w:color="auto"/>
        <w:left w:val="none" w:sz="0" w:space="0" w:color="auto"/>
        <w:bottom w:val="none" w:sz="0" w:space="0" w:color="auto"/>
        <w:right w:val="none" w:sz="0" w:space="0" w:color="auto"/>
      </w:divBdr>
    </w:div>
    <w:div w:id="1502350501">
      <w:bodyDiv w:val="1"/>
      <w:marLeft w:val="0"/>
      <w:marRight w:val="0"/>
      <w:marTop w:val="0"/>
      <w:marBottom w:val="0"/>
      <w:divBdr>
        <w:top w:val="none" w:sz="0" w:space="0" w:color="auto"/>
        <w:left w:val="none" w:sz="0" w:space="0" w:color="auto"/>
        <w:bottom w:val="none" w:sz="0" w:space="0" w:color="auto"/>
        <w:right w:val="none" w:sz="0" w:space="0" w:color="auto"/>
      </w:divBdr>
    </w:div>
    <w:div w:id="1530989744">
      <w:bodyDiv w:val="1"/>
      <w:marLeft w:val="0"/>
      <w:marRight w:val="0"/>
      <w:marTop w:val="0"/>
      <w:marBottom w:val="0"/>
      <w:divBdr>
        <w:top w:val="none" w:sz="0" w:space="0" w:color="auto"/>
        <w:left w:val="none" w:sz="0" w:space="0" w:color="auto"/>
        <w:bottom w:val="none" w:sz="0" w:space="0" w:color="auto"/>
        <w:right w:val="none" w:sz="0" w:space="0" w:color="auto"/>
      </w:divBdr>
    </w:div>
    <w:div w:id="1893231601">
      <w:bodyDiv w:val="1"/>
      <w:marLeft w:val="0"/>
      <w:marRight w:val="0"/>
      <w:marTop w:val="0"/>
      <w:marBottom w:val="0"/>
      <w:divBdr>
        <w:top w:val="none" w:sz="0" w:space="0" w:color="auto"/>
        <w:left w:val="none" w:sz="0" w:space="0" w:color="auto"/>
        <w:bottom w:val="none" w:sz="0" w:space="0" w:color="auto"/>
        <w:right w:val="none" w:sz="0" w:space="0" w:color="auto"/>
      </w:divBdr>
    </w:div>
    <w:div w:id="2033261280">
      <w:bodyDiv w:val="1"/>
      <w:marLeft w:val="0"/>
      <w:marRight w:val="0"/>
      <w:marTop w:val="0"/>
      <w:marBottom w:val="0"/>
      <w:divBdr>
        <w:top w:val="none" w:sz="0" w:space="0" w:color="auto"/>
        <w:left w:val="none" w:sz="0" w:space="0" w:color="auto"/>
        <w:bottom w:val="none" w:sz="0" w:space="0" w:color="auto"/>
        <w:right w:val="none" w:sz="0" w:space="0" w:color="auto"/>
      </w:divBdr>
      <w:divsChild>
        <w:div w:id="1737779921">
          <w:marLeft w:val="0"/>
          <w:marRight w:val="0"/>
          <w:marTop w:val="0"/>
          <w:marBottom w:val="0"/>
          <w:divBdr>
            <w:top w:val="none" w:sz="0" w:space="0" w:color="auto"/>
            <w:left w:val="none" w:sz="0" w:space="0" w:color="auto"/>
            <w:bottom w:val="none" w:sz="0" w:space="0" w:color="auto"/>
            <w:right w:val="none" w:sz="0" w:space="0" w:color="auto"/>
          </w:divBdr>
        </w:div>
        <w:div w:id="2069181371">
          <w:marLeft w:val="0"/>
          <w:marRight w:val="0"/>
          <w:marTop w:val="0"/>
          <w:marBottom w:val="0"/>
          <w:divBdr>
            <w:top w:val="none" w:sz="0" w:space="0" w:color="auto"/>
            <w:left w:val="none" w:sz="0" w:space="0" w:color="auto"/>
            <w:bottom w:val="none" w:sz="0" w:space="0" w:color="auto"/>
            <w:right w:val="none" w:sz="0" w:space="0" w:color="auto"/>
          </w:divBdr>
        </w:div>
        <w:div w:id="364718910">
          <w:marLeft w:val="0"/>
          <w:marRight w:val="0"/>
          <w:marTop w:val="0"/>
          <w:marBottom w:val="0"/>
          <w:divBdr>
            <w:top w:val="none" w:sz="0" w:space="0" w:color="auto"/>
            <w:left w:val="none" w:sz="0" w:space="0" w:color="auto"/>
            <w:bottom w:val="none" w:sz="0" w:space="0" w:color="auto"/>
            <w:right w:val="none" w:sz="0" w:space="0" w:color="auto"/>
          </w:divBdr>
        </w:div>
      </w:divsChild>
    </w:div>
    <w:div w:id="2035618261">
      <w:bodyDiv w:val="1"/>
      <w:marLeft w:val="0"/>
      <w:marRight w:val="0"/>
      <w:marTop w:val="0"/>
      <w:marBottom w:val="0"/>
      <w:divBdr>
        <w:top w:val="none" w:sz="0" w:space="0" w:color="auto"/>
        <w:left w:val="none" w:sz="0" w:space="0" w:color="auto"/>
        <w:bottom w:val="none" w:sz="0" w:space="0" w:color="auto"/>
        <w:right w:val="none" w:sz="0" w:space="0" w:color="auto"/>
      </w:divBdr>
    </w:div>
    <w:div w:id="2055738787">
      <w:bodyDiv w:val="1"/>
      <w:marLeft w:val="0"/>
      <w:marRight w:val="0"/>
      <w:marTop w:val="0"/>
      <w:marBottom w:val="0"/>
      <w:divBdr>
        <w:top w:val="none" w:sz="0" w:space="0" w:color="auto"/>
        <w:left w:val="none" w:sz="0" w:space="0" w:color="auto"/>
        <w:bottom w:val="none" w:sz="0" w:space="0" w:color="auto"/>
        <w:right w:val="none" w:sz="0" w:space="0" w:color="auto"/>
      </w:divBdr>
      <w:divsChild>
        <w:div w:id="694383273">
          <w:marLeft w:val="-240"/>
          <w:marRight w:val="-240"/>
          <w:marTop w:val="0"/>
          <w:marBottom w:val="0"/>
          <w:divBdr>
            <w:top w:val="none" w:sz="0" w:space="0" w:color="auto"/>
            <w:left w:val="none" w:sz="0" w:space="0" w:color="auto"/>
            <w:bottom w:val="none" w:sz="0" w:space="0" w:color="auto"/>
            <w:right w:val="none" w:sz="0" w:space="0" w:color="auto"/>
          </w:divBdr>
          <w:divsChild>
            <w:div w:id="558055633">
              <w:marLeft w:val="0"/>
              <w:marRight w:val="0"/>
              <w:marTop w:val="0"/>
              <w:marBottom w:val="0"/>
              <w:divBdr>
                <w:top w:val="none" w:sz="0" w:space="0" w:color="auto"/>
                <w:left w:val="none" w:sz="0" w:space="0" w:color="auto"/>
                <w:bottom w:val="none" w:sz="0" w:space="0" w:color="auto"/>
                <w:right w:val="none" w:sz="0" w:space="0" w:color="auto"/>
              </w:divBdr>
              <w:divsChild>
                <w:div w:id="16812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0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1.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8" Type="http://schemas.openxmlformats.org/officeDocument/2006/relationships/hyperlink" Target="http://www.investopedia.com/terms/c/cashconversioncycle.asp"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2049-2AB6-48CB-8C42-5580D65E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7434</Words>
  <Characters>42375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USER2018</dc:creator>
  <cp:keywords/>
  <dc:description/>
  <cp:lastModifiedBy>USER2018</cp:lastModifiedBy>
  <cp:revision>3</cp:revision>
  <cp:lastPrinted>2022-01-19T09:28:00Z</cp:lastPrinted>
  <dcterms:created xsi:type="dcterms:W3CDTF">2022-02-17T14:32:00Z</dcterms:created>
  <dcterms:modified xsi:type="dcterms:W3CDTF">2022-02-17T14:57:00Z</dcterms:modified>
</cp:coreProperties>
</file>