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3F1E43B" w14:textId="146F08FE" w:rsidR="00C7325F" w:rsidRPr="00C7325F" w:rsidRDefault="00C7325F" w:rsidP="00227562">
      <w:pPr>
        <w:rPr>
          <w:rFonts w:ascii="Gill Sans MT" w:hAnsi="Gill Sans MT"/>
        </w:rPr>
      </w:pPr>
      <w:r w:rsidRPr="00C7325F">
        <w:rPr>
          <w:rFonts w:ascii="Gill Sans MT" w:hAnsi="Gill Sans MT"/>
        </w:rPr>
        <w:fldChar w:fldCharType="begin"/>
      </w:r>
      <w:r w:rsidR="00684DB4">
        <w:rPr>
          <w:rFonts w:ascii="Gill Sans MT" w:hAnsi="Gill Sans MT"/>
        </w:rPr>
        <w:instrText xml:space="preserve"> INCLUDEPICTURE "https://rul-my.sharepoint.com/var/folders/n2/2t0w27rs09s781rj9n8rtdnh0000gn/T/com.microsoft.Word/WebArchiveCopyPasteTempFiles/page1image1862012208" \* MERGEFORMAT </w:instrText>
      </w:r>
      <w:r w:rsidRPr="00C7325F">
        <w:rPr>
          <w:rFonts w:ascii="Gill Sans MT" w:hAnsi="Gill Sans MT"/>
        </w:rPr>
        <w:fldChar w:fldCharType="end"/>
      </w:r>
    </w:p>
    <w:p w14:paraId="2432AFF0" w14:textId="67537C47" w:rsidR="008747DF" w:rsidRPr="0008690A" w:rsidRDefault="008747DF" w:rsidP="00227562">
      <w:pPr>
        <w:pBdr>
          <w:bottom w:val="single" w:sz="4" w:space="1" w:color="auto"/>
        </w:pBdr>
        <w:rPr>
          <w:rFonts w:ascii="Gill Sans MT" w:hAnsi="Gill Sans MT"/>
        </w:rPr>
      </w:pPr>
    </w:p>
    <w:p w14:paraId="08D39613" w14:textId="3831080E" w:rsidR="00C7325F" w:rsidRPr="0008690A" w:rsidRDefault="00C7325F" w:rsidP="00227562">
      <w:pPr>
        <w:rPr>
          <w:rFonts w:ascii="Gill Sans MT" w:hAnsi="Gill Sans MT"/>
        </w:rPr>
      </w:pPr>
    </w:p>
    <w:p w14:paraId="4C0EE0EB" w14:textId="71D77D6C" w:rsidR="00C7325F" w:rsidRPr="0008690A" w:rsidRDefault="00C7325F" w:rsidP="00227562">
      <w:pPr>
        <w:rPr>
          <w:rFonts w:ascii="Gill Sans MT" w:hAnsi="Gill Sans MT"/>
        </w:rPr>
      </w:pPr>
    </w:p>
    <w:p w14:paraId="62383923" w14:textId="2D8B3BA5" w:rsidR="00F167F5" w:rsidRPr="00C7325F" w:rsidRDefault="00F167F5" w:rsidP="00F167F5">
      <w:pPr>
        <w:pStyle w:val="NormalWeb"/>
        <w:shd w:val="clear" w:color="auto" w:fill="FFFFFF"/>
        <w:jc w:val="center"/>
        <w:rPr>
          <w:rFonts w:ascii="Gill Sans MT" w:hAnsi="Gill Sans MT"/>
          <w:b/>
          <w:bCs/>
        </w:rPr>
      </w:pPr>
      <w:r w:rsidRPr="00C7325F">
        <w:rPr>
          <w:rFonts w:ascii="Gill Sans MT" w:hAnsi="Gill Sans MT"/>
          <w:b/>
          <w:bCs/>
        </w:rPr>
        <w:t xml:space="preserve">Standard or </w:t>
      </w:r>
      <w:r w:rsidR="00AC6C29" w:rsidRPr="00865DD6">
        <w:rPr>
          <w:rFonts w:ascii="Gill Sans MT" w:hAnsi="Gill Sans MT"/>
          <w:b/>
          <w:color w:val="000000" w:themeColor="text1"/>
        </w:rPr>
        <w:t>Sustainable Investing</w:t>
      </w:r>
      <w:r>
        <w:rPr>
          <w:rFonts w:ascii="Gill Sans MT" w:hAnsi="Gill Sans MT"/>
          <w:b/>
          <w:color w:val="000000" w:themeColor="text1"/>
        </w:rPr>
        <w:t xml:space="preserve"> </w:t>
      </w:r>
      <w:r w:rsidRPr="00C7325F">
        <w:rPr>
          <w:rFonts w:ascii="Gill Sans MT" w:hAnsi="Gill Sans MT"/>
          <w:b/>
          <w:bCs/>
        </w:rPr>
        <w:t>– Which Offers Better Performance for the Passive Investor?</w:t>
      </w:r>
    </w:p>
    <w:p w14:paraId="3BBF0F3A" w14:textId="77777777" w:rsidR="00AC6C29" w:rsidRDefault="00AC6C29" w:rsidP="00DE2C01">
      <w:pPr>
        <w:shd w:val="clear" w:color="auto" w:fill="FFFFFF"/>
        <w:outlineLvl w:val="2"/>
        <w:rPr>
          <w:rStyle w:val="Hyperlink"/>
          <w:rFonts w:ascii="Gill Sans MT" w:hAnsi="Gill Sans MT"/>
          <w:color w:val="000000" w:themeColor="text1"/>
        </w:rPr>
      </w:pPr>
    </w:p>
    <w:p w14:paraId="2BB7E57C" w14:textId="736B0714" w:rsidR="00AC6C29" w:rsidRPr="003C5044" w:rsidRDefault="00167F04" w:rsidP="00AC6C29">
      <w:pPr>
        <w:shd w:val="clear" w:color="auto" w:fill="FFFFFF"/>
        <w:jc w:val="center"/>
        <w:outlineLvl w:val="2"/>
        <w:rPr>
          <w:rFonts w:ascii="Gill Sans MT" w:hAnsi="Gill Sans MT"/>
          <w:color w:val="000000" w:themeColor="text1"/>
        </w:rPr>
      </w:pPr>
      <w:r>
        <w:rPr>
          <w:rStyle w:val="Hyperlink"/>
          <w:rFonts w:ascii="Gill Sans MT" w:hAnsi="Gill Sans MT"/>
          <w:color w:val="000000" w:themeColor="text1"/>
        </w:rPr>
        <w:t>4 Sep</w:t>
      </w:r>
      <w:r w:rsidR="00AC6C29" w:rsidRPr="003C5044">
        <w:rPr>
          <w:rStyle w:val="Hyperlink"/>
          <w:rFonts w:ascii="Gill Sans MT" w:hAnsi="Gill Sans MT"/>
          <w:color w:val="000000" w:themeColor="text1"/>
        </w:rPr>
        <w:t xml:space="preserve"> 20</w:t>
      </w:r>
      <w:r w:rsidR="00AC6C29">
        <w:rPr>
          <w:rStyle w:val="Hyperlink"/>
          <w:rFonts w:ascii="Gill Sans MT" w:hAnsi="Gill Sans MT"/>
          <w:color w:val="000000" w:themeColor="text1"/>
        </w:rPr>
        <w:t>20</w:t>
      </w:r>
    </w:p>
    <w:p w14:paraId="609D9589" w14:textId="1EE9A155" w:rsidR="0024017A" w:rsidRDefault="00C7325F" w:rsidP="0024017A">
      <w:pPr>
        <w:shd w:val="clear" w:color="auto" w:fill="FFFFFF"/>
        <w:jc w:val="center"/>
        <w:outlineLvl w:val="2"/>
        <w:rPr>
          <w:rFonts w:ascii="Gill Sans MT" w:hAnsi="Gill Sans MT"/>
          <w:color w:val="000000" w:themeColor="text1"/>
        </w:rPr>
      </w:pPr>
      <w:r w:rsidRPr="00BC51BE">
        <w:rPr>
          <w:rFonts w:ascii="Gill Sans MT" w:hAnsi="Gill Sans MT"/>
          <w:b/>
          <w:bCs/>
        </w:rPr>
        <w:t>Daniel C Khajenouri</w:t>
      </w:r>
      <w:r w:rsidR="007D176E">
        <w:rPr>
          <w:rFonts w:ascii="Gill Sans MT" w:hAnsi="Gill Sans MT"/>
          <w:b/>
          <w:bCs/>
        </w:rPr>
        <w:t>,</w:t>
      </w:r>
      <w:r w:rsidR="00BC51BE" w:rsidRPr="00BC51BE">
        <w:rPr>
          <w:rFonts w:ascii="Gill Sans MT" w:hAnsi="Gill Sans MT"/>
          <w:b/>
          <w:bCs/>
        </w:rPr>
        <w:t xml:space="preserve"> Jacob H Schmid</w:t>
      </w:r>
      <w:r w:rsidR="00BC51BE">
        <w:rPr>
          <w:rFonts w:ascii="Gill Sans MT" w:hAnsi="Gill Sans MT"/>
          <w:b/>
          <w:bCs/>
        </w:rPr>
        <w:t xml:space="preserve">t </w:t>
      </w:r>
      <w:r w:rsidRPr="00BC51BE">
        <w:rPr>
          <w:rFonts w:ascii="Gill Sans MT" w:hAnsi="Gill Sans MT"/>
          <w:b/>
          <w:bCs/>
        </w:rPr>
        <w:br/>
      </w:r>
      <w:r w:rsidR="0024017A" w:rsidRPr="009049CA">
        <w:rPr>
          <w:rFonts w:ascii="Gill Sans MT" w:hAnsi="Gill Sans MT"/>
          <w:color w:val="000000" w:themeColor="text1"/>
        </w:rPr>
        <w:t xml:space="preserve">Regent’s University London, Inner </w:t>
      </w:r>
      <w:r w:rsidR="0024017A" w:rsidRPr="009663A5">
        <w:rPr>
          <w:rFonts w:ascii="Gill Sans MT" w:hAnsi="Gill Sans MT"/>
          <w:color w:val="000000" w:themeColor="text1"/>
        </w:rPr>
        <w:t xml:space="preserve">Circle, Regent’s Park, London, NW1 4NS, UK. </w:t>
      </w:r>
    </w:p>
    <w:p w14:paraId="4346DBF2" w14:textId="5F573CBB" w:rsidR="00C7325F" w:rsidRDefault="00C7325F" w:rsidP="0024017A">
      <w:pPr>
        <w:shd w:val="clear" w:color="auto" w:fill="FFFFFF"/>
        <w:jc w:val="center"/>
        <w:outlineLvl w:val="2"/>
        <w:rPr>
          <w:rFonts w:ascii="Gill Sans MT" w:hAnsi="Gill Sans MT"/>
          <w:sz w:val="22"/>
          <w:szCs w:val="22"/>
        </w:rPr>
      </w:pPr>
      <w:r w:rsidRPr="007D176E">
        <w:rPr>
          <w:rFonts w:ascii="Gill Sans MT" w:hAnsi="Gill Sans MT"/>
          <w:sz w:val="22"/>
          <w:szCs w:val="22"/>
        </w:rPr>
        <w:t xml:space="preserve">Contact </w:t>
      </w:r>
      <w:r w:rsidR="00363606">
        <w:rPr>
          <w:rFonts w:ascii="Gill Sans MT" w:hAnsi="Gill Sans MT"/>
          <w:sz w:val="22"/>
          <w:szCs w:val="22"/>
        </w:rPr>
        <w:t>a</w:t>
      </w:r>
      <w:r w:rsidRPr="007D176E">
        <w:rPr>
          <w:rFonts w:ascii="Gill Sans MT" w:hAnsi="Gill Sans MT"/>
          <w:sz w:val="22"/>
          <w:szCs w:val="22"/>
        </w:rPr>
        <w:t>d</w:t>
      </w:r>
      <w:r w:rsidR="007D176E" w:rsidRPr="007D176E">
        <w:rPr>
          <w:rFonts w:ascii="Gill Sans MT" w:hAnsi="Gill Sans MT"/>
          <w:sz w:val="22"/>
          <w:szCs w:val="22"/>
        </w:rPr>
        <w:t>d</w:t>
      </w:r>
      <w:r w:rsidRPr="007D176E">
        <w:rPr>
          <w:rFonts w:ascii="Gill Sans MT" w:hAnsi="Gill Sans MT"/>
          <w:sz w:val="22"/>
          <w:szCs w:val="22"/>
        </w:rPr>
        <w:t>res</w:t>
      </w:r>
      <w:r w:rsidR="007D176E" w:rsidRPr="007D176E">
        <w:rPr>
          <w:rFonts w:ascii="Gill Sans MT" w:hAnsi="Gill Sans MT"/>
          <w:sz w:val="22"/>
          <w:szCs w:val="22"/>
        </w:rPr>
        <w:t xml:space="preserve">s: </w:t>
      </w:r>
      <w:r w:rsidRPr="007D176E">
        <w:rPr>
          <w:rFonts w:ascii="Gill Sans MT" w:hAnsi="Gill Sans MT"/>
        </w:rPr>
        <w:br/>
      </w:r>
      <w:hyperlink r:id="rId11" w:history="1">
        <w:r w:rsidR="00E43474" w:rsidRPr="00D352A5">
          <w:rPr>
            <w:rStyle w:val="Hyperlink"/>
            <w:rFonts w:ascii="Gill Sans MT" w:hAnsi="Gill Sans MT"/>
            <w:sz w:val="22"/>
            <w:szCs w:val="22"/>
          </w:rPr>
          <w:t>dkhajenouri@gmail.com</w:t>
        </w:r>
      </w:hyperlink>
      <w:r w:rsidR="00E43474">
        <w:rPr>
          <w:rFonts w:ascii="Gill Sans MT" w:hAnsi="Gill Sans MT"/>
          <w:sz w:val="22"/>
          <w:szCs w:val="22"/>
        </w:rPr>
        <w:t xml:space="preserve"> </w:t>
      </w:r>
      <w:hyperlink r:id="rId12" w:history="1">
        <w:r w:rsidR="00E43474" w:rsidRPr="00D352A5">
          <w:rPr>
            <w:rStyle w:val="Hyperlink"/>
            <w:rFonts w:ascii="Gill Sans MT" w:hAnsi="Gill Sans MT"/>
            <w:sz w:val="22"/>
            <w:szCs w:val="22"/>
          </w:rPr>
          <w:t>schmidtj@regents.ac</w:t>
        </w:r>
      </w:hyperlink>
      <w:r w:rsidR="00E43474">
        <w:rPr>
          <w:rFonts w:ascii="Gill Sans MT" w:hAnsi="Gill Sans MT"/>
          <w:sz w:val="22"/>
          <w:szCs w:val="22"/>
        </w:rPr>
        <w:t xml:space="preserve"> </w:t>
      </w:r>
    </w:p>
    <w:p w14:paraId="44B8E9A5" w14:textId="1DC3B45E" w:rsidR="00DE2C01" w:rsidRDefault="00DE2C01" w:rsidP="0024017A">
      <w:pPr>
        <w:shd w:val="clear" w:color="auto" w:fill="FFFFFF"/>
        <w:jc w:val="center"/>
        <w:outlineLvl w:val="2"/>
        <w:rPr>
          <w:rFonts w:ascii="Gill Sans MT" w:hAnsi="Gill Sans MT"/>
        </w:rPr>
      </w:pPr>
    </w:p>
    <w:p w14:paraId="77EB4AFE" w14:textId="63A68272" w:rsidR="00DE2C01" w:rsidRDefault="00DE2C01" w:rsidP="0024017A">
      <w:pPr>
        <w:shd w:val="clear" w:color="auto" w:fill="FFFFFF"/>
        <w:jc w:val="center"/>
        <w:outlineLvl w:val="2"/>
        <w:rPr>
          <w:rFonts w:ascii="Gill Sans MT" w:hAnsi="Gill Sans MT"/>
        </w:rPr>
      </w:pPr>
    </w:p>
    <w:p w14:paraId="05E740EF" w14:textId="77777777" w:rsidR="00F83305" w:rsidRPr="007D176E" w:rsidRDefault="00F83305" w:rsidP="0024017A">
      <w:pPr>
        <w:shd w:val="clear" w:color="auto" w:fill="FFFFFF"/>
        <w:jc w:val="center"/>
        <w:outlineLvl w:val="2"/>
        <w:rPr>
          <w:rFonts w:ascii="Gill Sans MT" w:hAnsi="Gill Sans MT"/>
        </w:rPr>
      </w:pPr>
    </w:p>
    <w:p w14:paraId="4C458633" w14:textId="1AFECC90" w:rsidR="00465146" w:rsidRPr="00C7325F" w:rsidRDefault="00465146" w:rsidP="00465146">
      <w:pPr>
        <w:pStyle w:val="NormalWeb"/>
        <w:jc w:val="both"/>
        <w:rPr>
          <w:rFonts w:ascii="Gill Sans MT" w:hAnsi="Gill Sans MT"/>
          <w:sz w:val="22"/>
          <w:szCs w:val="22"/>
        </w:rPr>
      </w:pPr>
      <w:r w:rsidRPr="0008690A">
        <w:rPr>
          <w:rFonts w:ascii="Gill Sans MT" w:hAnsi="Gill Sans MT"/>
          <w:b/>
          <w:bCs/>
          <w:sz w:val="22"/>
          <w:szCs w:val="22"/>
        </w:rPr>
        <w:t xml:space="preserve">Abstract: </w:t>
      </w:r>
      <w:r w:rsidRPr="0008690A">
        <w:rPr>
          <w:rFonts w:ascii="Gill Sans MT" w:hAnsi="Gill Sans MT"/>
          <w:sz w:val="22"/>
          <w:szCs w:val="22"/>
        </w:rPr>
        <w:t xml:space="preserve">This research report studies the </w:t>
      </w:r>
      <w:r>
        <w:rPr>
          <w:rFonts w:ascii="Gill Sans MT" w:hAnsi="Gill Sans MT"/>
          <w:sz w:val="22"/>
          <w:szCs w:val="22"/>
        </w:rPr>
        <w:t>risk-adjusted p</w:t>
      </w:r>
      <w:r w:rsidRPr="0008690A">
        <w:rPr>
          <w:rFonts w:ascii="Gill Sans MT" w:hAnsi="Gill Sans MT"/>
          <w:sz w:val="22"/>
          <w:szCs w:val="22"/>
        </w:rPr>
        <w:t>erformance of the major</w:t>
      </w:r>
      <w:r>
        <w:rPr>
          <w:rFonts w:ascii="Gill Sans MT" w:hAnsi="Gill Sans MT"/>
          <w:sz w:val="22"/>
          <w:szCs w:val="22"/>
        </w:rPr>
        <w:t xml:space="preserve"> international</w:t>
      </w:r>
      <w:r w:rsidRPr="0008690A">
        <w:rPr>
          <w:rFonts w:ascii="Gill Sans MT" w:hAnsi="Gill Sans MT"/>
          <w:sz w:val="22"/>
          <w:szCs w:val="22"/>
        </w:rPr>
        <w:t xml:space="preserve"> </w:t>
      </w:r>
      <w:r>
        <w:rPr>
          <w:rFonts w:ascii="Gill Sans MT" w:hAnsi="Gill Sans MT"/>
          <w:sz w:val="22"/>
          <w:szCs w:val="22"/>
        </w:rPr>
        <w:t>equity indices</w:t>
      </w:r>
      <w:r w:rsidRPr="0008690A">
        <w:rPr>
          <w:rFonts w:ascii="Gill Sans MT" w:hAnsi="Gill Sans MT"/>
          <w:sz w:val="22"/>
          <w:szCs w:val="22"/>
        </w:rPr>
        <w:t xml:space="preserve"> against their ESG screened equivalents (MSCI World, MSCI USA, MSCI Emerging Markets and MSCI Europe).</w:t>
      </w:r>
      <w:r>
        <w:rPr>
          <w:rFonts w:ascii="Gill Sans MT" w:hAnsi="Gill Sans MT"/>
          <w:sz w:val="22"/>
          <w:szCs w:val="22"/>
        </w:rPr>
        <w:t xml:space="preserve"> </w:t>
      </w:r>
      <w:r w:rsidR="002F3EBE">
        <w:rPr>
          <w:rFonts w:ascii="Gill Sans MT" w:hAnsi="Gill Sans MT"/>
          <w:sz w:val="22"/>
          <w:szCs w:val="22"/>
        </w:rPr>
        <w:t>T</w:t>
      </w:r>
      <w:r>
        <w:rPr>
          <w:rFonts w:ascii="Gill Sans MT" w:hAnsi="Gill Sans MT"/>
          <w:sz w:val="22"/>
          <w:szCs w:val="22"/>
        </w:rPr>
        <w:t>he daily closing prices, returns</w:t>
      </w:r>
      <w:r w:rsidRPr="0008690A">
        <w:rPr>
          <w:rFonts w:ascii="Gill Sans MT" w:hAnsi="Gill Sans MT"/>
          <w:sz w:val="22"/>
          <w:szCs w:val="22"/>
        </w:rPr>
        <w:t>, standard deviations and Sharpe ratio</w:t>
      </w:r>
      <w:r>
        <w:rPr>
          <w:rFonts w:ascii="Gill Sans MT" w:hAnsi="Gill Sans MT"/>
          <w:sz w:val="22"/>
          <w:szCs w:val="22"/>
        </w:rPr>
        <w:t xml:space="preserve"> characteristics</w:t>
      </w:r>
      <w:r w:rsidRPr="0008690A">
        <w:rPr>
          <w:rFonts w:ascii="Gill Sans MT" w:hAnsi="Gill Sans MT"/>
          <w:sz w:val="22"/>
          <w:szCs w:val="22"/>
        </w:rPr>
        <w:t xml:space="preserve"> are </w:t>
      </w:r>
      <w:r w:rsidR="002F3EBE">
        <w:rPr>
          <w:rFonts w:ascii="Gill Sans MT" w:hAnsi="Gill Sans MT"/>
          <w:sz w:val="22"/>
          <w:szCs w:val="22"/>
        </w:rPr>
        <w:t>analysed</w:t>
      </w:r>
      <w:r w:rsidRPr="0008690A">
        <w:rPr>
          <w:rFonts w:ascii="Gill Sans MT" w:hAnsi="Gill Sans MT"/>
          <w:sz w:val="22"/>
          <w:szCs w:val="22"/>
        </w:rPr>
        <w:t xml:space="preserve"> from 2013 to 2020. The current literature available from highly rated journals on the subject </w:t>
      </w:r>
      <w:r>
        <w:rPr>
          <w:rFonts w:ascii="Gill Sans MT" w:hAnsi="Gill Sans MT"/>
          <w:sz w:val="22"/>
          <w:szCs w:val="22"/>
        </w:rPr>
        <w:t xml:space="preserve">is </w:t>
      </w:r>
      <w:r w:rsidRPr="0008690A">
        <w:rPr>
          <w:rFonts w:ascii="Gill Sans MT" w:hAnsi="Gill Sans MT"/>
          <w:sz w:val="22"/>
          <w:szCs w:val="22"/>
        </w:rPr>
        <w:t xml:space="preserve">also considered, </w:t>
      </w:r>
      <w:r>
        <w:rPr>
          <w:rFonts w:ascii="Gill Sans MT" w:hAnsi="Gill Sans MT"/>
          <w:sz w:val="22"/>
          <w:szCs w:val="22"/>
        </w:rPr>
        <w:t xml:space="preserve">which </w:t>
      </w:r>
      <w:r w:rsidRPr="0008690A">
        <w:rPr>
          <w:rFonts w:ascii="Gill Sans MT" w:hAnsi="Gill Sans MT"/>
          <w:sz w:val="22"/>
          <w:szCs w:val="22"/>
        </w:rPr>
        <w:t>provid</w:t>
      </w:r>
      <w:r>
        <w:rPr>
          <w:rFonts w:ascii="Gill Sans MT" w:hAnsi="Gill Sans MT"/>
          <w:sz w:val="22"/>
          <w:szCs w:val="22"/>
        </w:rPr>
        <w:t>ed</w:t>
      </w:r>
      <w:r w:rsidRPr="0008690A">
        <w:rPr>
          <w:rFonts w:ascii="Gill Sans MT" w:hAnsi="Gill Sans MT"/>
          <w:sz w:val="22"/>
          <w:szCs w:val="22"/>
        </w:rPr>
        <w:t xml:space="preserve"> mixed results on the subject matter. </w:t>
      </w:r>
      <w:r>
        <w:rPr>
          <w:rFonts w:ascii="Gill Sans MT" w:hAnsi="Gill Sans MT"/>
          <w:sz w:val="22"/>
          <w:szCs w:val="22"/>
        </w:rPr>
        <w:t>We</w:t>
      </w:r>
      <w:r w:rsidRPr="0008690A">
        <w:rPr>
          <w:rFonts w:ascii="Gill Sans MT" w:hAnsi="Gill Sans MT"/>
          <w:sz w:val="22"/>
          <w:szCs w:val="22"/>
        </w:rPr>
        <w:t xml:space="preserve"> found no academic papers focussing specifically on </w:t>
      </w:r>
      <w:r>
        <w:rPr>
          <w:rFonts w:ascii="Gill Sans MT" w:hAnsi="Gill Sans MT"/>
          <w:sz w:val="22"/>
          <w:szCs w:val="22"/>
        </w:rPr>
        <w:t xml:space="preserve">analysing </w:t>
      </w:r>
      <w:r w:rsidRPr="0008690A">
        <w:rPr>
          <w:rFonts w:ascii="Gill Sans MT" w:hAnsi="Gill Sans MT"/>
          <w:sz w:val="22"/>
          <w:szCs w:val="22"/>
        </w:rPr>
        <w:t xml:space="preserve">the </w:t>
      </w:r>
      <w:r>
        <w:rPr>
          <w:rFonts w:ascii="Gill Sans MT" w:hAnsi="Gill Sans MT"/>
          <w:sz w:val="22"/>
          <w:szCs w:val="22"/>
        </w:rPr>
        <w:t>performance of indices</w:t>
      </w:r>
      <w:r w:rsidRPr="0008690A">
        <w:rPr>
          <w:rFonts w:ascii="Gill Sans MT" w:hAnsi="Gill Sans MT"/>
          <w:sz w:val="22"/>
          <w:szCs w:val="22"/>
        </w:rPr>
        <w:t xml:space="preserve"> and their ESG screened equivalents. With this paper, </w:t>
      </w:r>
      <w:r>
        <w:rPr>
          <w:rFonts w:ascii="Gill Sans MT" w:hAnsi="Gill Sans MT"/>
          <w:sz w:val="22"/>
          <w:szCs w:val="22"/>
        </w:rPr>
        <w:t>we</w:t>
      </w:r>
      <w:r w:rsidRPr="0008690A">
        <w:rPr>
          <w:rFonts w:ascii="Gill Sans MT" w:hAnsi="Gill Sans MT"/>
          <w:sz w:val="22"/>
          <w:szCs w:val="22"/>
        </w:rPr>
        <w:t xml:space="preserve"> intend to fill this gap in the</w:t>
      </w:r>
      <w:r w:rsidR="002F3EBE">
        <w:rPr>
          <w:rFonts w:ascii="Gill Sans MT" w:hAnsi="Gill Sans MT"/>
          <w:sz w:val="22"/>
          <w:szCs w:val="22"/>
        </w:rPr>
        <w:t xml:space="preserve"> current</w:t>
      </w:r>
      <w:r w:rsidRPr="0008690A">
        <w:rPr>
          <w:rFonts w:ascii="Gill Sans MT" w:hAnsi="Gill Sans MT"/>
          <w:sz w:val="22"/>
          <w:szCs w:val="22"/>
        </w:rPr>
        <w:t xml:space="preserve"> research</w:t>
      </w:r>
      <w:r w:rsidR="002F3EBE">
        <w:rPr>
          <w:rFonts w:ascii="Gill Sans MT" w:hAnsi="Gill Sans MT"/>
          <w:sz w:val="22"/>
          <w:szCs w:val="22"/>
        </w:rPr>
        <w:t xml:space="preserve"> available</w:t>
      </w:r>
      <w:r w:rsidRPr="0008690A">
        <w:rPr>
          <w:rFonts w:ascii="Gill Sans MT" w:hAnsi="Gill Sans MT"/>
          <w:sz w:val="22"/>
          <w:szCs w:val="22"/>
        </w:rPr>
        <w:t>.</w:t>
      </w:r>
    </w:p>
    <w:p w14:paraId="223A3FB3" w14:textId="5978FC36" w:rsidR="00465146" w:rsidRPr="00C7325F" w:rsidRDefault="00465146" w:rsidP="00465146">
      <w:pPr>
        <w:pStyle w:val="NormalWeb"/>
        <w:jc w:val="both"/>
        <w:rPr>
          <w:rFonts w:ascii="Gill Sans MT" w:hAnsi="Gill Sans MT"/>
          <w:sz w:val="22"/>
          <w:szCs w:val="22"/>
        </w:rPr>
      </w:pPr>
      <w:r>
        <w:rPr>
          <w:rFonts w:ascii="Gill Sans MT" w:hAnsi="Gill Sans MT"/>
          <w:sz w:val="22"/>
          <w:szCs w:val="22"/>
        </w:rPr>
        <w:t xml:space="preserve">We </w:t>
      </w:r>
      <w:r w:rsidRPr="00C7325F">
        <w:rPr>
          <w:rFonts w:ascii="Gill Sans MT" w:hAnsi="Gill Sans MT"/>
          <w:sz w:val="22"/>
          <w:szCs w:val="22"/>
        </w:rPr>
        <w:t>conclud</w:t>
      </w:r>
      <w:r>
        <w:rPr>
          <w:rFonts w:ascii="Gill Sans MT" w:hAnsi="Gill Sans MT"/>
          <w:sz w:val="22"/>
          <w:szCs w:val="22"/>
        </w:rPr>
        <w:t>e</w:t>
      </w:r>
      <w:r w:rsidRPr="00C7325F">
        <w:rPr>
          <w:rFonts w:ascii="Gill Sans MT" w:hAnsi="Gill Sans MT"/>
          <w:sz w:val="22"/>
          <w:szCs w:val="22"/>
        </w:rPr>
        <w:t xml:space="preserve"> that for the passive investor, choosing ESG screened </w:t>
      </w:r>
      <w:r>
        <w:rPr>
          <w:rFonts w:ascii="Gill Sans MT" w:hAnsi="Gill Sans MT"/>
          <w:sz w:val="22"/>
          <w:szCs w:val="22"/>
        </w:rPr>
        <w:t>indices over the conventional equivalent</w:t>
      </w:r>
      <w:r w:rsidRPr="00C7325F">
        <w:rPr>
          <w:rFonts w:ascii="Gill Sans MT" w:hAnsi="Gill Sans MT"/>
          <w:sz w:val="22"/>
          <w:szCs w:val="22"/>
        </w:rPr>
        <w:t xml:space="preserve"> have consistently provided better risk-adjusted returns over the long-term period. These findings are robust with the consistently highe</w:t>
      </w:r>
      <w:r>
        <w:rPr>
          <w:rFonts w:ascii="Gill Sans MT" w:hAnsi="Gill Sans MT"/>
          <w:sz w:val="22"/>
          <w:szCs w:val="22"/>
        </w:rPr>
        <w:t>r</w:t>
      </w:r>
      <w:r w:rsidRPr="00C7325F">
        <w:rPr>
          <w:rFonts w:ascii="Gill Sans MT" w:hAnsi="Gill Sans MT"/>
          <w:sz w:val="22"/>
          <w:szCs w:val="22"/>
        </w:rPr>
        <w:t xml:space="preserve"> Sharpe ratio</w:t>
      </w:r>
      <w:r>
        <w:rPr>
          <w:rFonts w:ascii="Gill Sans MT" w:hAnsi="Gill Sans MT"/>
          <w:sz w:val="22"/>
          <w:szCs w:val="22"/>
        </w:rPr>
        <w:t>s</w:t>
      </w:r>
      <w:r w:rsidRPr="00C7325F">
        <w:rPr>
          <w:rFonts w:ascii="Gill Sans MT" w:hAnsi="Gill Sans MT"/>
          <w:sz w:val="22"/>
          <w:szCs w:val="22"/>
        </w:rPr>
        <w:t xml:space="preserve"> over the eight-year period for each </w:t>
      </w:r>
      <w:r>
        <w:rPr>
          <w:rFonts w:ascii="Gill Sans MT" w:hAnsi="Gill Sans MT"/>
          <w:sz w:val="22"/>
          <w:szCs w:val="22"/>
        </w:rPr>
        <w:t>index</w:t>
      </w:r>
      <w:r w:rsidRPr="00C7325F">
        <w:rPr>
          <w:rFonts w:ascii="Gill Sans MT" w:hAnsi="Gill Sans MT"/>
          <w:sz w:val="22"/>
          <w:szCs w:val="22"/>
        </w:rPr>
        <w:t xml:space="preserve">. </w:t>
      </w:r>
      <w:r w:rsidR="002F3EBE">
        <w:rPr>
          <w:rFonts w:ascii="Gill Sans MT" w:hAnsi="Gill Sans MT"/>
          <w:sz w:val="22"/>
          <w:szCs w:val="22"/>
        </w:rPr>
        <w:t xml:space="preserve">We predict </w:t>
      </w:r>
      <w:r w:rsidRPr="00C7325F">
        <w:rPr>
          <w:rFonts w:ascii="Gill Sans MT" w:hAnsi="Gill Sans MT"/>
          <w:sz w:val="22"/>
          <w:szCs w:val="22"/>
        </w:rPr>
        <w:t xml:space="preserve">ESG </w:t>
      </w:r>
      <w:r>
        <w:rPr>
          <w:rFonts w:ascii="Gill Sans MT" w:hAnsi="Gill Sans MT"/>
          <w:sz w:val="22"/>
          <w:szCs w:val="22"/>
        </w:rPr>
        <w:t xml:space="preserve">investments </w:t>
      </w:r>
      <w:r w:rsidRPr="00C7325F">
        <w:rPr>
          <w:rFonts w:ascii="Gill Sans MT" w:hAnsi="Gill Sans MT"/>
          <w:sz w:val="22"/>
          <w:szCs w:val="22"/>
        </w:rPr>
        <w:t xml:space="preserve">may continue to </w:t>
      </w:r>
      <w:r>
        <w:rPr>
          <w:rFonts w:ascii="Gill Sans MT" w:hAnsi="Gill Sans MT"/>
          <w:sz w:val="22"/>
          <w:szCs w:val="22"/>
        </w:rPr>
        <w:t xml:space="preserve">outperform due to changing </w:t>
      </w:r>
      <w:r w:rsidR="002F3EBE">
        <w:rPr>
          <w:rFonts w:ascii="Gill Sans MT" w:hAnsi="Gill Sans MT"/>
          <w:sz w:val="22"/>
          <w:szCs w:val="22"/>
        </w:rPr>
        <w:t xml:space="preserve">retail and institutional </w:t>
      </w:r>
      <w:r>
        <w:rPr>
          <w:rFonts w:ascii="Gill Sans MT" w:hAnsi="Gill Sans MT"/>
          <w:sz w:val="22"/>
          <w:szCs w:val="22"/>
        </w:rPr>
        <w:t>investor preferences.</w:t>
      </w:r>
    </w:p>
    <w:p w14:paraId="2FAA8275" w14:textId="77777777" w:rsidR="00465146" w:rsidRPr="0008690A" w:rsidRDefault="00465146" w:rsidP="00465146">
      <w:pPr>
        <w:pStyle w:val="NormalWeb"/>
        <w:shd w:val="clear" w:color="auto" w:fill="FFFFFF"/>
        <w:jc w:val="both"/>
        <w:rPr>
          <w:rFonts w:ascii="Gill Sans MT" w:hAnsi="Gill Sans MT"/>
          <w:sz w:val="22"/>
          <w:szCs w:val="22"/>
        </w:rPr>
      </w:pPr>
      <w:r w:rsidRPr="0008690A">
        <w:rPr>
          <w:rFonts w:ascii="Gill Sans MT" w:hAnsi="Gill Sans MT"/>
          <w:b/>
          <w:bCs/>
          <w:sz w:val="22"/>
          <w:szCs w:val="22"/>
        </w:rPr>
        <w:t xml:space="preserve">Keywords: </w:t>
      </w:r>
      <w:r w:rsidRPr="0008690A">
        <w:rPr>
          <w:rFonts w:ascii="Gill Sans MT" w:hAnsi="Gill Sans MT"/>
          <w:sz w:val="22"/>
          <w:szCs w:val="22"/>
        </w:rPr>
        <w:t xml:space="preserve">Sustainability; Passive; Investment; ESG; </w:t>
      </w:r>
      <w:r>
        <w:rPr>
          <w:rFonts w:ascii="Gill Sans MT" w:hAnsi="Gill Sans MT"/>
          <w:sz w:val="22"/>
          <w:szCs w:val="22"/>
        </w:rPr>
        <w:t>Asset; Management; Wealth</w:t>
      </w:r>
    </w:p>
    <w:p w14:paraId="1431D6B6" w14:textId="77777777" w:rsidR="00E43474" w:rsidRDefault="00E43474" w:rsidP="00465146">
      <w:pPr>
        <w:shd w:val="clear" w:color="auto" w:fill="FFFFFF"/>
        <w:jc w:val="both"/>
        <w:outlineLvl w:val="2"/>
        <w:rPr>
          <w:rFonts w:ascii="Gill Sans MT" w:hAnsi="Gill Sans MT"/>
          <w:b/>
          <w:color w:val="000000" w:themeColor="text1"/>
        </w:rPr>
      </w:pPr>
    </w:p>
    <w:p w14:paraId="3AB211E1" w14:textId="77777777" w:rsidR="00E43474" w:rsidRDefault="00E43474" w:rsidP="00465146">
      <w:pPr>
        <w:shd w:val="clear" w:color="auto" w:fill="FFFFFF"/>
        <w:jc w:val="both"/>
        <w:outlineLvl w:val="2"/>
        <w:rPr>
          <w:rFonts w:ascii="Gill Sans MT" w:hAnsi="Gill Sans MT"/>
          <w:b/>
          <w:color w:val="000000" w:themeColor="text1"/>
        </w:rPr>
      </w:pPr>
    </w:p>
    <w:p w14:paraId="1E6BF6E6" w14:textId="77777777" w:rsidR="00E43474" w:rsidRDefault="00E43474" w:rsidP="00465146">
      <w:pPr>
        <w:shd w:val="clear" w:color="auto" w:fill="FFFFFF"/>
        <w:jc w:val="both"/>
        <w:outlineLvl w:val="2"/>
        <w:rPr>
          <w:rFonts w:ascii="Gill Sans MT" w:hAnsi="Gill Sans MT"/>
          <w:b/>
          <w:color w:val="000000" w:themeColor="text1"/>
        </w:rPr>
      </w:pPr>
    </w:p>
    <w:p w14:paraId="1FC6491F" w14:textId="77777777" w:rsidR="00E43474" w:rsidRDefault="00E43474" w:rsidP="00465146">
      <w:pPr>
        <w:shd w:val="clear" w:color="auto" w:fill="FFFFFF"/>
        <w:jc w:val="both"/>
        <w:outlineLvl w:val="2"/>
        <w:rPr>
          <w:rFonts w:ascii="Gill Sans MT" w:hAnsi="Gill Sans MT"/>
          <w:b/>
          <w:color w:val="000000" w:themeColor="text1"/>
        </w:rPr>
      </w:pPr>
    </w:p>
    <w:p w14:paraId="513FCBA6" w14:textId="77777777" w:rsidR="00E43474" w:rsidRDefault="00E43474" w:rsidP="00465146">
      <w:pPr>
        <w:shd w:val="clear" w:color="auto" w:fill="FFFFFF"/>
        <w:jc w:val="both"/>
        <w:outlineLvl w:val="2"/>
        <w:rPr>
          <w:rFonts w:ascii="Gill Sans MT" w:hAnsi="Gill Sans MT"/>
          <w:b/>
          <w:color w:val="000000" w:themeColor="text1"/>
        </w:rPr>
      </w:pPr>
    </w:p>
    <w:p w14:paraId="6DBF4AED" w14:textId="77777777" w:rsidR="00E43474" w:rsidRDefault="00E43474" w:rsidP="00465146">
      <w:pPr>
        <w:shd w:val="clear" w:color="auto" w:fill="FFFFFF"/>
        <w:jc w:val="both"/>
        <w:outlineLvl w:val="2"/>
        <w:rPr>
          <w:rFonts w:ascii="Gill Sans MT" w:hAnsi="Gill Sans MT"/>
          <w:b/>
          <w:color w:val="000000" w:themeColor="text1"/>
        </w:rPr>
      </w:pPr>
    </w:p>
    <w:p w14:paraId="46EA6EC3" w14:textId="77777777" w:rsidR="00E43474" w:rsidRDefault="00E43474" w:rsidP="00465146">
      <w:pPr>
        <w:shd w:val="clear" w:color="auto" w:fill="FFFFFF"/>
        <w:jc w:val="both"/>
        <w:outlineLvl w:val="2"/>
        <w:rPr>
          <w:rFonts w:ascii="Gill Sans MT" w:hAnsi="Gill Sans MT"/>
          <w:b/>
          <w:color w:val="000000" w:themeColor="text1"/>
        </w:rPr>
      </w:pPr>
    </w:p>
    <w:p w14:paraId="1FEF26C4" w14:textId="5EAA50CB" w:rsidR="00C7325F" w:rsidRPr="0008690A" w:rsidRDefault="00465146" w:rsidP="00465146">
      <w:pPr>
        <w:shd w:val="clear" w:color="auto" w:fill="FFFFFF"/>
        <w:jc w:val="both"/>
        <w:outlineLvl w:val="2"/>
        <w:rPr>
          <w:rFonts w:ascii="Gill Sans MT" w:hAnsi="Gill Sans MT"/>
          <w:sz w:val="22"/>
          <w:szCs w:val="22"/>
        </w:rPr>
      </w:pPr>
      <w:r>
        <w:rPr>
          <w:rFonts w:ascii="Gill Sans MT" w:hAnsi="Gill Sans MT"/>
          <w:b/>
          <w:color w:val="000000" w:themeColor="text1"/>
        </w:rPr>
        <w:t>Biography:</w:t>
      </w:r>
      <w:r w:rsidRPr="009663A5">
        <w:rPr>
          <w:rFonts w:ascii="Gill Sans MT" w:hAnsi="Gill Sans MT"/>
          <w:color w:val="000000" w:themeColor="text1"/>
        </w:rPr>
        <w:t xml:space="preserve"> </w:t>
      </w:r>
      <w:r w:rsidRPr="00363606">
        <w:rPr>
          <w:rFonts w:ascii="Gill Sans MT" w:hAnsi="Gill Sans MT"/>
          <w:sz w:val="22"/>
          <w:szCs w:val="22"/>
        </w:rPr>
        <w:t>Daniel C Khajenouri BA (Hons) ACSI is a</w:t>
      </w:r>
      <w:r w:rsidR="00DE2C01">
        <w:rPr>
          <w:rFonts w:ascii="Gill Sans MT" w:hAnsi="Gill Sans MT"/>
          <w:sz w:val="22"/>
          <w:szCs w:val="22"/>
        </w:rPr>
        <w:t xml:space="preserve"> summer</w:t>
      </w:r>
      <w:r w:rsidRPr="00363606">
        <w:rPr>
          <w:rFonts w:ascii="Gill Sans MT" w:hAnsi="Gill Sans MT"/>
          <w:sz w:val="22"/>
          <w:szCs w:val="22"/>
        </w:rPr>
        <w:t xml:space="preserve"> equity analyst with Fundsmith</w:t>
      </w:r>
      <w:r w:rsidR="00DE2C01">
        <w:rPr>
          <w:rFonts w:ascii="Gill Sans MT" w:hAnsi="Gill Sans MT"/>
          <w:sz w:val="22"/>
          <w:szCs w:val="22"/>
        </w:rPr>
        <w:t xml:space="preserve">, MSc student at the University of St Andrews </w:t>
      </w:r>
      <w:r w:rsidRPr="00363606">
        <w:rPr>
          <w:rFonts w:ascii="Gill Sans MT" w:hAnsi="Gill Sans MT"/>
          <w:sz w:val="22"/>
          <w:szCs w:val="22"/>
        </w:rPr>
        <w:t xml:space="preserve">and a graduate of Regent’s University London; Jacob H Schmidt PhD MSc is Senior Lecturer and Deputy Head of the Faculty Centre for Applied Finance and Banking at Regent’s University London, Chief Executive Officer of Schmidt Research Partners </w:t>
      </w:r>
      <w:r>
        <w:rPr>
          <w:rFonts w:ascii="Gill Sans MT" w:hAnsi="Gill Sans MT"/>
          <w:sz w:val="22"/>
          <w:szCs w:val="22"/>
        </w:rPr>
        <w:t xml:space="preserve">Limited </w:t>
      </w:r>
      <w:r w:rsidRPr="00363606">
        <w:rPr>
          <w:rFonts w:ascii="Gill Sans MT" w:hAnsi="Gill Sans MT"/>
          <w:sz w:val="22"/>
          <w:szCs w:val="22"/>
        </w:rPr>
        <w:t>and Chief Investment Analyst at NLPFM.</w:t>
      </w:r>
    </w:p>
    <w:p w14:paraId="34DCDA26" w14:textId="649CEE8B" w:rsidR="00C7325F" w:rsidRDefault="00C7325F" w:rsidP="00227562">
      <w:pPr>
        <w:pStyle w:val="NormalWeb"/>
        <w:shd w:val="clear" w:color="auto" w:fill="FFFFFF"/>
        <w:rPr>
          <w:rFonts w:ascii="Gill Sans MT" w:hAnsi="Gill Sans MT"/>
          <w:sz w:val="22"/>
          <w:szCs w:val="22"/>
        </w:rPr>
      </w:pPr>
    </w:p>
    <w:p w14:paraId="73782814" w14:textId="77777777" w:rsidR="00F83305" w:rsidRPr="0008690A" w:rsidRDefault="00F83305" w:rsidP="00227562">
      <w:pPr>
        <w:pStyle w:val="NormalWeb"/>
        <w:shd w:val="clear" w:color="auto" w:fill="FFFFFF"/>
        <w:rPr>
          <w:rFonts w:ascii="Gill Sans MT" w:hAnsi="Gill Sans MT"/>
          <w:sz w:val="22"/>
          <w:szCs w:val="22"/>
        </w:rPr>
      </w:pPr>
    </w:p>
    <w:p w14:paraId="1B354851" w14:textId="2A2F4AD9" w:rsidR="008132F6" w:rsidRDefault="00C7325F" w:rsidP="00227562">
      <w:pPr>
        <w:pStyle w:val="NormalWeb"/>
        <w:shd w:val="clear" w:color="auto" w:fill="FFFFFF"/>
        <w:rPr>
          <w:rFonts w:ascii="Gill Sans MT" w:hAnsi="Gill Sans MT"/>
          <w:sz w:val="22"/>
          <w:szCs w:val="22"/>
        </w:rPr>
      </w:pPr>
      <w:r w:rsidRPr="00F729E3">
        <w:rPr>
          <w:rFonts w:ascii="Gill Sans MT" w:hAnsi="Gill Sans MT"/>
          <w:b/>
          <w:bCs/>
          <w:sz w:val="22"/>
          <w:szCs w:val="22"/>
        </w:rPr>
        <w:t xml:space="preserve">Word count: </w:t>
      </w:r>
      <w:r w:rsidR="00BE30C3" w:rsidRPr="00F729E3">
        <w:rPr>
          <w:rFonts w:ascii="Gill Sans MT" w:hAnsi="Gill Sans MT"/>
          <w:sz w:val="22"/>
          <w:szCs w:val="22"/>
        </w:rPr>
        <w:t>2</w:t>
      </w:r>
      <w:r w:rsidR="00465146">
        <w:rPr>
          <w:rFonts w:ascii="Gill Sans MT" w:hAnsi="Gill Sans MT"/>
          <w:sz w:val="22"/>
          <w:szCs w:val="22"/>
        </w:rPr>
        <w:t>703</w:t>
      </w:r>
    </w:p>
    <w:p w14:paraId="565B47B1" w14:textId="77777777" w:rsidR="00051FD4" w:rsidRDefault="00051FD4" w:rsidP="00227562">
      <w:pPr>
        <w:pStyle w:val="NormalWeb"/>
        <w:shd w:val="clear" w:color="auto" w:fill="FFFFFF"/>
        <w:rPr>
          <w:rFonts w:ascii="Gill Sans MT" w:hAnsi="Gill Sans MT"/>
          <w:sz w:val="22"/>
          <w:szCs w:val="22"/>
        </w:rPr>
      </w:pPr>
    </w:p>
    <w:p w14:paraId="7CCF5D90" w14:textId="77777777" w:rsidR="00051FD4" w:rsidRDefault="00051FD4">
      <w:pPr>
        <w:rPr>
          <w:rFonts w:ascii="Gill Sans MT" w:hAnsi="Gill Sans MT"/>
          <w:b/>
          <w:bCs/>
          <w:sz w:val="22"/>
          <w:szCs w:val="22"/>
          <w:shd w:val="clear" w:color="auto" w:fill="FFFFFF"/>
        </w:rPr>
      </w:pPr>
      <w:r>
        <w:rPr>
          <w:rFonts w:ascii="Gill Sans MT" w:hAnsi="Gill Sans MT"/>
          <w:b/>
          <w:bCs/>
          <w:sz w:val="22"/>
          <w:szCs w:val="22"/>
          <w:shd w:val="clear" w:color="auto" w:fill="FFFFFF"/>
        </w:rPr>
        <w:lastRenderedPageBreak/>
        <w:br w:type="page"/>
      </w:r>
    </w:p>
    <w:p w14:paraId="47B40708" w14:textId="06DA3928" w:rsidR="00C7325F" w:rsidRPr="0008690A" w:rsidRDefault="008132F6" w:rsidP="00227562">
      <w:pPr>
        <w:pStyle w:val="NormalWeb"/>
        <w:rPr>
          <w:rFonts w:ascii="Gill Sans MT" w:hAnsi="Gill Sans MT"/>
        </w:rPr>
      </w:pPr>
      <w:r w:rsidRPr="0008690A">
        <w:rPr>
          <w:rFonts w:ascii="Gill Sans MT" w:hAnsi="Gill Sans MT"/>
          <w:b/>
          <w:bCs/>
          <w:sz w:val="22"/>
          <w:szCs w:val="22"/>
          <w:shd w:val="clear" w:color="auto" w:fill="FFFFFF"/>
        </w:rPr>
        <w:lastRenderedPageBreak/>
        <w:t xml:space="preserve">1. </w:t>
      </w:r>
      <w:r w:rsidR="00C7325F" w:rsidRPr="0008690A">
        <w:rPr>
          <w:rFonts w:ascii="Gill Sans MT" w:hAnsi="Gill Sans MT"/>
          <w:b/>
          <w:bCs/>
          <w:sz w:val="22"/>
          <w:szCs w:val="22"/>
          <w:shd w:val="clear" w:color="auto" w:fill="FFFFFF"/>
        </w:rPr>
        <w:t xml:space="preserve">Introduction </w:t>
      </w:r>
    </w:p>
    <w:p w14:paraId="57D7FC91" w14:textId="77777777" w:rsidR="00465146" w:rsidRDefault="00465146" w:rsidP="00465146">
      <w:pPr>
        <w:pStyle w:val="NormalWeb"/>
        <w:rPr>
          <w:rFonts w:ascii="Gill Sans MT" w:hAnsi="Gill Sans MT"/>
          <w:sz w:val="22"/>
          <w:szCs w:val="22"/>
        </w:rPr>
      </w:pPr>
      <w:r w:rsidRPr="00465146">
        <w:rPr>
          <w:rFonts w:ascii="Gill Sans MT" w:hAnsi="Gill Sans MT"/>
          <w:sz w:val="22"/>
          <w:szCs w:val="22"/>
        </w:rPr>
        <w:t>Sustainability has become a stronger and stronger theme in the asset management and wealth management industry. Global sustainable invested assets are valued at $30.7 Trillion, with a 26% annualised growth rate since 2012 (Global Sustainable Alliance, 2019). With Europe being the largest sustainable investor and Japan with the fasted growing market (Global Sustainable Alliance, 2019). Evidently, this style of investment is predicted to continue to grow (Boston Consulting Group, 2019). This is especially true with the millennial and gen z generation entering the investment space where climate change is an important issue for them (EY, 2017). See appendix one for data tables.</w:t>
      </w:r>
    </w:p>
    <w:p w14:paraId="53A80D6D" w14:textId="5913635E" w:rsidR="00F20767" w:rsidRPr="00C7325F" w:rsidRDefault="00F20767" w:rsidP="00227562">
      <w:pPr>
        <w:pStyle w:val="NormalWeb"/>
        <w:jc w:val="center"/>
        <w:rPr>
          <w:rFonts w:ascii="Gill Sans MT" w:hAnsi="Gill Sans MT"/>
          <w:sz w:val="22"/>
          <w:szCs w:val="22"/>
        </w:rPr>
      </w:pPr>
      <w:r w:rsidRPr="0008690A">
        <w:rPr>
          <w:rFonts w:ascii="Gill Sans MT" w:hAnsi="Gill Sans MT"/>
          <w:noProof/>
        </w:rPr>
        <w:drawing>
          <wp:inline distT="0" distB="0" distL="0" distR="0" wp14:anchorId="4698915A" wp14:editId="0F391CFC">
            <wp:extent cx="3869614" cy="23923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9277" cy="2416846"/>
                    </a:xfrm>
                    <a:prstGeom prst="rect">
                      <a:avLst/>
                    </a:prstGeom>
                  </pic:spPr>
                </pic:pic>
              </a:graphicData>
            </a:graphic>
          </wp:inline>
        </w:drawing>
      </w:r>
    </w:p>
    <w:p w14:paraId="7511298F" w14:textId="2A9C36D0" w:rsidR="00C7325F" w:rsidRDefault="00C7325F" w:rsidP="00227562">
      <w:pPr>
        <w:pStyle w:val="NormalWeb"/>
        <w:jc w:val="center"/>
        <w:rPr>
          <w:rFonts w:ascii="Gill Sans MT" w:hAnsi="Gill Sans MT"/>
          <w:sz w:val="20"/>
          <w:szCs w:val="20"/>
        </w:rPr>
      </w:pPr>
      <w:r w:rsidRPr="00C7325F">
        <w:rPr>
          <w:rFonts w:ascii="Gill Sans MT" w:hAnsi="Gill Sans MT"/>
          <w:b/>
          <w:bCs/>
          <w:sz w:val="20"/>
          <w:szCs w:val="20"/>
        </w:rPr>
        <w:t xml:space="preserve">Fig. 1. </w:t>
      </w:r>
      <w:r w:rsidRPr="00C7325F">
        <w:rPr>
          <w:rFonts w:ascii="Gill Sans MT" w:hAnsi="Gill Sans MT"/>
          <w:sz w:val="20"/>
          <w:szCs w:val="20"/>
        </w:rPr>
        <w:t>Geographic Split of Sustainable Invested Assets</w:t>
      </w:r>
      <w:r w:rsidR="009C02C6" w:rsidRPr="0008690A">
        <w:rPr>
          <w:rFonts w:ascii="Gill Sans MT" w:hAnsi="Gill Sans MT"/>
          <w:sz w:val="20"/>
          <w:szCs w:val="20"/>
        </w:rPr>
        <w:br/>
      </w:r>
      <w:r w:rsidRPr="00C7325F">
        <w:rPr>
          <w:rFonts w:ascii="Gill Sans MT" w:hAnsi="Gill Sans MT"/>
          <w:sz w:val="20"/>
          <w:szCs w:val="20"/>
        </w:rPr>
        <w:t>(Global Sustainable Investment Alliance, 2019)</w:t>
      </w:r>
    </w:p>
    <w:p w14:paraId="45EF82CF" w14:textId="77777777" w:rsidR="00D3301A" w:rsidRPr="00D3301A" w:rsidRDefault="00D3301A" w:rsidP="00227562">
      <w:pPr>
        <w:pStyle w:val="NormalWeb"/>
        <w:jc w:val="center"/>
        <w:rPr>
          <w:rFonts w:ascii="Gill Sans MT" w:hAnsi="Gill Sans MT"/>
          <w:sz w:val="20"/>
          <w:szCs w:val="20"/>
        </w:rPr>
      </w:pPr>
    </w:p>
    <w:p w14:paraId="1EA918F8" w14:textId="5EEC5041" w:rsidR="00F20767" w:rsidRPr="00C7325F" w:rsidRDefault="00753E3E" w:rsidP="00227562">
      <w:pPr>
        <w:pStyle w:val="NormalWeb"/>
        <w:jc w:val="center"/>
        <w:rPr>
          <w:rFonts w:ascii="Gill Sans MT" w:hAnsi="Gill Sans MT"/>
          <w:sz w:val="22"/>
          <w:szCs w:val="22"/>
        </w:rPr>
      </w:pPr>
      <w:r w:rsidRPr="0008690A">
        <w:rPr>
          <w:rFonts w:ascii="Gill Sans MT" w:hAnsi="Gill Sans MT"/>
          <w:noProof/>
        </w:rPr>
        <w:drawing>
          <wp:inline distT="0" distB="0" distL="0" distR="0" wp14:anchorId="2ACFB085" wp14:editId="5B103D2F">
            <wp:extent cx="4634599" cy="2420896"/>
            <wp:effectExtent l="0" t="0" r="127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8762" cy="2443965"/>
                    </a:xfrm>
                    <a:prstGeom prst="rect">
                      <a:avLst/>
                    </a:prstGeom>
                  </pic:spPr>
                </pic:pic>
              </a:graphicData>
            </a:graphic>
          </wp:inline>
        </w:drawing>
      </w:r>
    </w:p>
    <w:p w14:paraId="1D10AB3F" w14:textId="3A83B1C1" w:rsidR="00C7325F" w:rsidRPr="00C7325F" w:rsidRDefault="00C7325F" w:rsidP="00227562">
      <w:pPr>
        <w:pStyle w:val="NormalWeb"/>
        <w:jc w:val="center"/>
        <w:rPr>
          <w:rFonts w:ascii="Gill Sans MT" w:hAnsi="Gill Sans MT"/>
          <w:sz w:val="20"/>
          <w:szCs w:val="20"/>
        </w:rPr>
      </w:pPr>
      <w:r w:rsidRPr="00C7325F">
        <w:rPr>
          <w:rFonts w:ascii="Gill Sans MT" w:hAnsi="Gill Sans MT"/>
          <w:b/>
          <w:bCs/>
          <w:sz w:val="20"/>
          <w:szCs w:val="20"/>
        </w:rPr>
        <w:t xml:space="preserve">Fig. 2. </w:t>
      </w:r>
      <w:r w:rsidR="00753E3E" w:rsidRPr="0008690A">
        <w:rPr>
          <w:rFonts w:ascii="Gill Sans MT" w:hAnsi="Gill Sans MT"/>
          <w:sz w:val="20"/>
          <w:szCs w:val="20"/>
        </w:rPr>
        <w:t>Annualised</w:t>
      </w:r>
      <w:r w:rsidRPr="00C7325F">
        <w:rPr>
          <w:rFonts w:ascii="Gill Sans MT" w:hAnsi="Gill Sans MT"/>
          <w:sz w:val="20"/>
          <w:szCs w:val="20"/>
        </w:rPr>
        <w:t xml:space="preserve"> Growth of Sustainable Invested Assets by Region 2012-2018</w:t>
      </w:r>
      <w:r w:rsidR="009C02C6" w:rsidRPr="0008690A">
        <w:rPr>
          <w:rFonts w:ascii="Gill Sans MT" w:hAnsi="Gill Sans MT"/>
          <w:sz w:val="20"/>
          <w:szCs w:val="20"/>
        </w:rPr>
        <w:br/>
      </w:r>
      <w:r w:rsidRPr="00C7325F">
        <w:rPr>
          <w:rFonts w:ascii="Gill Sans MT" w:hAnsi="Gill Sans MT"/>
          <w:sz w:val="20"/>
          <w:szCs w:val="20"/>
        </w:rPr>
        <w:t>(Global Sustainable Investment Alliance, 2019)</w:t>
      </w:r>
    </w:p>
    <w:p w14:paraId="2386489C" w14:textId="198A97D6" w:rsidR="00C7325F" w:rsidRPr="00C7325F" w:rsidRDefault="00C7325F" w:rsidP="00227562">
      <w:pPr>
        <w:pStyle w:val="NormalWeb"/>
        <w:rPr>
          <w:rFonts w:ascii="Gill Sans MT" w:hAnsi="Gill Sans MT"/>
          <w:sz w:val="22"/>
          <w:szCs w:val="22"/>
        </w:rPr>
      </w:pPr>
      <w:r w:rsidRPr="00C7325F">
        <w:rPr>
          <w:rFonts w:ascii="Gill Sans MT" w:hAnsi="Gill Sans MT"/>
          <w:sz w:val="22"/>
          <w:szCs w:val="22"/>
        </w:rPr>
        <w:t>The large increase in Japan is due to pension funds incorporating a sustainable investment strategy.</w:t>
      </w:r>
    </w:p>
    <w:p w14:paraId="719C4F67" w14:textId="77777777" w:rsidR="00C7325F" w:rsidRPr="00C7325F" w:rsidRDefault="00C7325F" w:rsidP="00227562">
      <w:pPr>
        <w:pStyle w:val="NormalWeb"/>
        <w:rPr>
          <w:rFonts w:ascii="Gill Sans MT" w:hAnsi="Gill Sans MT"/>
          <w:sz w:val="22"/>
          <w:szCs w:val="22"/>
        </w:rPr>
      </w:pPr>
    </w:p>
    <w:p w14:paraId="149F0E3E" w14:textId="6DE093C4" w:rsidR="00C7325F" w:rsidRPr="00C7325F" w:rsidRDefault="00236945" w:rsidP="00227562">
      <w:pPr>
        <w:pStyle w:val="NormalWeb"/>
        <w:jc w:val="center"/>
        <w:rPr>
          <w:rFonts w:ascii="Gill Sans MT" w:hAnsi="Gill Sans MT"/>
          <w:sz w:val="22"/>
          <w:szCs w:val="22"/>
        </w:rPr>
      </w:pPr>
      <w:r w:rsidRPr="0008690A">
        <w:rPr>
          <w:rFonts w:ascii="Gill Sans MT" w:hAnsi="Gill Sans MT"/>
          <w:noProof/>
        </w:rPr>
        <w:lastRenderedPageBreak/>
        <w:drawing>
          <wp:inline distT="0" distB="0" distL="0" distR="0" wp14:anchorId="5B91AAAE" wp14:editId="7E4DC560">
            <wp:extent cx="5168900" cy="275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8900" cy="2755900"/>
                    </a:xfrm>
                    <a:prstGeom prst="rect">
                      <a:avLst/>
                    </a:prstGeom>
                  </pic:spPr>
                </pic:pic>
              </a:graphicData>
            </a:graphic>
          </wp:inline>
        </w:drawing>
      </w:r>
    </w:p>
    <w:p w14:paraId="7A935371" w14:textId="594C9658" w:rsidR="00C7325F" w:rsidRPr="00C7325F" w:rsidRDefault="00C7325F" w:rsidP="00227562">
      <w:pPr>
        <w:pStyle w:val="NormalWeb"/>
        <w:jc w:val="center"/>
        <w:rPr>
          <w:rFonts w:ascii="Gill Sans MT" w:hAnsi="Gill Sans MT"/>
          <w:sz w:val="20"/>
          <w:szCs w:val="20"/>
        </w:rPr>
      </w:pPr>
      <w:r w:rsidRPr="00C7325F">
        <w:rPr>
          <w:rFonts w:ascii="Gill Sans MT" w:hAnsi="Gill Sans MT"/>
          <w:b/>
          <w:bCs/>
          <w:sz w:val="20"/>
          <w:szCs w:val="20"/>
        </w:rPr>
        <w:t xml:space="preserve">Fig. 3. </w:t>
      </w:r>
      <w:r w:rsidRPr="00C7325F">
        <w:rPr>
          <w:rFonts w:ascii="Gill Sans MT" w:hAnsi="Gill Sans MT"/>
          <w:sz w:val="20"/>
          <w:szCs w:val="20"/>
        </w:rPr>
        <w:t>Geographic Growth of Sustainable Invested Assets (</w:t>
      </w:r>
      <w:r w:rsidR="005E0AC8">
        <w:rPr>
          <w:rFonts w:ascii="Gill Sans MT" w:hAnsi="Gill Sans MT"/>
          <w:sz w:val="20"/>
          <w:szCs w:val="20"/>
        </w:rPr>
        <w:t>$</w:t>
      </w:r>
      <w:r w:rsidRPr="00C7325F">
        <w:rPr>
          <w:rFonts w:ascii="Gill Sans MT" w:hAnsi="Gill Sans MT"/>
          <w:sz w:val="20"/>
          <w:szCs w:val="20"/>
        </w:rPr>
        <w:t>Billions)</w:t>
      </w:r>
      <w:r w:rsidR="009C02C6" w:rsidRPr="0008690A">
        <w:rPr>
          <w:rFonts w:ascii="Gill Sans MT" w:hAnsi="Gill Sans MT"/>
          <w:sz w:val="20"/>
          <w:szCs w:val="20"/>
        </w:rPr>
        <w:br/>
      </w:r>
      <w:r w:rsidRPr="00C7325F">
        <w:rPr>
          <w:rFonts w:ascii="Gill Sans MT" w:hAnsi="Gill Sans MT"/>
          <w:sz w:val="20"/>
          <w:szCs w:val="20"/>
        </w:rPr>
        <w:t>(Global Sustainable Investment Alliance, 2019)</w:t>
      </w:r>
    </w:p>
    <w:p w14:paraId="2E3BA0F1" w14:textId="77777777" w:rsidR="00465146" w:rsidRPr="00C7325F" w:rsidRDefault="00465146" w:rsidP="00465146">
      <w:pPr>
        <w:pStyle w:val="NormalWeb"/>
        <w:jc w:val="both"/>
        <w:rPr>
          <w:rFonts w:ascii="Gill Sans MT" w:hAnsi="Gill Sans MT"/>
          <w:sz w:val="22"/>
          <w:szCs w:val="22"/>
        </w:rPr>
      </w:pPr>
      <w:r w:rsidRPr="00C7325F">
        <w:rPr>
          <w:rFonts w:ascii="Gill Sans MT" w:hAnsi="Gill Sans MT"/>
          <w:sz w:val="22"/>
          <w:szCs w:val="22"/>
        </w:rPr>
        <w:t xml:space="preserve">Sustainable investment remains a loosely defined term within the industry. Some </w:t>
      </w:r>
      <w:r>
        <w:rPr>
          <w:rFonts w:ascii="Gill Sans MT" w:hAnsi="Gill Sans MT"/>
          <w:sz w:val="22"/>
          <w:szCs w:val="22"/>
        </w:rPr>
        <w:t xml:space="preserve">investors offer </w:t>
      </w:r>
      <w:r w:rsidRPr="00C7325F">
        <w:rPr>
          <w:rFonts w:ascii="Gill Sans MT" w:hAnsi="Gill Sans MT"/>
          <w:sz w:val="22"/>
          <w:szCs w:val="22"/>
        </w:rPr>
        <w:t>‘exclusionary screening’, which removes investments which are defined as no</w:t>
      </w:r>
      <w:r>
        <w:rPr>
          <w:rFonts w:ascii="Gill Sans MT" w:hAnsi="Gill Sans MT"/>
          <w:sz w:val="22"/>
          <w:szCs w:val="22"/>
        </w:rPr>
        <w:t>n-</w:t>
      </w:r>
      <w:r w:rsidRPr="00C7325F">
        <w:rPr>
          <w:rFonts w:ascii="Gill Sans MT" w:hAnsi="Gill Sans MT"/>
          <w:sz w:val="22"/>
          <w:szCs w:val="22"/>
        </w:rPr>
        <w:t>sustainable</w:t>
      </w:r>
      <w:r>
        <w:rPr>
          <w:rFonts w:ascii="Gill Sans MT" w:hAnsi="Gill Sans MT"/>
          <w:sz w:val="22"/>
          <w:szCs w:val="22"/>
        </w:rPr>
        <w:t xml:space="preserve"> business practises</w:t>
      </w:r>
      <w:r w:rsidRPr="00C7325F">
        <w:rPr>
          <w:rFonts w:ascii="Gill Sans MT" w:hAnsi="Gill Sans MT"/>
          <w:sz w:val="22"/>
          <w:szCs w:val="22"/>
        </w:rPr>
        <w:t>, for example</w:t>
      </w:r>
      <w:r>
        <w:rPr>
          <w:rFonts w:ascii="Gill Sans MT" w:hAnsi="Gill Sans MT"/>
          <w:sz w:val="22"/>
          <w:szCs w:val="22"/>
        </w:rPr>
        <w:t>,</w:t>
      </w:r>
      <w:r w:rsidRPr="00C7325F">
        <w:rPr>
          <w:rFonts w:ascii="Gill Sans MT" w:hAnsi="Gill Sans MT"/>
          <w:sz w:val="22"/>
          <w:szCs w:val="22"/>
        </w:rPr>
        <w:t xml:space="preserve"> </w:t>
      </w:r>
      <w:r>
        <w:rPr>
          <w:rFonts w:ascii="Gill Sans MT" w:hAnsi="Gill Sans MT"/>
          <w:sz w:val="22"/>
          <w:szCs w:val="22"/>
        </w:rPr>
        <w:t>weapons</w:t>
      </w:r>
      <w:r w:rsidRPr="00C7325F">
        <w:rPr>
          <w:rFonts w:ascii="Gill Sans MT" w:hAnsi="Gill Sans MT"/>
          <w:sz w:val="22"/>
          <w:szCs w:val="22"/>
        </w:rPr>
        <w:t xml:space="preserve"> and oil </w:t>
      </w:r>
      <w:r>
        <w:rPr>
          <w:rFonts w:ascii="Gill Sans MT" w:hAnsi="Gill Sans MT"/>
          <w:sz w:val="22"/>
          <w:szCs w:val="22"/>
        </w:rPr>
        <w:t>equities, t</w:t>
      </w:r>
      <w:r w:rsidRPr="00C7325F">
        <w:rPr>
          <w:rFonts w:ascii="Gill Sans MT" w:hAnsi="Gill Sans MT"/>
          <w:sz w:val="22"/>
          <w:szCs w:val="22"/>
        </w:rPr>
        <w:t xml:space="preserve">his is the largest strategy by assets. Others may offer impact investments, designed to stimulate the underlying assets and </w:t>
      </w:r>
      <w:r>
        <w:rPr>
          <w:rFonts w:ascii="Gill Sans MT" w:hAnsi="Gill Sans MT"/>
          <w:sz w:val="22"/>
          <w:szCs w:val="22"/>
        </w:rPr>
        <w:t>create</w:t>
      </w:r>
      <w:r w:rsidRPr="00C7325F">
        <w:rPr>
          <w:rFonts w:ascii="Gill Sans MT" w:hAnsi="Gill Sans MT"/>
          <w:sz w:val="22"/>
          <w:szCs w:val="22"/>
        </w:rPr>
        <w:t xml:space="preserve"> positive knock-on effects. For example, Vital Capital a private equity fund</w:t>
      </w:r>
      <w:r>
        <w:rPr>
          <w:rFonts w:ascii="Gill Sans MT" w:hAnsi="Gill Sans MT"/>
          <w:sz w:val="22"/>
          <w:szCs w:val="22"/>
        </w:rPr>
        <w:t>,</w:t>
      </w:r>
      <w:r w:rsidRPr="00C7325F">
        <w:rPr>
          <w:rFonts w:ascii="Gill Sans MT" w:hAnsi="Gill Sans MT"/>
          <w:sz w:val="22"/>
          <w:szCs w:val="22"/>
        </w:rPr>
        <w:t xml:space="preserve"> invests in affordable housing, healthcare, water, agriculture and renewable energy while delivering returns for their investors (Vital Capital, 2020). ‘Sustainable themed investments’ are the largest growing segment (193% annualised), offering funds which contain ‘sustainable’ securities, such as renewable energy securities and green bonds (</w:t>
      </w:r>
      <w:proofErr w:type="spellStart"/>
      <w:r w:rsidRPr="00C7325F">
        <w:rPr>
          <w:rFonts w:ascii="Gill Sans MT" w:hAnsi="Gill Sans MT"/>
          <w:sz w:val="22"/>
          <w:szCs w:val="22"/>
        </w:rPr>
        <w:t>Pronina</w:t>
      </w:r>
      <w:proofErr w:type="spellEnd"/>
      <w:r w:rsidRPr="00C7325F">
        <w:rPr>
          <w:rFonts w:ascii="Gill Sans MT" w:hAnsi="Gill Sans MT"/>
          <w:sz w:val="22"/>
          <w:szCs w:val="22"/>
        </w:rPr>
        <w:t>, 2019). See a summary of the growth of different strategies below.</w:t>
      </w:r>
    </w:p>
    <w:p w14:paraId="2E73B2AB" w14:textId="33575686" w:rsidR="00C7325F" w:rsidRPr="00C7325F" w:rsidRDefault="001640E8" w:rsidP="00227562">
      <w:pPr>
        <w:pStyle w:val="NormalWeb"/>
        <w:jc w:val="center"/>
        <w:rPr>
          <w:rFonts w:ascii="Gill Sans MT" w:hAnsi="Gill Sans MT"/>
          <w:sz w:val="22"/>
          <w:szCs w:val="22"/>
        </w:rPr>
      </w:pPr>
      <w:r w:rsidRPr="0008690A">
        <w:rPr>
          <w:rFonts w:ascii="Gill Sans MT" w:hAnsi="Gill Sans MT"/>
          <w:noProof/>
        </w:rPr>
        <w:drawing>
          <wp:inline distT="0" distB="0" distL="0" distR="0" wp14:anchorId="389F0F4C" wp14:editId="491AAE6D">
            <wp:extent cx="4673600" cy="276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3600" cy="2768600"/>
                    </a:xfrm>
                    <a:prstGeom prst="rect">
                      <a:avLst/>
                    </a:prstGeom>
                  </pic:spPr>
                </pic:pic>
              </a:graphicData>
            </a:graphic>
          </wp:inline>
        </w:drawing>
      </w:r>
    </w:p>
    <w:p w14:paraId="7E5E9211" w14:textId="6A308781" w:rsidR="00C7325F" w:rsidRPr="00C7325F" w:rsidRDefault="00C7325F" w:rsidP="00227562">
      <w:pPr>
        <w:pStyle w:val="NormalWeb"/>
        <w:jc w:val="center"/>
        <w:rPr>
          <w:rFonts w:ascii="Gill Sans MT" w:hAnsi="Gill Sans MT"/>
          <w:sz w:val="21"/>
          <w:szCs w:val="21"/>
        </w:rPr>
      </w:pPr>
      <w:r w:rsidRPr="00C7325F">
        <w:rPr>
          <w:rFonts w:ascii="Gill Sans MT" w:hAnsi="Gill Sans MT"/>
          <w:b/>
          <w:bCs/>
          <w:sz w:val="20"/>
          <w:szCs w:val="20"/>
        </w:rPr>
        <w:t xml:space="preserve">Fig. 4. </w:t>
      </w:r>
      <w:r w:rsidRPr="00C7325F">
        <w:rPr>
          <w:rFonts w:ascii="Gill Sans MT" w:hAnsi="Gill Sans MT"/>
          <w:sz w:val="20"/>
          <w:szCs w:val="20"/>
        </w:rPr>
        <w:t>Growth of Sustainable Invested Assets by Strategy (</w:t>
      </w:r>
      <w:r w:rsidR="005E0AC8">
        <w:rPr>
          <w:rFonts w:ascii="Gill Sans MT" w:hAnsi="Gill Sans MT"/>
          <w:sz w:val="20"/>
          <w:szCs w:val="20"/>
        </w:rPr>
        <w:t>$</w:t>
      </w:r>
      <w:r w:rsidRPr="00C7325F">
        <w:rPr>
          <w:rFonts w:ascii="Gill Sans MT" w:hAnsi="Gill Sans MT"/>
          <w:sz w:val="20"/>
          <w:szCs w:val="20"/>
        </w:rPr>
        <w:t>Billions)</w:t>
      </w:r>
      <w:r w:rsidR="009C02C6" w:rsidRPr="0008690A">
        <w:rPr>
          <w:rFonts w:ascii="Gill Sans MT" w:hAnsi="Gill Sans MT"/>
          <w:sz w:val="20"/>
          <w:szCs w:val="20"/>
        </w:rPr>
        <w:br/>
      </w:r>
      <w:r w:rsidRPr="00C7325F">
        <w:rPr>
          <w:rFonts w:ascii="Gill Sans MT" w:hAnsi="Gill Sans MT"/>
          <w:sz w:val="20"/>
          <w:szCs w:val="20"/>
        </w:rPr>
        <w:t>(Global Sustainable Investment Alliance, 2019</w:t>
      </w:r>
      <w:r w:rsidRPr="00C7325F">
        <w:rPr>
          <w:rFonts w:ascii="Gill Sans MT" w:hAnsi="Gill Sans MT"/>
          <w:sz w:val="21"/>
          <w:szCs w:val="21"/>
        </w:rPr>
        <w:t>)</w:t>
      </w:r>
    </w:p>
    <w:p w14:paraId="72BBA193" w14:textId="77777777" w:rsidR="00465146" w:rsidRPr="00C7325F" w:rsidRDefault="00465146" w:rsidP="00465146">
      <w:pPr>
        <w:pStyle w:val="NormalWeb"/>
        <w:jc w:val="both"/>
        <w:rPr>
          <w:rFonts w:ascii="Gill Sans MT" w:hAnsi="Gill Sans MT"/>
          <w:sz w:val="22"/>
          <w:szCs w:val="22"/>
        </w:rPr>
      </w:pPr>
      <w:r w:rsidRPr="00C7325F">
        <w:rPr>
          <w:rFonts w:ascii="Gill Sans MT" w:hAnsi="Gill Sans MT"/>
          <w:sz w:val="22"/>
          <w:szCs w:val="22"/>
        </w:rPr>
        <w:t xml:space="preserve">As </w:t>
      </w:r>
      <w:r>
        <w:rPr>
          <w:rFonts w:ascii="Gill Sans MT" w:hAnsi="Gill Sans MT"/>
          <w:sz w:val="22"/>
          <w:szCs w:val="22"/>
        </w:rPr>
        <w:t>exclusionary investment</w:t>
      </w:r>
      <w:r w:rsidRPr="00C7325F">
        <w:rPr>
          <w:rFonts w:ascii="Gill Sans MT" w:hAnsi="Gill Sans MT"/>
          <w:sz w:val="22"/>
          <w:szCs w:val="22"/>
        </w:rPr>
        <w:t xml:space="preserve"> </w:t>
      </w:r>
      <w:r>
        <w:rPr>
          <w:rFonts w:ascii="Gill Sans MT" w:hAnsi="Gill Sans MT"/>
          <w:sz w:val="22"/>
          <w:szCs w:val="22"/>
        </w:rPr>
        <w:t>is the largest strategy and</w:t>
      </w:r>
      <w:r w:rsidRPr="00C7325F">
        <w:rPr>
          <w:rFonts w:ascii="Gill Sans MT" w:hAnsi="Gill Sans MT"/>
          <w:sz w:val="22"/>
          <w:szCs w:val="22"/>
        </w:rPr>
        <w:t xml:space="preserve"> is growing fast within the investment management and wealth management industry, </w:t>
      </w:r>
      <w:r>
        <w:rPr>
          <w:rFonts w:ascii="Gill Sans MT" w:hAnsi="Gill Sans MT"/>
          <w:sz w:val="22"/>
          <w:szCs w:val="22"/>
        </w:rPr>
        <w:t>we</w:t>
      </w:r>
      <w:r w:rsidRPr="00C7325F">
        <w:rPr>
          <w:rFonts w:ascii="Gill Sans MT" w:hAnsi="Gill Sans MT"/>
          <w:sz w:val="22"/>
          <w:szCs w:val="22"/>
        </w:rPr>
        <w:t xml:space="preserve"> decided to measure the </w:t>
      </w:r>
      <w:r>
        <w:rPr>
          <w:rFonts w:ascii="Gill Sans MT" w:hAnsi="Gill Sans MT"/>
          <w:sz w:val="22"/>
          <w:szCs w:val="22"/>
        </w:rPr>
        <w:t xml:space="preserve">risk-adjusted </w:t>
      </w:r>
      <w:r w:rsidRPr="00C7325F">
        <w:rPr>
          <w:rFonts w:ascii="Gill Sans MT" w:hAnsi="Gill Sans MT"/>
          <w:sz w:val="22"/>
          <w:szCs w:val="22"/>
        </w:rPr>
        <w:t xml:space="preserve">returns of such investments </w:t>
      </w:r>
      <w:r>
        <w:rPr>
          <w:rFonts w:ascii="Gill Sans MT" w:hAnsi="Gill Sans MT"/>
          <w:sz w:val="22"/>
          <w:szCs w:val="22"/>
        </w:rPr>
        <w:t>against</w:t>
      </w:r>
      <w:r w:rsidRPr="00C7325F">
        <w:rPr>
          <w:rFonts w:ascii="Gill Sans MT" w:hAnsi="Gill Sans MT"/>
          <w:sz w:val="22"/>
          <w:szCs w:val="22"/>
        </w:rPr>
        <w:t xml:space="preserve"> </w:t>
      </w:r>
      <w:r>
        <w:rPr>
          <w:rFonts w:ascii="Gill Sans MT" w:hAnsi="Gill Sans MT"/>
          <w:sz w:val="22"/>
          <w:szCs w:val="22"/>
        </w:rPr>
        <w:t>the</w:t>
      </w:r>
      <w:r w:rsidRPr="00C7325F">
        <w:rPr>
          <w:rFonts w:ascii="Gill Sans MT" w:hAnsi="Gill Sans MT"/>
          <w:sz w:val="22"/>
          <w:szCs w:val="22"/>
        </w:rPr>
        <w:t xml:space="preserve"> standard </w:t>
      </w:r>
      <w:r>
        <w:rPr>
          <w:rFonts w:ascii="Gill Sans MT" w:hAnsi="Gill Sans MT"/>
          <w:sz w:val="22"/>
          <w:szCs w:val="22"/>
        </w:rPr>
        <w:t>indices</w:t>
      </w:r>
      <w:r w:rsidRPr="00C7325F">
        <w:rPr>
          <w:rFonts w:ascii="Gill Sans MT" w:hAnsi="Gill Sans MT"/>
          <w:sz w:val="22"/>
          <w:szCs w:val="22"/>
        </w:rPr>
        <w:t xml:space="preserve"> which implement no such sustainable strategy. </w:t>
      </w:r>
      <w:r>
        <w:rPr>
          <w:rFonts w:ascii="Gill Sans MT" w:hAnsi="Gill Sans MT"/>
          <w:sz w:val="22"/>
          <w:szCs w:val="22"/>
        </w:rPr>
        <w:t>Sustainable strategies are</w:t>
      </w:r>
      <w:r w:rsidRPr="00C7325F">
        <w:rPr>
          <w:rFonts w:ascii="Gill Sans MT" w:hAnsi="Gill Sans MT"/>
          <w:sz w:val="22"/>
          <w:szCs w:val="22"/>
        </w:rPr>
        <w:t xml:space="preserve"> predicted to become a larger part of investment and wealth management, especially with </w:t>
      </w:r>
      <w:r w:rsidRPr="00C7325F">
        <w:rPr>
          <w:rFonts w:ascii="Gill Sans MT" w:hAnsi="Gill Sans MT"/>
          <w:sz w:val="22"/>
          <w:szCs w:val="22"/>
        </w:rPr>
        <w:lastRenderedPageBreak/>
        <w:t xml:space="preserve">the </w:t>
      </w:r>
      <w:r>
        <w:rPr>
          <w:rFonts w:ascii="Gill Sans MT" w:hAnsi="Gill Sans MT"/>
          <w:sz w:val="22"/>
          <w:szCs w:val="22"/>
        </w:rPr>
        <w:t xml:space="preserve">gen z </w:t>
      </w:r>
      <w:r w:rsidRPr="00C7325F">
        <w:rPr>
          <w:rFonts w:ascii="Gill Sans MT" w:hAnsi="Gill Sans MT"/>
          <w:sz w:val="22"/>
          <w:szCs w:val="22"/>
        </w:rPr>
        <w:t xml:space="preserve">and </w:t>
      </w:r>
      <w:r>
        <w:rPr>
          <w:rFonts w:ascii="Gill Sans MT" w:hAnsi="Gill Sans MT"/>
          <w:sz w:val="22"/>
          <w:szCs w:val="22"/>
        </w:rPr>
        <w:t>millennial generations</w:t>
      </w:r>
      <w:r w:rsidRPr="00C7325F">
        <w:rPr>
          <w:rFonts w:ascii="Gill Sans MT" w:hAnsi="Gill Sans MT"/>
          <w:sz w:val="22"/>
          <w:szCs w:val="22"/>
        </w:rPr>
        <w:t xml:space="preserve"> entering wealth and financial markets</w:t>
      </w:r>
      <w:r>
        <w:rPr>
          <w:rFonts w:ascii="Gill Sans MT" w:hAnsi="Gill Sans MT"/>
          <w:sz w:val="22"/>
          <w:szCs w:val="22"/>
        </w:rPr>
        <w:t xml:space="preserve">, </w:t>
      </w:r>
      <w:r w:rsidRPr="00C7325F">
        <w:rPr>
          <w:rFonts w:ascii="Gill Sans MT" w:hAnsi="Gill Sans MT"/>
          <w:sz w:val="22"/>
          <w:szCs w:val="22"/>
        </w:rPr>
        <w:t xml:space="preserve">who believe particularly strong about sustainability (EY, 2017). </w:t>
      </w:r>
      <w:r>
        <w:rPr>
          <w:rFonts w:ascii="Gill Sans MT" w:hAnsi="Gill Sans MT"/>
          <w:sz w:val="22"/>
          <w:szCs w:val="22"/>
        </w:rPr>
        <w:t>We</w:t>
      </w:r>
      <w:r w:rsidRPr="00C7325F">
        <w:rPr>
          <w:rFonts w:ascii="Gill Sans MT" w:hAnsi="Gill Sans MT"/>
          <w:sz w:val="22"/>
          <w:szCs w:val="22"/>
        </w:rPr>
        <w:t xml:space="preserve"> believe this research will be extremely relevant</w:t>
      </w:r>
      <w:r>
        <w:rPr>
          <w:rFonts w:ascii="Gill Sans MT" w:hAnsi="Gill Sans MT"/>
          <w:sz w:val="22"/>
          <w:szCs w:val="22"/>
        </w:rPr>
        <w:t xml:space="preserve"> for both the financial academic and institutional communities. </w:t>
      </w:r>
    </w:p>
    <w:p w14:paraId="23327FA9" w14:textId="77777777" w:rsidR="00465146" w:rsidRPr="00C7325F" w:rsidRDefault="00465146" w:rsidP="00465146">
      <w:pPr>
        <w:pStyle w:val="NormalWeb"/>
        <w:jc w:val="both"/>
        <w:rPr>
          <w:rFonts w:ascii="Gill Sans MT" w:hAnsi="Gill Sans MT"/>
          <w:sz w:val="22"/>
          <w:szCs w:val="22"/>
        </w:rPr>
      </w:pPr>
      <w:r w:rsidRPr="00C7325F">
        <w:rPr>
          <w:rFonts w:ascii="Gill Sans MT" w:hAnsi="Gill Sans MT"/>
          <w:sz w:val="22"/>
          <w:szCs w:val="22"/>
        </w:rPr>
        <w:t xml:space="preserve">Divestments </w:t>
      </w:r>
      <w:r>
        <w:rPr>
          <w:rFonts w:ascii="Gill Sans MT" w:hAnsi="Gill Sans MT"/>
          <w:sz w:val="22"/>
          <w:szCs w:val="22"/>
        </w:rPr>
        <w:t xml:space="preserve">from non-sustainable assets </w:t>
      </w:r>
      <w:r w:rsidRPr="00C7325F">
        <w:rPr>
          <w:rFonts w:ascii="Gill Sans MT" w:hAnsi="Gill Sans MT"/>
          <w:sz w:val="22"/>
          <w:szCs w:val="22"/>
        </w:rPr>
        <w:t xml:space="preserve">are </w:t>
      </w:r>
      <w:r>
        <w:rPr>
          <w:rFonts w:ascii="Gill Sans MT" w:hAnsi="Gill Sans MT"/>
          <w:sz w:val="22"/>
          <w:szCs w:val="22"/>
        </w:rPr>
        <w:t xml:space="preserve">also </w:t>
      </w:r>
      <w:r w:rsidRPr="00C7325F">
        <w:rPr>
          <w:rFonts w:ascii="Gill Sans MT" w:hAnsi="Gill Sans MT"/>
          <w:sz w:val="22"/>
          <w:szCs w:val="22"/>
        </w:rPr>
        <w:t>increasingly becoming a trend for investment</w:t>
      </w:r>
      <w:r>
        <w:rPr>
          <w:rFonts w:ascii="Gill Sans MT" w:hAnsi="Gill Sans MT"/>
          <w:sz w:val="22"/>
          <w:szCs w:val="22"/>
        </w:rPr>
        <w:t xml:space="preserve"> managers, </w:t>
      </w:r>
      <w:r w:rsidRPr="00C7325F">
        <w:rPr>
          <w:rFonts w:ascii="Gill Sans MT" w:hAnsi="Gill Sans MT"/>
          <w:sz w:val="22"/>
          <w:szCs w:val="22"/>
        </w:rPr>
        <w:t>wealth managers</w:t>
      </w:r>
      <w:r>
        <w:rPr>
          <w:rFonts w:ascii="Gill Sans MT" w:hAnsi="Gill Sans MT"/>
          <w:sz w:val="22"/>
          <w:szCs w:val="22"/>
        </w:rPr>
        <w:t xml:space="preserve"> and retail investors alike</w:t>
      </w:r>
      <w:r w:rsidRPr="00C7325F">
        <w:rPr>
          <w:rFonts w:ascii="Gill Sans MT" w:hAnsi="Gill Sans MT"/>
          <w:sz w:val="22"/>
          <w:szCs w:val="22"/>
        </w:rPr>
        <w:t>. Blackrock</w:t>
      </w:r>
      <w:r>
        <w:rPr>
          <w:rFonts w:ascii="Gill Sans MT" w:hAnsi="Gill Sans MT"/>
          <w:sz w:val="22"/>
          <w:szCs w:val="22"/>
        </w:rPr>
        <w:t>,</w:t>
      </w:r>
      <w:r w:rsidRPr="00C7325F">
        <w:rPr>
          <w:rFonts w:ascii="Gill Sans MT" w:hAnsi="Gill Sans MT"/>
          <w:sz w:val="22"/>
          <w:szCs w:val="22"/>
        </w:rPr>
        <w:t xml:space="preserve"> the </w:t>
      </w:r>
      <w:r>
        <w:rPr>
          <w:rFonts w:ascii="Gill Sans MT" w:hAnsi="Gill Sans MT"/>
          <w:sz w:val="22"/>
          <w:szCs w:val="22"/>
        </w:rPr>
        <w:t>largest</w:t>
      </w:r>
      <w:r w:rsidRPr="00C7325F">
        <w:rPr>
          <w:rFonts w:ascii="Gill Sans MT" w:hAnsi="Gill Sans MT"/>
          <w:sz w:val="22"/>
          <w:szCs w:val="22"/>
        </w:rPr>
        <w:t xml:space="preserve"> investment manager in the world</w:t>
      </w:r>
      <w:r>
        <w:rPr>
          <w:rFonts w:ascii="Gill Sans MT" w:hAnsi="Gill Sans MT"/>
          <w:sz w:val="22"/>
          <w:szCs w:val="22"/>
        </w:rPr>
        <w:t>,</w:t>
      </w:r>
      <w:r w:rsidRPr="00C7325F">
        <w:rPr>
          <w:rFonts w:ascii="Gill Sans MT" w:hAnsi="Gill Sans MT"/>
          <w:sz w:val="22"/>
          <w:szCs w:val="22"/>
        </w:rPr>
        <w:t xml:space="preserve"> </w:t>
      </w:r>
      <w:r>
        <w:rPr>
          <w:rFonts w:ascii="Gill Sans MT" w:hAnsi="Gill Sans MT"/>
          <w:sz w:val="22"/>
          <w:szCs w:val="22"/>
        </w:rPr>
        <w:t xml:space="preserve">with over $7 trillion in assets under management, </w:t>
      </w:r>
      <w:r w:rsidRPr="00C7325F">
        <w:rPr>
          <w:rFonts w:ascii="Gill Sans MT" w:hAnsi="Gill Sans MT"/>
          <w:sz w:val="22"/>
          <w:szCs w:val="22"/>
        </w:rPr>
        <w:t>announc</w:t>
      </w:r>
      <w:r>
        <w:rPr>
          <w:rFonts w:ascii="Gill Sans MT" w:hAnsi="Gill Sans MT"/>
          <w:sz w:val="22"/>
          <w:szCs w:val="22"/>
        </w:rPr>
        <w:t>ed</w:t>
      </w:r>
      <w:r w:rsidRPr="00C7325F">
        <w:rPr>
          <w:rFonts w:ascii="Gill Sans MT" w:hAnsi="Gill Sans MT"/>
          <w:sz w:val="22"/>
          <w:szCs w:val="22"/>
        </w:rPr>
        <w:t xml:space="preserve"> divestment </w:t>
      </w:r>
      <w:r>
        <w:rPr>
          <w:rFonts w:ascii="Gill Sans MT" w:hAnsi="Gill Sans MT"/>
          <w:sz w:val="22"/>
          <w:szCs w:val="22"/>
        </w:rPr>
        <w:t xml:space="preserve">from fossil fuel companies </w:t>
      </w:r>
      <w:r w:rsidRPr="00C7325F">
        <w:rPr>
          <w:rFonts w:ascii="Gill Sans MT" w:hAnsi="Gill Sans MT"/>
          <w:sz w:val="22"/>
          <w:szCs w:val="22"/>
        </w:rPr>
        <w:t>after social pressure (</w:t>
      </w:r>
      <w:proofErr w:type="spellStart"/>
      <w:r w:rsidRPr="00C7325F">
        <w:rPr>
          <w:rFonts w:ascii="Gill Sans MT" w:hAnsi="Gill Sans MT"/>
          <w:sz w:val="22"/>
          <w:szCs w:val="22"/>
        </w:rPr>
        <w:t>Pettifor</w:t>
      </w:r>
      <w:proofErr w:type="spellEnd"/>
      <w:r w:rsidRPr="00C7325F">
        <w:rPr>
          <w:rFonts w:ascii="Gill Sans MT" w:hAnsi="Gill Sans MT"/>
          <w:sz w:val="22"/>
          <w:szCs w:val="22"/>
        </w:rPr>
        <w:t>, 2020). If divestments and growing disinterest in non-sustainable securities</w:t>
      </w:r>
      <w:r>
        <w:rPr>
          <w:rFonts w:ascii="Gill Sans MT" w:hAnsi="Gill Sans MT"/>
          <w:sz w:val="22"/>
          <w:szCs w:val="22"/>
        </w:rPr>
        <w:t xml:space="preserve"> continue</w:t>
      </w:r>
      <w:r w:rsidRPr="00C7325F">
        <w:rPr>
          <w:rFonts w:ascii="Gill Sans MT" w:hAnsi="Gill Sans MT"/>
          <w:sz w:val="22"/>
          <w:szCs w:val="22"/>
        </w:rPr>
        <w:t xml:space="preserve">, </w:t>
      </w:r>
      <w:r>
        <w:rPr>
          <w:rFonts w:ascii="Gill Sans MT" w:hAnsi="Gill Sans MT"/>
          <w:sz w:val="22"/>
          <w:szCs w:val="22"/>
        </w:rPr>
        <w:t>future market valuations of such companies will be affected negatively</w:t>
      </w:r>
      <w:r w:rsidRPr="00C7325F">
        <w:rPr>
          <w:rFonts w:ascii="Gill Sans MT" w:hAnsi="Gill Sans MT"/>
          <w:sz w:val="22"/>
          <w:szCs w:val="22"/>
        </w:rPr>
        <w:t xml:space="preserve"> (Active Sustainability, n.d.)</w:t>
      </w:r>
      <w:r>
        <w:rPr>
          <w:rFonts w:ascii="Gill Sans MT" w:hAnsi="Gill Sans MT"/>
          <w:sz w:val="22"/>
          <w:szCs w:val="22"/>
        </w:rPr>
        <w:t>, f</w:t>
      </w:r>
      <w:r w:rsidRPr="00C7325F">
        <w:rPr>
          <w:rFonts w:ascii="Gill Sans MT" w:hAnsi="Gill Sans MT"/>
          <w:sz w:val="22"/>
          <w:szCs w:val="22"/>
        </w:rPr>
        <w:t xml:space="preserve">urther providing a case for sustainable investment. </w:t>
      </w:r>
      <w:r>
        <w:rPr>
          <w:rFonts w:ascii="Gill Sans MT" w:hAnsi="Gill Sans MT"/>
          <w:sz w:val="22"/>
          <w:szCs w:val="22"/>
        </w:rPr>
        <w:t>We</w:t>
      </w:r>
      <w:r w:rsidRPr="00C7325F">
        <w:rPr>
          <w:rFonts w:ascii="Gill Sans MT" w:hAnsi="Gill Sans MT"/>
          <w:sz w:val="22"/>
          <w:szCs w:val="22"/>
        </w:rPr>
        <w:t xml:space="preserve"> expect changing preferences and continued divestments to drastically change the landscape of financial markets as time goes on.</w:t>
      </w:r>
    </w:p>
    <w:p w14:paraId="63584897" w14:textId="77777777" w:rsidR="00465146" w:rsidRPr="00C7325F" w:rsidRDefault="00465146" w:rsidP="00465146">
      <w:pPr>
        <w:pStyle w:val="NormalWeb"/>
        <w:jc w:val="both"/>
        <w:rPr>
          <w:rFonts w:ascii="Gill Sans MT" w:hAnsi="Gill Sans MT"/>
          <w:sz w:val="22"/>
          <w:szCs w:val="22"/>
        </w:rPr>
      </w:pPr>
      <w:r w:rsidRPr="00C7325F">
        <w:rPr>
          <w:rFonts w:ascii="Gill Sans MT" w:hAnsi="Gill Sans MT"/>
          <w:sz w:val="22"/>
          <w:szCs w:val="22"/>
        </w:rPr>
        <w:t xml:space="preserve">This report is structured in </w:t>
      </w:r>
      <w:r>
        <w:rPr>
          <w:rFonts w:ascii="Gill Sans MT" w:hAnsi="Gill Sans MT"/>
          <w:sz w:val="22"/>
          <w:szCs w:val="22"/>
        </w:rPr>
        <w:t>several</w:t>
      </w:r>
      <w:r w:rsidRPr="00C7325F">
        <w:rPr>
          <w:rFonts w:ascii="Gill Sans MT" w:hAnsi="Gill Sans MT"/>
          <w:sz w:val="22"/>
          <w:szCs w:val="22"/>
        </w:rPr>
        <w:t xml:space="preserve"> parts, firstly analysing the current literature available on sustainable investment returns</w:t>
      </w:r>
      <w:r>
        <w:rPr>
          <w:rFonts w:ascii="Gill Sans MT" w:hAnsi="Gill Sans MT"/>
          <w:sz w:val="22"/>
          <w:szCs w:val="22"/>
        </w:rPr>
        <w:t xml:space="preserve"> with identification of the research gap we intend to fill</w:t>
      </w:r>
      <w:r w:rsidRPr="00C7325F">
        <w:rPr>
          <w:rFonts w:ascii="Gill Sans MT" w:hAnsi="Gill Sans MT"/>
          <w:sz w:val="22"/>
          <w:szCs w:val="22"/>
        </w:rPr>
        <w:t xml:space="preserve">. Secondly, </w:t>
      </w:r>
      <w:r>
        <w:rPr>
          <w:rFonts w:ascii="Gill Sans MT" w:hAnsi="Gill Sans MT"/>
          <w:sz w:val="22"/>
          <w:szCs w:val="22"/>
        </w:rPr>
        <w:t>discussing</w:t>
      </w:r>
      <w:r w:rsidRPr="0008690A">
        <w:rPr>
          <w:rFonts w:ascii="Gill Sans MT" w:hAnsi="Gill Sans MT"/>
          <w:sz w:val="22"/>
          <w:szCs w:val="22"/>
        </w:rPr>
        <w:t xml:space="preserve"> the data selected and the research approaches chosen to reliably answer the research question</w:t>
      </w:r>
      <w:r>
        <w:rPr>
          <w:rFonts w:ascii="Gill Sans MT" w:hAnsi="Gill Sans MT"/>
          <w:sz w:val="22"/>
          <w:szCs w:val="22"/>
        </w:rPr>
        <w:t>. Thirdly</w:t>
      </w:r>
      <w:r w:rsidRPr="00C7325F">
        <w:rPr>
          <w:rFonts w:ascii="Gill Sans MT" w:hAnsi="Gill Sans MT"/>
          <w:sz w:val="22"/>
          <w:szCs w:val="22"/>
        </w:rPr>
        <w:t xml:space="preserve">, analysing this data to </w:t>
      </w:r>
      <w:r>
        <w:rPr>
          <w:rFonts w:ascii="Gill Sans MT" w:hAnsi="Gill Sans MT"/>
          <w:sz w:val="22"/>
          <w:szCs w:val="22"/>
        </w:rPr>
        <w:t>compare</w:t>
      </w:r>
      <w:r w:rsidRPr="00C7325F">
        <w:rPr>
          <w:rFonts w:ascii="Gill Sans MT" w:hAnsi="Gill Sans MT"/>
          <w:sz w:val="22"/>
          <w:szCs w:val="22"/>
        </w:rPr>
        <w:t xml:space="preserve"> </w:t>
      </w:r>
      <w:r>
        <w:rPr>
          <w:rFonts w:ascii="Gill Sans MT" w:hAnsi="Gill Sans MT"/>
          <w:sz w:val="22"/>
          <w:szCs w:val="22"/>
        </w:rPr>
        <w:t>the</w:t>
      </w:r>
      <w:r w:rsidRPr="00C7325F">
        <w:rPr>
          <w:rFonts w:ascii="Gill Sans MT" w:hAnsi="Gill Sans MT"/>
          <w:sz w:val="22"/>
          <w:szCs w:val="22"/>
        </w:rPr>
        <w:t xml:space="preserve"> </w:t>
      </w:r>
      <w:r>
        <w:rPr>
          <w:rFonts w:ascii="Gill Sans MT" w:hAnsi="Gill Sans MT"/>
          <w:sz w:val="22"/>
          <w:szCs w:val="22"/>
        </w:rPr>
        <w:t xml:space="preserve">risk-adjusted </w:t>
      </w:r>
      <w:r w:rsidRPr="00C7325F">
        <w:rPr>
          <w:rFonts w:ascii="Gill Sans MT" w:hAnsi="Gill Sans MT"/>
          <w:sz w:val="22"/>
          <w:szCs w:val="22"/>
        </w:rPr>
        <w:t xml:space="preserve">performance over time and </w:t>
      </w:r>
      <w:r>
        <w:rPr>
          <w:rFonts w:ascii="Gill Sans MT" w:hAnsi="Gill Sans MT"/>
          <w:sz w:val="22"/>
          <w:szCs w:val="22"/>
        </w:rPr>
        <w:t xml:space="preserve">note </w:t>
      </w:r>
      <w:r w:rsidRPr="00C7325F">
        <w:rPr>
          <w:rFonts w:ascii="Gill Sans MT" w:hAnsi="Gill Sans MT"/>
          <w:sz w:val="22"/>
          <w:szCs w:val="22"/>
        </w:rPr>
        <w:t>any trends</w:t>
      </w:r>
      <w:r>
        <w:rPr>
          <w:rFonts w:ascii="Gill Sans MT" w:hAnsi="Gill Sans MT"/>
          <w:sz w:val="22"/>
          <w:szCs w:val="22"/>
        </w:rPr>
        <w:t xml:space="preserve">, and lastly, identifying and concluding our findings on </w:t>
      </w:r>
      <w:r w:rsidRPr="00C7325F">
        <w:rPr>
          <w:rFonts w:ascii="Gill Sans MT" w:hAnsi="Gill Sans MT"/>
          <w:sz w:val="22"/>
          <w:szCs w:val="22"/>
        </w:rPr>
        <w:t xml:space="preserve">whether an ESG screened </w:t>
      </w:r>
      <w:r>
        <w:rPr>
          <w:rFonts w:ascii="Gill Sans MT" w:hAnsi="Gill Sans MT"/>
          <w:sz w:val="22"/>
          <w:szCs w:val="22"/>
        </w:rPr>
        <w:t xml:space="preserve">passive </w:t>
      </w:r>
      <w:r w:rsidRPr="00C7325F">
        <w:rPr>
          <w:rFonts w:ascii="Gill Sans MT" w:hAnsi="Gill Sans MT"/>
          <w:sz w:val="22"/>
          <w:szCs w:val="22"/>
        </w:rPr>
        <w:t>investment strategy has performed better.</w:t>
      </w:r>
    </w:p>
    <w:p w14:paraId="4CE5ACA9" w14:textId="77777777" w:rsidR="00465146" w:rsidRPr="00C7325F" w:rsidRDefault="00465146" w:rsidP="00465146">
      <w:pPr>
        <w:pStyle w:val="NormalWeb"/>
        <w:rPr>
          <w:rFonts w:ascii="Gill Sans MT" w:hAnsi="Gill Sans MT"/>
          <w:sz w:val="22"/>
          <w:szCs w:val="22"/>
        </w:rPr>
      </w:pPr>
      <w:r w:rsidRPr="00C7325F">
        <w:rPr>
          <w:rFonts w:ascii="Gill Sans MT" w:hAnsi="Gill Sans MT"/>
          <w:sz w:val="22"/>
          <w:szCs w:val="22"/>
        </w:rPr>
        <w:t xml:space="preserve">This research design allows us to propose </w:t>
      </w:r>
      <w:r>
        <w:rPr>
          <w:rFonts w:ascii="Gill Sans MT" w:hAnsi="Gill Sans MT"/>
          <w:sz w:val="22"/>
          <w:szCs w:val="22"/>
        </w:rPr>
        <w:t xml:space="preserve">the following </w:t>
      </w:r>
      <w:r w:rsidRPr="00C7325F">
        <w:rPr>
          <w:rFonts w:ascii="Gill Sans MT" w:hAnsi="Gill Sans MT"/>
          <w:sz w:val="22"/>
          <w:szCs w:val="22"/>
        </w:rPr>
        <w:t>hypothes</w:t>
      </w:r>
      <w:r>
        <w:rPr>
          <w:rFonts w:ascii="Gill Sans MT" w:hAnsi="Gill Sans MT"/>
          <w:sz w:val="22"/>
          <w:szCs w:val="22"/>
        </w:rPr>
        <w:t>i</w:t>
      </w:r>
      <w:r w:rsidRPr="00C7325F">
        <w:rPr>
          <w:rFonts w:ascii="Gill Sans MT" w:hAnsi="Gill Sans MT"/>
          <w:sz w:val="22"/>
          <w:szCs w:val="22"/>
        </w:rPr>
        <w:t>s:</w:t>
      </w:r>
    </w:p>
    <w:p w14:paraId="158B0E5A" w14:textId="77777777" w:rsidR="00465146" w:rsidRPr="00C7325F" w:rsidRDefault="00465146" w:rsidP="00465146">
      <w:pPr>
        <w:pStyle w:val="NormalWeb"/>
        <w:rPr>
          <w:rFonts w:ascii="Gill Sans MT" w:hAnsi="Gill Sans MT"/>
          <w:sz w:val="22"/>
          <w:szCs w:val="22"/>
        </w:rPr>
      </w:pPr>
      <w:r w:rsidRPr="00C7325F">
        <w:rPr>
          <w:rFonts w:ascii="Gill Sans MT" w:hAnsi="Gill Sans MT"/>
          <w:b/>
          <w:bCs/>
          <w:sz w:val="22"/>
          <w:szCs w:val="22"/>
        </w:rPr>
        <w:t>H</w:t>
      </w:r>
      <w:r>
        <w:rPr>
          <w:rFonts w:ascii="Gill Sans MT" w:hAnsi="Gill Sans MT"/>
          <w:b/>
          <w:bCs/>
          <w:sz w:val="22"/>
          <w:szCs w:val="22"/>
        </w:rPr>
        <w:t>O:</w:t>
      </w:r>
      <w:r w:rsidRPr="00C7325F">
        <w:rPr>
          <w:rFonts w:ascii="Gill Sans MT" w:hAnsi="Gill Sans MT"/>
          <w:b/>
          <w:bCs/>
          <w:sz w:val="22"/>
          <w:szCs w:val="22"/>
        </w:rPr>
        <w:t xml:space="preserve"> </w:t>
      </w:r>
      <w:r w:rsidRPr="00C7325F">
        <w:rPr>
          <w:rFonts w:ascii="Gill Sans MT" w:hAnsi="Gill Sans MT"/>
          <w:sz w:val="22"/>
          <w:szCs w:val="22"/>
        </w:rPr>
        <w:t xml:space="preserve">ESG screened </w:t>
      </w:r>
      <w:r>
        <w:rPr>
          <w:rFonts w:ascii="Gill Sans MT" w:hAnsi="Gill Sans MT"/>
          <w:sz w:val="22"/>
          <w:szCs w:val="22"/>
        </w:rPr>
        <w:t>indices</w:t>
      </w:r>
      <w:r w:rsidRPr="00C7325F">
        <w:rPr>
          <w:rFonts w:ascii="Gill Sans MT" w:hAnsi="Gill Sans MT"/>
          <w:sz w:val="22"/>
          <w:szCs w:val="22"/>
        </w:rPr>
        <w:t xml:space="preserve"> </w:t>
      </w:r>
      <w:r>
        <w:rPr>
          <w:rFonts w:ascii="Gill Sans MT" w:hAnsi="Gill Sans MT"/>
          <w:sz w:val="22"/>
          <w:szCs w:val="22"/>
        </w:rPr>
        <w:t xml:space="preserve">do not outperform </w:t>
      </w:r>
      <w:r w:rsidRPr="00C7325F">
        <w:rPr>
          <w:rFonts w:ascii="Gill Sans MT" w:hAnsi="Gill Sans MT"/>
          <w:sz w:val="22"/>
          <w:szCs w:val="22"/>
        </w:rPr>
        <w:t>their conventional equivalent.</w:t>
      </w:r>
    </w:p>
    <w:p w14:paraId="12B2602D" w14:textId="77777777" w:rsidR="00465146" w:rsidRDefault="00465146" w:rsidP="00465146">
      <w:pPr>
        <w:pStyle w:val="NormalWeb"/>
        <w:rPr>
          <w:rFonts w:ascii="Gill Sans MT" w:hAnsi="Gill Sans MT"/>
          <w:sz w:val="22"/>
          <w:szCs w:val="22"/>
        </w:rPr>
      </w:pPr>
      <w:r w:rsidRPr="00C7325F">
        <w:rPr>
          <w:rFonts w:ascii="Gill Sans MT" w:hAnsi="Gill Sans MT"/>
          <w:b/>
          <w:bCs/>
          <w:sz w:val="22"/>
          <w:szCs w:val="22"/>
        </w:rPr>
        <w:t>H</w:t>
      </w:r>
      <w:r>
        <w:rPr>
          <w:rFonts w:ascii="Gill Sans MT" w:hAnsi="Gill Sans MT"/>
          <w:b/>
          <w:bCs/>
          <w:sz w:val="22"/>
          <w:szCs w:val="22"/>
        </w:rPr>
        <w:t>A:</w:t>
      </w:r>
      <w:r w:rsidRPr="00C7325F">
        <w:rPr>
          <w:rFonts w:ascii="Gill Sans MT" w:hAnsi="Gill Sans MT"/>
          <w:b/>
          <w:bCs/>
          <w:sz w:val="22"/>
          <w:szCs w:val="22"/>
        </w:rPr>
        <w:t xml:space="preserve"> </w:t>
      </w:r>
      <w:r w:rsidRPr="00C7325F">
        <w:rPr>
          <w:rFonts w:ascii="Gill Sans MT" w:hAnsi="Gill Sans MT"/>
          <w:sz w:val="22"/>
          <w:szCs w:val="22"/>
        </w:rPr>
        <w:t xml:space="preserve">ESG screened </w:t>
      </w:r>
      <w:r>
        <w:rPr>
          <w:rFonts w:ascii="Gill Sans MT" w:hAnsi="Gill Sans MT"/>
          <w:sz w:val="22"/>
          <w:szCs w:val="22"/>
        </w:rPr>
        <w:t xml:space="preserve">indices outperform </w:t>
      </w:r>
      <w:r w:rsidRPr="00C7325F">
        <w:rPr>
          <w:rFonts w:ascii="Gill Sans MT" w:hAnsi="Gill Sans MT"/>
          <w:sz w:val="22"/>
          <w:szCs w:val="22"/>
        </w:rPr>
        <w:t>their conventional equivalents.</w:t>
      </w:r>
    </w:p>
    <w:p w14:paraId="122E53BA" w14:textId="6A7B061B" w:rsidR="00C7325F" w:rsidRPr="00C7325F" w:rsidRDefault="000046A5" w:rsidP="00227562">
      <w:pPr>
        <w:pStyle w:val="NormalWeb"/>
        <w:jc w:val="center"/>
        <w:rPr>
          <w:rFonts w:ascii="Gill Sans MT" w:hAnsi="Gill Sans MT"/>
          <w:b/>
          <w:bCs/>
          <w:sz w:val="22"/>
          <w:szCs w:val="22"/>
        </w:rPr>
      </w:pPr>
      <w:r>
        <w:rPr>
          <w:rFonts w:ascii="Gill Sans MT" w:hAnsi="Gill Sans MT"/>
          <w:b/>
          <w:bCs/>
          <w:noProof/>
          <w:sz w:val="22"/>
          <w:szCs w:val="22"/>
        </w:rPr>
        <w:drawing>
          <wp:inline distT="0" distB="0" distL="0" distR="0" wp14:anchorId="3163AE78" wp14:editId="0CA628EE">
            <wp:extent cx="5352978" cy="2413416"/>
            <wp:effectExtent l="0" t="0" r="0" b="0"/>
            <wp:docPr id="96" name="Picture 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 2020-07-02 at 15.44.20.png"/>
                    <pic:cNvPicPr/>
                  </pic:nvPicPr>
                  <pic:blipFill>
                    <a:blip r:embed="rId17">
                      <a:extLst>
                        <a:ext uri="{28A0092B-C50C-407E-A947-70E740481C1C}">
                          <a14:useLocalDpi xmlns:a14="http://schemas.microsoft.com/office/drawing/2010/main" val="0"/>
                        </a:ext>
                      </a:extLst>
                    </a:blip>
                    <a:stretch>
                      <a:fillRect/>
                    </a:stretch>
                  </pic:blipFill>
                  <pic:spPr>
                    <a:xfrm>
                      <a:off x="0" y="0"/>
                      <a:ext cx="5411426" cy="2439768"/>
                    </a:xfrm>
                    <a:prstGeom prst="rect">
                      <a:avLst/>
                    </a:prstGeom>
                  </pic:spPr>
                </pic:pic>
              </a:graphicData>
            </a:graphic>
          </wp:inline>
        </w:drawing>
      </w:r>
    </w:p>
    <w:p w14:paraId="65556F41" w14:textId="5BDB0A78" w:rsidR="00C7325F" w:rsidRPr="00C7325F" w:rsidRDefault="00C7325F" w:rsidP="00227562">
      <w:pPr>
        <w:pStyle w:val="NormalWeb"/>
        <w:jc w:val="center"/>
        <w:rPr>
          <w:rFonts w:ascii="Gill Sans MT" w:hAnsi="Gill Sans MT"/>
          <w:sz w:val="20"/>
          <w:szCs w:val="20"/>
        </w:rPr>
      </w:pPr>
      <w:r w:rsidRPr="00C7325F">
        <w:rPr>
          <w:rFonts w:ascii="Gill Sans MT" w:hAnsi="Gill Sans MT"/>
          <w:b/>
          <w:bCs/>
          <w:sz w:val="20"/>
          <w:szCs w:val="20"/>
        </w:rPr>
        <w:t xml:space="preserve">Fig. 5. </w:t>
      </w:r>
      <w:r w:rsidRPr="00C7325F">
        <w:rPr>
          <w:rFonts w:ascii="Gill Sans MT" w:hAnsi="Gill Sans MT"/>
          <w:sz w:val="20"/>
          <w:szCs w:val="20"/>
        </w:rPr>
        <w:t>Conceptual Research Model</w:t>
      </w:r>
    </w:p>
    <w:p w14:paraId="159F39AA" w14:textId="77777777" w:rsidR="00465146" w:rsidRPr="00C7325F" w:rsidRDefault="00465146" w:rsidP="00465146">
      <w:pPr>
        <w:pStyle w:val="NormalWeb"/>
        <w:jc w:val="both"/>
        <w:rPr>
          <w:rFonts w:ascii="Gill Sans MT" w:hAnsi="Gill Sans MT"/>
          <w:sz w:val="22"/>
          <w:szCs w:val="22"/>
        </w:rPr>
      </w:pPr>
      <w:r w:rsidRPr="00C7325F">
        <w:rPr>
          <w:rFonts w:ascii="Gill Sans MT" w:hAnsi="Gill Sans MT"/>
          <w:sz w:val="22"/>
          <w:szCs w:val="22"/>
        </w:rPr>
        <w:t xml:space="preserve">This subject has not been covered by the financial and environmental academic community. </w:t>
      </w:r>
      <w:r>
        <w:rPr>
          <w:rFonts w:ascii="Gill Sans MT" w:hAnsi="Gill Sans MT"/>
          <w:sz w:val="22"/>
          <w:szCs w:val="22"/>
        </w:rPr>
        <w:t>Our</w:t>
      </w:r>
      <w:r w:rsidRPr="00C7325F">
        <w:rPr>
          <w:rFonts w:ascii="Gill Sans MT" w:hAnsi="Gill Sans MT"/>
          <w:sz w:val="22"/>
          <w:szCs w:val="22"/>
        </w:rPr>
        <w:t xml:space="preserve"> motivations for covering this topic is the lack of current and specific academic coverage</w:t>
      </w:r>
      <w:r>
        <w:rPr>
          <w:rFonts w:ascii="Gill Sans MT" w:hAnsi="Gill Sans MT"/>
          <w:sz w:val="22"/>
          <w:szCs w:val="22"/>
        </w:rPr>
        <w:t xml:space="preserve"> on the topic</w:t>
      </w:r>
      <w:r w:rsidRPr="00C7325F">
        <w:rPr>
          <w:rFonts w:ascii="Gill Sans MT" w:hAnsi="Gill Sans MT"/>
          <w:sz w:val="22"/>
          <w:szCs w:val="22"/>
        </w:rPr>
        <w:t xml:space="preserve"> and </w:t>
      </w:r>
      <w:r>
        <w:rPr>
          <w:rFonts w:ascii="Gill Sans MT" w:hAnsi="Gill Sans MT"/>
          <w:sz w:val="22"/>
          <w:szCs w:val="22"/>
        </w:rPr>
        <w:t>our</w:t>
      </w:r>
      <w:r w:rsidRPr="00C7325F">
        <w:rPr>
          <w:rFonts w:ascii="Gill Sans MT" w:hAnsi="Gill Sans MT"/>
          <w:sz w:val="22"/>
          <w:szCs w:val="22"/>
        </w:rPr>
        <w:t xml:space="preserve"> own personal interest in sustainable investment and </w:t>
      </w:r>
      <w:r>
        <w:rPr>
          <w:rFonts w:ascii="Gill Sans MT" w:hAnsi="Gill Sans MT"/>
          <w:sz w:val="22"/>
          <w:szCs w:val="22"/>
        </w:rPr>
        <w:t>its</w:t>
      </w:r>
      <w:r w:rsidRPr="00C7325F">
        <w:rPr>
          <w:rFonts w:ascii="Gill Sans MT" w:hAnsi="Gill Sans MT"/>
          <w:sz w:val="22"/>
          <w:szCs w:val="22"/>
        </w:rPr>
        <w:t xml:space="preserve"> relevant</w:t>
      </w:r>
      <w:r>
        <w:rPr>
          <w:rFonts w:ascii="Gill Sans MT" w:hAnsi="Gill Sans MT"/>
          <w:sz w:val="22"/>
          <w:szCs w:val="22"/>
        </w:rPr>
        <w:t xml:space="preserve"> risk-adjusted</w:t>
      </w:r>
      <w:r w:rsidRPr="00C7325F">
        <w:rPr>
          <w:rFonts w:ascii="Gill Sans MT" w:hAnsi="Gill Sans MT"/>
          <w:sz w:val="22"/>
          <w:szCs w:val="22"/>
        </w:rPr>
        <w:t xml:space="preserve"> returns.</w:t>
      </w:r>
    </w:p>
    <w:p w14:paraId="73960BCC" w14:textId="7B208A98" w:rsidR="00C7325F" w:rsidRPr="0008690A" w:rsidRDefault="008132F6" w:rsidP="00227562">
      <w:pPr>
        <w:pStyle w:val="NormalWeb"/>
        <w:rPr>
          <w:rFonts w:ascii="Gill Sans MT" w:hAnsi="Gill Sans MT"/>
        </w:rPr>
      </w:pPr>
      <w:r w:rsidRPr="0008690A">
        <w:rPr>
          <w:rFonts w:ascii="Gill Sans MT" w:hAnsi="Gill Sans MT"/>
          <w:b/>
          <w:bCs/>
          <w:sz w:val="22"/>
          <w:szCs w:val="22"/>
          <w:shd w:val="clear" w:color="auto" w:fill="FFFFFF"/>
        </w:rPr>
        <w:t xml:space="preserve">2. </w:t>
      </w:r>
      <w:r w:rsidR="00291812" w:rsidRPr="0008690A">
        <w:rPr>
          <w:rFonts w:ascii="Gill Sans MT" w:hAnsi="Gill Sans MT"/>
          <w:b/>
          <w:bCs/>
          <w:sz w:val="22"/>
          <w:szCs w:val="22"/>
          <w:shd w:val="clear" w:color="auto" w:fill="FFFFFF"/>
        </w:rPr>
        <w:t>Literature Review</w:t>
      </w:r>
    </w:p>
    <w:p w14:paraId="0F364296" w14:textId="605C06CE" w:rsidR="00291812" w:rsidRPr="00291812" w:rsidRDefault="00291812" w:rsidP="00602441">
      <w:pPr>
        <w:pStyle w:val="NormalWeb"/>
        <w:shd w:val="clear" w:color="auto" w:fill="FFFFFF"/>
        <w:jc w:val="both"/>
        <w:rPr>
          <w:rFonts w:ascii="Gill Sans MT" w:hAnsi="Gill Sans MT"/>
          <w:sz w:val="22"/>
          <w:szCs w:val="22"/>
        </w:rPr>
      </w:pPr>
      <w:r w:rsidRPr="00291812">
        <w:rPr>
          <w:rFonts w:ascii="Gill Sans MT" w:hAnsi="Gill Sans MT"/>
          <w:sz w:val="22"/>
          <w:szCs w:val="22"/>
        </w:rPr>
        <w:t xml:space="preserve">A meta-analysis paper written by Gunnar </w:t>
      </w:r>
      <w:proofErr w:type="spellStart"/>
      <w:r w:rsidRPr="00291812">
        <w:rPr>
          <w:rFonts w:ascii="Gill Sans MT" w:hAnsi="Gill Sans MT"/>
          <w:sz w:val="22"/>
          <w:szCs w:val="22"/>
        </w:rPr>
        <w:t>Friede</w:t>
      </w:r>
      <w:proofErr w:type="spellEnd"/>
      <w:r w:rsidRPr="00291812">
        <w:rPr>
          <w:rFonts w:ascii="Gill Sans MT" w:hAnsi="Gill Sans MT"/>
          <w:sz w:val="22"/>
          <w:szCs w:val="22"/>
        </w:rPr>
        <w:t xml:space="preserve">, Timo Busch &amp; Alexander </w:t>
      </w:r>
      <w:proofErr w:type="spellStart"/>
      <w:r w:rsidRPr="00291812">
        <w:rPr>
          <w:rFonts w:ascii="Gill Sans MT" w:hAnsi="Gill Sans MT"/>
          <w:sz w:val="22"/>
          <w:szCs w:val="22"/>
        </w:rPr>
        <w:t>Bassen</w:t>
      </w:r>
      <w:proofErr w:type="spellEnd"/>
      <w:r w:rsidRPr="00291812">
        <w:rPr>
          <w:rFonts w:ascii="Gill Sans MT" w:hAnsi="Gill Sans MT"/>
          <w:sz w:val="22"/>
          <w:szCs w:val="22"/>
        </w:rPr>
        <w:t xml:space="preserve"> in the Journal of Sustainable Finance &amp; Investment suggests that there is an empirical positive relationship between ESG and corporate financial performance. Roughly 90% of the studies suggested a positive relationship</w:t>
      </w:r>
      <w:r w:rsidR="00105CFE">
        <w:rPr>
          <w:rFonts w:ascii="Gill Sans MT" w:hAnsi="Gill Sans MT"/>
          <w:sz w:val="22"/>
          <w:szCs w:val="22"/>
        </w:rPr>
        <w:t xml:space="preserve"> and t</w:t>
      </w:r>
      <w:r w:rsidRPr="00291812">
        <w:rPr>
          <w:rFonts w:ascii="Gill Sans MT" w:hAnsi="Gill Sans MT"/>
          <w:sz w:val="22"/>
          <w:szCs w:val="22"/>
        </w:rPr>
        <w:t>he results also exhibit a stable long-term relationship between the two. The study looks into many regions, asset classes, non</w:t>
      </w:r>
      <w:r w:rsidR="005E0610">
        <w:rPr>
          <w:rFonts w:ascii="Gill Sans MT" w:hAnsi="Gill Sans MT"/>
          <w:sz w:val="22"/>
          <w:szCs w:val="22"/>
        </w:rPr>
        <w:t>-</w:t>
      </w:r>
      <w:r w:rsidRPr="00291812">
        <w:rPr>
          <w:rFonts w:ascii="Gill Sans MT" w:hAnsi="Gill Sans MT"/>
          <w:sz w:val="22"/>
          <w:szCs w:val="22"/>
        </w:rPr>
        <w:t>portfolio and portfolio related studies. The study combines primary and secondary data from around 2</w:t>
      </w:r>
      <w:r w:rsidR="00E11E02">
        <w:rPr>
          <w:rFonts w:ascii="Gill Sans MT" w:hAnsi="Gill Sans MT"/>
          <w:sz w:val="22"/>
          <w:szCs w:val="22"/>
        </w:rPr>
        <w:t>,</w:t>
      </w:r>
      <w:r w:rsidRPr="00291812">
        <w:rPr>
          <w:rFonts w:ascii="Gill Sans MT" w:hAnsi="Gill Sans MT"/>
          <w:sz w:val="22"/>
          <w:szCs w:val="22"/>
        </w:rPr>
        <w:t>200 individual studies (</w:t>
      </w:r>
      <w:proofErr w:type="spellStart"/>
      <w:r w:rsidRPr="00291812">
        <w:rPr>
          <w:rFonts w:ascii="Gill Sans MT" w:hAnsi="Gill Sans MT"/>
          <w:sz w:val="22"/>
          <w:szCs w:val="22"/>
        </w:rPr>
        <w:t>Friede</w:t>
      </w:r>
      <w:proofErr w:type="spellEnd"/>
      <w:r w:rsidRPr="00291812">
        <w:rPr>
          <w:rFonts w:ascii="Gill Sans MT" w:hAnsi="Gill Sans MT"/>
          <w:sz w:val="22"/>
          <w:szCs w:val="22"/>
        </w:rPr>
        <w:t xml:space="preserve"> et al., 2015).</w:t>
      </w:r>
    </w:p>
    <w:p w14:paraId="6E6861D9" w14:textId="0943482C" w:rsidR="00291812" w:rsidRPr="00291812" w:rsidRDefault="00291812" w:rsidP="00602441">
      <w:pPr>
        <w:pStyle w:val="NormalWeb"/>
        <w:shd w:val="clear" w:color="auto" w:fill="FFFFFF"/>
        <w:jc w:val="both"/>
        <w:rPr>
          <w:rFonts w:ascii="Gill Sans MT" w:hAnsi="Gill Sans MT"/>
          <w:sz w:val="22"/>
          <w:szCs w:val="22"/>
        </w:rPr>
      </w:pPr>
      <w:r w:rsidRPr="00291812">
        <w:rPr>
          <w:rFonts w:ascii="Gill Sans MT" w:hAnsi="Gill Sans MT"/>
          <w:sz w:val="22"/>
          <w:szCs w:val="22"/>
        </w:rPr>
        <w:lastRenderedPageBreak/>
        <w:t>A paper written by Deutsche Bank investment researchers and an individual from Columbia University suggests that sustainable investment yields long-term performance for investors. This paper focusses on both passive investments and active managers. They found that ESG ‘best in class’ funds offer superior risk-adjusted returns if ‘well</w:t>
      </w:r>
      <w:r w:rsidR="007C5C43">
        <w:rPr>
          <w:rFonts w:ascii="Gill Sans MT" w:hAnsi="Gill Sans MT"/>
          <w:sz w:val="22"/>
          <w:szCs w:val="22"/>
        </w:rPr>
        <w:t>-</w:t>
      </w:r>
      <w:r w:rsidRPr="00291812">
        <w:rPr>
          <w:rFonts w:ascii="Gill Sans MT" w:hAnsi="Gill Sans MT"/>
          <w:sz w:val="22"/>
          <w:szCs w:val="22"/>
        </w:rPr>
        <w:t xml:space="preserve">executed’. Their meta-analysis looks into 56 academic papers, two literature reviews and four meta-studies. They found exclusionary investing offers mixed to neutral results and </w:t>
      </w:r>
      <w:r w:rsidR="00616392">
        <w:rPr>
          <w:rFonts w:ascii="Gill Sans MT" w:hAnsi="Gill Sans MT"/>
          <w:sz w:val="22"/>
          <w:szCs w:val="22"/>
        </w:rPr>
        <w:t xml:space="preserve">non-exclusionary companies </w:t>
      </w:r>
      <w:r w:rsidR="000A2414">
        <w:rPr>
          <w:rFonts w:ascii="Gill Sans MT" w:hAnsi="Gill Sans MT"/>
          <w:sz w:val="22"/>
          <w:szCs w:val="22"/>
        </w:rPr>
        <w:t xml:space="preserve">comparably </w:t>
      </w:r>
      <w:r w:rsidRPr="00291812">
        <w:rPr>
          <w:rFonts w:ascii="Gill Sans MT" w:hAnsi="Gill Sans MT"/>
          <w:sz w:val="22"/>
          <w:szCs w:val="22"/>
        </w:rPr>
        <w:t>h</w:t>
      </w:r>
      <w:r w:rsidR="00616392">
        <w:rPr>
          <w:rFonts w:ascii="Gill Sans MT" w:hAnsi="Gill Sans MT"/>
          <w:sz w:val="22"/>
          <w:szCs w:val="22"/>
        </w:rPr>
        <w:t>ave</w:t>
      </w:r>
      <w:r w:rsidRPr="00291812">
        <w:rPr>
          <w:rFonts w:ascii="Gill Sans MT" w:hAnsi="Gill Sans MT"/>
          <w:sz w:val="22"/>
          <w:szCs w:val="22"/>
        </w:rPr>
        <w:t xml:space="preserve"> lower levels of cost of debt and equity. They found the market rewards companies for environmental consideration, followed closely by corporate factors (Fulton et al., 2012). </w:t>
      </w:r>
    </w:p>
    <w:p w14:paraId="5A5CAB39" w14:textId="77A69E95" w:rsidR="00291812" w:rsidRPr="00291812" w:rsidRDefault="00291812" w:rsidP="00602441">
      <w:pPr>
        <w:pStyle w:val="NormalWeb"/>
        <w:shd w:val="clear" w:color="auto" w:fill="FFFFFF"/>
        <w:jc w:val="both"/>
        <w:rPr>
          <w:rFonts w:ascii="Gill Sans MT" w:hAnsi="Gill Sans MT"/>
          <w:sz w:val="22"/>
          <w:szCs w:val="22"/>
        </w:rPr>
      </w:pPr>
      <w:r w:rsidRPr="00291812">
        <w:rPr>
          <w:rFonts w:ascii="Gill Sans MT" w:hAnsi="Gill Sans MT"/>
          <w:sz w:val="22"/>
          <w:szCs w:val="22"/>
        </w:rPr>
        <w:t xml:space="preserve">A study completed by Felipe Arias Fogliano de Souza Cunha </w:t>
      </w:r>
      <w:r w:rsidR="00E11E02">
        <w:rPr>
          <w:rFonts w:ascii="Gill Sans MT" w:hAnsi="Gill Sans MT"/>
          <w:sz w:val="22"/>
          <w:szCs w:val="22"/>
        </w:rPr>
        <w:t>and</w:t>
      </w:r>
      <w:r w:rsidRPr="00291812">
        <w:rPr>
          <w:rFonts w:ascii="Gill Sans MT" w:hAnsi="Gill Sans MT"/>
          <w:sz w:val="22"/>
          <w:szCs w:val="22"/>
        </w:rPr>
        <w:t xml:space="preserve"> Carlos Patricio Samanez, which was published in the Journal of Business Ethics demonstrates that </w:t>
      </w:r>
      <w:r w:rsidR="000A2414">
        <w:rPr>
          <w:rFonts w:ascii="Gill Sans MT" w:hAnsi="Gill Sans MT"/>
          <w:sz w:val="22"/>
          <w:szCs w:val="22"/>
        </w:rPr>
        <w:t xml:space="preserve">sustainable </w:t>
      </w:r>
      <w:r w:rsidRPr="00291812">
        <w:rPr>
          <w:rFonts w:ascii="Gill Sans MT" w:hAnsi="Gill Sans MT"/>
          <w:sz w:val="22"/>
          <w:szCs w:val="22"/>
        </w:rPr>
        <w:t>securities on the Brazilian Mercantile, Futures and Stock Exchange have mixed performance. Sustainable investments did not achieve satisfactory financial performance for the period of December 2005 to December 2010. The results found that sustainable investments had better liquidity and lower risk but fell short when returns, Sharpe ratios, Treynor ratios, Sortino ratios and Omega was considered (de Souza Cunha and Samanez, 2013).</w:t>
      </w:r>
    </w:p>
    <w:p w14:paraId="12A06DF0" w14:textId="33AD2E55" w:rsidR="00291812" w:rsidRPr="00291812" w:rsidRDefault="00291812" w:rsidP="00602441">
      <w:pPr>
        <w:pStyle w:val="NormalWeb"/>
        <w:shd w:val="clear" w:color="auto" w:fill="FFFFFF"/>
        <w:jc w:val="both"/>
        <w:rPr>
          <w:rFonts w:ascii="Gill Sans MT" w:hAnsi="Gill Sans MT"/>
          <w:sz w:val="22"/>
          <w:szCs w:val="22"/>
        </w:rPr>
      </w:pPr>
      <w:r w:rsidRPr="00291812">
        <w:rPr>
          <w:rFonts w:ascii="Gill Sans MT" w:hAnsi="Gill Sans MT"/>
          <w:sz w:val="22"/>
          <w:szCs w:val="22"/>
        </w:rPr>
        <w:t xml:space="preserve">An analysis </w:t>
      </w:r>
      <w:r w:rsidR="00366638">
        <w:rPr>
          <w:rFonts w:ascii="Gill Sans MT" w:hAnsi="Gill Sans MT"/>
          <w:sz w:val="22"/>
          <w:szCs w:val="22"/>
        </w:rPr>
        <w:t>of</w:t>
      </w:r>
      <w:r w:rsidRPr="00291812">
        <w:rPr>
          <w:rFonts w:ascii="Gill Sans MT" w:hAnsi="Gill Sans MT"/>
          <w:sz w:val="22"/>
          <w:szCs w:val="22"/>
        </w:rPr>
        <w:t xml:space="preserve"> the global performance of sustainable investments during the financial crisis was published in the Applied Financial Economics Journal. From 2004 to 2013</w:t>
      </w:r>
      <w:r w:rsidR="00483B1E">
        <w:rPr>
          <w:rFonts w:ascii="Gill Sans MT" w:hAnsi="Gill Sans MT"/>
          <w:sz w:val="22"/>
          <w:szCs w:val="22"/>
        </w:rPr>
        <w:t>,</w:t>
      </w:r>
      <w:r w:rsidRPr="00291812">
        <w:rPr>
          <w:rFonts w:ascii="Gill Sans MT" w:hAnsi="Gill Sans MT"/>
          <w:sz w:val="22"/>
          <w:szCs w:val="22"/>
        </w:rPr>
        <w:t xml:space="preserve"> sustainable investments </w:t>
      </w:r>
      <w:r w:rsidR="00483B1E">
        <w:rPr>
          <w:rFonts w:ascii="Gill Sans MT" w:hAnsi="Gill Sans MT"/>
          <w:sz w:val="22"/>
          <w:szCs w:val="22"/>
        </w:rPr>
        <w:t>exhibited</w:t>
      </w:r>
      <w:r w:rsidRPr="00291812">
        <w:rPr>
          <w:rFonts w:ascii="Gill Sans MT" w:hAnsi="Gill Sans MT"/>
          <w:sz w:val="22"/>
          <w:szCs w:val="22"/>
        </w:rPr>
        <w:t xml:space="preserve"> lower Sharpe ratios, and a relative decoupling of sustainable investing from markets during </w:t>
      </w:r>
      <w:r w:rsidR="00E11E02">
        <w:rPr>
          <w:rFonts w:ascii="Gill Sans MT" w:hAnsi="Gill Sans MT"/>
          <w:sz w:val="22"/>
          <w:szCs w:val="22"/>
        </w:rPr>
        <w:t xml:space="preserve">the </w:t>
      </w:r>
      <w:r w:rsidRPr="00291812">
        <w:rPr>
          <w:rFonts w:ascii="Gill Sans MT" w:hAnsi="Gill Sans MT"/>
          <w:sz w:val="22"/>
          <w:szCs w:val="22"/>
        </w:rPr>
        <w:t>cris</w:t>
      </w:r>
      <w:r w:rsidR="00E11E02">
        <w:rPr>
          <w:rFonts w:ascii="Gill Sans MT" w:hAnsi="Gill Sans MT"/>
          <w:sz w:val="22"/>
          <w:szCs w:val="22"/>
        </w:rPr>
        <w:t>i</w:t>
      </w:r>
      <w:r w:rsidRPr="00291812">
        <w:rPr>
          <w:rFonts w:ascii="Gill Sans MT" w:hAnsi="Gill Sans MT"/>
          <w:sz w:val="22"/>
          <w:szCs w:val="22"/>
        </w:rPr>
        <w:t>s (Lean and Nguyen, 2014).</w:t>
      </w:r>
    </w:p>
    <w:p w14:paraId="18C67F33" w14:textId="74AAEE42" w:rsidR="00291812" w:rsidRPr="00291812" w:rsidRDefault="00291812" w:rsidP="00602441">
      <w:pPr>
        <w:pStyle w:val="NormalWeb"/>
        <w:shd w:val="clear" w:color="auto" w:fill="FFFFFF"/>
        <w:jc w:val="both"/>
        <w:rPr>
          <w:rFonts w:ascii="Gill Sans MT" w:hAnsi="Gill Sans MT"/>
          <w:sz w:val="22"/>
          <w:szCs w:val="22"/>
        </w:rPr>
      </w:pPr>
      <w:r w:rsidRPr="00291812">
        <w:rPr>
          <w:rFonts w:ascii="Gill Sans MT" w:hAnsi="Gill Sans MT"/>
          <w:sz w:val="22"/>
          <w:szCs w:val="22"/>
        </w:rPr>
        <w:t xml:space="preserve">A study conducted on </w:t>
      </w:r>
      <w:r w:rsidR="00344E5C">
        <w:rPr>
          <w:rFonts w:ascii="Gill Sans MT" w:hAnsi="Gill Sans MT"/>
          <w:sz w:val="22"/>
          <w:szCs w:val="22"/>
        </w:rPr>
        <w:t xml:space="preserve">the </w:t>
      </w:r>
      <w:r w:rsidRPr="00291812">
        <w:rPr>
          <w:rFonts w:ascii="Gill Sans MT" w:hAnsi="Gill Sans MT"/>
          <w:sz w:val="22"/>
          <w:szCs w:val="22"/>
        </w:rPr>
        <w:t xml:space="preserve">popular sustainable </w:t>
      </w:r>
      <w:r w:rsidR="00196B7D">
        <w:rPr>
          <w:rFonts w:ascii="Gill Sans MT" w:hAnsi="Gill Sans MT"/>
          <w:sz w:val="22"/>
          <w:szCs w:val="22"/>
        </w:rPr>
        <w:t>indices</w:t>
      </w:r>
      <w:r w:rsidRPr="00291812">
        <w:rPr>
          <w:rFonts w:ascii="Gill Sans MT" w:hAnsi="Gill Sans MT"/>
          <w:sz w:val="22"/>
          <w:szCs w:val="22"/>
        </w:rPr>
        <w:t xml:space="preserve"> was completed by Maria J. Charlo, Ismael Moya Ana and M. Muñoz. </w:t>
      </w:r>
      <w:r w:rsidR="00344E5C">
        <w:rPr>
          <w:rFonts w:ascii="Gill Sans MT" w:hAnsi="Gill Sans MT"/>
          <w:sz w:val="22"/>
          <w:szCs w:val="22"/>
        </w:rPr>
        <w:t>The paper</w:t>
      </w:r>
      <w:r w:rsidRPr="00291812">
        <w:rPr>
          <w:rFonts w:ascii="Gill Sans MT" w:hAnsi="Gill Sans MT"/>
          <w:sz w:val="22"/>
          <w:szCs w:val="22"/>
        </w:rPr>
        <w:t xml:space="preserve"> looked into </w:t>
      </w:r>
      <w:r w:rsidR="00344E5C">
        <w:rPr>
          <w:rFonts w:ascii="Gill Sans MT" w:hAnsi="Gill Sans MT"/>
          <w:sz w:val="22"/>
          <w:szCs w:val="22"/>
        </w:rPr>
        <w:t xml:space="preserve">the </w:t>
      </w:r>
      <w:r w:rsidRPr="00291812">
        <w:rPr>
          <w:rFonts w:ascii="Gill Sans MT" w:hAnsi="Gill Sans MT"/>
          <w:sz w:val="22"/>
          <w:szCs w:val="22"/>
        </w:rPr>
        <w:t xml:space="preserve">financial variables </w:t>
      </w:r>
      <w:r w:rsidR="00344E5C">
        <w:rPr>
          <w:rFonts w:ascii="Gill Sans MT" w:hAnsi="Gill Sans MT"/>
          <w:sz w:val="22"/>
          <w:szCs w:val="22"/>
        </w:rPr>
        <w:t>of</w:t>
      </w:r>
      <w:r w:rsidRPr="00291812">
        <w:rPr>
          <w:rFonts w:ascii="Gill Sans MT" w:hAnsi="Gill Sans MT"/>
          <w:sz w:val="22"/>
          <w:szCs w:val="22"/>
        </w:rPr>
        <w:t xml:space="preserve"> firms that are considered to be socially responsible. The research concluded that </w:t>
      </w:r>
      <w:r w:rsidR="00366638">
        <w:rPr>
          <w:rFonts w:ascii="Gill Sans MT" w:hAnsi="Gill Sans MT"/>
          <w:sz w:val="22"/>
          <w:szCs w:val="22"/>
        </w:rPr>
        <w:t>socially responsible firms</w:t>
      </w:r>
      <w:r w:rsidRPr="00291812">
        <w:rPr>
          <w:rFonts w:ascii="Gill Sans MT" w:hAnsi="Gill Sans MT"/>
          <w:sz w:val="22"/>
          <w:szCs w:val="22"/>
        </w:rPr>
        <w:t xml:space="preserve"> obtain higher profits</w:t>
      </w:r>
      <w:r w:rsidR="00344E5C">
        <w:rPr>
          <w:rFonts w:ascii="Gill Sans MT" w:hAnsi="Gill Sans MT"/>
          <w:sz w:val="22"/>
          <w:szCs w:val="22"/>
        </w:rPr>
        <w:t xml:space="preserve"> margins</w:t>
      </w:r>
      <w:r w:rsidRPr="00291812">
        <w:rPr>
          <w:rFonts w:ascii="Gill Sans MT" w:hAnsi="Gill Sans MT"/>
          <w:sz w:val="22"/>
          <w:szCs w:val="22"/>
        </w:rPr>
        <w:t xml:space="preserve"> while taking on the same systematic risk. They also </w:t>
      </w:r>
      <w:r w:rsidR="00F57E65">
        <w:rPr>
          <w:rFonts w:ascii="Gill Sans MT" w:hAnsi="Gill Sans MT"/>
          <w:sz w:val="22"/>
          <w:szCs w:val="22"/>
        </w:rPr>
        <w:t>exhibit</w:t>
      </w:r>
      <w:r w:rsidRPr="00291812">
        <w:rPr>
          <w:rFonts w:ascii="Gill Sans MT" w:hAnsi="Gill Sans MT"/>
          <w:sz w:val="22"/>
          <w:szCs w:val="22"/>
        </w:rPr>
        <w:t xml:space="preserve"> greater sensitivity to the market, leverage levels and company size (Moya et al., 2015).</w:t>
      </w:r>
    </w:p>
    <w:p w14:paraId="38DB32FE" w14:textId="4FE6A89A" w:rsidR="00291812" w:rsidRPr="00291812" w:rsidRDefault="00E11E02" w:rsidP="00602441">
      <w:pPr>
        <w:pStyle w:val="NormalWeb"/>
        <w:shd w:val="clear" w:color="auto" w:fill="FFFFFF"/>
        <w:jc w:val="both"/>
        <w:rPr>
          <w:rFonts w:ascii="Gill Sans MT" w:hAnsi="Gill Sans MT"/>
          <w:sz w:val="22"/>
          <w:szCs w:val="22"/>
        </w:rPr>
      </w:pPr>
      <w:r>
        <w:rPr>
          <w:rFonts w:ascii="Gill Sans MT" w:hAnsi="Gill Sans MT"/>
          <w:sz w:val="22"/>
          <w:szCs w:val="22"/>
        </w:rPr>
        <w:t>T</w:t>
      </w:r>
      <w:r w:rsidR="00291812" w:rsidRPr="00291812">
        <w:rPr>
          <w:rFonts w:ascii="Gill Sans MT" w:hAnsi="Gill Sans MT"/>
          <w:sz w:val="22"/>
          <w:szCs w:val="22"/>
        </w:rPr>
        <w:t xml:space="preserve">here </w:t>
      </w:r>
      <w:r w:rsidR="00780732">
        <w:rPr>
          <w:rFonts w:ascii="Gill Sans MT" w:hAnsi="Gill Sans MT"/>
          <w:sz w:val="22"/>
          <w:szCs w:val="22"/>
        </w:rPr>
        <w:t>are</w:t>
      </w:r>
      <w:r w:rsidR="00291812" w:rsidRPr="00291812">
        <w:rPr>
          <w:rFonts w:ascii="Gill Sans MT" w:hAnsi="Gill Sans MT"/>
          <w:sz w:val="22"/>
          <w:szCs w:val="22"/>
        </w:rPr>
        <w:t xml:space="preserve"> mixed results from the current literature available on the performance of sustainable investments over their conventional equivalents. This is </w:t>
      </w:r>
      <w:r w:rsidR="00AC4DC4">
        <w:rPr>
          <w:rFonts w:ascii="Gill Sans MT" w:hAnsi="Gill Sans MT"/>
          <w:sz w:val="22"/>
          <w:szCs w:val="22"/>
        </w:rPr>
        <w:t>due</w:t>
      </w:r>
      <w:r w:rsidR="00291812" w:rsidRPr="00291812">
        <w:rPr>
          <w:rFonts w:ascii="Gill Sans MT" w:hAnsi="Gill Sans MT"/>
          <w:sz w:val="22"/>
          <w:szCs w:val="22"/>
        </w:rPr>
        <w:t xml:space="preserve"> to </w:t>
      </w:r>
      <w:r w:rsidR="00AC4DC4">
        <w:rPr>
          <w:rFonts w:ascii="Gill Sans MT" w:hAnsi="Gill Sans MT"/>
          <w:sz w:val="22"/>
          <w:szCs w:val="22"/>
        </w:rPr>
        <w:t>a few</w:t>
      </w:r>
      <w:r w:rsidR="00291812" w:rsidRPr="00291812">
        <w:rPr>
          <w:rFonts w:ascii="Gill Sans MT" w:hAnsi="Gill Sans MT"/>
          <w:sz w:val="22"/>
          <w:szCs w:val="22"/>
        </w:rPr>
        <w:t xml:space="preserve"> reasons, </w:t>
      </w:r>
      <w:r w:rsidR="009B75F6">
        <w:rPr>
          <w:rFonts w:ascii="Gill Sans MT" w:hAnsi="Gill Sans MT"/>
          <w:sz w:val="22"/>
          <w:szCs w:val="22"/>
        </w:rPr>
        <w:t xml:space="preserve">however </w:t>
      </w:r>
      <w:r w:rsidR="00291812" w:rsidRPr="00291812">
        <w:rPr>
          <w:rFonts w:ascii="Gill Sans MT" w:hAnsi="Gill Sans MT"/>
          <w:sz w:val="22"/>
          <w:szCs w:val="22"/>
        </w:rPr>
        <w:t xml:space="preserve">predominately </w:t>
      </w:r>
      <w:r w:rsidR="009B75F6">
        <w:rPr>
          <w:rFonts w:ascii="Gill Sans MT" w:hAnsi="Gill Sans MT"/>
          <w:sz w:val="22"/>
          <w:szCs w:val="22"/>
        </w:rPr>
        <w:t xml:space="preserve">because of </w:t>
      </w:r>
      <w:r w:rsidR="00291812" w:rsidRPr="00291812">
        <w:rPr>
          <w:rFonts w:ascii="Gill Sans MT" w:hAnsi="Gill Sans MT"/>
          <w:sz w:val="22"/>
          <w:szCs w:val="22"/>
        </w:rPr>
        <w:t xml:space="preserve">the large amount and variety of securities that </w:t>
      </w:r>
      <w:r w:rsidR="00881C3F">
        <w:rPr>
          <w:rFonts w:ascii="Gill Sans MT" w:hAnsi="Gill Sans MT"/>
          <w:sz w:val="22"/>
          <w:szCs w:val="22"/>
        </w:rPr>
        <w:t>can be defined</w:t>
      </w:r>
      <w:r w:rsidR="00291812" w:rsidRPr="00291812">
        <w:rPr>
          <w:rFonts w:ascii="Gill Sans MT" w:hAnsi="Gill Sans MT"/>
          <w:sz w:val="22"/>
          <w:szCs w:val="22"/>
        </w:rPr>
        <w:t xml:space="preserve"> a</w:t>
      </w:r>
      <w:r w:rsidR="00881C3F">
        <w:rPr>
          <w:rFonts w:ascii="Gill Sans MT" w:hAnsi="Gill Sans MT"/>
          <w:sz w:val="22"/>
          <w:szCs w:val="22"/>
        </w:rPr>
        <w:t>s a</w:t>
      </w:r>
      <w:r w:rsidR="00291812" w:rsidRPr="00291812">
        <w:rPr>
          <w:rFonts w:ascii="Gill Sans MT" w:hAnsi="Gill Sans MT"/>
          <w:sz w:val="22"/>
          <w:szCs w:val="22"/>
        </w:rPr>
        <w:t xml:space="preserve"> sustainable investment. Also, the loose definitions of ‘sustainable’, ‘ESG’ and ‘socially responsible’ companies damage the empirical validity of many of the studies. </w:t>
      </w:r>
    </w:p>
    <w:p w14:paraId="4C3FFAB6" w14:textId="369A6349" w:rsidR="00291812" w:rsidRPr="0008690A" w:rsidRDefault="00B214AE" w:rsidP="00602441">
      <w:pPr>
        <w:pStyle w:val="NormalWeb"/>
        <w:shd w:val="clear" w:color="auto" w:fill="FFFFFF"/>
        <w:jc w:val="both"/>
        <w:rPr>
          <w:rFonts w:ascii="Gill Sans MT" w:hAnsi="Gill Sans MT"/>
          <w:sz w:val="22"/>
          <w:szCs w:val="22"/>
        </w:rPr>
      </w:pPr>
      <w:r>
        <w:rPr>
          <w:rFonts w:ascii="Gill Sans MT" w:hAnsi="Gill Sans MT"/>
          <w:sz w:val="22"/>
          <w:szCs w:val="22"/>
        </w:rPr>
        <w:t>The current literature available lacks</w:t>
      </w:r>
      <w:r w:rsidR="00291812" w:rsidRPr="00291812">
        <w:rPr>
          <w:rFonts w:ascii="Gill Sans MT" w:hAnsi="Gill Sans MT"/>
          <w:sz w:val="22"/>
          <w:szCs w:val="22"/>
        </w:rPr>
        <w:t xml:space="preserve"> research focussing on global exclusionary </w:t>
      </w:r>
      <w:r w:rsidR="00196B7D">
        <w:rPr>
          <w:rFonts w:ascii="Gill Sans MT" w:hAnsi="Gill Sans MT"/>
          <w:sz w:val="22"/>
          <w:szCs w:val="22"/>
        </w:rPr>
        <w:t>indices</w:t>
      </w:r>
      <w:r w:rsidR="00291812" w:rsidRPr="00291812">
        <w:rPr>
          <w:rFonts w:ascii="Gill Sans MT" w:hAnsi="Gill Sans MT"/>
          <w:sz w:val="22"/>
          <w:szCs w:val="22"/>
        </w:rPr>
        <w:t xml:space="preserve"> (</w:t>
      </w:r>
      <w:r w:rsidR="00050275">
        <w:rPr>
          <w:rFonts w:ascii="Gill Sans MT" w:hAnsi="Gill Sans MT"/>
          <w:sz w:val="22"/>
          <w:szCs w:val="22"/>
        </w:rPr>
        <w:t>w</w:t>
      </w:r>
      <w:r w:rsidR="00291812" w:rsidRPr="00291812">
        <w:rPr>
          <w:rFonts w:ascii="Gill Sans MT" w:hAnsi="Gill Sans MT"/>
          <w:sz w:val="22"/>
          <w:szCs w:val="22"/>
        </w:rPr>
        <w:t xml:space="preserve">hich excludes companies </w:t>
      </w:r>
      <w:r w:rsidR="00930152">
        <w:rPr>
          <w:rFonts w:ascii="Gill Sans MT" w:hAnsi="Gill Sans MT"/>
          <w:sz w:val="22"/>
          <w:szCs w:val="22"/>
        </w:rPr>
        <w:t xml:space="preserve">associated with </w:t>
      </w:r>
      <w:r w:rsidR="00930152" w:rsidRPr="005E1B1F">
        <w:rPr>
          <w:rFonts w:ascii="Gill Sans MT" w:hAnsi="Gill Sans MT"/>
          <w:sz w:val="22"/>
          <w:szCs w:val="22"/>
        </w:rPr>
        <w:t>controversial, civilian and nuclear weapons and tobacco, that derive revenues from thermal coal and oil sands extraction and that are not compliant with the United Nations Global Compact principles.</w:t>
      </w:r>
      <w:r w:rsidR="00291812" w:rsidRPr="00291812">
        <w:rPr>
          <w:rFonts w:ascii="Gill Sans MT" w:hAnsi="Gill Sans MT"/>
          <w:sz w:val="22"/>
          <w:szCs w:val="22"/>
        </w:rPr>
        <w:t xml:space="preserve">) and their conventional equivalents. </w:t>
      </w:r>
      <w:r w:rsidR="005A0E90">
        <w:rPr>
          <w:rFonts w:ascii="Gill Sans MT" w:hAnsi="Gill Sans MT"/>
          <w:sz w:val="22"/>
          <w:szCs w:val="22"/>
        </w:rPr>
        <w:t>We</w:t>
      </w:r>
      <w:r w:rsidR="00291812" w:rsidRPr="00291812">
        <w:rPr>
          <w:rFonts w:ascii="Gill Sans MT" w:hAnsi="Gill Sans MT"/>
          <w:sz w:val="22"/>
          <w:szCs w:val="22"/>
        </w:rPr>
        <w:t xml:space="preserve"> intend to fill this gap in the research</w:t>
      </w:r>
      <w:r>
        <w:rPr>
          <w:rFonts w:ascii="Gill Sans MT" w:hAnsi="Gill Sans MT"/>
          <w:sz w:val="22"/>
          <w:szCs w:val="22"/>
        </w:rPr>
        <w:t xml:space="preserve"> with a focus on examining whether a passive investor would achieve improved risk-adjusted performance through sustainable exclusionary investment.</w:t>
      </w:r>
    </w:p>
    <w:p w14:paraId="4AC2497F" w14:textId="77777777" w:rsidR="00D84E23" w:rsidRDefault="00D84E23" w:rsidP="00227562">
      <w:pPr>
        <w:pStyle w:val="NormalWeb"/>
        <w:shd w:val="clear" w:color="auto" w:fill="FFFFFF"/>
        <w:rPr>
          <w:rFonts w:ascii="Gill Sans MT" w:hAnsi="Gill Sans MT"/>
          <w:b/>
          <w:bCs/>
          <w:sz w:val="22"/>
          <w:szCs w:val="22"/>
        </w:rPr>
      </w:pPr>
    </w:p>
    <w:p w14:paraId="326F0C33" w14:textId="77777777" w:rsidR="00105CFE" w:rsidRDefault="00105CFE" w:rsidP="00227562">
      <w:pPr>
        <w:pStyle w:val="NormalWeb"/>
        <w:shd w:val="clear" w:color="auto" w:fill="FFFFFF"/>
        <w:rPr>
          <w:rFonts w:ascii="Gill Sans MT" w:hAnsi="Gill Sans MT"/>
          <w:b/>
          <w:bCs/>
          <w:sz w:val="22"/>
          <w:szCs w:val="22"/>
        </w:rPr>
      </w:pPr>
    </w:p>
    <w:p w14:paraId="03FFA8D3" w14:textId="16D61582" w:rsidR="00F83305" w:rsidRDefault="00F83305">
      <w:pPr>
        <w:rPr>
          <w:rFonts w:ascii="Gill Sans MT" w:hAnsi="Gill Sans MT"/>
          <w:b/>
          <w:bCs/>
          <w:sz w:val="22"/>
          <w:szCs w:val="22"/>
        </w:rPr>
      </w:pPr>
      <w:r>
        <w:rPr>
          <w:rFonts w:ascii="Gill Sans MT" w:hAnsi="Gill Sans MT"/>
          <w:b/>
          <w:bCs/>
          <w:sz w:val="22"/>
          <w:szCs w:val="22"/>
        </w:rPr>
        <w:br w:type="page"/>
      </w:r>
    </w:p>
    <w:p w14:paraId="366AC98A" w14:textId="7DE44971" w:rsidR="007215CF" w:rsidRDefault="008132F6" w:rsidP="00227562">
      <w:pPr>
        <w:pStyle w:val="NormalWeb"/>
        <w:shd w:val="clear" w:color="auto" w:fill="FFFFFF"/>
        <w:rPr>
          <w:rFonts w:ascii="Gill Sans MT" w:hAnsi="Gill Sans MT"/>
          <w:b/>
          <w:bCs/>
          <w:sz w:val="22"/>
          <w:szCs w:val="22"/>
        </w:rPr>
      </w:pPr>
      <w:r w:rsidRPr="0008690A">
        <w:rPr>
          <w:rFonts w:ascii="Gill Sans MT" w:hAnsi="Gill Sans MT"/>
          <w:b/>
          <w:bCs/>
          <w:sz w:val="22"/>
          <w:szCs w:val="22"/>
        </w:rPr>
        <w:lastRenderedPageBreak/>
        <w:t xml:space="preserve">3. </w:t>
      </w:r>
      <w:r w:rsidR="007215CF" w:rsidRPr="0008690A">
        <w:rPr>
          <w:rFonts w:ascii="Gill Sans MT" w:hAnsi="Gill Sans MT"/>
          <w:b/>
          <w:bCs/>
          <w:sz w:val="22"/>
          <w:szCs w:val="22"/>
        </w:rPr>
        <w:t>Data</w:t>
      </w:r>
    </w:p>
    <w:p w14:paraId="01177C05" w14:textId="18A96BC8" w:rsidR="00465146" w:rsidRPr="005E1B1F" w:rsidRDefault="00465146" w:rsidP="00465146">
      <w:pPr>
        <w:pStyle w:val="NormalWeb"/>
        <w:shd w:val="clear" w:color="auto" w:fill="FFFFFF"/>
        <w:jc w:val="both"/>
        <w:rPr>
          <w:rFonts w:ascii="Gill Sans MT" w:hAnsi="Gill Sans MT"/>
          <w:sz w:val="22"/>
          <w:szCs w:val="22"/>
        </w:rPr>
      </w:pPr>
      <w:r w:rsidRPr="007215CF">
        <w:rPr>
          <w:rFonts w:ascii="Gill Sans MT" w:hAnsi="Gill Sans MT"/>
          <w:sz w:val="22"/>
          <w:szCs w:val="22"/>
        </w:rPr>
        <w:t xml:space="preserve">Because exclusionary investment funds are the most popular form of sustainable investment, </w:t>
      </w:r>
      <w:r>
        <w:rPr>
          <w:rFonts w:ascii="Gill Sans MT" w:hAnsi="Gill Sans MT"/>
          <w:sz w:val="22"/>
          <w:szCs w:val="22"/>
        </w:rPr>
        <w:t>we</w:t>
      </w:r>
      <w:r w:rsidRPr="007215CF">
        <w:rPr>
          <w:rFonts w:ascii="Gill Sans MT" w:hAnsi="Gill Sans MT"/>
          <w:sz w:val="22"/>
          <w:szCs w:val="22"/>
        </w:rPr>
        <w:t xml:space="preserve"> </w:t>
      </w:r>
      <w:r>
        <w:rPr>
          <w:rFonts w:ascii="Gill Sans MT" w:hAnsi="Gill Sans MT"/>
          <w:sz w:val="22"/>
          <w:szCs w:val="22"/>
        </w:rPr>
        <w:t xml:space="preserve">are </w:t>
      </w:r>
      <w:r w:rsidRPr="007215CF">
        <w:rPr>
          <w:rFonts w:ascii="Gill Sans MT" w:hAnsi="Gill Sans MT"/>
          <w:sz w:val="22"/>
          <w:szCs w:val="22"/>
        </w:rPr>
        <w:t xml:space="preserve">focussing on the major exclusionary </w:t>
      </w:r>
      <w:r>
        <w:rPr>
          <w:rFonts w:ascii="Gill Sans MT" w:hAnsi="Gill Sans MT"/>
          <w:sz w:val="22"/>
          <w:szCs w:val="22"/>
        </w:rPr>
        <w:t>indices</w:t>
      </w:r>
      <w:r w:rsidRPr="007215CF">
        <w:rPr>
          <w:rFonts w:ascii="Gill Sans MT" w:hAnsi="Gill Sans MT"/>
          <w:sz w:val="22"/>
          <w:szCs w:val="22"/>
        </w:rPr>
        <w:t xml:space="preserve"> against the conventional equivalents. The following ESG screened </w:t>
      </w:r>
      <w:r>
        <w:rPr>
          <w:rFonts w:ascii="Gill Sans MT" w:hAnsi="Gill Sans MT"/>
          <w:sz w:val="22"/>
          <w:szCs w:val="22"/>
        </w:rPr>
        <w:t>indices</w:t>
      </w:r>
      <w:r w:rsidRPr="007215CF">
        <w:rPr>
          <w:rFonts w:ascii="Gill Sans MT" w:hAnsi="Gill Sans MT"/>
          <w:sz w:val="22"/>
          <w:szCs w:val="22"/>
        </w:rPr>
        <w:t xml:space="preserve"> replicate their conventional version but exclude all companies that are: </w:t>
      </w:r>
      <w:r>
        <w:rPr>
          <w:rFonts w:ascii="Gill Sans MT" w:hAnsi="Gill Sans MT"/>
          <w:sz w:val="22"/>
          <w:szCs w:val="22"/>
        </w:rPr>
        <w:t xml:space="preserve">Associated with </w:t>
      </w:r>
      <w:r w:rsidRPr="005E1B1F">
        <w:rPr>
          <w:rFonts w:ascii="Gill Sans MT" w:hAnsi="Gill Sans MT"/>
          <w:sz w:val="22"/>
          <w:szCs w:val="22"/>
        </w:rPr>
        <w:t>controversial, civilian and nuclear weapons and tobacco, that derive revenues from thermal coal and oil sands extraction and that are not compliant with the United Nations Global Compact principles.</w:t>
      </w:r>
      <w:r>
        <w:rPr>
          <w:rFonts w:ascii="Gill Sans MT" w:hAnsi="Gill Sans MT"/>
          <w:b/>
          <w:bCs/>
          <w:sz w:val="22"/>
          <w:szCs w:val="22"/>
        </w:rPr>
        <w:t xml:space="preserve"> </w:t>
      </w:r>
      <w:r w:rsidRPr="00874032">
        <w:rPr>
          <w:rFonts w:ascii="Gill Sans MT" w:hAnsi="Gill Sans MT"/>
          <w:sz w:val="22"/>
          <w:szCs w:val="22"/>
        </w:rPr>
        <w:t>There are</w:t>
      </w:r>
      <w:r>
        <w:rPr>
          <w:rFonts w:ascii="Gill Sans MT" w:hAnsi="Gill Sans MT"/>
          <w:sz w:val="22"/>
          <w:szCs w:val="22"/>
        </w:rPr>
        <w:t xml:space="preserve"> other ESG compliant indices which use different index construction methodologies, e.g. the MSCI ESG Leaders indices.</w:t>
      </w:r>
      <w:r w:rsidR="003C6B26">
        <w:rPr>
          <w:rFonts w:ascii="Gill Sans MT" w:hAnsi="Gill Sans MT"/>
          <w:sz w:val="22"/>
          <w:szCs w:val="22"/>
        </w:rPr>
        <w:t xml:space="preserve"> These MSCI indices are non-investible</w:t>
      </w:r>
      <w:r w:rsidR="00145F13">
        <w:rPr>
          <w:rFonts w:ascii="Gill Sans MT" w:hAnsi="Gill Sans MT"/>
          <w:sz w:val="22"/>
          <w:szCs w:val="22"/>
        </w:rPr>
        <w:t>, however</w:t>
      </w:r>
      <w:r w:rsidR="0086552F">
        <w:rPr>
          <w:rFonts w:ascii="Gill Sans MT" w:hAnsi="Gill Sans MT"/>
          <w:sz w:val="22"/>
          <w:szCs w:val="22"/>
        </w:rPr>
        <w:t>,</w:t>
      </w:r>
      <w:r w:rsidR="00145F13">
        <w:rPr>
          <w:rFonts w:ascii="Gill Sans MT" w:hAnsi="Gill Sans MT"/>
          <w:sz w:val="22"/>
          <w:szCs w:val="22"/>
        </w:rPr>
        <w:t xml:space="preserve"> there are ETFs offered by Blackrock and Invesco which replicate them.</w:t>
      </w:r>
    </w:p>
    <w:p w14:paraId="7CFD74CC" w14:textId="4156AE78" w:rsidR="00465146" w:rsidRPr="007215CF" w:rsidRDefault="00465146" w:rsidP="00465146">
      <w:pPr>
        <w:pStyle w:val="NormalWeb"/>
        <w:shd w:val="clear" w:color="auto" w:fill="FFFFFF"/>
        <w:jc w:val="both"/>
        <w:rPr>
          <w:rFonts w:ascii="Gill Sans MT" w:hAnsi="Gill Sans MT"/>
          <w:sz w:val="22"/>
          <w:szCs w:val="22"/>
        </w:rPr>
      </w:pPr>
      <w:r w:rsidRPr="007215CF">
        <w:rPr>
          <w:rFonts w:ascii="Gill Sans MT" w:hAnsi="Gill Sans MT"/>
          <w:sz w:val="22"/>
          <w:szCs w:val="22"/>
        </w:rPr>
        <w:t xml:space="preserve">To answer the </w:t>
      </w:r>
      <w:r>
        <w:rPr>
          <w:rFonts w:ascii="Gill Sans MT" w:hAnsi="Gill Sans MT"/>
          <w:sz w:val="22"/>
          <w:szCs w:val="22"/>
        </w:rPr>
        <w:t xml:space="preserve">research </w:t>
      </w:r>
      <w:r w:rsidRPr="007215CF">
        <w:rPr>
          <w:rFonts w:ascii="Gill Sans MT" w:hAnsi="Gill Sans MT"/>
          <w:sz w:val="22"/>
          <w:szCs w:val="22"/>
        </w:rPr>
        <w:t xml:space="preserve">question </w:t>
      </w:r>
      <w:r>
        <w:rPr>
          <w:rFonts w:ascii="Gill Sans MT" w:hAnsi="Gill Sans MT"/>
          <w:sz w:val="22"/>
          <w:szCs w:val="22"/>
        </w:rPr>
        <w:t>we</w:t>
      </w:r>
      <w:r w:rsidRPr="007215CF">
        <w:rPr>
          <w:rFonts w:ascii="Gill Sans MT" w:hAnsi="Gill Sans MT"/>
          <w:sz w:val="22"/>
          <w:szCs w:val="22"/>
        </w:rPr>
        <w:t xml:space="preserve"> used eight variables, focussing on the major </w:t>
      </w:r>
      <w:r>
        <w:rPr>
          <w:rFonts w:ascii="Gill Sans MT" w:hAnsi="Gill Sans MT"/>
          <w:sz w:val="22"/>
          <w:szCs w:val="22"/>
        </w:rPr>
        <w:t xml:space="preserve">global </w:t>
      </w:r>
      <w:r w:rsidRPr="007215CF">
        <w:rPr>
          <w:rFonts w:ascii="Gill Sans MT" w:hAnsi="Gill Sans MT"/>
          <w:sz w:val="22"/>
          <w:szCs w:val="22"/>
        </w:rPr>
        <w:t>investment markets (</w:t>
      </w:r>
      <w:r w:rsidR="00145F13">
        <w:rPr>
          <w:rFonts w:ascii="Gill Sans MT" w:hAnsi="Gill Sans MT"/>
          <w:sz w:val="22"/>
          <w:szCs w:val="22"/>
        </w:rPr>
        <w:t>Developed world</w:t>
      </w:r>
      <w:r w:rsidRPr="007215CF">
        <w:rPr>
          <w:rFonts w:ascii="Gill Sans MT" w:hAnsi="Gill Sans MT"/>
          <w:sz w:val="22"/>
          <w:szCs w:val="22"/>
        </w:rPr>
        <w:t>, USA, emerging markets and Europe): MSCI USA Total Return Index (Bloomberg Terminal, 2020), MSCI USA ESG Screened Total Return Index (Bloomberg Terminal, 2020), MSCI World Total Return Index (Bloomberg Terminal, 2020), MSCI World ESG Screened Total Return Index (Bloomberg Terminal, 2020), MSCI Emerging Markets Total Return Index (Bloomberg Terminal, 2020), MSCI Emerging Markets ESG Screened Total Return Index (Bloomberg Terminal, 2020), MSCI Europe Total Return Index (Bloomberg Terminal, 2020) and MSCI Europe ESG Screened Total Return Index (Bloomberg Terminal, 2020).</w:t>
      </w:r>
    </w:p>
    <w:p w14:paraId="6B63BFB7" w14:textId="77777777" w:rsidR="00465146" w:rsidRDefault="00465146" w:rsidP="00465146">
      <w:pPr>
        <w:pStyle w:val="NormalWeb"/>
        <w:shd w:val="clear" w:color="auto" w:fill="FFFFFF"/>
        <w:rPr>
          <w:rFonts w:ascii="Gill Sans MT" w:hAnsi="Gill Sans MT"/>
          <w:sz w:val="22"/>
          <w:szCs w:val="22"/>
        </w:rPr>
      </w:pPr>
      <w:r w:rsidRPr="007215CF">
        <w:rPr>
          <w:rFonts w:ascii="Gill Sans MT" w:hAnsi="Gill Sans MT"/>
          <w:sz w:val="22"/>
          <w:szCs w:val="22"/>
        </w:rPr>
        <w:t xml:space="preserve">All </w:t>
      </w:r>
      <w:r>
        <w:rPr>
          <w:rFonts w:ascii="Gill Sans MT" w:hAnsi="Gill Sans MT"/>
          <w:sz w:val="22"/>
          <w:szCs w:val="22"/>
        </w:rPr>
        <w:t>securities</w:t>
      </w:r>
      <w:r w:rsidRPr="007215CF">
        <w:rPr>
          <w:rFonts w:ascii="Gill Sans MT" w:hAnsi="Gill Sans MT"/>
          <w:sz w:val="22"/>
          <w:szCs w:val="22"/>
        </w:rPr>
        <w:t xml:space="preserve"> are </w:t>
      </w:r>
      <w:r>
        <w:rPr>
          <w:rFonts w:ascii="Gill Sans MT" w:hAnsi="Gill Sans MT"/>
          <w:sz w:val="22"/>
          <w:szCs w:val="22"/>
        </w:rPr>
        <w:t xml:space="preserve">daily closing prices, priced </w:t>
      </w:r>
      <w:r w:rsidRPr="007215CF">
        <w:rPr>
          <w:rFonts w:ascii="Gill Sans MT" w:hAnsi="Gill Sans MT"/>
          <w:sz w:val="22"/>
          <w:szCs w:val="22"/>
        </w:rPr>
        <w:t xml:space="preserve">in </w:t>
      </w:r>
      <w:r>
        <w:rPr>
          <w:rFonts w:ascii="Gill Sans MT" w:hAnsi="Gill Sans MT"/>
          <w:sz w:val="22"/>
          <w:szCs w:val="22"/>
        </w:rPr>
        <w:t>$</w:t>
      </w:r>
      <w:r w:rsidRPr="007215CF">
        <w:rPr>
          <w:rFonts w:ascii="Gill Sans MT" w:hAnsi="Gill Sans MT"/>
          <w:sz w:val="22"/>
          <w:szCs w:val="22"/>
        </w:rPr>
        <w:t>US dollars</w:t>
      </w:r>
      <w:r>
        <w:rPr>
          <w:rFonts w:ascii="Gill Sans MT" w:hAnsi="Gill Sans MT"/>
          <w:sz w:val="22"/>
          <w:szCs w:val="22"/>
        </w:rPr>
        <w:t xml:space="preserve"> and</w:t>
      </w:r>
      <w:r w:rsidRPr="007215CF">
        <w:rPr>
          <w:rFonts w:ascii="Gill Sans MT" w:hAnsi="Gill Sans MT"/>
          <w:sz w:val="22"/>
          <w:szCs w:val="22"/>
        </w:rPr>
        <w:t xml:space="preserve"> are from 01/01/2013 to 01/01/2020</w:t>
      </w:r>
      <w:r>
        <w:rPr>
          <w:rFonts w:ascii="Gill Sans MT" w:hAnsi="Gill Sans MT"/>
          <w:sz w:val="22"/>
          <w:szCs w:val="22"/>
        </w:rPr>
        <w:t>.</w:t>
      </w:r>
    </w:p>
    <w:p w14:paraId="137D4230" w14:textId="317B89D7" w:rsidR="00B56220" w:rsidRPr="007215CF" w:rsidRDefault="00B56220" w:rsidP="00465146">
      <w:pPr>
        <w:pStyle w:val="NormalWeb"/>
        <w:shd w:val="clear" w:color="auto" w:fill="FFFFFF"/>
        <w:jc w:val="center"/>
        <w:rPr>
          <w:rFonts w:ascii="Gill Sans MT" w:hAnsi="Gill Sans MT"/>
          <w:b/>
          <w:bCs/>
          <w:sz w:val="22"/>
          <w:szCs w:val="22"/>
        </w:rPr>
      </w:pPr>
      <w:r>
        <w:rPr>
          <w:noProof/>
        </w:rPr>
        <w:drawing>
          <wp:inline distT="0" distB="0" distL="0" distR="0" wp14:anchorId="4B10A7AD" wp14:editId="754122AB">
            <wp:extent cx="4650356" cy="284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8115" cy="2855664"/>
                    </a:xfrm>
                    <a:prstGeom prst="rect">
                      <a:avLst/>
                    </a:prstGeom>
                  </pic:spPr>
                </pic:pic>
              </a:graphicData>
            </a:graphic>
          </wp:inline>
        </w:drawing>
      </w:r>
    </w:p>
    <w:p w14:paraId="5050CF2E" w14:textId="675233E4" w:rsidR="00A0519B" w:rsidRDefault="007215CF" w:rsidP="00B56220">
      <w:pPr>
        <w:pStyle w:val="NormalWeb"/>
        <w:shd w:val="clear" w:color="auto" w:fill="FFFFFF"/>
        <w:jc w:val="center"/>
        <w:rPr>
          <w:rFonts w:ascii="Gill Sans MT" w:hAnsi="Gill Sans MT"/>
          <w:sz w:val="20"/>
          <w:szCs w:val="20"/>
        </w:rPr>
      </w:pPr>
      <w:r w:rsidRPr="007215CF">
        <w:rPr>
          <w:rFonts w:ascii="Gill Sans MT" w:hAnsi="Gill Sans MT"/>
          <w:b/>
          <w:bCs/>
          <w:sz w:val="20"/>
          <w:szCs w:val="20"/>
        </w:rPr>
        <w:t xml:space="preserve">Fig. </w:t>
      </w:r>
      <w:r w:rsidR="00A0519B">
        <w:rPr>
          <w:rFonts w:ascii="Gill Sans MT" w:hAnsi="Gill Sans MT"/>
          <w:b/>
          <w:bCs/>
          <w:sz w:val="20"/>
          <w:szCs w:val="20"/>
        </w:rPr>
        <w:t>6</w:t>
      </w:r>
      <w:r w:rsidRPr="007215CF">
        <w:rPr>
          <w:rFonts w:ascii="Gill Sans MT" w:hAnsi="Gill Sans MT"/>
          <w:b/>
          <w:bCs/>
          <w:sz w:val="20"/>
          <w:szCs w:val="20"/>
        </w:rPr>
        <w:t>.</w:t>
      </w:r>
      <w:r w:rsidRPr="007215CF">
        <w:rPr>
          <w:rFonts w:ascii="Gill Sans MT" w:hAnsi="Gill Sans MT"/>
          <w:sz w:val="20"/>
          <w:szCs w:val="20"/>
        </w:rPr>
        <w:t xml:space="preserve"> </w:t>
      </w:r>
      <w:r w:rsidR="00A0519B">
        <w:rPr>
          <w:rFonts w:ascii="Gill Sans MT" w:hAnsi="Gill Sans MT"/>
          <w:sz w:val="20"/>
          <w:szCs w:val="20"/>
        </w:rPr>
        <w:t>Rebased</w:t>
      </w:r>
      <w:r w:rsidRPr="007215CF">
        <w:rPr>
          <w:rFonts w:ascii="Gill Sans MT" w:hAnsi="Gill Sans MT"/>
          <w:sz w:val="20"/>
          <w:szCs w:val="20"/>
        </w:rPr>
        <w:t xml:space="preserve"> </w:t>
      </w:r>
      <w:r w:rsidR="00A0519B" w:rsidRPr="007215CF">
        <w:rPr>
          <w:rFonts w:ascii="Gill Sans MT" w:hAnsi="Gill Sans MT"/>
          <w:sz w:val="20"/>
          <w:szCs w:val="20"/>
        </w:rPr>
        <w:t>In</w:t>
      </w:r>
      <w:r w:rsidR="00A0519B">
        <w:rPr>
          <w:rFonts w:ascii="Gill Sans MT" w:hAnsi="Gill Sans MT"/>
          <w:sz w:val="20"/>
          <w:szCs w:val="20"/>
        </w:rPr>
        <w:t>dices</w:t>
      </w:r>
      <w:r w:rsidRPr="007215CF">
        <w:rPr>
          <w:rFonts w:ascii="Gill Sans MT" w:hAnsi="Gill Sans MT"/>
          <w:sz w:val="20"/>
          <w:szCs w:val="20"/>
        </w:rPr>
        <w:t xml:space="preserve"> </w:t>
      </w:r>
      <w:r w:rsidR="00A0519B">
        <w:rPr>
          <w:rFonts w:ascii="Gill Sans MT" w:hAnsi="Gill Sans MT"/>
          <w:sz w:val="20"/>
          <w:szCs w:val="20"/>
        </w:rPr>
        <w:t>Time</w:t>
      </w:r>
      <w:r w:rsidR="0086552F">
        <w:rPr>
          <w:rFonts w:ascii="Gill Sans MT" w:hAnsi="Gill Sans MT"/>
          <w:sz w:val="20"/>
          <w:szCs w:val="20"/>
        </w:rPr>
        <w:t>-</w:t>
      </w:r>
      <w:r w:rsidR="00A0519B">
        <w:rPr>
          <w:rFonts w:ascii="Gill Sans MT" w:hAnsi="Gill Sans MT"/>
          <w:sz w:val="20"/>
          <w:szCs w:val="20"/>
        </w:rPr>
        <w:t>Series</w:t>
      </w:r>
      <w:r w:rsidRPr="0008690A">
        <w:rPr>
          <w:rFonts w:ascii="Gill Sans MT" w:hAnsi="Gill Sans MT"/>
          <w:sz w:val="20"/>
          <w:szCs w:val="20"/>
        </w:rPr>
        <w:br/>
      </w:r>
      <w:r w:rsidRPr="007215CF">
        <w:rPr>
          <w:rFonts w:ascii="Gill Sans MT" w:hAnsi="Gill Sans MT"/>
          <w:sz w:val="20"/>
          <w:szCs w:val="20"/>
        </w:rPr>
        <w:t>(Bloomberg Terminal, 2020)</w:t>
      </w:r>
    </w:p>
    <w:p w14:paraId="1D7564A8" w14:textId="77777777" w:rsidR="00371F2D" w:rsidRDefault="00371F2D">
      <w:pPr>
        <w:rPr>
          <w:rFonts w:ascii="Gill Sans MT" w:hAnsi="Gill Sans MT"/>
          <w:sz w:val="20"/>
          <w:szCs w:val="20"/>
        </w:rPr>
      </w:pPr>
      <w:r>
        <w:rPr>
          <w:rFonts w:ascii="Gill Sans MT" w:hAnsi="Gill Sans MT"/>
          <w:sz w:val="20"/>
          <w:szCs w:val="20"/>
        </w:rPr>
        <w:br w:type="page"/>
      </w:r>
    </w:p>
    <w:p w14:paraId="7FA14AB6" w14:textId="160A1E6C" w:rsidR="00196B7D" w:rsidRDefault="00465146" w:rsidP="00F767B6">
      <w:pPr>
        <w:pStyle w:val="NormalWeb"/>
        <w:shd w:val="clear" w:color="auto" w:fill="FFFFFF"/>
        <w:rPr>
          <w:rFonts w:ascii="Gill Sans MT" w:hAnsi="Gill Sans MT"/>
          <w:sz w:val="20"/>
          <w:szCs w:val="20"/>
        </w:rPr>
      </w:pPr>
      <w:r>
        <w:rPr>
          <w:rFonts w:ascii="Gill Sans MT" w:hAnsi="Gill Sans MT"/>
          <w:sz w:val="20"/>
          <w:szCs w:val="20"/>
        </w:rPr>
        <w:lastRenderedPageBreak/>
        <w:t>The following table shows</w:t>
      </w:r>
      <w:r w:rsidR="002F3EBE">
        <w:rPr>
          <w:rFonts w:ascii="Gill Sans MT" w:hAnsi="Gill Sans MT"/>
          <w:sz w:val="20"/>
          <w:szCs w:val="20"/>
        </w:rPr>
        <w:t xml:space="preserve"> the</w:t>
      </w:r>
      <w:r>
        <w:rPr>
          <w:rFonts w:ascii="Gill Sans MT" w:hAnsi="Gill Sans MT"/>
          <w:sz w:val="20"/>
          <w:szCs w:val="20"/>
        </w:rPr>
        <w:t xml:space="preserve"> daily percentage returns of the conventional and ESG screened indices. </w:t>
      </w:r>
      <w:r w:rsidR="00145F13">
        <w:rPr>
          <w:rFonts w:ascii="Gill Sans MT" w:hAnsi="Gill Sans MT"/>
          <w:sz w:val="20"/>
          <w:szCs w:val="20"/>
        </w:rPr>
        <w:t>ESG time</w:t>
      </w:r>
      <w:r w:rsidR="0086552F">
        <w:rPr>
          <w:rFonts w:ascii="Gill Sans MT" w:hAnsi="Gill Sans MT"/>
          <w:sz w:val="20"/>
          <w:szCs w:val="20"/>
        </w:rPr>
        <w:t>-</w:t>
      </w:r>
      <w:r>
        <w:rPr>
          <w:rFonts w:ascii="Gill Sans MT" w:hAnsi="Gill Sans MT"/>
          <w:sz w:val="20"/>
          <w:szCs w:val="20"/>
        </w:rPr>
        <w:t>series</w:t>
      </w:r>
      <w:r w:rsidR="00145F13">
        <w:rPr>
          <w:rFonts w:ascii="Gill Sans MT" w:hAnsi="Gill Sans MT"/>
          <w:sz w:val="20"/>
          <w:szCs w:val="20"/>
        </w:rPr>
        <w:t>’ broadly speaking</w:t>
      </w:r>
      <w:r>
        <w:rPr>
          <w:rFonts w:ascii="Gill Sans MT" w:hAnsi="Gill Sans MT"/>
          <w:sz w:val="20"/>
          <w:szCs w:val="20"/>
        </w:rPr>
        <w:t xml:space="preserve"> exhibit higher momenta </w:t>
      </w:r>
      <w:r w:rsidR="00145F13">
        <w:rPr>
          <w:rFonts w:ascii="Gill Sans MT" w:hAnsi="Gill Sans MT"/>
          <w:sz w:val="20"/>
          <w:szCs w:val="20"/>
        </w:rPr>
        <w:t>with</w:t>
      </w:r>
      <w:r>
        <w:rPr>
          <w:rFonts w:ascii="Gill Sans MT" w:hAnsi="Gill Sans MT"/>
          <w:sz w:val="20"/>
          <w:szCs w:val="20"/>
        </w:rPr>
        <w:t xml:space="preserve"> skew and kurtosis. Using these statistics along with the Jarque-Bera test statistic and p-value, we can reject normality and estimate asymptotic distribution. </w:t>
      </w:r>
    </w:p>
    <w:p w14:paraId="188E39CB" w14:textId="0A4FB549" w:rsidR="00555491" w:rsidRDefault="00DC42A4" w:rsidP="00F767B6">
      <w:pPr>
        <w:pStyle w:val="NormalWeb"/>
        <w:shd w:val="clear" w:color="auto" w:fill="FFFFFF"/>
        <w:jc w:val="center"/>
        <w:rPr>
          <w:rFonts w:ascii="Gill Sans MT" w:hAnsi="Gill Sans MT"/>
          <w:sz w:val="20"/>
          <w:szCs w:val="20"/>
        </w:rPr>
      </w:pPr>
      <w:r>
        <w:rPr>
          <w:rFonts w:ascii="Gill Sans MT" w:hAnsi="Gill Sans MT"/>
          <w:noProof/>
          <w:sz w:val="20"/>
          <w:szCs w:val="20"/>
        </w:rPr>
        <w:drawing>
          <wp:inline distT="0" distB="0" distL="0" distR="0" wp14:anchorId="29D0AED9" wp14:editId="35245D0B">
            <wp:extent cx="5756275" cy="160464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56275" cy="1604645"/>
                    </a:xfrm>
                    <a:prstGeom prst="rect">
                      <a:avLst/>
                    </a:prstGeom>
                  </pic:spPr>
                </pic:pic>
              </a:graphicData>
            </a:graphic>
          </wp:inline>
        </w:drawing>
      </w:r>
    </w:p>
    <w:p w14:paraId="5787639D" w14:textId="5AAD2CEE" w:rsidR="00FE7214" w:rsidRDefault="00A0519B" w:rsidP="00856647">
      <w:pPr>
        <w:pStyle w:val="NormalWeb"/>
        <w:shd w:val="clear" w:color="auto" w:fill="FFFFFF"/>
        <w:jc w:val="center"/>
        <w:rPr>
          <w:rFonts w:ascii="Gill Sans MT" w:hAnsi="Gill Sans MT"/>
          <w:sz w:val="20"/>
          <w:szCs w:val="20"/>
        </w:rPr>
      </w:pPr>
      <w:r w:rsidRPr="007215CF">
        <w:rPr>
          <w:rFonts w:ascii="Gill Sans MT" w:hAnsi="Gill Sans MT"/>
          <w:b/>
          <w:bCs/>
          <w:sz w:val="20"/>
          <w:szCs w:val="20"/>
        </w:rPr>
        <w:t xml:space="preserve">Fig. </w:t>
      </w:r>
      <w:r>
        <w:rPr>
          <w:rFonts w:ascii="Gill Sans MT" w:hAnsi="Gill Sans MT"/>
          <w:b/>
          <w:bCs/>
          <w:sz w:val="20"/>
          <w:szCs w:val="20"/>
        </w:rPr>
        <w:t>7</w:t>
      </w:r>
      <w:r w:rsidRPr="007215CF">
        <w:rPr>
          <w:rFonts w:ascii="Gill Sans MT" w:hAnsi="Gill Sans MT"/>
          <w:b/>
          <w:bCs/>
          <w:sz w:val="20"/>
          <w:szCs w:val="20"/>
        </w:rPr>
        <w:t>.</w:t>
      </w:r>
      <w:r w:rsidRPr="007215CF">
        <w:rPr>
          <w:rFonts w:ascii="Gill Sans MT" w:hAnsi="Gill Sans MT"/>
          <w:sz w:val="20"/>
          <w:szCs w:val="20"/>
        </w:rPr>
        <w:t xml:space="preserve"> </w:t>
      </w:r>
      <w:r>
        <w:rPr>
          <w:rFonts w:ascii="Gill Sans MT" w:hAnsi="Gill Sans MT"/>
          <w:sz w:val="20"/>
          <w:szCs w:val="20"/>
        </w:rPr>
        <w:t>Daily Returns of Index Values</w:t>
      </w:r>
      <w:r w:rsidRPr="0008690A">
        <w:rPr>
          <w:rFonts w:ascii="Gill Sans MT" w:hAnsi="Gill Sans MT"/>
          <w:sz w:val="20"/>
          <w:szCs w:val="20"/>
        </w:rPr>
        <w:br/>
      </w:r>
      <w:r w:rsidRPr="007215CF">
        <w:rPr>
          <w:rFonts w:ascii="Gill Sans MT" w:hAnsi="Gill Sans MT"/>
          <w:sz w:val="20"/>
          <w:szCs w:val="20"/>
        </w:rPr>
        <w:t>(Bloomberg Terminal, 2020)</w:t>
      </w:r>
    </w:p>
    <w:p w14:paraId="40A1871E" w14:textId="77777777" w:rsidR="00856647" w:rsidRPr="007215CF" w:rsidRDefault="00856647" w:rsidP="00856647">
      <w:pPr>
        <w:pStyle w:val="NormalWeb"/>
        <w:shd w:val="clear" w:color="auto" w:fill="FFFFFF"/>
        <w:jc w:val="center"/>
        <w:rPr>
          <w:rFonts w:ascii="Gill Sans MT" w:hAnsi="Gill Sans MT"/>
          <w:sz w:val="20"/>
          <w:szCs w:val="20"/>
        </w:rPr>
      </w:pPr>
    </w:p>
    <w:p w14:paraId="49B89A8A" w14:textId="5189ADDD" w:rsidR="007215CF" w:rsidRPr="0008690A" w:rsidRDefault="008132F6" w:rsidP="00371F2D">
      <w:pPr>
        <w:rPr>
          <w:rFonts w:ascii="Gill Sans MT" w:hAnsi="Gill Sans MT"/>
          <w:b/>
          <w:bCs/>
          <w:sz w:val="22"/>
          <w:szCs w:val="22"/>
        </w:rPr>
      </w:pPr>
      <w:r w:rsidRPr="0008690A">
        <w:rPr>
          <w:rFonts w:ascii="Gill Sans MT" w:hAnsi="Gill Sans MT"/>
          <w:b/>
          <w:bCs/>
          <w:sz w:val="22"/>
          <w:szCs w:val="22"/>
        </w:rPr>
        <w:t xml:space="preserve">4. </w:t>
      </w:r>
      <w:r w:rsidR="007215CF" w:rsidRPr="0008690A">
        <w:rPr>
          <w:rFonts w:ascii="Gill Sans MT" w:hAnsi="Gill Sans MT"/>
          <w:b/>
          <w:bCs/>
          <w:sz w:val="22"/>
          <w:szCs w:val="22"/>
        </w:rPr>
        <w:t>Research Method</w:t>
      </w:r>
    </w:p>
    <w:p w14:paraId="1AA28819" w14:textId="54C9967C" w:rsidR="00465146" w:rsidRPr="007215CF" w:rsidRDefault="00465146" w:rsidP="00465146">
      <w:pPr>
        <w:pStyle w:val="NormalWeb"/>
        <w:shd w:val="clear" w:color="auto" w:fill="FFFFFF"/>
        <w:jc w:val="both"/>
        <w:rPr>
          <w:rFonts w:ascii="Gill Sans MT" w:hAnsi="Gill Sans MT"/>
          <w:sz w:val="22"/>
          <w:szCs w:val="22"/>
        </w:rPr>
      </w:pPr>
      <w:r>
        <w:rPr>
          <w:rFonts w:ascii="Gill Sans MT" w:hAnsi="Gill Sans MT"/>
          <w:sz w:val="22"/>
          <w:szCs w:val="22"/>
        </w:rPr>
        <w:t xml:space="preserve">A reliable research design was </w:t>
      </w:r>
      <w:r w:rsidRPr="007215CF">
        <w:rPr>
          <w:rFonts w:ascii="Gill Sans MT" w:hAnsi="Gill Sans MT"/>
          <w:sz w:val="22"/>
          <w:szCs w:val="22"/>
        </w:rPr>
        <w:t xml:space="preserve">constructed with </w:t>
      </w:r>
      <w:r>
        <w:rPr>
          <w:rFonts w:ascii="Gill Sans MT" w:hAnsi="Gill Sans MT"/>
          <w:sz w:val="22"/>
          <w:szCs w:val="22"/>
        </w:rPr>
        <w:t>reputable</w:t>
      </w:r>
      <w:r w:rsidRPr="007215CF">
        <w:rPr>
          <w:rFonts w:ascii="Gill Sans MT" w:hAnsi="Gill Sans MT"/>
          <w:sz w:val="22"/>
          <w:szCs w:val="22"/>
        </w:rPr>
        <w:t xml:space="preserve"> sources and a variety of literature from highly rated academic journals to support </w:t>
      </w:r>
      <w:r>
        <w:rPr>
          <w:rFonts w:ascii="Gill Sans MT" w:hAnsi="Gill Sans MT"/>
          <w:sz w:val="22"/>
          <w:szCs w:val="22"/>
        </w:rPr>
        <w:t>our</w:t>
      </w:r>
      <w:r w:rsidRPr="007215CF">
        <w:rPr>
          <w:rFonts w:ascii="Gill Sans MT" w:hAnsi="Gill Sans MT"/>
          <w:sz w:val="22"/>
          <w:szCs w:val="22"/>
        </w:rPr>
        <w:t xml:space="preserve"> conclusions and provide context. Ethical consideration must always be considered in research, but as </w:t>
      </w:r>
      <w:r>
        <w:rPr>
          <w:rFonts w:ascii="Gill Sans MT" w:hAnsi="Gill Sans MT"/>
          <w:sz w:val="22"/>
          <w:szCs w:val="22"/>
        </w:rPr>
        <w:t>we</w:t>
      </w:r>
      <w:r w:rsidRPr="007215CF">
        <w:rPr>
          <w:rFonts w:ascii="Gill Sans MT" w:hAnsi="Gill Sans MT"/>
          <w:sz w:val="22"/>
          <w:szCs w:val="22"/>
        </w:rPr>
        <w:t xml:space="preserve"> </w:t>
      </w:r>
      <w:r>
        <w:rPr>
          <w:rFonts w:ascii="Gill Sans MT" w:hAnsi="Gill Sans MT"/>
          <w:sz w:val="22"/>
          <w:szCs w:val="22"/>
        </w:rPr>
        <w:t>are</w:t>
      </w:r>
      <w:r w:rsidRPr="007215CF">
        <w:rPr>
          <w:rFonts w:ascii="Gill Sans MT" w:hAnsi="Gill Sans MT"/>
          <w:sz w:val="22"/>
          <w:szCs w:val="22"/>
        </w:rPr>
        <w:t xml:space="preserve"> not conducting primary research and collecting from accurate and reputable secondary sources</w:t>
      </w:r>
      <w:r>
        <w:rPr>
          <w:rFonts w:ascii="Gill Sans MT" w:hAnsi="Gill Sans MT"/>
          <w:sz w:val="22"/>
          <w:szCs w:val="22"/>
        </w:rPr>
        <w:t xml:space="preserve">, </w:t>
      </w:r>
      <w:r w:rsidR="00145F13">
        <w:rPr>
          <w:rFonts w:ascii="Gill Sans MT" w:hAnsi="Gill Sans MT"/>
          <w:sz w:val="22"/>
          <w:szCs w:val="22"/>
        </w:rPr>
        <w:t xml:space="preserve">serious </w:t>
      </w:r>
      <w:r>
        <w:rPr>
          <w:rFonts w:ascii="Gill Sans MT" w:hAnsi="Gill Sans MT"/>
          <w:sz w:val="22"/>
          <w:szCs w:val="22"/>
        </w:rPr>
        <w:t>ethical consideration is not necessary.</w:t>
      </w:r>
    </w:p>
    <w:p w14:paraId="684BE98B" w14:textId="42C5C4B1" w:rsidR="00465146" w:rsidRPr="007215CF" w:rsidRDefault="00465146" w:rsidP="00465146">
      <w:pPr>
        <w:pStyle w:val="NormalWeb"/>
        <w:shd w:val="clear" w:color="auto" w:fill="FFFFFF"/>
        <w:jc w:val="both"/>
        <w:rPr>
          <w:rFonts w:ascii="Gill Sans MT" w:hAnsi="Gill Sans MT"/>
          <w:sz w:val="22"/>
          <w:szCs w:val="22"/>
        </w:rPr>
      </w:pPr>
      <w:r w:rsidRPr="007215CF">
        <w:rPr>
          <w:rFonts w:ascii="Gill Sans MT" w:hAnsi="Gill Sans MT"/>
          <w:sz w:val="22"/>
          <w:szCs w:val="22"/>
        </w:rPr>
        <w:t xml:space="preserve">Each conventional index performance </w:t>
      </w:r>
      <w:r>
        <w:rPr>
          <w:rFonts w:ascii="Gill Sans MT" w:hAnsi="Gill Sans MT"/>
          <w:sz w:val="22"/>
          <w:szCs w:val="22"/>
        </w:rPr>
        <w:t>is</w:t>
      </w:r>
      <w:r w:rsidRPr="007215CF">
        <w:rPr>
          <w:rFonts w:ascii="Gill Sans MT" w:hAnsi="Gill Sans MT"/>
          <w:sz w:val="22"/>
          <w:szCs w:val="22"/>
        </w:rPr>
        <w:t xml:space="preserve"> measured against its ESG screened equivalent. The performance </w:t>
      </w:r>
      <w:r>
        <w:rPr>
          <w:rFonts w:ascii="Gill Sans MT" w:hAnsi="Gill Sans MT"/>
          <w:sz w:val="22"/>
          <w:szCs w:val="22"/>
        </w:rPr>
        <w:t>is</w:t>
      </w:r>
      <w:r w:rsidRPr="007215CF">
        <w:rPr>
          <w:rFonts w:ascii="Gill Sans MT" w:hAnsi="Gill Sans MT"/>
          <w:sz w:val="22"/>
          <w:szCs w:val="22"/>
        </w:rPr>
        <w:t xml:space="preserve"> observed on a year on year basis and total return basis over the seven-year period, any alpha </w:t>
      </w:r>
      <w:r>
        <w:rPr>
          <w:rFonts w:ascii="Gill Sans MT" w:hAnsi="Gill Sans MT"/>
          <w:sz w:val="22"/>
          <w:szCs w:val="22"/>
        </w:rPr>
        <w:t>is</w:t>
      </w:r>
      <w:r w:rsidRPr="007215CF">
        <w:rPr>
          <w:rFonts w:ascii="Gill Sans MT" w:hAnsi="Gill Sans MT"/>
          <w:sz w:val="22"/>
          <w:szCs w:val="22"/>
        </w:rPr>
        <w:t xml:space="preserve"> noted. To measure and compare risk, standard deviations of the </w:t>
      </w:r>
      <w:r>
        <w:rPr>
          <w:rFonts w:ascii="Gill Sans MT" w:hAnsi="Gill Sans MT"/>
          <w:sz w:val="22"/>
          <w:szCs w:val="22"/>
        </w:rPr>
        <w:t>indices</w:t>
      </w:r>
      <w:r w:rsidRPr="007215CF">
        <w:rPr>
          <w:rFonts w:ascii="Gill Sans MT" w:hAnsi="Gill Sans MT"/>
          <w:sz w:val="22"/>
          <w:szCs w:val="22"/>
        </w:rPr>
        <w:t xml:space="preserve"> </w:t>
      </w:r>
      <w:r w:rsidR="002F3EBE">
        <w:rPr>
          <w:rFonts w:ascii="Gill Sans MT" w:hAnsi="Gill Sans MT"/>
          <w:sz w:val="22"/>
          <w:szCs w:val="22"/>
        </w:rPr>
        <w:t>are</w:t>
      </w:r>
      <w:r w:rsidRPr="007215CF">
        <w:rPr>
          <w:rFonts w:ascii="Gill Sans MT" w:hAnsi="Gill Sans MT"/>
          <w:sz w:val="22"/>
          <w:szCs w:val="22"/>
        </w:rPr>
        <w:t xml:space="preserve"> observed to measure any differences in volatility</w:t>
      </w:r>
      <w:r>
        <w:rPr>
          <w:rFonts w:ascii="Gill Sans MT" w:hAnsi="Gill Sans MT"/>
          <w:sz w:val="22"/>
          <w:szCs w:val="22"/>
        </w:rPr>
        <w:t xml:space="preserve"> over the same periods</w:t>
      </w:r>
      <w:r w:rsidRPr="007215CF">
        <w:rPr>
          <w:rFonts w:ascii="Gill Sans MT" w:hAnsi="Gill Sans MT"/>
          <w:sz w:val="22"/>
          <w:szCs w:val="22"/>
        </w:rPr>
        <w:t xml:space="preserve">. Lastly, to effectively measure the </w:t>
      </w:r>
      <w:r>
        <w:rPr>
          <w:rFonts w:ascii="Gill Sans MT" w:hAnsi="Gill Sans MT"/>
          <w:sz w:val="22"/>
          <w:szCs w:val="22"/>
        </w:rPr>
        <w:t>risk-adjusted performance of the securities</w:t>
      </w:r>
      <w:r w:rsidRPr="007215CF">
        <w:rPr>
          <w:rFonts w:ascii="Gill Sans MT" w:hAnsi="Gill Sans MT"/>
          <w:sz w:val="22"/>
          <w:szCs w:val="22"/>
        </w:rPr>
        <w:t xml:space="preserve">, Sharpe ratios of the </w:t>
      </w:r>
      <w:r>
        <w:rPr>
          <w:rFonts w:ascii="Gill Sans MT" w:hAnsi="Gill Sans MT"/>
          <w:sz w:val="22"/>
          <w:szCs w:val="22"/>
        </w:rPr>
        <w:t>indices</w:t>
      </w:r>
      <w:r w:rsidRPr="007215CF">
        <w:rPr>
          <w:rFonts w:ascii="Gill Sans MT" w:hAnsi="Gill Sans MT"/>
          <w:sz w:val="22"/>
          <w:szCs w:val="22"/>
        </w:rPr>
        <w:t xml:space="preserve"> </w:t>
      </w:r>
      <w:r>
        <w:rPr>
          <w:rFonts w:ascii="Gill Sans MT" w:hAnsi="Gill Sans MT"/>
          <w:sz w:val="22"/>
          <w:szCs w:val="22"/>
        </w:rPr>
        <w:t>are</w:t>
      </w:r>
      <w:r w:rsidRPr="007215CF">
        <w:rPr>
          <w:rFonts w:ascii="Gill Sans MT" w:hAnsi="Gill Sans MT"/>
          <w:sz w:val="22"/>
          <w:szCs w:val="22"/>
        </w:rPr>
        <w:t xml:space="preserve"> </w:t>
      </w:r>
      <w:r>
        <w:rPr>
          <w:rFonts w:ascii="Gill Sans MT" w:hAnsi="Gill Sans MT"/>
          <w:sz w:val="22"/>
          <w:szCs w:val="22"/>
        </w:rPr>
        <w:t xml:space="preserve">calculated and </w:t>
      </w:r>
      <w:r w:rsidRPr="007215CF">
        <w:rPr>
          <w:rFonts w:ascii="Gill Sans MT" w:hAnsi="Gill Sans MT"/>
          <w:sz w:val="22"/>
          <w:szCs w:val="22"/>
        </w:rPr>
        <w:t xml:space="preserve">compared. The $US 3-month treasury bill of the time </w:t>
      </w:r>
      <w:r>
        <w:rPr>
          <w:rFonts w:ascii="Gill Sans MT" w:hAnsi="Gill Sans MT"/>
          <w:sz w:val="22"/>
          <w:szCs w:val="22"/>
        </w:rPr>
        <w:t>is</w:t>
      </w:r>
      <w:r w:rsidRPr="007215CF">
        <w:rPr>
          <w:rFonts w:ascii="Gill Sans MT" w:hAnsi="Gill Sans MT"/>
          <w:sz w:val="22"/>
          <w:szCs w:val="22"/>
        </w:rPr>
        <w:t xml:space="preserve"> used as the risk-free rate in all calculations.</w:t>
      </w:r>
    </w:p>
    <w:p w14:paraId="01F9702F" w14:textId="68E88E62" w:rsidR="00371F2D" w:rsidRDefault="00465146" w:rsidP="00DE2C01">
      <w:pPr>
        <w:pStyle w:val="NormalWeb"/>
        <w:shd w:val="clear" w:color="auto" w:fill="FFFFFF"/>
        <w:jc w:val="both"/>
        <w:rPr>
          <w:rFonts w:ascii="Gill Sans MT" w:hAnsi="Gill Sans MT"/>
          <w:sz w:val="22"/>
          <w:szCs w:val="22"/>
        </w:rPr>
      </w:pPr>
      <w:r w:rsidRPr="0008690A">
        <w:rPr>
          <w:rFonts w:ascii="Gill Sans MT" w:hAnsi="Gill Sans MT"/>
          <w:sz w:val="22"/>
          <w:szCs w:val="22"/>
        </w:rPr>
        <w:t>This method provide</w:t>
      </w:r>
      <w:r>
        <w:rPr>
          <w:rFonts w:ascii="Gill Sans MT" w:hAnsi="Gill Sans MT"/>
          <w:sz w:val="22"/>
          <w:szCs w:val="22"/>
        </w:rPr>
        <w:t>s</w:t>
      </w:r>
      <w:r w:rsidRPr="0008690A">
        <w:rPr>
          <w:rFonts w:ascii="Gill Sans MT" w:hAnsi="Gill Sans MT"/>
          <w:sz w:val="22"/>
          <w:szCs w:val="22"/>
        </w:rPr>
        <w:t xml:space="preserve"> strong quantitative conclusion</w:t>
      </w:r>
      <w:r>
        <w:rPr>
          <w:rFonts w:ascii="Gill Sans MT" w:hAnsi="Gill Sans MT"/>
          <w:sz w:val="22"/>
          <w:szCs w:val="22"/>
        </w:rPr>
        <w:t>s</w:t>
      </w:r>
      <w:r w:rsidRPr="0008690A">
        <w:rPr>
          <w:rFonts w:ascii="Gill Sans MT" w:hAnsi="Gill Sans MT"/>
          <w:sz w:val="22"/>
          <w:szCs w:val="22"/>
        </w:rPr>
        <w:t xml:space="preserve"> on the historical performance of exclusionary sustainable investment performance.</w:t>
      </w:r>
    </w:p>
    <w:p w14:paraId="3CAB3492" w14:textId="77777777" w:rsidR="00DE2C01" w:rsidRPr="00DE2C01" w:rsidRDefault="00DE2C01" w:rsidP="00DE2C01">
      <w:pPr>
        <w:pStyle w:val="NormalWeb"/>
        <w:shd w:val="clear" w:color="auto" w:fill="FFFFFF"/>
        <w:jc w:val="both"/>
        <w:rPr>
          <w:rFonts w:ascii="Gill Sans MT" w:hAnsi="Gill Sans MT"/>
          <w:sz w:val="22"/>
          <w:szCs w:val="22"/>
        </w:rPr>
      </w:pPr>
    </w:p>
    <w:p w14:paraId="4D32A35C" w14:textId="77777777" w:rsidR="00F83305" w:rsidRDefault="00F83305">
      <w:pPr>
        <w:rPr>
          <w:rFonts w:ascii="Gill Sans MT" w:hAnsi="Gill Sans MT"/>
          <w:b/>
          <w:bCs/>
          <w:sz w:val="22"/>
          <w:szCs w:val="22"/>
        </w:rPr>
      </w:pPr>
      <w:r>
        <w:rPr>
          <w:rFonts w:ascii="Gill Sans MT" w:hAnsi="Gill Sans MT"/>
          <w:b/>
          <w:bCs/>
          <w:sz w:val="22"/>
          <w:szCs w:val="22"/>
        </w:rPr>
        <w:br w:type="page"/>
      </w:r>
    </w:p>
    <w:p w14:paraId="66B5DF50" w14:textId="13B2CB6C" w:rsidR="007215CF" w:rsidRPr="0008690A" w:rsidRDefault="008132F6" w:rsidP="00227562">
      <w:pPr>
        <w:pStyle w:val="NormalWeb"/>
        <w:shd w:val="clear" w:color="auto" w:fill="FFFFFF"/>
        <w:rPr>
          <w:rFonts w:ascii="Gill Sans MT" w:hAnsi="Gill Sans MT"/>
          <w:b/>
          <w:bCs/>
          <w:sz w:val="22"/>
          <w:szCs w:val="22"/>
        </w:rPr>
      </w:pPr>
      <w:r w:rsidRPr="0008690A">
        <w:rPr>
          <w:rFonts w:ascii="Gill Sans MT" w:hAnsi="Gill Sans MT"/>
          <w:b/>
          <w:bCs/>
          <w:sz w:val="22"/>
          <w:szCs w:val="22"/>
        </w:rPr>
        <w:lastRenderedPageBreak/>
        <w:t xml:space="preserve">5. </w:t>
      </w:r>
      <w:r w:rsidR="007215CF" w:rsidRPr="0008690A">
        <w:rPr>
          <w:rFonts w:ascii="Gill Sans MT" w:hAnsi="Gill Sans MT"/>
          <w:b/>
          <w:bCs/>
          <w:sz w:val="22"/>
          <w:szCs w:val="22"/>
        </w:rPr>
        <w:t>Findings</w:t>
      </w:r>
    </w:p>
    <w:p w14:paraId="1087F0B8" w14:textId="34B68099" w:rsidR="007215CF" w:rsidRPr="007215CF" w:rsidRDefault="00465146" w:rsidP="00602441">
      <w:pPr>
        <w:pStyle w:val="NormalWeb"/>
        <w:shd w:val="clear" w:color="auto" w:fill="FFFFFF"/>
        <w:jc w:val="both"/>
        <w:rPr>
          <w:rFonts w:ascii="Gill Sans MT" w:hAnsi="Gill Sans MT"/>
          <w:sz w:val="22"/>
          <w:szCs w:val="22"/>
        </w:rPr>
      </w:pPr>
      <w:r w:rsidRPr="001D66CD">
        <w:rPr>
          <w:rFonts w:ascii="Gill Sans MT" w:hAnsi="Gill Sans MT"/>
          <w:sz w:val="22"/>
          <w:szCs w:val="22"/>
        </w:rPr>
        <w:t xml:space="preserve">Our analysis shows that the ESG screened indices </w:t>
      </w:r>
      <w:r w:rsidR="00925CDF" w:rsidRPr="001D66CD">
        <w:rPr>
          <w:rFonts w:ascii="Gill Sans MT" w:hAnsi="Gill Sans MT"/>
          <w:sz w:val="22"/>
          <w:szCs w:val="22"/>
        </w:rPr>
        <w:t>mostly have</w:t>
      </w:r>
      <w:r w:rsidRPr="001D66CD">
        <w:rPr>
          <w:rFonts w:ascii="Gill Sans MT" w:hAnsi="Gill Sans MT"/>
          <w:sz w:val="22"/>
          <w:szCs w:val="22"/>
        </w:rPr>
        <w:t xml:space="preserve"> </w:t>
      </w:r>
      <w:r w:rsidR="00925CDF" w:rsidRPr="001D66CD">
        <w:rPr>
          <w:rFonts w:ascii="Gill Sans MT" w:hAnsi="Gill Sans MT"/>
          <w:sz w:val="22"/>
          <w:szCs w:val="22"/>
        </w:rPr>
        <w:t xml:space="preserve">exhibited </w:t>
      </w:r>
      <w:r w:rsidRPr="001D66CD">
        <w:rPr>
          <w:rFonts w:ascii="Gill Sans MT" w:hAnsi="Gill Sans MT"/>
          <w:sz w:val="22"/>
          <w:szCs w:val="22"/>
        </w:rPr>
        <w:t xml:space="preserve">positive alpha over </w:t>
      </w:r>
      <w:r w:rsidR="00925CDF" w:rsidRPr="001D66CD">
        <w:rPr>
          <w:rFonts w:ascii="Gill Sans MT" w:hAnsi="Gill Sans MT"/>
          <w:sz w:val="22"/>
          <w:szCs w:val="22"/>
        </w:rPr>
        <w:t xml:space="preserve">their conventional equivalents. </w:t>
      </w:r>
      <w:r w:rsidRPr="001D66CD">
        <w:rPr>
          <w:rFonts w:ascii="Gill Sans MT" w:hAnsi="Gill Sans MT"/>
          <w:sz w:val="22"/>
          <w:szCs w:val="22"/>
        </w:rPr>
        <w:t>See below for all alpha deriving from the sustainable indices versus their conventional equivalents. See appendix two for full performances tables. Green highlight represents</w:t>
      </w:r>
      <w:r w:rsidR="00925CDF" w:rsidRPr="001D66CD">
        <w:rPr>
          <w:rFonts w:ascii="Gill Sans MT" w:hAnsi="Gill Sans MT"/>
          <w:sz w:val="22"/>
          <w:szCs w:val="22"/>
        </w:rPr>
        <w:t xml:space="preserve"> ESG</w:t>
      </w:r>
      <w:r w:rsidRPr="001D66CD">
        <w:rPr>
          <w:rFonts w:ascii="Gill Sans MT" w:hAnsi="Gill Sans MT"/>
          <w:sz w:val="22"/>
          <w:szCs w:val="22"/>
        </w:rPr>
        <w:t xml:space="preserve"> outperformance.</w:t>
      </w:r>
    </w:p>
    <w:p w14:paraId="4A2A8275" w14:textId="2458480F" w:rsidR="007215CF" w:rsidRPr="007215CF" w:rsidRDefault="00753E3E" w:rsidP="00227562">
      <w:pPr>
        <w:pStyle w:val="NormalWeb"/>
        <w:shd w:val="clear" w:color="auto" w:fill="FFFFFF"/>
        <w:jc w:val="center"/>
        <w:rPr>
          <w:rFonts w:ascii="Gill Sans MT" w:hAnsi="Gill Sans MT"/>
          <w:b/>
          <w:bCs/>
          <w:sz w:val="22"/>
          <w:szCs w:val="22"/>
        </w:rPr>
      </w:pPr>
      <w:r w:rsidRPr="0008690A">
        <w:rPr>
          <w:rFonts w:ascii="Gill Sans MT" w:hAnsi="Gill Sans MT"/>
          <w:b/>
          <w:bCs/>
          <w:noProof/>
          <w:sz w:val="22"/>
          <w:szCs w:val="22"/>
        </w:rPr>
        <w:drawing>
          <wp:inline distT="0" distB="0" distL="0" distR="0" wp14:anchorId="43EE9C0C" wp14:editId="69D1251D">
            <wp:extent cx="3732028" cy="1581326"/>
            <wp:effectExtent l="0" t="0" r="1905" b="6350"/>
            <wp:docPr id="76" name="Picture 7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 2020-07-01 at 16.51.08.png"/>
                    <pic:cNvPicPr/>
                  </pic:nvPicPr>
                  <pic:blipFill>
                    <a:blip r:embed="rId20">
                      <a:extLst>
                        <a:ext uri="{28A0092B-C50C-407E-A947-70E740481C1C}">
                          <a14:useLocalDpi xmlns:a14="http://schemas.microsoft.com/office/drawing/2010/main" val="0"/>
                        </a:ext>
                      </a:extLst>
                    </a:blip>
                    <a:stretch>
                      <a:fillRect/>
                    </a:stretch>
                  </pic:blipFill>
                  <pic:spPr>
                    <a:xfrm>
                      <a:off x="0" y="0"/>
                      <a:ext cx="3752745" cy="1590104"/>
                    </a:xfrm>
                    <a:prstGeom prst="rect">
                      <a:avLst/>
                    </a:prstGeom>
                  </pic:spPr>
                </pic:pic>
              </a:graphicData>
            </a:graphic>
          </wp:inline>
        </w:drawing>
      </w:r>
    </w:p>
    <w:p w14:paraId="69525C0C" w14:textId="4D28678E" w:rsidR="007215CF" w:rsidRPr="007215CF" w:rsidRDefault="007215CF" w:rsidP="00227562">
      <w:pPr>
        <w:pStyle w:val="NormalWeb"/>
        <w:shd w:val="clear" w:color="auto" w:fill="FFFFFF"/>
        <w:jc w:val="center"/>
        <w:rPr>
          <w:rFonts w:ascii="Gill Sans MT" w:hAnsi="Gill Sans MT"/>
          <w:sz w:val="20"/>
          <w:szCs w:val="20"/>
        </w:rPr>
      </w:pPr>
      <w:r w:rsidRPr="007215CF">
        <w:rPr>
          <w:rFonts w:ascii="Gill Sans MT" w:hAnsi="Gill Sans MT"/>
          <w:b/>
          <w:bCs/>
          <w:sz w:val="20"/>
          <w:szCs w:val="20"/>
        </w:rPr>
        <w:t xml:space="preserve">Fig. </w:t>
      </w:r>
      <w:r w:rsidR="00856647">
        <w:rPr>
          <w:rFonts w:ascii="Gill Sans MT" w:hAnsi="Gill Sans MT"/>
          <w:b/>
          <w:bCs/>
          <w:sz w:val="20"/>
          <w:szCs w:val="20"/>
        </w:rPr>
        <w:t>8</w:t>
      </w:r>
      <w:r w:rsidRPr="007215CF">
        <w:rPr>
          <w:rFonts w:ascii="Gill Sans MT" w:hAnsi="Gill Sans MT"/>
          <w:b/>
          <w:bCs/>
          <w:sz w:val="20"/>
          <w:szCs w:val="20"/>
        </w:rPr>
        <w:t>.</w:t>
      </w:r>
      <w:r w:rsidRPr="007215CF">
        <w:rPr>
          <w:rFonts w:ascii="Gill Sans MT" w:hAnsi="Gill Sans MT"/>
          <w:sz w:val="20"/>
          <w:szCs w:val="20"/>
        </w:rPr>
        <w:t xml:space="preserve"> Alpha of ESG Screened </w:t>
      </w:r>
      <w:r w:rsidR="00196B7D">
        <w:rPr>
          <w:rFonts w:ascii="Gill Sans MT" w:hAnsi="Gill Sans MT"/>
          <w:sz w:val="20"/>
          <w:szCs w:val="20"/>
        </w:rPr>
        <w:t>Indices</w:t>
      </w:r>
      <w:r w:rsidRPr="007215CF">
        <w:rPr>
          <w:rFonts w:ascii="Gill Sans MT" w:hAnsi="Gill Sans MT"/>
          <w:sz w:val="20"/>
          <w:szCs w:val="20"/>
        </w:rPr>
        <w:t xml:space="preserve"> over their Conventional Equivalents</w:t>
      </w:r>
      <w:r w:rsidRPr="0008690A">
        <w:rPr>
          <w:rFonts w:ascii="Gill Sans MT" w:hAnsi="Gill Sans MT"/>
          <w:sz w:val="20"/>
          <w:szCs w:val="20"/>
        </w:rPr>
        <w:br/>
      </w:r>
      <w:r w:rsidRPr="007215CF">
        <w:rPr>
          <w:rFonts w:ascii="Gill Sans MT" w:hAnsi="Gill Sans MT"/>
          <w:sz w:val="20"/>
          <w:szCs w:val="20"/>
        </w:rPr>
        <w:t>(Bloomberg Terminal, 2020)</w:t>
      </w:r>
    </w:p>
    <w:p w14:paraId="4B9FE7F4" w14:textId="298A5D3D" w:rsidR="00465146" w:rsidRDefault="00465146" w:rsidP="00465146">
      <w:pPr>
        <w:pStyle w:val="NormalWeb"/>
        <w:shd w:val="clear" w:color="auto" w:fill="FFFFFF"/>
        <w:jc w:val="both"/>
        <w:rPr>
          <w:rFonts w:ascii="Gill Sans MT" w:hAnsi="Gill Sans MT"/>
          <w:sz w:val="22"/>
          <w:szCs w:val="22"/>
        </w:rPr>
      </w:pPr>
      <w:r w:rsidRPr="007215CF">
        <w:rPr>
          <w:rFonts w:ascii="Gill Sans MT" w:hAnsi="Gill Sans MT"/>
          <w:sz w:val="22"/>
          <w:szCs w:val="22"/>
        </w:rPr>
        <w:t>As seen above, every exclusionary index outperformed their conventional equivalent over the long-term</w:t>
      </w:r>
      <w:r>
        <w:rPr>
          <w:rFonts w:ascii="Gill Sans MT" w:hAnsi="Gill Sans MT"/>
          <w:sz w:val="22"/>
          <w:szCs w:val="22"/>
        </w:rPr>
        <w:t xml:space="preserve"> period</w:t>
      </w:r>
      <w:r w:rsidRPr="007215CF">
        <w:rPr>
          <w:rFonts w:ascii="Gill Sans MT" w:hAnsi="Gill Sans MT"/>
          <w:sz w:val="22"/>
          <w:szCs w:val="22"/>
        </w:rPr>
        <w:t xml:space="preserve">, reaching alpha as high as 5.61% in the USA. If one were to hold an equally weighted portfolio of the exclusionary </w:t>
      </w:r>
      <w:r>
        <w:rPr>
          <w:rFonts w:ascii="Gill Sans MT" w:hAnsi="Gill Sans MT"/>
          <w:sz w:val="22"/>
          <w:szCs w:val="22"/>
        </w:rPr>
        <w:t>indices</w:t>
      </w:r>
      <w:r w:rsidRPr="007215CF">
        <w:rPr>
          <w:rFonts w:ascii="Gill Sans MT" w:hAnsi="Gill Sans MT"/>
          <w:sz w:val="22"/>
          <w:szCs w:val="22"/>
        </w:rPr>
        <w:t xml:space="preserve">, they would outperform the conventional equivalent every year apart from 2018 and 2016. </w:t>
      </w:r>
      <w:r w:rsidR="00BD7F59">
        <w:rPr>
          <w:rFonts w:ascii="Gill Sans MT" w:hAnsi="Gill Sans MT"/>
          <w:sz w:val="22"/>
          <w:szCs w:val="22"/>
        </w:rPr>
        <w:t>W</w:t>
      </w:r>
      <w:r w:rsidRPr="007215CF">
        <w:rPr>
          <w:rFonts w:ascii="Gill Sans MT" w:hAnsi="Gill Sans MT"/>
          <w:sz w:val="22"/>
          <w:szCs w:val="22"/>
        </w:rPr>
        <w:t>here every ESG screened fund underperformed</w:t>
      </w:r>
      <w:r>
        <w:rPr>
          <w:rFonts w:ascii="Gill Sans MT" w:hAnsi="Gill Sans MT"/>
          <w:sz w:val="22"/>
          <w:szCs w:val="22"/>
        </w:rPr>
        <w:t xml:space="preserve"> in</w:t>
      </w:r>
      <w:r w:rsidRPr="007215CF">
        <w:rPr>
          <w:rFonts w:ascii="Gill Sans MT" w:hAnsi="Gill Sans MT"/>
          <w:sz w:val="22"/>
          <w:szCs w:val="22"/>
        </w:rPr>
        <w:t xml:space="preserve"> 2016, is when President Trump unexpectedly won the US election</w:t>
      </w:r>
      <w:r w:rsidR="00BD7F59">
        <w:rPr>
          <w:rFonts w:ascii="Gill Sans MT" w:hAnsi="Gill Sans MT"/>
          <w:sz w:val="22"/>
          <w:szCs w:val="22"/>
        </w:rPr>
        <w:t>, perhaps an interesting observation.</w:t>
      </w:r>
    </w:p>
    <w:p w14:paraId="61A3B61E" w14:textId="79C69618" w:rsidR="00465146" w:rsidRDefault="00465146" w:rsidP="0066169C">
      <w:pPr>
        <w:pStyle w:val="NormalWeb"/>
        <w:shd w:val="clear" w:color="auto" w:fill="FFFFFF"/>
        <w:rPr>
          <w:rFonts w:ascii="Gill Sans MT" w:hAnsi="Gill Sans MT"/>
          <w:sz w:val="22"/>
          <w:szCs w:val="22"/>
        </w:rPr>
      </w:pPr>
      <w:r>
        <w:rPr>
          <w:rFonts w:ascii="Gill Sans MT" w:hAnsi="Gill Sans MT"/>
          <w:sz w:val="22"/>
          <w:szCs w:val="22"/>
        </w:rPr>
        <w:t>For</w:t>
      </w:r>
      <w:r w:rsidRPr="007215CF">
        <w:rPr>
          <w:rFonts w:ascii="Gill Sans MT" w:hAnsi="Gill Sans MT"/>
          <w:sz w:val="22"/>
          <w:szCs w:val="22"/>
        </w:rPr>
        <w:t xml:space="preserve"> comparable standard deviations of the </w:t>
      </w:r>
      <w:r>
        <w:rPr>
          <w:rFonts w:ascii="Gill Sans MT" w:hAnsi="Gill Sans MT"/>
          <w:sz w:val="22"/>
          <w:szCs w:val="22"/>
        </w:rPr>
        <w:t xml:space="preserve">indices, see </w:t>
      </w:r>
      <w:r w:rsidR="0066169C">
        <w:rPr>
          <w:rFonts w:ascii="Gill Sans MT" w:hAnsi="Gill Sans MT"/>
          <w:sz w:val="22"/>
          <w:szCs w:val="22"/>
        </w:rPr>
        <w:t xml:space="preserve">appendix four. </w:t>
      </w:r>
      <w:r w:rsidRPr="007215CF">
        <w:rPr>
          <w:rFonts w:ascii="Gill Sans MT" w:hAnsi="Gill Sans MT"/>
          <w:sz w:val="22"/>
          <w:szCs w:val="22"/>
        </w:rPr>
        <w:t xml:space="preserve">The data statistically exhibits that the conventional </w:t>
      </w:r>
      <w:r>
        <w:rPr>
          <w:rFonts w:ascii="Gill Sans MT" w:hAnsi="Gill Sans MT"/>
          <w:sz w:val="22"/>
          <w:szCs w:val="22"/>
        </w:rPr>
        <w:t xml:space="preserve">indices </w:t>
      </w:r>
      <w:r w:rsidR="0066169C">
        <w:rPr>
          <w:rFonts w:ascii="Gill Sans MT" w:hAnsi="Gill Sans MT"/>
          <w:sz w:val="22"/>
          <w:szCs w:val="22"/>
        </w:rPr>
        <w:t xml:space="preserve">have historically </w:t>
      </w:r>
      <w:r w:rsidRPr="007215CF">
        <w:rPr>
          <w:rFonts w:ascii="Gill Sans MT" w:hAnsi="Gill Sans MT"/>
          <w:sz w:val="22"/>
          <w:szCs w:val="22"/>
        </w:rPr>
        <w:t>offer</w:t>
      </w:r>
      <w:r w:rsidR="0066169C">
        <w:rPr>
          <w:rFonts w:ascii="Gill Sans MT" w:hAnsi="Gill Sans MT"/>
          <w:sz w:val="22"/>
          <w:szCs w:val="22"/>
        </w:rPr>
        <w:t>ed</w:t>
      </w:r>
      <w:r w:rsidRPr="007215CF">
        <w:rPr>
          <w:rFonts w:ascii="Gill Sans MT" w:hAnsi="Gill Sans MT"/>
          <w:sz w:val="22"/>
          <w:szCs w:val="22"/>
        </w:rPr>
        <w:t xml:space="preserve"> a lower risk</w:t>
      </w:r>
      <w:r w:rsidR="0066169C">
        <w:rPr>
          <w:rFonts w:ascii="Gill Sans MT" w:hAnsi="Gill Sans MT"/>
          <w:sz w:val="22"/>
          <w:szCs w:val="22"/>
        </w:rPr>
        <w:t xml:space="preserve"> investment</w:t>
      </w:r>
      <w:r w:rsidRPr="007215CF">
        <w:rPr>
          <w:rFonts w:ascii="Gill Sans MT" w:hAnsi="Gill Sans MT"/>
          <w:sz w:val="22"/>
          <w:szCs w:val="22"/>
        </w:rPr>
        <w:t xml:space="preserve">. However, this doesn’t necessarily mean that sustainable investments are riskier. </w:t>
      </w:r>
      <w:r>
        <w:rPr>
          <w:rFonts w:ascii="Gill Sans MT" w:hAnsi="Gill Sans MT"/>
          <w:sz w:val="22"/>
          <w:szCs w:val="22"/>
        </w:rPr>
        <w:t xml:space="preserve">This is because the exclusionary indices </w:t>
      </w:r>
      <w:r w:rsidRPr="007215CF">
        <w:rPr>
          <w:rFonts w:ascii="Gill Sans MT" w:hAnsi="Gill Sans MT"/>
          <w:sz w:val="22"/>
          <w:szCs w:val="22"/>
        </w:rPr>
        <w:t xml:space="preserve">chosen </w:t>
      </w:r>
      <w:r>
        <w:rPr>
          <w:rFonts w:ascii="Gill Sans MT" w:hAnsi="Gill Sans MT"/>
          <w:sz w:val="22"/>
          <w:szCs w:val="22"/>
        </w:rPr>
        <w:t xml:space="preserve">in the research </w:t>
      </w:r>
      <w:r w:rsidRPr="007215CF">
        <w:rPr>
          <w:rFonts w:ascii="Gill Sans MT" w:hAnsi="Gill Sans MT"/>
          <w:sz w:val="22"/>
          <w:szCs w:val="22"/>
        </w:rPr>
        <w:t xml:space="preserve">contain </w:t>
      </w:r>
      <w:r>
        <w:rPr>
          <w:rFonts w:ascii="Gill Sans MT" w:hAnsi="Gill Sans MT"/>
          <w:sz w:val="22"/>
          <w:szCs w:val="22"/>
        </w:rPr>
        <w:t>fewer</w:t>
      </w:r>
      <w:r w:rsidRPr="007215CF">
        <w:rPr>
          <w:rFonts w:ascii="Gill Sans MT" w:hAnsi="Gill Sans MT"/>
          <w:sz w:val="22"/>
          <w:szCs w:val="22"/>
        </w:rPr>
        <w:t xml:space="preserve"> holdings</w:t>
      </w:r>
      <w:r>
        <w:rPr>
          <w:rFonts w:ascii="Gill Sans MT" w:hAnsi="Gill Sans MT"/>
          <w:sz w:val="22"/>
          <w:szCs w:val="22"/>
        </w:rPr>
        <w:t xml:space="preserve"> </w:t>
      </w:r>
      <w:r w:rsidRPr="007215CF">
        <w:rPr>
          <w:rFonts w:ascii="Gill Sans MT" w:hAnsi="Gill Sans MT"/>
          <w:sz w:val="22"/>
          <w:szCs w:val="22"/>
        </w:rPr>
        <w:t>than their conventional equivalents</w:t>
      </w:r>
      <w:r>
        <w:rPr>
          <w:rFonts w:ascii="Gill Sans MT" w:hAnsi="Gill Sans MT"/>
          <w:sz w:val="22"/>
          <w:szCs w:val="22"/>
        </w:rPr>
        <w:t xml:space="preserve"> and exclude entire industries</w:t>
      </w:r>
      <w:r w:rsidRPr="007215CF">
        <w:rPr>
          <w:rFonts w:ascii="Gill Sans MT" w:hAnsi="Gill Sans MT"/>
          <w:sz w:val="22"/>
          <w:szCs w:val="22"/>
        </w:rPr>
        <w:t>. For example, MSCI USA has 636 constituents, while the MSCI USA ESG Screened index has 598 constituents</w:t>
      </w:r>
      <w:r>
        <w:rPr>
          <w:rFonts w:ascii="Gill Sans MT" w:hAnsi="Gill Sans MT"/>
          <w:sz w:val="22"/>
          <w:szCs w:val="22"/>
        </w:rPr>
        <w:t>, o</w:t>
      </w:r>
      <w:r w:rsidRPr="007215CF">
        <w:rPr>
          <w:rFonts w:ascii="Gill Sans MT" w:hAnsi="Gill Sans MT"/>
          <w:sz w:val="22"/>
          <w:szCs w:val="22"/>
        </w:rPr>
        <w:t>ffering a lesser diversified investment. Therefore, for measuring risk, this data lacks validity. See appendix three for a full list of the number of constituents</w:t>
      </w:r>
      <w:r>
        <w:rPr>
          <w:rFonts w:ascii="Gill Sans MT" w:hAnsi="Gill Sans MT"/>
          <w:sz w:val="22"/>
          <w:szCs w:val="22"/>
        </w:rPr>
        <w:t xml:space="preserve"> of each index.</w:t>
      </w:r>
    </w:p>
    <w:p w14:paraId="5DCA64B0" w14:textId="1D656F7D" w:rsidR="009D63FC" w:rsidRPr="007215CF" w:rsidRDefault="00465146" w:rsidP="00602441">
      <w:pPr>
        <w:pStyle w:val="NormalWeb"/>
        <w:shd w:val="clear" w:color="auto" w:fill="FFFFFF"/>
        <w:jc w:val="both"/>
        <w:rPr>
          <w:rFonts w:ascii="Gill Sans MT" w:hAnsi="Gill Sans MT"/>
          <w:sz w:val="22"/>
          <w:szCs w:val="22"/>
        </w:rPr>
      </w:pPr>
      <w:r>
        <w:rPr>
          <w:rFonts w:ascii="Gill Sans MT" w:hAnsi="Gill Sans MT"/>
          <w:sz w:val="22"/>
          <w:szCs w:val="22"/>
        </w:rPr>
        <w:t>Th</w:t>
      </w:r>
      <w:r w:rsidR="002F3EBE">
        <w:rPr>
          <w:rFonts w:ascii="Gill Sans MT" w:hAnsi="Gill Sans MT"/>
          <w:sz w:val="22"/>
          <w:szCs w:val="22"/>
        </w:rPr>
        <w:t>e</w:t>
      </w:r>
      <w:r>
        <w:rPr>
          <w:rFonts w:ascii="Gill Sans MT" w:hAnsi="Gill Sans MT"/>
          <w:sz w:val="22"/>
          <w:szCs w:val="22"/>
        </w:rPr>
        <w:t xml:space="preserve"> second major result is the improved Sharpe ratio of ESG screened indices. The table shows annual Sharpe ratios </w:t>
      </w:r>
      <w:r w:rsidR="00BD7F59">
        <w:rPr>
          <w:rFonts w:ascii="Gill Sans MT" w:hAnsi="Gill Sans MT"/>
          <w:sz w:val="22"/>
          <w:szCs w:val="22"/>
        </w:rPr>
        <w:t>along with the</w:t>
      </w:r>
      <w:r>
        <w:rPr>
          <w:rFonts w:ascii="Gill Sans MT" w:hAnsi="Gill Sans MT"/>
          <w:sz w:val="22"/>
          <w:szCs w:val="22"/>
        </w:rPr>
        <w:t xml:space="preserve"> Sharpe ratio for the entire period. The green shaded areas show </w:t>
      </w:r>
      <w:r w:rsidR="002F3EBE">
        <w:rPr>
          <w:rFonts w:ascii="Gill Sans MT" w:hAnsi="Gill Sans MT"/>
          <w:sz w:val="22"/>
          <w:szCs w:val="22"/>
        </w:rPr>
        <w:t>a</w:t>
      </w:r>
      <w:r>
        <w:rPr>
          <w:rFonts w:ascii="Gill Sans MT" w:hAnsi="Gill Sans MT"/>
          <w:sz w:val="22"/>
          <w:szCs w:val="22"/>
        </w:rPr>
        <w:t xml:space="preserve"> higher</w:t>
      </w:r>
      <w:r w:rsidR="002F3EBE">
        <w:rPr>
          <w:rFonts w:ascii="Gill Sans MT" w:hAnsi="Gill Sans MT"/>
          <w:sz w:val="22"/>
          <w:szCs w:val="22"/>
        </w:rPr>
        <w:t xml:space="preserve"> relative</w:t>
      </w:r>
      <w:r>
        <w:rPr>
          <w:rFonts w:ascii="Gill Sans MT" w:hAnsi="Gill Sans MT"/>
          <w:sz w:val="22"/>
          <w:szCs w:val="22"/>
        </w:rPr>
        <w:t xml:space="preserve"> Sharpe ratio. </w:t>
      </w:r>
    </w:p>
    <w:p w14:paraId="79CDA01F" w14:textId="31C7A241" w:rsidR="007215CF" w:rsidRPr="007215CF" w:rsidRDefault="003602B0" w:rsidP="00227562">
      <w:pPr>
        <w:pStyle w:val="NormalWeb"/>
        <w:shd w:val="clear" w:color="auto" w:fill="FFFFFF"/>
        <w:rPr>
          <w:rFonts w:ascii="Gill Sans MT" w:hAnsi="Gill Sans MT"/>
          <w:b/>
          <w:bCs/>
          <w:sz w:val="22"/>
          <w:szCs w:val="22"/>
        </w:rPr>
      </w:pPr>
      <w:r>
        <w:rPr>
          <w:rFonts w:ascii="Gill Sans MT" w:hAnsi="Gill Sans MT"/>
          <w:b/>
          <w:bCs/>
          <w:noProof/>
          <w:sz w:val="22"/>
          <w:szCs w:val="22"/>
        </w:rPr>
        <w:drawing>
          <wp:inline distT="0" distB="0" distL="0" distR="0" wp14:anchorId="213B1531" wp14:editId="52A861B7">
            <wp:extent cx="5756275" cy="138874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6770" cy="1391277"/>
                    </a:xfrm>
                    <a:prstGeom prst="rect">
                      <a:avLst/>
                    </a:prstGeom>
                  </pic:spPr>
                </pic:pic>
              </a:graphicData>
            </a:graphic>
          </wp:inline>
        </w:drawing>
      </w:r>
    </w:p>
    <w:p w14:paraId="194C37DA" w14:textId="0F8771AE" w:rsidR="007215CF" w:rsidRPr="007215CF" w:rsidRDefault="007215CF" w:rsidP="00227562">
      <w:pPr>
        <w:pStyle w:val="NormalWeb"/>
        <w:shd w:val="clear" w:color="auto" w:fill="FFFFFF"/>
        <w:jc w:val="center"/>
        <w:rPr>
          <w:rFonts w:ascii="Gill Sans MT" w:hAnsi="Gill Sans MT"/>
          <w:sz w:val="20"/>
          <w:szCs w:val="20"/>
        </w:rPr>
      </w:pPr>
      <w:r w:rsidRPr="007215CF">
        <w:rPr>
          <w:rFonts w:ascii="Gill Sans MT" w:hAnsi="Gill Sans MT"/>
          <w:b/>
          <w:bCs/>
          <w:sz w:val="20"/>
          <w:szCs w:val="20"/>
        </w:rPr>
        <w:t xml:space="preserve">Fig. </w:t>
      </w:r>
      <w:r w:rsidR="0077104A">
        <w:rPr>
          <w:rFonts w:ascii="Gill Sans MT" w:hAnsi="Gill Sans MT"/>
          <w:b/>
          <w:bCs/>
          <w:sz w:val="20"/>
          <w:szCs w:val="20"/>
        </w:rPr>
        <w:t>9</w:t>
      </w:r>
      <w:r w:rsidR="00FE7214">
        <w:rPr>
          <w:rFonts w:ascii="Gill Sans MT" w:hAnsi="Gill Sans MT"/>
          <w:b/>
          <w:bCs/>
          <w:sz w:val="20"/>
          <w:szCs w:val="20"/>
        </w:rPr>
        <w:t>.</w:t>
      </w:r>
      <w:r w:rsidRPr="007215CF">
        <w:rPr>
          <w:rFonts w:ascii="Gill Sans MT" w:hAnsi="Gill Sans MT"/>
          <w:sz w:val="20"/>
          <w:szCs w:val="20"/>
        </w:rPr>
        <w:t xml:space="preserve"> Sharpe Ratios of all </w:t>
      </w:r>
      <w:r w:rsidR="00196B7D">
        <w:rPr>
          <w:rFonts w:ascii="Gill Sans MT" w:hAnsi="Gill Sans MT"/>
          <w:sz w:val="20"/>
          <w:szCs w:val="20"/>
        </w:rPr>
        <w:t>Indices</w:t>
      </w:r>
      <w:r w:rsidRPr="007215CF">
        <w:rPr>
          <w:rFonts w:ascii="Gill Sans MT" w:hAnsi="Gill Sans MT"/>
          <w:sz w:val="20"/>
          <w:szCs w:val="20"/>
        </w:rPr>
        <w:t xml:space="preserve"> (</w:t>
      </w:r>
      <w:r w:rsidR="00050275">
        <w:rPr>
          <w:rFonts w:ascii="Gill Sans MT" w:hAnsi="Gill Sans MT"/>
          <w:sz w:val="20"/>
          <w:szCs w:val="20"/>
        </w:rPr>
        <w:t>u</w:t>
      </w:r>
      <w:r w:rsidRPr="007215CF">
        <w:rPr>
          <w:rFonts w:ascii="Gill Sans MT" w:hAnsi="Gill Sans MT"/>
          <w:sz w:val="20"/>
          <w:szCs w:val="20"/>
        </w:rPr>
        <w:t>sing Annualised Standard Deviations)</w:t>
      </w:r>
      <w:r w:rsidRPr="0008690A">
        <w:rPr>
          <w:rFonts w:ascii="Gill Sans MT" w:hAnsi="Gill Sans MT"/>
          <w:sz w:val="20"/>
          <w:szCs w:val="20"/>
        </w:rPr>
        <w:br/>
      </w:r>
      <w:r w:rsidRPr="007215CF">
        <w:rPr>
          <w:rFonts w:ascii="Gill Sans MT" w:hAnsi="Gill Sans MT"/>
          <w:sz w:val="20"/>
          <w:szCs w:val="20"/>
        </w:rPr>
        <w:t>(Bloomberg Terminal, 2020)</w:t>
      </w:r>
      <w:r w:rsidR="00856647">
        <w:rPr>
          <w:rFonts w:ascii="Gill Sans MT" w:hAnsi="Gill Sans MT"/>
          <w:sz w:val="20"/>
          <w:szCs w:val="20"/>
        </w:rPr>
        <w:t xml:space="preserve"> (Sharpe, 1994)</w:t>
      </w:r>
    </w:p>
    <w:p w14:paraId="70FDE39F" w14:textId="719417EB" w:rsidR="00914A76" w:rsidRDefault="0066169C" w:rsidP="00DE2C01">
      <w:pPr>
        <w:pStyle w:val="NormalWeb"/>
        <w:shd w:val="clear" w:color="auto" w:fill="FFFFFF"/>
        <w:jc w:val="both"/>
        <w:rPr>
          <w:rFonts w:ascii="Gill Sans MT" w:hAnsi="Gill Sans MT"/>
          <w:sz w:val="22"/>
          <w:szCs w:val="22"/>
        </w:rPr>
      </w:pPr>
      <w:r w:rsidRPr="007215CF">
        <w:rPr>
          <w:rFonts w:ascii="Gill Sans MT" w:hAnsi="Gill Sans MT"/>
          <w:sz w:val="22"/>
          <w:szCs w:val="22"/>
        </w:rPr>
        <w:t xml:space="preserve">As seen above, regardless of the more volatile exclusionary </w:t>
      </w:r>
      <w:r>
        <w:rPr>
          <w:rFonts w:ascii="Gill Sans MT" w:hAnsi="Gill Sans MT"/>
          <w:sz w:val="22"/>
          <w:szCs w:val="22"/>
        </w:rPr>
        <w:t>indices</w:t>
      </w:r>
      <w:r w:rsidRPr="007215CF">
        <w:rPr>
          <w:rFonts w:ascii="Gill Sans MT" w:hAnsi="Gill Sans MT"/>
          <w:sz w:val="22"/>
          <w:szCs w:val="22"/>
        </w:rPr>
        <w:t xml:space="preserve">, they consistently exhibit a higher Sharpe ratio. This reinforces hypothesis </w:t>
      </w:r>
      <w:r>
        <w:rPr>
          <w:rFonts w:ascii="Gill Sans MT" w:hAnsi="Gill Sans MT"/>
          <w:sz w:val="22"/>
          <w:szCs w:val="22"/>
        </w:rPr>
        <w:t>HA</w:t>
      </w:r>
      <w:r w:rsidRPr="007215CF">
        <w:rPr>
          <w:rFonts w:ascii="Gill Sans MT" w:hAnsi="Gill Sans MT"/>
          <w:sz w:val="22"/>
          <w:szCs w:val="22"/>
        </w:rPr>
        <w:t xml:space="preserve"> that </w:t>
      </w:r>
      <w:r>
        <w:rPr>
          <w:rFonts w:ascii="Gill Sans MT" w:hAnsi="Gill Sans MT"/>
          <w:sz w:val="22"/>
          <w:szCs w:val="22"/>
        </w:rPr>
        <w:t xml:space="preserve">passive </w:t>
      </w:r>
      <w:r w:rsidRPr="007215CF">
        <w:rPr>
          <w:rFonts w:ascii="Gill Sans MT" w:hAnsi="Gill Sans MT"/>
          <w:sz w:val="22"/>
          <w:szCs w:val="22"/>
        </w:rPr>
        <w:t xml:space="preserve">sustainable investments have </w:t>
      </w:r>
      <w:r>
        <w:rPr>
          <w:rFonts w:ascii="Gill Sans MT" w:hAnsi="Gill Sans MT"/>
          <w:sz w:val="22"/>
          <w:szCs w:val="22"/>
        </w:rPr>
        <w:t>consistently out</w:t>
      </w:r>
      <w:r w:rsidRPr="007215CF">
        <w:rPr>
          <w:rFonts w:ascii="Gill Sans MT" w:hAnsi="Gill Sans MT"/>
          <w:sz w:val="22"/>
          <w:szCs w:val="22"/>
        </w:rPr>
        <w:t xml:space="preserve">performed </w:t>
      </w:r>
      <w:r>
        <w:rPr>
          <w:rFonts w:ascii="Gill Sans MT" w:hAnsi="Gill Sans MT"/>
          <w:sz w:val="22"/>
          <w:szCs w:val="22"/>
        </w:rPr>
        <w:t xml:space="preserve">the conventional equivalents. Most </w:t>
      </w:r>
      <w:r w:rsidR="000F5B9F">
        <w:rPr>
          <w:rFonts w:ascii="Gill Sans MT" w:hAnsi="Gill Sans MT"/>
          <w:sz w:val="22"/>
          <w:szCs w:val="22"/>
        </w:rPr>
        <w:t>Sharpe</w:t>
      </w:r>
      <w:r>
        <w:rPr>
          <w:rFonts w:ascii="Gill Sans MT" w:hAnsi="Gill Sans MT"/>
          <w:sz w:val="22"/>
          <w:szCs w:val="22"/>
        </w:rPr>
        <w:t xml:space="preserve"> ratios </w:t>
      </w:r>
      <w:r w:rsidR="000F5B9F">
        <w:rPr>
          <w:rFonts w:ascii="Gill Sans MT" w:hAnsi="Gill Sans MT"/>
          <w:sz w:val="22"/>
          <w:szCs w:val="22"/>
        </w:rPr>
        <w:t>exhibit a t-test significance at the 1% level. For statistical significance</w:t>
      </w:r>
      <w:r w:rsidR="002F3EBE">
        <w:rPr>
          <w:rFonts w:ascii="Gill Sans MT" w:hAnsi="Gill Sans MT"/>
          <w:sz w:val="22"/>
          <w:szCs w:val="22"/>
        </w:rPr>
        <w:t>,</w:t>
      </w:r>
      <w:r w:rsidR="000F5B9F">
        <w:rPr>
          <w:rFonts w:ascii="Gill Sans MT" w:hAnsi="Gill Sans MT"/>
          <w:sz w:val="22"/>
          <w:szCs w:val="22"/>
        </w:rPr>
        <w:t xml:space="preserve"> we believe a simple t-test is sufficient for the Sharpe ratios.</w:t>
      </w:r>
    </w:p>
    <w:p w14:paraId="5E9250F2" w14:textId="3BC789CA" w:rsidR="007215CF" w:rsidRPr="0008690A" w:rsidRDefault="008132F6" w:rsidP="00227562">
      <w:pPr>
        <w:pStyle w:val="NormalWeb"/>
        <w:shd w:val="clear" w:color="auto" w:fill="FFFFFF"/>
        <w:rPr>
          <w:rFonts w:ascii="Gill Sans MT" w:hAnsi="Gill Sans MT"/>
          <w:b/>
          <w:bCs/>
          <w:sz w:val="22"/>
          <w:szCs w:val="22"/>
        </w:rPr>
      </w:pPr>
      <w:r w:rsidRPr="0008690A">
        <w:rPr>
          <w:rFonts w:ascii="Gill Sans MT" w:hAnsi="Gill Sans MT"/>
          <w:b/>
          <w:bCs/>
          <w:sz w:val="22"/>
          <w:szCs w:val="22"/>
        </w:rPr>
        <w:lastRenderedPageBreak/>
        <w:t xml:space="preserve">6. </w:t>
      </w:r>
      <w:r w:rsidR="007215CF" w:rsidRPr="0008690A">
        <w:rPr>
          <w:rFonts w:ascii="Gill Sans MT" w:hAnsi="Gill Sans MT"/>
          <w:b/>
          <w:bCs/>
          <w:sz w:val="22"/>
          <w:szCs w:val="22"/>
        </w:rPr>
        <w:t>Final Remarks</w:t>
      </w:r>
    </w:p>
    <w:p w14:paraId="79C1BC48" w14:textId="77777777" w:rsidR="0066169C" w:rsidRDefault="0066169C" w:rsidP="0066169C">
      <w:pPr>
        <w:pStyle w:val="NormalWeb"/>
        <w:shd w:val="clear" w:color="auto" w:fill="FFFFFF"/>
        <w:jc w:val="both"/>
        <w:rPr>
          <w:rFonts w:ascii="Gill Sans MT" w:hAnsi="Gill Sans MT"/>
          <w:sz w:val="22"/>
          <w:szCs w:val="22"/>
        </w:rPr>
      </w:pPr>
      <w:r w:rsidRPr="007215CF">
        <w:rPr>
          <w:rFonts w:ascii="Gill Sans MT" w:hAnsi="Gill Sans MT"/>
          <w:sz w:val="22"/>
          <w:szCs w:val="22"/>
        </w:rPr>
        <w:t>The results confirm</w:t>
      </w:r>
      <w:r>
        <w:rPr>
          <w:rFonts w:ascii="Gill Sans MT" w:hAnsi="Gill Sans MT"/>
          <w:sz w:val="22"/>
          <w:szCs w:val="22"/>
        </w:rPr>
        <w:t xml:space="preserve"> our</w:t>
      </w:r>
      <w:r w:rsidRPr="007215CF">
        <w:rPr>
          <w:rFonts w:ascii="Gill Sans MT" w:hAnsi="Gill Sans MT"/>
          <w:sz w:val="22"/>
          <w:szCs w:val="22"/>
        </w:rPr>
        <w:t xml:space="preserve"> hypothesis that exclusionary sustainable investment </w:t>
      </w:r>
      <w:r>
        <w:rPr>
          <w:rFonts w:ascii="Gill Sans MT" w:hAnsi="Gill Sans MT"/>
          <w:sz w:val="22"/>
          <w:szCs w:val="22"/>
        </w:rPr>
        <w:t>indices</w:t>
      </w:r>
      <w:r w:rsidRPr="007215CF">
        <w:rPr>
          <w:rFonts w:ascii="Gill Sans MT" w:hAnsi="Gill Sans MT"/>
          <w:sz w:val="22"/>
          <w:szCs w:val="22"/>
        </w:rPr>
        <w:t xml:space="preserve"> perform better than </w:t>
      </w:r>
      <w:r>
        <w:rPr>
          <w:rFonts w:ascii="Gill Sans MT" w:hAnsi="Gill Sans MT"/>
          <w:sz w:val="22"/>
          <w:szCs w:val="22"/>
        </w:rPr>
        <w:t>the</w:t>
      </w:r>
      <w:r w:rsidRPr="007215CF">
        <w:rPr>
          <w:rFonts w:ascii="Gill Sans MT" w:hAnsi="Gill Sans MT"/>
          <w:sz w:val="22"/>
          <w:szCs w:val="22"/>
        </w:rPr>
        <w:t xml:space="preserve"> conventional equivalents</w:t>
      </w:r>
      <w:r>
        <w:rPr>
          <w:rFonts w:ascii="Gill Sans MT" w:hAnsi="Gill Sans MT"/>
          <w:sz w:val="22"/>
          <w:szCs w:val="22"/>
        </w:rPr>
        <w:t xml:space="preserve"> for the passive investor</w:t>
      </w:r>
      <w:r w:rsidRPr="007215CF">
        <w:rPr>
          <w:rFonts w:ascii="Gill Sans MT" w:hAnsi="Gill Sans MT"/>
          <w:sz w:val="22"/>
          <w:szCs w:val="22"/>
        </w:rPr>
        <w:t xml:space="preserve">. </w:t>
      </w:r>
    </w:p>
    <w:p w14:paraId="5ECEE2BD" w14:textId="77777777" w:rsidR="0066169C" w:rsidRPr="007215CF" w:rsidRDefault="0066169C" w:rsidP="0066169C">
      <w:pPr>
        <w:pStyle w:val="NormalWeb"/>
        <w:shd w:val="clear" w:color="auto" w:fill="FFFFFF"/>
        <w:jc w:val="both"/>
        <w:rPr>
          <w:rFonts w:ascii="Gill Sans MT" w:hAnsi="Gill Sans MT"/>
          <w:sz w:val="22"/>
          <w:szCs w:val="22"/>
        </w:rPr>
      </w:pPr>
      <w:r>
        <w:rPr>
          <w:rFonts w:ascii="Gill Sans MT" w:hAnsi="Gill Sans MT"/>
          <w:sz w:val="22"/>
          <w:szCs w:val="22"/>
        </w:rPr>
        <w:t>We</w:t>
      </w:r>
      <w:r w:rsidRPr="007215CF">
        <w:rPr>
          <w:rFonts w:ascii="Gill Sans MT" w:hAnsi="Gill Sans MT"/>
          <w:sz w:val="22"/>
          <w:szCs w:val="22"/>
        </w:rPr>
        <w:t xml:space="preserve"> conclude that the volatility results lack validity due to the exclusionary </w:t>
      </w:r>
      <w:r>
        <w:rPr>
          <w:rFonts w:ascii="Gill Sans MT" w:hAnsi="Gill Sans MT"/>
          <w:sz w:val="22"/>
          <w:szCs w:val="22"/>
        </w:rPr>
        <w:t>indices</w:t>
      </w:r>
      <w:r w:rsidRPr="007215CF">
        <w:rPr>
          <w:rFonts w:ascii="Gill Sans MT" w:hAnsi="Gill Sans MT"/>
          <w:sz w:val="22"/>
          <w:szCs w:val="22"/>
        </w:rPr>
        <w:t xml:space="preserve"> having </w:t>
      </w:r>
      <w:r>
        <w:rPr>
          <w:rFonts w:ascii="Gill Sans MT" w:hAnsi="Gill Sans MT"/>
          <w:sz w:val="22"/>
          <w:szCs w:val="22"/>
        </w:rPr>
        <w:t>fewer</w:t>
      </w:r>
      <w:r w:rsidRPr="007215CF">
        <w:rPr>
          <w:rFonts w:ascii="Gill Sans MT" w:hAnsi="Gill Sans MT"/>
          <w:sz w:val="22"/>
          <w:szCs w:val="22"/>
        </w:rPr>
        <w:t xml:space="preserve"> constituents and offering </w:t>
      </w:r>
      <w:r>
        <w:rPr>
          <w:rFonts w:ascii="Gill Sans MT" w:hAnsi="Gill Sans MT"/>
          <w:sz w:val="22"/>
          <w:szCs w:val="22"/>
        </w:rPr>
        <w:t>fewer</w:t>
      </w:r>
      <w:r w:rsidRPr="007215CF">
        <w:rPr>
          <w:rFonts w:ascii="Gill Sans MT" w:hAnsi="Gill Sans MT"/>
          <w:sz w:val="22"/>
          <w:szCs w:val="22"/>
        </w:rPr>
        <w:t xml:space="preserve"> industries</w:t>
      </w:r>
      <w:r>
        <w:rPr>
          <w:rFonts w:ascii="Gill Sans MT" w:hAnsi="Gill Sans MT"/>
          <w:sz w:val="22"/>
          <w:szCs w:val="22"/>
        </w:rPr>
        <w:t>, t</w:t>
      </w:r>
      <w:r w:rsidRPr="007215CF">
        <w:rPr>
          <w:rFonts w:ascii="Gill Sans MT" w:hAnsi="Gill Sans MT"/>
          <w:sz w:val="22"/>
          <w:szCs w:val="22"/>
        </w:rPr>
        <w:t xml:space="preserve">he ESG screened </w:t>
      </w:r>
      <w:r>
        <w:rPr>
          <w:rFonts w:ascii="Gill Sans MT" w:hAnsi="Gill Sans MT"/>
          <w:sz w:val="22"/>
          <w:szCs w:val="22"/>
        </w:rPr>
        <w:t>indices</w:t>
      </w:r>
      <w:r w:rsidRPr="007215CF">
        <w:rPr>
          <w:rFonts w:ascii="Gill Sans MT" w:hAnsi="Gill Sans MT"/>
          <w:sz w:val="22"/>
          <w:szCs w:val="22"/>
        </w:rPr>
        <w:t xml:space="preserve"> are a less diversified index and therefore inherently </w:t>
      </w:r>
      <w:r>
        <w:rPr>
          <w:rFonts w:ascii="Gill Sans MT" w:hAnsi="Gill Sans MT"/>
          <w:sz w:val="22"/>
          <w:szCs w:val="22"/>
        </w:rPr>
        <w:t>carries</w:t>
      </w:r>
      <w:r w:rsidRPr="007215CF">
        <w:rPr>
          <w:rFonts w:ascii="Gill Sans MT" w:hAnsi="Gill Sans MT"/>
          <w:sz w:val="22"/>
          <w:szCs w:val="22"/>
        </w:rPr>
        <w:t xml:space="preserve"> more risk. Both the returns of the ESG screened </w:t>
      </w:r>
      <w:r>
        <w:rPr>
          <w:rFonts w:ascii="Gill Sans MT" w:hAnsi="Gill Sans MT"/>
          <w:sz w:val="22"/>
          <w:szCs w:val="22"/>
        </w:rPr>
        <w:t>indices</w:t>
      </w:r>
      <w:r w:rsidRPr="007215CF">
        <w:rPr>
          <w:rFonts w:ascii="Gill Sans MT" w:hAnsi="Gill Sans MT"/>
          <w:sz w:val="22"/>
          <w:szCs w:val="22"/>
        </w:rPr>
        <w:t xml:space="preserve"> and the Sharpe ratios outperform the standard</w:t>
      </w:r>
      <w:r>
        <w:rPr>
          <w:rFonts w:ascii="Gill Sans MT" w:hAnsi="Gill Sans MT"/>
          <w:sz w:val="22"/>
          <w:szCs w:val="22"/>
        </w:rPr>
        <w:t xml:space="preserve"> indices over the long-term</w:t>
      </w:r>
      <w:r w:rsidRPr="007215CF">
        <w:rPr>
          <w:rFonts w:ascii="Gill Sans MT" w:hAnsi="Gill Sans MT"/>
          <w:sz w:val="22"/>
          <w:szCs w:val="22"/>
        </w:rPr>
        <w:t>.</w:t>
      </w:r>
      <w:r>
        <w:rPr>
          <w:rFonts w:ascii="Gill Sans MT" w:hAnsi="Gill Sans MT"/>
          <w:sz w:val="22"/>
          <w:szCs w:val="22"/>
        </w:rPr>
        <w:t xml:space="preserve"> We believe this paper can have implications on the future investment strategies of the investment management and wealth management industries.</w:t>
      </w:r>
    </w:p>
    <w:p w14:paraId="41DD4B12" w14:textId="77777777" w:rsidR="0066169C" w:rsidRPr="007215CF" w:rsidRDefault="0066169C" w:rsidP="0066169C">
      <w:pPr>
        <w:pStyle w:val="NormalWeb"/>
        <w:shd w:val="clear" w:color="auto" w:fill="FFFFFF"/>
        <w:jc w:val="both"/>
        <w:rPr>
          <w:rFonts w:ascii="Gill Sans MT" w:hAnsi="Gill Sans MT"/>
          <w:sz w:val="22"/>
          <w:szCs w:val="22"/>
        </w:rPr>
      </w:pPr>
      <w:r>
        <w:rPr>
          <w:rFonts w:ascii="Gill Sans MT" w:hAnsi="Gill Sans MT"/>
          <w:sz w:val="22"/>
          <w:szCs w:val="22"/>
        </w:rPr>
        <w:t>We can</w:t>
      </w:r>
      <w:r w:rsidRPr="007215CF">
        <w:rPr>
          <w:rFonts w:ascii="Gill Sans MT" w:hAnsi="Gill Sans MT"/>
          <w:sz w:val="22"/>
          <w:szCs w:val="22"/>
        </w:rPr>
        <w:t xml:space="preserve"> expect this trend of ESG screened investment outperformance to continue</w:t>
      </w:r>
      <w:r>
        <w:rPr>
          <w:rFonts w:ascii="Gill Sans MT" w:hAnsi="Gill Sans MT"/>
          <w:sz w:val="22"/>
          <w:szCs w:val="22"/>
        </w:rPr>
        <w:t xml:space="preserve"> due to</w:t>
      </w:r>
      <w:r w:rsidRPr="007215CF">
        <w:rPr>
          <w:rFonts w:ascii="Gill Sans MT" w:hAnsi="Gill Sans MT"/>
          <w:sz w:val="22"/>
          <w:szCs w:val="22"/>
        </w:rPr>
        <w:t xml:space="preserve"> two reasons: </w:t>
      </w:r>
    </w:p>
    <w:p w14:paraId="6195C648" w14:textId="77777777" w:rsidR="0066169C" w:rsidRPr="007215CF" w:rsidRDefault="0066169C" w:rsidP="0066169C">
      <w:pPr>
        <w:pStyle w:val="NormalWeb"/>
        <w:numPr>
          <w:ilvl w:val="0"/>
          <w:numId w:val="2"/>
        </w:numPr>
        <w:shd w:val="clear" w:color="auto" w:fill="FFFFFF"/>
        <w:jc w:val="both"/>
        <w:rPr>
          <w:rFonts w:ascii="Gill Sans MT" w:hAnsi="Gill Sans MT"/>
          <w:sz w:val="22"/>
          <w:szCs w:val="22"/>
        </w:rPr>
      </w:pPr>
      <w:r w:rsidRPr="007215CF">
        <w:rPr>
          <w:rFonts w:ascii="Gill Sans MT" w:hAnsi="Gill Sans MT"/>
          <w:sz w:val="22"/>
          <w:szCs w:val="22"/>
        </w:rPr>
        <w:t>Continued divestments from retail and institutional investors.</w:t>
      </w:r>
    </w:p>
    <w:p w14:paraId="49E4A2B4" w14:textId="0BFA7F46" w:rsidR="0066169C" w:rsidRDefault="0066169C" w:rsidP="0066169C">
      <w:pPr>
        <w:pStyle w:val="NormalWeb"/>
        <w:numPr>
          <w:ilvl w:val="0"/>
          <w:numId w:val="2"/>
        </w:numPr>
        <w:shd w:val="clear" w:color="auto" w:fill="FFFFFF"/>
        <w:rPr>
          <w:rFonts w:ascii="Gill Sans MT" w:hAnsi="Gill Sans MT"/>
          <w:sz w:val="22"/>
          <w:szCs w:val="22"/>
        </w:rPr>
      </w:pPr>
      <w:r w:rsidRPr="007215CF">
        <w:rPr>
          <w:rFonts w:ascii="Gill Sans MT" w:hAnsi="Gill Sans MT"/>
          <w:sz w:val="22"/>
          <w:szCs w:val="22"/>
        </w:rPr>
        <w:t>The next generation of investors (</w:t>
      </w:r>
      <w:r>
        <w:rPr>
          <w:rFonts w:ascii="Gill Sans MT" w:hAnsi="Gill Sans MT"/>
          <w:sz w:val="22"/>
          <w:szCs w:val="22"/>
        </w:rPr>
        <w:t>m</w:t>
      </w:r>
      <w:r w:rsidRPr="007215CF">
        <w:rPr>
          <w:rFonts w:ascii="Gill Sans MT" w:hAnsi="Gill Sans MT"/>
          <w:sz w:val="22"/>
          <w:szCs w:val="22"/>
        </w:rPr>
        <w:t xml:space="preserve">illennials and </w:t>
      </w:r>
      <w:r>
        <w:rPr>
          <w:rFonts w:ascii="Gill Sans MT" w:hAnsi="Gill Sans MT"/>
          <w:sz w:val="22"/>
          <w:szCs w:val="22"/>
        </w:rPr>
        <w:t>g</w:t>
      </w:r>
      <w:r w:rsidRPr="007215CF">
        <w:rPr>
          <w:rFonts w:ascii="Gill Sans MT" w:hAnsi="Gill Sans MT"/>
          <w:sz w:val="22"/>
          <w:szCs w:val="22"/>
        </w:rPr>
        <w:t xml:space="preserve">eneration </w:t>
      </w:r>
      <w:r>
        <w:rPr>
          <w:rFonts w:ascii="Gill Sans MT" w:hAnsi="Gill Sans MT"/>
          <w:sz w:val="22"/>
          <w:szCs w:val="22"/>
        </w:rPr>
        <w:t>z</w:t>
      </w:r>
      <w:r w:rsidRPr="007215CF">
        <w:rPr>
          <w:rFonts w:ascii="Gill Sans MT" w:hAnsi="Gill Sans MT"/>
          <w:sz w:val="22"/>
          <w:szCs w:val="22"/>
        </w:rPr>
        <w:t xml:space="preserve">) interest in sustainable investments and their subsequent rise of influence in </w:t>
      </w:r>
      <w:r>
        <w:rPr>
          <w:rFonts w:ascii="Gill Sans MT" w:hAnsi="Gill Sans MT"/>
          <w:sz w:val="22"/>
          <w:szCs w:val="22"/>
        </w:rPr>
        <w:t xml:space="preserve">financial markets directly, and </w:t>
      </w:r>
      <w:r w:rsidR="002E75E6">
        <w:rPr>
          <w:rFonts w:ascii="Gill Sans MT" w:hAnsi="Gill Sans MT"/>
          <w:sz w:val="22"/>
          <w:szCs w:val="22"/>
        </w:rPr>
        <w:t xml:space="preserve">indirectly </w:t>
      </w:r>
      <w:r>
        <w:rPr>
          <w:rFonts w:ascii="Gill Sans MT" w:hAnsi="Gill Sans MT"/>
          <w:sz w:val="22"/>
          <w:szCs w:val="22"/>
        </w:rPr>
        <w:t>through the</w:t>
      </w:r>
      <w:r w:rsidRPr="007215CF">
        <w:rPr>
          <w:rFonts w:ascii="Gill Sans MT" w:hAnsi="Gill Sans MT"/>
          <w:sz w:val="22"/>
          <w:szCs w:val="22"/>
        </w:rPr>
        <w:t xml:space="preserve"> investment management and wealth management industr</w:t>
      </w:r>
      <w:r>
        <w:rPr>
          <w:rFonts w:ascii="Gill Sans MT" w:hAnsi="Gill Sans MT"/>
          <w:sz w:val="22"/>
          <w:szCs w:val="22"/>
        </w:rPr>
        <w:t>ies</w:t>
      </w:r>
      <w:r w:rsidRPr="007215CF">
        <w:rPr>
          <w:rFonts w:ascii="Gill Sans MT" w:hAnsi="Gill Sans MT"/>
          <w:sz w:val="22"/>
          <w:szCs w:val="22"/>
        </w:rPr>
        <w:t xml:space="preserve">. </w:t>
      </w:r>
    </w:p>
    <w:p w14:paraId="6342B878" w14:textId="7CFE7774" w:rsidR="0066169C" w:rsidRPr="007215CF" w:rsidRDefault="0066169C" w:rsidP="0066169C">
      <w:pPr>
        <w:pStyle w:val="NormalWeb"/>
        <w:shd w:val="clear" w:color="auto" w:fill="FFFFFF"/>
        <w:rPr>
          <w:rFonts w:ascii="Gill Sans MT" w:hAnsi="Gill Sans MT"/>
          <w:sz w:val="22"/>
          <w:szCs w:val="22"/>
        </w:rPr>
      </w:pPr>
      <w:r>
        <w:rPr>
          <w:rFonts w:ascii="Gill Sans MT" w:hAnsi="Gill Sans MT"/>
          <w:sz w:val="22"/>
          <w:szCs w:val="22"/>
        </w:rPr>
        <w:t xml:space="preserve">Future research will focus on other ESG </w:t>
      </w:r>
      <w:r w:rsidR="00C6451F">
        <w:rPr>
          <w:rFonts w:ascii="Gill Sans MT" w:hAnsi="Gill Sans MT"/>
          <w:sz w:val="22"/>
          <w:szCs w:val="22"/>
        </w:rPr>
        <w:t xml:space="preserve">investment strategies. </w:t>
      </w:r>
    </w:p>
    <w:p w14:paraId="548C9DD7" w14:textId="210CF77F" w:rsidR="007215CF" w:rsidRPr="00315781" w:rsidRDefault="007215CF" w:rsidP="00315781">
      <w:pPr>
        <w:pStyle w:val="NormalWeb"/>
        <w:shd w:val="clear" w:color="auto" w:fill="FFFFFF"/>
        <w:rPr>
          <w:rFonts w:ascii="Gill Sans MT" w:hAnsi="Gill Sans MT"/>
          <w:sz w:val="22"/>
          <w:szCs w:val="22"/>
        </w:rPr>
      </w:pPr>
      <w:r w:rsidRPr="00315781">
        <w:rPr>
          <w:rFonts w:ascii="Gill Sans MT" w:hAnsi="Gill Sans MT"/>
          <w:b/>
          <w:bCs/>
          <w:sz w:val="22"/>
          <w:szCs w:val="22"/>
        </w:rPr>
        <w:br w:type="page"/>
      </w:r>
    </w:p>
    <w:p w14:paraId="2C390AD0" w14:textId="1624CC5E" w:rsidR="00C7325F" w:rsidRPr="0008690A" w:rsidRDefault="008132F6" w:rsidP="00227562">
      <w:pPr>
        <w:pStyle w:val="NormalWeb"/>
        <w:shd w:val="clear" w:color="auto" w:fill="FFFFFF"/>
        <w:rPr>
          <w:rFonts w:ascii="Gill Sans MT" w:hAnsi="Gill Sans MT"/>
        </w:rPr>
      </w:pPr>
      <w:r w:rsidRPr="0008690A">
        <w:rPr>
          <w:rFonts w:ascii="Gill Sans MT" w:hAnsi="Gill Sans MT"/>
          <w:b/>
          <w:bCs/>
          <w:sz w:val="22"/>
          <w:szCs w:val="22"/>
        </w:rPr>
        <w:lastRenderedPageBreak/>
        <w:t xml:space="preserve">7. </w:t>
      </w:r>
      <w:r w:rsidR="00C7325F" w:rsidRPr="0008690A">
        <w:rPr>
          <w:rFonts w:ascii="Gill Sans MT" w:hAnsi="Gill Sans MT"/>
          <w:b/>
          <w:bCs/>
          <w:sz w:val="22"/>
          <w:szCs w:val="22"/>
        </w:rPr>
        <w:t xml:space="preserve">References </w:t>
      </w:r>
    </w:p>
    <w:p w14:paraId="2CFF6E15"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Activesustainability.com. (n.d.). </w:t>
      </w:r>
      <w:r w:rsidRPr="007215CF">
        <w:rPr>
          <w:rFonts w:ascii="Gill Sans MT" w:hAnsi="Gill Sans MT"/>
          <w:i/>
          <w:iCs/>
          <w:sz w:val="22"/>
          <w:szCs w:val="22"/>
        </w:rPr>
        <w:t>Sustainable investment and divestment</w:t>
      </w:r>
      <w:r w:rsidRPr="007215CF">
        <w:rPr>
          <w:rFonts w:ascii="Gill Sans MT" w:hAnsi="Gill Sans MT"/>
          <w:sz w:val="22"/>
          <w:szCs w:val="22"/>
        </w:rPr>
        <w:t>. [online] Available at: https://www.activesustainability.com/opinion/sustainable-investment-and-divestment-i/ [Accessed 8 Feb. 2020].</w:t>
      </w:r>
    </w:p>
    <w:p w14:paraId="5E2EE1E9" w14:textId="4A69F91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BCG.com. (2019). How Sustainable Finance Is Shifting the Future of Investing. [online] Available at: https://www.bcg.com/capabilities/social-impact/how-sustainable-finance-is-shifting-future-of-investing.aspx [Accessed 8 Feb. 2020].Bloomberg Terminal. (2020). Bloomberg.</w:t>
      </w:r>
      <w:r w:rsidR="00602441">
        <w:rPr>
          <w:rFonts w:ascii="Gill Sans MT" w:hAnsi="Gill Sans MT"/>
          <w:sz w:val="22"/>
          <w:szCs w:val="22"/>
        </w:rPr>
        <w:t xml:space="preserve"> </w:t>
      </w:r>
      <w:r w:rsidRPr="007215CF">
        <w:rPr>
          <w:rFonts w:ascii="Gill Sans MT" w:hAnsi="Gill Sans MT"/>
          <w:sz w:val="22"/>
          <w:szCs w:val="22"/>
        </w:rPr>
        <w:t xml:space="preserve">Charlo, M.J., </w:t>
      </w:r>
    </w:p>
    <w:p w14:paraId="479D9005"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de Souza Cunha, F.A.F. and Samanez, C.P., 2013. Performance analysis of sustainable investments in the Brazilian stock market: a study about the corporate sustainability index (ISE). Journal of business ethics, 117(1), pp.19-36.</w:t>
      </w:r>
    </w:p>
    <w:p w14:paraId="02AAEAA2"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EY.com. (2017). Sustainable investing: the millennial investor. [online] Available at: https://www.ey.com/Publication/vwLUAssets/ey-sustainable-investing-the-millennial-investor-gl/$FILE/ey-sustainable-investing-the-millennial-investor.pdf [Accessed 20 Jan. 2020].</w:t>
      </w:r>
    </w:p>
    <w:p w14:paraId="71F80205" w14:textId="77777777" w:rsidR="001549B6" w:rsidRPr="007215CF" w:rsidRDefault="001549B6" w:rsidP="00227562">
      <w:pPr>
        <w:pStyle w:val="NormalWeb"/>
        <w:rPr>
          <w:rFonts w:ascii="Gill Sans MT" w:hAnsi="Gill Sans MT"/>
          <w:sz w:val="22"/>
          <w:szCs w:val="22"/>
        </w:rPr>
      </w:pPr>
      <w:proofErr w:type="spellStart"/>
      <w:r w:rsidRPr="007215CF">
        <w:rPr>
          <w:rFonts w:ascii="Gill Sans MT" w:hAnsi="Gill Sans MT"/>
          <w:sz w:val="22"/>
          <w:szCs w:val="22"/>
        </w:rPr>
        <w:t>Friede</w:t>
      </w:r>
      <w:proofErr w:type="spellEnd"/>
      <w:r w:rsidRPr="007215CF">
        <w:rPr>
          <w:rFonts w:ascii="Gill Sans MT" w:hAnsi="Gill Sans MT"/>
          <w:sz w:val="22"/>
          <w:szCs w:val="22"/>
        </w:rPr>
        <w:t xml:space="preserve">, G., Busch, T. and </w:t>
      </w:r>
      <w:proofErr w:type="spellStart"/>
      <w:r w:rsidRPr="007215CF">
        <w:rPr>
          <w:rFonts w:ascii="Gill Sans MT" w:hAnsi="Gill Sans MT"/>
          <w:sz w:val="22"/>
          <w:szCs w:val="22"/>
        </w:rPr>
        <w:t>Bassen</w:t>
      </w:r>
      <w:proofErr w:type="spellEnd"/>
      <w:r w:rsidRPr="007215CF">
        <w:rPr>
          <w:rFonts w:ascii="Gill Sans MT" w:hAnsi="Gill Sans MT"/>
          <w:sz w:val="22"/>
          <w:szCs w:val="22"/>
        </w:rPr>
        <w:t>, A., 2015. ESG and financial performance: aggregated evidence from more than 2000 empirical studies. Journal of Sustainable Finance &amp; Investment, 5(4), pp.210-233.</w:t>
      </w:r>
    </w:p>
    <w:p w14:paraId="52726A5C"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Fulton, M., Kahn, B. and Sharples, C., 2012. Sustainable investing: Establishing long-term value and performance. Available at SSRN 2222740.</w:t>
      </w:r>
    </w:p>
    <w:p w14:paraId="0A673599"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Global Sustainable Alliance (2019). 2018 Global Sustainable Investment Review. [online] Global Sustainable Alliance. Available at: http://www.gsi-alliance.org/wp-content/uploads/2019/06/GSIR_Review2018F.pdf [Accessed 10 Jan. 2020].</w:t>
      </w:r>
    </w:p>
    <w:p w14:paraId="347FF0D2"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Lean, H.H. and Nguyen, D.K., 2014. Policy uncertainty and performance characteristics of sustainable investments across regions around the global financial crisis. Applied Financial Economics, 24(21), pp.1367-1373.</w:t>
      </w:r>
    </w:p>
    <w:p w14:paraId="2B4671A5" w14:textId="77777777" w:rsidR="001549B6" w:rsidRPr="007215CF" w:rsidRDefault="001549B6" w:rsidP="00227562">
      <w:pPr>
        <w:pStyle w:val="NormalWeb"/>
        <w:rPr>
          <w:rFonts w:ascii="Gill Sans MT" w:hAnsi="Gill Sans MT"/>
          <w:sz w:val="22"/>
          <w:szCs w:val="22"/>
        </w:rPr>
      </w:pPr>
      <w:r w:rsidRPr="007215CF">
        <w:rPr>
          <w:rFonts w:ascii="Gill Sans MT" w:hAnsi="Gill Sans MT"/>
          <w:sz w:val="22"/>
          <w:szCs w:val="22"/>
        </w:rPr>
        <w:t>Moya, I. and Muñoz, A.M., 2015. Sustainable development and corporate financial performance: a study based on the FTSE4Good IBEX Index. Business Strategy and the Environment, 24(4), pp.277-288.</w:t>
      </w:r>
    </w:p>
    <w:p w14:paraId="48829A1D" w14:textId="77777777" w:rsidR="001549B6" w:rsidRPr="007215CF" w:rsidRDefault="001549B6" w:rsidP="00227562">
      <w:pPr>
        <w:pStyle w:val="NormalWeb"/>
        <w:rPr>
          <w:rFonts w:ascii="Gill Sans MT" w:hAnsi="Gill Sans MT"/>
          <w:sz w:val="22"/>
          <w:szCs w:val="22"/>
        </w:rPr>
      </w:pPr>
      <w:proofErr w:type="spellStart"/>
      <w:r w:rsidRPr="007215CF">
        <w:rPr>
          <w:rFonts w:ascii="Gill Sans MT" w:hAnsi="Gill Sans MT"/>
          <w:sz w:val="22"/>
          <w:szCs w:val="22"/>
        </w:rPr>
        <w:t>Pettifor</w:t>
      </w:r>
      <w:proofErr w:type="spellEnd"/>
      <w:r w:rsidRPr="007215CF">
        <w:rPr>
          <w:rFonts w:ascii="Gill Sans MT" w:hAnsi="Gill Sans MT"/>
          <w:sz w:val="22"/>
          <w:szCs w:val="22"/>
        </w:rPr>
        <w:t xml:space="preserve">, A. (2020). BlackRock gets praise for coal divestment. What it really needs is regulation | Ann </w:t>
      </w:r>
      <w:proofErr w:type="spellStart"/>
      <w:r w:rsidRPr="007215CF">
        <w:rPr>
          <w:rFonts w:ascii="Gill Sans MT" w:hAnsi="Gill Sans MT"/>
          <w:sz w:val="22"/>
          <w:szCs w:val="22"/>
        </w:rPr>
        <w:t>Pettifor</w:t>
      </w:r>
      <w:proofErr w:type="spellEnd"/>
      <w:r w:rsidRPr="007215CF">
        <w:rPr>
          <w:rFonts w:ascii="Gill Sans MT" w:hAnsi="Gill Sans MT"/>
          <w:sz w:val="22"/>
          <w:szCs w:val="22"/>
        </w:rPr>
        <w:t>. [online] the Guardian. Available at: https://www.theguardian.com/commentisfree/2020/jan/16/blackrock-coal-divestment-regulation-fund-manager [Accessed 1 Feb. 2020].</w:t>
      </w:r>
    </w:p>
    <w:p w14:paraId="555F15D6" w14:textId="0A97458E" w:rsidR="001549B6" w:rsidRDefault="001549B6" w:rsidP="00227562">
      <w:pPr>
        <w:pStyle w:val="NormalWeb"/>
        <w:rPr>
          <w:rFonts w:ascii="Gill Sans MT" w:hAnsi="Gill Sans MT"/>
          <w:sz w:val="22"/>
          <w:szCs w:val="22"/>
        </w:rPr>
      </w:pPr>
      <w:proofErr w:type="spellStart"/>
      <w:r w:rsidRPr="007215CF">
        <w:rPr>
          <w:rFonts w:ascii="Gill Sans MT" w:hAnsi="Gill Sans MT"/>
          <w:sz w:val="22"/>
          <w:szCs w:val="22"/>
        </w:rPr>
        <w:t>Pronina</w:t>
      </w:r>
      <w:proofErr w:type="spellEnd"/>
      <w:r w:rsidRPr="007215CF">
        <w:rPr>
          <w:rFonts w:ascii="Gill Sans MT" w:hAnsi="Gill Sans MT"/>
          <w:sz w:val="22"/>
          <w:szCs w:val="22"/>
        </w:rPr>
        <w:t>, L. (2019). What Are Green Bonds and How ‘Green’ Is Green?. [online] Bloomberg.com. Available at: https://www.bloomberg.com/news/articles/2019-03-24/what-are-green-bonds-and-how-green-is-green-quicktake [Accessed 13 Feb. 2020].</w:t>
      </w:r>
    </w:p>
    <w:p w14:paraId="6963F72C" w14:textId="56118E5D" w:rsidR="00B56220" w:rsidRPr="00B56220" w:rsidRDefault="00B56220" w:rsidP="00B56220">
      <w:pPr>
        <w:rPr>
          <w:rFonts w:ascii="Gill Sans MT" w:hAnsi="Gill Sans MT"/>
          <w:sz w:val="22"/>
          <w:szCs w:val="22"/>
        </w:rPr>
      </w:pPr>
      <w:r w:rsidRPr="00B56220">
        <w:rPr>
          <w:rFonts w:ascii="Gill Sans MT" w:hAnsi="Gill Sans MT"/>
          <w:sz w:val="22"/>
          <w:szCs w:val="22"/>
        </w:rPr>
        <w:t xml:space="preserve">Sharpe, W.F., 1994. The Sharpe </w:t>
      </w:r>
      <w:r>
        <w:rPr>
          <w:rFonts w:ascii="Gill Sans MT" w:hAnsi="Gill Sans MT"/>
          <w:sz w:val="22"/>
          <w:szCs w:val="22"/>
        </w:rPr>
        <w:t>R</w:t>
      </w:r>
      <w:r w:rsidRPr="00B56220">
        <w:rPr>
          <w:rFonts w:ascii="Gill Sans MT" w:hAnsi="Gill Sans MT"/>
          <w:sz w:val="22"/>
          <w:szCs w:val="22"/>
        </w:rPr>
        <w:t xml:space="preserve">atio. Journal of </w:t>
      </w:r>
      <w:r w:rsidR="00873FE9">
        <w:rPr>
          <w:rFonts w:ascii="Gill Sans MT" w:hAnsi="Gill Sans MT"/>
          <w:sz w:val="22"/>
          <w:szCs w:val="22"/>
        </w:rPr>
        <w:t>P</w:t>
      </w:r>
      <w:r w:rsidRPr="00B56220">
        <w:rPr>
          <w:rFonts w:ascii="Gill Sans MT" w:hAnsi="Gill Sans MT"/>
          <w:sz w:val="22"/>
          <w:szCs w:val="22"/>
        </w:rPr>
        <w:t xml:space="preserve">ortfolio </w:t>
      </w:r>
      <w:r w:rsidR="00873FE9">
        <w:rPr>
          <w:rFonts w:ascii="Gill Sans MT" w:hAnsi="Gill Sans MT"/>
          <w:sz w:val="22"/>
          <w:szCs w:val="22"/>
        </w:rPr>
        <w:t>M</w:t>
      </w:r>
      <w:r w:rsidRPr="00B56220">
        <w:rPr>
          <w:rFonts w:ascii="Gill Sans MT" w:hAnsi="Gill Sans MT"/>
          <w:sz w:val="22"/>
          <w:szCs w:val="22"/>
        </w:rPr>
        <w:t>anagement, 21(1), pp.49-58.</w:t>
      </w:r>
    </w:p>
    <w:p w14:paraId="3BD5A1A3" w14:textId="77777777" w:rsidR="001549B6" w:rsidRPr="0008690A" w:rsidRDefault="001549B6" w:rsidP="00227562">
      <w:pPr>
        <w:pStyle w:val="NormalWeb"/>
        <w:rPr>
          <w:rFonts w:ascii="Gill Sans MT" w:hAnsi="Gill Sans MT"/>
          <w:sz w:val="22"/>
          <w:szCs w:val="22"/>
        </w:rPr>
      </w:pPr>
      <w:r w:rsidRPr="007215CF">
        <w:rPr>
          <w:rFonts w:ascii="Gill Sans MT" w:hAnsi="Gill Sans MT"/>
          <w:sz w:val="22"/>
          <w:szCs w:val="22"/>
        </w:rPr>
        <w:t>Vital-capital.com. (2020). Vital - Investing for meaningful outcomes and strong returns. [online] Available at: https://www.vital-capital.com [Accessed 14 Jan. 2020].</w:t>
      </w:r>
    </w:p>
    <w:p w14:paraId="2436B595" w14:textId="77777777" w:rsidR="00A73714" w:rsidRPr="0008690A" w:rsidRDefault="00A73714" w:rsidP="00227562">
      <w:pPr>
        <w:rPr>
          <w:rFonts w:ascii="Gill Sans MT" w:hAnsi="Gill Sans MT"/>
          <w:sz w:val="22"/>
          <w:szCs w:val="22"/>
        </w:rPr>
      </w:pPr>
      <w:r w:rsidRPr="0008690A">
        <w:rPr>
          <w:rFonts w:ascii="Gill Sans MT" w:hAnsi="Gill Sans MT"/>
          <w:sz w:val="22"/>
          <w:szCs w:val="22"/>
        </w:rPr>
        <w:br w:type="page"/>
      </w:r>
    </w:p>
    <w:p w14:paraId="34953B51" w14:textId="15E6DCFB" w:rsidR="007215CF" w:rsidRPr="007215CF" w:rsidRDefault="00A73714" w:rsidP="00227562">
      <w:pPr>
        <w:pStyle w:val="NormalWeb"/>
        <w:rPr>
          <w:rFonts w:ascii="Gill Sans MT" w:hAnsi="Gill Sans MT"/>
          <w:b/>
          <w:bCs/>
          <w:sz w:val="22"/>
          <w:szCs w:val="22"/>
        </w:rPr>
      </w:pPr>
      <w:r w:rsidRPr="0008690A">
        <w:rPr>
          <w:rFonts w:ascii="Gill Sans MT" w:hAnsi="Gill Sans MT"/>
          <w:b/>
          <w:bCs/>
          <w:sz w:val="22"/>
          <w:szCs w:val="22"/>
        </w:rPr>
        <w:lastRenderedPageBreak/>
        <w:t>8. Appendix</w:t>
      </w:r>
    </w:p>
    <w:p w14:paraId="510A658B" w14:textId="77777777" w:rsidR="00247F76" w:rsidRPr="00247F76" w:rsidRDefault="00247F76" w:rsidP="00227562">
      <w:pPr>
        <w:pStyle w:val="NormalWeb"/>
        <w:shd w:val="clear" w:color="auto" w:fill="FFFFFF"/>
        <w:rPr>
          <w:rFonts w:ascii="Gill Sans MT" w:hAnsi="Gill Sans MT"/>
        </w:rPr>
      </w:pPr>
      <w:bookmarkStart w:id="1" w:name="_Toc34746524"/>
      <w:r w:rsidRPr="00247F76">
        <w:rPr>
          <w:rFonts w:ascii="Gill Sans MT" w:hAnsi="Gill Sans MT"/>
        </w:rPr>
        <w:t>Appendix One – Global Sustainable Investments Data</w:t>
      </w:r>
      <w:bookmarkEnd w:id="1"/>
    </w:p>
    <w:p w14:paraId="16E65CF1" w14:textId="6B90237E" w:rsidR="00247F76" w:rsidRPr="00247F76" w:rsidRDefault="00743B27" w:rsidP="00227562">
      <w:pPr>
        <w:pStyle w:val="NormalWeb"/>
        <w:shd w:val="clear" w:color="auto" w:fill="FFFFFF"/>
        <w:jc w:val="center"/>
        <w:rPr>
          <w:rFonts w:ascii="Gill Sans MT" w:hAnsi="Gill Sans MT"/>
        </w:rPr>
      </w:pPr>
      <w:r w:rsidRPr="0008690A">
        <w:rPr>
          <w:rFonts w:ascii="Gill Sans MT" w:hAnsi="Gill Sans MT"/>
          <w:noProof/>
        </w:rPr>
        <w:drawing>
          <wp:inline distT="0" distB="0" distL="0" distR="0" wp14:anchorId="183932EA" wp14:editId="7FE0DF9E">
            <wp:extent cx="4136065" cy="2480270"/>
            <wp:effectExtent l="0" t="0" r="4445"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 2020-07-01 at 16.45.04.png"/>
                    <pic:cNvPicPr/>
                  </pic:nvPicPr>
                  <pic:blipFill>
                    <a:blip r:embed="rId22">
                      <a:extLst>
                        <a:ext uri="{28A0092B-C50C-407E-A947-70E740481C1C}">
                          <a14:useLocalDpi xmlns:a14="http://schemas.microsoft.com/office/drawing/2010/main" val="0"/>
                        </a:ext>
                      </a:extLst>
                    </a:blip>
                    <a:stretch>
                      <a:fillRect/>
                    </a:stretch>
                  </pic:blipFill>
                  <pic:spPr>
                    <a:xfrm>
                      <a:off x="0" y="0"/>
                      <a:ext cx="4167503" cy="2499123"/>
                    </a:xfrm>
                    <a:prstGeom prst="rect">
                      <a:avLst/>
                    </a:prstGeom>
                  </pic:spPr>
                </pic:pic>
              </a:graphicData>
            </a:graphic>
          </wp:inline>
        </w:drawing>
      </w:r>
    </w:p>
    <w:p w14:paraId="5468D21A" w14:textId="390C911C" w:rsidR="00247F76" w:rsidRPr="00247F76" w:rsidRDefault="00247F76" w:rsidP="00227562">
      <w:pPr>
        <w:pStyle w:val="NormalWeb"/>
        <w:shd w:val="clear" w:color="auto" w:fill="FFFFFF"/>
        <w:jc w:val="center"/>
        <w:rPr>
          <w:rFonts w:ascii="Gill Sans MT" w:hAnsi="Gill Sans MT"/>
          <w:sz w:val="20"/>
          <w:szCs w:val="20"/>
        </w:rPr>
      </w:pPr>
      <w:r w:rsidRPr="00247F76">
        <w:rPr>
          <w:rFonts w:ascii="Gill Sans MT" w:hAnsi="Gill Sans MT"/>
          <w:b/>
          <w:bCs/>
          <w:sz w:val="20"/>
          <w:szCs w:val="20"/>
        </w:rPr>
        <w:t xml:space="preserve">Fig. </w:t>
      </w:r>
      <w:r w:rsidR="00547778">
        <w:rPr>
          <w:rFonts w:ascii="Gill Sans MT" w:hAnsi="Gill Sans MT"/>
          <w:b/>
          <w:bCs/>
          <w:sz w:val="20"/>
          <w:szCs w:val="20"/>
        </w:rPr>
        <w:t>1</w:t>
      </w:r>
      <w:r w:rsidR="0077104A">
        <w:rPr>
          <w:rFonts w:ascii="Gill Sans MT" w:hAnsi="Gill Sans MT"/>
          <w:b/>
          <w:bCs/>
          <w:sz w:val="20"/>
          <w:szCs w:val="20"/>
        </w:rPr>
        <w:t>0</w:t>
      </w:r>
      <w:r w:rsidRPr="00247F76">
        <w:rPr>
          <w:rFonts w:ascii="Gill Sans MT" w:hAnsi="Gill Sans MT"/>
          <w:b/>
          <w:bCs/>
          <w:sz w:val="20"/>
          <w:szCs w:val="20"/>
        </w:rPr>
        <w:t>.</w:t>
      </w:r>
      <w:r w:rsidRPr="00247F76">
        <w:rPr>
          <w:rFonts w:ascii="Gill Sans MT" w:hAnsi="Gill Sans MT"/>
          <w:sz w:val="20"/>
          <w:szCs w:val="20"/>
        </w:rPr>
        <w:t xml:space="preserve"> Sustainable Investment Growth by Region</w:t>
      </w:r>
      <w:r w:rsidRPr="0008690A">
        <w:rPr>
          <w:rFonts w:ascii="Gill Sans MT" w:hAnsi="Gill Sans MT"/>
          <w:sz w:val="20"/>
          <w:szCs w:val="20"/>
        </w:rPr>
        <w:br/>
      </w:r>
      <w:r w:rsidRPr="00247F76">
        <w:rPr>
          <w:rFonts w:ascii="Gill Sans MT" w:hAnsi="Gill Sans MT"/>
          <w:sz w:val="20"/>
          <w:szCs w:val="20"/>
        </w:rPr>
        <w:t>(Global Sustainable Investment Alliance, 2018)</w:t>
      </w:r>
    </w:p>
    <w:p w14:paraId="545102B1" w14:textId="1947F0B5" w:rsidR="00247F76" w:rsidRPr="00247F76" w:rsidRDefault="00743B27" w:rsidP="00227562">
      <w:pPr>
        <w:pStyle w:val="NormalWeb"/>
        <w:shd w:val="clear" w:color="auto" w:fill="FFFFFF"/>
        <w:rPr>
          <w:rFonts w:ascii="Gill Sans MT" w:hAnsi="Gill Sans MT"/>
        </w:rPr>
      </w:pPr>
      <w:r w:rsidRPr="0008690A">
        <w:rPr>
          <w:rFonts w:ascii="Gill Sans MT" w:hAnsi="Gill Sans MT"/>
          <w:noProof/>
        </w:rPr>
        <w:drawing>
          <wp:inline distT="0" distB="0" distL="0" distR="0" wp14:anchorId="55DF1059" wp14:editId="77EA094C">
            <wp:extent cx="5756275" cy="1270000"/>
            <wp:effectExtent l="0" t="0" r="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 2020-07-01 at 16.45.53.png"/>
                    <pic:cNvPicPr/>
                  </pic:nvPicPr>
                  <pic:blipFill>
                    <a:blip r:embed="rId23">
                      <a:extLst>
                        <a:ext uri="{28A0092B-C50C-407E-A947-70E740481C1C}">
                          <a14:useLocalDpi xmlns:a14="http://schemas.microsoft.com/office/drawing/2010/main" val="0"/>
                        </a:ext>
                      </a:extLst>
                    </a:blip>
                    <a:stretch>
                      <a:fillRect/>
                    </a:stretch>
                  </pic:blipFill>
                  <pic:spPr>
                    <a:xfrm>
                      <a:off x="0" y="0"/>
                      <a:ext cx="5756275" cy="1270000"/>
                    </a:xfrm>
                    <a:prstGeom prst="rect">
                      <a:avLst/>
                    </a:prstGeom>
                  </pic:spPr>
                </pic:pic>
              </a:graphicData>
            </a:graphic>
          </wp:inline>
        </w:drawing>
      </w:r>
    </w:p>
    <w:p w14:paraId="4F9255D0" w14:textId="378D09CD" w:rsidR="00247F76" w:rsidRPr="00247F76" w:rsidRDefault="00247F76" w:rsidP="00227562">
      <w:pPr>
        <w:pStyle w:val="NormalWeb"/>
        <w:shd w:val="clear" w:color="auto" w:fill="FFFFFF"/>
        <w:jc w:val="center"/>
        <w:rPr>
          <w:rFonts w:ascii="Gill Sans MT" w:hAnsi="Gill Sans MT"/>
          <w:sz w:val="20"/>
          <w:szCs w:val="20"/>
        </w:rPr>
      </w:pPr>
      <w:r w:rsidRPr="00247F76">
        <w:rPr>
          <w:rFonts w:ascii="Gill Sans MT" w:hAnsi="Gill Sans MT"/>
          <w:b/>
          <w:bCs/>
          <w:sz w:val="20"/>
          <w:szCs w:val="20"/>
        </w:rPr>
        <w:t xml:space="preserve">Fig. </w:t>
      </w:r>
      <w:r w:rsidR="00E346F0">
        <w:rPr>
          <w:rFonts w:ascii="Gill Sans MT" w:hAnsi="Gill Sans MT"/>
          <w:b/>
          <w:bCs/>
          <w:sz w:val="20"/>
          <w:szCs w:val="20"/>
        </w:rPr>
        <w:t>1</w:t>
      </w:r>
      <w:r w:rsidR="0077104A">
        <w:rPr>
          <w:rFonts w:ascii="Gill Sans MT" w:hAnsi="Gill Sans MT"/>
          <w:b/>
          <w:bCs/>
          <w:sz w:val="20"/>
          <w:szCs w:val="20"/>
        </w:rPr>
        <w:t>1</w:t>
      </w:r>
      <w:r w:rsidRPr="00247F76">
        <w:rPr>
          <w:rFonts w:ascii="Gill Sans MT" w:hAnsi="Gill Sans MT"/>
          <w:b/>
          <w:bCs/>
          <w:sz w:val="20"/>
          <w:szCs w:val="20"/>
        </w:rPr>
        <w:t>.</w:t>
      </w:r>
      <w:r w:rsidRPr="00247F76">
        <w:rPr>
          <w:rFonts w:ascii="Gill Sans MT" w:hAnsi="Gill Sans MT"/>
          <w:sz w:val="20"/>
          <w:szCs w:val="20"/>
        </w:rPr>
        <w:t xml:space="preserve"> Sustainable Investment Growth by Strategy</w:t>
      </w:r>
      <w:r w:rsidR="00EF5E11" w:rsidRPr="0008690A">
        <w:rPr>
          <w:rFonts w:ascii="Gill Sans MT" w:hAnsi="Gill Sans MT"/>
          <w:sz w:val="20"/>
          <w:szCs w:val="20"/>
        </w:rPr>
        <w:br/>
      </w:r>
      <w:r w:rsidRPr="00247F76">
        <w:rPr>
          <w:rFonts w:ascii="Gill Sans MT" w:hAnsi="Gill Sans MT"/>
          <w:sz w:val="20"/>
          <w:szCs w:val="20"/>
        </w:rPr>
        <w:t>(Global Sustainable Investment Alliance, 2018)</w:t>
      </w:r>
    </w:p>
    <w:p w14:paraId="6B419B99" w14:textId="77777777" w:rsidR="0066169C" w:rsidRDefault="0066169C">
      <w:pPr>
        <w:rPr>
          <w:rFonts w:ascii="Gill Sans MT" w:hAnsi="Gill Sans MT"/>
        </w:rPr>
      </w:pPr>
      <w:r>
        <w:rPr>
          <w:rFonts w:ascii="Gill Sans MT" w:hAnsi="Gill Sans MT"/>
        </w:rPr>
        <w:br w:type="page"/>
      </w:r>
    </w:p>
    <w:p w14:paraId="5E50A254" w14:textId="4C1DE278" w:rsidR="00852616" w:rsidRDefault="00852616">
      <w:pPr>
        <w:rPr>
          <w:rFonts w:ascii="Gill Sans MT" w:hAnsi="Gill Sans MT"/>
        </w:rPr>
      </w:pPr>
      <w:bookmarkStart w:id="2" w:name="_Toc34746525"/>
    </w:p>
    <w:p w14:paraId="6F8F39D2" w14:textId="2153F54E" w:rsidR="00247F76" w:rsidRPr="00247F76" w:rsidRDefault="00247F76" w:rsidP="00227562">
      <w:pPr>
        <w:pStyle w:val="NormalWeb"/>
        <w:shd w:val="clear" w:color="auto" w:fill="FFFFFF"/>
        <w:rPr>
          <w:rFonts w:ascii="Gill Sans MT" w:hAnsi="Gill Sans MT"/>
        </w:rPr>
      </w:pPr>
      <w:r w:rsidRPr="00247F76">
        <w:rPr>
          <w:rFonts w:ascii="Gill Sans MT" w:hAnsi="Gill Sans MT"/>
        </w:rPr>
        <w:t xml:space="preserve">Appendix Two – Performance of All </w:t>
      </w:r>
      <w:r w:rsidR="00196B7D">
        <w:rPr>
          <w:rFonts w:ascii="Gill Sans MT" w:hAnsi="Gill Sans MT"/>
        </w:rPr>
        <w:t>Indices</w:t>
      </w:r>
      <w:bookmarkEnd w:id="2"/>
    </w:p>
    <w:p w14:paraId="64AA29D1" w14:textId="0AAA5E44" w:rsidR="00247F76" w:rsidRPr="00247F76" w:rsidRDefault="00743B27" w:rsidP="00227562">
      <w:pPr>
        <w:pStyle w:val="NormalWeb"/>
        <w:shd w:val="clear" w:color="auto" w:fill="FFFFFF"/>
        <w:rPr>
          <w:rFonts w:ascii="Gill Sans MT" w:hAnsi="Gill Sans MT"/>
        </w:rPr>
      </w:pPr>
      <w:r w:rsidRPr="0008690A">
        <w:rPr>
          <w:rFonts w:ascii="Gill Sans MT" w:hAnsi="Gill Sans MT"/>
          <w:noProof/>
        </w:rPr>
        <w:drawing>
          <wp:inline distT="0" distB="0" distL="0" distR="0" wp14:anchorId="5421C253" wp14:editId="352A28BA">
            <wp:extent cx="2634440" cy="2466754"/>
            <wp:effectExtent l="0" t="0" r="0" b="0"/>
            <wp:docPr id="73" name="Picture 7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 2020-07-01 at 16.47.34.png"/>
                    <pic:cNvPicPr/>
                  </pic:nvPicPr>
                  <pic:blipFill>
                    <a:blip r:embed="rId24">
                      <a:extLst>
                        <a:ext uri="{28A0092B-C50C-407E-A947-70E740481C1C}">
                          <a14:useLocalDpi xmlns:a14="http://schemas.microsoft.com/office/drawing/2010/main" val="0"/>
                        </a:ext>
                      </a:extLst>
                    </a:blip>
                    <a:stretch>
                      <a:fillRect/>
                    </a:stretch>
                  </pic:blipFill>
                  <pic:spPr>
                    <a:xfrm>
                      <a:off x="0" y="0"/>
                      <a:ext cx="2658662" cy="2489434"/>
                    </a:xfrm>
                    <a:prstGeom prst="rect">
                      <a:avLst/>
                    </a:prstGeom>
                  </pic:spPr>
                </pic:pic>
              </a:graphicData>
            </a:graphic>
          </wp:inline>
        </w:drawing>
      </w:r>
      <w:r w:rsidRPr="0008690A">
        <w:rPr>
          <w:rFonts w:ascii="Gill Sans MT" w:hAnsi="Gill Sans MT"/>
          <w:noProof/>
        </w:rPr>
        <w:drawing>
          <wp:inline distT="0" distB="0" distL="0" distR="0" wp14:anchorId="31BCADE5" wp14:editId="54D67FB4">
            <wp:extent cx="3094074" cy="2485499"/>
            <wp:effectExtent l="0" t="0" r="5080" b="3810"/>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 2020-07-01 at 16.48.03.png"/>
                    <pic:cNvPicPr/>
                  </pic:nvPicPr>
                  <pic:blipFill>
                    <a:blip r:embed="rId25">
                      <a:extLst>
                        <a:ext uri="{28A0092B-C50C-407E-A947-70E740481C1C}">
                          <a14:useLocalDpi xmlns:a14="http://schemas.microsoft.com/office/drawing/2010/main" val="0"/>
                        </a:ext>
                      </a:extLst>
                    </a:blip>
                    <a:stretch>
                      <a:fillRect/>
                    </a:stretch>
                  </pic:blipFill>
                  <pic:spPr>
                    <a:xfrm>
                      <a:off x="0" y="0"/>
                      <a:ext cx="3120953" cy="2507091"/>
                    </a:xfrm>
                    <a:prstGeom prst="rect">
                      <a:avLst/>
                    </a:prstGeom>
                  </pic:spPr>
                </pic:pic>
              </a:graphicData>
            </a:graphic>
          </wp:inline>
        </w:drawing>
      </w:r>
    </w:p>
    <w:p w14:paraId="48264BA2" w14:textId="62005784" w:rsidR="00247F76" w:rsidRDefault="00247F76" w:rsidP="00227562">
      <w:pPr>
        <w:pStyle w:val="NormalWeb"/>
        <w:shd w:val="clear" w:color="auto" w:fill="FFFFFF"/>
        <w:jc w:val="center"/>
        <w:rPr>
          <w:rFonts w:ascii="Gill Sans MT" w:hAnsi="Gill Sans MT"/>
          <w:sz w:val="20"/>
          <w:szCs w:val="20"/>
        </w:rPr>
      </w:pPr>
      <w:r w:rsidRPr="00247F76">
        <w:rPr>
          <w:rFonts w:ascii="Gill Sans MT" w:hAnsi="Gill Sans MT"/>
          <w:b/>
          <w:bCs/>
          <w:sz w:val="20"/>
          <w:szCs w:val="20"/>
        </w:rPr>
        <w:t xml:space="preserve">Fig. </w:t>
      </w:r>
      <w:r w:rsidR="00547778">
        <w:rPr>
          <w:rFonts w:ascii="Gill Sans MT" w:hAnsi="Gill Sans MT"/>
          <w:b/>
          <w:bCs/>
          <w:sz w:val="20"/>
          <w:szCs w:val="20"/>
        </w:rPr>
        <w:t>1</w:t>
      </w:r>
      <w:r w:rsidR="0077104A">
        <w:rPr>
          <w:rFonts w:ascii="Gill Sans MT" w:hAnsi="Gill Sans MT"/>
          <w:b/>
          <w:bCs/>
          <w:sz w:val="20"/>
          <w:szCs w:val="20"/>
        </w:rPr>
        <w:t>2</w:t>
      </w:r>
      <w:r w:rsidRPr="00247F76">
        <w:rPr>
          <w:rFonts w:ascii="Gill Sans MT" w:hAnsi="Gill Sans MT"/>
          <w:b/>
          <w:bCs/>
          <w:sz w:val="20"/>
          <w:szCs w:val="20"/>
        </w:rPr>
        <w:t>.</w:t>
      </w:r>
      <w:r w:rsidRPr="00247F76">
        <w:rPr>
          <w:rFonts w:ascii="Gill Sans MT" w:hAnsi="Gill Sans MT"/>
          <w:sz w:val="20"/>
          <w:szCs w:val="20"/>
        </w:rPr>
        <w:t xml:space="preserve"> Year on Year and Total Returns of all </w:t>
      </w:r>
      <w:r w:rsidR="00196B7D">
        <w:rPr>
          <w:rFonts w:ascii="Gill Sans MT" w:hAnsi="Gill Sans MT"/>
          <w:sz w:val="20"/>
          <w:szCs w:val="20"/>
        </w:rPr>
        <w:t>Indices</w:t>
      </w:r>
      <w:r w:rsidR="00EF5E11" w:rsidRPr="0008690A">
        <w:rPr>
          <w:rFonts w:ascii="Gill Sans MT" w:hAnsi="Gill Sans MT"/>
          <w:sz w:val="20"/>
          <w:szCs w:val="20"/>
        </w:rPr>
        <w:br/>
      </w:r>
      <w:r w:rsidRPr="00247F76">
        <w:rPr>
          <w:rFonts w:ascii="Gill Sans MT" w:hAnsi="Gill Sans MT"/>
          <w:sz w:val="20"/>
          <w:szCs w:val="20"/>
        </w:rPr>
        <w:t>(Bloomberg Terminal, 2020)</w:t>
      </w:r>
    </w:p>
    <w:p w14:paraId="3150C3A6" w14:textId="77777777" w:rsidR="00852616" w:rsidRPr="00247F76" w:rsidRDefault="00852616" w:rsidP="00227562">
      <w:pPr>
        <w:pStyle w:val="NormalWeb"/>
        <w:shd w:val="clear" w:color="auto" w:fill="FFFFFF"/>
        <w:jc w:val="center"/>
        <w:rPr>
          <w:rFonts w:ascii="Gill Sans MT" w:hAnsi="Gill Sans MT"/>
          <w:sz w:val="20"/>
          <w:szCs w:val="20"/>
        </w:rPr>
      </w:pPr>
    </w:p>
    <w:p w14:paraId="00304EC3" w14:textId="4FF41836" w:rsidR="00247F76" w:rsidRPr="00247F76" w:rsidRDefault="00247F76" w:rsidP="00227562">
      <w:pPr>
        <w:pStyle w:val="NormalWeb"/>
        <w:shd w:val="clear" w:color="auto" w:fill="FFFFFF"/>
        <w:rPr>
          <w:rFonts w:ascii="Gill Sans MT" w:hAnsi="Gill Sans MT"/>
        </w:rPr>
      </w:pPr>
      <w:bookmarkStart w:id="3" w:name="_Toc34746526"/>
      <w:r w:rsidRPr="00247F76">
        <w:rPr>
          <w:rFonts w:ascii="Gill Sans MT" w:hAnsi="Gill Sans MT"/>
        </w:rPr>
        <w:t xml:space="preserve">Appendix Three – Number of Constituents of all </w:t>
      </w:r>
      <w:r w:rsidR="00196B7D">
        <w:rPr>
          <w:rFonts w:ascii="Gill Sans MT" w:hAnsi="Gill Sans MT"/>
        </w:rPr>
        <w:t>Indices</w:t>
      </w:r>
      <w:bookmarkEnd w:id="3"/>
    </w:p>
    <w:p w14:paraId="584A3833" w14:textId="5E42C4F1" w:rsidR="00247F76" w:rsidRPr="00247F76" w:rsidRDefault="005D2692" w:rsidP="00227562">
      <w:pPr>
        <w:pStyle w:val="NormalWeb"/>
        <w:shd w:val="clear" w:color="auto" w:fill="FFFFFF"/>
        <w:jc w:val="center"/>
        <w:rPr>
          <w:rFonts w:ascii="Gill Sans MT" w:hAnsi="Gill Sans MT"/>
        </w:rPr>
      </w:pPr>
      <w:r w:rsidRPr="0008690A">
        <w:rPr>
          <w:rFonts w:ascii="Gill Sans MT" w:hAnsi="Gill Sans MT"/>
          <w:noProof/>
        </w:rPr>
        <w:drawing>
          <wp:inline distT="0" distB="0" distL="0" distR="0" wp14:anchorId="373884BA" wp14:editId="38C71D2C">
            <wp:extent cx="2604977" cy="1560273"/>
            <wp:effectExtent l="0" t="0" r="0" b="1905"/>
            <wp:docPr id="69" name="Picture 6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 2020-07-01 at 16.40.49.png"/>
                    <pic:cNvPicPr/>
                  </pic:nvPicPr>
                  <pic:blipFill>
                    <a:blip r:embed="rId26">
                      <a:extLst>
                        <a:ext uri="{28A0092B-C50C-407E-A947-70E740481C1C}">
                          <a14:useLocalDpi xmlns:a14="http://schemas.microsoft.com/office/drawing/2010/main" val="0"/>
                        </a:ext>
                      </a:extLst>
                    </a:blip>
                    <a:stretch>
                      <a:fillRect/>
                    </a:stretch>
                  </pic:blipFill>
                  <pic:spPr>
                    <a:xfrm>
                      <a:off x="0" y="0"/>
                      <a:ext cx="2617284" cy="1567644"/>
                    </a:xfrm>
                    <a:prstGeom prst="rect">
                      <a:avLst/>
                    </a:prstGeom>
                  </pic:spPr>
                </pic:pic>
              </a:graphicData>
            </a:graphic>
          </wp:inline>
        </w:drawing>
      </w:r>
    </w:p>
    <w:p w14:paraId="6365A29E" w14:textId="69820862" w:rsidR="00247F76" w:rsidRPr="00247F76" w:rsidRDefault="00247F76" w:rsidP="00227562">
      <w:pPr>
        <w:pStyle w:val="NormalWeb"/>
        <w:shd w:val="clear" w:color="auto" w:fill="FFFFFF"/>
        <w:jc w:val="center"/>
        <w:rPr>
          <w:rFonts w:ascii="Gill Sans MT" w:hAnsi="Gill Sans MT"/>
          <w:sz w:val="20"/>
          <w:szCs w:val="20"/>
        </w:rPr>
      </w:pPr>
      <w:r w:rsidRPr="00247F76">
        <w:rPr>
          <w:rFonts w:ascii="Gill Sans MT" w:hAnsi="Gill Sans MT"/>
          <w:b/>
          <w:bCs/>
          <w:sz w:val="20"/>
          <w:szCs w:val="20"/>
        </w:rPr>
        <w:t xml:space="preserve">Fig. </w:t>
      </w:r>
      <w:r w:rsidR="00547778">
        <w:rPr>
          <w:rFonts w:ascii="Gill Sans MT" w:hAnsi="Gill Sans MT"/>
          <w:b/>
          <w:bCs/>
          <w:sz w:val="20"/>
          <w:szCs w:val="20"/>
        </w:rPr>
        <w:t>1</w:t>
      </w:r>
      <w:r w:rsidR="0077104A">
        <w:rPr>
          <w:rFonts w:ascii="Gill Sans MT" w:hAnsi="Gill Sans MT"/>
          <w:b/>
          <w:bCs/>
          <w:sz w:val="20"/>
          <w:szCs w:val="20"/>
        </w:rPr>
        <w:t>3</w:t>
      </w:r>
      <w:r w:rsidRPr="00247F76">
        <w:rPr>
          <w:rFonts w:ascii="Gill Sans MT" w:hAnsi="Gill Sans MT"/>
          <w:b/>
          <w:bCs/>
          <w:sz w:val="20"/>
          <w:szCs w:val="20"/>
        </w:rPr>
        <w:t>.</w:t>
      </w:r>
      <w:r w:rsidRPr="00247F76">
        <w:rPr>
          <w:rFonts w:ascii="Gill Sans MT" w:hAnsi="Gill Sans MT"/>
          <w:sz w:val="20"/>
          <w:szCs w:val="20"/>
        </w:rPr>
        <w:t xml:space="preserve"> Number of Constituents from all </w:t>
      </w:r>
      <w:r w:rsidR="00196B7D">
        <w:rPr>
          <w:rFonts w:ascii="Gill Sans MT" w:hAnsi="Gill Sans MT"/>
          <w:sz w:val="20"/>
          <w:szCs w:val="20"/>
        </w:rPr>
        <w:t>Indices</w:t>
      </w:r>
      <w:r w:rsidR="00EF5E11" w:rsidRPr="0008690A">
        <w:rPr>
          <w:rFonts w:ascii="Gill Sans MT" w:hAnsi="Gill Sans MT"/>
          <w:sz w:val="20"/>
          <w:szCs w:val="20"/>
        </w:rPr>
        <w:br/>
      </w:r>
      <w:r w:rsidRPr="00247F76">
        <w:rPr>
          <w:rFonts w:ascii="Gill Sans MT" w:hAnsi="Gill Sans MT"/>
          <w:sz w:val="20"/>
          <w:szCs w:val="20"/>
        </w:rPr>
        <w:t>(Bloomberg Terminal, 2020)</w:t>
      </w:r>
    </w:p>
    <w:p w14:paraId="78D7F729" w14:textId="77777777" w:rsidR="0066169C" w:rsidRDefault="0066169C">
      <w:pPr>
        <w:rPr>
          <w:rFonts w:ascii="Gill Sans MT" w:hAnsi="Gill Sans MT"/>
        </w:rPr>
      </w:pPr>
      <w:r>
        <w:rPr>
          <w:rFonts w:ascii="Gill Sans MT" w:hAnsi="Gill Sans MT"/>
        </w:rPr>
        <w:br w:type="page"/>
      </w:r>
    </w:p>
    <w:p w14:paraId="6B37151D" w14:textId="3185E611" w:rsidR="0066169C" w:rsidRDefault="0066169C" w:rsidP="0066169C">
      <w:pPr>
        <w:pStyle w:val="NormalWeb"/>
        <w:shd w:val="clear" w:color="auto" w:fill="FFFFFF"/>
        <w:rPr>
          <w:rFonts w:ascii="Gill Sans MT" w:hAnsi="Gill Sans MT"/>
        </w:rPr>
      </w:pPr>
      <w:r w:rsidRPr="00247F76">
        <w:rPr>
          <w:rFonts w:ascii="Gill Sans MT" w:hAnsi="Gill Sans MT"/>
        </w:rPr>
        <w:lastRenderedPageBreak/>
        <w:t xml:space="preserve">Appendix </w:t>
      </w:r>
      <w:r>
        <w:rPr>
          <w:rFonts w:ascii="Gill Sans MT" w:hAnsi="Gill Sans MT"/>
        </w:rPr>
        <w:t>four</w:t>
      </w:r>
      <w:r w:rsidRPr="00247F76">
        <w:rPr>
          <w:rFonts w:ascii="Gill Sans MT" w:hAnsi="Gill Sans MT"/>
        </w:rPr>
        <w:t xml:space="preserve"> – </w:t>
      </w:r>
      <w:r>
        <w:rPr>
          <w:rFonts w:ascii="Gill Sans MT" w:hAnsi="Gill Sans MT"/>
        </w:rPr>
        <w:t>Standard Deviations of all Indices</w:t>
      </w:r>
    </w:p>
    <w:p w14:paraId="3B31E249" w14:textId="77777777" w:rsidR="0066169C" w:rsidRPr="007215CF" w:rsidRDefault="0066169C" w:rsidP="0066169C">
      <w:pPr>
        <w:pStyle w:val="NormalWeb"/>
        <w:shd w:val="clear" w:color="auto" w:fill="FFFFFF"/>
        <w:jc w:val="center"/>
        <w:rPr>
          <w:rFonts w:ascii="Gill Sans MT" w:hAnsi="Gill Sans MT"/>
          <w:b/>
          <w:bCs/>
          <w:sz w:val="22"/>
          <w:szCs w:val="22"/>
        </w:rPr>
      </w:pPr>
      <w:r w:rsidRPr="0008690A">
        <w:rPr>
          <w:rFonts w:ascii="Gill Sans MT" w:hAnsi="Gill Sans MT"/>
          <w:b/>
          <w:bCs/>
          <w:noProof/>
          <w:sz w:val="22"/>
          <w:szCs w:val="22"/>
        </w:rPr>
        <w:drawing>
          <wp:inline distT="0" distB="0" distL="0" distR="0" wp14:anchorId="6663733B" wp14:editId="1048889C">
            <wp:extent cx="5756275" cy="2698750"/>
            <wp:effectExtent l="0" t="0" r="0" b="6350"/>
            <wp:docPr id="75" name="Picture 7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 2020-07-01 at 16.49.46.png"/>
                    <pic:cNvPicPr/>
                  </pic:nvPicPr>
                  <pic:blipFill>
                    <a:blip r:embed="rId27">
                      <a:extLst>
                        <a:ext uri="{28A0092B-C50C-407E-A947-70E740481C1C}">
                          <a14:useLocalDpi xmlns:a14="http://schemas.microsoft.com/office/drawing/2010/main" val="0"/>
                        </a:ext>
                      </a:extLst>
                    </a:blip>
                    <a:stretch>
                      <a:fillRect/>
                    </a:stretch>
                  </pic:blipFill>
                  <pic:spPr>
                    <a:xfrm>
                      <a:off x="0" y="0"/>
                      <a:ext cx="5756275" cy="2698750"/>
                    </a:xfrm>
                    <a:prstGeom prst="rect">
                      <a:avLst/>
                    </a:prstGeom>
                  </pic:spPr>
                </pic:pic>
              </a:graphicData>
            </a:graphic>
          </wp:inline>
        </w:drawing>
      </w:r>
    </w:p>
    <w:p w14:paraId="03C2E1F7" w14:textId="5F2C5861" w:rsidR="0066169C" w:rsidRPr="007215CF" w:rsidRDefault="0066169C" w:rsidP="0066169C">
      <w:pPr>
        <w:pStyle w:val="NormalWeb"/>
        <w:shd w:val="clear" w:color="auto" w:fill="FFFFFF"/>
        <w:jc w:val="center"/>
        <w:rPr>
          <w:rFonts w:ascii="Gill Sans MT" w:hAnsi="Gill Sans MT"/>
          <w:sz w:val="20"/>
          <w:szCs w:val="20"/>
        </w:rPr>
      </w:pPr>
      <w:bookmarkStart w:id="4" w:name="OLE_LINK2"/>
      <w:r w:rsidRPr="007215CF">
        <w:rPr>
          <w:rFonts w:ascii="Gill Sans MT" w:hAnsi="Gill Sans MT"/>
          <w:b/>
          <w:bCs/>
          <w:sz w:val="20"/>
          <w:szCs w:val="20"/>
        </w:rPr>
        <w:t xml:space="preserve">Fig. </w:t>
      </w:r>
      <w:r w:rsidR="0077104A">
        <w:rPr>
          <w:rFonts w:ascii="Gill Sans MT" w:hAnsi="Gill Sans MT"/>
          <w:b/>
          <w:bCs/>
          <w:sz w:val="20"/>
          <w:szCs w:val="20"/>
        </w:rPr>
        <w:t>14</w:t>
      </w:r>
      <w:r w:rsidRPr="007215CF">
        <w:rPr>
          <w:rFonts w:ascii="Gill Sans MT" w:hAnsi="Gill Sans MT"/>
          <w:b/>
          <w:bCs/>
          <w:sz w:val="20"/>
          <w:szCs w:val="20"/>
        </w:rPr>
        <w:t>.</w:t>
      </w:r>
      <w:r w:rsidRPr="007215CF">
        <w:rPr>
          <w:rFonts w:ascii="Gill Sans MT" w:hAnsi="Gill Sans MT"/>
          <w:sz w:val="20"/>
          <w:szCs w:val="20"/>
        </w:rPr>
        <w:t xml:space="preserve"> Daily and Annualised Standard Deviations of all </w:t>
      </w:r>
      <w:r>
        <w:rPr>
          <w:rFonts w:ascii="Gill Sans MT" w:hAnsi="Gill Sans MT"/>
          <w:sz w:val="20"/>
          <w:szCs w:val="20"/>
        </w:rPr>
        <w:t>Indices</w:t>
      </w:r>
      <w:r w:rsidRPr="0008690A">
        <w:rPr>
          <w:rFonts w:ascii="Gill Sans MT" w:hAnsi="Gill Sans MT"/>
          <w:sz w:val="20"/>
          <w:szCs w:val="20"/>
        </w:rPr>
        <w:br/>
      </w:r>
      <w:r w:rsidRPr="007215CF">
        <w:rPr>
          <w:rFonts w:ascii="Gill Sans MT" w:hAnsi="Gill Sans MT"/>
          <w:sz w:val="20"/>
          <w:szCs w:val="20"/>
        </w:rPr>
        <w:t>(Bloomberg Terminal, 2020)</w:t>
      </w:r>
      <w:bookmarkEnd w:id="4"/>
    </w:p>
    <w:p w14:paraId="53DC22FE" w14:textId="77777777" w:rsidR="00C7325F" w:rsidRPr="0008690A" w:rsidRDefault="00C7325F" w:rsidP="00227562">
      <w:pPr>
        <w:pStyle w:val="NormalWeb"/>
        <w:shd w:val="clear" w:color="auto" w:fill="FFFFFF"/>
        <w:rPr>
          <w:rFonts w:ascii="Gill Sans MT" w:hAnsi="Gill Sans MT"/>
        </w:rPr>
      </w:pPr>
    </w:p>
    <w:p w14:paraId="72F38135" w14:textId="77777777" w:rsidR="00C7325F" w:rsidRPr="0008690A" w:rsidRDefault="00C7325F" w:rsidP="00227562">
      <w:pPr>
        <w:rPr>
          <w:rFonts w:ascii="Gill Sans MT" w:hAnsi="Gill Sans MT"/>
        </w:rPr>
      </w:pPr>
    </w:p>
    <w:sectPr w:rsidR="00C7325F" w:rsidRPr="0008690A" w:rsidSect="008132F6">
      <w:footerReference w:type="even" r:id="rId28"/>
      <w:footerReference w:type="default" r:id="rId29"/>
      <w:pgSz w:w="11900" w:h="16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7EE37" w14:textId="77777777" w:rsidR="00F24B93" w:rsidRDefault="00F24B93" w:rsidP="00C7325F">
      <w:r>
        <w:separator/>
      </w:r>
    </w:p>
  </w:endnote>
  <w:endnote w:type="continuationSeparator" w:id="0">
    <w:p w14:paraId="09153E74" w14:textId="77777777" w:rsidR="00F24B93" w:rsidRDefault="00F24B93" w:rsidP="00C7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1082433"/>
      <w:docPartObj>
        <w:docPartGallery w:val="Page Numbers (Bottom of Page)"/>
        <w:docPartUnique/>
      </w:docPartObj>
    </w:sdtPr>
    <w:sdtEndPr>
      <w:rPr>
        <w:rStyle w:val="PageNumber"/>
      </w:rPr>
    </w:sdtEndPr>
    <w:sdtContent>
      <w:p w14:paraId="68A9CCFA" w14:textId="32F7ED06" w:rsidR="00C7325F" w:rsidRDefault="00C7325F" w:rsidP="008B47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1D5DF2" w14:textId="77777777" w:rsidR="00C7325F" w:rsidRDefault="00C7325F" w:rsidP="00C732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Gill Sans MT" w:hAnsi="Gill Sans MT"/>
        <w:sz w:val="20"/>
        <w:szCs w:val="20"/>
      </w:rPr>
      <w:id w:val="1253396119"/>
      <w:docPartObj>
        <w:docPartGallery w:val="Page Numbers (Bottom of Page)"/>
        <w:docPartUnique/>
      </w:docPartObj>
    </w:sdtPr>
    <w:sdtEndPr>
      <w:rPr>
        <w:rStyle w:val="PageNumber"/>
      </w:rPr>
    </w:sdtEndPr>
    <w:sdtContent>
      <w:p w14:paraId="38CBB695" w14:textId="4910CFB2" w:rsidR="00C7325F" w:rsidRPr="00227562" w:rsidRDefault="00C7325F" w:rsidP="00227562">
        <w:pPr>
          <w:pStyle w:val="Footer"/>
          <w:framePr w:wrap="none" w:vAnchor="text" w:hAnchor="page" w:x="10381" w:y="5"/>
          <w:rPr>
            <w:rStyle w:val="PageNumber"/>
            <w:rFonts w:ascii="Gill Sans MT" w:hAnsi="Gill Sans MT"/>
            <w:sz w:val="20"/>
            <w:szCs w:val="20"/>
          </w:rPr>
        </w:pPr>
        <w:r w:rsidRPr="00227562">
          <w:rPr>
            <w:rStyle w:val="PageNumber"/>
            <w:rFonts w:ascii="Gill Sans MT" w:hAnsi="Gill Sans MT"/>
            <w:sz w:val="20"/>
            <w:szCs w:val="20"/>
          </w:rPr>
          <w:fldChar w:fldCharType="begin"/>
        </w:r>
        <w:r w:rsidRPr="00227562">
          <w:rPr>
            <w:rStyle w:val="PageNumber"/>
            <w:rFonts w:ascii="Gill Sans MT" w:hAnsi="Gill Sans MT"/>
            <w:sz w:val="20"/>
            <w:szCs w:val="20"/>
          </w:rPr>
          <w:instrText xml:space="preserve"> PAGE </w:instrText>
        </w:r>
        <w:r w:rsidRPr="00227562">
          <w:rPr>
            <w:rStyle w:val="PageNumber"/>
            <w:rFonts w:ascii="Gill Sans MT" w:hAnsi="Gill Sans MT"/>
            <w:sz w:val="20"/>
            <w:szCs w:val="20"/>
          </w:rPr>
          <w:fldChar w:fldCharType="separate"/>
        </w:r>
        <w:r w:rsidRPr="00227562">
          <w:rPr>
            <w:rStyle w:val="PageNumber"/>
            <w:rFonts w:ascii="Gill Sans MT" w:hAnsi="Gill Sans MT"/>
            <w:noProof/>
            <w:sz w:val="20"/>
            <w:szCs w:val="20"/>
          </w:rPr>
          <w:t>1</w:t>
        </w:r>
        <w:r w:rsidRPr="00227562">
          <w:rPr>
            <w:rStyle w:val="PageNumber"/>
            <w:rFonts w:ascii="Gill Sans MT" w:hAnsi="Gill Sans MT"/>
            <w:sz w:val="20"/>
            <w:szCs w:val="20"/>
          </w:rPr>
          <w:fldChar w:fldCharType="end"/>
        </w:r>
      </w:p>
    </w:sdtContent>
  </w:sdt>
  <w:p w14:paraId="3A4D0BD5" w14:textId="77777777" w:rsidR="00C7325F" w:rsidRPr="008132F6" w:rsidRDefault="00C7325F" w:rsidP="00C7325F">
    <w:pPr>
      <w:pStyle w:val="Footer"/>
      <w:ind w:right="360"/>
      <w:rPr>
        <w:rFonts w:ascii="Gill Sans MT" w:hAnsi="Gill Sans MT"/>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B0429" w14:textId="77777777" w:rsidR="00F24B93" w:rsidRDefault="00F24B93" w:rsidP="00C7325F">
      <w:r>
        <w:separator/>
      </w:r>
    </w:p>
  </w:footnote>
  <w:footnote w:type="continuationSeparator" w:id="0">
    <w:p w14:paraId="604FAC40" w14:textId="77777777" w:rsidR="00F24B93" w:rsidRDefault="00F24B93" w:rsidP="00C73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A0AE1"/>
    <w:multiLevelType w:val="hybridMultilevel"/>
    <w:tmpl w:val="90AEEC56"/>
    <w:lvl w:ilvl="0" w:tplc="8C562BE6">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CE6F2C"/>
    <w:multiLevelType w:val="multilevel"/>
    <w:tmpl w:val="DF1605A8"/>
    <w:lvl w:ilvl="0">
      <w:start w:val="1"/>
      <w:numFmt w:val="decimal"/>
      <w:lvlText w:val="%1.0"/>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577F7481"/>
    <w:multiLevelType w:val="hybridMultilevel"/>
    <w:tmpl w:val="D5D60C2E"/>
    <w:lvl w:ilvl="0" w:tplc="9D1A7ED2">
      <w:start w:val="9"/>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654521"/>
    <w:multiLevelType w:val="hybridMultilevel"/>
    <w:tmpl w:val="907EC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E00E60"/>
    <w:multiLevelType w:val="hybridMultilevel"/>
    <w:tmpl w:val="7B1418A8"/>
    <w:lvl w:ilvl="0" w:tplc="C5E45CA4">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264B76"/>
    <w:multiLevelType w:val="hybridMultilevel"/>
    <w:tmpl w:val="CBECC6DE"/>
    <w:lvl w:ilvl="0" w:tplc="8AF8EDFE">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5F"/>
    <w:rsid w:val="000046A5"/>
    <w:rsid w:val="000139E2"/>
    <w:rsid w:val="00050275"/>
    <w:rsid w:val="00051FD4"/>
    <w:rsid w:val="0008690A"/>
    <w:rsid w:val="000A2414"/>
    <w:rsid w:val="000E6FFF"/>
    <w:rsid w:val="000F5B9F"/>
    <w:rsid w:val="00105CFE"/>
    <w:rsid w:val="001330A6"/>
    <w:rsid w:val="001404E8"/>
    <w:rsid w:val="00144DFC"/>
    <w:rsid w:val="00145F13"/>
    <w:rsid w:val="001549B6"/>
    <w:rsid w:val="00161C64"/>
    <w:rsid w:val="001640E8"/>
    <w:rsid w:val="00167F04"/>
    <w:rsid w:val="00196B7D"/>
    <w:rsid w:val="001A2D2E"/>
    <w:rsid w:val="001A7D1D"/>
    <w:rsid w:val="001D2FF3"/>
    <w:rsid w:val="001D66CD"/>
    <w:rsid w:val="00207BF6"/>
    <w:rsid w:val="00227562"/>
    <w:rsid w:val="00236945"/>
    <w:rsid w:val="002376DC"/>
    <w:rsid w:val="0024017A"/>
    <w:rsid w:val="00247F76"/>
    <w:rsid w:val="00254586"/>
    <w:rsid w:val="002832E6"/>
    <w:rsid w:val="00291812"/>
    <w:rsid w:val="0029401C"/>
    <w:rsid w:val="002C524B"/>
    <w:rsid w:val="002C7C20"/>
    <w:rsid w:val="002E44F1"/>
    <w:rsid w:val="002E75E6"/>
    <w:rsid w:val="002F3EBE"/>
    <w:rsid w:val="00315781"/>
    <w:rsid w:val="00336EAF"/>
    <w:rsid w:val="00343A8B"/>
    <w:rsid w:val="00344E5C"/>
    <w:rsid w:val="003544A5"/>
    <w:rsid w:val="003602B0"/>
    <w:rsid w:val="00363606"/>
    <w:rsid w:val="00363881"/>
    <w:rsid w:val="00366638"/>
    <w:rsid w:val="00371F2D"/>
    <w:rsid w:val="003764E0"/>
    <w:rsid w:val="00380A11"/>
    <w:rsid w:val="00382BD4"/>
    <w:rsid w:val="003C6B26"/>
    <w:rsid w:val="003D3F07"/>
    <w:rsid w:val="003E0651"/>
    <w:rsid w:val="003E0E61"/>
    <w:rsid w:val="00405756"/>
    <w:rsid w:val="004168FA"/>
    <w:rsid w:val="00422AAB"/>
    <w:rsid w:val="00453C46"/>
    <w:rsid w:val="00462ABA"/>
    <w:rsid w:val="00465146"/>
    <w:rsid w:val="00471403"/>
    <w:rsid w:val="00483B1E"/>
    <w:rsid w:val="00485E6C"/>
    <w:rsid w:val="004B3148"/>
    <w:rsid w:val="004B451E"/>
    <w:rsid w:val="004D24B6"/>
    <w:rsid w:val="004D6FC5"/>
    <w:rsid w:val="004E5A63"/>
    <w:rsid w:val="004F13A9"/>
    <w:rsid w:val="00501141"/>
    <w:rsid w:val="00501399"/>
    <w:rsid w:val="005147B0"/>
    <w:rsid w:val="00522800"/>
    <w:rsid w:val="00547778"/>
    <w:rsid w:val="00555491"/>
    <w:rsid w:val="005609A9"/>
    <w:rsid w:val="00562644"/>
    <w:rsid w:val="00564660"/>
    <w:rsid w:val="00572CB1"/>
    <w:rsid w:val="005A0E90"/>
    <w:rsid w:val="005B494C"/>
    <w:rsid w:val="005B5C19"/>
    <w:rsid w:val="005D2692"/>
    <w:rsid w:val="005E0610"/>
    <w:rsid w:val="005E0AC8"/>
    <w:rsid w:val="005E1B1F"/>
    <w:rsid w:val="00602441"/>
    <w:rsid w:val="00616392"/>
    <w:rsid w:val="0066169C"/>
    <w:rsid w:val="0068199A"/>
    <w:rsid w:val="00684DB4"/>
    <w:rsid w:val="006A70DC"/>
    <w:rsid w:val="006E2B5F"/>
    <w:rsid w:val="006E5243"/>
    <w:rsid w:val="006F125C"/>
    <w:rsid w:val="006F14B1"/>
    <w:rsid w:val="006F5B12"/>
    <w:rsid w:val="00701C17"/>
    <w:rsid w:val="007215CF"/>
    <w:rsid w:val="00721D0D"/>
    <w:rsid w:val="00743B27"/>
    <w:rsid w:val="00753E3E"/>
    <w:rsid w:val="007631FF"/>
    <w:rsid w:val="00764A27"/>
    <w:rsid w:val="0077104A"/>
    <w:rsid w:val="00780732"/>
    <w:rsid w:val="00785087"/>
    <w:rsid w:val="007961D6"/>
    <w:rsid w:val="007970E8"/>
    <w:rsid w:val="007974A5"/>
    <w:rsid w:val="007A25E4"/>
    <w:rsid w:val="007A2DE5"/>
    <w:rsid w:val="007B0EFA"/>
    <w:rsid w:val="007C4860"/>
    <w:rsid w:val="007C5C43"/>
    <w:rsid w:val="007D176E"/>
    <w:rsid w:val="008132F6"/>
    <w:rsid w:val="00817E37"/>
    <w:rsid w:val="008265EB"/>
    <w:rsid w:val="00827245"/>
    <w:rsid w:val="00831D97"/>
    <w:rsid w:val="00852616"/>
    <w:rsid w:val="00856647"/>
    <w:rsid w:val="008637E9"/>
    <w:rsid w:val="0086552F"/>
    <w:rsid w:val="00873FE9"/>
    <w:rsid w:val="008747DF"/>
    <w:rsid w:val="00881C3F"/>
    <w:rsid w:val="00883D1D"/>
    <w:rsid w:val="008E60E3"/>
    <w:rsid w:val="00914A76"/>
    <w:rsid w:val="00923522"/>
    <w:rsid w:val="00925CDF"/>
    <w:rsid w:val="00930152"/>
    <w:rsid w:val="0096726C"/>
    <w:rsid w:val="009A4A7B"/>
    <w:rsid w:val="009B75F6"/>
    <w:rsid w:val="009C02C6"/>
    <w:rsid w:val="009D63FC"/>
    <w:rsid w:val="009F4D2E"/>
    <w:rsid w:val="00A0519B"/>
    <w:rsid w:val="00A23714"/>
    <w:rsid w:val="00A24C6F"/>
    <w:rsid w:val="00A27139"/>
    <w:rsid w:val="00A2752B"/>
    <w:rsid w:val="00A332CA"/>
    <w:rsid w:val="00A70280"/>
    <w:rsid w:val="00A7141C"/>
    <w:rsid w:val="00A73714"/>
    <w:rsid w:val="00AC16FE"/>
    <w:rsid w:val="00AC4DC4"/>
    <w:rsid w:val="00AC6C29"/>
    <w:rsid w:val="00AC705D"/>
    <w:rsid w:val="00AC7B33"/>
    <w:rsid w:val="00AD79E7"/>
    <w:rsid w:val="00B00BC3"/>
    <w:rsid w:val="00B214AE"/>
    <w:rsid w:val="00B30132"/>
    <w:rsid w:val="00B507A6"/>
    <w:rsid w:val="00B56220"/>
    <w:rsid w:val="00B619DA"/>
    <w:rsid w:val="00B62813"/>
    <w:rsid w:val="00B83D17"/>
    <w:rsid w:val="00BA133E"/>
    <w:rsid w:val="00BC43A3"/>
    <w:rsid w:val="00BC51BE"/>
    <w:rsid w:val="00BD133A"/>
    <w:rsid w:val="00BD7F59"/>
    <w:rsid w:val="00BE30C3"/>
    <w:rsid w:val="00BF0A19"/>
    <w:rsid w:val="00C00644"/>
    <w:rsid w:val="00C03199"/>
    <w:rsid w:val="00C10908"/>
    <w:rsid w:val="00C30874"/>
    <w:rsid w:val="00C50E0C"/>
    <w:rsid w:val="00C534D0"/>
    <w:rsid w:val="00C62BCE"/>
    <w:rsid w:val="00C6451F"/>
    <w:rsid w:val="00C71116"/>
    <w:rsid w:val="00C7325F"/>
    <w:rsid w:val="00C75B22"/>
    <w:rsid w:val="00CC6F3F"/>
    <w:rsid w:val="00CC7F19"/>
    <w:rsid w:val="00CF74D0"/>
    <w:rsid w:val="00D01768"/>
    <w:rsid w:val="00D3301A"/>
    <w:rsid w:val="00D40215"/>
    <w:rsid w:val="00D51E37"/>
    <w:rsid w:val="00D5326A"/>
    <w:rsid w:val="00D558E8"/>
    <w:rsid w:val="00D618DC"/>
    <w:rsid w:val="00D73E5E"/>
    <w:rsid w:val="00D84E23"/>
    <w:rsid w:val="00DB5411"/>
    <w:rsid w:val="00DC0672"/>
    <w:rsid w:val="00DC42A4"/>
    <w:rsid w:val="00DD0C53"/>
    <w:rsid w:val="00DE21D2"/>
    <w:rsid w:val="00DE2C01"/>
    <w:rsid w:val="00DE3E2A"/>
    <w:rsid w:val="00E11E02"/>
    <w:rsid w:val="00E12AF7"/>
    <w:rsid w:val="00E23E89"/>
    <w:rsid w:val="00E30F4E"/>
    <w:rsid w:val="00E33EDC"/>
    <w:rsid w:val="00E346F0"/>
    <w:rsid w:val="00E43474"/>
    <w:rsid w:val="00E56605"/>
    <w:rsid w:val="00E65229"/>
    <w:rsid w:val="00E75D78"/>
    <w:rsid w:val="00ED5CFD"/>
    <w:rsid w:val="00EF5E11"/>
    <w:rsid w:val="00F03BA6"/>
    <w:rsid w:val="00F1220B"/>
    <w:rsid w:val="00F167F5"/>
    <w:rsid w:val="00F20767"/>
    <w:rsid w:val="00F24B93"/>
    <w:rsid w:val="00F307B0"/>
    <w:rsid w:val="00F34A92"/>
    <w:rsid w:val="00F5238A"/>
    <w:rsid w:val="00F57E65"/>
    <w:rsid w:val="00F729E3"/>
    <w:rsid w:val="00F767B6"/>
    <w:rsid w:val="00F81EC1"/>
    <w:rsid w:val="00F820E3"/>
    <w:rsid w:val="00F83305"/>
    <w:rsid w:val="00FB6FD0"/>
    <w:rsid w:val="00FC6248"/>
    <w:rsid w:val="00FE5E59"/>
    <w:rsid w:val="00FE6B72"/>
    <w:rsid w:val="00FE7214"/>
    <w:rsid w:val="00FF4CB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8F63"/>
  <w14:defaultImageDpi w14:val="32767"/>
  <w15:chartTrackingRefBased/>
  <w15:docId w15:val="{E2E8C6F4-B9BC-4842-87E2-AD899442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5622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325F"/>
    <w:pPr>
      <w:spacing w:before="100" w:beforeAutospacing="1" w:after="100" w:afterAutospacing="1"/>
    </w:pPr>
  </w:style>
  <w:style w:type="paragraph" w:styleId="Header">
    <w:name w:val="header"/>
    <w:basedOn w:val="Normal"/>
    <w:link w:val="HeaderChar"/>
    <w:uiPriority w:val="99"/>
    <w:unhideWhenUsed/>
    <w:rsid w:val="00C7325F"/>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7325F"/>
  </w:style>
  <w:style w:type="paragraph" w:styleId="Footer">
    <w:name w:val="footer"/>
    <w:basedOn w:val="Normal"/>
    <w:link w:val="FooterChar"/>
    <w:uiPriority w:val="99"/>
    <w:unhideWhenUsed/>
    <w:rsid w:val="00C7325F"/>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7325F"/>
  </w:style>
  <w:style w:type="character" w:styleId="PageNumber">
    <w:name w:val="page number"/>
    <w:basedOn w:val="DefaultParagraphFont"/>
    <w:uiPriority w:val="99"/>
    <w:semiHidden/>
    <w:unhideWhenUsed/>
    <w:rsid w:val="00C7325F"/>
  </w:style>
  <w:style w:type="character" w:styleId="Hyperlink">
    <w:name w:val="Hyperlink"/>
    <w:basedOn w:val="DefaultParagraphFont"/>
    <w:uiPriority w:val="99"/>
    <w:unhideWhenUsed/>
    <w:rsid w:val="00AC6C29"/>
    <w:rPr>
      <w:color w:val="0000FF"/>
      <w:u w:val="single"/>
    </w:rPr>
  </w:style>
  <w:style w:type="character" w:styleId="CommentReference">
    <w:name w:val="annotation reference"/>
    <w:basedOn w:val="DefaultParagraphFont"/>
    <w:uiPriority w:val="99"/>
    <w:semiHidden/>
    <w:unhideWhenUsed/>
    <w:rsid w:val="005B5C19"/>
    <w:rPr>
      <w:sz w:val="16"/>
      <w:szCs w:val="16"/>
    </w:rPr>
  </w:style>
  <w:style w:type="paragraph" w:styleId="CommentText">
    <w:name w:val="annotation text"/>
    <w:basedOn w:val="Normal"/>
    <w:link w:val="CommentTextChar"/>
    <w:uiPriority w:val="99"/>
    <w:semiHidden/>
    <w:unhideWhenUsed/>
    <w:rsid w:val="005B5C19"/>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B5C19"/>
    <w:rPr>
      <w:sz w:val="20"/>
      <w:szCs w:val="20"/>
    </w:rPr>
  </w:style>
  <w:style w:type="paragraph" w:styleId="CommentSubject">
    <w:name w:val="annotation subject"/>
    <w:basedOn w:val="CommentText"/>
    <w:next w:val="CommentText"/>
    <w:link w:val="CommentSubjectChar"/>
    <w:uiPriority w:val="99"/>
    <w:semiHidden/>
    <w:unhideWhenUsed/>
    <w:rsid w:val="005B5C19"/>
    <w:rPr>
      <w:b/>
      <w:bCs/>
    </w:rPr>
  </w:style>
  <w:style w:type="character" w:customStyle="1" w:styleId="CommentSubjectChar">
    <w:name w:val="Comment Subject Char"/>
    <w:basedOn w:val="CommentTextChar"/>
    <w:link w:val="CommentSubject"/>
    <w:uiPriority w:val="99"/>
    <w:semiHidden/>
    <w:rsid w:val="005B5C19"/>
    <w:rPr>
      <w:b/>
      <w:bCs/>
      <w:sz w:val="20"/>
      <w:szCs w:val="20"/>
    </w:rPr>
  </w:style>
  <w:style w:type="paragraph" w:styleId="BalloonText">
    <w:name w:val="Balloon Text"/>
    <w:basedOn w:val="Normal"/>
    <w:link w:val="BalloonTextChar"/>
    <w:uiPriority w:val="99"/>
    <w:semiHidden/>
    <w:unhideWhenUsed/>
    <w:rsid w:val="005B5C19"/>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5B5C19"/>
    <w:rPr>
      <w:rFonts w:ascii="Segoe UI" w:hAnsi="Segoe UI" w:cs="Segoe UI"/>
      <w:sz w:val="18"/>
      <w:szCs w:val="18"/>
    </w:rPr>
  </w:style>
  <w:style w:type="character" w:customStyle="1" w:styleId="apple-converted-space">
    <w:name w:val="apple-converted-space"/>
    <w:basedOn w:val="DefaultParagraphFont"/>
    <w:rsid w:val="00B56220"/>
  </w:style>
  <w:style w:type="character" w:styleId="UnresolvedMention">
    <w:name w:val="Unresolved Mention"/>
    <w:basedOn w:val="DefaultParagraphFont"/>
    <w:uiPriority w:val="99"/>
    <w:rsid w:val="00DE2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33699">
      <w:bodyDiv w:val="1"/>
      <w:marLeft w:val="0"/>
      <w:marRight w:val="0"/>
      <w:marTop w:val="0"/>
      <w:marBottom w:val="0"/>
      <w:divBdr>
        <w:top w:val="none" w:sz="0" w:space="0" w:color="auto"/>
        <w:left w:val="none" w:sz="0" w:space="0" w:color="auto"/>
        <w:bottom w:val="none" w:sz="0" w:space="0" w:color="auto"/>
        <w:right w:val="none" w:sz="0" w:space="0" w:color="auto"/>
      </w:divBdr>
      <w:divsChild>
        <w:div w:id="1116560487">
          <w:marLeft w:val="0"/>
          <w:marRight w:val="0"/>
          <w:marTop w:val="0"/>
          <w:marBottom w:val="0"/>
          <w:divBdr>
            <w:top w:val="none" w:sz="0" w:space="0" w:color="auto"/>
            <w:left w:val="none" w:sz="0" w:space="0" w:color="auto"/>
            <w:bottom w:val="none" w:sz="0" w:space="0" w:color="auto"/>
            <w:right w:val="none" w:sz="0" w:space="0" w:color="auto"/>
          </w:divBdr>
          <w:divsChild>
            <w:div w:id="1558279812">
              <w:marLeft w:val="0"/>
              <w:marRight w:val="0"/>
              <w:marTop w:val="0"/>
              <w:marBottom w:val="0"/>
              <w:divBdr>
                <w:top w:val="none" w:sz="0" w:space="0" w:color="auto"/>
                <w:left w:val="none" w:sz="0" w:space="0" w:color="auto"/>
                <w:bottom w:val="none" w:sz="0" w:space="0" w:color="auto"/>
                <w:right w:val="none" w:sz="0" w:space="0" w:color="auto"/>
              </w:divBdr>
              <w:divsChild>
                <w:div w:id="8374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20751">
      <w:bodyDiv w:val="1"/>
      <w:marLeft w:val="0"/>
      <w:marRight w:val="0"/>
      <w:marTop w:val="0"/>
      <w:marBottom w:val="0"/>
      <w:divBdr>
        <w:top w:val="none" w:sz="0" w:space="0" w:color="auto"/>
        <w:left w:val="none" w:sz="0" w:space="0" w:color="auto"/>
        <w:bottom w:val="none" w:sz="0" w:space="0" w:color="auto"/>
        <w:right w:val="none" w:sz="0" w:space="0" w:color="auto"/>
      </w:divBdr>
      <w:divsChild>
        <w:div w:id="944193985">
          <w:marLeft w:val="0"/>
          <w:marRight w:val="0"/>
          <w:marTop w:val="0"/>
          <w:marBottom w:val="0"/>
          <w:divBdr>
            <w:top w:val="none" w:sz="0" w:space="0" w:color="auto"/>
            <w:left w:val="none" w:sz="0" w:space="0" w:color="auto"/>
            <w:bottom w:val="none" w:sz="0" w:space="0" w:color="auto"/>
            <w:right w:val="none" w:sz="0" w:space="0" w:color="auto"/>
          </w:divBdr>
          <w:divsChild>
            <w:div w:id="331953456">
              <w:marLeft w:val="0"/>
              <w:marRight w:val="0"/>
              <w:marTop w:val="0"/>
              <w:marBottom w:val="0"/>
              <w:divBdr>
                <w:top w:val="none" w:sz="0" w:space="0" w:color="auto"/>
                <w:left w:val="none" w:sz="0" w:space="0" w:color="auto"/>
                <w:bottom w:val="none" w:sz="0" w:space="0" w:color="auto"/>
                <w:right w:val="none" w:sz="0" w:space="0" w:color="auto"/>
              </w:divBdr>
              <w:divsChild>
                <w:div w:id="1588034789">
                  <w:marLeft w:val="0"/>
                  <w:marRight w:val="0"/>
                  <w:marTop w:val="0"/>
                  <w:marBottom w:val="0"/>
                  <w:divBdr>
                    <w:top w:val="none" w:sz="0" w:space="0" w:color="auto"/>
                    <w:left w:val="none" w:sz="0" w:space="0" w:color="auto"/>
                    <w:bottom w:val="none" w:sz="0" w:space="0" w:color="auto"/>
                    <w:right w:val="none" w:sz="0" w:space="0" w:color="auto"/>
                  </w:divBdr>
                </w:div>
              </w:divsChild>
            </w:div>
            <w:div w:id="1695495283">
              <w:marLeft w:val="0"/>
              <w:marRight w:val="0"/>
              <w:marTop w:val="0"/>
              <w:marBottom w:val="0"/>
              <w:divBdr>
                <w:top w:val="none" w:sz="0" w:space="0" w:color="auto"/>
                <w:left w:val="none" w:sz="0" w:space="0" w:color="auto"/>
                <w:bottom w:val="none" w:sz="0" w:space="0" w:color="auto"/>
                <w:right w:val="none" w:sz="0" w:space="0" w:color="auto"/>
              </w:divBdr>
              <w:divsChild>
                <w:div w:id="1261186047">
                  <w:marLeft w:val="0"/>
                  <w:marRight w:val="0"/>
                  <w:marTop w:val="0"/>
                  <w:marBottom w:val="0"/>
                  <w:divBdr>
                    <w:top w:val="none" w:sz="0" w:space="0" w:color="auto"/>
                    <w:left w:val="none" w:sz="0" w:space="0" w:color="auto"/>
                    <w:bottom w:val="none" w:sz="0" w:space="0" w:color="auto"/>
                    <w:right w:val="none" w:sz="0" w:space="0" w:color="auto"/>
                  </w:divBdr>
                  <w:divsChild>
                    <w:div w:id="2038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6647">
      <w:bodyDiv w:val="1"/>
      <w:marLeft w:val="0"/>
      <w:marRight w:val="0"/>
      <w:marTop w:val="0"/>
      <w:marBottom w:val="0"/>
      <w:divBdr>
        <w:top w:val="none" w:sz="0" w:space="0" w:color="auto"/>
        <w:left w:val="none" w:sz="0" w:space="0" w:color="auto"/>
        <w:bottom w:val="none" w:sz="0" w:space="0" w:color="auto"/>
        <w:right w:val="none" w:sz="0" w:space="0" w:color="auto"/>
      </w:divBdr>
      <w:divsChild>
        <w:div w:id="275916010">
          <w:marLeft w:val="0"/>
          <w:marRight w:val="0"/>
          <w:marTop w:val="0"/>
          <w:marBottom w:val="0"/>
          <w:divBdr>
            <w:top w:val="none" w:sz="0" w:space="0" w:color="auto"/>
            <w:left w:val="none" w:sz="0" w:space="0" w:color="auto"/>
            <w:bottom w:val="none" w:sz="0" w:space="0" w:color="auto"/>
            <w:right w:val="none" w:sz="0" w:space="0" w:color="auto"/>
          </w:divBdr>
          <w:divsChild>
            <w:div w:id="205991090">
              <w:marLeft w:val="0"/>
              <w:marRight w:val="0"/>
              <w:marTop w:val="0"/>
              <w:marBottom w:val="0"/>
              <w:divBdr>
                <w:top w:val="none" w:sz="0" w:space="0" w:color="auto"/>
                <w:left w:val="none" w:sz="0" w:space="0" w:color="auto"/>
                <w:bottom w:val="none" w:sz="0" w:space="0" w:color="auto"/>
                <w:right w:val="none" w:sz="0" w:space="0" w:color="auto"/>
              </w:divBdr>
              <w:divsChild>
                <w:div w:id="1861814613">
                  <w:marLeft w:val="0"/>
                  <w:marRight w:val="0"/>
                  <w:marTop w:val="0"/>
                  <w:marBottom w:val="0"/>
                  <w:divBdr>
                    <w:top w:val="none" w:sz="0" w:space="0" w:color="auto"/>
                    <w:left w:val="none" w:sz="0" w:space="0" w:color="auto"/>
                    <w:bottom w:val="none" w:sz="0" w:space="0" w:color="auto"/>
                    <w:right w:val="none" w:sz="0" w:space="0" w:color="auto"/>
                  </w:divBdr>
                  <w:divsChild>
                    <w:div w:id="444351999">
                      <w:marLeft w:val="0"/>
                      <w:marRight w:val="0"/>
                      <w:marTop w:val="0"/>
                      <w:marBottom w:val="0"/>
                      <w:divBdr>
                        <w:top w:val="none" w:sz="0" w:space="0" w:color="auto"/>
                        <w:left w:val="none" w:sz="0" w:space="0" w:color="auto"/>
                        <w:bottom w:val="none" w:sz="0" w:space="0" w:color="auto"/>
                        <w:right w:val="none" w:sz="0" w:space="0" w:color="auto"/>
                      </w:divBdr>
                      <w:divsChild>
                        <w:div w:id="9430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9069">
              <w:marLeft w:val="0"/>
              <w:marRight w:val="0"/>
              <w:marTop w:val="0"/>
              <w:marBottom w:val="0"/>
              <w:divBdr>
                <w:top w:val="none" w:sz="0" w:space="0" w:color="auto"/>
                <w:left w:val="none" w:sz="0" w:space="0" w:color="auto"/>
                <w:bottom w:val="none" w:sz="0" w:space="0" w:color="auto"/>
                <w:right w:val="none" w:sz="0" w:space="0" w:color="auto"/>
              </w:divBdr>
              <w:divsChild>
                <w:div w:id="1282541513">
                  <w:marLeft w:val="0"/>
                  <w:marRight w:val="0"/>
                  <w:marTop w:val="0"/>
                  <w:marBottom w:val="0"/>
                  <w:divBdr>
                    <w:top w:val="none" w:sz="0" w:space="0" w:color="auto"/>
                    <w:left w:val="none" w:sz="0" w:space="0" w:color="auto"/>
                    <w:bottom w:val="none" w:sz="0" w:space="0" w:color="auto"/>
                    <w:right w:val="none" w:sz="0" w:space="0" w:color="auto"/>
                  </w:divBdr>
                </w:div>
              </w:divsChild>
            </w:div>
            <w:div w:id="1444152904">
              <w:marLeft w:val="0"/>
              <w:marRight w:val="0"/>
              <w:marTop w:val="0"/>
              <w:marBottom w:val="0"/>
              <w:divBdr>
                <w:top w:val="none" w:sz="0" w:space="0" w:color="auto"/>
                <w:left w:val="none" w:sz="0" w:space="0" w:color="auto"/>
                <w:bottom w:val="none" w:sz="0" w:space="0" w:color="auto"/>
                <w:right w:val="none" w:sz="0" w:space="0" w:color="auto"/>
              </w:divBdr>
              <w:divsChild>
                <w:div w:id="236087573">
                  <w:marLeft w:val="0"/>
                  <w:marRight w:val="0"/>
                  <w:marTop w:val="0"/>
                  <w:marBottom w:val="0"/>
                  <w:divBdr>
                    <w:top w:val="none" w:sz="0" w:space="0" w:color="auto"/>
                    <w:left w:val="none" w:sz="0" w:space="0" w:color="auto"/>
                    <w:bottom w:val="none" w:sz="0" w:space="0" w:color="auto"/>
                    <w:right w:val="none" w:sz="0" w:space="0" w:color="auto"/>
                  </w:divBdr>
                  <w:divsChild>
                    <w:div w:id="1102458053">
                      <w:marLeft w:val="0"/>
                      <w:marRight w:val="0"/>
                      <w:marTop w:val="0"/>
                      <w:marBottom w:val="0"/>
                      <w:divBdr>
                        <w:top w:val="none" w:sz="0" w:space="0" w:color="auto"/>
                        <w:left w:val="none" w:sz="0" w:space="0" w:color="auto"/>
                        <w:bottom w:val="none" w:sz="0" w:space="0" w:color="auto"/>
                        <w:right w:val="none" w:sz="0" w:space="0" w:color="auto"/>
                      </w:divBdr>
                      <w:divsChild>
                        <w:div w:id="10353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57781">
                  <w:marLeft w:val="0"/>
                  <w:marRight w:val="0"/>
                  <w:marTop w:val="0"/>
                  <w:marBottom w:val="0"/>
                  <w:divBdr>
                    <w:top w:val="none" w:sz="0" w:space="0" w:color="auto"/>
                    <w:left w:val="none" w:sz="0" w:space="0" w:color="auto"/>
                    <w:bottom w:val="none" w:sz="0" w:space="0" w:color="auto"/>
                    <w:right w:val="none" w:sz="0" w:space="0" w:color="auto"/>
                  </w:divBdr>
                  <w:divsChild>
                    <w:div w:id="633874569">
                      <w:marLeft w:val="0"/>
                      <w:marRight w:val="0"/>
                      <w:marTop w:val="0"/>
                      <w:marBottom w:val="0"/>
                      <w:divBdr>
                        <w:top w:val="none" w:sz="0" w:space="0" w:color="auto"/>
                        <w:left w:val="none" w:sz="0" w:space="0" w:color="auto"/>
                        <w:bottom w:val="none" w:sz="0" w:space="0" w:color="auto"/>
                        <w:right w:val="none" w:sz="0" w:space="0" w:color="auto"/>
                      </w:divBdr>
                      <w:divsChild>
                        <w:div w:id="2090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629884">
      <w:bodyDiv w:val="1"/>
      <w:marLeft w:val="0"/>
      <w:marRight w:val="0"/>
      <w:marTop w:val="0"/>
      <w:marBottom w:val="0"/>
      <w:divBdr>
        <w:top w:val="none" w:sz="0" w:space="0" w:color="auto"/>
        <w:left w:val="none" w:sz="0" w:space="0" w:color="auto"/>
        <w:bottom w:val="none" w:sz="0" w:space="0" w:color="auto"/>
        <w:right w:val="none" w:sz="0" w:space="0" w:color="auto"/>
      </w:divBdr>
      <w:divsChild>
        <w:div w:id="1921987690">
          <w:marLeft w:val="0"/>
          <w:marRight w:val="0"/>
          <w:marTop w:val="0"/>
          <w:marBottom w:val="0"/>
          <w:divBdr>
            <w:top w:val="none" w:sz="0" w:space="0" w:color="auto"/>
            <w:left w:val="none" w:sz="0" w:space="0" w:color="auto"/>
            <w:bottom w:val="none" w:sz="0" w:space="0" w:color="auto"/>
            <w:right w:val="none" w:sz="0" w:space="0" w:color="auto"/>
          </w:divBdr>
          <w:divsChild>
            <w:div w:id="1807819821">
              <w:marLeft w:val="0"/>
              <w:marRight w:val="0"/>
              <w:marTop w:val="0"/>
              <w:marBottom w:val="0"/>
              <w:divBdr>
                <w:top w:val="none" w:sz="0" w:space="0" w:color="auto"/>
                <w:left w:val="none" w:sz="0" w:space="0" w:color="auto"/>
                <w:bottom w:val="none" w:sz="0" w:space="0" w:color="auto"/>
                <w:right w:val="none" w:sz="0" w:space="0" w:color="auto"/>
              </w:divBdr>
              <w:divsChild>
                <w:div w:id="1778477503">
                  <w:marLeft w:val="0"/>
                  <w:marRight w:val="0"/>
                  <w:marTop w:val="0"/>
                  <w:marBottom w:val="0"/>
                  <w:divBdr>
                    <w:top w:val="none" w:sz="0" w:space="0" w:color="auto"/>
                    <w:left w:val="none" w:sz="0" w:space="0" w:color="auto"/>
                    <w:bottom w:val="none" w:sz="0" w:space="0" w:color="auto"/>
                    <w:right w:val="none" w:sz="0" w:space="0" w:color="auto"/>
                  </w:divBdr>
                  <w:divsChild>
                    <w:div w:id="16253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65770">
      <w:bodyDiv w:val="1"/>
      <w:marLeft w:val="0"/>
      <w:marRight w:val="0"/>
      <w:marTop w:val="0"/>
      <w:marBottom w:val="0"/>
      <w:divBdr>
        <w:top w:val="none" w:sz="0" w:space="0" w:color="auto"/>
        <w:left w:val="none" w:sz="0" w:space="0" w:color="auto"/>
        <w:bottom w:val="none" w:sz="0" w:space="0" w:color="auto"/>
        <w:right w:val="none" w:sz="0" w:space="0" w:color="auto"/>
      </w:divBdr>
      <w:divsChild>
        <w:div w:id="533345146">
          <w:marLeft w:val="0"/>
          <w:marRight w:val="0"/>
          <w:marTop w:val="0"/>
          <w:marBottom w:val="0"/>
          <w:divBdr>
            <w:top w:val="none" w:sz="0" w:space="0" w:color="auto"/>
            <w:left w:val="none" w:sz="0" w:space="0" w:color="auto"/>
            <w:bottom w:val="none" w:sz="0" w:space="0" w:color="auto"/>
            <w:right w:val="none" w:sz="0" w:space="0" w:color="auto"/>
          </w:divBdr>
          <w:divsChild>
            <w:div w:id="1750082109">
              <w:marLeft w:val="0"/>
              <w:marRight w:val="0"/>
              <w:marTop w:val="0"/>
              <w:marBottom w:val="0"/>
              <w:divBdr>
                <w:top w:val="none" w:sz="0" w:space="0" w:color="auto"/>
                <w:left w:val="none" w:sz="0" w:space="0" w:color="auto"/>
                <w:bottom w:val="none" w:sz="0" w:space="0" w:color="auto"/>
                <w:right w:val="none" w:sz="0" w:space="0" w:color="auto"/>
              </w:divBdr>
              <w:divsChild>
                <w:div w:id="7823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2240">
      <w:bodyDiv w:val="1"/>
      <w:marLeft w:val="0"/>
      <w:marRight w:val="0"/>
      <w:marTop w:val="0"/>
      <w:marBottom w:val="0"/>
      <w:divBdr>
        <w:top w:val="none" w:sz="0" w:space="0" w:color="auto"/>
        <w:left w:val="none" w:sz="0" w:space="0" w:color="auto"/>
        <w:bottom w:val="none" w:sz="0" w:space="0" w:color="auto"/>
        <w:right w:val="none" w:sz="0" w:space="0" w:color="auto"/>
      </w:divBdr>
      <w:divsChild>
        <w:div w:id="1634484565">
          <w:marLeft w:val="0"/>
          <w:marRight w:val="0"/>
          <w:marTop w:val="0"/>
          <w:marBottom w:val="0"/>
          <w:divBdr>
            <w:top w:val="none" w:sz="0" w:space="0" w:color="auto"/>
            <w:left w:val="none" w:sz="0" w:space="0" w:color="auto"/>
            <w:bottom w:val="none" w:sz="0" w:space="0" w:color="auto"/>
            <w:right w:val="none" w:sz="0" w:space="0" w:color="auto"/>
          </w:divBdr>
          <w:divsChild>
            <w:div w:id="521548656">
              <w:marLeft w:val="0"/>
              <w:marRight w:val="0"/>
              <w:marTop w:val="0"/>
              <w:marBottom w:val="0"/>
              <w:divBdr>
                <w:top w:val="none" w:sz="0" w:space="0" w:color="auto"/>
                <w:left w:val="none" w:sz="0" w:space="0" w:color="auto"/>
                <w:bottom w:val="none" w:sz="0" w:space="0" w:color="auto"/>
                <w:right w:val="none" w:sz="0" w:space="0" w:color="auto"/>
              </w:divBdr>
              <w:divsChild>
                <w:div w:id="15814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schmidtj@regents.ac"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khajenouri@gmail.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57EC5F1BDFED468196E1411CCDB9D0" ma:contentTypeVersion="13" ma:contentTypeDescription="Create a new document." ma:contentTypeScope="" ma:versionID="c03cfcb143dd7c4964c4ea9505699486">
  <xsd:schema xmlns:xsd="http://www.w3.org/2001/XMLSchema" xmlns:xs="http://www.w3.org/2001/XMLSchema" xmlns:p="http://schemas.microsoft.com/office/2006/metadata/properties" xmlns:ns3="2f9d6f2f-b83a-420d-ae01-3476ab1933bf" xmlns:ns4="1b0a1646-bb43-4680-a89b-6fb272de6c7f" targetNamespace="http://schemas.microsoft.com/office/2006/metadata/properties" ma:root="true" ma:fieldsID="f6a80bd4b9ab0cdaf8d6e7272065d649" ns3:_="" ns4:_="">
    <xsd:import namespace="2f9d6f2f-b83a-420d-ae01-3476ab1933bf"/>
    <xsd:import namespace="1b0a1646-bb43-4680-a89b-6fb272de6c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d6f2f-b83a-420d-ae01-3476ab1933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a1646-bb43-4680-a89b-6fb272de6c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87B96-7308-4CDA-8755-F359D455F835}">
  <ds:schemaRefs>
    <ds:schemaRef ds:uri="http://schemas.microsoft.com/sharepoint/v3/contenttype/forms"/>
  </ds:schemaRefs>
</ds:datastoreItem>
</file>

<file path=customXml/itemProps2.xml><?xml version="1.0" encoding="utf-8"?>
<ds:datastoreItem xmlns:ds="http://schemas.openxmlformats.org/officeDocument/2006/customXml" ds:itemID="{C2291DE7-270A-4762-916C-93DE0DDD3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d6f2f-b83a-420d-ae01-3476ab1933bf"/>
    <ds:schemaRef ds:uri="1b0a1646-bb43-4680-a89b-6fb272d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4B666E-C8F1-4492-9A6E-541A99C6259F}">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1b0a1646-bb43-4680-a89b-6fb272de6c7f"/>
    <ds:schemaRef ds:uri="http://schemas.microsoft.com/office/infopath/2007/PartnerControls"/>
    <ds:schemaRef ds:uri="2f9d6f2f-b83a-420d-ae01-3476ab1933bf"/>
    <ds:schemaRef ds:uri="http://www.w3.org/XML/1998/namespace"/>
    <ds:schemaRef ds:uri="http://purl.org/dc/elements/1.1/"/>
  </ds:schemaRefs>
</ds:datastoreItem>
</file>

<file path=customXml/itemProps4.xml><?xml version="1.0" encoding="utf-8"?>
<ds:datastoreItem xmlns:ds="http://schemas.openxmlformats.org/officeDocument/2006/customXml" ds:itemID="{2192FB5F-AC20-48B4-B975-FB8758EF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3072</Words>
  <Characters>17513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Cyrus Khajenouri</dc:creator>
  <cp:keywords/>
  <dc:description/>
  <cp:lastModifiedBy>Jacob H Schmidt</cp:lastModifiedBy>
  <cp:revision>2</cp:revision>
  <dcterms:created xsi:type="dcterms:W3CDTF">2020-10-12T20:08:00Z</dcterms:created>
  <dcterms:modified xsi:type="dcterms:W3CDTF">2020-10-12T20:08:00Z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0x010100E557EC5F1BDFED468196E1411CCDB9D0</vt:lpwstr>
  </property>
</Properties>
</file>