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023C" w14:textId="507B66E8" w:rsidR="00BD0A0C" w:rsidRPr="007A2F89" w:rsidRDefault="004B06A2" w:rsidP="007A2F89">
      <w:pPr>
        <w:widowControl w:val="0"/>
        <w:rPr>
          <w:rFonts w:ascii="Times New Roman" w:hAnsi="Times New Roman"/>
          <w:bCs/>
          <w:i/>
          <w:iCs/>
          <w:sz w:val="32"/>
          <w:szCs w:val="32"/>
          <w:lang w:val="en-GB"/>
        </w:rPr>
      </w:pPr>
      <w:r w:rsidRPr="007A2F89">
        <w:rPr>
          <w:rFonts w:ascii="Times New Roman" w:hAnsi="Times New Roman"/>
          <w:bCs/>
          <w:i/>
          <w:iCs/>
          <w:sz w:val="32"/>
          <w:szCs w:val="32"/>
          <w:lang w:val="en-GB"/>
        </w:rPr>
        <w:t>Environmental Management System and performance in</w:t>
      </w:r>
      <w:r w:rsidR="004B3857" w:rsidRPr="007A2F89">
        <w:rPr>
          <w:rFonts w:ascii="Times New Roman" w:hAnsi="Times New Roman"/>
          <w:bCs/>
          <w:i/>
          <w:iCs/>
          <w:sz w:val="32"/>
          <w:szCs w:val="32"/>
          <w:lang w:val="en-GB"/>
        </w:rPr>
        <w:t xml:space="preserve"> </w:t>
      </w:r>
      <w:r w:rsidRPr="007A2F89">
        <w:rPr>
          <w:rFonts w:ascii="Times New Roman" w:hAnsi="Times New Roman"/>
          <w:bCs/>
          <w:i/>
          <w:iCs/>
          <w:sz w:val="32"/>
          <w:szCs w:val="32"/>
          <w:lang w:val="en-GB"/>
        </w:rPr>
        <w:t>SMEs. Evidence from the Abruzzo region</w:t>
      </w:r>
    </w:p>
    <w:p w14:paraId="64A344EF" w14:textId="77777777" w:rsidR="00711E2F" w:rsidRPr="007A2F89" w:rsidRDefault="00711E2F" w:rsidP="007A2F89">
      <w:pPr>
        <w:widowControl w:val="0"/>
        <w:rPr>
          <w:rFonts w:ascii="Times New Roman" w:hAnsi="Times New Roman"/>
          <w:i/>
          <w:iCs/>
          <w:sz w:val="24"/>
          <w:szCs w:val="24"/>
          <w:lang w:val="en-US"/>
        </w:rPr>
      </w:pPr>
    </w:p>
    <w:p w14:paraId="5FA3655F" w14:textId="1A74D43E" w:rsidR="004B06A2" w:rsidRPr="007A2F89" w:rsidRDefault="004B06A2" w:rsidP="007A2F89">
      <w:pPr>
        <w:widowControl w:val="0"/>
        <w:rPr>
          <w:rFonts w:ascii="Times New Roman" w:hAnsi="Times New Roman"/>
          <w:i/>
          <w:iCs/>
          <w:sz w:val="24"/>
          <w:szCs w:val="24"/>
          <w:lang w:val="en-US"/>
        </w:rPr>
      </w:pPr>
    </w:p>
    <w:p w14:paraId="0EFF0320" w14:textId="258C7D65" w:rsidR="004B06A2" w:rsidRPr="007A2F89" w:rsidRDefault="004B06A2" w:rsidP="007A2F89">
      <w:pPr>
        <w:widowControl w:val="0"/>
        <w:rPr>
          <w:rFonts w:ascii="Times New Roman" w:hAnsi="Times New Roman"/>
          <w:b/>
          <w:bCs/>
          <w:sz w:val="24"/>
          <w:szCs w:val="24"/>
          <w:lang w:val="en-US"/>
        </w:rPr>
      </w:pPr>
      <w:r w:rsidRPr="007A2F89">
        <w:rPr>
          <w:rFonts w:ascii="Times New Roman" w:hAnsi="Times New Roman"/>
          <w:b/>
          <w:bCs/>
          <w:sz w:val="24"/>
          <w:szCs w:val="24"/>
          <w:lang w:val="en-US"/>
        </w:rPr>
        <w:t>Abstract</w:t>
      </w:r>
    </w:p>
    <w:p w14:paraId="650F4EED" w14:textId="5B7D762B" w:rsidR="004B06A2" w:rsidRPr="007A2F89" w:rsidRDefault="00B61E31" w:rsidP="007A2F89">
      <w:pPr>
        <w:widowControl w:val="0"/>
        <w:rPr>
          <w:rFonts w:ascii="Times New Roman" w:hAnsi="Times New Roman"/>
          <w:sz w:val="24"/>
          <w:szCs w:val="24"/>
          <w:lang w:val="en-US"/>
        </w:rPr>
      </w:pPr>
      <w:r w:rsidRPr="007A2F89">
        <w:rPr>
          <w:rFonts w:ascii="Times New Roman" w:hAnsi="Times New Roman"/>
          <w:sz w:val="24"/>
          <w:szCs w:val="24"/>
          <w:lang w:val="en-US"/>
        </w:rPr>
        <w:t xml:space="preserve">The paper aims at investigating the potential effect on </w:t>
      </w:r>
      <w:r w:rsidR="00F16011">
        <w:rPr>
          <w:rFonts w:ascii="Times New Roman" w:hAnsi="Times New Roman"/>
          <w:sz w:val="24"/>
          <w:szCs w:val="24"/>
          <w:lang w:val="en-US"/>
        </w:rPr>
        <w:t xml:space="preserve">economic and </w:t>
      </w:r>
      <w:r w:rsidRPr="007A2F89">
        <w:rPr>
          <w:rFonts w:ascii="Times New Roman" w:hAnsi="Times New Roman"/>
          <w:sz w:val="24"/>
          <w:szCs w:val="24"/>
          <w:lang w:val="en-US"/>
        </w:rPr>
        <w:t xml:space="preserve">financial performance caused by the adoption of an environmental management system ISO14001 certified, by SMEs in Abruzzo region, which represent a significative case study due to the environmental </w:t>
      </w:r>
      <w:r w:rsidR="00F16011">
        <w:rPr>
          <w:rFonts w:ascii="Times New Roman" w:hAnsi="Times New Roman"/>
          <w:sz w:val="24"/>
          <w:szCs w:val="24"/>
          <w:lang w:val="en-US"/>
        </w:rPr>
        <w:t>capital</w:t>
      </w:r>
      <w:r w:rsidRPr="007A2F89">
        <w:rPr>
          <w:rFonts w:ascii="Times New Roman" w:hAnsi="Times New Roman"/>
          <w:sz w:val="24"/>
          <w:szCs w:val="24"/>
          <w:lang w:val="en-US"/>
        </w:rPr>
        <w:t xml:space="preserve"> that characterizes the whole region. From the Signaling Theory perspective, the adoption of such international environmental management system certification “signals” to the firm</w:t>
      </w:r>
      <w:r w:rsidR="007A2F89" w:rsidRPr="007A2F89">
        <w:rPr>
          <w:rFonts w:ascii="Times New Roman" w:hAnsi="Times New Roman"/>
          <w:sz w:val="24"/>
          <w:szCs w:val="24"/>
          <w:lang w:val="en-US"/>
        </w:rPr>
        <w:t>’</w:t>
      </w:r>
      <w:r w:rsidRPr="007A2F89">
        <w:rPr>
          <w:rFonts w:ascii="Times New Roman" w:hAnsi="Times New Roman"/>
          <w:sz w:val="24"/>
          <w:szCs w:val="24"/>
          <w:lang w:val="en-US"/>
        </w:rPr>
        <w:t xml:space="preserve">s stakeholder, the engagement in adopting a sustainable management system, contributing to reduce information asymmetry </w:t>
      </w:r>
      <w:r w:rsidR="00B2021A" w:rsidRPr="007A2F89">
        <w:rPr>
          <w:rFonts w:ascii="Times New Roman" w:hAnsi="Times New Roman"/>
          <w:sz w:val="24"/>
          <w:szCs w:val="24"/>
          <w:lang w:val="en-US"/>
        </w:rPr>
        <w:t>and consequently, positively influence economic and financial performance.</w:t>
      </w:r>
    </w:p>
    <w:p w14:paraId="548C3C38" w14:textId="1DC4680A" w:rsidR="00B2021A" w:rsidRPr="007A2F89" w:rsidRDefault="00B2021A" w:rsidP="007A2F89">
      <w:pPr>
        <w:widowControl w:val="0"/>
        <w:rPr>
          <w:rFonts w:ascii="Times New Roman" w:hAnsi="Times New Roman"/>
          <w:sz w:val="24"/>
          <w:szCs w:val="24"/>
          <w:lang w:val="en-US"/>
        </w:rPr>
      </w:pPr>
      <w:r w:rsidRPr="007A2F89">
        <w:rPr>
          <w:rFonts w:ascii="Times New Roman" w:hAnsi="Times New Roman"/>
          <w:sz w:val="24"/>
          <w:szCs w:val="24"/>
          <w:lang w:val="en-US"/>
        </w:rPr>
        <w:t>Considering a panel dataset of a total sample of 490 SMEs located in Abruzzo (observed from 2011 and 2019), constituted by 212 ISO14001 certified firms and a control group of 278 firms, selected comparing size, age and geographical location of the main group of analysis, the results show how economic and financial performance are positively related to the adoption of an environmental management system certification.</w:t>
      </w:r>
    </w:p>
    <w:p w14:paraId="49625D41" w14:textId="77777777" w:rsidR="0040286F" w:rsidRPr="007A2F89" w:rsidRDefault="0040286F" w:rsidP="007A2F89">
      <w:pPr>
        <w:widowControl w:val="0"/>
        <w:rPr>
          <w:rFonts w:ascii="Times New Roman" w:hAnsi="Times New Roman"/>
          <w:sz w:val="24"/>
          <w:szCs w:val="24"/>
          <w:lang w:val="en-US"/>
        </w:rPr>
      </w:pPr>
    </w:p>
    <w:p w14:paraId="195BB2E1" w14:textId="08288E54" w:rsidR="00480276" w:rsidRPr="007A2F89" w:rsidRDefault="00480276" w:rsidP="007A2F89">
      <w:pPr>
        <w:pStyle w:val="Paragrafoelenco"/>
        <w:numPr>
          <w:ilvl w:val="0"/>
          <w:numId w:val="7"/>
        </w:numPr>
        <w:ind w:left="0" w:firstLine="0"/>
        <w:jc w:val="both"/>
        <w:rPr>
          <w:rFonts w:ascii="Times New Roman" w:hAnsi="Times New Roman"/>
          <w:b/>
          <w:bCs/>
        </w:rPr>
      </w:pPr>
      <w:proofErr w:type="spellStart"/>
      <w:r w:rsidRPr="007A2F89">
        <w:rPr>
          <w:rFonts w:ascii="Times New Roman" w:hAnsi="Times New Roman"/>
          <w:b/>
          <w:bCs/>
        </w:rPr>
        <w:t>Introdu</w:t>
      </w:r>
      <w:r w:rsidR="001E380B" w:rsidRPr="007A2F89">
        <w:rPr>
          <w:rFonts w:ascii="Times New Roman" w:hAnsi="Times New Roman"/>
          <w:b/>
          <w:bCs/>
        </w:rPr>
        <w:t>ction</w:t>
      </w:r>
      <w:proofErr w:type="spellEnd"/>
    </w:p>
    <w:p w14:paraId="72868E77" w14:textId="5A13C7CE" w:rsidR="00480276" w:rsidRPr="007A2F89" w:rsidRDefault="001E380B" w:rsidP="007A2F89">
      <w:pPr>
        <w:rPr>
          <w:rFonts w:ascii="Times New Roman" w:hAnsi="Times New Roman"/>
          <w:sz w:val="24"/>
          <w:szCs w:val="24"/>
          <w:lang w:val="en-GB"/>
        </w:rPr>
      </w:pPr>
      <w:r w:rsidRPr="007A2F89">
        <w:rPr>
          <w:rFonts w:ascii="Times New Roman" w:hAnsi="Times New Roman"/>
          <w:sz w:val="24"/>
          <w:szCs w:val="24"/>
          <w:lang w:val="en-GB"/>
        </w:rPr>
        <w:t>The debate</w:t>
      </w:r>
      <w:r w:rsidR="00147B7F" w:rsidRPr="007A2F89">
        <w:rPr>
          <w:rFonts w:ascii="Times New Roman" w:hAnsi="Times New Roman"/>
          <w:sz w:val="24"/>
          <w:szCs w:val="24"/>
          <w:lang w:val="en-GB"/>
        </w:rPr>
        <w:t xml:space="preserve"> emerging</w:t>
      </w:r>
      <w:r w:rsidRPr="007A2F89">
        <w:rPr>
          <w:rFonts w:ascii="Times New Roman" w:hAnsi="Times New Roman"/>
          <w:sz w:val="24"/>
          <w:szCs w:val="24"/>
          <w:lang w:val="en-GB"/>
        </w:rPr>
        <w:t xml:space="preserve"> from the literature regarding the nature and purpose of the entrepreneurial initiative, qualif</w:t>
      </w:r>
      <w:r w:rsidR="00B37387" w:rsidRPr="007A2F89">
        <w:rPr>
          <w:rFonts w:ascii="Times New Roman" w:hAnsi="Times New Roman"/>
          <w:sz w:val="24"/>
          <w:szCs w:val="24"/>
          <w:lang w:val="en-GB"/>
        </w:rPr>
        <w:t>ies</w:t>
      </w:r>
      <w:r w:rsidRPr="007A2F89">
        <w:rPr>
          <w:rFonts w:ascii="Times New Roman" w:hAnsi="Times New Roman"/>
          <w:sz w:val="24"/>
          <w:szCs w:val="24"/>
          <w:lang w:val="en-GB"/>
        </w:rPr>
        <w:t xml:space="preserve"> company as an economic-social institution a</w:t>
      </w:r>
      <w:r w:rsidR="00B37387" w:rsidRPr="007A2F89">
        <w:rPr>
          <w:rFonts w:ascii="Times New Roman" w:hAnsi="Times New Roman"/>
          <w:sz w:val="24"/>
          <w:szCs w:val="24"/>
          <w:lang w:val="en-GB"/>
        </w:rPr>
        <w:t xml:space="preserve">nd </w:t>
      </w:r>
      <w:r w:rsidRPr="007A2F89">
        <w:rPr>
          <w:rFonts w:ascii="Times New Roman" w:hAnsi="Times New Roman"/>
          <w:sz w:val="24"/>
          <w:szCs w:val="24"/>
          <w:lang w:val="en-GB"/>
        </w:rPr>
        <w:t xml:space="preserve">a socio-technical system </w:t>
      </w:r>
      <w:r w:rsidR="00480276" w:rsidRPr="007A2F89">
        <w:rPr>
          <w:rFonts w:ascii="Times New Roman" w:hAnsi="Times New Roman"/>
          <w:sz w:val="24"/>
          <w:szCs w:val="24"/>
          <w:lang w:val="en-GB"/>
        </w:rPr>
        <w:t>(</w:t>
      </w:r>
      <w:r w:rsidR="00C36368" w:rsidRPr="007A2F89">
        <w:rPr>
          <w:rFonts w:ascii="Times New Roman" w:hAnsi="Times New Roman"/>
          <w:sz w:val="24"/>
          <w:szCs w:val="24"/>
          <w:lang w:val="en-GB"/>
        </w:rPr>
        <w:t>D</w:t>
      </w:r>
      <w:r w:rsidR="007A2F89" w:rsidRPr="007A2F89">
        <w:rPr>
          <w:rFonts w:ascii="Times New Roman" w:hAnsi="Times New Roman"/>
          <w:sz w:val="24"/>
          <w:szCs w:val="24"/>
          <w:lang w:val="en-GB"/>
        </w:rPr>
        <w:t>’</w:t>
      </w:r>
      <w:r w:rsidR="00C36368" w:rsidRPr="007A2F89">
        <w:rPr>
          <w:rFonts w:ascii="Times New Roman" w:hAnsi="Times New Roman"/>
          <w:sz w:val="24"/>
          <w:szCs w:val="24"/>
          <w:lang w:val="en-GB"/>
        </w:rPr>
        <w:t>Amico, 2017</w:t>
      </w:r>
      <w:r w:rsidR="00480276" w:rsidRPr="007A2F89">
        <w:rPr>
          <w:rFonts w:ascii="Times New Roman" w:hAnsi="Times New Roman"/>
          <w:sz w:val="24"/>
          <w:szCs w:val="24"/>
          <w:lang w:val="en-GB"/>
        </w:rPr>
        <w:t>)</w:t>
      </w:r>
      <w:r w:rsidR="00B974E5"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w:t>
      </w:r>
      <w:r w:rsidR="00C83EC6" w:rsidRPr="007A2F89">
        <w:rPr>
          <w:rFonts w:ascii="Times New Roman" w:hAnsi="Times New Roman"/>
          <w:sz w:val="24"/>
          <w:szCs w:val="24"/>
          <w:lang w:val="en-GB"/>
        </w:rPr>
        <w:t>Companies</w:t>
      </w:r>
      <w:r w:rsidR="007A2F89" w:rsidRPr="007A2F89">
        <w:rPr>
          <w:rFonts w:ascii="Times New Roman" w:hAnsi="Times New Roman"/>
          <w:sz w:val="24"/>
          <w:szCs w:val="24"/>
          <w:lang w:val="en-GB"/>
        </w:rPr>
        <w:t>’</w:t>
      </w:r>
      <w:r w:rsidR="00C83EC6" w:rsidRPr="007A2F89">
        <w:rPr>
          <w:rFonts w:ascii="Times New Roman" w:hAnsi="Times New Roman"/>
          <w:sz w:val="24"/>
          <w:szCs w:val="24"/>
          <w:lang w:val="en-GB"/>
        </w:rPr>
        <w:t xml:space="preserve"> activities</w:t>
      </w:r>
      <w:r w:rsidRPr="007A2F89">
        <w:rPr>
          <w:rFonts w:ascii="Times New Roman" w:hAnsi="Times New Roman"/>
          <w:sz w:val="24"/>
          <w:szCs w:val="24"/>
          <w:lang w:val="en-GB"/>
        </w:rPr>
        <w:t xml:space="preserve"> play a</w:t>
      </w:r>
      <w:r w:rsidR="00B974E5" w:rsidRPr="007A2F89">
        <w:rPr>
          <w:rFonts w:ascii="Times New Roman" w:hAnsi="Times New Roman"/>
          <w:sz w:val="24"/>
          <w:szCs w:val="24"/>
          <w:lang w:val="en-GB"/>
        </w:rPr>
        <w:t xml:space="preserve"> </w:t>
      </w:r>
      <w:r w:rsidR="00C4260D" w:rsidRPr="007A2F89">
        <w:rPr>
          <w:rFonts w:ascii="Times New Roman" w:hAnsi="Times New Roman"/>
          <w:sz w:val="24"/>
          <w:szCs w:val="24"/>
          <w:lang w:val="en-GB"/>
        </w:rPr>
        <w:t>crucial</w:t>
      </w:r>
      <w:r w:rsidRPr="007A2F89">
        <w:rPr>
          <w:rFonts w:ascii="Times New Roman" w:hAnsi="Times New Roman"/>
          <w:sz w:val="24"/>
          <w:szCs w:val="24"/>
          <w:lang w:val="en-GB"/>
        </w:rPr>
        <w:t xml:space="preserve"> role for corporate stakeholders and for</w:t>
      </w:r>
      <w:r w:rsidR="00B974E5" w:rsidRPr="007A2F89">
        <w:rPr>
          <w:rFonts w:ascii="Times New Roman" w:hAnsi="Times New Roman"/>
          <w:sz w:val="24"/>
          <w:szCs w:val="24"/>
          <w:lang w:val="en-GB"/>
        </w:rPr>
        <w:t xml:space="preserve"> the</w:t>
      </w:r>
      <w:r w:rsidRPr="007A2F89">
        <w:rPr>
          <w:rFonts w:ascii="Times New Roman" w:hAnsi="Times New Roman"/>
          <w:sz w:val="24"/>
          <w:szCs w:val="24"/>
          <w:lang w:val="en-GB"/>
        </w:rPr>
        <w:t xml:space="preserve"> society in general </w:t>
      </w:r>
      <w:r w:rsidR="00480276" w:rsidRPr="007A2F89">
        <w:rPr>
          <w:rFonts w:ascii="Times New Roman" w:hAnsi="Times New Roman"/>
          <w:sz w:val="24"/>
          <w:szCs w:val="24"/>
          <w:lang w:val="en-GB"/>
        </w:rPr>
        <w:t>(</w:t>
      </w:r>
      <w:proofErr w:type="spellStart"/>
      <w:r w:rsidR="00480276" w:rsidRPr="007A2F89">
        <w:rPr>
          <w:rFonts w:ascii="Times New Roman" w:hAnsi="Times New Roman"/>
          <w:sz w:val="24"/>
          <w:szCs w:val="24"/>
          <w:lang w:val="en-GB"/>
        </w:rPr>
        <w:t>Corsi</w:t>
      </w:r>
      <w:proofErr w:type="spellEnd"/>
      <w:r w:rsidR="00480276" w:rsidRPr="007A2F89">
        <w:rPr>
          <w:rFonts w:ascii="Times New Roman" w:hAnsi="Times New Roman"/>
          <w:sz w:val="24"/>
          <w:szCs w:val="24"/>
          <w:lang w:val="en-GB"/>
        </w:rPr>
        <w:t xml:space="preserve">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Migliori</w:t>
      </w:r>
      <w:proofErr w:type="spellEnd"/>
      <w:r w:rsidR="00480276" w:rsidRPr="007A2F89">
        <w:rPr>
          <w:rFonts w:ascii="Times New Roman" w:hAnsi="Times New Roman"/>
          <w:sz w:val="24"/>
          <w:szCs w:val="24"/>
          <w:lang w:val="en-GB"/>
        </w:rPr>
        <w:t xml:space="preserve">, 2017), </w:t>
      </w:r>
      <w:r w:rsidRPr="007A2F89">
        <w:rPr>
          <w:rFonts w:ascii="Times New Roman" w:hAnsi="Times New Roman"/>
          <w:sz w:val="24"/>
          <w:szCs w:val="24"/>
          <w:lang w:val="en-GB"/>
        </w:rPr>
        <w:t>in different ways and intensities, in an ethical dimension that incorporates</w:t>
      </w:r>
      <w:r w:rsidR="00C4260D" w:rsidRPr="007A2F89">
        <w:rPr>
          <w:rFonts w:ascii="Times New Roman" w:hAnsi="Times New Roman"/>
          <w:sz w:val="24"/>
          <w:szCs w:val="24"/>
          <w:lang w:val="en-GB"/>
        </w:rPr>
        <w:t xml:space="preserve"> the</w:t>
      </w:r>
      <w:r w:rsidRPr="007A2F89">
        <w:rPr>
          <w:rFonts w:ascii="Times New Roman" w:hAnsi="Times New Roman"/>
          <w:sz w:val="24"/>
          <w:szCs w:val="24"/>
          <w:lang w:val="en-GB"/>
        </w:rPr>
        <w:t xml:space="preserve"> economic and social dimension</w:t>
      </w:r>
      <w:r w:rsidR="00C4260D" w:rsidRPr="007A2F89">
        <w:rPr>
          <w:rFonts w:ascii="Times New Roman" w:hAnsi="Times New Roman"/>
          <w:sz w:val="24"/>
          <w:szCs w:val="24"/>
          <w:lang w:val="en-GB"/>
        </w:rPr>
        <w:t>s</w:t>
      </w:r>
      <w:r w:rsidRPr="007A2F89">
        <w:rPr>
          <w:rFonts w:ascii="Times New Roman" w:hAnsi="Times New Roman"/>
          <w:sz w:val="24"/>
          <w:szCs w:val="24"/>
          <w:lang w:val="en-GB"/>
        </w:rPr>
        <w:t xml:space="preserve">, </w:t>
      </w:r>
      <w:r w:rsidR="00537A86" w:rsidRPr="007A2F89">
        <w:rPr>
          <w:rFonts w:ascii="Times New Roman" w:hAnsi="Times New Roman"/>
          <w:sz w:val="24"/>
          <w:szCs w:val="24"/>
          <w:lang w:val="en-GB"/>
        </w:rPr>
        <w:t>defin</w:t>
      </w:r>
      <w:r w:rsidR="00B37387" w:rsidRPr="007A2F89">
        <w:rPr>
          <w:rFonts w:ascii="Times New Roman" w:hAnsi="Times New Roman"/>
          <w:sz w:val="24"/>
          <w:szCs w:val="24"/>
          <w:lang w:val="en-GB"/>
        </w:rPr>
        <w:t>ing</w:t>
      </w:r>
      <w:r w:rsidRPr="007A2F89">
        <w:rPr>
          <w:rFonts w:ascii="Times New Roman" w:hAnsi="Times New Roman"/>
          <w:sz w:val="24"/>
          <w:szCs w:val="24"/>
          <w:lang w:val="en-GB"/>
        </w:rPr>
        <w:t xml:space="preserve"> its role and mission</w:t>
      </w:r>
      <w:r w:rsidR="00480276" w:rsidRPr="007A2F89">
        <w:rPr>
          <w:rFonts w:ascii="Times New Roman" w:hAnsi="Times New Roman"/>
          <w:sz w:val="24"/>
          <w:szCs w:val="24"/>
          <w:lang w:val="en-GB"/>
        </w:rPr>
        <w:t xml:space="preserve"> (Ruisi, 2010; Di Carlo, 2017; Cortese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Cantino</w:t>
      </w:r>
      <w:proofErr w:type="spellEnd"/>
      <w:r w:rsidR="00480276" w:rsidRPr="007A2F89">
        <w:rPr>
          <w:rFonts w:ascii="Times New Roman" w:hAnsi="Times New Roman"/>
          <w:sz w:val="24"/>
          <w:szCs w:val="24"/>
          <w:lang w:val="en-GB"/>
        </w:rPr>
        <w:t>, 2020).</w:t>
      </w:r>
    </w:p>
    <w:p w14:paraId="2F1452B5" w14:textId="020C2208" w:rsidR="00480276" w:rsidRPr="007A2F89" w:rsidRDefault="00537A86" w:rsidP="007A2F89">
      <w:pPr>
        <w:rPr>
          <w:rFonts w:ascii="Times New Roman" w:hAnsi="Times New Roman"/>
          <w:sz w:val="24"/>
          <w:szCs w:val="24"/>
          <w:lang w:val="en-GB"/>
        </w:rPr>
      </w:pPr>
      <w:r w:rsidRPr="007A2F89">
        <w:rPr>
          <w:rFonts w:ascii="Times New Roman" w:hAnsi="Times New Roman"/>
          <w:sz w:val="24"/>
          <w:szCs w:val="24"/>
          <w:lang w:val="en-GB"/>
        </w:rPr>
        <w:t>Regarding this</w:t>
      </w:r>
      <w:r w:rsidR="00043DA2" w:rsidRPr="007A2F89">
        <w:rPr>
          <w:rFonts w:ascii="Times New Roman" w:hAnsi="Times New Roman"/>
          <w:sz w:val="24"/>
          <w:szCs w:val="24"/>
          <w:lang w:val="en-GB"/>
        </w:rPr>
        <w:t xml:space="preserve"> issue</w:t>
      </w:r>
      <w:r w:rsidR="00125236" w:rsidRPr="007A2F89">
        <w:rPr>
          <w:rFonts w:ascii="Times New Roman" w:hAnsi="Times New Roman"/>
          <w:sz w:val="24"/>
          <w:szCs w:val="24"/>
          <w:lang w:val="en-GB"/>
        </w:rPr>
        <w:t>,</w:t>
      </w:r>
      <w:r w:rsidRPr="007A2F89">
        <w:rPr>
          <w:rFonts w:ascii="Times New Roman" w:hAnsi="Times New Roman"/>
          <w:sz w:val="24"/>
          <w:szCs w:val="24"/>
          <w:lang w:val="en-GB"/>
        </w:rPr>
        <w:t xml:space="preserve"> it</w:t>
      </w:r>
      <w:r w:rsidR="00125236" w:rsidRPr="007A2F89">
        <w:rPr>
          <w:rFonts w:ascii="Times New Roman" w:hAnsi="Times New Roman"/>
          <w:sz w:val="24"/>
          <w:szCs w:val="24"/>
          <w:lang w:val="en-GB"/>
        </w:rPr>
        <w:t xml:space="preserve"> i</w:t>
      </w:r>
      <w:r w:rsidR="00D24699" w:rsidRPr="007A2F89">
        <w:rPr>
          <w:rFonts w:ascii="Times New Roman" w:hAnsi="Times New Roman"/>
          <w:sz w:val="24"/>
          <w:szCs w:val="24"/>
          <w:lang w:val="en-GB"/>
        </w:rPr>
        <w:t>s</w:t>
      </w:r>
      <w:r w:rsidR="00125236" w:rsidRPr="007A2F89">
        <w:rPr>
          <w:rFonts w:ascii="Times New Roman" w:hAnsi="Times New Roman"/>
          <w:sz w:val="24"/>
          <w:szCs w:val="24"/>
          <w:lang w:val="en-GB"/>
        </w:rPr>
        <w:t xml:space="preserve"> noted that the</w:t>
      </w:r>
      <w:r w:rsidR="00D24699" w:rsidRPr="007A2F89">
        <w:rPr>
          <w:rFonts w:ascii="Times New Roman" w:hAnsi="Times New Roman"/>
          <w:sz w:val="24"/>
          <w:szCs w:val="24"/>
          <w:lang w:val="en-GB"/>
        </w:rPr>
        <w:t xml:space="preserve"> company</w:t>
      </w:r>
      <w:r w:rsidR="00125236" w:rsidRPr="007A2F89">
        <w:rPr>
          <w:rFonts w:ascii="Times New Roman" w:hAnsi="Times New Roman"/>
          <w:sz w:val="24"/>
          <w:szCs w:val="24"/>
          <w:lang w:val="en-GB"/>
        </w:rPr>
        <w:t xml:space="preserve"> unitary conception</w:t>
      </w:r>
      <w:r w:rsidRPr="007A2F89">
        <w:rPr>
          <w:rFonts w:ascii="Times New Roman" w:hAnsi="Times New Roman"/>
          <w:sz w:val="24"/>
          <w:szCs w:val="24"/>
          <w:lang w:val="en-GB"/>
        </w:rPr>
        <w:t>,</w:t>
      </w:r>
      <w:r w:rsidR="00125236" w:rsidRPr="007A2F89">
        <w:rPr>
          <w:rFonts w:ascii="Times New Roman" w:hAnsi="Times New Roman"/>
          <w:sz w:val="24"/>
          <w:szCs w:val="24"/>
          <w:lang w:val="en-GB"/>
        </w:rPr>
        <w:t xml:space="preserve"> in the classical </w:t>
      </w:r>
      <w:r w:rsidR="00D24699" w:rsidRPr="007A2F89">
        <w:rPr>
          <w:rFonts w:ascii="Times New Roman" w:hAnsi="Times New Roman"/>
          <w:sz w:val="24"/>
          <w:szCs w:val="24"/>
          <w:lang w:val="en-GB"/>
        </w:rPr>
        <w:t>meaning</w:t>
      </w:r>
      <w:r w:rsidR="00125236" w:rsidRPr="007A2F89">
        <w:rPr>
          <w:rFonts w:ascii="Times New Roman" w:hAnsi="Times New Roman"/>
          <w:sz w:val="24"/>
          <w:szCs w:val="24"/>
          <w:lang w:val="en-GB"/>
        </w:rPr>
        <w:t>, starting from the business</w:t>
      </w:r>
      <w:r w:rsidRPr="007A2F89">
        <w:rPr>
          <w:rFonts w:ascii="Times New Roman" w:hAnsi="Times New Roman"/>
          <w:sz w:val="24"/>
          <w:szCs w:val="24"/>
          <w:lang w:val="en-GB"/>
        </w:rPr>
        <w:t xml:space="preserve"> and</w:t>
      </w:r>
      <w:r w:rsidR="00125236" w:rsidRPr="007A2F89">
        <w:rPr>
          <w:rFonts w:ascii="Times New Roman" w:hAnsi="Times New Roman"/>
          <w:sz w:val="24"/>
          <w:szCs w:val="24"/>
          <w:lang w:val="en-GB"/>
        </w:rPr>
        <w:t xml:space="preserve"> economic studies </w:t>
      </w:r>
      <w:r w:rsidR="00D24699" w:rsidRPr="007A2F89">
        <w:rPr>
          <w:rFonts w:ascii="Times New Roman" w:hAnsi="Times New Roman"/>
          <w:sz w:val="24"/>
          <w:szCs w:val="24"/>
          <w:lang w:val="en-GB"/>
        </w:rPr>
        <w:t>conducted by</w:t>
      </w:r>
      <w:r w:rsidR="00125236" w:rsidRPr="007A2F89">
        <w:rPr>
          <w:rFonts w:ascii="Times New Roman" w:hAnsi="Times New Roman"/>
          <w:sz w:val="24"/>
          <w:szCs w:val="24"/>
          <w:lang w:val="en-GB"/>
        </w:rPr>
        <w:t xml:space="preserve"> Zappa, </w:t>
      </w:r>
      <w:r w:rsidR="00B37387" w:rsidRPr="007A2F89">
        <w:rPr>
          <w:rFonts w:ascii="Times New Roman" w:hAnsi="Times New Roman"/>
          <w:sz w:val="24"/>
          <w:szCs w:val="24"/>
          <w:lang w:val="en-GB"/>
        </w:rPr>
        <w:t>adequately</w:t>
      </w:r>
      <w:r w:rsidR="00ED17A1" w:rsidRPr="007A2F89">
        <w:rPr>
          <w:rFonts w:ascii="Times New Roman" w:hAnsi="Times New Roman"/>
          <w:sz w:val="24"/>
          <w:szCs w:val="24"/>
          <w:lang w:val="en-GB"/>
        </w:rPr>
        <w:t xml:space="preserve"> define</w:t>
      </w:r>
      <w:r w:rsidR="00043DA2" w:rsidRPr="007A2F89">
        <w:rPr>
          <w:rFonts w:ascii="Times New Roman" w:hAnsi="Times New Roman"/>
          <w:sz w:val="24"/>
          <w:szCs w:val="24"/>
          <w:lang w:val="en-GB"/>
        </w:rPr>
        <w:t>s</w:t>
      </w:r>
      <w:r w:rsidR="00125236" w:rsidRPr="007A2F89">
        <w:rPr>
          <w:rFonts w:ascii="Times New Roman" w:hAnsi="Times New Roman"/>
          <w:sz w:val="24"/>
          <w:szCs w:val="24"/>
          <w:lang w:val="en-GB"/>
        </w:rPr>
        <w:t xml:space="preserve"> the company as a system </w:t>
      </w:r>
      <w:r w:rsidR="00B37387" w:rsidRPr="007A2F89">
        <w:rPr>
          <w:rFonts w:ascii="Times New Roman" w:hAnsi="Times New Roman"/>
          <w:sz w:val="24"/>
          <w:szCs w:val="24"/>
          <w:lang w:val="en-GB"/>
        </w:rPr>
        <w:t>related</w:t>
      </w:r>
      <w:r w:rsidR="00125236" w:rsidRPr="007A2F89">
        <w:rPr>
          <w:rFonts w:ascii="Times New Roman" w:hAnsi="Times New Roman"/>
          <w:sz w:val="24"/>
          <w:szCs w:val="24"/>
          <w:lang w:val="en-GB"/>
        </w:rPr>
        <w:t xml:space="preserve"> to the ethical</w:t>
      </w:r>
      <w:r w:rsidR="00ED17A1" w:rsidRPr="007A2F89">
        <w:rPr>
          <w:rFonts w:ascii="Times New Roman" w:hAnsi="Times New Roman"/>
          <w:sz w:val="24"/>
          <w:szCs w:val="24"/>
          <w:lang w:val="en-GB"/>
        </w:rPr>
        <w:t xml:space="preserve"> business</w:t>
      </w:r>
      <w:r w:rsidR="00125236" w:rsidRPr="007A2F89">
        <w:rPr>
          <w:rFonts w:ascii="Times New Roman" w:hAnsi="Times New Roman"/>
          <w:sz w:val="24"/>
          <w:szCs w:val="24"/>
          <w:lang w:val="en-GB"/>
        </w:rPr>
        <w:t xml:space="preserve"> dimension.</w:t>
      </w:r>
      <w:r w:rsidR="00480276" w:rsidRPr="007A2F89">
        <w:rPr>
          <w:rFonts w:ascii="Times New Roman" w:hAnsi="Times New Roman"/>
          <w:sz w:val="24"/>
          <w:szCs w:val="24"/>
          <w:lang w:val="en-GB"/>
        </w:rPr>
        <w:t xml:space="preserve"> </w:t>
      </w:r>
      <w:r w:rsidR="0004775A" w:rsidRPr="007A2F89">
        <w:rPr>
          <w:rFonts w:ascii="Times New Roman" w:hAnsi="Times New Roman"/>
          <w:sz w:val="24"/>
          <w:szCs w:val="24"/>
          <w:lang w:val="en-GB"/>
        </w:rPr>
        <w:t xml:space="preserve">As </w:t>
      </w:r>
      <w:r w:rsidR="004D1C4D" w:rsidRPr="007A2F89">
        <w:rPr>
          <w:rFonts w:ascii="Times New Roman" w:hAnsi="Times New Roman"/>
          <w:sz w:val="24"/>
          <w:szCs w:val="24"/>
          <w:lang w:val="en-GB"/>
        </w:rPr>
        <w:t>pointed out</w:t>
      </w:r>
      <w:r w:rsidR="0004775A" w:rsidRPr="007A2F89">
        <w:rPr>
          <w:rFonts w:ascii="Times New Roman" w:hAnsi="Times New Roman"/>
          <w:sz w:val="24"/>
          <w:szCs w:val="24"/>
          <w:lang w:val="en-GB"/>
        </w:rPr>
        <w:t xml:space="preserve"> by Rusconi </w:t>
      </w:r>
      <w:r w:rsidR="00480276" w:rsidRPr="007A2F89">
        <w:rPr>
          <w:rFonts w:ascii="Times New Roman" w:hAnsi="Times New Roman"/>
          <w:sz w:val="24"/>
          <w:szCs w:val="24"/>
          <w:lang w:val="en-GB"/>
        </w:rPr>
        <w:t>(2018)</w:t>
      </w:r>
      <w:r w:rsidR="0004775A" w:rsidRPr="007A2F89">
        <w:rPr>
          <w:rFonts w:ascii="Times New Roman" w:hAnsi="Times New Roman"/>
          <w:sz w:val="24"/>
          <w:szCs w:val="24"/>
          <w:lang w:val="en-GB"/>
        </w:rPr>
        <w:t xml:space="preserve"> this ethical perspective has always permeated economic thought</w:t>
      </w:r>
      <w:r w:rsidR="00043DA2" w:rsidRPr="007A2F89">
        <w:rPr>
          <w:rFonts w:ascii="Times New Roman" w:hAnsi="Times New Roman"/>
          <w:sz w:val="24"/>
          <w:szCs w:val="24"/>
          <w:lang w:val="en-GB"/>
        </w:rPr>
        <w:t>s</w:t>
      </w:r>
      <w:r w:rsidR="008A20A6" w:rsidRPr="007A2F89">
        <w:rPr>
          <w:rFonts w:ascii="Times New Roman" w:hAnsi="Times New Roman"/>
          <w:sz w:val="24"/>
          <w:szCs w:val="24"/>
          <w:lang w:val="en-GB"/>
        </w:rPr>
        <w:t>.</w:t>
      </w:r>
      <w:r w:rsidR="0004775A" w:rsidRPr="007A2F89">
        <w:rPr>
          <w:rFonts w:ascii="Times New Roman" w:hAnsi="Times New Roman"/>
          <w:sz w:val="24"/>
          <w:szCs w:val="24"/>
          <w:lang w:val="en-GB"/>
        </w:rPr>
        <w:t xml:space="preserve"> </w:t>
      </w:r>
      <w:r w:rsidR="008A20A6" w:rsidRPr="007A2F89">
        <w:rPr>
          <w:rFonts w:ascii="Times New Roman" w:hAnsi="Times New Roman"/>
          <w:sz w:val="24"/>
          <w:szCs w:val="24"/>
          <w:lang w:val="en-GB"/>
        </w:rPr>
        <w:t>F</w:t>
      </w:r>
      <w:r w:rsidR="0004775A" w:rsidRPr="007A2F89">
        <w:rPr>
          <w:rFonts w:ascii="Times New Roman" w:hAnsi="Times New Roman"/>
          <w:sz w:val="24"/>
          <w:szCs w:val="24"/>
          <w:lang w:val="en-GB"/>
        </w:rPr>
        <w:t>rom the Aristotelian Nicomachean Ethics to Friedman, who, although supp</w:t>
      </w:r>
      <w:r w:rsidR="00046CE7" w:rsidRPr="007A2F89">
        <w:rPr>
          <w:rFonts w:ascii="Times New Roman" w:hAnsi="Times New Roman"/>
          <w:sz w:val="24"/>
          <w:szCs w:val="24"/>
          <w:lang w:val="en-GB"/>
        </w:rPr>
        <w:t>orting</w:t>
      </w:r>
      <w:r w:rsidR="0004775A" w:rsidRPr="007A2F89">
        <w:rPr>
          <w:rFonts w:ascii="Times New Roman" w:hAnsi="Times New Roman"/>
          <w:sz w:val="24"/>
          <w:szCs w:val="24"/>
          <w:lang w:val="en-GB"/>
        </w:rPr>
        <w:t xml:space="preserve"> th</w:t>
      </w:r>
      <w:r w:rsidR="0093318D" w:rsidRPr="007A2F89">
        <w:rPr>
          <w:rFonts w:ascii="Times New Roman" w:hAnsi="Times New Roman"/>
          <w:sz w:val="24"/>
          <w:szCs w:val="24"/>
          <w:lang w:val="en-GB"/>
        </w:rPr>
        <w:t>e</w:t>
      </w:r>
      <w:r w:rsidR="0004775A" w:rsidRPr="007A2F89">
        <w:rPr>
          <w:rFonts w:ascii="Times New Roman" w:hAnsi="Times New Roman"/>
          <w:sz w:val="24"/>
          <w:szCs w:val="24"/>
          <w:lang w:val="en-GB"/>
        </w:rPr>
        <w:t xml:space="preserve"> concept</w:t>
      </w:r>
      <w:r w:rsidR="008A20A6" w:rsidRPr="007A2F89">
        <w:rPr>
          <w:rFonts w:ascii="Times New Roman" w:hAnsi="Times New Roman"/>
          <w:sz w:val="24"/>
          <w:szCs w:val="24"/>
          <w:lang w:val="en-GB"/>
        </w:rPr>
        <w:t>,</w:t>
      </w:r>
      <w:r w:rsidR="0004775A" w:rsidRPr="007A2F89">
        <w:rPr>
          <w:rFonts w:ascii="Times New Roman" w:hAnsi="Times New Roman"/>
          <w:sz w:val="24"/>
          <w:szCs w:val="24"/>
          <w:lang w:val="en-GB"/>
        </w:rPr>
        <w:t xml:space="preserve"> according </w:t>
      </w:r>
      <w:r w:rsidR="0093318D" w:rsidRPr="007A2F89">
        <w:rPr>
          <w:rFonts w:ascii="Times New Roman" w:hAnsi="Times New Roman"/>
          <w:sz w:val="24"/>
          <w:szCs w:val="24"/>
          <w:lang w:val="en-GB"/>
        </w:rPr>
        <w:t xml:space="preserve">with the shareholder primacy and the profit maximisation, </w:t>
      </w:r>
      <w:r w:rsidR="0004775A" w:rsidRPr="007A2F89">
        <w:rPr>
          <w:rFonts w:ascii="Times New Roman" w:hAnsi="Times New Roman"/>
          <w:sz w:val="24"/>
          <w:szCs w:val="24"/>
          <w:lang w:val="en-GB"/>
        </w:rPr>
        <w:t xml:space="preserve">affirms that this duty </w:t>
      </w:r>
      <w:r w:rsidR="004D1C4D" w:rsidRPr="007A2F89">
        <w:rPr>
          <w:rFonts w:ascii="Times New Roman" w:hAnsi="Times New Roman"/>
          <w:sz w:val="24"/>
          <w:szCs w:val="24"/>
          <w:lang w:val="en-GB"/>
        </w:rPr>
        <w:t>it is</w:t>
      </w:r>
      <w:r w:rsidR="0004775A" w:rsidRPr="007A2F89">
        <w:rPr>
          <w:rFonts w:ascii="Times New Roman" w:hAnsi="Times New Roman"/>
          <w:sz w:val="24"/>
          <w:szCs w:val="24"/>
          <w:lang w:val="en-GB"/>
        </w:rPr>
        <w:t xml:space="preserve"> sub</w:t>
      </w:r>
      <w:r w:rsidR="0093318D" w:rsidRPr="007A2F89">
        <w:rPr>
          <w:rFonts w:ascii="Times New Roman" w:hAnsi="Times New Roman"/>
          <w:sz w:val="24"/>
          <w:szCs w:val="24"/>
          <w:lang w:val="en-GB"/>
        </w:rPr>
        <w:t>ordinated</w:t>
      </w:r>
      <w:r w:rsidR="0004775A" w:rsidRPr="007A2F89">
        <w:rPr>
          <w:rFonts w:ascii="Times New Roman" w:hAnsi="Times New Roman"/>
          <w:sz w:val="24"/>
          <w:szCs w:val="24"/>
          <w:lang w:val="en-GB"/>
        </w:rPr>
        <w:t xml:space="preserve"> to </w:t>
      </w:r>
      <w:r w:rsidR="00043DA2" w:rsidRPr="007A2F89">
        <w:rPr>
          <w:rFonts w:ascii="Times New Roman" w:hAnsi="Times New Roman"/>
          <w:sz w:val="24"/>
          <w:szCs w:val="24"/>
          <w:lang w:val="en-GB"/>
        </w:rPr>
        <w:t>“</w:t>
      </w:r>
      <w:r w:rsidR="0004775A" w:rsidRPr="007A2F89">
        <w:rPr>
          <w:rFonts w:ascii="Times New Roman" w:hAnsi="Times New Roman"/>
          <w:sz w:val="24"/>
          <w:szCs w:val="24"/>
          <w:lang w:val="en-GB"/>
        </w:rPr>
        <w:t>compliance with the law and current customs</w:t>
      </w:r>
      <w:r w:rsidR="00043DA2" w:rsidRPr="007A2F89">
        <w:rPr>
          <w:rFonts w:ascii="Times New Roman" w:hAnsi="Times New Roman"/>
          <w:sz w:val="24"/>
          <w:szCs w:val="24"/>
          <w:lang w:val="en-GB"/>
        </w:rPr>
        <w:t>”</w:t>
      </w:r>
      <w:r w:rsidR="0004775A" w:rsidRPr="007A2F89">
        <w:rPr>
          <w:rFonts w:ascii="Times New Roman" w:hAnsi="Times New Roman"/>
          <w:sz w:val="24"/>
          <w:szCs w:val="24"/>
          <w:lang w:val="en-GB"/>
        </w:rPr>
        <w:t xml:space="preserve"> </w:t>
      </w:r>
      <w:r w:rsidR="00480276" w:rsidRPr="007A2F89">
        <w:rPr>
          <w:rFonts w:ascii="Times New Roman" w:hAnsi="Times New Roman"/>
          <w:sz w:val="24"/>
          <w:szCs w:val="24"/>
          <w:lang w:val="en-GB"/>
        </w:rPr>
        <w:t xml:space="preserve">(Friedman, 1970). </w:t>
      </w:r>
    </w:p>
    <w:p w14:paraId="0C3D39FB" w14:textId="224519BD" w:rsidR="00480276" w:rsidRPr="007A2F89" w:rsidRDefault="009705BB" w:rsidP="007A2F89">
      <w:pPr>
        <w:rPr>
          <w:rFonts w:ascii="Times New Roman" w:hAnsi="Times New Roman"/>
          <w:sz w:val="24"/>
          <w:szCs w:val="24"/>
          <w:lang w:val="en-GB"/>
        </w:rPr>
      </w:pPr>
      <w:r w:rsidRPr="007A2F89">
        <w:rPr>
          <w:rFonts w:ascii="Times New Roman" w:hAnsi="Times New Roman"/>
          <w:sz w:val="24"/>
          <w:szCs w:val="24"/>
          <w:lang w:val="en-GB"/>
        </w:rPr>
        <w:t xml:space="preserve">Contrary to this vision, the introduction of issues related to business ethics in the corporate economic literature (Lewis, 1985), </w:t>
      </w:r>
      <w:r w:rsidR="00114711" w:rsidRPr="007A2F89">
        <w:rPr>
          <w:rFonts w:ascii="Times New Roman" w:hAnsi="Times New Roman"/>
          <w:sz w:val="24"/>
          <w:szCs w:val="24"/>
          <w:lang w:val="en-GB"/>
        </w:rPr>
        <w:t>allowed to develop</w:t>
      </w:r>
      <w:r w:rsidRPr="007A2F89">
        <w:rPr>
          <w:rFonts w:ascii="Times New Roman" w:hAnsi="Times New Roman"/>
          <w:sz w:val="24"/>
          <w:szCs w:val="24"/>
          <w:lang w:val="en-GB"/>
        </w:rPr>
        <w:t xml:space="preserve"> a </w:t>
      </w:r>
      <w:r w:rsidR="00537A86" w:rsidRPr="007A2F89">
        <w:rPr>
          <w:rFonts w:ascii="Times New Roman" w:hAnsi="Times New Roman"/>
          <w:sz w:val="24"/>
          <w:szCs w:val="24"/>
          <w:lang w:val="en-GB"/>
        </w:rPr>
        <w:t>research field</w:t>
      </w:r>
      <w:r w:rsidRPr="007A2F89">
        <w:rPr>
          <w:rFonts w:ascii="Times New Roman" w:hAnsi="Times New Roman"/>
          <w:sz w:val="24"/>
          <w:szCs w:val="24"/>
          <w:lang w:val="en-GB"/>
        </w:rPr>
        <w:t xml:space="preserve"> that relegated business ethics </w:t>
      </w:r>
      <w:r w:rsidR="00537A86" w:rsidRPr="007A2F89">
        <w:rPr>
          <w:rFonts w:ascii="Times New Roman" w:hAnsi="Times New Roman"/>
          <w:sz w:val="24"/>
          <w:szCs w:val="24"/>
          <w:lang w:val="en-GB"/>
        </w:rPr>
        <w:t>with a</w:t>
      </w:r>
      <w:r w:rsidRPr="007A2F89">
        <w:rPr>
          <w:rFonts w:ascii="Times New Roman" w:hAnsi="Times New Roman"/>
          <w:sz w:val="24"/>
          <w:szCs w:val="24"/>
          <w:lang w:val="en-GB"/>
        </w:rPr>
        <w:t xml:space="preserve"> limit</w:t>
      </w:r>
      <w:r w:rsidR="00537A86" w:rsidRPr="007A2F89">
        <w:rPr>
          <w:rFonts w:ascii="Times New Roman" w:hAnsi="Times New Roman"/>
          <w:sz w:val="24"/>
          <w:szCs w:val="24"/>
          <w:lang w:val="en-GB"/>
        </w:rPr>
        <w:t>ed</w:t>
      </w:r>
      <w:r w:rsidRPr="007A2F89">
        <w:rPr>
          <w:rFonts w:ascii="Times New Roman" w:hAnsi="Times New Roman"/>
          <w:sz w:val="24"/>
          <w:szCs w:val="24"/>
          <w:lang w:val="en-GB"/>
        </w:rPr>
        <w:t xml:space="preserve"> role relating to the development of the capital system (Stark, 1993). </w:t>
      </w:r>
      <w:r w:rsidR="006E3588" w:rsidRPr="007A2F89">
        <w:rPr>
          <w:rFonts w:ascii="Times New Roman" w:hAnsi="Times New Roman"/>
          <w:sz w:val="24"/>
          <w:szCs w:val="24"/>
          <w:lang w:val="en-GB"/>
        </w:rPr>
        <w:t>Furthermore, the growing attention towards business activity has led to the development of</w:t>
      </w:r>
      <w:r w:rsidR="00596348" w:rsidRPr="007A2F89">
        <w:rPr>
          <w:rFonts w:ascii="Times New Roman" w:hAnsi="Times New Roman"/>
          <w:sz w:val="24"/>
          <w:szCs w:val="24"/>
          <w:lang w:val="en-GB"/>
        </w:rPr>
        <w:t xml:space="preserve"> Corporate Social Responsibility (CSR)</w:t>
      </w:r>
      <w:r w:rsidR="004D1C4D" w:rsidRPr="007A2F89">
        <w:rPr>
          <w:rFonts w:ascii="Times New Roman" w:hAnsi="Times New Roman"/>
          <w:sz w:val="24"/>
          <w:szCs w:val="24"/>
          <w:lang w:val="en-GB"/>
        </w:rPr>
        <w:t xml:space="preserve"> concept</w:t>
      </w:r>
      <w:r w:rsidR="00596348" w:rsidRPr="007A2F89">
        <w:rPr>
          <w:rFonts w:ascii="Times New Roman" w:hAnsi="Times New Roman"/>
          <w:sz w:val="24"/>
          <w:szCs w:val="24"/>
          <w:lang w:val="en-GB"/>
        </w:rPr>
        <w:t xml:space="preserve">, </w:t>
      </w:r>
      <w:r w:rsidR="004D1C4D" w:rsidRPr="007A2F89">
        <w:rPr>
          <w:rFonts w:ascii="Times New Roman" w:hAnsi="Times New Roman"/>
          <w:sz w:val="24"/>
          <w:szCs w:val="24"/>
          <w:lang w:val="en-GB"/>
        </w:rPr>
        <w:t>as a</w:t>
      </w:r>
      <w:r w:rsidR="006E3588" w:rsidRPr="007A2F89">
        <w:rPr>
          <w:rFonts w:ascii="Times New Roman" w:hAnsi="Times New Roman"/>
          <w:sz w:val="24"/>
          <w:szCs w:val="24"/>
          <w:lang w:val="en-GB"/>
        </w:rPr>
        <w:t xml:space="preserve"> </w:t>
      </w:r>
      <w:r w:rsidR="00043DA2" w:rsidRPr="007A2F89">
        <w:rPr>
          <w:rFonts w:ascii="Times New Roman" w:hAnsi="Times New Roman"/>
          <w:sz w:val="24"/>
          <w:szCs w:val="24"/>
          <w:lang w:val="en-GB"/>
        </w:rPr>
        <w:t>“</w:t>
      </w:r>
      <w:r w:rsidR="006E3588" w:rsidRPr="007A2F89">
        <w:rPr>
          <w:rFonts w:ascii="Times New Roman" w:hAnsi="Times New Roman"/>
          <w:sz w:val="24"/>
          <w:szCs w:val="24"/>
          <w:lang w:val="en-GB"/>
        </w:rPr>
        <w:t>social bond</w:t>
      </w:r>
      <w:r w:rsidR="00043DA2" w:rsidRPr="007A2F89">
        <w:rPr>
          <w:rFonts w:ascii="Times New Roman" w:hAnsi="Times New Roman"/>
          <w:sz w:val="24"/>
          <w:szCs w:val="24"/>
          <w:lang w:val="en-GB"/>
        </w:rPr>
        <w:t>”</w:t>
      </w:r>
      <w:r w:rsidR="006E3588" w:rsidRPr="007A2F89">
        <w:rPr>
          <w:rFonts w:ascii="Times New Roman" w:hAnsi="Times New Roman"/>
          <w:sz w:val="24"/>
          <w:szCs w:val="24"/>
          <w:lang w:val="en-GB"/>
        </w:rPr>
        <w:t xml:space="preserve"> deriving from the ethical dimension, </w:t>
      </w:r>
      <w:r w:rsidR="00716FA3" w:rsidRPr="007A2F89">
        <w:rPr>
          <w:rFonts w:ascii="Times New Roman" w:hAnsi="Times New Roman"/>
          <w:sz w:val="24"/>
          <w:szCs w:val="24"/>
          <w:lang w:val="en-GB"/>
        </w:rPr>
        <w:t>which accompanies</w:t>
      </w:r>
      <w:r w:rsidR="005136DB" w:rsidRPr="007A2F89">
        <w:rPr>
          <w:rFonts w:ascii="Times New Roman" w:hAnsi="Times New Roman"/>
          <w:sz w:val="24"/>
          <w:szCs w:val="24"/>
          <w:lang w:val="en-GB"/>
        </w:rPr>
        <w:t xml:space="preserve"> the complex </w:t>
      </w:r>
      <w:r w:rsidR="00596348" w:rsidRPr="007A2F89">
        <w:rPr>
          <w:rFonts w:ascii="Times New Roman" w:hAnsi="Times New Roman"/>
          <w:sz w:val="24"/>
          <w:szCs w:val="24"/>
          <w:lang w:val="en-GB"/>
        </w:rPr>
        <w:t>corporate system</w:t>
      </w:r>
      <w:r w:rsidR="005136DB" w:rsidRPr="007A2F89">
        <w:rPr>
          <w:rFonts w:ascii="Times New Roman" w:hAnsi="Times New Roman"/>
          <w:sz w:val="24"/>
          <w:szCs w:val="24"/>
          <w:lang w:val="en-GB"/>
        </w:rPr>
        <w:t xml:space="preserve"> activities</w:t>
      </w:r>
      <w:r w:rsidR="00596348" w:rsidRPr="007A2F89">
        <w:rPr>
          <w:rFonts w:ascii="Times New Roman" w:hAnsi="Times New Roman"/>
          <w:sz w:val="24"/>
          <w:szCs w:val="24"/>
          <w:lang w:val="en-GB"/>
        </w:rPr>
        <w:t>.</w:t>
      </w:r>
    </w:p>
    <w:p w14:paraId="23E613BF" w14:textId="2C2DC3E0" w:rsidR="00480276" w:rsidRPr="007A2F89" w:rsidRDefault="00787F97" w:rsidP="007A2F89">
      <w:pPr>
        <w:rPr>
          <w:rFonts w:ascii="Times New Roman" w:hAnsi="Times New Roman"/>
          <w:sz w:val="24"/>
          <w:szCs w:val="24"/>
          <w:lang w:val="en-GB"/>
        </w:rPr>
      </w:pPr>
      <w:r w:rsidRPr="007A2F89">
        <w:rPr>
          <w:rFonts w:ascii="Times New Roman" w:hAnsi="Times New Roman"/>
          <w:sz w:val="24"/>
          <w:szCs w:val="24"/>
          <w:lang w:val="en-GB"/>
        </w:rPr>
        <w:t xml:space="preserve">In this perspective, the concept defined by </w:t>
      </w:r>
      <w:r w:rsidR="00043DA2" w:rsidRPr="007A2F89">
        <w:rPr>
          <w:rFonts w:ascii="Times New Roman" w:hAnsi="Times New Roman"/>
          <w:sz w:val="24"/>
          <w:szCs w:val="24"/>
          <w:lang w:val="en-GB"/>
        </w:rPr>
        <w:t>“</w:t>
      </w:r>
      <w:r w:rsidRPr="007A2F89">
        <w:rPr>
          <w:rFonts w:ascii="Times New Roman" w:hAnsi="Times New Roman"/>
          <w:sz w:val="24"/>
          <w:szCs w:val="24"/>
          <w:lang w:val="en-GB"/>
        </w:rPr>
        <w:t>corporate social responsibility</w:t>
      </w:r>
      <w:r w:rsidR="00043DA2" w:rsidRPr="007A2F89">
        <w:rPr>
          <w:rFonts w:ascii="Times New Roman" w:hAnsi="Times New Roman"/>
          <w:sz w:val="24"/>
          <w:szCs w:val="24"/>
          <w:lang w:val="en-GB"/>
        </w:rPr>
        <w:t>”</w:t>
      </w:r>
      <w:r w:rsidRPr="007A2F89">
        <w:rPr>
          <w:rFonts w:ascii="Times New Roman" w:hAnsi="Times New Roman"/>
          <w:sz w:val="24"/>
          <w:szCs w:val="24"/>
          <w:lang w:val="en-GB"/>
        </w:rPr>
        <w:t xml:space="preserve"> has been implemented through different strategies, underlying the decision to adopt socially responsible </w:t>
      </w:r>
      <w:r w:rsidR="006E53F6" w:rsidRPr="007A2F89">
        <w:rPr>
          <w:rFonts w:ascii="Times New Roman" w:hAnsi="Times New Roman"/>
          <w:sz w:val="24"/>
          <w:szCs w:val="24"/>
          <w:lang w:val="en-GB"/>
        </w:rPr>
        <w:t>behaviours</w:t>
      </w:r>
      <w:r w:rsidRPr="007A2F89">
        <w:rPr>
          <w:rFonts w:ascii="Times New Roman" w:hAnsi="Times New Roman"/>
          <w:sz w:val="24"/>
          <w:szCs w:val="24"/>
          <w:lang w:val="en-GB"/>
        </w:rPr>
        <w:t xml:space="preserve">, characterized as purely philanthropic choices, as compensation for socially irresponsible </w:t>
      </w:r>
      <w:r w:rsidR="006E53F6" w:rsidRPr="007A2F89">
        <w:rPr>
          <w:rFonts w:ascii="Times New Roman" w:hAnsi="Times New Roman"/>
          <w:sz w:val="24"/>
          <w:szCs w:val="24"/>
          <w:lang w:val="en-GB"/>
        </w:rPr>
        <w:t>behaviour</w:t>
      </w:r>
      <w:r w:rsidRPr="007A2F89">
        <w:rPr>
          <w:rFonts w:ascii="Times New Roman" w:hAnsi="Times New Roman"/>
          <w:sz w:val="24"/>
          <w:szCs w:val="24"/>
          <w:lang w:val="en-GB"/>
        </w:rPr>
        <w:t xml:space="preserve">, or </w:t>
      </w:r>
      <w:r w:rsidR="00E160D5" w:rsidRPr="007A2F89">
        <w:rPr>
          <w:rFonts w:ascii="Times New Roman" w:hAnsi="Times New Roman"/>
          <w:sz w:val="24"/>
          <w:szCs w:val="24"/>
          <w:lang w:val="en-GB"/>
        </w:rPr>
        <w:t>for</w:t>
      </w:r>
      <w:r w:rsidRPr="007A2F89">
        <w:rPr>
          <w:rFonts w:ascii="Times New Roman" w:hAnsi="Times New Roman"/>
          <w:sz w:val="24"/>
          <w:szCs w:val="24"/>
          <w:lang w:val="en-GB"/>
        </w:rPr>
        <w:t xml:space="preserve"> the need to comply with rules and laws, perhaps not internally shared </w:t>
      </w:r>
      <w:r w:rsidR="00480276" w:rsidRPr="007A2F89">
        <w:rPr>
          <w:rFonts w:ascii="Times New Roman" w:hAnsi="Times New Roman"/>
          <w:sz w:val="24"/>
          <w:szCs w:val="24"/>
          <w:lang w:val="en-GB"/>
        </w:rPr>
        <w:t xml:space="preserve">(Rusconi, 2018). </w:t>
      </w:r>
      <w:r w:rsidR="00B95F5C" w:rsidRPr="007A2F89">
        <w:rPr>
          <w:rFonts w:ascii="Times New Roman" w:hAnsi="Times New Roman"/>
          <w:sz w:val="24"/>
          <w:szCs w:val="24"/>
          <w:lang w:val="en-GB"/>
        </w:rPr>
        <w:t xml:space="preserve">The deepening </w:t>
      </w:r>
      <w:r w:rsidR="00262C0D" w:rsidRPr="007A2F89">
        <w:rPr>
          <w:rFonts w:ascii="Times New Roman" w:hAnsi="Times New Roman"/>
          <w:sz w:val="24"/>
          <w:szCs w:val="24"/>
          <w:lang w:val="en-GB"/>
        </w:rPr>
        <w:t>reasons that underlie the</w:t>
      </w:r>
      <w:r w:rsidR="00B95F5C" w:rsidRPr="007A2F89">
        <w:rPr>
          <w:rFonts w:ascii="Times New Roman" w:hAnsi="Times New Roman"/>
          <w:sz w:val="24"/>
          <w:szCs w:val="24"/>
          <w:lang w:val="en-GB"/>
        </w:rPr>
        <w:t xml:space="preserve"> CSR strategies in companies has been and is still being the subject of an important research stream </w:t>
      </w:r>
      <w:r w:rsidR="00480276" w:rsidRPr="007A2F89">
        <w:rPr>
          <w:rFonts w:ascii="Times New Roman" w:hAnsi="Times New Roman"/>
          <w:sz w:val="24"/>
          <w:szCs w:val="24"/>
          <w:lang w:val="en-GB"/>
        </w:rPr>
        <w:t>(</w:t>
      </w:r>
      <w:r w:rsidR="00B2021A" w:rsidRPr="007A2F89">
        <w:rPr>
          <w:rFonts w:ascii="Times New Roman" w:hAnsi="Times New Roman"/>
          <w:sz w:val="24"/>
          <w:szCs w:val="24"/>
          <w:lang w:val="en-GB"/>
        </w:rPr>
        <w:t>e.g.,</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Graafland</w:t>
      </w:r>
      <w:proofErr w:type="spellEnd"/>
      <w:r w:rsidR="00480276" w:rsidRPr="007A2F89">
        <w:rPr>
          <w:rFonts w:ascii="Times New Roman" w:hAnsi="Times New Roman"/>
          <w:sz w:val="24"/>
          <w:szCs w:val="24"/>
          <w:lang w:val="en-GB"/>
        </w:rPr>
        <w:t xml:space="preserve"> </w:t>
      </w:r>
      <w:r w:rsidR="00B95F5C"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Van de Ven, 2006; </w:t>
      </w:r>
      <w:proofErr w:type="spellStart"/>
      <w:r w:rsidR="00480276" w:rsidRPr="007A2F89">
        <w:rPr>
          <w:rFonts w:ascii="Times New Roman" w:hAnsi="Times New Roman"/>
          <w:sz w:val="24"/>
          <w:szCs w:val="24"/>
          <w:lang w:val="en-GB"/>
        </w:rPr>
        <w:t>Graafland</w:t>
      </w:r>
      <w:proofErr w:type="spellEnd"/>
      <w:r w:rsidR="005A2C39" w:rsidRPr="007A2F89">
        <w:rPr>
          <w:rFonts w:ascii="Times New Roman" w:hAnsi="Times New Roman"/>
          <w:sz w:val="24"/>
          <w:szCs w:val="24"/>
          <w:lang w:val="en-GB"/>
        </w:rPr>
        <w:t xml:space="preserve"> </w:t>
      </w:r>
      <w:r w:rsidR="00B95F5C"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Mazereeuw</w:t>
      </w:r>
      <w:proofErr w:type="spellEnd"/>
      <w:r w:rsidR="00480276" w:rsidRPr="007A2F89">
        <w:rPr>
          <w:rFonts w:ascii="Times New Roman" w:hAnsi="Times New Roman"/>
          <w:sz w:val="24"/>
          <w:szCs w:val="24"/>
          <w:lang w:val="en-GB"/>
        </w:rPr>
        <w:t xml:space="preserve">-Van der </w:t>
      </w:r>
      <w:proofErr w:type="spellStart"/>
      <w:r w:rsidR="00480276" w:rsidRPr="007A2F89">
        <w:rPr>
          <w:rFonts w:ascii="Times New Roman" w:hAnsi="Times New Roman"/>
          <w:sz w:val="24"/>
          <w:szCs w:val="24"/>
          <w:lang w:val="en-GB"/>
        </w:rPr>
        <w:t>Duijn</w:t>
      </w:r>
      <w:proofErr w:type="spellEnd"/>
      <w:r w:rsidR="00480276" w:rsidRPr="007A2F89">
        <w:rPr>
          <w:rFonts w:ascii="Times New Roman" w:hAnsi="Times New Roman"/>
          <w:sz w:val="24"/>
          <w:szCs w:val="24"/>
          <w:lang w:val="en-GB"/>
        </w:rPr>
        <w:t xml:space="preserve"> Schouten, 2012; Wan</w:t>
      </w:r>
      <w:r w:rsidR="005F7F66" w:rsidRPr="007A2F89">
        <w:rPr>
          <w:rFonts w:ascii="Times New Roman" w:hAnsi="Times New Roman"/>
          <w:sz w:val="24"/>
          <w:szCs w:val="24"/>
          <w:lang w:val="en-GB"/>
        </w:rPr>
        <w:t>g</w:t>
      </w:r>
      <w:r w:rsidR="00480276" w:rsidRPr="007A2F89">
        <w:rPr>
          <w:rFonts w:ascii="Times New Roman" w:hAnsi="Times New Roman"/>
          <w:sz w:val="24"/>
          <w:szCs w:val="24"/>
          <w:lang w:val="en-GB"/>
        </w:rPr>
        <w:t>,</w:t>
      </w:r>
      <w:r w:rsidR="005F7F66" w:rsidRPr="007A2F89">
        <w:rPr>
          <w:rFonts w:ascii="Times New Roman" w:hAnsi="Times New Roman"/>
          <w:sz w:val="24"/>
          <w:szCs w:val="24"/>
          <w:lang w:val="en-GB"/>
        </w:rPr>
        <w:t xml:space="preserve"> Lam </w:t>
      </w:r>
      <w:r w:rsidR="00B95F5C" w:rsidRPr="007A2F89">
        <w:rPr>
          <w:rFonts w:ascii="Times New Roman" w:hAnsi="Times New Roman"/>
          <w:sz w:val="24"/>
          <w:szCs w:val="24"/>
          <w:lang w:val="en-GB"/>
        </w:rPr>
        <w:t>and</w:t>
      </w:r>
      <w:r w:rsidR="005F7F66" w:rsidRPr="007A2F89">
        <w:rPr>
          <w:rFonts w:ascii="Times New Roman" w:hAnsi="Times New Roman"/>
          <w:sz w:val="24"/>
          <w:szCs w:val="24"/>
          <w:lang w:val="en-GB"/>
        </w:rPr>
        <w:t xml:space="preserve"> Varshney,</w:t>
      </w:r>
      <w:r w:rsidR="00480276" w:rsidRPr="007A2F89">
        <w:rPr>
          <w:rFonts w:ascii="Times New Roman" w:hAnsi="Times New Roman"/>
          <w:sz w:val="24"/>
          <w:szCs w:val="24"/>
          <w:lang w:val="en-GB"/>
        </w:rPr>
        <w:t xml:space="preserve"> 2016</w:t>
      </w:r>
      <w:r w:rsidR="00AF3C07" w:rsidRPr="007A2F89">
        <w:rPr>
          <w:rFonts w:ascii="Times New Roman" w:hAnsi="Times New Roman"/>
          <w:sz w:val="24"/>
          <w:szCs w:val="24"/>
          <w:lang w:val="en-GB"/>
        </w:rPr>
        <w:t xml:space="preserve">; Mancini </w:t>
      </w:r>
      <w:r w:rsidR="00AF3C07" w:rsidRPr="007A2F89">
        <w:rPr>
          <w:rFonts w:ascii="Times New Roman" w:hAnsi="Times New Roman"/>
          <w:i/>
          <w:iCs/>
          <w:sz w:val="24"/>
          <w:szCs w:val="24"/>
          <w:lang w:val="en-GB"/>
        </w:rPr>
        <w:t>et al.</w:t>
      </w:r>
      <w:r w:rsidR="00AF3C07" w:rsidRPr="007A2F89">
        <w:rPr>
          <w:rFonts w:ascii="Times New Roman" w:hAnsi="Times New Roman"/>
          <w:sz w:val="24"/>
          <w:szCs w:val="24"/>
          <w:lang w:val="en-GB"/>
        </w:rPr>
        <w:t>, 2016)</w:t>
      </w:r>
      <w:r w:rsidR="00B95F5C" w:rsidRPr="007A2F89">
        <w:rPr>
          <w:rFonts w:ascii="Times New Roman" w:hAnsi="Times New Roman"/>
          <w:sz w:val="24"/>
          <w:szCs w:val="24"/>
          <w:lang w:val="en-GB"/>
        </w:rPr>
        <w:t>.</w:t>
      </w:r>
    </w:p>
    <w:p w14:paraId="0D986589" w14:textId="45631A28" w:rsidR="00F9536A" w:rsidRPr="007A2F89" w:rsidRDefault="006E0E7D" w:rsidP="007A2F89">
      <w:pPr>
        <w:rPr>
          <w:rFonts w:ascii="Times New Roman" w:hAnsi="Times New Roman"/>
          <w:sz w:val="24"/>
          <w:szCs w:val="24"/>
          <w:lang w:val="en-GB"/>
        </w:rPr>
      </w:pPr>
      <w:r w:rsidRPr="007A2F89">
        <w:rPr>
          <w:rFonts w:ascii="Times New Roman" w:hAnsi="Times New Roman"/>
          <w:sz w:val="24"/>
          <w:szCs w:val="24"/>
          <w:lang w:val="en-GB"/>
        </w:rPr>
        <w:t xml:space="preserve">Developing issues related to the social responsibility, sustainable development and the growing request for the contribution to this shared mission </w:t>
      </w:r>
      <w:r w:rsidR="00E72B05" w:rsidRPr="007A2F89">
        <w:rPr>
          <w:rFonts w:ascii="Times New Roman" w:hAnsi="Times New Roman"/>
          <w:sz w:val="24"/>
          <w:szCs w:val="24"/>
          <w:lang w:val="en-GB"/>
        </w:rPr>
        <w:t xml:space="preserve">in the </w:t>
      </w:r>
      <w:r w:rsidRPr="007A2F89">
        <w:rPr>
          <w:rFonts w:ascii="Times New Roman" w:hAnsi="Times New Roman"/>
          <w:sz w:val="24"/>
          <w:szCs w:val="24"/>
          <w:lang w:val="en-GB"/>
        </w:rPr>
        <w:t>public and private organizations</w:t>
      </w:r>
      <w:r w:rsidR="00480276" w:rsidRPr="007A2F89">
        <w:rPr>
          <w:rFonts w:ascii="Times New Roman" w:hAnsi="Times New Roman"/>
          <w:sz w:val="24"/>
          <w:szCs w:val="24"/>
          <w:lang w:val="en-GB"/>
        </w:rPr>
        <w:t xml:space="preserve">, </w:t>
      </w:r>
      <w:r w:rsidR="00E72B05" w:rsidRPr="007A2F89">
        <w:rPr>
          <w:rFonts w:ascii="Times New Roman" w:hAnsi="Times New Roman"/>
          <w:sz w:val="24"/>
          <w:szCs w:val="24"/>
          <w:lang w:val="en-GB"/>
        </w:rPr>
        <w:t>seems to led</w:t>
      </w:r>
      <w:r w:rsidR="00AC6FE0" w:rsidRPr="007A2F89">
        <w:rPr>
          <w:rFonts w:ascii="Times New Roman" w:hAnsi="Times New Roman"/>
          <w:sz w:val="24"/>
          <w:szCs w:val="24"/>
          <w:lang w:val="en-GB"/>
        </w:rPr>
        <w:t xml:space="preserve"> that the adoption of an ethical vision in the whole company system</w:t>
      </w:r>
      <w:r w:rsidR="00E72B05" w:rsidRPr="007A2F89">
        <w:rPr>
          <w:rFonts w:ascii="Times New Roman" w:hAnsi="Times New Roman"/>
          <w:sz w:val="24"/>
          <w:szCs w:val="24"/>
          <w:lang w:val="en-GB"/>
        </w:rPr>
        <w:t xml:space="preserve"> that</w:t>
      </w:r>
      <w:r w:rsidR="00AC6FE0" w:rsidRPr="007A2F89">
        <w:rPr>
          <w:rFonts w:ascii="Times New Roman" w:hAnsi="Times New Roman"/>
          <w:sz w:val="24"/>
          <w:szCs w:val="24"/>
          <w:lang w:val="en-GB"/>
        </w:rPr>
        <w:t xml:space="preserve"> is not compatible with the limitation of social responsibility to sporadic initiatives with a social impact, but it is the same systemic company vision (</w:t>
      </w:r>
      <w:proofErr w:type="spellStart"/>
      <w:r w:rsidR="00AC6FE0" w:rsidRPr="007A2F89">
        <w:rPr>
          <w:rFonts w:ascii="Times New Roman" w:hAnsi="Times New Roman"/>
          <w:sz w:val="24"/>
          <w:szCs w:val="24"/>
          <w:lang w:val="en-GB"/>
        </w:rPr>
        <w:t>Paolone</w:t>
      </w:r>
      <w:proofErr w:type="spellEnd"/>
      <w:r w:rsidR="00AC6FE0" w:rsidRPr="007A2F89">
        <w:rPr>
          <w:rFonts w:ascii="Times New Roman" w:hAnsi="Times New Roman"/>
          <w:sz w:val="24"/>
          <w:szCs w:val="24"/>
          <w:lang w:val="en-GB"/>
        </w:rPr>
        <w:t xml:space="preserve"> and D</w:t>
      </w:r>
      <w:r w:rsidR="007A2F89" w:rsidRPr="007A2F89">
        <w:rPr>
          <w:rFonts w:ascii="Times New Roman" w:hAnsi="Times New Roman"/>
          <w:sz w:val="24"/>
          <w:szCs w:val="24"/>
          <w:lang w:val="en-GB"/>
        </w:rPr>
        <w:t>’</w:t>
      </w:r>
      <w:r w:rsidR="00AC6FE0" w:rsidRPr="007A2F89">
        <w:rPr>
          <w:rFonts w:ascii="Times New Roman" w:hAnsi="Times New Roman"/>
          <w:sz w:val="24"/>
          <w:szCs w:val="24"/>
          <w:lang w:val="en-GB"/>
        </w:rPr>
        <w:t xml:space="preserve">Amico, 2017) that reasonably brings us closer to the concept </w:t>
      </w:r>
      <w:r w:rsidR="00AC6FE0" w:rsidRPr="007A2F89">
        <w:rPr>
          <w:rFonts w:ascii="Times New Roman" w:hAnsi="Times New Roman"/>
          <w:sz w:val="24"/>
          <w:szCs w:val="24"/>
          <w:lang w:val="en-GB"/>
        </w:rPr>
        <w:lastRenderedPageBreak/>
        <w:t>of "shared value"</w:t>
      </w:r>
      <w:r w:rsidR="00262C0D" w:rsidRPr="007A2F89">
        <w:rPr>
          <w:rFonts w:ascii="Times New Roman" w:hAnsi="Times New Roman"/>
          <w:sz w:val="24"/>
          <w:szCs w:val="24"/>
          <w:lang w:val="en-GB"/>
        </w:rPr>
        <w:t xml:space="preserve"> creations</w:t>
      </w:r>
      <w:r w:rsidR="00AC6FE0" w:rsidRPr="007A2F89">
        <w:rPr>
          <w:rFonts w:ascii="Times New Roman" w:hAnsi="Times New Roman"/>
          <w:sz w:val="24"/>
          <w:szCs w:val="24"/>
          <w:lang w:val="en-GB"/>
        </w:rPr>
        <w:t>, which anticipates international models (Freeman, 1984; Porter and Kramer, 2012), involving the essence and</w:t>
      </w:r>
      <w:r w:rsidR="00E72B05" w:rsidRPr="007A2F89">
        <w:rPr>
          <w:rFonts w:ascii="Times New Roman" w:hAnsi="Times New Roman"/>
          <w:sz w:val="24"/>
          <w:szCs w:val="24"/>
          <w:lang w:val="en-GB"/>
        </w:rPr>
        <w:t xml:space="preserve"> organisation</w:t>
      </w:r>
      <w:r w:rsidR="00AC6FE0" w:rsidRPr="007A2F89">
        <w:rPr>
          <w:rFonts w:ascii="Times New Roman" w:hAnsi="Times New Roman"/>
          <w:sz w:val="24"/>
          <w:szCs w:val="24"/>
          <w:lang w:val="en-GB"/>
        </w:rPr>
        <w:t xml:space="preserve"> purpose as a whole.</w:t>
      </w:r>
    </w:p>
    <w:p w14:paraId="205C728E" w14:textId="4AE1EF35" w:rsidR="003015F9" w:rsidRPr="007A2F89" w:rsidRDefault="00F9536A" w:rsidP="007A2F89">
      <w:pPr>
        <w:rPr>
          <w:rFonts w:ascii="Times New Roman" w:hAnsi="Times New Roman"/>
          <w:sz w:val="24"/>
          <w:szCs w:val="24"/>
          <w:lang w:val="en-GB"/>
        </w:rPr>
      </w:pPr>
      <w:r w:rsidRPr="007A2F89">
        <w:rPr>
          <w:rFonts w:ascii="Times New Roman" w:hAnsi="Times New Roman"/>
          <w:sz w:val="24"/>
          <w:szCs w:val="24"/>
          <w:lang w:val="en-GB"/>
        </w:rPr>
        <w:t xml:space="preserve">According </w:t>
      </w:r>
      <w:r w:rsidR="00030452" w:rsidRPr="007A2F89">
        <w:rPr>
          <w:rFonts w:ascii="Times New Roman" w:hAnsi="Times New Roman"/>
          <w:sz w:val="24"/>
          <w:szCs w:val="24"/>
          <w:lang w:val="en-GB"/>
        </w:rPr>
        <w:t>with</w:t>
      </w:r>
      <w:r w:rsidRPr="007A2F89">
        <w:rPr>
          <w:rFonts w:ascii="Times New Roman" w:hAnsi="Times New Roman"/>
          <w:sz w:val="24"/>
          <w:szCs w:val="24"/>
          <w:lang w:val="en-GB"/>
        </w:rPr>
        <w:t xml:space="preserve"> this perspective, corporate social responsibility leaves the role of an external limit towards company</w:t>
      </w:r>
      <w:r w:rsidR="007A2F89" w:rsidRPr="007A2F89">
        <w:rPr>
          <w:rFonts w:ascii="Times New Roman" w:hAnsi="Times New Roman"/>
          <w:sz w:val="24"/>
          <w:szCs w:val="24"/>
          <w:lang w:val="en-GB"/>
        </w:rPr>
        <w:t>’</w:t>
      </w:r>
      <w:r w:rsidRPr="007A2F89">
        <w:rPr>
          <w:rFonts w:ascii="Times New Roman" w:hAnsi="Times New Roman"/>
          <w:sz w:val="24"/>
          <w:szCs w:val="24"/>
          <w:lang w:val="en-GB"/>
        </w:rPr>
        <w:t>s economic and financial objective (Rusconi, 2018), becoming a</w:t>
      </w:r>
      <w:r w:rsidR="00DD2D9B" w:rsidRPr="007A2F89">
        <w:rPr>
          <w:rFonts w:ascii="Times New Roman" w:hAnsi="Times New Roman"/>
          <w:sz w:val="24"/>
          <w:szCs w:val="24"/>
          <w:lang w:val="en-GB"/>
        </w:rPr>
        <w:t xml:space="preserve"> key</w:t>
      </w:r>
      <w:r w:rsidRPr="007A2F89">
        <w:rPr>
          <w:rFonts w:ascii="Times New Roman" w:hAnsi="Times New Roman"/>
          <w:sz w:val="24"/>
          <w:szCs w:val="24"/>
          <w:lang w:val="en-GB"/>
        </w:rPr>
        <w:t xml:space="preserve"> factor for corporate success (Coda, 1989; 2010)</w:t>
      </w:r>
      <w:r w:rsidR="0037419E" w:rsidRPr="007A2F89">
        <w:rPr>
          <w:rFonts w:ascii="Times New Roman" w:hAnsi="Times New Roman"/>
          <w:sz w:val="24"/>
          <w:szCs w:val="24"/>
          <w:lang w:val="en-GB"/>
        </w:rPr>
        <w:t>.</w:t>
      </w:r>
    </w:p>
    <w:p w14:paraId="406D4605" w14:textId="6F44CB29" w:rsidR="00480276" w:rsidRPr="007A2F89" w:rsidRDefault="00021BDE" w:rsidP="007A2F89">
      <w:pPr>
        <w:rPr>
          <w:rFonts w:ascii="Times New Roman" w:hAnsi="Times New Roman"/>
          <w:sz w:val="24"/>
          <w:szCs w:val="24"/>
          <w:lang w:val="en-GB"/>
        </w:rPr>
      </w:pPr>
      <w:r w:rsidRPr="007A2F89">
        <w:rPr>
          <w:rFonts w:ascii="Times New Roman" w:hAnsi="Times New Roman"/>
          <w:sz w:val="24"/>
          <w:szCs w:val="24"/>
          <w:lang w:val="en-GB"/>
        </w:rPr>
        <w:t>In addition, the management</w:t>
      </w:r>
      <w:r w:rsidR="007A2F89" w:rsidRPr="007A2F89">
        <w:rPr>
          <w:rFonts w:ascii="Times New Roman" w:hAnsi="Times New Roman"/>
          <w:sz w:val="24"/>
          <w:szCs w:val="24"/>
          <w:lang w:val="en-GB"/>
        </w:rPr>
        <w:t>’</w:t>
      </w:r>
      <w:r w:rsidRPr="007A2F89">
        <w:rPr>
          <w:rFonts w:ascii="Times New Roman" w:hAnsi="Times New Roman"/>
          <w:sz w:val="24"/>
          <w:szCs w:val="24"/>
          <w:lang w:val="en-GB"/>
        </w:rPr>
        <w:t>s motivations - including specifically opportunistic reasons - for the adoption of implicit and explicit</w:t>
      </w:r>
      <w:r w:rsidR="00114711" w:rsidRPr="007A2F89">
        <w:rPr>
          <w:rFonts w:ascii="Times New Roman" w:hAnsi="Times New Roman"/>
          <w:sz w:val="24"/>
          <w:szCs w:val="24"/>
          <w:lang w:val="en-GB"/>
        </w:rPr>
        <w:t xml:space="preserve"> strategies</w:t>
      </w:r>
      <w:r w:rsidRPr="007A2F89">
        <w:rPr>
          <w:rFonts w:ascii="Times New Roman" w:hAnsi="Times New Roman"/>
          <w:sz w:val="24"/>
          <w:szCs w:val="24"/>
          <w:lang w:val="en-GB"/>
        </w:rPr>
        <w:t>, of social responsibility in business management</w:t>
      </w:r>
      <w:r w:rsidR="00480276" w:rsidRPr="007A2F89">
        <w:rPr>
          <w:rFonts w:ascii="Times New Roman" w:hAnsi="Times New Roman"/>
          <w:sz w:val="24"/>
          <w:szCs w:val="24"/>
          <w:lang w:val="en-GB"/>
        </w:rPr>
        <w:t xml:space="preserve">, </w:t>
      </w:r>
      <w:r w:rsidRPr="007A2F89">
        <w:rPr>
          <w:rFonts w:ascii="Times New Roman" w:hAnsi="Times New Roman"/>
          <w:sz w:val="24"/>
          <w:szCs w:val="24"/>
          <w:lang w:val="en-GB"/>
        </w:rPr>
        <w:t>promote</w:t>
      </w:r>
      <w:r w:rsidR="00BB4B66" w:rsidRPr="007A2F89">
        <w:rPr>
          <w:rFonts w:ascii="Times New Roman" w:hAnsi="Times New Roman"/>
          <w:sz w:val="24"/>
          <w:szCs w:val="24"/>
          <w:lang w:val="en-GB"/>
        </w:rPr>
        <w:t xml:space="preserve"> competitive</w:t>
      </w:r>
      <w:r w:rsidRPr="007A2F89">
        <w:rPr>
          <w:rFonts w:ascii="Times New Roman" w:hAnsi="Times New Roman"/>
          <w:sz w:val="24"/>
          <w:szCs w:val="24"/>
          <w:lang w:val="en-GB"/>
        </w:rPr>
        <w:t xml:space="preserve"> growth, facilitat</w:t>
      </w:r>
      <w:r w:rsidR="00114711" w:rsidRPr="007A2F89">
        <w:rPr>
          <w:rFonts w:ascii="Times New Roman" w:hAnsi="Times New Roman"/>
          <w:sz w:val="24"/>
          <w:szCs w:val="24"/>
          <w:lang w:val="en-GB"/>
        </w:rPr>
        <w:t>e</w:t>
      </w:r>
      <w:r w:rsidRPr="007A2F89">
        <w:rPr>
          <w:rFonts w:ascii="Times New Roman" w:hAnsi="Times New Roman"/>
          <w:sz w:val="24"/>
          <w:szCs w:val="24"/>
          <w:lang w:val="en-GB"/>
        </w:rPr>
        <w:t xml:space="preserve"> the understanding and analysis of the competitive context in which they operate, as the relationship with the groups of corporate stakeholders</w:t>
      </w:r>
      <w:r w:rsidR="00BB4B66" w:rsidRPr="007A2F89">
        <w:rPr>
          <w:rFonts w:ascii="Times New Roman" w:hAnsi="Times New Roman"/>
          <w:sz w:val="24"/>
          <w:szCs w:val="24"/>
          <w:lang w:val="en-GB"/>
        </w:rPr>
        <w:t xml:space="preserve">, </w:t>
      </w:r>
      <w:r w:rsidR="00DD2D9B" w:rsidRPr="007A2F89">
        <w:rPr>
          <w:rFonts w:ascii="Times New Roman" w:hAnsi="Times New Roman"/>
          <w:sz w:val="24"/>
          <w:szCs w:val="24"/>
          <w:lang w:val="en-GB"/>
        </w:rPr>
        <w:t>more</w:t>
      </w:r>
      <w:r w:rsidRPr="007A2F89">
        <w:rPr>
          <w:rFonts w:ascii="Times New Roman" w:hAnsi="Times New Roman"/>
          <w:sz w:val="24"/>
          <w:szCs w:val="24"/>
          <w:lang w:val="en-GB"/>
        </w:rPr>
        <w:t xml:space="preserve"> interested in the sustainability</w:t>
      </w:r>
      <w:r w:rsidR="00BB4B66" w:rsidRPr="007A2F89">
        <w:rPr>
          <w:rFonts w:ascii="Times New Roman" w:hAnsi="Times New Roman"/>
          <w:sz w:val="24"/>
          <w:szCs w:val="24"/>
          <w:lang w:val="en-GB"/>
        </w:rPr>
        <w:t xml:space="preserve"> organisations</w:t>
      </w:r>
      <w:r w:rsidRPr="007A2F89">
        <w:rPr>
          <w:rFonts w:ascii="Times New Roman" w:hAnsi="Times New Roman"/>
          <w:sz w:val="24"/>
          <w:szCs w:val="24"/>
          <w:lang w:val="en-GB"/>
        </w:rPr>
        <w:t xml:space="preserve"> </w:t>
      </w:r>
      <w:r w:rsidR="00DD2D9B" w:rsidRPr="007A2F89">
        <w:rPr>
          <w:rFonts w:ascii="Times New Roman" w:hAnsi="Times New Roman"/>
          <w:sz w:val="24"/>
          <w:szCs w:val="24"/>
          <w:lang w:val="en-GB"/>
        </w:rPr>
        <w:t>activities</w:t>
      </w:r>
      <w:r w:rsidRPr="007A2F89">
        <w:rPr>
          <w:rFonts w:ascii="Times New Roman" w:hAnsi="Times New Roman"/>
          <w:sz w:val="24"/>
          <w:szCs w:val="24"/>
          <w:lang w:val="en-GB"/>
        </w:rPr>
        <w:t xml:space="preserve">, especially for profit-making companies </w:t>
      </w:r>
      <w:r w:rsidR="00480276" w:rsidRPr="007A2F89">
        <w:rPr>
          <w:rFonts w:ascii="Times New Roman" w:hAnsi="Times New Roman"/>
          <w:sz w:val="24"/>
          <w:szCs w:val="24"/>
          <w:lang w:val="en-GB"/>
        </w:rPr>
        <w:t>(Rusconi, 2018).</w:t>
      </w:r>
    </w:p>
    <w:p w14:paraId="726E70DF" w14:textId="5FF0383F" w:rsidR="00480276" w:rsidRPr="007A2F89" w:rsidRDefault="00021BDE" w:rsidP="007A2F89">
      <w:pPr>
        <w:rPr>
          <w:rFonts w:ascii="Times New Roman" w:hAnsi="Times New Roman"/>
          <w:sz w:val="24"/>
          <w:szCs w:val="24"/>
          <w:lang w:val="en-GB"/>
        </w:rPr>
      </w:pPr>
      <w:r w:rsidRPr="007A2F89">
        <w:rPr>
          <w:rFonts w:ascii="Times New Roman" w:hAnsi="Times New Roman"/>
          <w:sz w:val="24"/>
          <w:szCs w:val="24"/>
          <w:lang w:val="en-GB"/>
        </w:rPr>
        <w:t>This debate</w:t>
      </w:r>
      <w:r w:rsidR="00DD2D9B" w:rsidRPr="007A2F89">
        <w:rPr>
          <w:rFonts w:ascii="Times New Roman" w:hAnsi="Times New Roman"/>
          <w:sz w:val="24"/>
          <w:szCs w:val="24"/>
          <w:lang w:val="en-GB"/>
        </w:rPr>
        <w:t xml:space="preserve"> emerging</w:t>
      </w:r>
      <w:r w:rsidRPr="007A2F89">
        <w:rPr>
          <w:rFonts w:ascii="Times New Roman" w:hAnsi="Times New Roman"/>
          <w:sz w:val="24"/>
          <w:szCs w:val="24"/>
          <w:lang w:val="en-GB"/>
        </w:rPr>
        <w:t xml:space="preserve"> raises the fundamental question regarding how companies </w:t>
      </w:r>
      <w:proofErr w:type="gramStart"/>
      <w:r w:rsidRPr="007A2F89">
        <w:rPr>
          <w:rFonts w:ascii="Times New Roman" w:hAnsi="Times New Roman"/>
          <w:sz w:val="24"/>
          <w:szCs w:val="24"/>
          <w:lang w:val="en-GB"/>
        </w:rPr>
        <w:t>actually approach</w:t>
      </w:r>
      <w:proofErr w:type="gramEnd"/>
      <w:r w:rsidRPr="007A2F89">
        <w:rPr>
          <w:rFonts w:ascii="Times New Roman" w:hAnsi="Times New Roman"/>
          <w:sz w:val="24"/>
          <w:szCs w:val="24"/>
          <w:lang w:val="en-GB"/>
        </w:rPr>
        <w:t xml:space="preserve"> towards sustainable management in the complex set of activities and how </w:t>
      </w:r>
      <w:r w:rsidR="00326BB3" w:rsidRPr="007A2F89">
        <w:rPr>
          <w:rFonts w:ascii="Times New Roman" w:hAnsi="Times New Roman"/>
          <w:sz w:val="24"/>
          <w:szCs w:val="24"/>
          <w:lang w:val="en-GB"/>
        </w:rPr>
        <w:t>this activity</w:t>
      </w:r>
      <w:r w:rsidRPr="007A2F89">
        <w:rPr>
          <w:rFonts w:ascii="Times New Roman" w:hAnsi="Times New Roman"/>
          <w:sz w:val="24"/>
          <w:szCs w:val="24"/>
          <w:lang w:val="en-GB"/>
        </w:rPr>
        <w:t xml:space="preserve"> affects the economic and financial performance in the medium and long term. </w:t>
      </w:r>
      <w:r w:rsidR="00CF7723" w:rsidRPr="007A2F89">
        <w:rPr>
          <w:rFonts w:ascii="Times New Roman" w:hAnsi="Times New Roman"/>
          <w:sz w:val="24"/>
          <w:szCs w:val="24"/>
          <w:lang w:val="en-GB"/>
        </w:rPr>
        <w:t>Particularly</w:t>
      </w:r>
      <w:r w:rsidR="004A55E3" w:rsidRPr="007A2F89">
        <w:rPr>
          <w:rFonts w:ascii="Times New Roman" w:hAnsi="Times New Roman"/>
          <w:sz w:val="24"/>
          <w:szCs w:val="24"/>
          <w:lang w:val="en-GB"/>
        </w:rPr>
        <w:t xml:space="preserve">, despite the growing expectations of stakeholders, the literature highlights the specific </w:t>
      </w:r>
      <w:r w:rsidR="00D37F52" w:rsidRPr="007A2F89">
        <w:rPr>
          <w:rFonts w:ascii="Times New Roman" w:hAnsi="Times New Roman"/>
          <w:sz w:val="24"/>
          <w:szCs w:val="24"/>
          <w:lang w:val="en-GB"/>
        </w:rPr>
        <w:t xml:space="preserve">medium-sized and micro enterprises </w:t>
      </w:r>
      <w:r w:rsidR="00E778B9" w:rsidRPr="007A2F89">
        <w:rPr>
          <w:rFonts w:ascii="Times New Roman" w:hAnsi="Times New Roman"/>
          <w:sz w:val="24"/>
          <w:szCs w:val="24"/>
          <w:lang w:val="en-GB"/>
        </w:rPr>
        <w:t>behaviours</w:t>
      </w:r>
      <w:r w:rsidR="004A55E3" w:rsidRPr="007A2F89">
        <w:rPr>
          <w:rFonts w:ascii="Times New Roman" w:hAnsi="Times New Roman"/>
          <w:sz w:val="24"/>
          <w:szCs w:val="24"/>
          <w:lang w:val="en-GB"/>
        </w:rPr>
        <w:t xml:space="preserve"> in adopting sustainable and social responsibility approaches</w:t>
      </w:r>
      <w:r w:rsidR="00480276" w:rsidRPr="007A2F89">
        <w:rPr>
          <w:rFonts w:ascii="Times New Roman" w:hAnsi="Times New Roman"/>
          <w:sz w:val="24"/>
          <w:szCs w:val="24"/>
          <w:lang w:val="en-GB"/>
        </w:rPr>
        <w:t xml:space="preserve">. </w:t>
      </w:r>
      <w:r w:rsidR="00CF7723" w:rsidRPr="007A2F89">
        <w:rPr>
          <w:rFonts w:ascii="Times New Roman" w:hAnsi="Times New Roman"/>
          <w:sz w:val="24"/>
          <w:szCs w:val="24"/>
          <w:lang w:val="en-GB"/>
        </w:rPr>
        <w:t>Whilst</w:t>
      </w:r>
      <w:r w:rsidR="00DE2D1F" w:rsidRPr="007A2F89">
        <w:rPr>
          <w:rFonts w:ascii="Times New Roman" w:hAnsi="Times New Roman"/>
          <w:sz w:val="24"/>
          <w:szCs w:val="24"/>
          <w:lang w:val="en-GB"/>
        </w:rPr>
        <w:t xml:space="preserve"> the literature highlights some difficulties in</w:t>
      </w:r>
      <w:r w:rsidR="00E778B9" w:rsidRPr="007A2F89">
        <w:rPr>
          <w:rFonts w:ascii="Times New Roman" w:hAnsi="Times New Roman"/>
          <w:sz w:val="24"/>
          <w:szCs w:val="24"/>
          <w:lang w:val="en-GB"/>
        </w:rPr>
        <w:t xml:space="preserve"> adopting</w:t>
      </w:r>
      <w:r w:rsidR="00DE2D1F" w:rsidRPr="007A2F89">
        <w:rPr>
          <w:rFonts w:ascii="Times New Roman" w:hAnsi="Times New Roman"/>
          <w:sz w:val="24"/>
          <w:szCs w:val="24"/>
          <w:lang w:val="en-GB"/>
        </w:rPr>
        <w:t xml:space="preserve"> sustainability strategies related to</w:t>
      </w:r>
      <w:r w:rsidR="00E778B9" w:rsidRPr="007A2F89">
        <w:rPr>
          <w:rFonts w:ascii="Times New Roman" w:hAnsi="Times New Roman"/>
          <w:sz w:val="24"/>
          <w:szCs w:val="24"/>
          <w:lang w:val="en-GB"/>
        </w:rPr>
        <w:t xml:space="preserve"> the</w:t>
      </w:r>
      <w:r w:rsidR="00DE2D1F" w:rsidRPr="007A2F89">
        <w:rPr>
          <w:rFonts w:ascii="Times New Roman" w:hAnsi="Times New Roman"/>
          <w:sz w:val="24"/>
          <w:szCs w:val="24"/>
          <w:lang w:val="en-GB"/>
        </w:rPr>
        <w:t xml:space="preserve"> </w:t>
      </w:r>
      <w:r w:rsidR="00E778B9" w:rsidRPr="007A2F89">
        <w:rPr>
          <w:rFonts w:ascii="Times New Roman" w:hAnsi="Times New Roman"/>
          <w:sz w:val="24"/>
          <w:szCs w:val="24"/>
          <w:lang w:val="en-GB"/>
        </w:rPr>
        <w:t>lack of managerial and financial resources</w:t>
      </w:r>
      <w:r w:rsidR="00DE2D1F" w:rsidRPr="007A2F89">
        <w:rPr>
          <w:rFonts w:ascii="Times New Roman" w:hAnsi="Times New Roman"/>
          <w:sz w:val="24"/>
          <w:szCs w:val="24"/>
          <w:lang w:val="en-GB"/>
        </w:rPr>
        <w:t xml:space="preserve"> </w:t>
      </w:r>
      <w:r w:rsidR="00480276" w:rsidRPr="007A2F89">
        <w:rPr>
          <w:rFonts w:ascii="Times New Roman" w:hAnsi="Times New Roman"/>
          <w:sz w:val="24"/>
          <w:szCs w:val="24"/>
          <w:lang w:val="en-GB"/>
        </w:rPr>
        <w:t xml:space="preserve">(Shields </w:t>
      </w:r>
      <w:r w:rsidR="000302E8"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Shelleman</w:t>
      </w:r>
      <w:proofErr w:type="spellEnd"/>
      <w:r w:rsidR="00480276" w:rsidRPr="007A2F89">
        <w:rPr>
          <w:rFonts w:ascii="Times New Roman" w:hAnsi="Times New Roman"/>
          <w:sz w:val="24"/>
          <w:szCs w:val="24"/>
          <w:lang w:val="en-GB"/>
        </w:rPr>
        <w:t xml:space="preserve">, 2015, 2017; </w:t>
      </w:r>
      <w:proofErr w:type="spellStart"/>
      <w:r w:rsidR="00480276" w:rsidRPr="007A2F89">
        <w:rPr>
          <w:rFonts w:ascii="Times New Roman" w:hAnsi="Times New Roman"/>
          <w:sz w:val="24"/>
          <w:szCs w:val="24"/>
          <w:lang w:val="en-GB"/>
        </w:rPr>
        <w:t>Kautonen</w:t>
      </w:r>
      <w:proofErr w:type="spellEnd"/>
      <w:r w:rsidR="00480276" w:rsidRPr="007A2F89">
        <w:rPr>
          <w:rFonts w:ascii="Times New Roman" w:hAnsi="Times New Roman"/>
          <w:sz w:val="24"/>
          <w:szCs w:val="24"/>
          <w:lang w:val="en-GB"/>
        </w:rPr>
        <w:t xml:space="preserve"> </w:t>
      </w:r>
      <w:r w:rsidR="00480276" w:rsidRPr="007A2F89">
        <w:rPr>
          <w:rFonts w:ascii="Times New Roman" w:hAnsi="Times New Roman"/>
          <w:i/>
          <w:iCs/>
          <w:sz w:val="24"/>
          <w:szCs w:val="24"/>
          <w:lang w:val="en-GB"/>
        </w:rPr>
        <w:t>et al.</w:t>
      </w:r>
      <w:r w:rsidR="00480276" w:rsidRPr="007A2F89">
        <w:rPr>
          <w:rFonts w:ascii="Times New Roman" w:hAnsi="Times New Roman"/>
          <w:sz w:val="24"/>
          <w:szCs w:val="24"/>
          <w:lang w:val="en-GB"/>
        </w:rPr>
        <w:t>, 2020; Wiesner</w:t>
      </w:r>
      <w:r w:rsidR="005F7F66" w:rsidRPr="007A2F89">
        <w:rPr>
          <w:rFonts w:ascii="Times New Roman" w:hAnsi="Times New Roman"/>
          <w:sz w:val="24"/>
          <w:szCs w:val="24"/>
          <w:lang w:val="en-GB"/>
        </w:rPr>
        <w:t xml:space="preserve">, </w:t>
      </w:r>
      <w:proofErr w:type="spellStart"/>
      <w:r w:rsidR="005F7F66" w:rsidRPr="007A2F89">
        <w:rPr>
          <w:rFonts w:ascii="Times New Roman" w:eastAsia="Times New Roman" w:hAnsi="Times New Roman"/>
          <w:color w:val="222222"/>
          <w:sz w:val="24"/>
          <w:szCs w:val="24"/>
          <w:shd w:val="clear" w:color="auto" w:fill="FFFFFF"/>
          <w:lang w:val="en-GB" w:eastAsia="it-IT"/>
        </w:rPr>
        <w:t>Chadee</w:t>
      </w:r>
      <w:proofErr w:type="spellEnd"/>
      <w:r w:rsidR="005F7F66" w:rsidRPr="007A2F89">
        <w:rPr>
          <w:rFonts w:ascii="Times New Roman" w:eastAsia="Times New Roman" w:hAnsi="Times New Roman"/>
          <w:color w:val="222222"/>
          <w:sz w:val="24"/>
          <w:szCs w:val="24"/>
          <w:shd w:val="clear" w:color="auto" w:fill="FFFFFF"/>
          <w:lang w:val="en-GB" w:eastAsia="it-IT"/>
        </w:rPr>
        <w:t xml:space="preserve"> </w:t>
      </w:r>
      <w:r w:rsidR="000302E8" w:rsidRPr="007A2F89">
        <w:rPr>
          <w:rFonts w:ascii="Times New Roman" w:eastAsia="Times New Roman" w:hAnsi="Times New Roman"/>
          <w:color w:val="222222"/>
          <w:sz w:val="24"/>
          <w:szCs w:val="24"/>
          <w:shd w:val="clear" w:color="auto" w:fill="FFFFFF"/>
          <w:lang w:val="en-GB" w:eastAsia="it-IT"/>
        </w:rPr>
        <w:t>and</w:t>
      </w:r>
      <w:r w:rsidR="005F7F66" w:rsidRPr="007A2F89">
        <w:rPr>
          <w:rFonts w:ascii="Times New Roman" w:eastAsia="Times New Roman" w:hAnsi="Times New Roman"/>
          <w:color w:val="222222"/>
          <w:sz w:val="24"/>
          <w:szCs w:val="24"/>
          <w:shd w:val="clear" w:color="auto" w:fill="FFFFFF"/>
          <w:lang w:val="en-GB" w:eastAsia="it-IT"/>
        </w:rPr>
        <w:t xml:space="preserve"> Best</w:t>
      </w:r>
      <w:r w:rsidR="00480276" w:rsidRPr="007A2F89">
        <w:rPr>
          <w:rFonts w:ascii="Times New Roman" w:hAnsi="Times New Roman"/>
          <w:sz w:val="24"/>
          <w:szCs w:val="24"/>
          <w:lang w:val="en-GB"/>
        </w:rPr>
        <w:t>, 2018)</w:t>
      </w:r>
      <w:r w:rsidR="00E778B9" w:rsidRPr="007A2F89">
        <w:rPr>
          <w:rFonts w:ascii="Times New Roman" w:hAnsi="Times New Roman"/>
          <w:sz w:val="24"/>
          <w:szCs w:val="24"/>
          <w:lang w:val="en-GB"/>
        </w:rPr>
        <w:t>,</w:t>
      </w:r>
      <w:r w:rsidR="000302E8" w:rsidRPr="007A2F89">
        <w:rPr>
          <w:rFonts w:ascii="Times New Roman" w:hAnsi="Times New Roman"/>
          <w:sz w:val="24"/>
          <w:szCs w:val="24"/>
          <w:lang w:val="en-GB"/>
        </w:rPr>
        <w:t xml:space="preserve"> some</w:t>
      </w:r>
      <w:r w:rsidR="002716A5" w:rsidRPr="007A2F89">
        <w:rPr>
          <w:rFonts w:ascii="Times New Roman" w:hAnsi="Times New Roman"/>
          <w:sz w:val="24"/>
          <w:szCs w:val="24"/>
          <w:lang w:val="en-GB"/>
        </w:rPr>
        <w:t xml:space="preserve"> SMEs characteristics</w:t>
      </w:r>
      <w:r w:rsidR="000302E8" w:rsidRPr="007A2F89">
        <w:rPr>
          <w:rFonts w:ascii="Times New Roman" w:hAnsi="Times New Roman"/>
          <w:sz w:val="24"/>
          <w:szCs w:val="24"/>
          <w:lang w:val="en-GB"/>
        </w:rPr>
        <w:t xml:space="preserve"> </w:t>
      </w:r>
      <w:r w:rsidR="002716A5" w:rsidRPr="007A2F89">
        <w:rPr>
          <w:rFonts w:ascii="Times New Roman" w:hAnsi="Times New Roman"/>
          <w:sz w:val="24"/>
          <w:szCs w:val="24"/>
          <w:lang w:val="en-GB"/>
        </w:rPr>
        <w:t>s</w:t>
      </w:r>
      <w:r w:rsidR="000302E8" w:rsidRPr="007A2F89">
        <w:rPr>
          <w:rFonts w:ascii="Times New Roman" w:hAnsi="Times New Roman"/>
          <w:sz w:val="24"/>
          <w:szCs w:val="24"/>
          <w:lang w:val="en-GB"/>
        </w:rPr>
        <w:t xml:space="preserve">eem to </w:t>
      </w:r>
      <w:r w:rsidR="00E778B9" w:rsidRPr="007A2F89">
        <w:rPr>
          <w:rFonts w:ascii="Times New Roman" w:hAnsi="Times New Roman"/>
          <w:sz w:val="24"/>
          <w:szCs w:val="24"/>
          <w:lang w:val="en-GB"/>
        </w:rPr>
        <w:t>favour</w:t>
      </w:r>
      <w:r w:rsidR="000302E8" w:rsidRPr="007A2F89">
        <w:rPr>
          <w:rFonts w:ascii="Times New Roman" w:hAnsi="Times New Roman"/>
          <w:sz w:val="24"/>
          <w:szCs w:val="24"/>
          <w:lang w:val="en-GB"/>
        </w:rPr>
        <w:t xml:space="preserve"> the implementation of social responsibility strategies</w:t>
      </w:r>
      <w:r w:rsidR="002716A5" w:rsidRPr="007A2F89">
        <w:rPr>
          <w:rFonts w:ascii="Times New Roman" w:hAnsi="Times New Roman"/>
          <w:sz w:val="24"/>
          <w:szCs w:val="24"/>
          <w:lang w:val="en-GB"/>
        </w:rPr>
        <w:t>,</w:t>
      </w:r>
      <w:r w:rsidR="000302E8" w:rsidRPr="007A2F89">
        <w:rPr>
          <w:rFonts w:ascii="Times New Roman" w:hAnsi="Times New Roman"/>
          <w:sz w:val="24"/>
          <w:szCs w:val="24"/>
          <w:lang w:val="en-GB"/>
        </w:rPr>
        <w:t xml:space="preserve"> </w:t>
      </w:r>
      <w:r w:rsidR="00C630A6" w:rsidRPr="007A2F89">
        <w:rPr>
          <w:rFonts w:ascii="Times New Roman" w:hAnsi="Times New Roman"/>
          <w:sz w:val="24"/>
          <w:szCs w:val="24"/>
          <w:lang w:val="en-GB"/>
        </w:rPr>
        <w:t>opposite</w:t>
      </w:r>
      <w:r w:rsidR="000302E8" w:rsidRPr="007A2F89">
        <w:rPr>
          <w:rFonts w:ascii="Times New Roman" w:hAnsi="Times New Roman"/>
          <w:sz w:val="24"/>
          <w:szCs w:val="24"/>
          <w:lang w:val="en-GB"/>
        </w:rPr>
        <w:t xml:space="preserve"> to large companies, </w:t>
      </w:r>
      <w:r w:rsidR="00CF7723" w:rsidRPr="007A2F89">
        <w:rPr>
          <w:rFonts w:ascii="Times New Roman" w:hAnsi="Times New Roman"/>
          <w:sz w:val="24"/>
          <w:szCs w:val="24"/>
          <w:lang w:val="en-GB"/>
        </w:rPr>
        <w:t xml:space="preserve">regarding </w:t>
      </w:r>
      <w:r w:rsidR="000302E8" w:rsidRPr="007A2F89">
        <w:rPr>
          <w:rFonts w:ascii="Times New Roman" w:hAnsi="Times New Roman"/>
          <w:sz w:val="24"/>
          <w:szCs w:val="24"/>
          <w:lang w:val="en-GB"/>
        </w:rPr>
        <w:t xml:space="preserve">the less formalization of decision-making, management and control processes and the flexibility and speed </w:t>
      </w:r>
      <w:r w:rsidR="00370D09" w:rsidRPr="007A2F89">
        <w:rPr>
          <w:rFonts w:ascii="Times New Roman" w:hAnsi="Times New Roman"/>
          <w:sz w:val="24"/>
          <w:szCs w:val="24"/>
          <w:lang w:val="en-GB"/>
        </w:rPr>
        <w:t>in</w:t>
      </w:r>
      <w:r w:rsidR="000302E8" w:rsidRPr="007A2F89">
        <w:rPr>
          <w:rFonts w:ascii="Times New Roman" w:hAnsi="Times New Roman"/>
          <w:sz w:val="24"/>
          <w:szCs w:val="24"/>
          <w:lang w:val="en-GB"/>
        </w:rPr>
        <w:t xml:space="preserve"> adaptation to</w:t>
      </w:r>
      <w:r w:rsidR="002716A5" w:rsidRPr="007A2F89">
        <w:rPr>
          <w:rFonts w:ascii="Times New Roman" w:hAnsi="Times New Roman"/>
          <w:sz w:val="24"/>
          <w:szCs w:val="24"/>
          <w:lang w:val="en-GB"/>
        </w:rPr>
        <w:t xml:space="preserve"> the reference context</w:t>
      </w:r>
      <w:r w:rsidR="00480276" w:rsidRPr="007A2F89">
        <w:rPr>
          <w:rFonts w:ascii="Times New Roman" w:eastAsia="Times New Roman" w:hAnsi="Times New Roman"/>
          <w:sz w:val="24"/>
          <w:szCs w:val="24"/>
          <w:lang w:val="en-GB" w:eastAsia="it-IT"/>
        </w:rPr>
        <w:t xml:space="preserve">; </w:t>
      </w:r>
      <w:r w:rsidR="000302E8" w:rsidRPr="007A2F89">
        <w:rPr>
          <w:rFonts w:ascii="Times New Roman" w:eastAsia="Times New Roman" w:hAnsi="Times New Roman"/>
          <w:sz w:val="24"/>
          <w:szCs w:val="24"/>
          <w:lang w:val="en-GB" w:eastAsia="it-IT"/>
        </w:rPr>
        <w:t>to the greater ethical orientation and to the entrepreneur</w:t>
      </w:r>
      <w:r w:rsidR="007A2F89" w:rsidRPr="007A2F89">
        <w:rPr>
          <w:rFonts w:ascii="Times New Roman" w:eastAsia="Times New Roman" w:hAnsi="Times New Roman"/>
          <w:sz w:val="24"/>
          <w:szCs w:val="24"/>
          <w:lang w:val="en-GB" w:eastAsia="it-IT"/>
        </w:rPr>
        <w:t>’</w:t>
      </w:r>
      <w:r w:rsidR="000302E8" w:rsidRPr="007A2F89">
        <w:rPr>
          <w:rFonts w:ascii="Times New Roman" w:eastAsia="Times New Roman" w:hAnsi="Times New Roman"/>
          <w:sz w:val="24"/>
          <w:szCs w:val="24"/>
          <w:lang w:val="en-GB" w:eastAsia="it-IT"/>
        </w:rPr>
        <w:t xml:space="preserve">s value heritage; to the deepest link with the territorial </w:t>
      </w:r>
      <w:r w:rsidR="00370D09" w:rsidRPr="007A2F89">
        <w:rPr>
          <w:rFonts w:ascii="Times New Roman" w:eastAsia="Times New Roman" w:hAnsi="Times New Roman"/>
          <w:sz w:val="24"/>
          <w:szCs w:val="24"/>
          <w:lang w:val="en-GB" w:eastAsia="it-IT"/>
        </w:rPr>
        <w:t>environment</w:t>
      </w:r>
      <w:r w:rsidR="000302E8" w:rsidRPr="007A2F89">
        <w:rPr>
          <w:rFonts w:ascii="Times New Roman" w:eastAsia="Times New Roman" w:hAnsi="Times New Roman"/>
          <w:sz w:val="24"/>
          <w:szCs w:val="24"/>
          <w:lang w:val="en-GB" w:eastAsia="it-IT"/>
        </w:rPr>
        <w:t xml:space="preserve"> in which SMEs operate</w:t>
      </w:r>
      <w:r w:rsidR="00480276" w:rsidRPr="007A2F89">
        <w:rPr>
          <w:rFonts w:ascii="Times New Roman" w:eastAsia="Times New Roman" w:hAnsi="Times New Roman"/>
          <w:sz w:val="24"/>
          <w:szCs w:val="24"/>
          <w:lang w:val="en-GB" w:eastAsia="it-IT"/>
        </w:rPr>
        <w:t xml:space="preserve"> (Del </w:t>
      </w:r>
      <w:proofErr w:type="spellStart"/>
      <w:r w:rsidR="00480276" w:rsidRPr="007A2F89">
        <w:rPr>
          <w:rFonts w:ascii="Times New Roman" w:eastAsia="Times New Roman" w:hAnsi="Times New Roman"/>
          <w:sz w:val="24"/>
          <w:szCs w:val="24"/>
          <w:lang w:val="en-GB" w:eastAsia="it-IT"/>
        </w:rPr>
        <w:t>Baldo</w:t>
      </w:r>
      <w:proofErr w:type="spellEnd"/>
      <w:r w:rsidR="00480276" w:rsidRPr="007A2F89">
        <w:rPr>
          <w:rFonts w:ascii="Times New Roman" w:eastAsia="Times New Roman" w:hAnsi="Times New Roman"/>
          <w:sz w:val="24"/>
          <w:szCs w:val="24"/>
          <w:lang w:val="en-GB" w:eastAsia="it-IT"/>
        </w:rPr>
        <w:t xml:space="preserve">, 2009; </w:t>
      </w:r>
      <w:r w:rsidR="005F7F66" w:rsidRPr="007A2F89">
        <w:rPr>
          <w:rFonts w:ascii="Times New Roman" w:eastAsia="Times New Roman" w:hAnsi="Times New Roman"/>
          <w:color w:val="222222"/>
          <w:sz w:val="24"/>
          <w:szCs w:val="24"/>
          <w:shd w:val="clear" w:color="auto" w:fill="FFFFFF"/>
          <w:lang w:val="en-GB" w:eastAsia="it-IT"/>
        </w:rPr>
        <w:t xml:space="preserve">Jamali, </w:t>
      </w:r>
      <w:proofErr w:type="spellStart"/>
      <w:r w:rsidR="005F7F66" w:rsidRPr="007A2F89">
        <w:rPr>
          <w:rFonts w:ascii="Times New Roman" w:eastAsia="Times New Roman" w:hAnsi="Times New Roman"/>
          <w:color w:val="222222"/>
          <w:sz w:val="24"/>
          <w:szCs w:val="24"/>
          <w:shd w:val="clear" w:color="auto" w:fill="FFFFFF"/>
          <w:lang w:val="en-GB" w:eastAsia="it-IT"/>
        </w:rPr>
        <w:t>Zanhour</w:t>
      </w:r>
      <w:proofErr w:type="spellEnd"/>
      <w:r w:rsidR="005F7F66" w:rsidRPr="007A2F89">
        <w:rPr>
          <w:rFonts w:ascii="Times New Roman" w:eastAsia="Times New Roman" w:hAnsi="Times New Roman"/>
          <w:color w:val="222222"/>
          <w:sz w:val="24"/>
          <w:szCs w:val="24"/>
          <w:shd w:val="clear" w:color="auto" w:fill="FFFFFF"/>
          <w:lang w:val="en-GB" w:eastAsia="it-IT"/>
        </w:rPr>
        <w:t xml:space="preserve"> </w:t>
      </w:r>
      <w:r w:rsidR="000302E8" w:rsidRPr="007A2F89">
        <w:rPr>
          <w:rFonts w:ascii="Times New Roman" w:eastAsia="Times New Roman" w:hAnsi="Times New Roman"/>
          <w:color w:val="222222"/>
          <w:sz w:val="24"/>
          <w:szCs w:val="24"/>
          <w:shd w:val="clear" w:color="auto" w:fill="FFFFFF"/>
          <w:lang w:val="en-GB" w:eastAsia="it-IT"/>
        </w:rPr>
        <w:t>and</w:t>
      </w:r>
      <w:r w:rsidR="005F7F66" w:rsidRPr="007A2F89">
        <w:rPr>
          <w:rFonts w:ascii="Times New Roman" w:eastAsia="Times New Roman" w:hAnsi="Times New Roman"/>
          <w:color w:val="222222"/>
          <w:sz w:val="24"/>
          <w:szCs w:val="24"/>
          <w:shd w:val="clear" w:color="auto" w:fill="FFFFFF"/>
          <w:lang w:val="en-GB" w:eastAsia="it-IT"/>
        </w:rPr>
        <w:t xml:space="preserve"> </w:t>
      </w:r>
      <w:proofErr w:type="spellStart"/>
      <w:r w:rsidR="005F7F66" w:rsidRPr="007A2F89">
        <w:rPr>
          <w:rFonts w:ascii="Times New Roman" w:eastAsia="Times New Roman" w:hAnsi="Times New Roman"/>
          <w:color w:val="222222"/>
          <w:sz w:val="24"/>
          <w:szCs w:val="24"/>
          <w:shd w:val="clear" w:color="auto" w:fill="FFFFFF"/>
          <w:lang w:val="en-GB" w:eastAsia="it-IT"/>
        </w:rPr>
        <w:t>Keshishian</w:t>
      </w:r>
      <w:proofErr w:type="spellEnd"/>
      <w:r w:rsidR="00480276" w:rsidRPr="007A2F89">
        <w:rPr>
          <w:rFonts w:ascii="Times New Roman" w:eastAsia="Times New Roman" w:hAnsi="Times New Roman"/>
          <w:sz w:val="24"/>
          <w:szCs w:val="24"/>
          <w:lang w:val="en-GB" w:eastAsia="it-IT"/>
        </w:rPr>
        <w:t xml:space="preserve">, 2009; Mio, 2014; </w:t>
      </w:r>
      <w:proofErr w:type="spellStart"/>
      <w:r w:rsidR="00480276" w:rsidRPr="007A2F89">
        <w:rPr>
          <w:rFonts w:ascii="Times New Roman" w:eastAsia="Times New Roman" w:hAnsi="Times New Roman"/>
          <w:sz w:val="24"/>
          <w:szCs w:val="24"/>
          <w:lang w:val="en-GB" w:eastAsia="it-IT"/>
        </w:rPr>
        <w:t>Tarquinio</w:t>
      </w:r>
      <w:proofErr w:type="spellEnd"/>
      <w:r w:rsidR="00480276" w:rsidRPr="007A2F89">
        <w:rPr>
          <w:rFonts w:ascii="Times New Roman" w:eastAsia="Times New Roman" w:hAnsi="Times New Roman"/>
          <w:sz w:val="24"/>
          <w:szCs w:val="24"/>
          <w:lang w:val="en-GB" w:eastAsia="it-IT"/>
        </w:rPr>
        <w:t xml:space="preserve"> </w:t>
      </w:r>
      <w:r w:rsidR="000302E8" w:rsidRPr="007A2F89">
        <w:rPr>
          <w:rFonts w:ascii="Times New Roman" w:eastAsia="Times New Roman" w:hAnsi="Times New Roman"/>
          <w:sz w:val="24"/>
          <w:szCs w:val="24"/>
          <w:lang w:val="en-GB" w:eastAsia="it-IT"/>
        </w:rPr>
        <w:t>and</w:t>
      </w:r>
      <w:r w:rsidR="00480276" w:rsidRPr="007A2F89">
        <w:rPr>
          <w:rFonts w:ascii="Times New Roman" w:eastAsia="Times New Roman" w:hAnsi="Times New Roman"/>
          <w:sz w:val="24"/>
          <w:szCs w:val="24"/>
          <w:lang w:val="en-GB" w:eastAsia="it-IT"/>
        </w:rPr>
        <w:t xml:space="preserve"> Posadas, 2020)</w:t>
      </w:r>
      <w:r w:rsidR="00803791" w:rsidRPr="007A2F89">
        <w:rPr>
          <w:rFonts w:ascii="Times New Roman" w:eastAsia="Times New Roman" w:hAnsi="Times New Roman"/>
          <w:sz w:val="24"/>
          <w:szCs w:val="24"/>
          <w:lang w:val="en-GB" w:eastAsia="it-IT"/>
        </w:rPr>
        <w:t>.</w:t>
      </w:r>
    </w:p>
    <w:p w14:paraId="11ED02CA" w14:textId="16D9B2C5" w:rsidR="00480276" w:rsidRPr="007A2F89" w:rsidRDefault="00C630A6" w:rsidP="007A2F89">
      <w:pPr>
        <w:rPr>
          <w:rFonts w:ascii="Times New Roman" w:hAnsi="Times New Roman"/>
          <w:sz w:val="24"/>
          <w:szCs w:val="24"/>
          <w:lang w:val="en-GB"/>
        </w:rPr>
      </w:pPr>
      <w:r w:rsidRPr="007A2F89">
        <w:rPr>
          <w:rFonts w:ascii="Times New Roman" w:hAnsi="Times New Roman"/>
          <w:sz w:val="24"/>
          <w:szCs w:val="24"/>
          <w:lang w:val="en-GB"/>
        </w:rPr>
        <w:t xml:space="preserve">Therefore, the analysis of the dynamics through small and medium-sized enterprises </w:t>
      </w:r>
      <w:r w:rsidR="007B43E1" w:rsidRPr="007A2F89">
        <w:rPr>
          <w:rFonts w:ascii="Times New Roman" w:hAnsi="Times New Roman"/>
          <w:sz w:val="24"/>
          <w:szCs w:val="24"/>
          <w:lang w:val="en-GB"/>
        </w:rPr>
        <w:t>adopts</w:t>
      </w:r>
      <w:r w:rsidRPr="007A2F89">
        <w:rPr>
          <w:rFonts w:ascii="Times New Roman" w:hAnsi="Times New Roman"/>
          <w:sz w:val="24"/>
          <w:szCs w:val="24"/>
          <w:lang w:val="en-GB"/>
        </w:rPr>
        <w:t xml:space="preserve"> sustainability strategies and how these strategies affect their economic and financial performance is the main aim of this research</w:t>
      </w:r>
      <w:r w:rsidR="00480276" w:rsidRPr="007A2F89">
        <w:rPr>
          <w:rFonts w:ascii="Times New Roman" w:hAnsi="Times New Roman"/>
          <w:sz w:val="24"/>
          <w:szCs w:val="24"/>
          <w:lang w:val="en-GB"/>
        </w:rPr>
        <w:t>,</w:t>
      </w:r>
      <w:r w:rsidR="00370D09" w:rsidRPr="007A2F89">
        <w:rPr>
          <w:rFonts w:ascii="Times New Roman" w:hAnsi="Times New Roman"/>
          <w:sz w:val="24"/>
          <w:szCs w:val="24"/>
          <w:lang w:val="en-GB"/>
        </w:rPr>
        <w:t xml:space="preserve"> to </w:t>
      </w:r>
      <w:r w:rsidRPr="007A2F89">
        <w:rPr>
          <w:rFonts w:ascii="Times New Roman" w:hAnsi="Times New Roman"/>
          <w:sz w:val="24"/>
          <w:szCs w:val="24"/>
          <w:lang w:val="en-GB"/>
        </w:rPr>
        <w:t>encourage, albeit only partially, the implementation and communication of sustainability initiatives and strategies i</w:t>
      </w:r>
      <w:r w:rsidR="00370D09" w:rsidRPr="007A2F89">
        <w:rPr>
          <w:rFonts w:ascii="Times New Roman" w:hAnsi="Times New Roman"/>
          <w:sz w:val="24"/>
          <w:szCs w:val="24"/>
          <w:lang w:val="en-GB"/>
        </w:rPr>
        <w:t>n the</w:t>
      </w:r>
      <w:r w:rsidRPr="007A2F89">
        <w:rPr>
          <w:rFonts w:ascii="Times New Roman" w:hAnsi="Times New Roman"/>
          <w:sz w:val="24"/>
          <w:szCs w:val="24"/>
          <w:lang w:val="en-GB"/>
        </w:rPr>
        <w:t xml:space="preserve"> small and medium-sized enterprises and micro-enterprises.</w:t>
      </w:r>
    </w:p>
    <w:p w14:paraId="46A3A032" w14:textId="362EAB5F" w:rsidR="00C405C9" w:rsidRPr="007A2F89" w:rsidRDefault="00370D09" w:rsidP="007A2F89">
      <w:pPr>
        <w:rPr>
          <w:rFonts w:ascii="Times New Roman" w:hAnsi="Times New Roman"/>
          <w:sz w:val="24"/>
          <w:szCs w:val="24"/>
          <w:lang w:val="en-GB"/>
        </w:rPr>
      </w:pPr>
      <w:r w:rsidRPr="007A2F89">
        <w:rPr>
          <w:rFonts w:ascii="Times New Roman" w:hAnsi="Times New Roman"/>
          <w:sz w:val="24"/>
          <w:szCs w:val="24"/>
          <w:lang w:val="en-GB"/>
        </w:rPr>
        <w:t>In particular, t</w:t>
      </w:r>
      <w:r w:rsidR="00C405C9" w:rsidRPr="007A2F89">
        <w:rPr>
          <w:rFonts w:ascii="Times New Roman" w:hAnsi="Times New Roman"/>
          <w:sz w:val="24"/>
          <w:szCs w:val="24"/>
          <w:lang w:val="en-GB"/>
        </w:rPr>
        <w:t>he research focuses</w:t>
      </w:r>
      <w:r w:rsidRPr="007A2F89">
        <w:rPr>
          <w:rFonts w:ascii="Times New Roman" w:hAnsi="Times New Roman"/>
          <w:sz w:val="24"/>
          <w:szCs w:val="24"/>
          <w:lang w:val="en-GB"/>
        </w:rPr>
        <w:t xml:space="preserve"> on</w:t>
      </w:r>
      <w:r w:rsidR="00C405C9" w:rsidRPr="007A2F89">
        <w:rPr>
          <w:rFonts w:ascii="Times New Roman" w:hAnsi="Times New Roman"/>
          <w:sz w:val="24"/>
          <w:szCs w:val="24"/>
          <w:lang w:val="en-GB"/>
        </w:rPr>
        <w:t xml:space="preserve"> the emerging dynamics arising from the </w:t>
      </w:r>
      <w:r w:rsidR="007B43E1" w:rsidRPr="007A2F89">
        <w:rPr>
          <w:rFonts w:ascii="Times New Roman" w:hAnsi="Times New Roman"/>
          <w:sz w:val="24"/>
          <w:szCs w:val="24"/>
          <w:lang w:val="en-GB"/>
        </w:rPr>
        <w:t>Region Abruzzo</w:t>
      </w:r>
      <w:r w:rsidR="00C405C9" w:rsidRPr="007A2F89">
        <w:rPr>
          <w:rFonts w:ascii="Times New Roman" w:hAnsi="Times New Roman"/>
          <w:sz w:val="24"/>
          <w:szCs w:val="24"/>
          <w:lang w:val="en-GB"/>
        </w:rPr>
        <w:t xml:space="preserve">, strongly characterized by an economic environment </w:t>
      </w:r>
      <w:r w:rsidR="00BC51C8" w:rsidRPr="007A2F89">
        <w:rPr>
          <w:rFonts w:ascii="Times New Roman" w:hAnsi="Times New Roman"/>
          <w:sz w:val="24"/>
          <w:szCs w:val="24"/>
          <w:lang w:val="en-GB"/>
        </w:rPr>
        <w:t>characterized</w:t>
      </w:r>
      <w:r w:rsidR="00C405C9" w:rsidRPr="007A2F89">
        <w:rPr>
          <w:rFonts w:ascii="Times New Roman" w:hAnsi="Times New Roman"/>
          <w:sz w:val="24"/>
          <w:szCs w:val="24"/>
          <w:lang w:val="en-GB"/>
        </w:rPr>
        <w:t xml:space="preserve"> by micro and small and medium-sized enterprises </w:t>
      </w:r>
      <w:r w:rsidR="00311BEF" w:rsidRPr="007A2F89">
        <w:rPr>
          <w:rFonts w:ascii="Times New Roman" w:hAnsi="Times New Roman"/>
          <w:sz w:val="24"/>
          <w:szCs w:val="24"/>
          <w:lang w:val="en-GB"/>
        </w:rPr>
        <w:t>(D</w:t>
      </w:r>
      <w:r w:rsidR="007A2F89" w:rsidRPr="007A2F89">
        <w:rPr>
          <w:rFonts w:ascii="Times New Roman" w:hAnsi="Times New Roman"/>
          <w:sz w:val="24"/>
          <w:szCs w:val="24"/>
          <w:lang w:val="en-GB"/>
        </w:rPr>
        <w:t>’</w:t>
      </w:r>
      <w:r w:rsidR="00311BEF" w:rsidRPr="007A2F89">
        <w:rPr>
          <w:rFonts w:ascii="Times New Roman" w:hAnsi="Times New Roman"/>
          <w:sz w:val="24"/>
          <w:szCs w:val="24"/>
          <w:lang w:val="en-GB"/>
        </w:rPr>
        <w:t>Amico, 1994</w:t>
      </w:r>
      <w:r w:rsidR="00C405C9" w:rsidRPr="007A2F89">
        <w:rPr>
          <w:rFonts w:ascii="Times New Roman" w:hAnsi="Times New Roman"/>
          <w:sz w:val="24"/>
          <w:szCs w:val="24"/>
          <w:lang w:val="en-GB"/>
        </w:rPr>
        <w:t xml:space="preserve">). In addition, the choice to investigate this context is supported by some </w:t>
      </w:r>
      <w:r w:rsidR="006B5D1F" w:rsidRPr="007A2F89">
        <w:rPr>
          <w:rFonts w:ascii="Times New Roman" w:hAnsi="Times New Roman"/>
          <w:sz w:val="24"/>
          <w:szCs w:val="24"/>
          <w:lang w:val="en-GB"/>
        </w:rPr>
        <w:t>characteristic</w:t>
      </w:r>
      <w:r w:rsidR="00114711" w:rsidRPr="007A2F89">
        <w:rPr>
          <w:rFonts w:ascii="Times New Roman" w:hAnsi="Times New Roman"/>
          <w:sz w:val="24"/>
          <w:szCs w:val="24"/>
          <w:lang w:val="en-GB"/>
        </w:rPr>
        <w:t>s</w:t>
      </w:r>
      <w:r w:rsidR="006B5D1F" w:rsidRPr="007A2F89">
        <w:rPr>
          <w:rFonts w:ascii="Times New Roman" w:hAnsi="Times New Roman"/>
          <w:sz w:val="24"/>
          <w:szCs w:val="24"/>
          <w:lang w:val="en-GB"/>
        </w:rPr>
        <w:t xml:space="preserve"> of</w:t>
      </w:r>
      <w:r w:rsidR="00C405C9" w:rsidRPr="007A2F89">
        <w:rPr>
          <w:rFonts w:ascii="Times New Roman" w:hAnsi="Times New Roman"/>
          <w:sz w:val="24"/>
          <w:szCs w:val="24"/>
          <w:lang w:val="en-GB"/>
        </w:rPr>
        <w:t xml:space="preserve"> this region, in particular:</w:t>
      </w:r>
    </w:p>
    <w:p w14:paraId="69778D92" w14:textId="2EB0AB6F" w:rsidR="00480276" w:rsidRPr="007A2F89" w:rsidRDefault="00BC51C8" w:rsidP="007A2F89">
      <w:pPr>
        <w:pStyle w:val="Paragrafoelenco"/>
        <w:numPr>
          <w:ilvl w:val="0"/>
          <w:numId w:val="6"/>
        </w:numPr>
        <w:ind w:left="567" w:hanging="283"/>
        <w:jc w:val="both"/>
        <w:rPr>
          <w:rFonts w:ascii="Times New Roman" w:hAnsi="Times New Roman"/>
          <w:lang w:val="en-GB"/>
        </w:rPr>
      </w:pPr>
      <w:r w:rsidRPr="007A2F89">
        <w:rPr>
          <w:rFonts w:ascii="Times New Roman" w:hAnsi="Times New Roman"/>
          <w:lang w:val="en-GB"/>
        </w:rPr>
        <w:t>In</w:t>
      </w:r>
      <w:r w:rsidR="00C405C9" w:rsidRPr="007A2F89">
        <w:rPr>
          <w:rFonts w:ascii="Times New Roman" w:hAnsi="Times New Roman"/>
          <w:lang w:val="en-GB"/>
        </w:rPr>
        <w:t xml:space="preserve"> the nineties, Abruzzo was characterized by an economic development that led it to the levels of the</w:t>
      </w:r>
      <w:r w:rsidR="001B624B" w:rsidRPr="007A2F89">
        <w:rPr>
          <w:rFonts w:ascii="Times New Roman" w:hAnsi="Times New Roman"/>
          <w:lang w:val="en-GB"/>
        </w:rPr>
        <w:t xml:space="preserve"> Central Italy</w:t>
      </w:r>
      <w:r w:rsidR="00C405C9" w:rsidRPr="007A2F89">
        <w:rPr>
          <w:rFonts w:ascii="Times New Roman" w:hAnsi="Times New Roman"/>
          <w:lang w:val="en-GB"/>
        </w:rPr>
        <w:t xml:space="preserve"> regions</w:t>
      </w:r>
      <w:r w:rsidR="00114711" w:rsidRPr="007A2F89">
        <w:rPr>
          <w:rFonts w:ascii="Times New Roman" w:hAnsi="Times New Roman"/>
          <w:lang w:val="en-GB"/>
        </w:rPr>
        <w:t xml:space="preserve">, allowing to compete with </w:t>
      </w:r>
      <w:r w:rsidR="00C405C9" w:rsidRPr="007A2F89">
        <w:rPr>
          <w:rFonts w:ascii="Times New Roman" w:hAnsi="Times New Roman"/>
          <w:lang w:val="en-GB"/>
        </w:rPr>
        <w:t>European macro-regions</w:t>
      </w:r>
      <w:r w:rsidRPr="007A2F89">
        <w:rPr>
          <w:rFonts w:ascii="Times New Roman" w:hAnsi="Times New Roman"/>
          <w:lang w:val="en-GB"/>
        </w:rPr>
        <w:t xml:space="preserve">. </w:t>
      </w:r>
      <w:r w:rsidR="00C405C9" w:rsidRPr="007A2F89">
        <w:rPr>
          <w:rFonts w:ascii="Times New Roman" w:hAnsi="Times New Roman"/>
          <w:lang w:val="en-GB"/>
        </w:rPr>
        <w:t xml:space="preserve">(European Commission, 1995). </w:t>
      </w:r>
      <w:r w:rsidR="008370FB" w:rsidRPr="007A2F89">
        <w:rPr>
          <w:rFonts w:ascii="Times New Roman" w:hAnsi="Times New Roman"/>
          <w:lang w:val="en-GB"/>
        </w:rPr>
        <w:t>In 2019</w:t>
      </w:r>
      <w:r w:rsidR="001B624B" w:rsidRPr="007A2F89">
        <w:rPr>
          <w:rFonts w:ascii="Times New Roman" w:hAnsi="Times New Roman"/>
          <w:lang w:val="en-GB"/>
        </w:rPr>
        <w:t xml:space="preserve">, </w:t>
      </w:r>
      <w:r w:rsidR="008370FB" w:rsidRPr="007A2F89">
        <w:rPr>
          <w:rFonts w:ascii="Times New Roman" w:hAnsi="Times New Roman"/>
          <w:lang w:val="en-GB"/>
        </w:rPr>
        <w:t xml:space="preserve">Abruzzo was the southern region with the highest GDP </w:t>
      </w:r>
      <w:r w:rsidR="00D241A0" w:rsidRPr="007A2F89">
        <w:rPr>
          <w:rFonts w:ascii="Times New Roman" w:hAnsi="Times New Roman"/>
          <w:lang w:val="en-GB"/>
        </w:rPr>
        <w:t xml:space="preserve">per capita </w:t>
      </w:r>
      <w:r w:rsidR="008370FB" w:rsidRPr="007A2F89">
        <w:rPr>
          <w:rFonts w:ascii="Times New Roman" w:hAnsi="Times New Roman"/>
          <w:lang w:val="en-GB"/>
        </w:rPr>
        <w:t>(equal to 85% of the European average value, on a par with Greece, Spain and Portugal) (</w:t>
      </w:r>
      <w:proofErr w:type="spellStart"/>
      <w:r w:rsidR="008370FB" w:rsidRPr="007A2F89">
        <w:rPr>
          <w:rFonts w:ascii="Times New Roman" w:hAnsi="Times New Roman"/>
          <w:lang w:val="en-GB"/>
        </w:rPr>
        <w:t>Istat</w:t>
      </w:r>
      <w:proofErr w:type="spellEnd"/>
      <w:r w:rsidR="008370FB" w:rsidRPr="007A2F89">
        <w:rPr>
          <w:rFonts w:ascii="Times New Roman" w:hAnsi="Times New Roman"/>
          <w:lang w:val="en-GB"/>
        </w:rPr>
        <w:t>, 2020</w:t>
      </w:r>
      <w:proofErr w:type="gramStart"/>
      <w:r w:rsidR="008370FB" w:rsidRPr="007A2F89">
        <w:rPr>
          <w:rFonts w:ascii="Times New Roman" w:hAnsi="Times New Roman"/>
          <w:lang w:val="en-GB"/>
        </w:rPr>
        <w:t>);</w:t>
      </w:r>
      <w:proofErr w:type="gramEnd"/>
    </w:p>
    <w:p w14:paraId="2A7F0377" w14:textId="0DA56909" w:rsidR="00480276" w:rsidRPr="007A2F89" w:rsidRDefault="008370FB" w:rsidP="007A2F89">
      <w:pPr>
        <w:pStyle w:val="Paragrafoelenco"/>
        <w:numPr>
          <w:ilvl w:val="0"/>
          <w:numId w:val="6"/>
        </w:numPr>
        <w:ind w:left="567" w:hanging="283"/>
        <w:jc w:val="both"/>
        <w:rPr>
          <w:rFonts w:ascii="Times New Roman" w:hAnsi="Times New Roman"/>
          <w:lang w:val="en-GB"/>
        </w:rPr>
      </w:pPr>
      <w:r w:rsidRPr="007A2F89">
        <w:rPr>
          <w:rFonts w:ascii="Times New Roman" w:hAnsi="Times New Roman"/>
          <w:lang w:val="en-GB"/>
        </w:rPr>
        <w:t xml:space="preserve">The </w:t>
      </w:r>
      <w:r w:rsidR="00114711" w:rsidRPr="007A2F89">
        <w:rPr>
          <w:rFonts w:ascii="Times New Roman" w:hAnsi="Times New Roman"/>
          <w:lang w:val="en-GB"/>
        </w:rPr>
        <w:t>specific</w:t>
      </w:r>
      <w:r w:rsidRPr="007A2F89">
        <w:rPr>
          <w:rFonts w:ascii="Times New Roman" w:hAnsi="Times New Roman"/>
          <w:lang w:val="en-GB"/>
        </w:rPr>
        <w:t xml:space="preserve"> attention toward</w:t>
      </w:r>
      <w:r w:rsidR="00114711" w:rsidRPr="007A2F89">
        <w:rPr>
          <w:rFonts w:ascii="Times New Roman" w:hAnsi="Times New Roman"/>
          <w:lang w:val="en-GB"/>
        </w:rPr>
        <w:t>s</w:t>
      </w:r>
      <w:r w:rsidRPr="007A2F89">
        <w:rPr>
          <w:rFonts w:ascii="Times New Roman" w:hAnsi="Times New Roman"/>
          <w:lang w:val="en-GB"/>
        </w:rPr>
        <w:t xml:space="preserve"> to environmental dimension</w:t>
      </w:r>
      <w:r w:rsidR="00480276" w:rsidRPr="007A2F89">
        <w:rPr>
          <w:rFonts w:ascii="Times New Roman" w:hAnsi="Times New Roman"/>
          <w:lang w:val="en-GB"/>
        </w:rPr>
        <w:t xml:space="preserve">. </w:t>
      </w:r>
      <w:r w:rsidR="00145853" w:rsidRPr="007A2F89">
        <w:rPr>
          <w:rFonts w:ascii="Times New Roman" w:hAnsi="Times New Roman"/>
          <w:lang w:val="en-GB"/>
        </w:rPr>
        <w:t>Abruzzo is characterized by a territory that has led it to be defined as the Green Europe Region, thanks to the extension of the National Parks and Protected Areas (3 national parks, 1 regional natural park, 52 protected reserves and natur</w:t>
      </w:r>
      <w:r w:rsidR="00D241A0" w:rsidRPr="007A2F89">
        <w:rPr>
          <w:rFonts w:ascii="Times New Roman" w:hAnsi="Times New Roman"/>
          <w:lang w:val="en-GB"/>
        </w:rPr>
        <w:t>al</w:t>
      </w:r>
      <w:r w:rsidR="00145853" w:rsidRPr="007A2F89">
        <w:rPr>
          <w:rFonts w:ascii="Times New Roman" w:hAnsi="Times New Roman"/>
          <w:lang w:val="en-GB"/>
        </w:rPr>
        <w:t xml:space="preserve"> reserves) which cover the 36.6% of the regional territory </w:t>
      </w:r>
      <w:r w:rsidR="00677249" w:rsidRPr="007A2F89">
        <w:rPr>
          <w:rFonts w:ascii="Times New Roman" w:hAnsi="Times New Roman"/>
          <w:lang w:val="en-GB"/>
        </w:rPr>
        <w:t>(</w:t>
      </w:r>
      <w:proofErr w:type="spellStart"/>
      <w:r w:rsidR="00677249" w:rsidRPr="007A2F89">
        <w:rPr>
          <w:rFonts w:ascii="Times New Roman" w:hAnsi="Times New Roman"/>
          <w:lang w:val="en-GB"/>
        </w:rPr>
        <w:t>Istat</w:t>
      </w:r>
      <w:proofErr w:type="spellEnd"/>
      <w:r w:rsidR="00677249" w:rsidRPr="007A2F89">
        <w:rPr>
          <w:rFonts w:ascii="Times New Roman" w:hAnsi="Times New Roman"/>
          <w:lang w:val="en-GB"/>
        </w:rPr>
        <w:t>, Report BES 2020).</w:t>
      </w:r>
      <w:r w:rsidR="00677249" w:rsidRPr="007A2F89">
        <w:rPr>
          <w:lang w:val="en-GB"/>
        </w:rPr>
        <w:t xml:space="preserve"> </w:t>
      </w:r>
      <w:r w:rsidR="00677249" w:rsidRPr="007A2F89">
        <w:rPr>
          <w:rFonts w:ascii="Times New Roman" w:hAnsi="Times New Roman"/>
          <w:lang w:val="en-GB"/>
        </w:rPr>
        <w:t>The</w:t>
      </w:r>
      <w:r w:rsidR="00145853" w:rsidRPr="007A2F89">
        <w:rPr>
          <w:rFonts w:ascii="Times New Roman" w:hAnsi="Times New Roman"/>
          <w:lang w:val="en-GB"/>
        </w:rPr>
        <w:t xml:space="preserve"> environmental heritage</w:t>
      </w:r>
      <w:r w:rsidR="00677249" w:rsidRPr="007A2F89">
        <w:rPr>
          <w:rFonts w:ascii="Times New Roman" w:hAnsi="Times New Roman"/>
          <w:lang w:val="en-GB"/>
        </w:rPr>
        <w:t xml:space="preserve"> safeguard and promotion represent a concrete regional</w:t>
      </w:r>
      <w:r w:rsidR="007A2F89" w:rsidRPr="007A2F89">
        <w:rPr>
          <w:rFonts w:ascii="Times New Roman" w:hAnsi="Times New Roman"/>
          <w:lang w:val="en-GB"/>
        </w:rPr>
        <w:t>’</w:t>
      </w:r>
      <w:r w:rsidR="00145853" w:rsidRPr="007A2F89">
        <w:rPr>
          <w:rFonts w:ascii="Times New Roman" w:hAnsi="Times New Roman"/>
          <w:lang w:val="en-GB"/>
        </w:rPr>
        <w:t>s</w:t>
      </w:r>
      <w:r w:rsidR="00677249" w:rsidRPr="007A2F89">
        <w:rPr>
          <w:rFonts w:ascii="Times New Roman" w:hAnsi="Times New Roman"/>
          <w:lang w:val="en-GB"/>
        </w:rPr>
        <w:t xml:space="preserve"> development objective.</w:t>
      </w:r>
    </w:p>
    <w:p w14:paraId="65B4B582" w14:textId="2C961B3F" w:rsidR="00480276" w:rsidRPr="007A2F89" w:rsidRDefault="006C3457" w:rsidP="007A2F89">
      <w:pPr>
        <w:pStyle w:val="Paragrafoelenco"/>
        <w:numPr>
          <w:ilvl w:val="0"/>
          <w:numId w:val="6"/>
        </w:numPr>
        <w:ind w:left="567" w:hanging="283"/>
        <w:jc w:val="both"/>
        <w:rPr>
          <w:rFonts w:ascii="Times New Roman" w:hAnsi="Times New Roman"/>
          <w:lang w:val="en-GB"/>
        </w:rPr>
      </w:pPr>
      <w:r w:rsidRPr="007A2F89">
        <w:rPr>
          <w:rFonts w:ascii="Times New Roman" w:hAnsi="Times New Roman"/>
          <w:lang w:val="en-GB"/>
        </w:rPr>
        <w:t xml:space="preserve">The </w:t>
      </w:r>
      <w:r w:rsidR="00BC51C8" w:rsidRPr="007A2F89">
        <w:rPr>
          <w:rFonts w:ascii="Times New Roman" w:hAnsi="Times New Roman"/>
          <w:lang w:val="en-GB"/>
        </w:rPr>
        <w:t xml:space="preserve">lack </w:t>
      </w:r>
      <w:r w:rsidRPr="007A2F89">
        <w:rPr>
          <w:rFonts w:ascii="Times New Roman" w:hAnsi="Times New Roman"/>
          <w:lang w:val="en-GB"/>
        </w:rPr>
        <w:t xml:space="preserve">of large industrial and urban districts and the almost exclusive presence of micro-enterprises and </w:t>
      </w:r>
      <w:r w:rsidR="00B2021A" w:rsidRPr="007A2F89">
        <w:rPr>
          <w:rFonts w:ascii="Times New Roman" w:hAnsi="Times New Roman"/>
          <w:lang w:val="en-GB"/>
        </w:rPr>
        <w:t>SME</w:t>
      </w:r>
      <w:r w:rsidRPr="007A2F89">
        <w:rPr>
          <w:rFonts w:ascii="Times New Roman" w:hAnsi="Times New Roman"/>
          <w:lang w:val="en-GB"/>
        </w:rPr>
        <w:t>s</w:t>
      </w:r>
      <w:r w:rsidR="00480276" w:rsidRPr="007A2F89">
        <w:rPr>
          <w:rFonts w:ascii="Times New Roman" w:hAnsi="Times New Roman"/>
          <w:lang w:val="en-GB"/>
        </w:rPr>
        <w:t>.</w:t>
      </w:r>
    </w:p>
    <w:p w14:paraId="60A42ECA" w14:textId="44386DA8" w:rsidR="00480276" w:rsidRPr="007A2F89" w:rsidRDefault="00145853" w:rsidP="007A2F89">
      <w:pPr>
        <w:rPr>
          <w:rFonts w:ascii="Times New Roman" w:hAnsi="Times New Roman"/>
          <w:sz w:val="24"/>
          <w:szCs w:val="24"/>
          <w:lang w:val="en-GB"/>
        </w:rPr>
      </w:pPr>
      <w:r w:rsidRPr="007A2F89">
        <w:rPr>
          <w:rFonts w:ascii="Times New Roman" w:hAnsi="Times New Roman"/>
          <w:sz w:val="24"/>
          <w:szCs w:val="24"/>
          <w:lang w:val="en-GB"/>
        </w:rPr>
        <w:t xml:space="preserve">Therefore, </w:t>
      </w:r>
      <w:r w:rsidR="00114711" w:rsidRPr="007A2F89">
        <w:rPr>
          <w:rFonts w:ascii="Times New Roman" w:hAnsi="Times New Roman"/>
          <w:sz w:val="24"/>
          <w:szCs w:val="24"/>
          <w:lang w:val="en-GB"/>
        </w:rPr>
        <w:t>the aim of this research is</w:t>
      </w:r>
      <w:r w:rsidR="006C3457" w:rsidRPr="007A2F89">
        <w:rPr>
          <w:rFonts w:ascii="Times New Roman" w:hAnsi="Times New Roman"/>
          <w:sz w:val="24"/>
          <w:szCs w:val="24"/>
          <w:lang w:val="en-GB"/>
        </w:rPr>
        <w:t xml:space="preserve"> to investigate how the adoption of strategic and management approaches</w:t>
      </w:r>
      <w:r w:rsidRPr="007A2F89">
        <w:rPr>
          <w:rFonts w:ascii="Times New Roman" w:hAnsi="Times New Roman"/>
          <w:sz w:val="24"/>
          <w:szCs w:val="24"/>
          <w:lang w:val="en-GB"/>
        </w:rPr>
        <w:t>,</w:t>
      </w:r>
      <w:r w:rsidR="006C3457" w:rsidRPr="007A2F89">
        <w:rPr>
          <w:rFonts w:ascii="Times New Roman" w:hAnsi="Times New Roman"/>
          <w:sz w:val="24"/>
          <w:szCs w:val="24"/>
          <w:lang w:val="en-GB"/>
        </w:rPr>
        <w:t xml:space="preserve"> oriented towards sustainability and corporate responsibility</w:t>
      </w:r>
      <w:r w:rsidRPr="007A2F89">
        <w:rPr>
          <w:rFonts w:ascii="Times New Roman" w:hAnsi="Times New Roman"/>
          <w:sz w:val="24"/>
          <w:szCs w:val="24"/>
          <w:lang w:val="en-GB"/>
        </w:rPr>
        <w:t>,</w:t>
      </w:r>
      <w:r w:rsidR="006C3457" w:rsidRPr="007A2F89">
        <w:rPr>
          <w:rFonts w:ascii="Times New Roman" w:hAnsi="Times New Roman"/>
          <w:sz w:val="24"/>
          <w:szCs w:val="24"/>
          <w:lang w:val="en-GB"/>
        </w:rPr>
        <w:t xml:space="preserve"> affects the micro and SMEs economic and financial performance in Abruzzo. </w:t>
      </w:r>
      <w:r w:rsidR="00E969CC" w:rsidRPr="007A2F89">
        <w:rPr>
          <w:rFonts w:ascii="Times New Roman" w:hAnsi="Times New Roman"/>
          <w:sz w:val="24"/>
          <w:szCs w:val="24"/>
          <w:lang w:val="en-GB"/>
        </w:rPr>
        <w:t>The relationship that we intend to investigate is intrinsic in the purpose of encouraging organizations to approach toward</w:t>
      </w:r>
      <w:r w:rsidR="00114711" w:rsidRPr="007A2F89">
        <w:rPr>
          <w:rFonts w:ascii="Times New Roman" w:hAnsi="Times New Roman"/>
          <w:sz w:val="24"/>
          <w:szCs w:val="24"/>
          <w:lang w:val="en-GB"/>
        </w:rPr>
        <w:t xml:space="preserve">s </w:t>
      </w:r>
      <w:r w:rsidR="00E969CC" w:rsidRPr="007A2F89">
        <w:rPr>
          <w:rFonts w:ascii="Times New Roman" w:hAnsi="Times New Roman"/>
          <w:sz w:val="24"/>
          <w:szCs w:val="24"/>
          <w:lang w:val="en-GB"/>
        </w:rPr>
        <w:t xml:space="preserve">sustainable management in their business, </w:t>
      </w:r>
      <w:r w:rsidR="00BC51C8" w:rsidRPr="007A2F89">
        <w:rPr>
          <w:rFonts w:ascii="Times New Roman" w:hAnsi="Times New Roman"/>
          <w:sz w:val="24"/>
          <w:szCs w:val="24"/>
          <w:lang w:val="en-GB"/>
        </w:rPr>
        <w:t>analysing</w:t>
      </w:r>
      <w:r w:rsidR="00E969CC" w:rsidRPr="007A2F89">
        <w:rPr>
          <w:rFonts w:ascii="Times New Roman" w:hAnsi="Times New Roman"/>
          <w:sz w:val="24"/>
          <w:szCs w:val="24"/>
          <w:lang w:val="en-GB"/>
        </w:rPr>
        <w:t xml:space="preserve"> whether and to what extent this aspect can contribute to improve the economic per</w:t>
      </w:r>
      <w:r w:rsidR="002B3CE4" w:rsidRPr="007A2F89">
        <w:rPr>
          <w:rFonts w:ascii="Times New Roman" w:hAnsi="Times New Roman"/>
          <w:sz w:val="24"/>
          <w:szCs w:val="24"/>
          <w:lang w:val="en-GB"/>
        </w:rPr>
        <w:t>f</w:t>
      </w:r>
      <w:r w:rsidR="00E969CC" w:rsidRPr="007A2F89">
        <w:rPr>
          <w:rFonts w:ascii="Times New Roman" w:hAnsi="Times New Roman"/>
          <w:sz w:val="24"/>
          <w:szCs w:val="24"/>
          <w:lang w:val="en-GB"/>
        </w:rPr>
        <w:t>ormance.</w:t>
      </w:r>
    </w:p>
    <w:p w14:paraId="15A3F12C" w14:textId="2FDAF04B" w:rsidR="00480276" w:rsidRPr="007A2F89" w:rsidRDefault="00BC51C8" w:rsidP="007A2F89">
      <w:pPr>
        <w:rPr>
          <w:rFonts w:ascii="Times New Roman" w:hAnsi="Times New Roman"/>
          <w:sz w:val="24"/>
          <w:szCs w:val="24"/>
          <w:lang w:val="en-GB"/>
        </w:rPr>
      </w:pPr>
      <w:r w:rsidRPr="007A2F89">
        <w:rPr>
          <w:rFonts w:ascii="Times New Roman" w:hAnsi="Times New Roman"/>
          <w:sz w:val="24"/>
          <w:szCs w:val="24"/>
          <w:lang w:val="en-GB"/>
        </w:rPr>
        <w:lastRenderedPageBreak/>
        <w:t>In t</w:t>
      </w:r>
      <w:r w:rsidR="00E969CC" w:rsidRPr="007A2F89">
        <w:rPr>
          <w:rFonts w:ascii="Times New Roman" w:hAnsi="Times New Roman"/>
          <w:sz w:val="24"/>
          <w:szCs w:val="24"/>
          <w:lang w:val="en-GB"/>
        </w:rPr>
        <w:t>his</w:t>
      </w:r>
      <w:r w:rsidRPr="007A2F89">
        <w:rPr>
          <w:rFonts w:ascii="Times New Roman" w:hAnsi="Times New Roman"/>
          <w:sz w:val="24"/>
          <w:szCs w:val="24"/>
          <w:lang w:val="en-GB"/>
        </w:rPr>
        <w:t xml:space="preserve"> research</w:t>
      </w:r>
      <w:r w:rsidR="00E969CC" w:rsidRPr="007A2F89">
        <w:rPr>
          <w:rFonts w:ascii="Times New Roman" w:hAnsi="Times New Roman"/>
          <w:sz w:val="24"/>
          <w:szCs w:val="24"/>
          <w:lang w:val="en-GB"/>
        </w:rPr>
        <w:t xml:space="preserve"> </w:t>
      </w:r>
      <w:r w:rsidRPr="007A2F89">
        <w:rPr>
          <w:rFonts w:ascii="Times New Roman" w:hAnsi="Times New Roman"/>
          <w:sz w:val="24"/>
          <w:szCs w:val="24"/>
          <w:lang w:val="en-GB"/>
        </w:rPr>
        <w:t xml:space="preserve"> the </w:t>
      </w:r>
      <w:r w:rsidR="00E969CC" w:rsidRPr="007A2F89">
        <w:rPr>
          <w:rFonts w:ascii="Times New Roman" w:hAnsi="Times New Roman"/>
          <w:sz w:val="24"/>
          <w:szCs w:val="24"/>
          <w:lang w:val="en-GB"/>
        </w:rPr>
        <w:t xml:space="preserve">relationship takes shape </w:t>
      </w:r>
      <w:r w:rsidRPr="007A2F89">
        <w:rPr>
          <w:rFonts w:ascii="Times New Roman" w:hAnsi="Times New Roman"/>
          <w:sz w:val="24"/>
          <w:szCs w:val="24"/>
          <w:lang w:val="en-GB"/>
        </w:rPr>
        <w:t>analysing</w:t>
      </w:r>
      <w:r w:rsidR="00E969CC" w:rsidRPr="007A2F89">
        <w:rPr>
          <w:rFonts w:ascii="Times New Roman" w:hAnsi="Times New Roman"/>
          <w:sz w:val="24"/>
          <w:szCs w:val="24"/>
          <w:lang w:val="en-GB"/>
        </w:rPr>
        <w:t xml:space="preserve"> how the integration of an ISO14001 certified environmental management system affects the</w:t>
      </w:r>
      <w:r w:rsidR="004F59E4" w:rsidRPr="007A2F89">
        <w:rPr>
          <w:rFonts w:ascii="Times New Roman" w:hAnsi="Times New Roman"/>
          <w:sz w:val="24"/>
          <w:szCs w:val="24"/>
          <w:lang w:val="en-GB"/>
        </w:rPr>
        <w:t xml:space="preserve"> company</w:t>
      </w:r>
      <w:r w:rsidR="00E969CC" w:rsidRPr="007A2F89">
        <w:rPr>
          <w:rFonts w:ascii="Times New Roman" w:hAnsi="Times New Roman"/>
          <w:sz w:val="24"/>
          <w:szCs w:val="24"/>
          <w:lang w:val="en-GB"/>
        </w:rPr>
        <w:t xml:space="preserve"> economic-financial performance, under the theoretical </w:t>
      </w:r>
      <w:r w:rsidR="002B3CE4" w:rsidRPr="007A2F89">
        <w:rPr>
          <w:rFonts w:ascii="Times New Roman" w:hAnsi="Times New Roman"/>
          <w:sz w:val="24"/>
          <w:szCs w:val="24"/>
          <w:lang w:val="en-GB"/>
        </w:rPr>
        <w:t>perspective</w:t>
      </w:r>
      <w:r w:rsidR="00E969CC" w:rsidRPr="007A2F89">
        <w:rPr>
          <w:rFonts w:ascii="Times New Roman" w:hAnsi="Times New Roman"/>
          <w:sz w:val="24"/>
          <w:szCs w:val="24"/>
          <w:lang w:val="en-GB"/>
        </w:rPr>
        <w:t xml:space="preserve"> of the </w:t>
      </w:r>
      <w:r w:rsidR="00114711" w:rsidRPr="007A2F89">
        <w:rPr>
          <w:rFonts w:ascii="Times New Roman" w:hAnsi="Times New Roman"/>
          <w:sz w:val="24"/>
          <w:szCs w:val="24"/>
          <w:lang w:val="en-GB"/>
        </w:rPr>
        <w:t>signalling</w:t>
      </w:r>
      <w:r w:rsidR="00E969CC" w:rsidRPr="007A2F89">
        <w:rPr>
          <w:rFonts w:ascii="Times New Roman" w:hAnsi="Times New Roman"/>
          <w:sz w:val="24"/>
          <w:szCs w:val="24"/>
          <w:lang w:val="en-GB"/>
        </w:rPr>
        <w:t xml:space="preserve"> theory, which reflects the purpose of the</w:t>
      </w:r>
      <w:r w:rsidR="004F59E4" w:rsidRPr="007A2F89">
        <w:rPr>
          <w:rFonts w:ascii="Times New Roman" w:hAnsi="Times New Roman"/>
          <w:sz w:val="24"/>
          <w:szCs w:val="24"/>
          <w:lang w:val="en-GB"/>
        </w:rPr>
        <w:t xml:space="preserve"> environmental management system</w:t>
      </w:r>
      <w:r w:rsidR="00E969CC" w:rsidRPr="007A2F89">
        <w:rPr>
          <w:rFonts w:ascii="Times New Roman" w:hAnsi="Times New Roman"/>
          <w:sz w:val="24"/>
          <w:szCs w:val="24"/>
          <w:lang w:val="en-GB"/>
        </w:rPr>
        <w:t xml:space="preserve"> certification as a "signal" of the </w:t>
      </w:r>
      <w:r w:rsidR="00114711" w:rsidRPr="007A2F89">
        <w:rPr>
          <w:rFonts w:ascii="Times New Roman" w:hAnsi="Times New Roman"/>
          <w:sz w:val="24"/>
          <w:szCs w:val="24"/>
          <w:lang w:val="en-GB"/>
        </w:rPr>
        <w:t>signaller</w:t>
      </w:r>
      <w:r w:rsidR="007A2F89" w:rsidRPr="007A2F89">
        <w:rPr>
          <w:rFonts w:ascii="Times New Roman" w:hAnsi="Times New Roman"/>
          <w:sz w:val="24"/>
          <w:szCs w:val="24"/>
          <w:lang w:val="en-GB"/>
        </w:rPr>
        <w:t>’</w:t>
      </w:r>
      <w:r w:rsidR="00114711" w:rsidRPr="007A2F89">
        <w:rPr>
          <w:rFonts w:ascii="Times New Roman" w:hAnsi="Times New Roman"/>
          <w:sz w:val="24"/>
          <w:szCs w:val="24"/>
          <w:lang w:val="en-GB"/>
        </w:rPr>
        <w:t>s</w:t>
      </w:r>
      <w:r w:rsidR="00E969CC" w:rsidRPr="007A2F89">
        <w:rPr>
          <w:rFonts w:ascii="Times New Roman" w:hAnsi="Times New Roman"/>
          <w:sz w:val="24"/>
          <w:szCs w:val="24"/>
          <w:lang w:val="en-GB"/>
        </w:rPr>
        <w:t xml:space="preserve"> commitment to</w:t>
      </w:r>
      <w:r w:rsidR="002B3CE4" w:rsidRPr="007A2F89">
        <w:rPr>
          <w:rFonts w:ascii="Times New Roman" w:hAnsi="Times New Roman"/>
          <w:sz w:val="24"/>
          <w:szCs w:val="24"/>
          <w:lang w:val="en-GB"/>
        </w:rPr>
        <w:t>wards</w:t>
      </w:r>
      <w:r w:rsidR="00E969CC" w:rsidRPr="007A2F89">
        <w:rPr>
          <w:rFonts w:ascii="Times New Roman" w:hAnsi="Times New Roman"/>
          <w:sz w:val="24"/>
          <w:szCs w:val="24"/>
          <w:lang w:val="en-GB"/>
        </w:rPr>
        <w:t xml:space="preserve"> sustainability and corporate social responsibility - the company - and the receivers - the stakeholders </w:t>
      </w:r>
      <w:r w:rsidR="00480276" w:rsidRPr="007A2F89">
        <w:rPr>
          <w:rFonts w:ascii="Times New Roman" w:hAnsi="Times New Roman"/>
          <w:i/>
          <w:iCs/>
          <w:sz w:val="24"/>
          <w:szCs w:val="24"/>
          <w:lang w:val="en-GB"/>
        </w:rPr>
        <w:t xml:space="preserve">– </w:t>
      </w:r>
      <w:r w:rsidR="00480276" w:rsidRPr="007A2F89">
        <w:rPr>
          <w:rFonts w:ascii="Times New Roman" w:hAnsi="Times New Roman"/>
          <w:sz w:val="24"/>
          <w:szCs w:val="24"/>
          <w:lang w:val="en-GB"/>
        </w:rPr>
        <w:t xml:space="preserve">(Connelly, 2011; Taj, 2016; Todaro </w:t>
      </w:r>
      <w:r w:rsidR="00480276" w:rsidRPr="007A2F89">
        <w:rPr>
          <w:rFonts w:ascii="Times New Roman" w:hAnsi="Times New Roman"/>
          <w:i/>
          <w:iCs/>
          <w:sz w:val="24"/>
          <w:szCs w:val="24"/>
          <w:lang w:val="en-GB"/>
        </w:rPr>
        <w:t>et al.</w:t>
      </w:r>
      <w:r w:rsidR="00480276" w:rsidRPr="007A2F89">
        <w:rPr>
          <w:rFonts w:ascii="Times New Roman" w:hAnsi="Times New Roman"/>
          <w:sz w:val="24"/>
          <w:szCs w:val="24"/>
          <w:lang w:val="en-GB"/>
        </w:rPr>
        <w:t>, 2020).</w:t>
      </w:r>
    </w:p>
    <w:p w14:paraId="11B547C7" w14:textId="71771AB0" w:rsidR="00BD0A0C" w:rsidRPr="007A2F89" w:rsidRDefault="004F59E4" w:rsidP="007A2F89">
      <w:pPr>
        <w:rPr>
          <w:rFonts w:ascii="Times New Roman" w:hAnsi="Times New Roman"/>
          <w:sz w:val="24"/>
          <w:szCs w:val="24"/>
          <w:lang w:val="en-GB"/>
        </w:rPr>
      </w:pPr>
      <w:r w:rsidRPr="007A2F89">
        <w:rPr>
          <w:rFonts w:ascii="Times New Roman" w:hAnsi="Times New Roman"/>
          <w:sz w:val="24"/>
          <w:szCs w:val="24"/>
          <w:lang w:val="en-GB"/>
        </w:rPr>
        <w:t xml:space="preserve">This paper is divided as follows. </w:t>
      </w:r>
      <w:r w:rsidR="008418CD" w:rsidRPr="007A2F89">
        <w:rPr>
          <w:rFonts w:ascii="Times New Roman" w:hAnsi="Times New Roman"/>
          <w:sz w:val="24"/>
          <w:szCs w:val="24"/>
          <w:lang w:val="en-GB"/>
        </w:rPr>
        <w:t xml:space="preserve">Section 2 presents and discusses the theoretical </w:t>
      </w:r>
      <w:r w:rsidR="00BC51C8" w:rsidRPr="007A2F89">
        <w:rPr>
          <w:rFonts w:ascii="Times New Roman" w:hAnsi="Times New Roman"/>
          <w:sz w:val="24"/>
          <w:szCs w:val="24"/>
          <w:lang w:val="en-GB"/>
        </w:rPr>
        <w:t>framework</w:t>
      </w:r>
      <w:r w:rsidR="008418CD" w:rsidRPr="007A2F89">
        <w:rPr>
          <w:rFonts w:ascii="Times New Roman" w:hAnsi="Times New Roman"/>
          <w:sz w:val="24"/>
          <w:szCs w:val="24"/>
          <w:lang w:val="en-GB"/>
        </w:rPr>
        <w:t xml:space="preserve"> underlying the study and the</w:t>
      </w:r>
      <w:r w:rsidR="00410BD8" w:rsidRPr="007A2F89">
        <w:rPr>
          <w:rFonts w:ascii="Times New Roman" w:hAnsi="Times New Roman"/>
          <w:sz w:val="24"/>
          <w:szCs w:val="24"/>
          <w:lang w:val="en-GB"/>
        </w:rPr>
        <w:t xml:space="preserve"> advanced</w:t>
      </w:r>
      <w:r w:rsidR="008418CD" w:rsidRPr="007A2F89">
        <w:rPr>
          <w:rFonts w:ascii="Times New Roman" w:hAnsi="Times New Roman"/>
          <w:sz w:val="24"/>
          <w:szCs w:val="24"/>
          <w:lang w:val="en-GB"/>
        </w:rPr>
        <w:t xml:space="preserve"> research hypotheses</w:t>
      </w:r>
      <w:r w:rsidR="00480276" w:rsidRPr="007A2F89">
        <w:rPr>
          <w:rFonts w:ascii="Times New Roman" w:hAnsi="Times New Roman"/>
          <w:sz w:val="24"/>
          <w:szCs w:val="24"/>
          <w:lang w:val="en-GB"/>
        </w:rPr>
        <w:t xml:space="preserve">. </w:t>
      </w:r>
      <w:r w:rsidR="008418CD" w:rsidRPr="007A2F89">
        <w:rPr>
          <w:rFonts w:ascii="Times New Roman" w:hAnsi="Times New Roman"/>
          <w:sz w:val="24"/>
          <w:szCs w:val="24"/>
          <w:lang w:val="en-GB"/>
        </w:rPr>
        <w:t>Section 3 presents the sample, the variables used for the empirical analysis, the technique and the estimation models adopted</w:t>
      </w:r>
      <w:r w:rsidR="00480276" w:rsidRPr="007A2F89">
        <w:rPr>
          <w:rFonts w:ascii="Times New Roman" w:hAnsi="Times New Roman"/>
          <w:sz w:val="24"/>
          <w:szCs w:val="24"/>
          <w:lang w:val="en-GB"/>
        </w:rPr>
        <w:t xml:space="preserve">. </w:t>
      </w:r>
      <w:r w:rsidR="008418CD" w:rsidRPr="007A2F89">
        <w:rPr>
          <w:rFonts w:ascii="Times New Roman" w:hAnsi="Times New Roman"/>
          <w:sz w:val="24"/>
          <w:szCs w:val="24"/>
          <w:lang w:val="en-GB"/>
        </w:rPr>
        <w:t>Section 4 highlights the descriptive and</w:t>
      </w:r>
      <w:r w:rsidR="00410BD8" w:rsidRPr="007A2F89">
        <w:rPr>
          <w:rFonts w:ascii="Times New Roman" w:hAnsi="Times New Roman"/>
          <w:sz w:val="24"/>
          <w:szCs w:val="24"/>
          <w:lang w:val="en-GB"/>
        </w:rPr>
        <w:t xml:space="preserve"> the</w:t>
      </w:r>
      <w:r w:rsidR="008418CD" w:rsidRPr="007A2F89">
        <w:rPr>
          <w:rFonts w:ascii="Times New Roman" w:hAnsi="Times New Roman"/>
          <w:sz w:val="24"/>
          <w:szCs w:val="24"/>
          <w:lang w:val="en-GB"/>
        </w:rPr>
        <w:t xml:space="preserve"> results from the estimated models. Finally, section 5 discusses the analysis results, the main theoretical and practical managerial implications, with the limitations and </w:t>
      </w:r>
      <w:r w:rsidR="00410BD8" w:rsidRPr="007A2F89">
        <w:rPr>
          <w:rFonts w:ascii="Times New Roman" w:hAnsi="Times New Roman"/>
          <w:sz w:val="24"/>
          <w:szCs w:val="24"/>
          <w:lang w:val="en-GB"/>
        </w:rPr>
        <w:t>the future</w:t>
      </w:r>
      <w:r w:rsidR="008418CD" w:rsidRPr="007A2F89">
        <w:rPr>
          <w:rFonts w:ascii="Times New Roman" w:hAnsi="Times New Roman"/>
          <w:sz w:val="24"/>
          <w:szCs w:val="24"/>
          <w:lang w:val="en-GB"/>
        </w:rPr>
        <w:t xml:space="preserve"> research.</w:t>
      </w:r>
    </w:p>
    <w:p w14:paraId="2AD92E06" w14:textId="77777777" w:rsidR="008C3C0E" w:rsidRPr="007A2F89" w:rsidRDefault="008C3C0E" w:rsidP="007A2F89">
      <w:pPr>
        <w:widowControl w:val="0"/>
        <w:rPr>
          <w:rFonts w:ascii="Times New Roman" w:hAnsi="Times New Roman"/>
          <w:sz w:val="24"/>
          <w:szCs w:val="24"/>
          <w:lang w:val="en-GB"/>
        </w:rPr>
      </w:pPr>
    </w:p>
    <w:p w14:paraId="41B58A35" w14:textId="79390178" w:rsidR="004B6875" w:rsidRPr="007A2F89" w:rsidRDefault="00030452" w:rsidP="007A2F89">
      <w:pPr>
        <w:pStyle w:val="Paragrafoelenco"/>
        <w:numPr>
          <w:ilvl w:val="0"/>
          <w:numId w:val="7"/>
        </w:numPr>
        <w:ind w:left="0" w:firstLine="0"/>
        <w:jc w:val="both"/>
        <w:rPr>
          <w:rFonts w:ascii="Times New Roman" w:hAnsi="Times New Roman"/>
          <w:b/>
          <w:bCs/>
          <w:lang w:val="en-GB"/>
        </w:rPr>
      </w:pPr>
      <w:r w:rsidRPr="007A2F89">
        <w:rPr>
          <w:rFonts w:ascii="Times New Roman" w:hAnsi="Times New Roman"/>
          <w:b/>
          <w:bCs/>
          <w:lang w:val="en-GB"/>
        </w:rPr>
        <w:t xml:space="preserve">Theoretical </w:t>
      </w:r>
      <w:r w:rsidR="00480276" w:rsidRPr="007A2F89">
        <w:rPr>
          <w:rFonts w:ascii="Times New Roman" w:hAnsi="Times New Roman"/>
          <w:b/>
          <w:bCs/>
          <w:lang w:val="en-GB"/>
        </w:rPr>
        <w:t xml:space="preserve">Framework </w:t>
      </w:r>
      <w:r w:rsidRPr="007A2F89">
        <w:rPr>
          <w:rFonts w:ascii="Times New Roman" w:hAnsi="Times New Roman"/>
          <w:b/>
          <w:bCs/>
          <w:lang w:val="en-GB"/>
        </w:rPr>
        <w:t>and</w:t>
      </w:r>
      <w:r w:rsidR="00480276" w:rsidRPr="007A2F89">
        <w:rPr>
          <w:rFonts w:ascii="Times New Roman" w:hAnsi="Times New Roman"/>
          <w:b/>
          <w:bCs/>
          <w:lang w:val="en-GB"/>
        </w:rPr>
        <w:t xml:space="preserve"> </w:t>
      </w:r>
      <w:r w:rsidRPr="007A2F89">
        <w:rPr>
          <w:rFonts w:ascii="Times New Roman" w:hAnsi="Times New Roman"/>
          <w:b/>
          <w:bCs/>
          <w:lang w:val="en-GB"/>
        </w:rPr>
        <w:t xml:space="preserve">literature </w:t>
      </w:r>
      <w:r w:rsidR="00480276" w:rsidRPr="007A2F89">
        <w:rPr>
          <w:rFonts w:ascii="Times New Roman" w:hAnsi="Times New Roman"/>
          <w:b/>
          <w:bCs/>
          <w:lang w:val="en-GB"/>
        </w:rPr>
        <w:t>review</w:t>
      </w:r>
    </w:p>
    <w:p w14:paraId="4B3065E8" w14:textId="4D173FBD" w:rsidR="004B6875" w:rsidRPr="007A2F89" w:rsidRDefault="004B6875" w:rsidP="007A2F89">
      <w:pPr>
        <w:rPr>
          <w:rFonts w:ascii="Times New Roman" w:hAnsi="Times New Roman"/>
          <w:sz w:val="24"/>
          <w:szCs w:val="24"/>
          <w:lang w:val="en-GB"/>
        </w:rPr>
      </w:pPr>
      <w:r w:rsidRPr="007A2F89">
        <w:rPr>
          <w:rFonts w:ascii="Times New Roman" w:hAnsi="Times New Roman"/>
          <w:sz w:val="24"/>
          <w:szCs w:val="24"/>
          <w:lang w:val="en-GB"/>
        </w:rPr>
        <w:t>The relationship between sustainability and the company</w:t>
      </w:r>
      <w:r w:rsidR="007A2F89" w:rsidRPr="007A2F89">
        <w:rPr>
          <w:rFonts w:ascii="Times New Roman" w:hAnsi="Times New Roman"/>
          <w:sz w:val="24"/>
          <w:szCs w:val="24"/>
          <w:lang w:val="en-GB"/>
        </w:rPr>
        <w:t>’</w:t>
      </w:r>
      <w:r w:rsidRPr="007A2F89">
        <w:rPr>
          <w:rFonts w:ascii="Times New Roman" w:hAnsi="Times New Roman"/>
          <w:sz w:val="24"/>
          <w:szCs w:val="24"/>
          <w:lang w:val="en-GB"/>
        </w:rPr>
        <w:t>s economic and financial performance is a</w:t>
      </w:r>
      <w:r w:rsidR="00A94CB4" w:rsidRPr="007A2F89">
        <w:rPr>
          <w:rFonts w:ascii="Times New Roman" w:hAnsi="Times New Roman"/>
          <w:sz w:val="24"/>
          <w:szCs w:val="24"/>
          <w:lang w:val="en-GB"/>
        </w:rPr>
        <w:t xml:space="preserve"> widely</w:t>
      </w:r>
      <w:r w:rsidR="00083EAD" w:rsidRPr="007A2F89">
        <w:rPr>
          <w:rFonts w:ascii="Times New Roman" w:hAnsi="Times New Roman"/>
          <w:sz w:val="24"/>
          <w:szCs w:val="24"/>
          <w:lang w:val="en-GB"/>
        </w:rPr>
        <w:t xml:space="preserve"> topic</w:t>
      </w:r>
      <w:r w:rsidR="00A94CB4" w:rsidRPr="007A2F89">
        <w:rPr>
          <w:rFonts w:ascii="Times New Roman" w:hAnsi="Times New Roman"/>
          <w:sz w:val="24"/>
          <w:szCs w:val="24"/>
          <w:lang w:val="en-GB"/>
        </w:rPr>
        <w:t xml:space="preserve"> analysed</w:t>
      </w:r>
      <w:r w:rsidRPr="007A2F89">
        <w:rPr>
          <w:rFonts w:ascii="Times New Roman" w:hAnsi="Times New Roman"/>
          <w:sz w:val="24"/>
          <w:szCs w:val="24"/>
          <w:lang w:val="en-GB"/>
        </w:rPr>
        <w:t xml:space="preserve"> in the literature, </w:t>
      </w:r>
      <w:r w:rsidR="00083EAD" w:rsidRPr="007A2F89">
        <w:rPr>
          <w:rFonts w:ascii="Times New Roman" w:hAnsi="Times New Roman"/>
          <w:sz w:val="24"/>
          <w:szCs w:val="24"/>
          <w:lang w:val="en-GB"/>
        </w:rPr>
        <w:t>underlying conflicting</w:t>
      </w:r>
      <w:r w:rsidRPr="007A2F89">
        <w:rPr>
          <w:rFonts w:ascii="Times New Roman" w:hAnsi="Times New Roman"/>
          <w:sz w:val="24"/>
          <w:szCs w:val="24"/>
          <w:lang w:val="en-GB"/>
        </w:rPr>
        <w:t xml:space="preserve"> results regar</w:t>
      </w:r>
      <w:r w:rsidR="00A94CB4" w:rsidRPr="007A2F89">
        <w:rPr>
          <w:rFonts w:ascii="Times New Roman" w:hAnsi="Times New Roman"/>
          <w:sz w:val="24"/>
          <w:szCs w:val="24"/>
          <w:lang w:val="en-GB"/>
        </w:rPr>
        <w:t>d</w:t>
      </w:r>
      <w:r w:rsidRPr="007A2F89">
        <w:rPr>
          <w:rFonts w:ascii="Times New Roman" w:hAnsi="Times New Roman"/>
          <w:sz w:val="24"/>
          <w:szCs w:val="24"/>
          <w:lang w:val="en-GB"/>
        </w:rPr>
        <w:t>ing the</w:t>
      </w:r>
      <w:r w:rsidR="00083EAD" w:rsidRPr="007A2F89">
        <w:rPr>
          <w:rFonts w:ascii="Times New Roman" w:hAnsi="Times New Roman"/>
          <w:sz w:val="24"/>
          <w:szCs w:val="24"/>
          <w:lang w:val="en-GB"/>
        </w:rPr>
        <w:t xml:space="preserve"> sustainability</w:t>
      </w:r>
      <w:r w:rsidRPr="007A2F89">
        <w:rPr>
          <w:rFonts w:ascii="Times New Roman" w:hAnsi="Times New Roman"/>
          <w:sz w:val="24"/>
          <w:szCs w:val="24"/>
          <w:lang w:val="en-GB"/>
        </w:rPr>
        <w:t xml:space="preserve"> dimensions </w:t>
      </w:r>
      <w:r w:rsidR="00480276" w:rsidRPr="007A2F89">
        <w:rPr>
          <w:rFonts w:ascii="Times New Roman" w:hAnsi="Times New Roman"/>
          <w:sz w:val="24"/>
          <w:szCs w:val="24"/>
          <w:lang w:val="en-GB"/>
        </w:rPr>
        <w:t xml:space="preserve">(Epstein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Roy</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2003;</w:t>
      </w:r>
      <w:r w:rsidR="0015413C" w:rsidRPr="007A2F89">
        <w:rPr>
          <w:rFonts w:ascii="Times New Roman" w:hAnsi="Times New Roman"/>
          <w:sz w:val="24"/>
          <w:szCs w:val="24"/>
          <w:lang w:val="en-GB"/>
        </w:rPr>
        <w:t xml:space="preserve"> </w:t>
      </w:r>
      <w:proofErr w:type="spellStart"/>
      <w:r w:rsidR="0015413C" w:rsidRPr="007A2F89">
        <w:rPr>
          <w:rFonts w:ascii="Times New Roman" w:hAnsi="Times New Roman"/>
          <w:sz w:val="24"/>
          <w:szCs w:val="24"/>
          <w:lang w:val="en-GB"/>
        </w:rPr>
        <w:t>Molteni</w:t>
      </w:r>
      <w:proofErr w:type="spellEnd"/>
      <w:r w:rsidR="0015413C" w:rsidRPr="007A2F89">
        <w:rPr>
          <w:rFonts w:ascii="Times New Roman" w:hAnsi="Times New Roman"/>
          <w:sz w:val="24"/>
          <w:szCs w:val="24"/>
          <w:lang w:val="en-GB"/>
        </w:rPr>
        <w:t xml:space="preserve">, 2004; </w:t>
      </w:r>
      <w:r w:rsidR="00480276" w:rsidRPr="007A2F89">
        <w:rPr>
          <w:rFonts w:ascii="Times New Roman" w:hAnsi="Times New Roman"/>
          <w:sz w:val="24"/>
          <w:szCs w:val="24"/>
          <w:lang w:val="en-GB"/>
        </w:rPr>
        <w:t xml:space="preserve">Ameer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Othman</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2012; Aggarwal</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2013; Weber</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2017; Cantele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Zardini</w:t>
      </w:r>
      <w:proofErr w:type="spellEnd"/>
      <w:r w:rsidR="00480276" w:rsidRPr="007A2F89">
        <w:rPr>
          <w:rFonts w:ascii="Times New Roman" w:hAnsi="Times New Roman"/>
          <w:sz w:val="24"/>
          <w:szCs w:val="24"/>
          <w:lang w:val="en-GB"/>
        </w:rPr>
        <w:t xml:space="preserve">, 2018; </w:t>
      </w:r>
      <w:proofErr w:type="spellStart"/>
      <w:r w:rsidR="005F7F66" w:rsidRPr="007A2F89">
        <w:rPr>
          <w:rFonts w:ascii="Times New Roman" w:eastAsia="Times New Roman" w:hAnsi="Times New Roman"/>
          <w:color w:val="222222"/>
          <w:sz w:val="24"/>
          <w:szCs w:val="24"/>
          <w:shd w:val="clear" w:color="auto" w:fill="FFFFFF"/>
          <w:lang w:val="en-GB" w:eastAsia="it-IT"/>
        </w:rPr>
        <w:t>Alshehhi</w:t>
      </w:r>
      <w:proofErr w:type="spellEnd"/>
      <w:r w:rsidR="005F7F66" w:rsidRPr="007A2F89">
        <w:rPr>
          <w:rFonts w:ascii="Times New Roman" w:eastAsia="Times New Roman" w:hAnsi="Times New Roman"/>
          <w:color w:val="222222"/>
          <w:sz w:val="24"/>
          <w:szCs w:val="24"/>
          <w:shd w:val="clear" w:color="auto" w:fill="FFFFFF"/>
          <w:lang w:val="en-GB" w:eastAsia="it-IT"/>
        </w:rPr>
        <w:t xml:space="preserve">, </w:t>
      </w:r>
      <w:proofErr w:type="spellStart"/>
      <w:r w:rsidR="005F7F66" w:rsidRPr="007A2F89">
        <w:rPr>
          <w:rFonts w:ascii="Times New Roman" w:eastAsia="Times New Roman" w:hAnsi="Times New Roman"/>
          <w:color w:val="222222"/>
          <w:sz w:val="24"/>
          <w:szCs w:val="24"/>
          <w:shd w:val="clear" w:color="auto" w:fill="FFFFFF"/>
          <w:lang w:val="en-GB" w:eastAsia="it-IT"/>
        </w:rPr>
        <w:t>Nobanee</w:t>
      </w:r>
      <w:proofErr w:type="spellEnd"/>
      <w:r w:rsidR="005F7F66" w:rsidRPr="007A2F89">
        <w:rPr>
          <w:rFonts w:ascii="Times New Roman" w:eastAsia="Times New Roman" w:hAnsi="Times New Roman"/>
          <w:color w:val="222222"/>
          <w:sz w:val="24"/>
          <w:szCs w:val="24"/>
          <w:shd w:val="clear" w:color="auto" w:fill="FFFFFF"/>
          <w:lang w:val="en-GB" w:eastAsia="it-IT"/>
        </w:rPr>
        <w:t xml:space="preserve"> </w:t>
      </w:r>
      <w:r w:rsidRPr="007A2F89">
        <w:rPr>
          <w:rFonts w:ascii="Times New Roman" w:eastAsia="Times New Roman" w:hAnsi="Times New Roman"/>
          <w:color w:val="222222"/>
          <w:sz w:val="24"/>
          <w:szCs w:val="24"/>
          <w:shd w:val="clear" w:color="auto" w:fill="FFFFFF"/>
          <w:lang w:val="en-GB" w:eastAsia="it-IT"/>
        </w:rPr>
        <w:t>and</w:t>
      </w:r>
      <w:r w:rsidR="005F7F66" w:rsidRPr="007A2F89">
        <w:rPr>
          <w:rFonts w:ascii="Times New Roman" w:eastAsia="Times New Roman" w:hAnsi="Times New Roman"/>
          <w:color w:val="222222"/>
          <w:sz w:val="24"/>
          <w:szCs w:val="24"/>
          <w:shd w:val="clear" w:color="auto" w:fill="FFFFFF"/>
          <w:lang w:val="en-GB" w:eastAsia="it-IT"/>
        </w:rPr>
        <w:t xml:space="preserve"> </w:t>
      </w:r>
      <w:proofErr w:type="spellStart"/>
      <w:r w:rsidR="005F7F66" w:rsidRPr="007A2F89">
        <w:rPr>
          <w:rFonts w:ascii="Times New Roman" w:eastAsia="Times New Roman" w:hAnsi="Times New Roman"/>
          <w:color w:val="222222"/>
          <w:sz w:val="24"/>
          <w:szCs w:val="24"/>
          <w:shd w:val="clear" w:color="auto" w:fill="FFFFFF"/>
          <w:lang w:val="en-GB" w:eastAsia="it-IT"/>
        </w:rPr>
        <w:t>Khare</w:t>
      </w:r>
      <w:proofErr w:type="spellEnd"/>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2018; </w:t>
      </w:r>
      <w:proofErr w:type="spellStart"/>
      <w:r w:rsidR="00480276" w:rsidRPr="007A2F89">
        <w:rPr>
          <w:rFonts w:ascii="Times New Roman" w:hAnsi="Times New Roman"/>
          <w:sz w:val="24"/>
          <w:szCs w:val="24"/>
          <w:lang w:val="en-GB"/>
        </w:rPr>
        <w:t>Danso</w:t>
      </w:r>
      <w:proofErr w:type="spellEnd"/>
      <w:r w:rsidR="00480276" w:rsidRPr="007A2F89">
        <w:rPr>
          <w:rFonts w:ascii="Times New Roman" w:hAnsi="Times New Roman"/>
          <w:sz w:val="24"/>
          <w:szCs w:val="24"/>
          <w:lang w:val="en-GB"/>
        </w:rPr>
        <w:t xml:space="preserve"> </w:t>
      </w:r>
      <w:r w:rsidR="00480276" w:rsidRPr="007A2F89">
        <w:rPr>
          <w:rFonts w:ascii="Times New Roman" w:hAnsi="Times New Roman"/>
          <w:i/>
          <w:iCs/>
          <w:sz w:val="24"/>
          <w:szCs w:val="24"/>
          <w:lang w:val="en-GB"/>
        </w:rPr>
        <w:t>et al.</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2019).</w:t>
      </w:r>
    </w:p>
    <w:p w14:paraId="4CD8A909" w14:textId="4AB34CE4" w:rsidR="00480276" w:rsidRPr="007A2F89" w:rsidRDefault="004B6875" w:rsidP="007A2F89">
      <w:pPr>
        <w:rPr>
          <w:rFonts w:ascii="Times New Roman" w:hAnsi="Times New Roman"/>
          <w:sz w:val="24"/>
          <w:szCs w:val="24"/>
          <w:lang w:val="en-GB"/>
        </w:rPr>
      </w:pPr>
      <w:r w:rsidRPr="007A2F89">
        <w:rPr>
          <w:rFonts w:ascii="Times New Roman" w:hAnsi="Times New Roman"/>
          <w:sz w:val="24"/>
          <w:szCs w:val="24"/>
          <w:lang w:val="en-GB"/>
        </w:rPr>
        <w:t xml:space="preserve">In particular, the debate relating the influence regarding the initiatives undertaken by companies to mediate the socio-environmental impact of their business activity appears controversial.  Many studies found that these activities have a positive impact on economic and financial performance </w:t>
      </w:r>
      <w:r w:rsidR="00480276" w:rsidRPr="007A2F89">
        <w:rPr>
          <w:rFonts w:ascii="Times New Roman" w:hAnsi="Times New Roman"/>
          <w:sz w:val="24"/>
          <w:szCs w:val="24"/>
          <w:lang w:val="en-GB"/>
        </w:rPr>
        <w:t>(</w:t>
      </w:r>
      <w:proofErr w:type="spellStart"/>
      <w:r w:rsidR="00480276" w:rsidRPr="007A2F89">
        <w:rPr>
          <w:rFonts w:ascii="Times New Roman" w:hAnsi="Times New Roman"/>
          <w:sz w:val="24"/>
          <w:szCs w:val="24"/>
          <w:lang w:val="en-GB"/>
        </w:rPr>
        <w:t>Wheelen</w:t>
      </w:r>
      <w:proofErr w:type="spellEnd"/>
      <w:r w:rsidR="00480276" w:rsidRPr="007A2F89">
        <w:rPr>
          <w:rFonts w:ascii="Times New Roman" w:hAnsi="Times New Roman"/>
          <w:sz w:val="24"/>
          <w:szCs w:val="24"/>
          <w:lang w:val="en-GB"/>
        </w:rPr>
        <w:t xml:space="preserve"> </w:t>
      </w:r>
      <w:r w:rsidR="00834FC0"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Hunger</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2012; </w:t>
      </w:r>
      <w:r w:rsidR="00B001F6" w:rsidRPr="007A2F89">
        <w:rPr>
          <w:rFonts w:ascii="Times New Roman" w:hAnsi="Times New Roman"/>
          <w:sz w:val="24"/>
          <w:szCs w:val="24"/>
          <w:lang w:val="en-GB"/>
        </w:rPr>
        <w:t xml:space="preserve">Ahamed, </w:t>
      </w:r>
      <w:proofErr w:type="spellStart"/>
      <w:r w:rsidR="00B001F6" w:rsidRPr="007A2F89">
        <w:rPr>
          <w:rFonts w:ascii="Times New Roman" w:hAnsi="Times New Roman"/>
          <w:sz w:val="24"/>
          <w:szCs w:val="24"/>
          <w:lang w:val="en-GB"/>
        </w:rPr>
        <w:t>Almsafir</w:t>
      </w:r>
      <w:proofErr w:type="spellEnd"/>
      <w:r w:rsidR="00B001F6" w:rsidRPr="007A2F89">
        <w:rPr>
          <w:rFonts w:ascii="Times New Roman" w:hAnsi="Times New Roman"/>
          <w:sz w:val="24"/>
          <w:szCs w:val="24"/>
          <w:lang w:val="en-GB"/>
        </w:rPr>
        <w:t xml:space="preserve"> </w:t>
      </w:r>
      <w:r w:rsidR="00834FC0" w:rsidRPr="007A2F89">
        <w:rPr>
          <w:rFonts w:ascii="Times New Roman" w:hAnsi="Times New Roman"/>
          <w:sz w:val="24"/>
          <w:szCs w:val="24"/>
          <w:lang w:val="en-GB"/>
        </w:rPr>
        <w:t>and</w:t>
      </w:r>
      <w:r w:rsidR="00B001F6" w:rsidRPr="007A2F89">
        <w:rPr>
          <w:rFonts w:ascii="Times New Roman" w:hAnsi="Times New Roman"/>
          <w:sz w:val="24"/>
          <w:szCs w:val="24"/>
          <w:lang w:val="en-GB"/>
        </w:rPr>
        <w:t xml:space="preserve"> Al-</w:t>
      </w:r>
      <w:proofErr w:type="spellStart"/>
      <w:r w:rsidR="00B001F6" w:rsidRPr="007A2F89">
        <w:rPr>
          <w:rFonts w:ascii="Times New Roman" w:hAnsi="Times New Roman"/>
          <w:sz w:val="24"/>
          <w:szCs w:val="24"/>
          <w:lang w:val="en-GB"/>
        </w:rPr>
        <w:t>Smadi</w:t>
      </w:r>
      <w:proofErr w:type="spellEnd"/>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2014; Kim </w:t>
      </w:r>
      <w:r w:rsidR="00834FC0"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Kim</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2014; Maqbool </w:t>
      </w:r>
      <w:r w:rsidR="00834FC0"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Zameer</w:t>
      </w:r>
      <w:proofErr w:type="spellEnd"/>
      <w:r w:rsidR="00480276" w:rsidRPr="007A2F89">
        <w:rPr>
          <w:rFonts w:ascii="Times New Roman" w:hAnsi="Times New Roman"/>
          <w:sz w:val="24"/>
          <w:szCs w:val="24"/>
          <w:lang w:val="en-GB"/>
        </w:rPr>
        <w:t xml:space="preserve"> 2018; </w:t>
      </w:r>
      <w:proofErr w:type="spellStart"/>
      <w:r w:rsidR="00480276" w:rsidRPr="007A2F89">
        <w:rPr>
          <w:rFonts w:ascii="Times New Roman" w:hAnsi="Times New Roman"/>
          <w:sz w:val="24"/>
          <w:szCs w:val="24"/>
          <w:lang w:val="en-GB"/>
        </w:rPr>
        <w:t>Platonova</w:t>
      </w:r>
      <w:proofErr w:type="spellEnd"/>
      <w:r w:rsidR="00480276" w:rsidRPr="007A2F89">
        <w:rPr>
          <w:rFonts w:ascii="Times New Roman" w:hAnsi="Times New Roman"/>
          <w:sz w:val="24"/>
          <w:szCs w:val="24"/>
          <w:lang w:val="en-GB"/>
        </w:rPr>
        <w:t xml:space="preserve"> </w:t>
      </w:r>
      <w:r w:rsidR="00480276" w:rsidRPr="007A2F89">
        <w:rPr>
          <w:rFonts w:ascii="Times New Roman" w:hAnsi="Times New Roman"/>
          <w:i/>
          <w:iCs/>
          <w:sz w:val="24"/>
          <w:szCs w:val="24"/>
          <w:lang w:val="en-GB"/>
        </w:rPr>
        <w:t>et al.</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2018). </w:t>
      </w:r>
      <w:r w:rsidR="00FB1D79" w:rsidRPr="007A2F89">
        <w:rPr>
          <w:rFonts w:ascii="Times New Roman" w:hAnsi="Times New Roman"/>
          <w:sz w:val="24"/>
          <w:szCs w:val="24"/>
          <w:lang w:val="en-GB"/>
        </w:rPr>
        <w:t>Instead, o</w:t>
      </w:r>
      <w:r w:rsidR="00834FC0" w:rsidRPr="007A2F89">
        <w:rPr>
          <w:rFonts w:ascii="Times New Roman" w:hAnsi="Times New Roman"/>
          <w:sz w:val="24"/>
          <w:szCs w:val="24"/>
          <w:lang w:val="en-GB"/>
        </w:rPr>
        <w:t>ther studies conducted</w:t>
      </w:r>
      <w:r w:rsidR="00A94CB4" w:rsidRPr="007A2F89">
        <w:rPr>
          <w:rFonts w:ascii="Times New Roman" w:hAnsi="Times New Roman"/>
          <w:sz w:val="24"/>
          <w:szCs w:val="24"/>
          <w:lang w:val="en-GB"/>
        </w:rPr>
        <w:t>,</w:t>
      </w:r>
      <w:r w:rsidR="00834FC0" w:rsidRPr="007A2F89">
        <w:rPr>
          <w:rFonts w:ascii="Times New Roman" w:hAnsi="Times New Roman"/>
          <w:sz w:val="24"/>
          <w:szCs w:val="24"/>
          <w:lang w:val="en-GB"/>
        </w:rPr>
        <w:t xml:space="preserve"> found a negative relationship between sustainability initiatives and the company</w:t>
      </w:r>
      <w:r w:rsidR="007A2F89" w:rsidRPr="007A2F89">
        <w:rPr>
          <w:rFonts w:ascii="Times New Roman" w:hAnsi="Times New Roman"/>
          <w:sz w:val="24"/>
          <w:szCs w:val="24"/>
          <w:lang w:val="en-GB"/>
        </w:rPr>
        <w:t>’</w:t>
      </w:r>
      <w:r w:rsidR="00834FC0" w:rsidRPr="007A2F89">
        <w:rPr>
          <w:rFonts w:ascii="Times New Roman" w:hAnsi="Times New Roman"/>
          <w:sz w:val="24"/>
          <w:szCs w:val="24"/>
          <w:lang w:val="en-GB"/>
        </w:rPr>
        <w:t xml:space="preserve">s economic performance </w:t>
      </w:r>
      <w:r w:rsidR="00480276" w:rsidRPr="007A2F89">
        <w:rPr>
          <w:rFonts w:ascii="Times New Roman" w:hAnsi="Times New Roman"/>
          <w:sz w:val="24"/>
          <w:szCs w:val="24"/>
          <w:lang w:val="en-GB"/>
        </w:rPr>
        <w:t xml:space="preserve">(Cordeiro </w:t>
      </w:r>
      <w:r w:rsidR="00834FC0"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Sarkis</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1997; Wright </w:t>
      </w:r>
      <w:r w:rsidR="00834FC0"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Ferris</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1997), </w:t>
      </w:r>
      <w:r w:rsidR="00834FC0" w:rsidRPr="007A2F89">
        <w:rPr>
          <w:rFonts w:ascii="Times New Roman" w:hAnsi="Times New Roman"/>
          <w:sz w:val="24"/>
          <w:szCs w:val="24"/>
          <w:lang w:val="en-GB"/>
        </w:rPr>
        <w:t xml:space="preserve">while some </w:t>
      </w:r>
      <w:r w:rsidR="00FB1D79" w:rsidRPr="007A2F89">
        <w:rPr>
          <w:rFonts w:ascii="Times New Roman" w:hAnsi="Times New Roman"/>
          <w:sz w:val="24"/>
          <w:szCs w:val="24"/>
          <w:lang w:val="en-GB"/>
        </w:rPr>
        <w:t>research</w:t>
      </w:r>
      <w:r w:rsidR="00834FC0" w:rsidRPr="007A2F89">
        <w:rPr>
          <w:rFonts w:ascii="Times New Roman" w:hAnsi="Times New Roman"/>
          <w:sz w:val="24"/>
          <w:szCs w:val="24"/>
          <w:lang w:val="en-GB"/>
        </w:rPr>
        <w:t xml:space="preserve"> define t</w:t>
      </w:r>
      <w:r w:rsidR="00A94CB4" w:rsidRPr="007A2F89">
        <w:rPr>
          <w:rFonts w:ascii="Times New Roman" w:hAnsi="Times New Roman"/>
          <w:sz w:val="24"/>
          <w:szCs w:val="24"/>
          <w:lang w:val="en-GB"/>
        </w:rPr>
        <w:t>his</w:t>
      </w:r>
      <w:r w:rsidR="00834FC0" w:rsidRPr="007A2F89">
        <w:rPr>
          <w:rFonts w:ascii="Times New Roman" w:hAnsi="Times New Roman"/>
          <w:sz w:val="24"/>
          <w:szCs w:val="24"/>
          <w:lang w:val="en-GB"/>
        </w:rPr>
        <w:t xml:space="preserve"> relationship </w:t>
      </w:r>
      <w:r w:rsidR="00FB1D79" w:rsidRPr="007A2F89">
        <w:rPr>
          <w:rFonts w:ascii="Times New Roman" w:hAnsi="Times New Roman"/>
          <w:sz w:val="24"/>
          <w:szCs w:val="24"/>
          <w:lang w:val="en-GB"/>
        </w:rPr>
        <w:t>undetectable</w:t>
      </w:r>
      <w:r w:rsidR="00834FC0" w:rsidRPr="007A2F89">
        <w:rPr>
          <w:rFonts w:ascii="Times New Roman" w:hAnsi="Times New Roman"/>
          <w:sz w:val="24"/>
          <w:szCs w:val="24"/>
          <w:lang w:val="en-GB"/>
        </w:rPr>
        <w:t xml:space="preserve"> due to the multiple variables involved </w:t>
      </w:r>
      <w:r w:rsidR="00480276" w:rsidRPr="007A2F89">
        <w:rPr>
          <w:rFonts w:ascii="Times New Roman" w:hAnsi="Times New Roman"/>
          <w:sz w:val="24"/>
          <w:szCs w:val="24"/>
          <w:lang w:val="en-GB"/>
        </w:rPr>
        <w:t xml:space="preserve">(Griffin </w:t>
      </w:r>
      <w:r w:rsidR="005C4B97"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Mahon</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1997; Kraft </w:t>
      </w:r>
      <w:r w:rsidR="005C4B97"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Hage</w:t>
      </w:r>
      <w:proofErr w:type="spellEnd"/>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1990; McWilliams e Siegel</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2000).</w:t>
      </w:r>
    </w:p>
    <w:p w14:paraId="2ED99137" w14:textId="631D2A8F" w:rsidR="00480276" w:rsidRPr="007A2F89" w:rsidRDefault="005C4B97" w:rsidP="007A2F89">
      <w:pPr>
        <w:rPr>
          <w:rFonts w:ascii="Times New Roman" w:hAnsi="Times New Roman"/>
          <w:sz w:val="24"/>
          <w:szCs w:val="24"/>
          <w:lang w:val="en-GB"/>
        </w:rPr>
      </w:pPr>
      <w:r w:rsidRPr="007A2F89">
        <w:rPr>
          <w:rFonts w:ascii="Times New Roman" w:hAnsi="Times New Roman"/>
          <w:sz w:val="24"/>
          <w:szCs w:val="24"/>
          <w:lang w:val="en-GB"/>
        </w:rPr>
        <w:t>Studies that support the positive relationship between the adoption of strategic approaches</w:t>
      </w:r>
      <w:r w:rsidR="00AE30CA" w:rsidRPr="007A2F89">
        <w:rPr>
          <w:rFonts w:ascii="Times New Roman" w:hAnsi="Times New Roman"/>
          <w:sz w:val="24"/>
          <w:szCs w:val="24"/>
          <w:lang w:val="en-GB"/>
        </w:rPr>
        <w:t>,</w:t>
      </w:r>
      <w:r w:rsidRPr="007A2F89">
        <w:rPr>
          <w:rFonts w:ascii="Times New Roman" w:hAnsi="Times New Roman"/>
          <w:sz w:val="24"/>
          <w:szCs w:val="24"/>
          <w:lang w:val="en-GB"/>
        </w:rPr>
        <w:t xml:space="preserve"> aimed at sustainable development and </w:t>
      </w:r>
      <w:r w:rsidR="002B4C4A" w:rsidRPr="007A2F89">
        <w:rPr>
          <w:rFonts w:ascii="Times New Roman" w:hAnsi="Times New Roman"/>
          <w:sz w:val="24"/>
          <w:szCs w:val="24"/>
          <w:lang w:val="en-GB"/>
        </w:rPr>
        <w:t xml:space="preserve">economic and financial </w:t>
      </w:r>
      <w:r w:rsidRPr="007A2F89">
        <w:rPr>
          <w:rFonts w:ascii="Times New Roman" w:hAnsi="Times New Roman"/>
          <w:sz w:val="24"/>
          <w:szCs w:val="24"/>
          <w:lang w:val="en-GB"/>
        </w:rPr>
        <w:t xml:space="preserve">business </w:t>
      </w:r>
      <w:r w:rsidR="002B4C4A" w:rsidRPr="007A2F89">
        <w:rPr>
          <w:rFonts w:ascii="Times New Roman" w:hAnsi="Times New Roman"/>
          <w:sz w:val="24"/>
          <w:szCs w:val="24"/>
          <w:lang w:val="en-GB"/>
        </w:rPr>
        <w:t>performance</w:t>
      </w:r>
      <w:r w:rsidR="00AE30CA" w:rsidRPr="007A2F89">
        <w:rPr>
          <w:rFonts w:ascii="Times New Roman" w:hAnsi="Times New Roman"/>
          <w:sz w:val="24"/>
          <w:szCs w:val="24"/>
          <w:lang w:val="en-GB"/>
        </w:rPr>
        <w:t>,</w:t>
      </w:r>
      <w:r w:rsidR="002B4C4A" w:rsidRPr="007A2F89">
        <w:rPr>
          <w:rFonts w:ascii="Times New Roman" w:hAnsi="Times New Roman"/>
          <w:sz w:val="24"/>
          <w:szCs w:val="24"/>
          <w:lang w:val="en-GB"/>
        </w:rPr>
        <w:t xml:space="preserve"> </w:t>
      </w:r>
      <w:r w:rsidRPr="007A2F89">
        <w:rPr>
          <w:rFonts w:ascii="Times New Roman" w:hAnsi="Times New Roman"/>
          <w:sz w:val="24"/>
          <w:szCs w:val="24"/>
          <w:lang w:val="en-GB"/>
        </w:rPr>
        <w:t>mainly refers to the promoti</w:t>
      </w:r>
      <w:r w:rsidR="00AE30CA" w:rsidRPr="007A2F89">
        <w:rPr>
          <w:rFonts w:ascii="Times New Roman" w:hAnsi="Times New Roman"/>
          <w:sz w:val="24"/>
          <w:szCs w:val="24"/>
          <w:lang w:val="en-GB"/>
        </w:rPr>
        <w:t>on and</w:t>
      </w:r>
      <w:r w:rsidRPr="007A2F89">
        <w:rPr>
          <w:rFonts w:ascii="Times New Roman" w:hAnsi="Times New Roman"/>
          <w:sz w:val="24"/>
          <w:szCs w:val="24"/>
          <w:lang w:val="en-GB"/>
        </w:rPr>
        <w:t xml:space="preserve"> the implementation </w:t>
      </w:r>
      <w:r w:rsidR="002B4C4A" w:rsidRPr="007A2F89">
        <w:rPr>
          <w:rFonts w:ascii="Times New Roman" w:hAnsi="Times New Roman"/>
          <w:sz w:val="24"/>
          <w:szCs w:val="24"/>
          <w:lang w:val="en-GB"/>
        </w:rPr>
        <w:t xml:space="preserve">of a management </w:t>
      </w:r>
      <w:r w:rsidRPr="007A2F89">
        <w:rPr>
          <w:rFonts w:ascii="Times New Roman" w:hAnsi="Times New Roman"/>
          <w:sz w:val="24"/>
          <w:szCs w:val="24"/>
          <w:lang w:val="en-GB"/>
        </w:rPr>
        <w:t xml:space="preserve">systems that consider the socio-economic impacts generated by the </w:t>
      </w:r>
      <w:r w:rsidR="002B4C4A" w:rsidRPr="007A2F89">
        <w:rPr>
          <w:rFonts w:ascii="Times New Roman" w:hAnsi="Times New Roman"/>
          <w:sz w:val="24"/>
          <w:szCs w:val="24"/>
          <w:lang w:val="en-GB"/>
        </w:rPr>
        <w:t xml:space="preserve">business </w:t>
      </w:r>
      <w:r w:rsidRPr="007A2F89">
        <w:rPr>
          <w:rFonts w:ascii="Times New Roman" w:hAnsi="Times New Roman"/>
          <w:sz w:val="24"/>
          <w:szCs w:val="24"/>
          <w:lang w:val="en-GB"/>
        </w:rPr>
        <w:t>activity</w:t>
      </w:r>
      <w:r w:rsidR="00480276" w:rsidRPr="007A2F89">
        <w:rPr>
          <w:rFonts w:ascii="Times New Roman" w:hAnsi="Times New Roman"/>
          <w:sz w:val="24"/>
          <w:szCs w:val="24"/>
          <w:lang w:val="en-GB"/>
        </w:rPr>
        <w:t>.</w:t>
      </w:r>
    </w:p>
    <w:p w14:paraId="21C7715C" w14:textId="19141074" w:rsidR="00F00C41" w:rsidRPr="007A2F89" w:rsidRDefault="00044CE9" w:rsidP="007A2F89">
      <w:pPr>
        <w:rPr>
          <w:rFonts w:ascii="Times New Roman" w:hAnsi="Times New Roman"/>
          <w:sz w:val="24"/>
          <w:szCs w:val="24"/>
          <w:lang w:val="en-GB"/>
        </w:rPr>
      </w:pPr>
      <w:r w:rsidRPr="007A2F89">
        <w:rPr>
          <w:rFonts w:ascii="Times New Roman" w:hAnsi="Times New Roman"/>
          <w:sz w:val="24"/>
          <w:szCs w:val="24"/>
          <w:lang w:val="en-GB"/>
        </w:rPr>
        <w:t>In this perspective, the research give</w:t>
      </w:r>
      <w:r w:rsidR="006B11FF" w:rsidRPr="007A2F89">
        <w:rPr>
          <w:rFonts w:ascii="Times New Roman" w:hAnsi="Times New Roman"/>
          <w:sz w:val="24"/>
          <w:szCs w:val="24"/>
          <w:lang w:val="en-GB"/>
        </w:rPr>
        <w:t>s</w:t>
      </w:r>
      <w:r w:rsidRPr="007A2F89">
        <w:rPr>
          <w:rFonts w:ascii="Times New Roman" w:hAnsi="Times New Roman"/>
          <w:sz w:val="24"/>
          <w:szCs w:val="24"/>
          <w:lang w:val="en-GB"/>
        </w:rPr>
        <w:t xml:space="preserve"> great consideration especially to one aspect, </w:t>
      </w:r>
      <w:proofErr w:type="gramStart"/>
      <w:r w:rsidRPr="007A2F89">
        <w:rPr>
          <w:rFonts w:ascii="Times New Roman" w:hAnsi="Times New Roman"/>
          <w:sz w:val="24"/>
          <w:szCs w:val="24"/>
          <w:lang w:val="en-GB"/>
        </w:rPr>
        <w:t>i.e.</w:t>
      </w:r>
      <w:proofErr w:type="gramEnd"/>
      <w:r w:rsidRPr="007A2F89">
        <w:rPr>
          <w:rFonts w:ascii="Times New Roman" w:hAnsi="Times New Roman"/>
          <w:sz w:val="24"/>
          <w:szCs w:val="24"/>
          <w:lang w:val="en-GB"/>
        </w:rPr>
        <w:t xml:space="preserve"> the issue is to point out the adoption of sustainability practices to the business stakeholders with the </w:t>
      </w:r>
      <w:r w:rsidR="006B11FF" w:rsidRPr="007A2F89">
        <w:rPr>
          <w:rFonts w:ascii="Times New Roman" w:hAnsi="Times New Roman"/>
          <w:sz w:val="24"/>
          <w:szCs w:val="24"/>
          <w:lang w:val="en-GB"/>
        </w:rPr>
        <w:t>aim</w:t>
      </w:r>
      <w:r w:rsidRPr="007A2F89">
        <w:rPr>
          <w:rFonts w:ascii="Times New Roman" w:hAnsi="Times New Roman"/>
          <w:sz w:val="24"/>
          <w:szCs w:val="24"/>
          <w:lang w:val="en-GB"/>
        </w:rPr>
        <w:t xml:space="preserve"> of evaluating the business activity in its entirety and reducing informative asymmetries. </w:t>
      </w:r>
      <w:r w:rsidR="00480276" w:rsidRPr="007A2F89">
        <w:rPr>
          <w:rFonts w:ascii="Times New Roman" w:hAnsi="Times New Roman"/>
          <w:sz w:val="24"/>
          <w:szCs w:val="24"/>
          <w:lang w:val="en-GB"/>
        </w:rPr>
        <w:t xml:space="preserve">(Connelly </w:t>
      </w:r>
      <w:r w:rsidR="00480276" w:rsidRPr="007A2F89">
        <w:rPr>
          <w:rFonts w:ascii="Times New Roman" w:hAnsi="Times New Roman"/>
          <w:i/>
          <w:iCs/>
          <w:sz w:val="24"/>
          <w:szCs w:val="24"/>
          <w:lang w:val="en-GB"/>
        </w:rPr>
        <w:t>et al.</w:t>
      </w:r>
      <w:r w:rsidR="005A2C3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2011, Spence, 2002; Stiglitz, 2002). </w:t>
      </w:r>
      <w:r w:rsidRPr="007A2F89">
        <w:rPr>
          <w:rFonts w:ascii="Times New Roman" w:hAnsi="Times New Roman"/>
          <w:sz w:val="24"/>
          <w:szCs w:val="24"/>
          <w:lang w:val="en-GB"/>
        </w:rPr>
        <w:t xml:space="preserve">In that sense, it is alarming the growing concern of companies in adopting means of communication, information and reporting for sustainability that </w:t>
      </w:r>
      <w:r w:rsidR="00132FC0" w:rsidRPr="007A2F89">
        <w:rPr>
          <w:rFonts w:ascii="Times New Roman" w:hAnsi="Times New Roman"/>
          <w:sz w:val="24"/>
          <w:szCs w:val="24"/>
          <w:lang w:val="en-GB"/>
        </w:rPr>
        <w:t>allow</w:t>
      </w:r>
      <w:r w:rsidRPr="007A2F89">
        <w:rPr>
          <w:rFonts w:ascii="Times New Roman" w:hAnsi="Times New Roman"/>
          <w:sz w:val="24"/>
          <w:szCs w:val="24"/>
          <w:lang w:val="en-GB"/>
        </w:rPr>
        <w:t xml:space="preserve"> to communicate their commitment to the adoption of sustainable business management systems and models, including, the</w:t>
      </w:r>
      <w:r w:rsidR="00132FC0" w:rsidRPr="007A2F89">
        <w:rPr>
          <w:rFonts w:ascii="Times New Roman" w:hAnsi="Times New Roman"/>
          <w:sz w:val="24"/>
          <w:szCs w:val="24"/>
          <w:lang w:val="en-GB"/>
        </w:rPr>
        <w:t xml:space="preserve"> management system</w:t>
      </w:r>
      <w:r w:rsidRPr="007A2F89">
        <w:rPr>
          <w:rFonts w:ascii="Times New Roman" w:hAnsi="Times New Roman"/>
          <w:sz w:val="24"/>
          <w:szCs w:val="24"/>
          <w:lang w:val="en-GB"/>
        </w:rPr>
        <w:t xml:space="preserve"> certifications</w:t>
      </w:r>
      <w:r w:rsidR="00480276" w:rsidRPr="007A2F89">
        <w:rPr>
          <w:rFonts w:ascii="Times New Roman" w:hAnsi="Times New Roman"/>
          <w:sz w:val="24"/>
          <w:szCs w:val="24"/>
          <w:lang w:val="en-GB"/>
        </w:rPr>
        <w:t>. (</w:t>
      </w:r>
      <w:proofErr w:type="spellStart"/>
      <w:r w:rsidR="00480276" w:rsidRPr="007A2F89">
        <w:rPr>
          <w:rFonts w:ascii="Times New Roman" w:hAnsi="Times New Roman"/>
          <w:sz w:val="24"/>
          <w:szCs w:val="24"/>
          <w:lang w:val="en-GB"/>
        </w:rPr>
        <w:t>Godemann</w:t>
      </w:r>
      <w:proofErr w:type="spellEnd"/>
      <w:r w:rsidR="00480276" w:rsidRPr="007A2F89">
        <w:rPr>
          <w:rFonts w:ascii="Times New Roman" w:hAnsi="Times New Roman"/>
          <w:sz w:val="24"/>
          <w:szCs w:val="24"/>
          <w:lang w:val="en-GB"/>
        </w:rPr>
        <w:t xml:space="preserve"> </w:t>
      </w:r>
      <w:r w:rsidR="002B4C4A"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Michelsen, 2011; </w:t>
      </w:r>
      <w:proofErr w:type="spellStart"/>
      <w:r w:rsidR="00480276" w:rsidRPr="007A2F89">
        <w:rPr>
          <w:rFonts w:ascii="Times New Roman" w:hAnsi="Times New Roman"/>
          <w:sz w:val="24"/>
          <w:szCs w:val="24"/>
          <w:lang w:val="en-GB"/>
        </w:rPr>
        <w:t>Newig</w:t>
      </w:r>
      <w:proofErr w:type="spellEnd"/>
      <w:r w:rsidR="00480276" w:rsidRPr="007A2F89">
        <w:rPr>
          <w:rFonts w:ascii="Times New Roman" w:hAnsi="Times New Roman"/>
          <w:sz w:val="24"/>
          <w:szCs w:val="24"/>
          <w:lang w:val="en-GB"/>
        </w:rPr>
        <w:t xml:space="preserve"> </w:t>
      </w:r>
      <w:r w:rsidR="00480276" w:rsidRPr="007A2F89">
        <w:rPr>
          <w:rFonts w:ascii="Times New Roman" w:hAnsi="Times New Roman"/>
          <w:i/>
          <w:iCs/>
          <w:sz w:val="24"/>
          <w:szCs w:val="24"/>
          <w:lang w:val="en-GB"/>
        </w:rPr>
        <w:t>et al.</w:t>
      </w:r>
      <w:r w:rsidR="00480276" w:rsidRPr="007A2F89">
        <w:rPr>
          <w:rFonts w:ascii="Times New Roman" w:hAnsi="Times New Roman"/>
          <w:sz w:val="24"/>
          <w:szCs w:val="24"/>
          <w:lang w:val="en-GB"/>
        </w:rPr>
        <w:t xml:space="preserve">, 2013; Reilly </w:t>
      </w:r>
      <w:r w:rsidR="002B4C4A"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Larya</w:t>
      </w:r>
      <w:proofErr w:type="spellEnd"/>
      <w:r w:rsidR="00480276" w:rsidRPr="007A2F89">
        <w:rPr>
          <w:rFonts w:ascii="Times New Roman" w:hAnsi="Times New Roman"/>
          <w:sz w:val="24"/>
          <w:szCs w:val="24"/>
          <w:lang w:val="en-GB"/>
        </w:rPr>
        <w:t>, 2018).</w:t>
      </w:r>
    </w:p>
    <w:p w14:paraId="2B8F98EB" w14:textId="2E9C019B" w:rsidR="00480276" w:rsidRPr="007A2F89" w:rsidRDefault="00F00C41" w:rsidP="007A2F89">
      <w:pPr>
        <w:rPr>
          <w:rFonts w:ascii="Times New Roman" w:hAnsi="Times New Roman"/>
          <w:sz w:val="24"/>
          <w:szCs w:val="24"/>
          <w:lang w:val="en-GB"/>
        </w:rPr>
      </w:pPr>
      <w:r w:rsidRPr="007A2F89">
        <w:rPr>
          <w:rFonts w:ascii="Times New Roman" w:hAnsi="Times New Roman"/>
          <w:sz w:val="24"/>
          <w:szCs w:val="24"/>
          <w:lang w:val="en-GB"/>
        </w:rPr>
        <w:t>The company "need" to inform regarding the adoption of sustainable approaches can be framed</w:t>
      </w:r>
      <w:r w:rsidR="00132FC0" w:rsidRPr="007A2F89">
        <w:rPr>
          <w:rFonts w:ascii="Times New Roman" w:hAnsi="Times New Roman"/>
          <w:sz w:val="24"/>
          <w:szCs w:val="24"/>
          <w:lang w:val="en-GB"/>
        </w:rPr>
        <w:t xml:space="preserve"> under the </w:t>
      </w:r>
      <w:r w:rsidRPr="007A2F89">
        <w:rPr>
          <w:rFonts w:ascii="Times New Roman" w:hAnsi="Times New Roman"/>
          <w:sz w:val="24"/>
          <w:szCs w:val="24"/>
          <w:lang w:val="en-GB"/>
        </w:rPr>
        <w:t xml:space="preserve">perspective of the </w:t>
      </w:r>
      <w:r w:rsidR="005E7ADA" w:rsidRPr="007A2F89">
        <w:rPr>
          <w:rFonts w:ascii="Times New Roman" w:hAnsi="Times New Roman"/>
          <w:i/>
          <w:iCs/>
          <w:sz w:val="24"/>
          <w:szCs w:val="24"/>
          <w:lang w:val="en-GB"/>
        </w:rPr>
        <w:t>Signalling</w:t>
      </w:r>
      <w:r w:rsidRPr="007A2F89">
        <w:rPr>
          <w:rFonts w:ascii="Times New Roman" w:hAnsi="Times New Roman"/>
          <w:i/>
          <w:iCs/>
          <w:sz w:val="24"/>
          <w:szCs w:val="24"/>
          <w:lang w:val="en-GB"/>
        </w:rPr>
        <w:t xml:space="preserve"> Theory</w:t>
      </w:r>
      <w:r w:rsidRPr="007A2F89">
        <w:rPr>
          <w:rFonts w:ascii="Times New Roman" w:hAnsi="Times New Roman"/>
          <w:sz w:val="24"/>
          <w:szCs w:val="24"/>
          <w:lang w:val="en-GB"/>
        </w:rPr>
        <w:t xml:space="preserve"> </w:t>
      </w:r>
      <w:r w:rsidR="00480276" w:rsidRPr="007A2F89">
        <w:rPr>
          <w:rFonts w:ascii="Times New Roman" w:hAnsi="Times New Roman"/>
          <w:sz w:val="24"/>
          <w:szCs w:val="24"/>
          <w:lang w:val="en-GB"/>
        </w:rPr>
        <w:t xml:space="preserve">(Boulding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Kirmani</w:t>
      </w:r>
      <w:proofErr w:type="spellEnd"/>
      <w:r w:rsidR="00480276" w:rsidRPr="007A2F89">
        <w:rPr>
          <w:rFonts w:ascii="Times New Roman" w:hAnsi="Times New Roman"/>
          <w:sz w:val="24"/>
          <w:szCs w:val="24"/>
          <w:lang w:val="en-GB"/>
        </w:rPr>
        <w:t xml:space="preserve">, 1993; Connelly </w:t>
      </w:r>
      <w:r w:rsidR="00480276" w:rsidRPr="007A2F89">
        <w:rPr>
          <w:rFonts w:ascii="Times New Roman" w:hAnsi="Times New Roman"/>
          <w:i/>
          <w:iCs/>
          <w:sz w:val="24"/>
          <w:szCs w:val="24"/>
          <w:lang w:val="en-GB"/>
        </w:rPr>
        <w:t>et al.</w:t>
      </w:r>
      <w:r w:rsidR="00480276" w:rsidRPr="007A2F89">
        <w:rPr>
          <w:rFonts w:ascii="Times New Roman" w:hAnsi="Times New Roman"/>
          <w:sz w:val="24"/>
          <w:szCs w:val="24"/>
          <w:lang w:val="en-GB"/>
        </w:rPr>
        <w:t xml:space="preserve">, 2011). </w:t>
      </w:r>
      <w:r w:rsidRPr="007A2F89">
        <w:rPr>
          <w:rFonts w:ascii="Times New Roman" w:hAnsi="Times New Roman"/>
          <w:sz w:val="24"/>
          <w:szCs w:val="24"/>
          <w:lang w:val="en-GB"/>
        </w:rPr>
        <w:t xml:space="preserve">This theory is based on four key elements: </w:t>
      </w:r>
      <w:r w:rsidR="005E7ADA" w:rsidRPr="007A2F89">
        <w:rPr>
          <w:rFonts w:ascii="Times New Roman" w:hAnsi="Times New Roman"/>
          <w:i/>
          <w:iCs/>
          <w:sz w:val="24"/>
          <w:szCs w:val="24"/>
          <w:lang w:val="en-GB"/>
        </w:rPr>
        <w:t>signaller</w:t>
      </w:r>
      <w:r w:rsidRPr="007A2F89">
        <w:rPr>
          <w:rFonts w:ascii="Times New Roman" w:hAnsi="Times New Roman"/>
          <w:i/>
          <w:iCs/>
          <w:sz w:val="24"/>
          <w:szCs w:val="24"/>
          <w:lang w:val="en-GB"/>
        </w:rPr>
        <w:t>, signal, receiver, feedback</w:t>
      </w:r>
      <w:r w:rsidRPr="007A2F89">
        <w:rPr>
          <w:rFonts w:ascii="Times New Roman" w:hAnsi="Times New Roman"/>
          <w:sz w:val="24"/>
          <w:szCs w:val="24"/>
          <w:lang w:val="en-GB"/>
        </w:rPr>
        <w:t xml:space="preserve">. </w:t>
      </w:r>
      <w:r w:rsidR="00132FC0" w:rsidRPr="007A2F89">
        <w:rPr>
          <w:rFonts w:ascii="Times New Roman" w:hAnsi="Times New Roman"/>
          <w:sz w:val="24"/>
          <w:szCs w:val="24"/>
          <w:lang w:val="en-GB"/>
        </w:rPr>
        <w:t>Under this</w:t>
      </w:r>
      <w:r w:rsidR="00D04F2B" w:rsidRPr="007A2F89">
        <w:rPr>
          <w:rFonts w:ascii="Times New Roman" w:hAnsi="Times New Roman"/>
          <w:sz w:val="24"/>
          <w:szCs w:val="24"/>
          <w:lang w:val="en-GB"/>
        </w:rPr>
        <w:t xml:space="preserve"> perspective</w:t>
      </w:r>
      <w:r w:rsidR="00132FC0" w:rsidRPr="007A2F89">
        <w:rPr>
          <w:rFonts w:ascii="Times New Roman" w:hAnsi="Times New Roman"/>
          <w:sz w:val="24"/>
          <w:szCs w:val="24"/>
          <w:lang w:val="en-GB"/>
        </w:rPr>
        <w:t>, in this research</w:t>
      </w:r>
      <w:r w:rsidR="00D04F2B" w:rsidRPr="007A2F89">
        <w:rPr>
          <w:rFonts w:ascii="Times New Roman" w:hAnsi="Times New Roman"/>
          <w:sz w:val="24"/>
          <w:szCs w:val="24"/>
          <w:lang w:val="en-GB"/>
        </w:rPr>
        <w:t>, the "</w:t>
      </w:r>
      <w:r w:rsidR="005E7ADA" w:rsidRPr="007A2F89">
        <w:rPr>
          <w:rFonts w:ascii="Times New Roman" w:hAnsi="Times New Roman"/>
          <w:sz w:val="24"/>
          <w:szCs w:val="24"/>
          <w:lang w:val="en-GB"/>
        </w:rPr>
        <w:t>Signalling</w:t>
      </w:r>
      <w:r w:rsidR="00D04F2B" w:rsidRPr="007A2F89">
        <w:rPr>
          <w:rFonts w:ascii="Times New Roman" w:hAnsi="Times New Roman"/>
          <w:sz w:val="24"/>
          <w:szCs w:val="24"/>
          <w:lang w:val="en-GB"/>
        </w:rPr>
        <w:t xml:space="preserve"> Theory" helps us to understand the reasons behind the adoption of the ISO14001 environmental management system certification, typically used </w:t>
      </w:r>
      <w:r w:rsidR="00132FC0" w:rsidRPr="007A2F89">
        <w:rPr>
          <w:rFonts w:ascii="Times New Roman" w:hAnsi="Times New Roman"/>
          <w:sz w:val="24"/>
          <w:szCs w:val="24"/>
          <w:lang w:val="en-GB"/>
        </w:rPr>
        <w:t>to</w:t>
      </w:r>
      <w:r w:rsidR="00D04F2B" w:rsidRPr="007A2F89">
        <w:rPr>
          <w:rFonts w:ascii="Times New Roman" w:hAnsi="Times New Roman"/>
          <w:sz w:val="24"/>
          <w:szCs w:val="24"/>
          <w:lang w:val="en-GB"/>
        </w:rPr>
        <w:t xml:space="preserve"> </w:t>
      </w:r>
      <w:r w:rsidR="005E7ADA" w:rsidRPr="007A2F89">
        <w:rPr>
          <w:rFonts w:ascii="Times New Roman" w:hAnsi="Times New Roman"/>
          <w:sz w:val="24"/>
          <w:szCs w:val="24"/>
          <w:lang w:val="en-GB"/>
        </w:rPr>
        <w:t>point out</w:t>
      </w:r>
      <w:r w:rsidR="00D04F2B" w:rsidRPr="007A2F89">
        <w:rPr>
          <w:rFonts w:ascii="Times New Roman" w:hAnsi="Times New Roman"/>
          <w:sz w:val="24"/>
          <w:szCs w:val="24"/>
          <w:lang w:val="en-GB"/>
        </w:rPr>
        <w:t xml:space="preserve"> the adoption of a standardized business management model</w:t>
      </w:r>
      <w:r w:rsidR="00480276" w:rsidRPr="007A2F89">
        <w:rPr>
          <w:rFonts w:ascii="Times New Roman" w:hAnsi="Times New Roman"/>
          <w:sz w:val="24"/>
          <w:szCs w:val="24"/>
          <w:lang w:val="en-GB"/>
        </w:rPr>
        <w:t>.</w:t>
      </w:r>
    </w:p>
    <w:p w14:paraId="2ADEBEC2" w14:textId="59DAAACF" w:rsidR="007A6DAB" w:rsidRPr="007A2F89" w:rsidRDefault="00605794" w:rsidP="007A2F89">
      <w:pPr>
        <w:rPr>
          <w:rFonts w:ascii="Times New Roman" w:hAnsi="Times New Roman"/>
          <w:sz w:val="24"/>
          <w:szCs w:val="24"/>
          <w:lang w:val="en-GB"/>
        </w:rPr>
      </w:pPr>
      <w:r w:rsidRPr="007A2F89">
        <w:rPr>
          <w:rFonts w:ascii="Times New Roman" w:hAnsi="Times New Roman"/>
          <w:sz w:val="24"/>
          <w:szCs w:val="24"/>
          <w:lang w:val="en-GB"/>
        </w:rPr>
        <w:t>ISO 14001 is a technical standard of the International Organization for Standardization on Environmental Management Systems (EMS) which determines the requirements that an organization, of any size, must comply in its environmental management system.</w:t>
      </w:r>
      <w:r w:rsidRPr="007A2F89">
        <w:rPr>
          <w:sz w:val="24"/>
          <w:szCs w:val="24"/>
          <w:lang w:val="en-GB"/>
        </w:rPr>
        <w:t xml:space="preserve"> </w:t>
      </w:r>
      <w:r w:rsidRPr="007A2F89">
        <w:rPr>
          <w:rFonts w:ascii="Times New Roman" w:hAnsi="Times New Roman"/>
          <w:sz w:val="24"/>
          <w:szCs w:val="24"/>
          <w:lang w:val="en-GB"/>
        </w:rPr>
        <w:t xml:space="preserve">ISO 14001 - revised in 2015 - presents a general discipline </w:t>
      </w:r>
      <w:r w:rsidR="007A6DAB" w:rsidRPr="007A2F89">
        <w:rPr>
          <w:rFonts w:ascii="Times New Roman" w:hAnsi="Times New Roman"/>
          <w:sz w:val="24"/>
          <w:szCs w:val="24"/>
          <w:lang w:val="en-GB"/>
        </w:rPr>
        <w:t xml:space="preserve">with the aim of </w:t>
      </w:r>
      <w:r w:rsidRPr="007A2F89">
        <w:rPr>
          <w:rFonts w:ascii="Times New Roman" w:hAnsi="Times New Roman"/>
          <w:sz w:val="24"/>
          <w:szCs w:val="24"/>
          <w:lang w:val="en-GB"/>
        </w:rPr>
        <w:t>certifying how the company management system is suitable for assessing and reducing the environmental impacts, and that it is oriented towards continuous improvement</w:t>
      </w:r>
      <w:r w:rsidR="007A6DAB" w:rsidRPr="007A2F89">
        <w:rPr>
          <w:rFonts w:ascii="Times New Roman" w:hAnsi="Times New Roman"/>
          <w:sz w:val="24"/>
          <w:szCs w:val="24"/>
          <w:lang w:val="en-GB"/>
        </w:rPr>
        <w:t xml:space="preserve">. Therefore, ISO 14001 can be defined as a process certification, and the requirements </w:t>
      </w:r>
      <w:r w:rsidR="005E7ADA" w:rsidRPr="007A2F89">
        <w:rPr>
          <w:rFonts w:ascii="Times New Roman" w:hAnsi="Times New Roman"/>
          <w:sz w:val="24"/>
          <w:szCs w:val="24"/>
          <w:lang w:val="en-GB"/>
        </w:rPr>
        <w:t>to</w:t>
      </w:r>
      <w:r w:rsidR="007A6DAB" w:rsidRPr="007A2F89">
        <w:rPr>
          <w:rFonts w:ascii="Times New Roman" w:hAnsi="Times New Roman"/>
          <w:sz w:val="24"/>
          <w:szCs w:val="24"/>
          <w:lang w:val="en-GB"/>
        </w:rPr>
        <w:t xml:space="preserve"> </w:t>
      </w:r>
      <w:r w:rsidR="007A6DAB" w:rsidRPr="007A2F89">
        <w:rPr>
          <w:rFonts w:ascii="Times New Roman" w:hAnsi="Times New Roman"/>
          <w:sz w:val="24"/>
          <w:szCs w:val="24"/>
          <w:lang w:val="en-GB"/>
        </w:rPr>
        <w:lastRenderedPageBreak/>
        <w:t xml:space="preserve">obtain the certification are based on the </w:t>
      </w:r>
      <w:r w:rsidR="007A2F89" w:rsidRPr="007A2F89">
        <w:rPr>
          <w:rFonts w:ascii="Times New Roman" w:hAnsi="Times New Roman"/>
          <w:sz w:val="24"/>
          <w:szCs w:val="24"/>
          <w:lang w:val="en-GB"/>
        </w:rPr>
        <w:t>‘</w:t>
      </w:r>
      <w:r w:rsidR="007A6DAB" w:rsidRPr="007A2F89">
        <w:rPr>
          <w:rFonts w:ascii="Times New Roman" w:hAnsi="Times New Roman"/>
          <w:sz w:val="24"/>
          <w:szCs w:val="24"/>
          <w:lang w:val="en-GB"/>
        </w:rPr>
        <w:t>Deming cycle</w:t>
      </w:r>
      <w:r w:rsidR="007A2F89"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w:t>
      </w:r>
      <w:r w:rsidR="00480276" w:rsidRPr="007A2F89">
        <w:rPr>
          <w:rFonts w:ascii="Times New Roman" w:hAnsi="Times New Roman"/>
          <w:i/>
          <w:iCs/>
          <w:sz w:val="24"/>
          <w:szCs w:val="24"/>
          <w:lang w:val="en-GB"/>
        </w:rPr>
        <w:t xml:space="preserve">Plan-Do-Check-Act (PDCA) </w:t>
      </w:r>
      <w:r w:rsidR="00480276" w:rsidRPr="007A2F89">
        <w:rPr>
          <w:rFonts w:ascii="Times New Roman" w:hAnsi="Times New Roman"/>
          <w:sz w:val="24"/>
          <w:szCs w:val="24"/>
          <w:lang w:val="en-GB"/>
        </w:rPr>
        <w:t>(Johnson, 2002).</w:t>
      </w:r>
    </w:p>
    <w:p w14:paraId="3BE23B7B" w14:textId="47BB266E" w:rsidR="00480276" w:rsidRPr="007A2F89" w:rsidRDefault="007A6DAB" w:rsidP="007A2F89">
      <w:pPr>
        <w:rPr>
          <w:rFonts w:ascii="Times New Roman" w:hAnsi="Times New Roman"/>
          <w:sz w:val="24"/>
          <w:szCs w:val="24"/>
          <w:lang w:val="en-GB"/>
        </w:rPr>
      </w:pPr>
      <w:r w:rsidRPr="007A2F89">
        <w:rPr>
          <w:rFonts w:ascii="Times New Roman" w:hAnsi="Times New Roman"/>
          <w:sz w:val="24"/>
          <w:szCs w:val="24"/>
          <w:lang w:val="en-GB"/>
        </w:rPr>
        <w:t xml:space="preserve">Furthermore, the evaluation criteria of the company environmental management system are not determined according to a systematic and unambiguous framework, but they are defined </w:t>
      </w:r>
      <w:proofErr w:type="gramStart"/>
      <w:r w:rsidRPr="007A2F89">
        <w:rPr>
          <w:rFonts w:ascii="Times New Roman" w:hAnsi="Times New Roman"/>
          <w:sz w:val="24"/>
          <w:szCs w:val="24"/>
          <w:lang w:val="en-GB"/>
        </w:rPr>
        <w:t>on the basis of</w:t>
      </w:r>
      <w:proofErr w:type="gramEnd"/>
      <w:r w:rsidRPr="007A2F89">
        <w:rPr>
          <w:rFonts w:ascii="Times New Roman" w:hAnsi="Times New Roman"/>
          <w:sz w:val="24"/>
          <w:szCs w:val="24"/>
          <w:lang w:val="en-GB"/>
        </w:rPr>
        <w:t xml:space="preserve"> the industrial activity breakthrough</w:t>
      </w:r>
      <w:r w:rsidR="00480276" w:rsidRPr="007A2F89">
        <w:rPr>
          <w:rFonts w:ascii="Times New Roman" w:hAnsi="Times New Roman"/>
          <w:sz w:val="24"/>
          <w:szCs w:val="24"/>
          <w:lang w:val="en-GB"/>
        </w:rPr>
        <w:t xml:space="preserve">. </w:t>
      </w:r>
      <w:r w:rsidR="004067E4" w:rsidRPr="007A2F89">
        <w:rPr>
          <w:rFonts w:ascii="Times New Roman" w:hAnsi="Times New Roman"/>
          <w:sz w:val="24"/>
          <w:szCs w:val="24"/>
          <w:lang w:val="en-GB"/>
        </w:rPr>
        <w:t xml:space="preserve">Therefore, the environmental management system adequacy assessment will be preceded </w:t>
      </w:r>
      <w:r w:rsidR="00770E48" w:rsidRPr="007A2F89">
        <w:rPr>
          <w:rFonts w:ascii="Times New Roman" w:hAnsi="Times New Roman"/>
          <w:sz w:val="24"/>
          <w:szCs w:val="24"/>
          <w:lang w:val="en-GB"/>
        </w:rPr>
        <w:t>from</w:t>
      </w:r>
      <w:r w:rsidR="004067E4" w:rsidRPr="007A2F89">
        <w:rPr>
          <w:rFonts w:ascii="Times New Roman" w:hAnsi="Times New Roman"/>
          <w:sz w:val="24"/>
          <w:szCs w:val="24"/>
          <w:lang w:val="en-GB"/>
        </w:rPr>
        <w:t xml:space="preserve"> a context analysis</w:t>
      </w:r>
      <w:r w:rsidR="00770E48" w:rsidRPr="007A2F89">
        <w:rPr>
          <w:rFonts w:ascii="Times New Roman" w:hAnsi="Times New Roman"/>
          <w:sz w:val="24"/>
          <w:szCs w:val="24"/>
          <w:lang w:val="en-GB"/>
        </w:rPr>
        <w:t>, highlighting</w:t>
      </w:r>
      <w:r w:rsidR="004067E4" w:rsidRPr="007A2F89">
        <w:rPr>
          <w:rFonts w:ascii="Times New Roman" w:hAnsi="Times New Roman"/>
          <w:sz w:val="24"/>
          <w:szCs w:val="24"/>
          <w:lang w:val="en-GB"/>
        </w:rPr>
        <w:t xml:space="preserve"> the needs and expectations of stakeholders and the main impacts generated.</w:t>
      </w:r>
    </w:p>
    <w:p w14:paraId="290CE4F9" w14:textId="3030F02E" w:rsidR="00480276" w:rsidRPr="007A2F89" w:rsidRDefault="003D643E" w:rsidP="007A2F89">
      <w:pPr>
        <w:rPr>
          <w:rFonts w:ascii="Times New Roman" w:hAnsi="Times New Roman"/>
          <w:sz w:val="24"/>
          <w:szCs w:val="24"/>
          <w:lang w:val="en-GB"/>
        </w:rPr>
      </w:pPr>
      <w:r w:rsidRPr="007A2F89">
        <w:rPr>
          <w:rFonts w:ascii="Times New Roman" w:hAnsi="Times New Roman"/>
          <w:sz w:val="24"/>
          <w:szCs w:val="24"/>
          <w:lang w:val="en-GB"/>
        </w:rPr>
        <w:t>This procedure is based on</w:t>
      </w:r>
      <w:r w:rsidR="004067E4" w:rsidRPr="007A2F89">
        <w:rPr>
          <w:rFonts w:ascii="Times New Roman" w:hAnsi="Times New Roman"/>
          <w:sz w:val="24"/>
          <w:szCs w:val="24"/>
          <w:lang w:val="en-GB"/>
        </w:rPr>
        <w:t xml:space="preserve"> one of the f</w:t>
      </w:r>
      <w:r w:rsidR="0000713A" w:rsidRPr="007A2F89">
        <w:rPr>
          <w:rFonts w:ascii="Times New Roman" w:hAnsi="Times New Roman"/>
          <w:sz w:val="24"/>
          <w:szCs w:val="24"/>
          <w:lang w:val="en-GB"/>
        </w:rPr>
        <w:t>u</w:t>
      </w:r>
      <w:r w:rsidR="004067E4" w:rsidRPr="007A2F89">
        <w:rPr>
          <w:rFonts w:ascii="Times New Roman" w:hAnsi="Times New Roman"/>
          <w:sz w:val="24"/>
          <w:szCs w:val="24"/>
          <w:lang w:val="en-GB"/>
        </w:rPr>
        <w:t>ndamental requisites for obtaining the ISO14001 certification</w:t>
      </w:r>
      <w:r w:rsidRPr="007A2F89">
        <w:rPr>
          <w:rFonts w:ascii="Times New Roman" w:hAnsi="Times New Roman"/>
          <w:sz w:val="24"/>
          <w:szCs w:val="24"/>
          <w:lang w:val="en-GB"/>
        </w:rPr>
        <w:t>:</w:t>
      </w:r>
      <w:r w:rsidR="004067E4" w:rsidRPr="007A2F89">
        <w:rPr>
          <w:rFonts w:ascii="Times New Roman" w:hAnsi="Times New Roman"/>
          <w:sz w:val="24"/>
          <w:szCs w:val="24"/>
          <w:lang w:val="en-GB"/>
        </w:rPr>
        <w:t xml:space="preserve"> green procurement</w:t>
      </w:r>
      <w:r w:rsidRPr="007A2F89">
        <w:rPr>
          <w:rFonts w:ascii="Times New Roman" w:hAnsi="Times New Roman"/>
          <w:sz w:val="24"/>
          <w:szCs w:val="24"/>
          <w:lang w:val="en-GB"/>
        </w:rPr>
        <w:t>.</w:t>
      </w:r>
      <w:r w:rsidR="004067E4" w:rsidRPr="007A2F89">
        <w:rPr>
          <w:rFonts w:ascii="Times New Roman" w:hAnsi="Times New Roman"/>
          <w:sz w:val="24"/>
          <w:szCs w:val="24"/>
          <w:lang w:val="en-GB"/>
        </w:rPr>
        <w:t xml:space="preserve"> </w:t>
      </w:r>
      <w:r w:rsidRPr="007A2F89">
        <w:rPr>
          <w:rFonts w:ascii="Times New Roman" w:hAnsi="Times New Roman"/>
          <w:sz w:val="24"/>
          <w:szCs w:val="24"/>
          <w:lang w:val="en-GB"/>
        </w:rPr>
        <w:t>O</w:t>
      </w:r>
      <w:r w:rsidR="0000713A" w:rsidRPr="007A2F89">
        <w:rPr>
          <w:rFonts w:ascii="Times New Roman" w:hAnsi="Times New Roman"/>
          <w:sz w:val="24"/>
          <w:szCs w:val="24"/>
          <w:lang w:val="en-GB"/>
        </w:rPr>
        <w:t xml:space="preserve">rganizations must define and apply environmental criteria to products and services </w:t>
      </w:r>
      <w:r w:rsidRPr="007A2F89">
        <w:rPr>
          <w:rFonts w:ascii="Times New Roman" w:hAnsi="Times New Roman"/>
          <w:sz w:val="24"/>
          <w:szCs w:val="24"/>
          <w:lang w:val="en-GB"/>
        </w:rPr>
        <w:t>purchases</w:t>
      </w:r>
      <w:r w:rsidR="0000713A" w:rsidRPr="007A2F89">
        <w:rPr>
          <w:rFonts w:ascii="Times New Roman" w:hAnsi="Times New Roman"/>
          <w:sz w:val="24"/>
          <w:szCs w:val="24"/>
          <w:lang w:val="en-GB"/>
        </w:rPr>
        <w:t xml:space="preserve"> that support production or trade. </w:t>
      </w:r>
      <w:r w:rsidR="00F46E0C" w:rsidRPr="007A2F89">
        <w:rPr>
          <w:rFonts w:ascii="Times New Roman" w:hAnsi="Times New Roman"/>
          <w:sz w:val="24"/>
          <w:szCs w:val="24"/>
          <w:lang w:val="en-GB"/>
        </w:rPr>
        <w:t>The a</w:t>
      </w:r>
      <w:r w:rsidR="0000713A" w:rsidRPr="007A2F89">
        <w:rPr>
          <w:rFonts w:ascii="Times New Roman" w:hAnsi="Times New Roman"/>
          <w:sz w:val="24"/>
          <w:szCs w:val="24"/>
          <w:lang w:val="en-GB"/>
        </w:rPr>
        <w:t xml:space="preserve">daptation to this type of international standards, highlights common benefits for all </w:t>
      </w:r>
      <w:r w:rsidR="00F46E0C" w:rsidRPr="007A2F89">
        <w:rPr>
          <w:rFonts w:ascii="Times New Roman" w:hAnsi="Times New Roman"/>
          <w:sz w:val="24"/>
          <w:szCs w:val="24"/>
          <w:lang w:val="en-GB"/>
        </w:rPr>
        <w:t>company</w:t>
      </w:r>
      <w:r w:rsidR="0000713A" w:rsidRPr="007A2F89">
        <w:rPr>
          <w:rFonts w:ascii="Times New Roman" w:hAnsi="Times New Roman"/>
          <w:sz w:val="24"/>
          <w:szCs w:val="24"/>
          <w:lang w:val="en-GB"/>
        </w:rPr>
        <w:t xml:space="preserve"> typological classes, including: the internal performance improvement and efficiency (cost reduction, productivity growth, profit growth, internal process improvement, workers motivation improvement), </w:t>
      </w:r>
      <w:r w:rsidR="003F49A2" w:rsidRPr="007A2F89">
        <w:rPr>
          <w:rFonts w:ascii="Times New Roman" w:hAnsi="Times New Roman"/>
          <w:sz w:val="24"/>
          <w:szCs w:val="24"/>
          <w:lang w:val="en-GB"/>
        </w:rPr>
        <w:t xml:space="preserve">the company public image </w:t>
      </w:r>
      <w:r w:rsidR="0000713A" w:rsidRPr="007A2F89">
        <w:rPr>
          <w:rFonts w:ascii="Times New Roman" w:hAnsi="Times New Roman"/>
          <w:sz w:val="24"/>
          <w:szCs w:val="24"/>
          <w:lang w:val="en-GB"/>
        </w:rPr>
        <w:t>and the</w:t>
      </w:r>
      <w:r w:rsidR="003F49A2" w:rsidRPr="007A2F89">
        <w:rPr>
          <w:rFonts w:ascii="Times New Roman" w:hAnsi="Times New Roman"/>
          <w:sz w:val="24"/>
          <w:szCs w:val="24"/>
          <w:lang w:val="en-GB"/>
        </w:rPr>
        <w:t xml:space="preserve"> quality brand</w:t>
      </w:r>
      <w:r w:rsidR="0000713A" w:rsidRPr="007A2F89">
        <w:rPr>
          <w:rFonts w:ascii="Times New Roman" w:hAnsi="Times New Roman"/>
          <w:sz w:val="24"/>
          <w:szCs w:val="24"/>
          <w:lang w:val="en-GB"/>
        </w:rPr>
        <w:t xml:space="preserve"> perception </w:t>
      </w:r>
      <w:r w:rsidR="00F46E0C" w:rsidRPr="007A2F89">
        <w:rPr>
          <w:rFonts w:ascii="Times New Roman" w:hAnsi="Times New Roman"/>
          <w:sz w:val="24"/>
          <w:szCs w:val="24"/>
          <w:lang w:val="en-GB"/>
        </w:rPr>
        <w:t>for</w:t>
      </w:r>
      <w:r w:rsidR="0000713A" w:rsidRPr="007A2F89">
        <w:rPr>
          <w:rFonts w:ascii="Times New Roman" w:hAnsi="Times New Roman"/>
          <w:sz w:val="24"/>
          <w:szCs w:val="24"/>
          <w:lang w:val="en-GB"/>
        </w:rPr>
        <w:t xml:space="preserve"> the customer,</w:t>
      </w:r>
      <w:r w:rsidR="003F49A2" w:rsidRPr="007A2F89">
        <w:rPr>
          <w:rFonts w:ascii="Times New Roman" w:hAnsi="Times New Roman"/>
          <w:sz w:val="24"/>
          <w:szCs w:val="24"/>
          <w:lang w:val="en-GB"/>
        </w:rPr>
        <w:t xml:space="preserve"> </w:t>
      </w:r>
      <w:r w:rsidR="005E7ADA" w:rsidRPr="007A2F89">
        <w:rPr>
          <w:rFonts w:ascii="Times New Roman" w:hAnsi="Times New Roman"/>
          <w:sz w:val="24"/>
          <w:szCs w:val="24"/>
          <w:lang w:val="en-GB"/>
        </w:rPr>
        <w:t xml:space="preserve">the </w:t>
      </w:r>
      <w:r w:rsidR="003F49A2" w:rsidRPr="007A2F89">
        <w:rPr>
          <w:rFonts w:ascii="Times New Roman" w:hAnsi="Times New Roman"/>
          <w:sz w:val="24"/>
          <w:szCs w:val="24"/>
          <w:lang w:val="en-GB"/>
        </w:rPr>
        <w:t>relationship improvement</w:t>
      </w:r>
      <w:r w:rsidR="004D75EC" w:rsidRPr="007A2F89">
        <w:rPr>
          <w:rFonts w:ascii="Times New Roman" w:hAnsi="Times New Roman"/>
          <w:sz w:val="24"/>
          <w:szCs w:val="24"/>
          <w:lang w:val="en-GB"/>
        </w:rPr>
        <w:t xml:space="preserve"> </w:t>
      </w:r>
      <w:r w:rsidR="00F46E0C" w:rsidRPr="007A2F89">
        <w:rPr>
          <w:rFonts w:ascii="Times New Roman" w:hAnsi="Times New Roman"/>
          <w:sz w:val="24"/>
          <w:szCs w:val="24"/>
          <w:lang w:val="en-GB"/>
        </w:rPr>
        <w:t>regarding</w:t>
      </w:r>
      <w:r w:rsidR="003F49A2" w:rsidRPr="007A2F89">
        <w:rPr>
          <w:rFonts w:ascii="Times New Roman" w:hAnsi="Times New Roman"/>
          <w:sz w:val="24"/>
          <w:szCs w:val="24"/>
          <w:lang w:val="en-GB"/>
        </w:rPr>
        <w:t xml:space="preserve"> socio-economic context and with the institutions </w:t>
      </w:r>
      <w:r w:rsidR="00480276" w:rsidRPr="007A2F89">
        <w:rPr>
          <w:rFonts w:ascii="Times New Roman" w:hAnsi="Times New Roman"/>
          <w:sz w:val="24"/>
          <w:szCs w:val="24"/>
          <w:lang w:val="en-GB"/>
        </w:rPr>
        <w:t>(</w:t>
      </w:r>
      <w:proofErr w:type="spellStart"/>
      <w:r w:rsidR="00480276" w:rsidRPr="007A2F89">
        <w:rPr>
          <w:rFonts w:ascii="Times New Roman" w:hAnsi="Times New Roman"/>
          <w:sz w:val="24"/>
          <w:szCs w:val="24"/>
          <w:lang w:val="en-GB"/>
        </w:rPr>
        <w:t>Tar</w:t>
      </w:r>
      <w:r w:rsidR="005F7F66" w:rsidRPr="007A2F89">
        <w:rPr>
          <w:rFonts w:ascii="Times New Roman" w:hAnsi="Times New Roman"/>
          <w:sz w:val="24"/>
          <w:szCs w:val="24"/>
          <w:lang w:val="en-GB"/>
        </w:rPr>
        <w:t>í</w:t>
      </w:r>
      <w:proofErr w:type="spellEnd"/>
      <w:r w:rsidR="005F7F66" w:rsidRPr="007A2F89">
        <w:rPr>
          <w:rFonts w:ascii="Times New Roman" w:hAnsi="Times New Roman"/>
          <w:sz w:val="24"/>
          <w:szCs w:val="24"/>
          <w:lang w:val="en-GB"/>
        </w:rPr>
        <w:t>,</w:t>
      </w:r>
      <w:r w:rsidR="005F7F66" w:rsidRPr="007A2F89">
        <w:rPr>
          <w:rFonts w:ascii="Times New Roman" w:eastAsia="Times New Roman" w:hAnsi="Times New Roman"/>
          <w:color w:val="222222"/>
          <w:sz w:val="24"/>
          <w:szCs w:val="24"/>
          <w:shd w:val="clear" w:color="auto" w:fill="FFFFFF"/>
          <w:lang w:val="en-GB" w:eastAsia="it-IT"/>
        </w:rPr>
        <w:t xml:space="preserve"> Molina-</w:t>
      </w:r>
      <w:proofErr w:type="spellStart"/>
      <w:r w:rsidR="005F7F66" w:rsidRPr="007A2F89">
        <w:rPr>
          <w:rFonts w:ascii="Times New Roman" w:eastAsia="Times New Roman" w:hAnsi="Times New Roman"/>
          <w:color w:val="222222"/>
          <w:sz w:val="24"/>
          <w:szCs w:val="24"/>
          <w:shd w:val="clear" w:color="auto" w:fill="FFFFFF"/>
          <w:lang w:val="en-GB" w:eastAsia="it-IT"/>
        </w:rPr>
        <w:t>Azorín</w:t>
      </w:r>
      <w:proofErr w:type="spellEnd"/>
      <w:r w:rsidR="005F7F66" w:rsidRPr="007A2F89">
        <w:rPr>
          <w:rFonts w:ascii="Times New Roman" w:eastAsia="Times New Roman" w:hAnsi="Times New Roman"/>
          <w:color w:val="222222"/>
          <w:sz w:val="24"/>
          <w:szCs w:val="24"/>
          <w:shd w:val="clear" w:color="auto" w:fill="FFFFFF"/>
          <w:lang w:val="en-GB" w:eastAsia="it-IT"/>
        </w:rPr>
        <w:t xml:space="preserve"> </w:t>
      </w:r>
      <w:r w:rsidR="003F49A2" w:rsidRPr="007A2F89">
        <w:rPr>
          <w:rFonts w:ascii="Times New Roman" w:eastAsia="Times New Roman" w:hAnsi="Times New Roman"/>
          <w:color w:val="222222"/>
          <w:sz w:val="24"/>
          <w:szCs w:val="24"/>
          <w:shd w:val="clear" w:color="auto" w:fill="FFFFFF"/>
          <w:lang w:val="en-GB" w:eastAsia="it-IT"/>
        </w:rPr>
        <w:t>and</w:t>
      </w:r>
      <w:r w:rsidR="005F7F66" w:rsidRPr="007A2F89">
        <w:rPr>
          <w:rFonts w:ascii="Times New Roman" w:eastAsia="Times New Roman" w:hAnsi="Times New Roman"/>
          <w:color w:val="222222"/>
          <w:sz w:val="24"/>
          <w:szCs w:val="24"/>
          <w:shd w:val="clear" w:color="auto" w:fill="FFFFFF"/>
          <w:lang w:val="en-GB" w:eastAsia="it-IT"/>
        </w:rPr>
        <w:t xml:space="preserve"> Heras</w:t>
      </w:r>
      <w:r w:rsidR="00480276" w:rsidRPr="007A2F89">
        <w:rPr>
          <w:rFonts w:ascii="Times New Roman" w:hAnsi="Times New Roman"/>
          <w:sz w:val="24"/>
          <w:szCs w:val="24"/>
          <w:lang w:val="en-GB"/>
        </w:rPr>
        <w:t>, 2012)</w:t>
      </w:r>
      <w:r w:rsidR="004D75EC" w:rsidRPr="007A2F89">
        <w:rPr>
          <w:rFonts w:ascii="Times New Roman" w:hAnsi="Times New Roman"/>
          <w:sz w:val="24"/>
          <w:szCs w:val="24"/>
          <w:lang w:val="en-GB"/>
        </w:rPr>
        <w:t>.</w:t>
      </w:r>
    </w:p>
    <w:p w14:paraId="6EB8FE4B" w14:textId="6AC67984" w:rsidR="00480276" w:rsidRPr="007A2F89" w:rsidRDefault="00177374" w:rsidP="007A2F89">
      <w:pPr>
        <w:rPr>
          <w:rFonts w:ascii="Times New Roman" w:hAnsi="Times New Roman"/>
          <w:sz w:val="24"/>
          <w:szCs w:val="24"/>
          <w:lang w:val="en-GB"/>
        </w:rPr>
      </w:pPr>
      <w:r w:rsidRPr="007A2F89">
        <w:rPr>
          <w:rFonts w:ascii="Times New Roman" w:hAnsi="Times New Roman"/>
          <w:sz w:val="24"/>
          <w:szCs w:val="24"/>
          <w:lang w:val="en-GB"/>
        </w:rPr>
        <w:t xml:space="preserve">In particular, the ratio underlying the decision to adopt the standard that certifies the company management system environmental protection ISO14001 is linked to the national and international context in which the company operates. Although, the annual certification and management </w:t>
      </w:r>
      <w:r w:rsidR="008F4374" w:rsidRPr="007A2F89">
        <w:rPr>
          <w:rFonts w:ascii="Times New Roman" w:hAnsi="Times New Roman"/>
          <w:sz w:val="24"/>
          <w:szCs w:val="24"/>
          <w:lang w:val="en-GB"/>
        </w:rPr>
        <w:t>fee</w:t>
      </w:r>
      <w:r w:rsidRPr="007A2F89">
        <w:rPr>
          <w:rFonts w:ascii="Times New Roman" w:hAnsi="Times New Roman"/>
          <w:sz w:val="24"/>
          <w:szCs w:val="24"/>
          <w:lang w:val="en-GB"/>
        </w:rPr>
        <w:t xml:space="preserve"> is particularly high, it should be noted that the first reason that pushes companies to certify is the</w:t>
      </w:r>
      <w:r w:rsidR="008F4374" w:rsidRPr="007A2F89">
        <w:rPr>
          <w:rFonts w:ascii="Times New Roman" w:hAnsi="Times New Roman"/>
          <w:sz w:val="24"/>
          <w:szCs w:val="24"/>
          <w:lang w:val="en-GB"/>
        </w:rPr>
        <w:t xml:space="preserve"> economic performance</w:t>
      </w:r>
      <w:r w:rsidRPr="007A2F89">
        <w:rPr>
          <w:rFonts w:ascii="Times New Roman" w:hAnsi="Times New Roman"/>
          <w:sz w:val="24"/>
          <w:szCs w:val="24"/>
          <w:lang w:val="en-GB"/>
        </w:rPr>
        <w:t xml:space="preserve"> increase, since it becomes the means - signal - through to signal the adequacy of their environmental management system to certain standards, thus reducing information asymmetries, a</w:t>
      </w:r>
      <w:r w:rsidR="005E7ADA" w:rsidRPr="007A2F89">
        <w:rPr>
          <w:rFonts w:ascii="Times New Roman" w:hAnsi="Times New Roman"/>
          <w:sz w:val="24"/>
          <w:szCs w:val="24"/>
          <w:lang w:val="en-GB"/>
        </w:rPr>
        <w:t xml:space="preserve">nd </w:t>
      </w:r>
      <w:r w:rsidRPr="007A2F89">
        <w:rPr>
          <w:rFonts w:ascii="Times New Roman" w:hAnsi="Times New Roman"/>
          <w:sz w:val="24"/>
          <w:szCs w:val="24"/>
          <w:lang w:val="en-GB"/>
        </w:rPr>
        <w:t>the cost of alternatively</w:t>
      </w:r>
      <w:r w:rsidR="008F4374" w:rsidRPr="007A2F89">
        <w:rPr>
          <w:rFonts w:ascii="Times New Roman" w:hAnsi="Times New Roman"/>
          <w:sz w:val="24"/>
          <w:szCs w:val="24"/>
          <w:lang w:val="en-GB"/>
        </w:rPr>
        <w:t xml:space="preserve"> externally reporting</w:t>
      </w:r>
      <w:r w:rsidRPr="007A2F89">
        <w:rPr>
          <w:rFonts w:ascii="Times New Roman" w:hAnsi="Times New Roman"/>
          <w:sz w:val="24"/>
          <w:szCs w:val="24"/>
          <w:lang w:val="en-GB"/>
        </w:rPr>
        <w:t xml:space="preserve"> </w:t>
      </w:r>
      <w:r w:rsidR="00480276" w:rsidRPr="007A2F89">
        <w:rPr>
          <w:rFonts w:ascii="Times New Roman" w:hAnsi="Times New Roman"/>
          <w:sz w:val="24"/>
          <w:szCs w:val="24"/>
          <w:lang w:val="en-GB"/>
        </w:rPr>
        <w:t xml:space="preserve">(Morrow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Rondinelli</w:t>
      </w:r>
      <w:proofErr w:type="spellEnd"/>
      <w:r w:rsidR="00480276" w:rsidRPr="007A2F89">
        <w:rPr>
          <w:rFonts w:ascii="Times New Roman" w:hAnsi="Times New Roman"/>
          <w:sz w:val="24"/>
          <w:szCs w:val="24"/>
          <w:lang w:val="en-GB"/>
        </w:rPr>
        <w:t xml:space="preserve">, 2002; </w:t>
      </w:r>
      <w:proofErr w:type="spellStart"/>
      <w:r w:rsidR="00480276" w:rsidRPr="007A2F89">
        <w:rPr>
          <w:rFonts w:ascii="Times New Roman" w:hAnsi="Times New Roman"/>
          <w:sz w:val="24"/>
          <w:szCs w:val="24"/>
          <w:lang w:val="en-GB"/>
        </w:rPr>
        <w:t>Babakr</w:t>
      </w:r>
      <w:r w:rsidR="005F7F66" w:rsidRPr="007A2F89">
        <w:rPr>
          <w:rFonts w:ascii="Times New Roman" w:hAnsi="Times New Roman"/>
          <w:sz w:val="24"/>
          <w:szCs w:val="24"/>
          <w:lang w:val="en-GB"/>
        </w:rPr>
        <w:t>i</w:t>
      </w:r>
      <w:proofErr w:type="spellEnd"/>
      <w:r w:rsidR="005F7F66" w:rsidRPr="007A2F89">
        <w:rPr>
          <w:rFonts w:ascii="Times New Roman" w:hAnsi="Times New Roman"/>
          <w:sz w:val="24"/>
          <w:szCs w:val="24"/>
          <w:lang w:val="en-GB"/>
        </w:rPr>
        <w:t xml:space="preserve">, Bennett </w:t>
      </w:r>
      <w:r w:rsidRPr="007A2F89">
        <w:rPr>
          <w:rFonts w:ascii="Times New Roman" w:hAnsi="Times New Roman"/>
          <w:sz w:val="24"/>
          <w:szCs w:val="24"/>
          <w:lang w:val="en-GB"/>
        </w:rPr>
        <w:t>and</w:t>
      </w:r>
      <w:r w:rsidR="005F7F66" w:rsidRPr="007A2F89">
        <w:rPr>
          <w:rFonts w:ascii="Times New Roman" w:hAnsi="Times New Roman"/>
          <w:sz w:val="24"/>
          <w:szCs w:val="24"/>
          <w:lang w:val="en-GB"/>
        </w:rPr>
        <w:t xml:space="preserve"> Franchetti,</w:t>
      </w:r>
      <w:r w:rsidR="00480276" w:rsidRPr="007A2F89">
        <w:rPr>
          <w:rFonts w:ascii="Times New Roman" w:hAnsi="Times New Roman"/>
          <w:sz w:val="24"/>
          <w:szCs w:val="24"/>
          <w:lang w:val="en-GB"/>
        </w:rPr>
        <w:t xml:space="preserve"> 2003; Heras-</w:t>
      </w:r>
      <w:proofErr w:type="spellStart"/>
      <w:r w:rsidR="00480276" w:rsidRPr="007A2F89">
        <w:rPr>
          <w:rFonts w:ascii="Times New Roman" w:hAnsi="Times New Roman"/>
          <w:sz w:val="24"/>
          <w:szCs w:val="24"/>
          <w:lang w:val="en-GB"/>
        </w:rPr>
        <w:t>Saizarbitoria</w:t>
      </w:r>
      <w:proofErr w:type="spellEnd"/>
      <w:r w:rsidR="00480276" w:rsidRPr="007A2F89">
        <w:rPr>
          <w:rFonts w:ascii="Times New Roman" w:hAnsi="Times New Roman"/>
          <w:sz w:val="24"/>
          <w:szCs w:val="24"/>
          <w:lang w:val="en-GB"/>
        </w:rPr>
        <w:t xml:space="preserve">, </w:t>
      </w:r>
      <w:r w:rsidR="005F7F66" w:rsidRPr="007A2F89">
        <w:rPr>
          <w:rFonts w:ascii="Times New Roman" w:eastAsia="Times New Roman" w:hAnsi="Times New Roman"/>
          <w:color w:val="222222"/>
          <w:sz w:val="24"/>
          <w:szCs w:val="24"/>
          <w:shd w:val="clear" w:color="auto" w:fill="FFFFFF"/>
          <w:lang w:val="en-GB" w:eastAsia="it-IT"/>
        </w:rPr>
        <w:t>Molina-</w:t>
      </w:r>
      <w:proofErr w:type="spellStart"/>
      <w:r w:rsidR="005F7F66" w:rsidRPr="007A2F89">
        <w:rPr>
          <w:rFonts w:ascii="Times New Roman" w:eastAsia="Times New Roman" w:hAnsi="Times New Roman"/>
          <w:color w:val="222222"/>
          <w:sz w:val="24"/>
          <w:szCs w:val="24"/>
          <w:shd w:val="clear" w:color="auto" w:fill="FFFFFF"/>
          <w:lang w:val="en-GB" w:eastAsia="it-IT"/>
        </w:rPr>
        <w:t>Azorín</w:t>
      </w:r>
      <w:proofErr w:type="spellEnd"/>
      <w:r w:rsidR="005F7F66" w:rsidRPr="007A2F89">
        <w:rPr>
          <w:rFonts w:ascii="Times New Roman" w:eastAsia="Times New Roman" w:hAnsi="Times New Roman"/>
          <w:color w:val="222222"/>
          <w:sz w:val="24"/>
          <w:szCs w:val="24"/>
          <w:shd w:val="clear" w:color="auto" w:fill="FFFFFF"/>
          <w:lang w:val="en-GB" w:eastAsia="it-IT"/>
        </w:rPr>
        <w:t xml:space="preserve"> </w:t>
      </w:r>
      <w:r w:rsidRPr="007A2F89">
        <w:rPr>
          <w:rFonts w:ascii="Times New Roman" w:eastAsia="Times New Roman" w:hAnsi="Times New Roman"/>
          <w:color w:val="222222"/>
          <w:sz w:val="24"/>
          <w:szCs w:val="24"/>
          <w:shd w:val="clear" w:color="auto" w:fill="FFFFFF"/>
          <w:lang w:val="en-GB" w:eastAsia="it-IT"/>
        </w:rPr>
        <w:t>and</w:t>
      </w:r>
      <w:r w:rsidR="005F7F66" w:rsidRPr="007A2F89">
        <w:rPr>
          <w:rFonts w:ascii="Times New Roman" w:eastAsia="Times New Roman" w:hAnsi="Times New Roman"/>
          <w:color w:val="222222"/>
          <w:sz w:val="24"/>
          <w:szCs w:val="24"/>
          <w:shd w:val="clear" w:color="auto" w:fill="FFFFFF"/>
          <w:lang w:val="en-GB" w:eastAsia="it-IT"/>
        </w:rPr>
        <w:t xml:space="preserve"> Dick,</w:t>
      </w:r>
      <w:r w:rsidR="005F7F66" w:rsidRPr="007A2F89">
        <w:rPr>
          <w:rFonts w:ascii="Times New Roman" w:hAnsi="Times New Roman"/>
          <w:sz w:val="24"/>
          <w:szCs w:val="24"/>
          <w:lang w:val="en-GB"/>
        </w:rPr>
        <w:t xml:space="preserve"> </w:t>
      </w:r>
      <w:r w:rsidR="00480276" w:rsidRPr="007A2F89">
        <w:rPr>
          <w:rFonts w:ascii="Times New Roman" w:hAnsi="Times New Roman"/>
          <w:sz w:val="24"/>
          <w:szCs w:val="24"/>
          <w:lang w:val="en-GB"/>
        </w:rPr>
        <w:t>2011).</w:t>
      </w:r>
    </w:p>
    <w:p w14:paraId="4A007B48" w14:textId="1139539E" w:rsidR="00480276" w:rsidRPr="007A2F89" w:rsidRDefault="00E43AC6" w:rsidP="007A2F89">
      <w:pPr>
        <w:rPr>
          <w:rFonts w:ascii="Times New Roman" w:hAnsi="Times New Roman"/>
          <w:sz w:val="24"/>
          <w:szCs w:val="24"/>
          <w:lang w:val="en-GB"/>
        </w:rPr>
      </w:pPr>
      <w:r w:rsidRPr="007A2F89">
        <w:rPr>
          <w:rFonts w:ascii="Times New Roman" w:hAnsi="Times New Roman"/>
          <w:sz w:val="24"/>
          <w:szCs w:val="24"/>
          <w:lang w:val="en-GB"/>
        </w:rPr>
        <w:t>This is particularly relevant regard</w:t>
      </w:r>
      <w:r w:rsidR="001C7137" w:rsidRPr="007A2F89">
        <w:rPr>
          <w:rFonts w:ascii="Times New Roman" w:hAnsi="Times New Roman"/>
          <w:sz w:val="24"/>
          <w:szCs w:val="24"/>
          <w:lang w:val="en-GB"/>
        </w:rPr>
        <w:t>ing</w:t>
      </w:r>
      <w:r w:rsidRPr="007A2F89">
        <w:rPr>
          <w:rFonts w:ascii="Times New Roman" w:hAnsi="Times New Roman"/>
          <w:sz w:val="24"/>
          <w:szCs w:val="24"/>
          <w:lang w:val="en-GB"/>
        </w:rPr>
        <w:t xml:space="preserve"> t</w:t>
      </w:r>
      <w:r w:rsidR="001C7137" w:rsidRPr="007A2F89">
        <w:rPr>
          <w:rFonts w:ascii="Times New Roman" w:hAnsi="Times New Roman"/>
          <w:sz w:val="24"/>
          <w:szCs w:val="24"/>
          <w:lang w:val="en-GB"/>
        </w:rPr>
        <w:t>he</w:t>
      </w:r>
      <w:r w:rsidRPr="007A2F89">
        <w:rPr>
          <w:rFonts w:ascii="Times New Roman" w:hAnsi="Times New Roman"/>
          <w:sz w:val="24"/>
          <w:szCs w:val="24"/>
          <w:lang w:val="en-GB"/>
        </w:rPr>
        <w:t xml:space="preserve"> small and medium-sized enterprises (Johnstone, 2020)</w:t>
      </w:r>
      <w:r w:rsidR="001C7137" w:rsidRPr="007A2F89">
        <w:rPr>
          <w:rFonts w:ascii="Times New Roman" w:hAnsi="Times New Roman"/>
          <w:sz w:val="24"/>
          <w:szCs w:val="24"/>
          <w:lang w:val="en-GB"/>
        </w:rPr>
        <w:t>.</w:t>
      </w:r>
      <w:r w:rsidRPr="007A2F89">
        <w:rPr>
          <w:rFonts w:ascii="Times New Roman" w:hAnsi="Times New Roman"/>
          <w:sz w:val="24"/>
          <w:szCs w:val="24"/>
          <w:lang w:val="en-GB"/>
        </w:rPr>
        <w:t xml:space="preserve"> </w:t>
      </w:r>
      <w:r w:rsidR="001C7137" w:rsidRPr="007A2F89">
        <w:rPr>
          <w:rFonts w:ascii="Times New Roman" w:hAnsi="Times New Roman"/>
          <w:sz w:val="24"/>
          <w:szCs w:val="24"/>
          <w:lang w:val="en-GB"/>
        </w:rPr>
        <w:t xml:space="preserve">The scarcity of economic, </w:t>
      </w:r>
      <w:proofErr w:type="gramStart"/>
      <w:r w:rsidR="001C7137" w:rsidRPr="007A2F89">
        <w:rPr>
          <w:rFonts w:ascii="Times New Roman" w:hAnsi="Times New Roman"/>
          <w:sz w:val="24"/>
          <w:szCs w:val="24"/>
          <w:lang w:val="en-GB"/>
        </w:rPr>
        <w:t>financial</w:t>
      </w:r>
      <w:proofErr w:type="gramEnd"/>
      <w:r w:rsidR="001C7137" w:rsidRPr="007A2F89">
        <w:rPr>
          <w:rFonts w:ascii="Times New Roman" w:hAnsi="Times New Roman"/>
          <w:sz w:val="24"/>
          <w:szCs w:val="24"/>
          <w:lang w:val="en-GB"/>
        </w:rPr>
        <w:t xml:space="preserve"> and human resources</w:t>
      </w:r>
      <w:r w:rsidRPr="007A2F89">
        <w:rPr>
          <w:rFonts w:ascii="Times New Roman" w:hAnsi="Times New Roman"/>
          <w:sz w:val="24"/>
          <w:szCs w:val="24"/>
          <w:lang w:val="en-GB"/>
        </w:rPr>
        <w:t xml:space="preserve"> involves the lack of means and skills to adequately inform stakeholders </w:t>
      </w:r>
      <w:r w:rsidR="001C7137" w:rsidRPr="007A2F89">
        <w:rPr>
          <w:rFonts w:ascii="Times New Roman" w:hAnsi="Times New Roman"/>
          <w:sz w:val="24"/>
          <w:szCs w:val="24"/>
          <w:lang w:val="en-GB"/>
        </w:rPr>
        <w:t>regarding</w:t>
      </w:r>
      <w:r w:rsidRPr="007A2F89">
        <w:rPr>
          <w:rFonts w:ascii="Times New Roman" w:hAnsi="Times New Roman"/>
          <w:sz w:val="24"/>
          <w:szCs w:val="24"/>
          <w:lang w:val="en-GB"/>
        </w:rPr>
        <w:t xml:space="preserve"> the initiatives aimed at mitigating the environmental impact through the</w:t>
      </w:r>
      <w:r w:rsidR="001C7137" w:rsidRPr="007A2F89">
        <w:rPr>
          <w:rFonts w:ascii="Times New Roman" w:hAnsi="Times New Roman"/>
          <w:sz w:val="24"/>
          <w:szCs w:val="24"/>
          <w:lang w:val="en-GB"/>
        </w:rPr>
        <w:t xml:space="preserve"> information d</w:t>
      </w:r>
      <w:r w:rsidRPr="007A2F89">
        <w:rPr>
          <w:rFonts w:ascii="Times New Roman" w:hAnsi="Times New Roman"/>
          <w:sz w:val="24"/>
          <w:szCs w:val="24"/>
          <w:lang w:val="en-GB"/>
        </w:rPr>
        <w:t>isclosure and specific reports and documents (including, for example: Sustainability Report, Social Report, Integrated Report</w:t>
      </w:r>
      <w:r w:rsidR="00480276" w:rsidRPr="007A2F89">
        <w:rPr>
          <w:rFonts w:ascii="Times New Roman" w:hAnsi="Times New Roman"/>
          <w:sz w:val="24"/>
          <w:szCs w:val="24"/>
          <w:lang w:val="en-GB"/>
        </w:rPr>
        <w:t xml:space="preserve">) (Shields </w:t>
      </w:r>
      <w:r w:rsidRPr="007A2F89">
        <w:rPr>
          <w:rFonts w:ascii="Times New Roman" w:hAnsi="Times New Roman"/>
          <w:sz w:val="24"/>
          <w:szCs w:val="24"/>
          <w:lang w:val="en-GB"/>
        </w:rPr>
        <w:t>and</w:t>
      </w:r>
      <w:r w:rsidR="00480276" w:rsidRPr="007A2F89">
        <w:rPr>
          <w:rFonts w:ascii="Times New Roman" w:hAnsi="Times New Roman"/>
          <w:sz w:val="24"/>
          <w:szCs w:val="24"/>
          <w:lang w:val="en-GB"/>
        </w:rPr>
        <w:t xml:space="preserve"> </w:t>
      </w:r>
      <w:proofErr w:type="spellStart"/>
      <w:r w:rsidR="00480276" w:rsidRPr="007A2F89">
        <w:rPr>
          <w:rFonts w:ascii="Times New Roman" w:hAnsi="Times New Roman"/>
          <w:sz w:val="24"/>
          <w:szCs w:val="24"/>
          <w:lang w:val="en-GB"/>
        </w:rPr>
        <w:t>Shelleman</w:t>
      </w:r>
      <w:proofErr w:type="spellEnd"/>
      <w:r w:rsidR="00480276" w:rsidRPr="007A2F89">
        <w:rPr>
          <w:rFonts w:ascii="Times New Roman" w:hAnsi="Times New Roman"/>
          <w:sz w:val="24"/>
          <w:szCs w:val="24"/>
          <w:lang w:val="en-GB"/>
        </w:rPr>
        <w:t>, 2017).</w:t>
      </w:r>
    </w:p>
    <w:p w14:paraId="1391736C" w14:textId="691A434F" w:rsidR="00E43AC6" w:rsidRPr="007A2F89" w:rsidRDefault="00537A86" w:rsidP="007A2F89">
      <w:pPr>
        <w:rPr>
          <w:rFonts w:ascii="Times New Roman" w:hAnsi="Times New Roman"/>
          <w:sz w:val="24"/>
          <w:szCs w:val="24"/>
          <w:lang w:val="en-GB"/>
        </w:rPr>
      </w:pPr>
      <w:r w:rsidRPr="007A2F89">
        <w:rPr>
          <w:rFonts w:ascii="Times New Roman" w:hAnsi="Times New Roman"/>
          <w:sz w:val="24"/>
          <w:szCs w:val="24"/>
          <w:lang w:val="en-GB"/>
        </w:rPr>
        <w:t>According to</w:t>
      </w:r>
      <w:r w:rsidR="00E43AC6" w:rsidRPr="007A2F89">
        <w:rPr>
          <w:rFonts w:ascii="Times New Roman" w:hAnsi="Times New Roman"/>
          <w:sz w:val="24"/>
          <w:szCs w:val="24"/>
          <w:lang w:val="en-GB"/>
        </w:rPr>
        <w:t xml:space="preserve"> the </w:t>
      </w:r>
      <w:r w:rsidR="005E7ADA" w:rsidRPr="007A2F89">
        <w:rPr>
          <w:rFonts w:ascii="Times New Roman" w:hAnsi="Times New Roman"/>
          <w:i/>
          <w:iCs/>
          <w:sz w:val="24"/>
          <w:szCs w:val="24"/>
          <w:lang w:val="en-GB"/>
        </w:rPr>
        <w:t>Signalling</w:t>
      </w:r>
      <w:r w:rsidR="00E43AC6" w:rsidRPr="007A2F89">
        <w:rPr>
          <w:rFonts w:ascii="Times New Roman" w:hAnsi="Times New Roman"/>
          <w:i/>
          <w:iCs/>
          <w:sz w:val="24"/>
          <w:szCs w:val="24"/>
          <w:lang w:val="en-GB"/>
        </w:rPr>
        <w:t xml:space="preserve"> Theory</w:t>
      </w:r>
      <w:r w:rsidR="00E43AC6" w:rsidRPr="007A2F89">
        <w:rPr>
          <w:rFonts w:ascii="Times New Roman" w:hAnsi="Times New Roman"/>
          <w:sz w:val="24"/>
          <w:szCs w:val="24"/>
          <w:lang w:val="en-GB"/>
        </w:rPr>
        <w:t xml:space="preserve"> framework, this research aims to investigate the following research hypothesis:</w:t>
      </w:r>
    </w:p>
    <w:p w14:paraId="2F1F52D4" w14:textId="0A13B65A" w:rsidR="00480276" w:rsidRPr="007A2F89" w:rsidRDefault="00480276" w:rsidP="007A2F89">
      <w:pPr>
        <w:rPr>
          <w:rFonts w:ascii="Times New Roman" w:hAnsi="Times New Roman"/>
          <w:i/>
          <w:iCs/>
          <w:sz w:val="24"/>
          <w:szCs w:val="24"/>
          <w:lang w:val="en-GB"/>
        </w:rPr>
      </w:pPr>
      <w:r w:rsidRPr="007A2F89">
        <w:rPr>
          <w:rFonts w:ascii="Times New Roman" w:hAnsi="Times New Roman"/>
          <w:i/>
          <w:iCs/>
          <w:sz w:val="24"/>
          <w:szCs w:val="24"/>
          <w:lang w:val="en-GB"/>
        </w:rPr>
        <w:t xml:space="preserve">H1: </w:t>
      </w:r>
      <w:r w:rsidR="00E43AC6" w:rsidRPr="007A2F89">
        <w:rPr>
          <w:rFonts w:ascii="Times New Roman" w:hAnsi="Times New Roman"/>
          <w:i/>
          <w:iCs/>
          <w:sz w:val="24"/>
          <w:szCs w:val="24"/>
          <w:lang w:val="en-GB"/>
        </w:rPr>
        <w:t>The adoption of an ISO14001 certified environmental management system positively influences the SMEs economic performance in Abruzzo</w:t>
      </w:r>
      <w:r w:rsidRPr="007A2F89">
        <w:rPr>
          <w:rFonts w:ascii="Times New Roman" w:hAnsi="Times New Roman"/>
          <w:i/>
          <w:iCs/>
          <w:sz w:val="24"/>
          <w:szCs w:val="24"/>
          <w:lang w:val="en-GB"/>
        </w:rPr>
        <w:t>.</w:t>
      </w:r>
    </w:p>
    <w:p w14:paraId="26346434" w14:textId="77777777" w:rsidR="00FB1D79" w:rsidRPr="007A2F89" w:rsidRDefault="00FB1D79" w:rsidP="007A2F89">
      <w:pPr>
        <w:widowControl w:val="0"/>
        <w:rPr>
          <w:rFonts w:ascii="Times New Roman" w:hAnsi="Times New Roman"/>
          <w:sz w:val="24"/>
          <w:szCs w:val="24"/>
          <w:lang w:val="en-GB"/>
        </w:rPr>
      </w:pPr>
    </w:p>
    <w:p w14:paraId="390E4FEA" w14:textId="498A0533" w:rsidR="00A3527C" w:rsidRPr="007A2F89" w:rsidRDefault="00480276" w:rsidP="007A2F89">
      <w:pPr>
        <w:pStyle w:val="Paragrafoelenco"/>
        <w:numPr>
          <w:ilvl w:val="0"/>
          <w:numId w:val="7"/>
        </w:numPr>
        <w:ind w:left="0" w:firstLine="0"/>
        <w:jc w:val="both"/>
        <w:rPr>
          <w:rFonts w:ascii="Times New Roman" w:hAnsi="Times New Roman"/>
          <w:b/>
          <w:bCs/>
        </w:rPr>
      </w:pPr>
      <w:proofErr w:type="spellStart"/>
      <w:r w:rsidRPr="007A2F89">
        <w:rPr>
          <w:rFonts w:ascii="Times New Roman" w:hAnsi="Times New Roman"/>
          <w:b/>
          <w:bCs/>
        </w:rPr>
        <w:t>Met</w:t>
      </w:r>
      <w:r w:rsidR="005E65F6" w:rsidRPr="007A2F89">
        <w:rPr>
          <w:rFonts w:ascii="Times New Roman" w:hAnsi="Times New Roman"/>
          <w:b/>
          <w:bCs/>
        </w:rPr>
        <w:t>h</w:t>
      </w:r>
      <w:r w:rsidRPr="007A2F89">
        <w:rPr>
          <w:rFonts w:ascii="Times New Roman" w:hAnsi="Times New Roman"/>
          <w:b/>
          <w:bCs/>
        </w:rPr>
        <w:t>odolog</w:t>
      </w:r>
      <w:r w:rsidR="005E65F6" w:rsidRPr="007A2F89">
        <w:rPr>
          <w:rFonts w:ascii="Times New Roman" w:hAnsi="Times New Roman"/>
          <w:b/>
          <w:bCs/>
        </w:rPr>
        <w:t>y</w:t>
      </w:r>
      <w:proofErr w:type="spellEnd"/>
    </w:p>
    <w:p w14:paraId="46722C65" w14:textId="6B928B6E" w:rsidR="00A3527C" w:rsidRPr="007A2F89" w:rsidRDefault="005E65F6" w:rsidP="007A2F89">
      <w:pPr>
        <w:pStyle w:val="Paragrafoelenco"/>
        <w:numPr>
          <w:ilvl w:val="1"/>
          <w:numId w:val="7"/>
        </w:numPr>
        <w:ind w:left="0" w:firstLine="0"/>
        <w:jc w:val="both"/>
        <w:rPr>
          <w:rFonts w:ascii="Times New Roman" w:hAnsi="Times New Roman"/>
          <w:b/>
          <w:bCs/>
          <w:i/>
          <w:iCs/>
        </w:rPr>
      </w:pPr>
      <w:r w:rsidRPr="007A2F89">
        <w:rPr>
          <w:rFonts w:ascii="Times New Roman" w:hAnsi="Times New Roman"/>
          <w:b/>
          <w:bCs/>
          <w:i/>
          <w:iCs/>
        </w:rPr>
        <w:t>Analysis sample and data source</w:t>
      </w:r>
    </w:p>
    <w:p w14:paraId="519F2885" w14:textId="52F2E425" w:rsidR="00480276" w:rsidRPr="007A2F89" w:rsidRDefault="00E7688B" w:rsidP="007A2F89">
      <w:pPr>
        <w:rPr>
          <w:rFonts w:ascii="Times New Roman" w:hAnsi="Times New Roman"/>
          <w:sz w:val="24"/>
          <w:szCs w:val="24"/>
          <w:lang w:val="en-GB"/>
        </w:rPr>
      </w:pPr>
      <w:proofErr w:type="gramStart"/>
      <w:r w:rsidRPr="007A2F89">
        <w:rPr>
          <w:rFonts w:ascii="Times New Roman" w:hAnsi="Times New Roman"/>
          <w:sz w:val="24"/>
          <w:szCs w:val="24"/>
          <w:lang w:val="en-GB"/>
        </w:rPr>
        <w:t>In order to</w:t>
      </w:r>
      <w:proofErr w:type="gramEnd"/>
      <w:r w:rsidRPr="007A2F89">
        <w:rPr>
          <w:rFonts w:ascii="Times New Roman" w:hAnsi="Times New Roman"/>
          <w:sz w:val="24"/>
          <w:szCs w:val="24"/>
          <w:lang w:val="en-GB"/>
        </w:rPr>
        <w:t xml:space="preserve"> empirically verify the research hypothesis, a panel </w:t>
      </w:r>
      <w:r w:rsidR="005E7ADA" w:rsidRPr="007A2F89">
        <w:rPr>
          <w:rFonts w:ascii="Times New Roman" w:hAnsi="Times New Roman"/>
          <w:sz w:val="24"/>
          <w:szCs w:val="24"/>
          <w:lang w:val="en-GB"/>
        </w:rPr>
        <w:t>data</w:t>
      </w:r>
      <w:r w:rsidRPr="007A2F89">
        <w:rPr>
          <w:rFonts w:ascii="Times New Roman" w:hAnsi="Times New Roman"/>
          <w:sz w:val="24"/>
          <w:szCs w:val="24"/>
          <w:lang w:val="en-GB"/>
        </w:rPr>
        <w:t xml:space="preserve"> of 212 ISO14001 certified micro, small and medium-sized enterprises from Abruzzo (identified on the basis of the database of companies available by </w:t>
      </w:r>
      <w:proofErr w:type="spellStart"/>
      <w:r w:rsidRPr="007A2F89">
        <w:rPr>
          <w:rFonts w:ascii="Times New Roman" w:hAnsi="Times New Roman"/>
          <w:sz w:val="24"/>
          <w:szCs w:val="24"/>
          <w:lang w:val="en-GB"/>
        </w:rPr>
        <w:t>Accredia</w:t>
      </w:r>
      <w:proofErr w:type="spellEnd"/>
      <w:r w:rsidRPr="007A2F89">
        <w:rPr>
          <w:rFonts w:ascii="Times New Roman" w:hAnsi="Times New Roman"/>
          <w:sz w:val="24"/>
          <w:szCs w:val="24"/>
          <w:lang w:val="en-GB"/>
        </w:rPr>
        <w:t xml:space="preserve"> - the Italian accreditation body</w:t>
      </w:r>
      <w:r w:rsidR="00480276" w:rsidRPr="007A2F89">
        <w:rPr>
          <w:rStyle w:val="Rimandonotaapidipagina"/>
          <w:rFonts w:ascii="Times New Roman" w:hAnsi="Times New Roman"/>
          <w:sz w:val="24"/>
          <w:szCs w:val="24"/>
        </w:rPr>
        <w:footnoteReference w:id="1"/>
      </w:r>
      <w:r w:rsidRPr="007A2F89">
        <w:rPr>
          <w:rFonts w:ascii="Times New Roman" w:hAnsi="Times New Roman"/>
          <w:sz w:val="24"/>
          <w:szCs w:val="24"/>
          <w:lang w:val="en-GB"/>
        </w:rPr>
        <w:t xml:space="preserve">), was </w:t>
      </w:r>
      <w:r w:rsidR="005E7ADA" w:rsidRPr="007A2F89">
        <w:rPr>
          <w:rFonts w:ascii="Times New Roman" w:hAnsi="Times New Roman"/>
          <w:sz w:val="24"/>
          <w:szCs w:val="24"/>
          <w:lang w:val="en-GB"/>
        </w:rPr>
        <w:t>analysed</w:t>
      </w:r>
      <w:r w:rsidRPr="007A2F89">
        <w:rPr>
          <w:rFonts w:ascii="Times New Roman" w:hAnsi="Times New Roman"/>
          <w:sz w:val="24"/>
          <w:szCs w:val="24"/>
          <w:lang w:val="en-GB"/>
        </w:rPr>
        <w:t>,</w:t>
      </w:r>
      <w:r w:rsidR="00480276" w:rsidRPr="007A2F89">
        <w:rPr>
          <w:rFonts w:ascii="Times New Roman" w:hAnsi="Times New Roman"/>
          <w:sz w:val="24"/>
          <w:szCs w:val="24"/>
          <w:lang w:val="en-GB"/>
        </w:rPr>
        <w:t xml:space="preserve"> </w:t>
      </w:r>
      <w:r w:rsidR="00E84C5E" w:rsidRPr="007A2F89">
        <w:rPr>
          <w:rFonts w:ascii="Times New Roman" w:hAnsi="Times New Roman"/>
          <w:sz w:val="24"/>
          <w:szCs w:val="24"/>
          <w:lang w:val="en-GB"/>
        </w:rPr>
        <w:t xml:space="preserve">extracted from AIDA </w:t>
      </w:r>
      <w:proofErr w:type="spellStart"/>
      <w:r w:rsidR="00E84C5E" w:rsidRPr="007A2F89">
        <w:rPr>
          <w:rFonts w:ascii="Times New Roman" w:hAnsi="Times New Roman"/>
          <w:sz w:val="24"/>
          <w:szCs w:val="24"/>
          <w:lang w:val="en-GB"/>
        </w:rPr>
        <w:t>BvD</w:t>
      </w:r>
      <w:proofErr w:type="spellEnd"/>
      <w:r w:rsidR="00E84C5E" w:rsidRPr="007A2F89">
        <w:rPr>
          <w:rFonts w:ascii="Times New Roman" w:hAnsi="Times New Roman"/>
          <w:sz w:val="24"/>
          <w:szCs w:val="24"/>
          <w:lang w:val="en-GB"/>
        </w:rPr>
        <w:t xml:space="preserve"> database, an Italian subset of ORBIS database, </w:t>
      </w:r>
      <w:r w:rsidR="00056B4E" w:rsidRPr="007A2F89">
        <w:rPr>
          <w:rFonts w:ascii="Times New Roman" w:hAnsi="Times New Roman"/>
          <w:sz w:val="24"/>
          <w:szCs w:val="24"/>
          <w:lang w:val="en-GB"/>
        </w:rPr>
        <w:t>that</w:t>
      </w:r>
      <w:r w:rsidR="00E84C5E" w:rsidRPr="007A2F89">
        <w:rPr>
          <w:rFonts w:ascii="Times New Roman" w:hAnsi="Times New Roman"/>
          <w:sz w:val="24"/>
          <w:szCs w:val="24"/>
          <w:lang w:val="en-GB"/>
        </w:rPr>
        <w:t xml:space="preserve"> </w:t>
      </w:r>
      <w:r w:rsidR="009A17D4" w:rsidRPr="007A2F89">
        <w:rPr>
          <w:rFonts w:ascii="Times New Roman" w:hAnsi="Times New Roman"/>
          <w:sz w:val="24"/>
          <w:szCs w:val="24"/>
          <w:lang w:val="en-GB"/>
        </w:rPr>
        <w:t>include</w:t>
      </w:r>
      <w:r w:rsidR="00E84C5E" w:rsidRPr="007A2F89">
        <w:rPr>
          <w:rFonts w:ascii="Times New Roman" w:hAnsi="Times New Roman"/>
          <w:sz w:val="24"/>
          <w:szCs w:val="24"/>
          <w:lang w:val="en-GB"/>
        </w:rPr>
        <w:t xml:space="preserve"> historical data relating to economic, financial, biographical and commodity elements of approximately 700,000 active Italian companies. </w:t>
      </w:r>
      <w:r w:rsidR="009A17D4" w:rsidRPr="007A2F89">
        <w:rPr>
          <w:rFonts w:ascii="Times New Roman" w:hAnsi="Times New Roman"/>
          <w:sz w:val="24"/>
          <w:szCs w:val="24"/>
          <w:lang w:val="en-GB"/>
        </w:rPr>
        <w:t>In particular</w:t>
      </w:r>
      <w:r w:rsidR="000A0051" w:rsidRPr="007A2F89">
        <w:rPr>
          <w:rFonts w:ascii="Times New Roman" w:hAnsi="Times New Roman"/>
          <w:sz w:val="24"/>
          <w:szCs w:val="24"/>
          <w:lang w:val="en-GB"/>
        </w:rPr>
        <w:t xml:space="preserve">, the financial information is provided by </w:t>
      </w:r>
      <w:proofErr w:type="spellStart"/>
      <w:r w:rsidR="000A0051" w:rsidRPr="007A2F89">
        <w:rPr>
          <w:rFonts w:ascii="Times New Roman" w:hAnsi="Times New Roman"/>
          <w:sz w:val="24"/>
          <w:szCs w:val="24"/>
          <w:lang w:val="en-GB"/>
        </w:rPr>
        <w:t>Honyvem</w:t>
      </w:r>
      <w:proofErr w:type="spellEnd"/>
      <w:r w:rsidR="000A0051" w:rsidRPr="007A2F89">
        <w:rPr>
          <w:rFonts w:ascii="Times New Roman" w:hAnsi="Times New Roman"/>
          <w:sz w:val="24"/>
          <w:szCs w:val="24"/>
          <w:lang w:val="en-GB"/>
        </w:rPr>
        <w:t>, which acquires and re-elaborates the financial statements filed in the Italian Chambers of Commerce.</w:t>
      </w:r>
      <w:r w:rsidR="009A17D4" w:rsidRPr="007A2F89">
        <w:rPr>
          <w:rFonts w:ascii="Times New Roman" w:hAnsi="Times New Roman"/>
          <w:sz w:val="24"/>
          <w:szCs w:val="24"/>
          <w:lang w:val="en-GB"/>
        </w:rPr>
        <w:t xml:space="preserve"> </w:t>
      </w:r>
      <w:r w:rsidR="00671122" w:rsidRPr="007A2F89">
        <w:rPr>
          <w:rFonts w:ascii="Times New Roman" w:hAnsi="Times New Roman"/>
          <w:sz w:val="24"/>
          <w:szCs w:val="24"/>
          <w:lang w:val="en-GB"/>
        </w:rPr>
        <w:t>The data refer from 2011 to 2019.</w:t>
      </w:r>
      <w:r w:rsidR="00480276" w:rsidRPr="007A2F89">
        <w:rPr>
          <w:rFonts w:ascii="Times New Roman" w:hAnsi="Times New Roman"/>
          <w:sz w:val="24"/>
          <w:szCs w:val="24"/>
          <w:lang w:val="en-GB"/>
        </w:rPr>
        <w:t xml:space="preserve"> </w:t>
      </w:r>
      <w:r w:rsidR="00671122" w:rsidRPr="007A2F89">
        <w:rPr>
          <w:rFonts w:ascii="Times New Roman" w:hAnsi="Times New Roman"/>
          <w:sz w:val="24"/>
          <w:szCs w:val="24"/>
          <w:lang w:val="en-GB"/>
        </w:rPr>
        <w:t xml:space="preserve">In addition, a control group of 278 non-ISO14001 certified companies was extracted from the Aida database </w:t>
      </w:r>
      <w:r w:rsidR="009A17D4" w:rsidRPr="007A2F89">
        <w:rPr>
          <w:rFonts w:ascii="Times New Roman" w:hAnsi="Times New Roman"/>
          <w:sz w:val="24"/>
          <w:szCs w:val="24"/>
          <w:lang w:val="en-GB"/>
        </w:rPr>
        <w:t>to</w:t>
      </w:r>
      <w:r w:rsidR="00671122" w:rsidRPr="007A2F89">
        <w:rPr>
          <w:rFonts w:ascii="Times New Roman" w:hAnsi="Times New Roman"/>
          <w:sz w:val="24"/>
          <w:szCs w:val="24"/>
          <w:lang w:val="en-GB"/>
        </w:rPr>
        <w:t xml:space="preserve"> rationally determine the impact of this certification on the company</w:t>
      </w:r>
      <w:r w:rsidR="007A2F89" w:rsidRPr="007A2F89">
        <w:rPr>
          <w:rFonts w:ascii="Times New Roman" w:hAnsi="Times New Roman"/>
          <w:sz w:val="24"/>
          <w:szCs w:val="24"/>
          <w:lang w:val="en-GB"/>
        </w:rPr>
        <w:t>’</w:t>
      </w:r>
      <w:r w:rsidR="00671122" w:rsidRPr="007A2F89">
        <w:rPr>
          <w:rFonts w:ascii="Times New Roman" w:hAnsi="Times New Roman"/>
          <w:sz w:val="24"/>
          <w:szCs w:val="24"/>
          <w:lang w:val="en-GB"/>
        </w:rPr>
        <w:t>s economic and financial performance</w:t>
      </w:r>
      <w:r w:rsidR="00480276" w:rsidRPr="007A2F89">
        <w:rPr>
          <w:rFonts w:ascii="Times New Roman" w:hAnsi="Times New Roman"/>
          <w:sz w:val="24"/>
          <w:szCs w:val="24"/>
          <w:lang w:val="en-GB"/>
        </w:rPr>
        <w:t xml:space="preserve">. </w:t>
      </w:r>
      <w:r w:rsidR="00E02775" w:rsidRPr="007A2F89">
        <w:rPr>
          <w:rFonts w:ascii="Times New Roman" w:hAnsi="Times New Roman"/>
          <w:sz w:val="24"/>
          <w:szCs w:val="24"/>
          <w:lang w:val="en-GB"/>
        </w:rPr>
        <w:t xml:space="preserve">The control group was selected </w:t>
      </w:r>
      <w:r w:rsidR="009A17D4" w:rsidRPr="007A2F89">
        <w:rPr>
          <w:rFonts w:ascii="Times New Roman" w:hAnsi="Times New Roman"/>
          <w:sz w:val="24"/>
          <w:szCs w:val="24"/>
          <w:lang w:val="en-GB"/>
        </w:rPr>
        <w:t>relating</w:t>
      </w:r>
      <w:r w:rsidR="00E02775" w:rsidRPr="007A2F89">
        <w:rPr>
          <w:rFonts w:ascii="Times New Roman" w:hAnsi="Times New Roman"/>
          <w:sz w:val="24"/>
          <w:szCs w:val="24"/>
          <w:lang w:val="en-GB"/>
        </w:rPr>
        <w:t xml:space="preserve"> to the geographical location, </w:t>
      </w:r>
      <w:proofErr w:type="gramStart"/>
      <w:r w:rsidR="00E02775" w:rsidRPr="007A2F89">
        <w:rPr>
          <w:rFonts w:ascii="Times New Roman" w:hAnsi="Times New Roman"/>
          <w:sz w:val="24"/>
          <w:szCs w:val="24"/>
          <w:lang w:val="en-GB"/>
        </w:rPr>
        <w:t>size</w:t>
      </w:r>
      <w:proofErr w:type="gramEnd"/>
      <w:r w:rsidR="00E02775" w:rsidRPr="007A2F89">
        <w:rPr>
          <w:rFonts w:ascii="Times New Roman" w:hAnsi="Times New Roman"/>
          <w:sz w:val="24"/>
          <w:szCs w:val="24"/>
          <w:lang w:val="en-GB"/>
        </w:rPr>
        <w:t xml:space="preserve"> and</w:t>
      </w:r>
      <w:r w:rsidR="0005362D" w:rsidRPr="007A2F89">
        <w:rPr>
          <w:rFonts w:ascii="Times New Roman" w:hAnsi="Times New Roman"/>
          <w:sz w:val="24"/>
          <w:szCs w:val="24"/>
          <w:lang w:val="en-GB"/>
        </w:rPr>
        <w:t xml:space="preserve"> the company</w:t>
      </w:r>
      <w:r w:rsidR="00E02775" w:rsidRPr="007A2F89">
        <w:rPr>
          <w:rFonts w:ascii="Times New Roman" w:hAnsi="Times New Roman"/>
          <w:sz w:val="24"/>
          <w:szCs w:val="24"/>
          <w:lang w:val="en-GB"/>
        </w:rPr>
        <w:t xml:space="preserve"> age. Based on the list of ISO 14001 certified companies, a matrix was generated to outline the company geographic, </w:t>
      </w:r>
      <w:r w:rsidR="0046260A" w:rsidRPr="007A2F89">
        <w:rPr>
          <w:rFonts w:ascii="Times New Roman" w:hAnsi="Times New Roman"/>
          <w:sz w:val="24"/>
          <w:szCs w:val="24"/>
          <w:lang w:val="en-GB"/>
        </w:rPr>
        <w:t>dimensional,</w:t>
      </w:r>
      <w:r w:rsidR="00E02775" w:rsidRPr="007A2F89">
        <w:rPr>
          <w:rFonts w:ascii="Times New Roman" w:hAnsi="Times New Roman"/>
          <w:sz w:val="24"/>
          <w:szCs w:val="24"/>
          <w:lang w:val="en-GB"/>
        </w:rPr>
        <w:t xml:space="preserve"> and age-related determinants. Subsequently, the data </w:t>
      </w:r>
      <w:r w:rsidR="00E02775" w:rsidRPr="007A2F89">
        <w:rPr>
          <w:rFonts w:ascii="Times New Roman" w:hAnsi="Times New Roman"/>
          <w:sz w:val="24"/>
          <w:szCs w:val="24"/>
          <w:lang w:val="en-GB"/>
        </w:rPr>
        <w:lastRenderedPageBreak/>
        <w:t xml:space="preserve">of non-certified companies were randomly collected from AIDA </w:t>
      </w:r>
      <w:r w:rsidR="009A17D4" w:rsidRPr="007A2F89">
        <w:rPr>
          <w:rFonts w:ascii="Times New Roman" w:hAnsi="Times New Roman"/>
          <w:sz w:val="24"/>
          <w:szCs w:val="24"/>
          <w:lang w:val="en-GB"/>
        </w:rPr>
        <w:t>based on</w:t>
      </w:r>
      <w:r w:rsidR="00E02775" w:rsidRPr="007A2F89">
        <w:rPr>
          <w:rFonts w:ascii="Times New Roman" w:hAnsi="Times New Roman"/>
          <w:sz w:val="24"/>
          <w:szCs w:val="24"/>
          <w:lang w:val="en-GB"/>
        </w:rPr>
        <w:t xml:space="preserve"> the defined criteria.</w:t>
      </w:r>
      <w:r w:rsidR="00480276" w:rsidRPr="007A2F89">
        <w:rPr>
          <w:rFonts w:ascii="Times New Roman" w:hAnsi="Times New Roman"/>
          <w:sz w:val="24"/>
          <w:szCs w:val="24"/>
          <w:lang w:val="en-GB"/>
        </w:rPr>
        <w:t xml:space="preserve">  </w:t>
      </w:r>
      <w:r w:rsidR="00E02775" w:rsidRPr="007A2F89">
        <w:rPr>
          <w:rFonts w:ascii="Times New Roman" w:hAnsi="Times New Roman"/>
          <w:sz w:val="24"/>
          <w:szCs w:val="24"/>
          <w:lang w:val="en-GB"/>
        </w:rPr>
        <w:t xml:space="preserve">Due to these considerations, the final sample is composed by 490 companies. </w:t>
      </w:r>
      <w:r w:rsidR="00792E7D" w:rsidRPr="007A2F89">
        <w:rPr>
          <w:rFonts w:ascii="Times New Roman" w:hAnsi="Times New Roman"/>
          <w:sz w:val="24"/>
          <w:szCs w:val="24"/>
          <w:lang w:val="en-GB"/>
        </w:rPr>
        <w:t xml:space="preserve">Tables 1 and 2 show the matrices of the certified companies and the total sample of the companies considered, </w:t>
      </w:r>
      <w:r w:rsidR="009F2405" w:rsidRPr="007A2F89">
        <w:rPr>
          <w:rFonts w:ascii="Times New Roman" w:hAnsi="Times New Roman"/>
          <w:sz w:val="24"/>
          <w:szCs w:val="24"/>
          <w:lang w:val="en-GB"/>
        </w:rPr>
        <w:t>and</w:t>
      </w:r>
      <w:r w:rsidR="00792E7D" w:rsidRPr="007A2F89">
        <w:rPr>
          <w:rFonts w:ascii="Times New Roman" w:hAnsi="Times New Roman"/>
          <w:sz w:val="24"/>
          <w:szCs w:val="24"/>
          <w:lang w:val="en-GB"/>
        </w:rPr>
        <w:t xml:space="preserve"> it is possible to compare the percentages relating to the characteristics </w:t>
      </w:r>
      <w:r w:rsidR="0046260A" w:rsidRPr="007A2F89">
        <w:rPr>
          <w:rFonts w:ascii="Times New Roman" w:hAnsi="Times New Roman"/>
          <w:sz w:val="24"/>
          <w:szCs w:val="24"/>
          <w:lang w:val="en-GB"/>
        </w:rPr>
        <w:t>of</w:t>
      </w:r>
      <w:r w:rsidR="00792E7D" w:rsidRPr="007A2F89">
        <w:rPr>
          <w:rFonts w:ascii="Times New Roman" w:hAnsi="Times New Roman"/>
          <w:sz w:val="24"/>
          <w:szCs w:val="24"/>
          <w:lang w:val="en-GB"/>
        </w:rPr>
        <w:t xml:space="preserve"> </w:t>
      </w:r>
      <w:r w:rsidR="009A17D4" w:rsidRPr="007A2F89">
        <w:rPr>
          <w:rFonts w:ascii="Times New Roman" w:hAnsi="Times New Roman"/>
          <w:sz w:val="24"/>
          <w:szCs w:val="24"/>
          <w:lang w:val="en-GB"/>
        </w:rPr>
        <w:t xml:space="preserve">the sample </w:t>
      </w:r>
      <w:r w:rsidR="0046260A" w:rsidRPr="007A2F89">
        <w:rPr>
          <w:rFonts w:ascii="Times New Roman" w:hAnsi="Times New Roman"/>
          <w:sz w:val="24"/>
          <w:szCs w:val="24"/>
          <w:lang w:val="en-GB"/>
        </w:rPr>
        <w:t>considered</w:t>
      </w:r>
      <w:r w:rsidR="00792E7D" w:rsidRPr="007A2F89">
        <w:rPr>
          <w:rFonts w:ascii="Times New Roman" w:hAnsi="Times New Roman"/>
          <w:sz w:val="24"/>
          <w:szCs w:val="24"/>
          <w:lang w:val="en-GB"/>
        </w:rPr>
        <w:t>.</w:t>
      </w:r>
    </w:p>
    <w:p w14:paraId="158104BD" w14:textId="53889B61" w:rsidR="00792E7D" w:rsidRPr="007A2F89" w:rsidRDefault="00792E7D" w:rsidP="007A2F89">
      <w:pPr>
        <w:rPr>
          <w:rFonts w:ascii="Times New Roman" w:hAnsi="Times New Roman"/>
          <w:sz w:val="24"/>
          <w:szCs w:val="24"/>
          <w:lang w:val="en-GB"/>
        </w:rPr>
      </w:pPr>
    </w:p>
    <w:p w14:paraId="3ABDB12E" w14:textId="1A42FC7E" w:rsidR="0046260A" w:rsidRPr="007A2F89" w:rsidRDefault="0046260A" w:rsidP="007A2F89">
      <w:pPr>
        <w:rPr>
          <w:rFonts w:ascii="Times New Roman" w:hAnsi="Times New Roman"/>
          <w:sz w:val="24"/>
          <w:szCs w:val="24"/>
          <w:lang w:val="en-GB"/>
        </w:rPr>
      </w:pPr>
    </w:p>
    <w:p w14:paraId="16DD2BE4" w14:textId="77777777" w:rsidR="0046260A" w:rsidRPr="007A2F89" w:rsidRDefault="0046260A" w:rsidP="007A2F89">
      <w:pPr>
        <w:rPr>
          <w:rFonts w:ascii="Times New Roman" w:hAnsi="Times New Roman"/>
          <w:sz w:val="24"/>
          <w:szCs w:val="24"/>
          <w:lang w:val="en-GB"/>
        </w:rPr>
      </w:pPr>
    </w:p>
    <w:p w14:paraId="450F95D7" w14:textId="0B7236F9" w:rsidR="00480276" w:rsidRPr="007A2F89" w:rsidRDefault="00480276" w:rsidP="007A2F89">
      <w:pPr>
        <w:spacing w:after="120"/>
        <w:rPr>
          <w:rFonts w:ascii="Times New Roman" w:hAnsi="Times New Roman"/>
          <w:i/>
          <w:iCs/>
          <w:sz w:val="20"/>
          <w:szCs w:val="20"/>
          <w:lang w:val="en-GB"/>
        </w:rPr>
      </w:pPr>
      <w:r w:rsidRPr="007A2F89">
        <w:rPr>
          <w:rFonts w:ascii="Times New Roman" w:hAnsi="Times New Roman"/>
          <w:i/>
          <w:iCs/>
          <w:sz w:val="20"/>
          <w:szCs w:val="20"/>
          <w:lang w:val="en-GB"/>
        </w:rPr>
        <w:t>Tab</w:t>
      </w:r>
      <w:r w:rsidR="00E7431C" w:rsidRPr="007A2F89">
        <w:rPr>
          <w:rFonts w:ascii="Times New Roman" w:hAnsi="Times New Roman"/>
          <w:i/>
          <w:iCs/>
          <w:sz w:val="20"/>
          <w:szCs w:val="20"/>
          <w:lang w:val="en-GB"/>
        </w:rPr>
        <w:t>le</w:t>
      </w:r>
      <w:r w:rsidR="005A2C39" w:rsidRPr="007A2F89">
        <w:rPr>
          <w:rFonts w:ascii="Times New Roman" w:hAnsi="Times New Roman"/>
          <w:i/>
          <w:iCs/>
          <w:sz w:val="20"/>
          <w:szCs w:val="20"/>
          <w:lang w:val="en-GB"/>
        </w:rPr>
        <w:t xml:space="preserve"> </w:t>
      </w:r>
      <w:r w:rsidRPr="007A2F89">
        <w:rPr>
          <w:rFonts w:ascii="Times New Roman" w:hAnsi="Times New Roman"/>
          <w:i/>
          <w:iCs/>
          <w:sz w:val="20"/>
          <w:szCs w:val="20"/>
          <w:lang w:val="en-GB"/>
        </w:rPr>
        <w:t xml:space="preserve">1 </w:t>
      </w:r>
      <w:r w:rsidR="005A2C39" w:rsidRPr="007A2F89">
        <w:rPr>
          <w:rFonts w:ascii="Times New Roman" w:hAnsi="Times New Roman"/>
          <w:i/>
          <w:iCs/>
          <w:sz w:val="20"/>
          <w:szCs w:val="20"/>
          <w:lang w:val="en-GB"/>
        </w:rPr>
        <w:t>-</w:t>
      </w:r>
      <w:r w:rsidRPr="007A2F89">
        <w:rPr>
          <w:rFonts w:ascii="Times New Roman" w:hAnsi="Times New Roman"/>
          <w:i/>
          <w:iCs/>
          <w:sz w:val="20"/>
          <w:szCs w:val="20"/>
          <w:lang w:val="en-GB"/>
        </w:rPr>
        <w:t xml:space="preserve"> </w:t>
      </w:r>
      <w:r w:rsidR="00792E7D" w:rsidRPr="007A2F89">
        <w:rPr>
          <w:rFonts w:ascii="Times New Roman" w:hAnsi="Times New Roman"/>
          <w:i/>
          <w:iCs/>
          <w:sz w:val="20"/>
          <w:szCs w:val="20"/>
          <w:lang w:val="en-GB"/>
        </w:rPr>
        <w:t>ISO14001 certified enterprises Sample matrix</w:t>
      </w:r>
    </w:p>
    <w:tbl>
      <w:tblPr>
        <w:tblStyle w:val="Grigliatabella"/>
        <w:tblW w:w="68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1"/>
        <w:gridCol w:w="1361"/>
        <w:gridCol w:w="1361"/>
        <w:gridCol w:w="1361"/>
        <w:gridCol w:w="1361"/>
      </w:tblGrid>
      <w:tr w:rsidR="007063FA" w:rsidRPr="007A2F89" w14:paraId="2F6C85F5" w14:textId="77777777" w:rsidTr="007063FA">
        <w:trPr>
          <w:trHeight w:val="20"/>
          <w:jc w:val="center"/>
        </w:trPr>
        <w:tc>
          <w:tcPr>
            <w:tcW w:w="6805" w:type="dxa"/>
            <w:gridSpan w:val="5"/>
            <w:tcBorders>
              <w:top w:val="nil"/>
              <w:bottom w:val="single" w:sz="4" w:space="0" w:color="auto"/>
            </w:tcBorders>
            <w:vAlign w:val="center"/>
          </w:tcPr>
          <w:p w14:paraId="6BC2E8DE" w14:textId="662D0F22" w:rsidR="007063FA" w:rsidRPr="007A2F89" w:rsidRDefault="007063FA" w:rsidP="007A2F89">
            <w:pPr>
              <w:rPr>
                <w:i/>
                <w:iCs/>
                <w:sz w:val="20"/>
                <w:szCs w:val="20"/>
              </w:rPr>
            </w:pPr>
            <w:r w:rsidRPr="007A2F89">
              <w:rPr>
                <w:i/>
                <w:iCs/>
                <w:sz w:val="20"/>
                <w:szCs w:val="20"/>
              </w:rPr>
              <w:t>CHIETI</w:t>
            </w:r>
          </w:p>
        </w:tc>
      </w:tr>
      <w:tr w:rsidR="007063FA" w:rsidRPr="007A2F89" w14:paraId="325CCAB3" w14:textId="77777777" w:rsidTr="00A160CF">
        <w:trPr>
          <w:trHeight w:val="20"/>
          <w:jc w:val="center"/>
        </w:trPr>
        <w:tc>
          <w:tcPr>
            <w:tcW w:w="1361" w:type="dxa"/>
            <w:tcBorders>
              <w:top w:val="single" w:sz="4" w:space="0" w:color="auto"/>
              <w:bottom w:val="single" w:sz="4" w:space="0" w:color="auto"/>
              <w:right w:val="single" w:sz="4" w:space="0" w:color="auto"/>
            </w:tcBorders>
            <w:vAlign w:val="center"/>
          </w:tcPr>
          <w:p w14:paraId="13F512CF"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right w:val="single" w:sz="4" w:space="0" w:color="auto"/>
            </w:tcBorders>
            <w:vAlign w:val="center"/>
          </w:tcPr>
          <w:p w14:paraId="3BDF552F" w14:textId="48DE4A7E" w:rsidR="007063FA" w:rsidRPr="007A2F89" w:rsidRDefault="00120B29" w:rsidP="007A2F89">
            <w:pPr>
              <w:rPr>
                <w:i/>
                <w:iCs/>
                <w:sz w:val="20"/>
                <w:szCs w:val="20"/>
              </w:rPr>
            </w:pPr>
            <w:r w:rsidRPr="007A2F89">
              <w:rPr>
                <w:i/>
                <w:iCs/>
                <w:sz w:val="20"/>
                <w:szCs w:val="20"/>
              </w:rPr>
              <w:t>SIZE</w:t>
            </w:r>
          </w:p>
        </w:tc>
        <w:tc>
          <w:tcPr>
            <w:tcW w:w="1361" w:type="dxa"/>
            <w:tcBorders>
              <w:left w:val="single" w:sz="4" w:space="0" w:color="auto"/>
            </w:tcBorders>
            <w:vAlign w:val="center"/>
          </w:tcPr>
          <w:p w14:paraId="01D3B895" w14:textId="77777777" w:rsidR="007063FA" w:rsidRPr="007A2F89" w:rsidRDefault="007063FA" w:rsidP="007A2F89">
            <w:pPr>
              <w:rPr>
                <w:i/>
                <w:iCs/>
                <w:sz w:val="20"/>
                <w:szCs w:val="20"/>
              </w:rPr>
            </w:pPr>
          </w:p>
        </w:tc>
      </w:tr>
      <w:tr w:rsidR="00480276" w:rsidRPr="007A2F89" w14:paraId="0B5EA993" w14:textId="77777777" w:rsidTr="007063FA">
        <w:trPr>
          <w:trHeight w:val="20"/>
          <w:jc w:val="center"/>
        </w:trPr>
        <w:tc>
          <w:tcPr>
            <w:tcW w:w="1361" w:type="dxa"/>
            <w:tcBorders>
              <w:top w:val="single" w:sz="4" w:space="0" w:color="auto"/>
              <w:bottom w:val="single" w:sz="4" w:space="0" w:color="auto"/>
              <w:right w:val="single" w:sz="4" w:space="0" w:color="auto"/>
            </w:tcBorders>
            <w:vAlign w:val="center"/>
          </w:tcPr>
          <w:p w14:paraId="2CD91311" w14:textId="1967746C" w:rsidR="00480276" w:rsidRPr="007A2F89" w:rsidRDefault="00792E7D" w:rsidP="007A2F89">
            <w:pPr>
              <w:rPr>
                <w:i/>
                <w:iCs/>
                <w:sz w:val="20"/>
                <w:szCs w:val="20"/>
              </w:rPr>
            </w:pPr>
            <w:r w:rsidRPr="007A2F89">
              <w:rPr>
                <w:i/>
                <w:iCs/>
                <w:sz w:val="20"/>
                <w:szCs w:val="20"/>
              </w:rPr>
              <w:t>AGE</w:t>
            </w:r>
          </w:p>
        </w:tc>
        <w:tc>
          <w:tcPr>
            <w:tcW w:w="1361" w:type="dxa"/>
            <w:tcBorders>
              <w:left w:val="single" w:sz="4" w:space="0" w:color="auto"/>
              <w:bottom w:val="single" w:sz="4" w:space="0" w:color="auto"/>
            </w:tcBorders>
            <w:vAlign w:val="center"/>
          </w:tcPr>
          <w:p w14:paraId="1F520A78" w14:textId="77777777" w:rsidR="00480276" w:rsidRPr="007A2F89" w:rsidRDefault="00480276" w:rsidP="007A2F89">
            <w:pPr>
              <w:rPr>
                <w:i/>
                <w:iCs/>
                <w:sz w:val="20"/>
                <w:szCs w:val="20"/>
              </w:rPr>
            </w:pPr>
            <w:r w:rsidRPr="007A2F89">
              <w:rPr>
                <w:i/>
                <w:iCs/>
                <w:sz w:val="20"/>
                <w:szCs w:val="20"/>
              </w:rPr>
              <w:t xml:space="preserve">0-9 </w:t>
            </w:r>
          </w:p>
          <w:p w14:paraId="1EBD3C15" w14:textId="1FB81038" w:rsidR="00480276" w:rsidRPr="007A2F89" w:rsidRDefault="00792E7D" w:rsidP="007A2F89">
            <w:pPr>
              <w:rPr>
                <w:i/>
                <w:iCs/>
                <w:sz w:val="20"/>
                <w:szCs w:val="20"/>
              </w:rPr>
            </w:pPr>
            <w:r w:rsidRPr="007A2F89">
              <w:rPr>
                <w:i/>
                <w:iCs/>
                <w:sz w:val="20"/>
                <w:szCs w:val="20"/>
              </w:rPr>
              <w:t>Employees</w:t>
            </w:r>
          </w:p>
        </w:tc>
        <w:tc>
          <w:tcPr>
            <w:tcW w:w="1361" w:type="dxa"/>
            <w:tcBorders>
              <w:bottom w:val="single" w:sz="4" w:space="0" w:color="auto"/>
            </w:tcBorders>
            <w:vAlign w:val="center"/>
          </w:tcPr>
          <w:p w14:paraId="235C814E" w14:textId="77777777" w:rsidR="00480276" w:rsidRPr="007A2F89" w:rsidRDefault="00480276" w:rsidP="007A2F89">
            <w:pPr>
              <w:rPr>
                <w:i/>
                <w:iCs/>
                <w:sz w:val="20"/>
                <w:szCs w:val="20"/>
              </w:rPr>
            </w:pPr>
            <w:r w:rsidRPr="007A2F89">
              <w:rPr>
                <w:i/>
                <w:iCs/>
                <w:sz w:val="20"/>
                <w:szCs w:val="20"/>
              </w:rPr>
              <w:t xml:space="preserve">10-49 </w:t>
            </w:r>
          </w:p>
          <w:p w14:paraId="5CB6C15A" w14:textId="033BA19A" w:rsidR="00480276" w:rsidRPr="007A2F89" w:rsidRDefault="00792E7D" w:rsidP="007A2F89">
            <w:pPr>
              <w:rPr>
                <w:i/>
                <w:iCs/>
                <w:sz w:val="20"/>
                <w:szCs w:val="20"/>
              </w:rPr>
            </w:pPr>
            <w:r w:rsidRPr="007A2F89">
              <w:rPr>
                <w:i/>
                <w:iCs/>
                <w:sz w:val="20"/>
                <w:szCs w:val="20"/>
              </w:rPr>
              <w:t>Employees</w:t>
            </w:r>
          </w:p>
        </w:tc>
        <w:tc>
          <w:tcPr>
            <w:tcW w:w="1361" w:type="dxa"/>
            <w:tcBorders>
              <w:bottom w:val="single" w:sz="4" w:space="0" w:color="auto"/>
              <w:right w:val="single" w:sz="4" w:space="0" w:color="auto"/>
            </w:tcBorders>
            <w:vAlign w:val="center"/>
          </w:tcPr>
          <w:p w14:paraId="640D69E4" w14:textId="77777777" w:rsidR="00480276" w:rsidRPr="007A2F89" w:rsidRDefault="00480276" w:rsidP="007A2F89">
            <w:pPr>
              <w:rPr>
                <w:i/>
                <w:iCs/>
                <w:sz w:val="20"/>
                <w:szCs w:val="20"/>
              </w:rPr>
            </w:pPr>
            <w:r w:rsidRPr="007A2F89">
              <w:rPr>
                <w:i/>
                <w:iCs/>
                <w:sz w:val="20"/>
                <w:szCs w:val="20"/>
              </w:rPr>
              <w:t xml:space="preserve">50 + </w:t>
            </w:r>
          </w:p>
          <w:p w14:paraId="6A247DB9" w14:textId="2D567E86" w:rsidR="00480276" w:rsidRPr="007A2F89" w:rsidRDefault="00792E7D" w:rsidP="007A2F89">
            <w:pPr>
              <w:rPr>
                <w:i/>
                <w:iCs/>
                <w:sz w:val="20"/>
                <w:szCs w:val="20"/>
              </w:rPr>
            </w:pPr>
            <w:r w:rsidRPr="007A2F89">
              <w:rPr>
                <w:i/>
                <w:iCs/>
                <w:sz w:val="20"/>
                <w:szCs w:val="20"/>
              </w:rPr>
              <w:t>Employees</w:t>
            </w:r>
          </w:p>
        </w:tc>
        <w:tc>
          <w:tcPr>
            <w:tcW w:w="1361" w:type="dxa"/>
            <w:tcBorders>
              <w:left w:val="single" w:sz="4" w:space="0" w:color="auto"/>
              <w:bottom w:val="single" w:sz="4" w:space="0" w:color="auto"/>
            </w:tcBorders>
            <w:vAlign w:val="center"/>
          </w:tcPr>
          <w:p w14:paraId="14F80EDB" w14:textId="7D135192" w:rsidR="00480276" w:rsidRPr="007A2F89" w:rsidRDefault="00480276" w:rsidP="007A2F89">
            <w:pPr>
              <w:rPr>
                <w:i/>
                <w:iCs/>
                <w:sz w:val="20"/>
                <w:szCs w:val="20"/>
              </w:rPr>
            </w:pPr>
            <w:r w:rsidRPr="007A2F89">
              <w:rPr>
                <w:i/>
                <w:iCs/>
                <w:sz w:val="20"/>
                <w:szCs w:val="20"/>
              </w:rPr>
              <w:t>Total</w:t>
            </w:r>
          </w:p>
        </w:tc>
      </w:tr>
      <w:tr w:rsidR="00480276" w:rsidRPr="007A2F89" w14:paraId="236E1A17" w14:textId="77777777" w:rsidTr="007063FA">
        <w:trPr>
          <w:trHeight w:val="20"/>
          <w:jc w:val="center"/>
        </w:trPr>
        <w:tc>
          <w:tcPr>
            <w:tcW w:w="1361" w:type="dxa"/>
            <w:tcBorders>
              <w:top w:val="single" w:sz="4" w:space="0" w:color="auto"/>
              <w:bottom w:val="nil"/>
              <w:right w:val="single" w:sz="4" w:space="0" w:color="auto"/>
            </w:tcBorders>
            <w:vAlign w:val="center"/>
          </w:tcPr>
          <w:p w14:paraId="499C20DA" w14:textId="05C766A5" w:rsidR="00480276" w:rsidRPr="007A2F89" w:rsidRDefault="00480276" w:rsidP="007A2F89">
            <w:pPr>
              <w:rPr>
                <w:sz w:val="20"/>
                <w:szCs w:val="20"/>
              </w:rPr>
            </w:pPr>
            <w:r w:rsidRPr="007A2F89">
              <w:rPr>
                <w:sz w:val="20"/>
                <w:szCs w:val="20"/>
              </w:rPr>
              <w:t xml:space="preserve">0-19 </w:t>
            </w:r>
            <w:r w:rsidR="00792E7D" w:rsidRPr="007A2F89">
              <w:rPr>
                <w:sz w:val="20"/>
                <w:szCs w:val="20"/>
              </w:rPr>
              <w:t>years</w:t>
            </w:r>
          </w:p>
        </w:tc>
        <w:tc>
          <w:tcPr>
            <w:tcW w:w="1361" w:type="dxa"/>
            <w:tcBorders>
              <w:top w:val="single" w:sz="4" w:space="0" w:color="auto"/>
              <w:left w:val="single" w:sz="4" w:space="0" w:color="auto"/>
              <w:bottom w:val="nil"/>
            </w:tcBorders>
            <w:vAlign w:val="center"/>
          </w:tcPr>
          <w:p w14:paraId="05A52ABC" w14:textId="77777777" w:rsidR="00480276" w:rsidRPr="007A2F89" w:rsidRDefault="00480276" w:rsidP="007A2F89">
            <w:pPr>
              <w:rPr>
                <w:sz w:val="20"/>
                <w:szCs w:val="20"/>
              </w:rPr>
            </w:pPr>
            <w:r w:rsidRPr="007A2F89">
              <w:rPr>
                <w:sz w:val="20"/>
                <w:szCs w:val="20"/>
              </w:rPr>
              <w:t>9 (4,24%)</w:t>
            </w:r>
          </w:p>
        </w:tc>
        <w:tc>
          <w:tcPr>
            <w:tcW w:w="1361" w:type="dxa"/>
            <w:tcBorders>
              <w:top w:val="single" w:sz="4" w:space="0" w:color="auto"/>
              <w:bottom w:val="nil"/>
            </w:tcBorders>
            <w:vAlign w:val="center"/>
          </w:tcPr>
          <w:p w14:paraId="2C65121D" w14:textId="77777777" w:rsidR="00480276" w:rsidRPr="007A2F89" w:rsidRDefault="00480276" w:rsidP="007A2F89">
            <w:pPr>
              <w:rPr>
                <w:sz w:val="20"/>
                <w:szCs w:val="20"/>
              </w:rPr>
            </w:pPr>
            <w:r w:rsidRPr="007A2F89">
              <w:rPr>
                <w:sz w:val="20"/>
                <w:szCs w:val="20"/>
              </w:rPr>
              <w:t>17 (8%)</w:t>
            </w:r>
          </w:p>
        </w:tc>
        <w:tc>
          <w:tcPr>
            <w:tcW w:w="1361" w:type="dxa"/>
            <w:tcBorders>
              <w:top w:val="single" w:sz="4" w:space="0" w:color="auto"/>
              <w:bottom w:val="nil"/>
              <w:right w:val="single" w:sz="4" w:space="0" w:color="auto"/>
            </w:tcBorders>
            <w:vAlign w:val="center"/>
          </w:tcPr>
          <w:p w14:paraId="3C74B5A2" w14:textId="77777777" w:rsidR="00480276" w:rsidRPr="007A2F89" w:rsidRDefault="00480276" w:rsidP="007A2F89">
            <w:pPr>
              <w:rPr>
                <w:sz w:val="20"/>
                <w:szCs w:val="20"/>
              </w:rPr>
            </w:pPr>
            <w:r w:rsidRPr="007A2F89">
              <w:rPr>
                <w:sz w:val="20"/>
                <w:szCs w:val="20"/>
              </w:rPr>
              <w:t>5 (2,35%)</w:t>
            </w:r>
          </w:p>
        </w:tc>
        <w:tc>
          <w:tcPr>
            <w:tcW w:w="1361" w:type="dxa"/>
            <w:tcBorders>
              <w:top w:val="single" w:sz="4" w:space="0" w:color="auto"/>
              <w:left w:val="single" w:sz="4" w:space="0" w:color="auto"/>
              <w:bottom w:val="nil"/>
            </w:tcBorders>
            <w:vAlign w:val="center"/>
          </w:tcPr>
          <w:p w14:paraId="6468CC2F" w14:textId="77777777" w:rsidR="00480276" w:rsidRPr="007A2F89" w:rsidRDefault="00480276" w:rsidP="007A2F89">
            <w:pPr>
              <w:rPr>
                <w:sz w:val="20"/>
                <w:szCs w:val="20"/>
              </w:rPr>
            </w:pPr>
            <w:r w:rsidRPr="007A2F89">
              <w:rPr>
                <w:sz w:val="20"/>
                <w:szCs w:val="20"/>
              </w:rPr>
              <w:t>31 (14,6%)</w:t>
            </w:r>
          </w:p>
        </w:tc>
      </w:tr>
      <w:tr w:rsidR="00480276" w:rsidRPr="007A2F89" w14:paraId="7F1D72FE" w14:textId="77777777" w:rsidTr="007063FA">
        <w:trPr>
          <w:trHeight w:val="20"/>
          <w:jc w:val="center"/>
        </w:trPr>
        <w:tc>
          <w:tcPr>
            <w:tcW w:w="1361" w:type="dxa"/>
            <w:tcBorders>
              <w:top w:val="nil"/>
              <w:bottom w:val="nil"/>
              <w:right w:val="single" w:sz="4" w:space="0" w:color="auto"/>
            </w:tcBorders>
            <w:vAlign w:val="center"/>
          </w:tcPr>
          <w:p w14:paraId="51EBB73A" w14:textId="79AD012F" w:rsidR="00480276" w:rsidRPr="007A2F89" w:rsidRDefault="00480276" w:rsidP="007A2F89">
            <w:pPr>
              <w:rPr>
                <w:sz w:val="20"/>
                <w:szCs w:val="20"/>
              </w:rPr>
            </w:pPr>
            <w:r w:rsidRPr="007A2F89">
              <w:rPr>
                <w:sz w:val="20"/>
                <w:szCs w:val="20"/>
              </w:rPr>
              <w:t xml:space="preserve">20-29 </w:t>
            </w:r>
            <w:r w:rsidR="00792E7D" w:rsidRPr="007A2F89">
              <w:rPr>
                <w:sz w:val="20"/>
                <w:szCs w:val="20"/>
              </w:rPr>
              <w:t>years</w:t>
            </w:r>
          </w:p>
        </w:tc>
        <w:tc>
          <w:tcPr>
            <w:tcW w:w="1361" w:type="dxa"/>
            <w:tcBorders>
              <w:top w:val="nil"/>
              <w:left w:val="single" w:sz="4" w:space="0" w:color="auto"/>
              <w:bottom w:val="nil"/>
            </w:tcBorders>
            <w:vAlign w:val="center"/>
          </w:tcPr>
          <w:p w14:paraId="5AE101DD" w14:textId="77777777" w:rsidR="00480276" w:rsidRPr="007A2F89" w:rsidRDefault="00480276" w:rsidP="007A2F89">
            <w:pPr>
              <w:rPr>
                <w:sz w:val="20"/>
                <w:szCs w:val="20"/>
              </w:rPr>
            </w:pPr>
            <w:r w:rsidRPr="007A2F89">
              <w:rPr>
                <w:sz w:val="20"/>
                <w:szCs w:val="20"/>
              </w:rPr>
              <w:t>2 (0,94%)</w:t>
            </w:r>
          </w:p>
        </w:tc>
        <w:tc>
          <w:tcPr>
            <w:tcW w:w="1361" w:type="dxa"/>
            <w:tcBorders>
              <w:top w:val="nil"/>
              <w:bottom w:val="nil"/>
            </w:tcBorders>
            <w:vAlign w:val="center"/>
          </w:tcPr>
          <w:p w14:paraId="0511544E" w14:textId="77777777" w:rsidR="00480276" w:rsidRPr="007A2F89" w:rsidRDefault="00480276" w:rsidP="007A2F89">
            <w:pPr>
              <w:rPr>
                <w:sz w:val="20"/>
                <w:szCs w:val="20"/>
              </w:rPr>
            </w:pPr>
            <w:r w:rsidRPr="007A2F89">
              <w:rPr>
                <w:sz w:val="20"/>
                <w:szCs w:val="20"/>
              </w:rPr>
              <w:t>15 (7,07%)</w:t>
            </w:r>
          </w:p>
        </w:tc>
        <w:tc>
          <w:tcPr>
            <w:tcW w:w="1361" w:type="dxa"/>
            <w:tcBorders>
              <w:top w:val="nil"/>
              <w:bottom w:val="nil"/>
              <w:right w:val="single" w:sz="4" w:space="0" w:color="auto"/>
            </w:tcBorders>
            <w:vAlign w:val="center"/>
          </w:tcPr>
          <w:p w14:paraId="04DBDFB9" w14:textId="77777777" w:rsidR="00480276" w:rsidRPr="007A2F89" w:rsidRDefault="00480276" w:rsidP="007A2F89">
            <w:pPr>
              <w:rPr>
                <w:sz w:val="20"/>
                <w:szCs w:val="20"/>
              </w:rPr>
            </w:pPr>
            <w:r w:rsidRPr="007A2F89">
              <w:rPr>
                <w:sz w:val="20"/>
                <w:szCs w:val="20"/>
              </w:rPr>
              <w:t>10 (4,71%)</w:t>
            </w:r>
          </w:p>
        </w:tc>
        <w:tc>
          <w:tcPr>
            <w:tcW w:w="1361" w:type="dxa"/>
            <w:tcBorders>
              <w:top w:val="nil"/>
              <w:left w:val="single" w:sz="4" w:space="0" w:color="auto"/>
              <w:bottom w:val="nil"/>
            </w:tcBorders>
            <w:vAlign w:val="center"/>
          </w:tcPr>
          <w:p w14:paraId="02227635" w14:textId="77777777" w:rsidR="00480276" w:rsidRPr="007A2F89" w:rsidRDefault="00480276" w:rsidP="007A2F89">
            <w:pPr>
              <w:rPr>
                <w:sz w:val="20"/>
                <w:szCs w:val="20"/>
              </w:rPr>
            </w:pPr>
            <w:r w:rsidRPr="007A2F89">
              <w:rPr>
                <w:sz w:val="20"/>
                <w:szCs w:val="20"/>
              </w:rPr>
              <w:t>27 (12,73%)</w:t>
            </w:r>
          </w:p>
        </w:tc>
      </w:tr>
      <w:tr w:rsidR="00480276" w:rsidRPr="007A2F89" w14:paraId="019139BA" w14:textId="77777777" w:rsidTr="007063FA">
        <w:trPr>
          <w:trHeight w:val="20"/>
          <w:jc w:val="center"/>
        </w:trPr>
        <w:tc>
          <w:tcPr>
            <w:tcW w:w="1361" w:type="dxa"/>
            <w:tcBorders>
              <w:top w:val="nil"/>
              <w:bottom w:val="single" w:sz="4" w:space="0" w:color="auto"/>
              <w:right w:val="single" w:sz="4" w:space="0" w:color="auto"/>
            </w:tcBorders>
            <w:vAlign w:val="center"/>
          </w:tcPr>
          <w:p w14:paraId="27D16CC5" w14:textId="42198AA1" w:rsidR="00480276" w:rsidRPr="007A2F89" w:rsidRDefault="00480276" w:rsidP="007A2F89">
            <w:pPr>
              <w:rPr>
                <w:sz w:val="20"/>
                <w:szCs w:val="20"/>
              </w:rPr>
            </w:pPr>
            <w:r w:rsidRPr="007A2F89">
              <w:rPr>
                <w:sz w:val="20"/>
                <w:szCs w:val="20"/>
              </w:rPr>
              <w:t xml:space="preserve">30+ </w:t>
            </w:r>
            <w:r w:rsidR="004A5E2E" w:rsidRPr="007A2F89">
              <w:rPr>
                <w:sz w:val="20"/>
                <w:szCs w:val="20"/>
              </w:rPr>
              <w:t>years</w:t>
            </w:r>
          </w:p>
        </w:tc>
        <w:tc>
          <w:tcPr>
            <w:tcW w:w="1361" w:type="dxa"/>
            <w:tcBorders>
              <w:top w:val="nil"/>
              <w:left w:val="single" w:sz="4" w:space="0" w:color="auto"/>
              <w:bottom w:val="single" w:sz="4" w:space="0" w:color="auto"/>
            </w:tcBorders>
            <w:vAlign w:val="center"/>
          </w:tcPr>
          <w:p w14:paraId="28467ABD" w14:textId="77777777" w:rsidR="00480276" w:rsidRPr="007A2F89" w:rsidRDefault="00480276" w:rsidP="007A2F89">
            <w:pPr>
              <w:rPr>
                <w:sz w:val="20"/>
                <w:szCs w:val="20"/>
              </w:rPr>
            </w:pPr>
            <w:r w:rsidRPr="007A2F89">
              <w:rPr>
                <w:sz w:val="20"/>
                <w:szCs w:val="20"/>
              </w:rPr>
              <w:t>1 (0,47%)</w:t>
            </w:r>
          </w:p>
        </w:tc>
        <w:tc>
          <w:tcPr>
            <w:tcW w:w="1361" w:type="dxa"/>
            <w:tcBorders>
              <w:top w:val="nil"/>
              <w:bottom w:val="single" w:sz="4" w:space="0" w:color="auto"/>
            </w:tcBorders>
            <w:vAlign w:val="center"/>
          </w:tcPr>
          <w:p w14:paraId="32DF6ED7" w14:textId="77777777" w:rsidR="00480276" w:rsidRPr="007A2F89" w:rsidRDefault="00480276" w:rsidP="007A2F89">
            <w:pPr>
              <w:rPr>
                <w:sz w:val="20"/>
                <w:szCs w:val="20"/>
              </w:rPr>
            </w:pPr>
            <w:r w:rsidRPr="007A2F89">
              <w:rPr>
                <w:sz w:val="20"/>
                <w:szCs w:val="20"/>
              </w:rPr>
              <w:t>17 (8%)</w:t>
            </w:r>
          </w:p>
        </w:tc>
        <w:tc>
          <w:tcPr>
            <w:tcW w:w="1361" w:type="dxa"/>
            <w:tcBorders>
              <w:top w:val="nil"/>
              <w:bottom w:val="single" w:sz="4" w:space="0" w:color="auto"/>
              <w:right w:val="single" w:sz="4" w:space="0" w:color="auto"/>
            </w:tcBorders>
            <w:vAlign w:val="center"/>
          </w:tcPr>
          <w:p w14:paraId="40AC0134" w14:textId="77777777" w:rsidR="00480276" w:rsidRPr="007A2F89" w:rsidRDefault="00480276" w:rsidP="007A2F89">
            <w:pPr>
              <w:rPr>
                <w:sz w:val="20"/>
                <w:szCs w:val="20"/>
              </w:rPr>
            </w:pPr>
            <w:r w:rsidRPr="007A2F89">
              <w:rPr>
                <w:sz w:val="20"/>
                <w:szCs w:val="20"/>
              </w:rPr>
              <w:t>13 (6,13%)</w:t>
            </w:r>
          </w:p>
        </w:tc>
        <w:tc>
          <w:tcPr>
            <w:tcW w:w="1361" w:type="dxa"/>
            <w:tcBorders>
              <w:top w:val="nil"/>
              <w:left w:val="single" w:sz="4" w:space="0" w:color="auto"/>
              <w:bottom w:val="single" w:sz="4" w:space="0" w:color="auto"/>
            </w:tcBorders>
            <w:vAlign w:val="center"/>
          </w:tcPr>
          <w:p w14:paraId="21B6EC3A" w14:textId="77777777" w:rsidR="00480276" w:rsidRPr="007A2F89" w:rsidRDefault="00480276" w:rsidP="007A2F89">
            <w:pPr>
              <w:rPr>
                <w:sz w:val="20"/>
                <w:szCs w:val="20"/>
              </w:rPr>
            </w:pPr>
            <w:r w:rsidRPr="007A2F89">
              <w:rPr>
                <w:sz w:val="20"/>
                <w:szCs w:val="20"/>
              </w:rPr>
              <w:t>31 (14,62%)</w:t>
            </w:r>
          </w:p>
        </w:tc>
      </w:tr>
      <w:tr w:rsidR="00480276" w:rsidRPr="007A2F89" w14:paraId="284E62AD" w14:textId="77777777" w:rsidTr="007063FA">
        <w:trPr>
          <w:trHeight w:val="20"/>
          <w:jc w:val="center"/>
        </w:trPr>
        <w:tc>
          <w:tcPr>
            <w:tcW w:w="1361" w:type="dxa"/>
            <w:tcBorders>
              <w:top w:val="single" w:sz="4" w:space="0" w:color="auto"/>
              <w:bottom w:val="nil"/>
              <w:right w:val="single" w:sz="4" w:space="0" w:color="auto"/>
            </w:tcBorders>
            <w:vAlign w:val="center"/>
          </w:tcPr>
          <w:p w14:paraId="3B604114" w14:textId="63009A29"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bottom w:val="nil"/>
            </w:tcBorders>
            <w:vAlign w:val="center"/>
          </w:tcPr>
          <w:p w14:paraId="76AD720F" w14:textId="77777777" w:rsidR="00480276" w:rsidRPr="007A2F89" w:rsidRDefault="00480276" w:rsidP="007A2F89">
            <w:pPr>
              <w:rPr>
                <w:sz w:val="20"/>
                <w:szCs w:val="20"/>
              </w:rPr>
            </w:pPr>
            <w:r w:rsidRPr="007A2F89">
              <w:rPr>
                <w:sz w:val="20"/>
                <w:szCs w:val="20"/>
              </w:rPr>
              <w:t>12 (5,66%)</w:t>
            </w:r>
          </w:p>
        </w:tc>
        <w:tc>
          <w:tcPr>
            <w:tcW w:w="1361" w:type="dxa"/>
            <w:tcBorders>
              <w:top w:val="single" w:sz="4" w:space="0" w:color="auto"/>
              <w:bottom w:val="nil"/>
            </w:tcBorders>
            <w:vAlign w:val="center"/>
          </w:tcPr>
          <w:p w14:paraId="76FD8DED" w14:textId="77777777" w:rsidR="00480276" w:rsidRPr="007A2F89" w:rsidRDefault="00480276" w:rsidP="007A2F89">
            <w:pPr>
              <w:rPr>
                <w:sz w:val="20"/>
                <w:szCs w:val="20"/>
              </w:rPr>
            </w:pPr>
            <w:r w:rsidRPr="007A2F89">
              <w:rPr>
                <w:sz w:val="20"/>
                <w:szCs w:val="20"/>
              </w:rPr>
              <w:t>49 (23,11%)</w:t>
            </w:r>
          </w:p>
        </w:tc>
        <w:tc>
          <w:tcPr>
            <w:tcW w:w="1361" w:type="dxa"/>
            <w:tcBorders>
              <w:top w:val="single" w:sz="4" w:space="0" w:color="auto"/>
              <w:bottom w:val="nil"/>
              <w:right w:val="single" w:sz="4" w:space="0" w:color="auto"/>
            </w:tcBorders>
            <w:vAlign w:val="center"/>
          </w:tcPr>
          <w:p w14:paraId="783AAD43" w14:textId="77777777" w:rsidR="00480276" w:rsidRPr="007A2F89" w:rsidRDefault="00480276" w:rsidP="007A2F89">
            <w:pPr>
              <w:rPr>
                <w:sz w:val="20"/>
                <w:szCs w:val="20"/>
              </w:rPr>
            </w:pPr>
            <w:r w:rsidRPr="007A2F89">
              <w:rPr>
                <w:sz w:val="20"/>
                <w:szCs w:val="20"/>
              </w:rPr>
              <w:t>28 (13,20%)</w:t>
            </w:r>
          </w:p>
        </w:tc>
        <w:tc>
          <w:tcPr>
            <w:tcW w:w="1361" w:type="dxa"/>
            <w:tcBorders>
              <w:top w:val="single" w:sz="4" w:space="0" w:color="auto"/>
              <w:left w:val="single" w:sz="4" w:space="0" w:color="auto"/>
              <w:bottom w:val="nil"/>
            </w:tcBorders>
            <w:vAlign w:val="center"/>
          </w:tcPr>
          <w:p w14:paraId="7E15E064" w14:textId="77777777" w:rsidR="00480276" w:rsidRPr="007A2F89" w:rsidRDefault="00480276" w:rsidP="007A2F89">
            <w:pPr>
              <w:rPr>
                <w:sz w:val="20"/>
                <w:szCs w:val="20"/>
              </w:rPr>
            </w:pPr>
            <w:r w:rsidRPr="007A2F89">
              <w:rPr>
                <w:sz w:val="20"/>
                <w:szCs w:val="20"/>
              </w:rPr>
              <w:t>89 (41,98%)</w:t>
            </w:r>
          </w:p>
        </w:tc>
      </w:tr>
    </w:tbl>
    <w:p w14:paraId="622C548C" w14:textId="77777777" w:rsidR="00480276" w:rsidRPr="007A2F89" w:rsidRDefault="00480276" w:rsidP="007A2F89">
      <w:pPr>
        <w:rPr>
          <w:rFonts w:ascii="Times New Roman" w:hAnsi="Times New Roman"/>
        </w:rPr>
      </w:pPr>
    </w:p>
    <w:tbl>
      <w:tblPr>
        <w:tblStyle w:val="Grigliatabella"/>
        <w:tblW w:w="68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1"/>
        <w:gridCol w:w="1361"/>
        <w:gridCol w:w="1361"/>
        <w:gridCol w:w="1361"/>
        <w:gridCol w:w="1361"/>
      </w:tblGrid>
      <w:tr w:rsidR="007063FA" w:rsidRPr="007A2F89" w14:paraId="4F75372C" w14:textId="77777777" w:rsidTr="007063FA">
        <w:trPr>
          <w:trHeight w:val="20"/>
          <w:jc w:val="center"/>
        </w:trPr>
        <w:tc>
          <w:tcPr>
            <w:tcW w:w="6805" w:type="dxa"/>
            <w:gridSpan w:val="5"/>
            <w:tcBorders>
              <w:top w:val="nil"/>
              <w:bottom w:val="single" w:sz="4" w:space="0" w:color="auto"/>
            </w:tcBorders>
            <w:vAlign w:val="center"/>
          </w:tcPr>
          <w:p w14:paraId="75E43940" w14:textId="3A9F52E6" w:rsidR="007063FA" w:rsidRPr="007A2F89" w:rsidRDefault="007063FA" w:rsidP="007A2F89">
            <w:pPr>
              <w:rPr>
                <w:i/>
                <w:iCs/>
                <w:sz w:val="20"/>
                <w:szCs w:val="20"/>
              </w:rPr>
            </w:pPr>
            <w:r w:rsidRPr="007A2F89">
              <w:rPr>
                <w:i/>
                <w:iCs/>
                <w:sz w:val="20"/>
                <w:szCs w:val="20"/>
              </w:rPr>
              <w:t>L</w:t>
            </w:r>
            <w:r w:rsidR="007A2F89" w:rsidRPr="007A2F89">
              <w:rPr>
                <w:i/>
                <w:iCs/>
                <w:sz w:val="20"/>
                <w:szCs w:val="20"/>
              </w:rPr>
              <w:t>’</w:t>
            </w:r>
            <w:r w:rsidRPr="007A2F89">
              <w:rPr>
                <w:i/>
                <w:iCs/>
                <w:sz w:val="20"/>
                <w:szCs w:val="20"/>
              </w:rPr>
              <w:t>AQUILA</w:t>
            </w:r>
          </w:p>
        </w:tc>
      </w:tr>
      <w:tr w:rsidR="007063FA" w:rsidRPr="007A2F89" w14:paraId="4592B431" w14:textId="77777777" w:rsidTr="00F8054A">
        <w:trPr>
          <w:trHeight w:val="20"/>
          <w:jc w:val="center"/>
        </w:trPr>
        <w:tc>
          <w:tcPr>
            <w:tcW w:w="1361" w:type="dxa"/>
            <w:tcBorders>
              <w:top w:val="single" w:sz="4" w:space="0" w:color="auto"/>
              <w:bottom w:val="single" w:sz="4" w:space="0" w:color="auto"/>
              <w:right w:val="single" w:sz="4" w:space="0" w:color="auto"/>
            </w:tcBorders>
            <w:vAlign w:val="center"/>
          </w:tcPr>
          <w:p w14:paraId="4759DE30"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right w:val="single" w:sz="4" w:space="0" w:color="auto"/>
            </w:tcBorders>
            <w:vAlign w:val="center"/>
          </w:tcPr>
          <w:p w14:paraId="5DADC4C2" w14:textId="05124F50" w:rsidR="007063FA" w:rsidRPr="007A2F89" w:rsidRDefault="00120B29" w:rsidP="007A2F89">
            <w:pPr>
              <w:rPr>
                <w:i/>
                <w:iCs/>
                <w:sz w:val="20"/>
                <w:szCs w:val="20"/>
              </w:rPr>
            </w:pPr>
            <w:r w:rsidRPr="007A2F89">
              <w:rPr>
                <w:i/>
                <w:iCs/>
                <w:sz w:val="20"/>
                <w:szCs w:val="20"/>
              </w:rPr>
              <w:t>SIZE</w:t>
            </w:r>
          </w:p>
        </w:tc>
        <w:tc>
          <w:tcPr>
            <w:tcW w:w="1361" w:type="dxa"/>
            <w:tcBorders>
              <w:left w:val="single" w:sz="4" w:space="0" w:color="auto"/>
            </w:tcBorders>
            <w:vAlign w:val="center"/>
          </w:tcPr>
          <w:p w14:paraId="6E6220D6" w14:textId="77777777" w:rsidR="007063FA" w:rsidRPr="007A2F89" w:rsidRDefault="007063FA" w:rsidP="007A2F89">
            <w:pPr>
              <w:rPr>
                <w:i/>
                <w:iCs/>
                <w:sz w:val="20"/>
                <w:szCs w:val="20"/>
              </w:rPr>
            </w:pPr>
          </w:p>
        </w:tc>
      </w:tr>
      <w:tr w:rsidR="005B1F03" w:rsidRPr="007A2F89" w14:paraId="2749D06C" w14:textId="77777777" w:rsidTr="007063FA">
        <w:trPr>
          <w:trHeight w:val="20"/>
          <w:jc w:val="center"/>
        </w:trPr>
        <w:tc>
          <w:tcPr>
            <w:tcW w:w="1361" w:type="dxa"/>
            <w:tcBorders>
              <w:top w:val="single" w:sz="4" w:space="0" w:color="auto"/>
              <w:bottom w:val="single" w:sz="4" w:space="0" w:color="auto"/>
              <w:right w:val="single" w:sz="4" w:space="0" w:color="auto"/>
            </w:tcBorders>
            <w:vAlign w:val="center"/>
          </w:tcPr>
          <w:p w14:paraId="28179EC8" w14:textId="50994DAB" w:rsidR="00480276" w:rsidRPr="007A2F89" w:rsidRDefault="000B170D" w:rsidP="007A2F89">
            <w:pPr>
              <w:rPr>
                <w:i/>
                <w:iCs/>
                <w:sz w:val="20"/>
                <w:szCs w:val="20"/>
              </w:rPr>
            </w:pPr>
            <w:r w:rsidRPr="007A2F89">
              <w:rPr>
                <w:i/>
                <w:iCs/>
                <w:sz w:val="20"/>
                <w:szCs w:val="20"/>
              </w:rPr>
              <w:t>AGE</w:t>
            </w:r>
          </w:p>
        </w:tc>
        <w:tc>
          <w:tcPr>
            <w:tcW w:w="1361" w:type="dxa"/>
            <w:tcBorders>
              <w:left w:val="single" w:sz="4" w:space="0" w:color="auto"/>
              <w:bottom w:val="single" w:sz="4" w:space="0" w:color="auto"/>
            </w:tcBorders>
            <w:vAlign w:val="center"/>
          </w:tcPr>
          <w:p w14:paraId="5F5E2937" w14:textId="77777777" w:rsidR="00480276" w:rsidRPr="007A2F89" w:rsidRDefault="00480276" w:rsidP="007A2F89">
            <w:pPr>
              <w:rPr>
                <w:i/>
                <w:iCs/>
                <w:sz w:val="20"/>
                <w:szCs w:val="20"/>
              </w:rPr>
            </w:pPr>
            <w:r w:rsidRPr="007A2F89">
              <w:rPr>
                <w:i/>
                <w:iCs/>
                <w:sz w:val="20"/>
                <w:szCs w:val="20"/>
              </w:rPr>
              <w:t xml:space="preserve">0-9 </w:t>
            </w:r>
          </w:p>
          <w:p w14:paraId="2D333679" w14:textId="71D0E1DC" w:rsidR="00480276" w:rsidRPr="007A2F89" w:rsidRDefault="000B170D" w:rsidP="007A2F89">
            <w:pPr>
              <w:rPr>
                <w:i/>
                <w:iCs/>
                <w:sz w:val="20"/>
                <w:szCs w:val="20"/>
              </w:rPr>
            </w:pPr>
            <w:r w:rsidRPr="007A2F89">
              <w:rPr>
                <w:i/>
                <w:iCs/>
                <w:sz w:val="20"/>
                <w:szCs w:val="20"/>
              </w:rPr>
              <w:t>Employees</w:t>
            </w:r>
          </w:p>
        </w:tc>
        <w:tc>
          <w:tcPr>
            <w:tcW w:w="1361" w:type="dxa"/>
            <w:tcBorders>
              <w:bottom w:val="single" w:sz="4" w:space="0" w:color="auto"/>
            </w:tcBorders>
            <w:vAlign w:val="center"/>
          </w:tcPr>
          <w:p w14:paraId="142A1FA6" w14:textId="77777777" w:rsidR="00480276" w:rsidRPr="007A2F89" w:rsidRDefault="00480276" w:rsidP="007A2F89">
            <w:pPr>
              <w:rPr>
                <w:i/>
                <w:iCs/>
                <w:sz w:val="20"/>
                <w:szCs w:val="20"/>
              </w:rPr>
            </w:pPr>
            <w:r w:rsidRPr="007A2F89">
              <w:rPr>
                <w:i/>
                <w:iCs/>
                <w:sz w:val="20"/>
                <w:szCs w:val="20"/>
              </w:rPr>
              <w:t xml:space="preserve">10-49 </w:t>
            </w:r>
          </w:p>
          <w:p w14:paraId="20BD954D" w14:textId="7A3757D0" w:rsidR="00480276" w:rsidRPr="007A2F89" w:rsidRDefault="000B170D" w:rsidP="007A2F89">
            <w:pPr>
              <w:rPr>
                <w:i/>
                <w:iCs/>
                <w:sz w:val="20"/>
                <w:szCs w:val="20"/>
              </w:rPr>
            </w:pPr>
            <w:r w:rsidRPr="007A2F89">
              <w:rPr>
                <w:i/>
                <w:iCs/>
                <w:sz w:val="20"/>
                <w:szCs w:val="20"/>
              </w:rPr>
              <w:t>Employees</w:t>
            </w:r>
          </w:p>
        </w:tc>
        <w:tc>
          <w:tcPr>
            <w:tcW w:w="1361" w:type="dxa"/>
            <w:tcBorders>
              <w:bottom w:val="single" w:sz="4" w:space="0" w:color="auto"/>
              <w:right w:val="single" w:sz="4" w:space="0" w:color="auto"/>
            </w:tcBorders>
            <w:vAlign w:val="center"/>
          </w:tcPr>
          <w:p w14:paraId="19DAD0DE" w14:textId="77777777" w:rsidR="00480276" w:rsidRPr="007A2F89" w:rsidRDefault="00480276" w:rsidP="007A2F89">
            <w:pPr>
              <w:rPr>
                <w:i/>
                <w:iCs/>
                <w:sz w:val="20"/>
                <w:szCs w:val="20"/>
              </w:rPr>
            </w:pPr>
            <w:r w:rsidRPr="007A2F89">
              <w:rPr>
                <w:i/>
                <w:iCs/>
                <w:sz w:val="20"/>
                <w:szCs w:val="20"/>
              </w:rPr>
              <w:t xml:space="preserve">50 + </w:t>
            </w:r>
          </w:p>
          <w:p w14:paraId="2415808B" w14:textId="650208FF" w:rsidR="00480276" w:rsidRPr="007A2F89" w:rsidRDefault="000B170D" w:rsidP="007A2F89">
            <w:pPr>
              <w:rPr>
                <w:i/>
                <w:iCs/>
                <w:sz w:val="20"/>
                <w:szCs w:val="20"/>
              </w:rPr>
            </w:pPr>
            <w:r w:rsidRPr="007A2F89">
              <w:rPr>
                <w:i/>
                <w:iCs/>
                <w:sz w:val="20"/>
                <w:szCs w:val="20"/>
              </w:rPr>
              <w:t>Employees</w:t>
            </w:r>
          </w:p>
        </w:tc>
        <w:tc>
          <w:tcPr>
            <w:tcW w:w="1361" w:type="dxa"/>
            <w:tcBorders>
              <w:left w:val="single" w:sz="4" w:space="0" w:color="auto"/>
              <w:bottom w:val="single" w:sz="4" w:space="0" w:color="auto"/>
            </w:tcBorders>
            <w:vAlign w:val="center"/>
          </w:tcPr>
          <w:p w14:paraId="67F1189B" w14:textId="1DD83433" w:rsidR="00480276" w:rsidRPr="007A2F89" w:rsidRDefault="00480276" w:rsidP="007A2F89">
            <w:pPr>
              <w:rPr>
                <w:i/>
                <w:iCs/>
                <w:sz w:val="20"/>
                <w:szCs w:val="20"/>
              </w:rPr>
            </w:pPr>
            <w:r w:rsidRPr="007A2F89">
              <w:rPr>
                <w:i/>
                <w:iCs/>
                <w:sz w:val="20"/>
                <w:szCs w:val="20"/>
              </w:rPr>
              <w:t>Total</w:t>
            </w:r>
          </w:p>
        </w:tc>
      </w:tr>
      <w:tr w:rsidR="005B1F03" w:rsidRPr="007A2F89" w14:paraId="3743A0C3" w14:textId="77777777" w:rsidTr="007063FA">
        <w:trPr>
          <w:trHeight w:val="20"/>
          <w:jc w:val="center"/>
        </w:trPr>
        <w:tc>
          <w:tcPr>
            <w:tcW w:w="1361" w:type="dxa"/>
            <w:tcBorders>
              <w:top w:val="single" w:sz="4" w:space="0" w:color="auto"/>
              <w:bottom w:val="nil"/>
              <w:right w:val="single" w:sz="4" w:space="0" w:color="auto"/>
            </w:tcBorders>
            <w:vAlign w:val="center"/>
          </w:tcPr>
          <w:p w14:paraId="55CD781B" w14:textId="4772D3C0" w:rsidR="00480276" w:rsidRPr="007A2F89" w:rsidRDefault="00480276" w:rsidP="007A2F89">
            <w:pPr>
              <w:rPr>
                <w:sz w:val="20"/>
                <w:szCs w:val="20"/>
              </w:rPr>
            </w:pPr>
            <w:r w:rsidRPr="007A2F89">
              <w:rPr>
                <w:sz w:val="20"/>
                <w:szCs w:val="20"/>
              </w:rPr>
              <w:t xml:space="preserve">0-19 </w:t>
            </w:r>
            <w:r w:rsidR="000B170D" w:rsidRPr="007A2F89">
              <w:rPr>
                <w:sz w:val="20"/>
                <w:szCs w:val="20"/>
              </w:rPr>
              <w:t>years</w:t>
            </w:r>
          </w:p>
        </w:tc>
        <w:tc>
          <w:tcPr>
            <w:tcW w:w="1361" w:type="dxa"/>
            <w:tcBorders>
              <w:top w:val="single" w:sz="4" w:space="0" w:color="auto"/>
              <w:left w:val="single" w:sz="4" w:space="0" w:color="auto"/>
              <w:bottom w:val="nil"/>
            </w:tcBorders>
            <w:vAlign w:val="center"/>
          </w:tcPr>
          <w:p w14:paraId="4685787A" w14:textId="77777777" w:rsidR="00480276" w:rsidRPr="007A2F89" w:rsidRDefault="00480276" w:rsidP="007A2F89">
            <w:pPr>
              <w:rPr>
                <w:sz w:val="20"/>
                <w:szCs w:val="20"/>
              </w:rPr>
            </w:pPr>
            <w:r w:rsidRPr="007A2F89">
              <w:rPr>
                <w:sz w:val="20"/>
                <w:szCs w:val="20"/>
              </w:rPr>
              <w:t>3 (1,4%)</w:t>
            </w:r>
          </w:p>
        </w:tc>
        <w:tc>
          <w:tcPr>
            <w:tcW w:w="1361" w:type="dxa"/>
            <w:tcBorders>
              <w:top w:val="single" w:sz="4" w:space="0" w:color="auto"/>
              <w:bottom w:val="nil"/>
            </w:tcBorders>
            <w:vAlign w:val="center"/>
          </w:tcPr>
          <w:p w14:paraId="096BC3E7" w14:textId="77777777" w:rsidR="00480276" w:rsidRPr="007A2F89" w:rsidRDefault="00480276" w:rsidP="007A2F89">
            <w:pPr>
              <w:rPr>
                <w:sz w:val="20"/>
                <w:szCs w:val="20"/>
              </w:rPr>
            </w:pPr>
            <w:r w:rsidRPr="007A2F89">
              <w:rPr>
                <w:sz w:val="20"/>
                <w:szCs w:val="20"/>
              </w:rPr>
              <w:t>7 (3,3%)</w:t>
            </w:r>
          </w:p>
        </w:tc>
        <w:tc>
          <w:tcPr>
            <w:tcW w:w="1361" w:type="dxa"/>
            <w:tcBorders>
              <w:top w:val="single" w:sz="4" w:space="0" w:color="auto"/>
              <w:bottom w:val="nil"/>
              <w:right w:val="single" w:sz="4" w:space="0" w:color="auto"/>
            </w:tcBorders>
            <w:vAlign w:val="center"/>
          </w:tcPr>
          <w:p w14:paraId="064737C2" w14:textId="77777777" w:rsidR="00480276" w:rsidRPr="007A2F89" w:rsidRDefault="00480276" w:rsidP="007A2F89">
            <w:pPr>
              <w:rPr>
                <w:sz w:val="20"/>
                <w:szCs w:val="20"/>
              </w:rPr>
            </w:pPr>
            <w:r w:rsidRPr="007A2F89">
              <w:rPr>
                <w:sz w:val="20"/>
                <w:szCs w:val="20"/>
              </w:rPr>
              <w:t>3 (1,4%)</w:t>
            </w:r>
          </w:p>
        </w:tc>
        <w:tc>
          <w:tcPr>
            <w:tcW w:w="1361" w:type="dxa"/>
            <w:tcBorders>
              <w:top w:val="single" w:sz="4" w:space="0" w:color="auto"/>
              <w:left w:val="single" w:sz="4" w:space="0" w:color="auto"/>
              <w:bottom w:val="nil"/>
            </w:tcBorders>
            <w:vAlign w:val="center"/>
          </w:tcPr>
          <w:p w14:paraId="7532C1D9" w14:textId="77777777" w:rsidR="00480276" w:rsidRPr="007A2F89" w:rsidRDefault="00480276" w:rsidP="007A2F89">
            <w:pPr>
              <w:rPr>
                <w:sz w:val="20"/>
                <w:szCs w:val="20"/>
              </w:rPr>
            </w:pPr>
            <w:r w:rsidRPr="007A2F89">
              <w:rPr>
                <w:sz w:val="20"/>
                <w:szCs w:val="20"/>
              </w:rPr>
              <w:t>13 (6,13%)</w:t>
            </w:r>
          </w:p>
        </w:tc>
      </w:tr>
      <w:tr w:rsidR="005B1F03" w:rsidRPr="007A2F89" w14:paraId="442DEE50" w14:textId="77777777" w:rsidTr="007063FA">
        <w:trPr>
          <w:trHeight w:val="20"/>
          <w:jc w:val="center"/>
        </w:trPr>
        <w:tc>
          <w:tcPr>
            <w:tcW w:w="1361" w:type="dxa"/>
            <w:tcBorders>
              <w:top w:val="nil"/>
              <w:bottom w:val="nil"/>
              <w:right w:val="single" w:sz="4" w:space="0" w:color="auto"/>
            </w:tcBorders>
            <w:vAlign w:val="center"/>
          </w:tcPr>
          <w:p w14:paraId="387B274A" w14:textId="684D756F" w:rsidR="00480276" w:rsidRPr="007A2F89" w:rsidRDefault="00480276" w:rsidP="007A2F89">
            <w:pPr>
              <w:rPr>
                <w:sz w:val="20"/>
                <w:szCs w:val="20"/>
              </w:rPr>
            </w:pPr>
            <w:r w:rsidRPr="007A2F89">
              <w:rPr>
                <w:sz w:val="20"/>
                <w:szCs w:val="20"/>
              </w:rPr>
              <w:t xml:space="preserve">20-29 </w:t>
            </w:r>
            <w:r w:rsidR="000B170D" w:rsidRPr="007A2F89">
              <w:rPr>
                <w:sz w:val="20"/>
                <w:szCs w:val="20"/>
              </w:rPr>
              <w:t>years</w:t>
            </w:r>
          </w:p>
        </w:tc>
        <w:tc>
          <w:tcPr>
            <w:tcW w:w="1361" w:type="dxa"/>
            <w:tcBorders>
              <w:top w:val="nil"/>
              <w:left w:val="single" w:sz="4" w:space="0" w:color="auto"/>
              <w:bottom w:val="nil"/>
            </w:tcBorders>
            <w:vAlign w:val="center"/>
          </w:tcPr>
          <w:p w14:paraId="679F228A" w14:textId="77777777" w:rsidR="00480276" w:rsidRPr="007A2F89" w:rsidRDefault="00480276" w:rsidP="007A2F89">
            <w:pPr>
              <w:rPr>
                <w:sz w:val="20"/>
                <w:szCs w:val="20"/>
              </w:rPr>
            </w:pPr>
            <w:r w:rsidRPr="007A2F89">
              <w:rPr>
                <w:sz w:val="20"/>
                <w:szCs w:val="20"/>
              </w:rPr>
              <w:t>0</w:t>
            </w:r>
          </w:p>
        </w:tc>
        <w:tc>
          <w:tcPr>
            <w:tcW w:w="1361" w:type="dxa"/>
            <w:tcBorders>
              <w:top w:val="nil"/>
              <w:bottom w:val="nil"/>
            </w:tcBorders>
            <w:vAlign w:val="center"/>
          </w:tcPr>
          <w:p w14:paraId="5EFCEE1C" w14:textId="77777777" w:rsidR="00480276" w:rsidRPr="007A2F89" w:rsidRDefault="00480276" w:rsidP="007A2F89">
            <w:pPr>
              <w:rPr>
                <w:sz w:val="20"/>
                <w:szCs w:val="20"/>
              </w:rPr>
            </w:pPr>
            <w:r w:rsidRPr="007A2F89">
              <w:rPr>
                <w:sz w:val="20"/>
                <w:szCs w:val="20"/>
              </w:rPr>
              <w:t>4 (1,8%)</w:t>
            </w:r>
          </w:p>
        </w:tc>
        <w:tc>
          <w:tcPr>
            <w:tcW w:w="1361" w:type="dxa"/>
            <w:tcBorders>
              <w:top w:val="nil"/>
              <w:bottom w:val="nil"/>
              <w:right w:val="single" w:sz="4" w:space="0" w:color="auto"/>
            </w:tcBorders>
            <w:vAlign w:val="center"/>
          </w:tcPr>
          <w:p w14:paraId="28478A2E" w14:textId="77777777" w:rsidR="00480276" w:rsidRPr="007A2F89" w:rsidRDefault="00480276" w:rsidP="007A2F89">
            <w:pPr>
              <w:rPr>
                <w:sz w:val="20"/>
                <w:szCs w:val="20"/>
              </w:rPr>
            </w:pPr>
            <w:r w:rsidRPr="007A2F89">
              <w:rPr>
                <w:sz w:val="20"/>
                <w:szCs w:val="20"/>
              </w:rPr>
              <w:t>3 (1,4%)</w:t>
            </w:r>
          </w:p>
        </w:tc>
        <w:tc>
          <w:tcPr>
            <w:tcW w:w="1361" w:type="dxa"/>
            <w:tcBorders>
              <w:top w:val="nil"/>
              <w:left w:val="single" w:sz="4" w:space="0" w:color="auto"/>
              <w:bottom w:val="nil"/>
            </w:tcBorders>
            <w:vAlign w:val="center"/>
          </w:tcPr>
          <w:p w14:paraId="5B8CD0AA" w14:textId="77777777" w:rsidR="00480276" w:rsidRPr="007A2F89" w:rsidRDefault="00480276" w:rsidP="007A2F89">
            <w:pPr>
              <w:rPr>
                <w:sz w:val="20"/>
                <w:szCs w:val="20"/>
              </w:rPr>
            </w:pPr>
            <w:r w:rsidRPr="007A2F89">
              <w:rPr>
                <w:sz w:val="20"/>
                <w:szCs w:val="20"/>
              </w:rPr>
              <w:t>7 (3,3%)</w:t>
            </w:r>
          </w:p>
        </w:tc>
      </w:tr>
      <w:tr w:rsidR="005B1F03" w:rsidRPr="007A2F89" w14:paraId="084EE847" w14:textId="77777777" w:rsidTr="007063FA">
        <w:trPr>
          <w:trHeight w:val="20"/>
          <w:jc w:val="center"/>
        </w:trPr>
        <w:tc>
          <w:tcPr>
            <w:tcW w:w="1361" w:type="dxa"/>
            <w:tcBorders>
              <w:top w:val="nil"/>
              <w:bottom w:val="single" w:sz="4" w:space="0" w:color="auto"/>
              <w:right w:val="single" w:sz="4" w:space="0" w:color="auto"/>
            </w:tcBorders>
            <w:vAlign w:val="center"/>
          </w:tcPr>
          <w:p w14:paraId="311C43C3" w14:textId="4C0015A7" w:rsidR="00480276" w:rsidRPr="007A2F89" w:rsidRDefault="00480276" w:rsidP="007A2F89">
            <w:pPr>
              <w:rPr>
                <w:sz w:val="20"/>
                <w:szCs w:val="20"/>
              </w:rPr>
            </w:pPr>
            <w:r w:rsidRPr="007A2F89">
              <w:rPr>
                <w:sz w:val="20"/>
                <w:szCs w:val="20"/>
              </w:rPr>
              <w:t xml:space="preserve">30+ </w:t>
            </w:r>
            <w:r w:rsidR="000B170D" w:rsidRPr="007A2F89">
              <w:rPr>
                <w:sz w:val="20"/>
                <w:szCs w:val="20"/>
              </w:rPr>
              <w:t>years</w:t>
            </w:r>
          </w:p>
        </w:tc>
        <w:tc>
          <w:tcPr>
            <w:tcW w:w="1361" w:type="dxa"/>
            <w:tcBorders>
              <w:top w:val="nil"/>
              <w:left w:val="single" w:sz="4" w:space="0" w:color="auto"/>
              <w:bottom w:val="single" w:sz="4" w:space="0" w:color="auto"/>
            </w:tcBorders>
            <w:vAlign w:val="center"/>
          </w:tcPr>
          <w:p w14:paraId="24605B5F" w14:textId="77777777" w:rsidR="00480276" w:rsidRPr="007A2F89" w:rsidRDefault="00480276" w:rsidP="007A2F89">
            <w:pPr>
              <w:rPr>
                <w:sz w:val="20"/>
                <w:szCs w:val="20"/>
              </w:rPr>
            </w:pPr>
            <w:r w:rsidRPr="007A2F89">
              <w:rPr>
                <w:sz w:val="20"/>
                <w:szCs w:val="20"/>
              </w:rPr>
              <w:t>1 (0,47%)</w:t>
            </w:r>
          </w:p>
        </w:tc>
        <w:tc>
          <w:tcPr>
            <w:tcW w:w="1361" w:type="dxa"/>
            <w:tcBorders>
              <w:top w:val="nil"/>
              <w:bottom w:val="single" w:sz="4" w:space="0" w:color="auto"/>
            </w:tcBorders>
            <w:vAlign w:val="center"/>
          </w:tcPr>
          <w:p w14:paraId="1F9E0296" w14:textId="77777777" w:rsidR="00480276" w:rsidRPr="007A2F89" w:rsidRDefault="00480276" w:rsidP="007A2F89">
            <w:pPr>
              <w:rPr>
                <w:sz w:val="20"/>
                <w:szCs w:val="20"/>
              </w:rPr>
            </w:pPr>
            <w:r w:rsidRPr="007A2F89">
              <w:rPr>
                <w:sz w:val="20"/>
                <w:szCs w:val="20"/>
              </w:rPr>
              <w:t>7 (3,3%)</w:t>
            </w:r>
          </w:p>
        </w:tc>
        <w:tc>
          <w:tcPr>
            <w:tcW w:w="1361" w:type="dxa"/>
            <w:tcBorders>
              <w:top w:val="nil"/>
              <w:bottom w:val="single" w:sz="4" w:space="0" w:color="auto"/>
              <w:right w:val="single" w:sz="4" w:space="0" w:color="auto"/>
            </w:tcBorders>
            <w:vAlign w:val="center"/>
          </w:tcPr>
          <w:p w14:paraId="0BD5FB61" w14:textId="77777777" w:rsidR="00480276" w:rsidRPr="007A2F89" w:rsidRDefault="00480276" w:rsidP="007A2F89">
            <w:pPr>
              <w:rPr>
                <w:sz w:val="20"/>
                <w:szCs w:val="20"/>
              </w:rPr>
            </w:pPr>
            <w:r w:rsidRPr="007A2F89">
              <w:rPr>
                <w:sz w:val="20"/>
                <w:szCs w:val="20"/>
              </w:rPr>
              <w:t>4 (1,8%)</w:t>
            </w:r>
          </w:p>
        </w:tc>
        <w:tc>
          <w:tcPr>
            <w:tcW w:w="1361" w:type="dxa"/>
            <w:tcBorders>
              <w:top w:val="nil"/>
              <w:left w:val="single" w:sz="4" w:space="0" w:color="auto"/>
              <w:bottom w:val="single" w:sz="4" w:space="0" w:color="auto"/>
            </w:tcBorders>
            <w:vAlign w:val="center"/>
          </w:tcPr>
          <w:p w14:paraId="2B196546" w14:textId="77777777" w:rsidR="00480276" w:rsidRPr="007A2F89" w:rsidRDefault="00480276" w:rsidP="007A2F89">
            <w:pPr>
              <w:rPr>
                <w:sz w:val="20"/>
                <w:szCs w:val="20"/>
              </w:rPr>
            </w:pPr>
            <w:r w:rsidRPr="007A2F89">
              <w:rPr>
                <w:sz w:val="20"/>
                <w:szCs w:val="20"/>
              </w:rPr>
              <w:t>12 (5,66%)</w:t>
            </w:r>
          </w:p>
        </w:tc>
      </w:tr>
      <w:tr w:rsidR="005B1F03" w:rsidRPr="007A2F89" w14:paraId="2E7F6508" w14:textId="77777777" w:rsidTr="007063FA">
        <w:trPr>
          <w:trHeight w:val="20"/>
          <w:jc w:val="center"/>
        </w:trPr>
        <w:tc>
          <w:tcPr>
            <w:tcW w:w="1361" w:type="dxa"/>
            <w:tcBorders>
              <w:top w:val="single" w:sz="4" w:space="0" w:color="auto"/>
              <w:bottom w:val="nil"/>
              <w:right w:val="single" w:sz="4" w:space="0" w:color="auto"/>
            </w:tcBorders>
            <w:vAlign w:val="center"/>
          </w:tcPr>
          <w:p w14:paraId="5631A7F6" w14:textId="3A4B804F"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tcBorders>
            <w:vAlign w:val="center"/>
          </w:tcPr>
          <w:p w14:paraId="4A055CBC" w14:textId="77777777" w:rsidR="00480276" w:rsidRPr="007A2F89" w:rsidRDefault="00480276" w:rsidP="007A2F89">
            <w:pPr>
              <w:rPr>
                <w:sz w:val="20"/>
                <w:szCs w:val="20"/>
              </w:rPr>
            </w:pPr>
            <w:r w:rsidRPr="007A2F89">
              <w:rPr>
                <w:sz w:val="20"/>
                <w:szCs w:val="20"/>
              </w:rPr>
              <w:t>4 (1,8%)</w:t>
            </w:r>
          </w:p>
        </w:tc>
        <w:tc>
          <w:tcPr>
            <w:tcW w:w="1361" w:type="dxa"/>
            <w:tcBorders>
              <w:top w:val="single" w:sz="4" w:space="0" w:color="auto"/>
            </w:tcBorders>
            <w:vAlign w:val="center"/>
          </w:tcPr>
          <w:p w14:paraId="4AC3865E" w14:textId="77777777" w:rsidR="00480276" w:rsidRPr="007A2F89" w:rsidRDefault="00480276" w:rsidP="007A2F89">
            <w:pPr>
              <w:rPr>
                <w:sz w:val="20"/>
                <w:szCs w:val="20"/>
              </w:rPr>
            </w:pPr>
            <w:r w:rsidRPr="007A2F89">
              <w:rPr>
                <w:sz w:val="20"/>
                <w:szCs w:val="20"/>
              </w:rPr>
              <w:t>18 (8,49%)</w:t>
            </w:r>
          </w:p>
        </w:tc>
        <w:tc>
          <w:tcPr>
            <w:tcW w:w="1361" w:type="dxa"/>
            <w:tcBorders>
              <w:top w:val="single" w:sz="4" w:space="0" w:color="auto"/>
              <w:bottom w:val="nil"/>
              <w:right w:val="single" w:sz="4" w:space="0" w:color="auto"/>
            </w:tcBorders>
            <w:vAlign w:val="center"/>
          </w:tcPr>
          <w:p w14:paraId="4A069778" w14:textId="77777777" w:rsidR="00480276" w:rsidRPr="007A2F89" w:rsidRDefault="00480276" w:rsidP="007A2F89">
            <w:pPr>
              <w:rPr>
                <w:sz w:val="20"/>
                <w:szCs w:val="20"/>
              </w:rPr>
            </w:pPr>
            <w:r w:rsidRPr="007A2F89">
              <w:rPr>
                <w:sz w:val="20"/>
                <w:szCs w:val="20"/>
              </w:rPr>
              <w:t>10 (4,71%)</w:t>
            </w:r>
          </w:p>
        </w:tc>
        <w:tc>
          <w:tcPr>
            <w:tcW w:w="1361" w:type="dxa"/>
            <w:tcBorders>
              <w:top w:val="single" w:sz="4" w:space="0" w:color="auto"/>
              <w:left w:val="single" w:sz="4" w:space="0" w:color="auto"/>
            </w:tcBorders>
            <w:vAlign w:val="center"/>
          </w:tcPr>
          <w:p w14:paraId="79EDAFD5" w14:textId="77777777" w:rsidR="00480276" w:rsidRPr="007A2F89" w:rsidRDefault="00480276" w:rsidP="007A2F89">
            <w:pPr>
              <w:rPr>
                <w:sz w:val="20"/>
                <w:szCs w:val="20"/>
              </w:rPr>
            </w:pPr>
            <w:r w:rsidRPr="007A2F89">
              <w:rPr>
                <w:sz w:val="20"/>
                <w:szCs w:val="20"/>
              </w:rPr>
              <w:t>32 (15,09%)</w:t>
            </w:r>
          </w:p>
        </w:tc>
      </w:tr>
    </w:tbl>
    <w:p w14:paraId="6853B80C" w14:textId="77777777" w:rsidR="00480276" w:rsidRPr="007A2F89" w:rsidRDefault="00480276" w:rsidP="007A2F89">
      <w:pPr>
        <w:rPr>
          <w:rFonts w:ascii="Times New Roman" w:hAnsi="Times New Roman"/>
          <w:b/>
          <w:bCs/>
        </w:rPr>
      </w:pPr>
    </w:p>
    <w:tbl>
      <w:tblPr>
        <w:tblStyle w:val="Grigliatabella"/>
        <w:tblW w:w="6805" w:type="dxa"/>
        <w:jc w:val="center"/>
        <w:tblLook w:val="04A0" w:firstRow="1" w:lastRow="0" w:firstColumn="1" w:lastColumn="0" w:noHBand="0" w:noVBand="1"/>
      </w:tblPr>
      <w:tblGrid>
        <w:gridCol w:w="1361"/>
        <w:gridCol w:w="1361"/>
        <w:gridCol w:w="1361"/>
        <w:gridCol w:w="1361"/>
        <w:gridCol w:w="1361"/>
      </w:tblGrid>
      <w:tr w:rsidR="007063FA" w:rsidRPr="007A2F89" w14:paraId="7B628BEF" w14:textId="77777777" w:rsidTr="007063FA">
        <w:trPr>
          <w:trHeight w:val="20"/>
          <w:jc w:val="center"/>
        </w:trPr>
        <w:tc>
          <w:tcPr>
            <w:tcW w:w="6805" w:type="dxa"/>
            <w:gridSpan w:val="5"/>
            <w:tcBorders>
              <w:top w:val="nil"/>
              <w:left w:val="nil"/>
              <w:bottom w:val="single" w:sz="4" w:space="0" w:color="auto"/>
              <w:right w:val="nil"/>
            </w:tcBorders>
            <w:vAlign w:val="center"/>
          </w:tcPr>
          <w:p w14:paraId="61CFC918" w14:textId="6BAD9C6F" w:rsidR="007063FA" w:rsidRPr="007A2F89" w:rsidRDefault="007063FA" w:rsidP="007A2F89">
            <w:pPr>
              <w:rPr>
                <w:i/>
                <w:iCs/>
                <w:sz w:val="20"/>
                <w:szCs w:val="20"/>
              </w:rPr>
            </w:pPr>
            <w:r w:rsidRPr="007A2F89">
              <w:rPr>
                <w:i/>
                <w:iCs/>
                <w:sz w:val="20"/>
                <w:szCs w:val="20"/>
              </w:rPr>
              <w:t>PESCARA</w:t>
            </w:r>
          </w:p>
        </w:tc>
      </w:tr>
      <w:tr w:rsidR="007063FA" w:rsidRPr="007A2F89" w14:paraId="278A045D" w14:textId="77777777" w:rsidTr="004F1042">
        <w:trPr>
          <w:trHeight w:val="20"/>
          <w:jc w:val="center"/>
        </w:trPr>
        <w:tc>
          <w:tcPr>
            <w:tcW w:w="1361" w:type="dxa"/>
            <w:tcBorders>
              <w:top w:val="single" w:sz="4" w:space="0" w:color="auto"/>
              <w:left w:val="nil"/>
              <w:bottom w:val="single" w:sz="4" w:space="0" w:color="auto"/>
              <w:right w:val="single" w:sz="4" w:space="0" w:color="auto"/>
            </w:tcBorders>
            <w:vAlign w:val="center"/>
          </w:tcPr>
          <w:p w14:paraId="29D258FF"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bottom w:val="single" w:sz="4" w:space="0" w:color="auto"/>
              <w:right w:val="single" w:sz="4" w:space="0" w:color="auto"/>
            </w:tcBorders>
            <w:vAlign w:val="center"/>
          </w:tcPr>
          <w:p w14:paraId="05AD0076" w14:textId="6B74BBCC" w:rsidR="007063FA" w:rsidRPr="007A2F89" w:rsidRDefault="00120B29" w:rsidP="007A2F89">
            <w:pPr>
              <w:rPr>
                <w:i/>
                <w:iCs/>
                <w:sz w:val="20"/>
                <w:szCs w:val="20"/>
              </w:rPr>
            </w:pPr>
            <w:r w:rsidRPr="007A2F89">
              <w:rPr>
                <w:i/>
                <w:iCs/>
                <w:sz w:val="20"/>
                <w:szCs w:val="20"/>
              </w:rPr>
              <w:t>SIZE</w:t>
            </w:r>
          </w:p>
        </w:tc>
        <w:tc>
          <w:tcPr>
            <w:tcW w:w="1361" w:type="dxa"/>
            <w:tcBorders>
              <w:top w:val="single" w:sz="4" w:space="0" w:color="auto"/>
              <w:left w:val="single" w:sz="4" w:space="0" w:color="auto"/>
              <w:bottom w:val="single" w:sz="4" w:space="0" w:color="auto"/>
              <w:right w:val="nil"/>
            </w:tcBorders>
            <w:vAlign w:val="center"/>
          </w:tcPr>
          <w:p w14:paraId="58F76FD4" w14:textId="77777777" w:rsidR="007063FA" w:rsidRPr="007A2F89" w:rsidRDefault="007063FA" w:rsidP="007A2F89">
            <w:pPr>
              <w:rPr>
                <w:i/>
                <w:iCs/>
                <w:sz w:val="20"/>
                <w:szCs w:val="20"/>
              </w:rPr>
            </w:pPr>
          </w:p>
        </w:tc>
      </w:tr>
      <w:tr w:rsidR="00480276" w:rsidRPr="007A2F89" w14:paraId="0899FCDD" w14:textId="77777777" w:rsidTr="007063FA">
        <w:trPr>
          <w:trHeight w:val="20"/>
          <w:jc w:val="center"/>
        </w:trPr>
        <w:tc>
          <w:tcPr>
            <w:tcW w:w="1361" w:type="dxa"/>
            <w:tcBorders>
              <w:top w:val="single" w:sz="4" w:space="0" w:color="auto"/>
              <w:left w:val="nil"/>
              <w:bottom w:val="single" w:sz="4" w:space="0" w:color="auto"/>
              <w:right w:val="single" w:sz="4" w:space="0" w:color="auto"/>
            </w:tcBorders>
            <w:vAlign w:val="center"/>
          </w:tcPr>
          <w:p w14:paraId="74D63049" w14:textId="5FB7718E" w:rsidR="00480276" w:rsidRPr="007A2F89" w:rsidRDefault="000B170D" w:rsidP="007A2F89">
            <w:pPr>
              <w:rPr>
                <w:i/>
                <w:iCs/>
                <w:sz w:val="20"/>
                <w:szCs w:val="20"/>
              </w:rPr>
            </w:pPr>
            <w:r w:rsidRPr="007A2F89">
              <w:rPr>
                <w:i/>
                <w:iCs/>
                <w:sz w:val="20"/>
                <w:szCs w:val="20"/>
              </w:rPr>
              <w:t>AGE</w:t>
            </w:r>
          </w:p>
        </w:tc>
        <w:tc>
          <w:tcPr>
            <w:tcW w:w="1361" w:type="dxa"/>
            <w:tcBorders>
              <w:top w:val="single" w:sz="4" w:space="0" w:color="auto"/>
              <w:left w:val="single" w:sz="4" w:space="0" w:color="auto"/>
              <w:bottom w:val="single" w:sz="4" w:space="0" w:color="auto"/>
              <w:right w:val="nil"/>
            </w:tcBorders>
            <w:vAlign w:val="center"/>
          </w:tcPr>
          <w:p w14:paraId="15A50FD3" w14:textId="77777777" w:rsidR="000A75C9" w:rsidRPr="007A2F89" w:rsidRDefault="00480276" w:rsidP="007A2F89">
            <w:pPr>
              <w:rPr>
                <w:i/>
                <w:iCs/>
                <w:sz w:val="20"/>
                <w:szCs w:val="20"/>
              </w:rPr>
            </w:pPr>
            <w:r w:rsidRPr="007A2F89">
              <w:rPr>
                <w:i/>
                <w:iCs/>
                <w:sz w:val="20"/>
                <w:szCs w:val="20"/>
              </w:rPr>
              <w:t xml:space="preserve">0-9 </w:t>
            </w:r>
          </w:p>
          <w:p w14:paraId="58074BD1" w14:textId="43E35256" w:rsidR="00480276" w:rsidRPr="007A2F89" w:rsidRDefault="000B170D" w:rsidP="007A2F89">
            <w:pPr>
              <w:rPr>
                <w:i/>
                <w:iCs/>
                <w:sz w:val="20"/>
                <w:szCs w:val="20"/>
              </w:rPr>
            </w:pPr>
            <w:r w:rsidRPr="007A2F89">
              <w:rPr>
                <w:i/>
                <w:iCs/>
                <w:sz w:val="20"/>
                <w:szCs w:val="20"/>
              </w:rPr>
              <w:t>Employees</w:t>
            </w:r>
          </w:p>
        </w:tc>
        <w:tc>
          <w:tcPr>
            <w:tcW w:w="1361" w:type="dxa"/>
            <w:tcBorders>
              <w:top w:val="single" w:sz="4" w:space="0" w:color="auto"/>
              <w:left w:val="nil"/>
              <w:bottom w:val="single" w:sz="4" w:space="0" w:color="auto"/>
              <w:right w:val="nil"/>
            </w:tcBorders>
            <w:vAlign w:val="center"/>
          </w:tcPr>
          <w:p w14:paraId="1A9BADCF" w14:textId="77777777" w:rsidR="000A75C9" w:rsidRPr="007A2F89" w:rsidRDefault="00480276" w:rsidP="007A2F89">
            <w:pPr>
              <w:rPr>
                <w:i/>
                <w:iCs/>
                <w:sz w:val="20"/>
                <w:szCs w:val="20"/>
              </w:rPr>
            </w:pPr>
            <w:r w:rsidRPr="007A2F89">
              <w:rPr>
                <w:i/>
                <w:iCs/>
                <w:sz w:val="20"/>
                <w:szCs w:val="20"/>
              </w:rPr>
              <w:t xml:space="preserve">10-49 </w:t>
            </w:r>
          </w:p>
          <w:p w14:paraId="2AF46EF6" w14:textId="31094979" w:rsidR="00480276" w:rsidRPr="007A2F89" w:rsidRDefault="000B170D" w:rsidP="007A2F89">
            <w:pPr>
              <w:rPr>
                <w:i/>
                <w:iCs/>
                <w:sz w:val="20"/>
                <w:szCs w:val="20"/>
              </w:rPr>
            </w:pPr>
            <w:r w:rsidRPr="007A2F89">
              <w:rPr>
                <w:i/>
                <w:iCs/>
                <w:sz w:val="20"/>
                <w:szCs w:val="20"/>
              </w:rPr>
              <w:t>Employees</w:t>
            </w:r>
          </w:p>
        </w:tc>
        <w:tc>
          <w:tcPr>
            <w:tcW w:w="1361" w:type="dxa"/>
            <w:tcBorders>
              <w:top w:val="single" w:sz="4" w:space="0" w:color="auto"/>
              <w:left w:val="nil"/>
              <w:bottom w:val="single" w:sz="4" w:space="0" w:color="auto"/>
              <w:right w:val="single" w:sz="4" w:space="0" w:color="auto"/>
            </w:tcBorders>
            <w:vAlign w:val="center"/>
          </w:tcPr>
          <w:p w14:paraId="5F0157DC" w14:textId="77777777" w:rsidR="000A75C9" w:rsidRPr="007A2F89" w:rsidRDefault="00480276" w:rsidP="007A2F89">
            <w:pPr>
              <w:rPr>
                <w:i/>
                <w:iCs/>
                <w:sz w:val="20"/>
                <w:szCs w:val="20"/>
              </w:rPr>
            </w:pPr>
            <w:r w:rsidRPr="007A2F89">
              <w:rPr>
                <w:i/>
                <w:iCs/>
                <w:sz w:val="20"/>
                <w:szCs w:val="20"/>
              </w:rPr>
              <w:t xml:space="preserve">50 + </w:t>
            </w:r>
          </w:p>
          <w:p w14:paraId="7E51ABA1" w14:textId="7EBB2386" w:rsidR="00480276" w:rsidRPr="007A2F89" w:rsidRDefault="000B170D" w:rsidP="007A2F89">
            <w:pPr>
              <w:rPr>
                <w:i/>
                <w:iCs/>
                <w:sz w:val="20"/>
                <w:szCs w:val="20"/>
              </w:rPr>
            </w:pPr>
            <w:r w:rsidRPr="007A2F89">
              <w:rPr>
                <w:i/>
                <w:iCs/>
                <w:sz w:val="20"/>
                <w:szCs w:val="20"/>
              </w:rPr>
              <w:t>Employees</w:t>
            </w:r>
          </w:p>
        </w:tc>
        <w:tc>
          <w:tcPr>
            <w:tcW w:w="1361" w:type="dxa"/>
            <w:tcBorders>
              <w:top w:val="single" w:sz="4" w:space="0" w:color="auto"/>
              <w:left w:val="single" w:sz="4" w:space="0" w:color="auto"/>
              <w:bottom w:val="single" w:sz="4" w:space="0" w:color="auto"/>
              <w:right w:val="nil"/>
            </w:tcBorders>
            <w:vAlign w:val="center"/>
          </w:tcPr>
          <w:p w14:paraId="1E323EA5" w14:textId="0A5744D9" w:rsidR="00480276" w:rsidRPr="007A2F89" w:rsidRDefault="00480276" w:rsidP="007A2F89">
            <w:pPr>
              <w:rPr>
                <w:i/>
                <w:iCs/>
                <w:sz w:val="20"/>
                <w:szCs w:val="20"/>
              </w:rPr>
            </w:pPr>
            <w:r w:rsidRPr="007A2F89">
              <w:rPr>
                <w:i/>
                <w:iCs/>
                <w:sz w:val="20"/>
                <w:szCs w:val="20"/>
              </w:rPr>
              <w:t>Total</w:t>
            </w:r>
          </w:p>
        </w:tc>
      </w:tr>
      <w:tr w:rsidR="00480276" w:rsidRPr="007A2F89" w14:paraId="67705127" w14:textId="77777777" w:rsidTr="007063FA">
        <w:trPr>
          <w:trHeight w:val="20"/>
          <w:jc w:val="center"/>
        </w:trPr>
        <w:tc>
          <w:tcPr>
            <w:tcW w:w="1361" w:type="dxa"/>
            <w:tcBorders>
              <w:top w:val="single" w:sz="4" w:space="0" w:color="auto"/>
              <w:left w:val="nil"/>
              <w:bottom w:val="nil"/>
              <w:right w:val="single" w:sz="4" w:space="0" w:color="auto"/>
            </w:tcBorders>
            <w:vAlign w:val="center"/>
          </w:tcPr>
          <w:p w14:paraId="16865140" w14:textId="28CE432A" w:rsidR="00480276" w:rsidRPr="007A2F89" w:rsidRDefault="00480276" w:rsidP="007A2F89">
            <w:pPr>
              <w:rPr>
                <w:sz w:val="20"/>
                <w:szCs w:val="20"/>
              </w:rPr>
            </w:pPr>
            <w:r w:rsidRPr="007A2F89">
              <w:rPr>
                <w:sz w:val="20"/>
                <w:szCs w:val="20"/>
              </w:rPr>
              <w:t xml:space="preserve">0-19 </w:t>
            </w:r>
            <w:r w:rsidR="000B170D" w:rsidRPr="007A2F89">
              <w:rPr>
                <w:sz w:val="20"/>
                <w:szCs w:val="20"/>
              </w:rPr>
              <w:t>years</w:t>
            </w:r>
          </w:p>
        </w:tc>
        <w:tc>
          <w:tcPr>
            <w:tcW w:w="1361" w:type="dxa"/>
            <w:tcBorders>
              <w:top w:val="single" w:sz="4" w:space="0" w:color="auto"/>
              <w:left w:val="single" w:sz="4" w:space="0" w:color="auto"/>
              <w:bottom w:val="nil"/>
              <w:right w:val="nil"/>
            </w:tcBorders>
            <w:vAlign w:val="center"/>
          </w:tcPr>
          <w:p w14:paraId="39E7C91C" w14:textId="77777777" w:rsidR="00480276" w:rsidRPr="007A2F89" w:rsidRDefault="00480276" w:rsidP="007A2F89">
            <w:pPr>
              <w:rPr>
                <w:sz w:val="20"/>
                <w:szCs w:val="20"/>
              </w:rPr>
            </w:pPr>
            <w:r w:rsidRPr="007A2F89">
              <w:rPr>
                <w:sz w:val="20"/>
                <w:szCs w:val="20"/>
              </w:rPr>
              <w:t>3 (1,4%)</w:t>
            </w:r>
          </w:p>
        </w:tc>
        <w:tc>
          <w:tcPr>
            <w:tcW w:w="1361" w:type="dxa"/>
            <w:tcBorders>
              <w:top w:val="single" w:sz="4" w:space="0" w:color="auto"/>
              <w:left w:val="nil"/>
              <w:bottom w:val="nil"/>
              <w:right w:val="nil"/>
            </w:tcBorders>
            <w:vAlign w:val="center"/>
          </w:tcPr>
          <w:p w14:paraId="0C1B0E3E" w14:textId="77777777" w:rsidR="00480276" w:rsidRPr="007A2F89" w:rsidRDefault="00480276" w:rsidP="007A2F89">
            <w:pPr>
              <w:rPr>
                <w:sz w:val="20"/>
                <w:szCs w:val="20"/>
              </w:rPr>
            </w:pPr>
            <w:r w:rsidRPr="007A2F89">
              <w:rPr>
                <w:sz w:val="20"/>
                <w:szCs w:val="20"/>
              </w:rPr>
              <w:t>6 (2,83%)</w:t>
            </w:r>
          </w:p>
        </w:tc>
        <w:tc>
          <w:tcPr>
            <w:tcW w:w="1361" w:type="dxa"/>
            <w:tcBorders>
              <w:top w:val="single" w:sz="4" w:space="0" w:color="auto"/>
              <w:left w:val="nil"/>
              <w:bottom w:val="nil"/>
              <w:right w:val="single" w:sz="4" w:space="0" w:color="auto"/>
            </w:tcBorders>
            <w:vAlign w:val="center"/>
          </w:tcPr>
          <w:p w14:paraId="04FE168D" w14:textId="77777777" w:rsidR="00480276" w:rsidRPr="007A2F89" w:rsidRDefault="00480276" w:rsidP="007A2F89">
            <w:pPr>
              <w:rPr>
                <w:sz w:val="20"/>
                <w:szCs w:val="20"/>
              </w:rPr>
            </w:pPr>
            <w:r w:rsidRPr="007A2F89">
              <w:rPr>
                <w:sz w:val="20"/>
                <w:szCs w:val="20"/>
              </w:rPr>
              <w:t>4 (1,8%)</w:t>
            </w:r>
          </w:p>
        </w:tc>
        <w:tc>
          <w:tcPr>
            <w:tcW w:w="1361" w:type="dxa"/>
            <w:tcBorders>
              <w:top w:val="single" w:sz="4" w:space="0" w:color="auto"/>
              <w:left w:val="single" w:sz="4" w:space="0" w:color="auto"/>
              <w:bottom w:val="nil"/>
              <w:right w:val="nil"/>
            </w:tcBorders>
            <w:vAlign w:val="center"/>
          </w:tcPr>
          <w:p w14:paraId="22B3D147" w14:textId="77777777" w:rsidR="00480276" w:rsidRPr="007A2F89" w:rsidRDefault="00480276" w:rsidP="007A2F89">
            <w:pPr>
              <w:rPr>
                <w:sz w:val="20"/>
                <w:szCs w:val="20"/>
              </w:rPr>
            </w:pPr>
            <w:r w:rsidRPr="007A2F89">
              <w:rPr>
                <w:sz w:val="20"/>
                <w:szCs w:val="20"/>
              </w:rPr>
              <w:t>13 (6,13%)</w:t>
            </w:r>
          </w:p>
        </w:tc>
      </w:tr>
      <w:tr w:rsidR="00480276" w:rsidRPr="007A2F89" w14:paraId="230BDD8D" w14:textId="77777777" w:rsidTr="007063FA">
        <w:trPr>
          <w:trHeight w:val="20"/>
          <w:jc w:val="center"/>
        </w:trPr>
        <w:tc>
          <w:tcPr>
            <w:tcW w:w="1361" w:type="dxa"/>
            <w:tcBorders>
              <w:top w:val="nil"/>
              <w:left w:val="nil"/>
              <w:bottom w:val="nil"/>
              <w:right w:val="single" w:sz="4" w:space="0" w:color="auto"/>
            </w:tcBorders>
            <w:vAlign w:val="center"/>
          </w:tcPr>
          <w:p w14:paraId="5AE6467E" w14:textId="773B5600" w:rsidR="00480276" w:rsidRPr="007A2F89" w:rsidRDefault="00480276" w:rsidP="007A2F89">
            <w:pPr>
              <w:rPr>
                <w:sz w:val="20"/>
                <w:szCs w:val="20"/>
              </w:rPr>
            </w:pPr>
            <w:r w:rsidRPr="007A2F89">
              <w:rPr>
                <w:sz w:val="20"/>
                <w:szCs w:val="20"/>
              </w:rPr>
              <w:t xml:space="preserve">20-29 </w:t>
            </w:r>
            <w:r w:rsidR="000B170D" w:rsidRPr="007A2F89">
              <w:rPr>
                <w:sz w:val="20"/>
                <w:szCs w:val="20"/>
              </w:rPr>
              <w:t>years</w:t>
            </w:r>
          </w:p>
        </w:tc>
        <w:tc>
          <w:tcPr>
            <w:tcW w:w="1361" w:type="dxa"/>
            <w:tcBorders>
              <w:top w:val="nil"/>
              <w:left w:val="single" w:sz="4" w:space="0" w:color="auto"/>
              <w:bottom w:val="nil"/>
              <w:right w:val="nil"/>
            </w:tcBorders>
            <w:vAlign w:val="center"/>
          </w:tcPr>
          <w:p w14:paraId="4F2B3D3E" w14:textId="77777777" w:rsidR="00480276" w:rsidRPr="007A2F89" w:rsidRDefault="00480276" w:rsidP="007A2F89">
            <w:pPr>
              <w:rPr>
                <w:sz w:val="20"/>
                <w:szCs w:val="20"/>
              </w:rPr>
            </w:pPr>
            <w:r w:rsidRPr="007A2F89">
              <w:rPr>
                <w:sz w:val="20"/>
                <w:szCs w:val="20"/>
              </w:rPr>
              <w:t>0</w:t>
            </w:r>
          </w:p>
        </w:tc>
        <w:tc>
          <w:tcPr>
            <w:tcW w:w="1361" w:type="dxa"/>
            <w:tcBorders>
              <w:top w:val="nil"/>
              <w:left w:val="nil"/>
              <w:bottom w:val="nil"/>
              <w:right w:val="nil"/>
            </w:tcBorders>
            <w:vAlign w:val="center"/>
          </w:tcPr>
          <w:p w14:paraId="48D95BD3" w14:textId="77777777" w:rsidR="00480276" w:rsidRPr="007A2F89" w:rsidRDefault="00480276" w:rsidP="007A2F89">
            <w:pPr>
              <w:rPr>
                <w:sz w:val="20"/>
                <w:szCs w:val="20"/>
              </w:rPr>
            </w:pPr>
            <w:r w:rsidRPr="007A2F89">
              <w:rPr>
                <w:sz w:val="20"/>
                <w:szCs w:val="20"/>
              </w:rPr>
              <w:t>11 (5,18%)</w:t>
            </w:r>
          </w:p>
        </w:tc>
        <w:tc>
          <w:tcPr>
            <w:tcW w:w="1361" w:type="dxa"/>
            <w:tcBorders>
              <w:top w:val="nil"/>
              <w:left w:val="nil"/>
              <w:bottom w:val="nil"/>
              <w:right w:val="single" w:sz="4" w:space="0" w:color="auto"/>
            </w:tcBorders>
            <w:vAlign w:val="center"/>
          </w:tcPr>
          <w:p w14:paraId="55A4817F" w14:textId="77777777" w:rsidR="00480276" w:rsidRPr="007A2F89" w:rsidRDefault="00480276" w:rsidP="007A2F89">
            <w:pPr>
              <w:rPr>
                <w:sz w:val="20"/>
                <w:szCs w:val="20"/>
              </w:rPr>
            </w:pPr>
            <w:r w:rsidRPr="007A2F89">
              <w:rPr>
                <w:sz w:val="20"/>
                <w:szCs w:val="20"/>
              </w:rPr>
              <w:t>4 (1,8%)</w:t>
            </w:r>
          </w:p>
        </w:tc>
        <w:tc>
          <w:tcPr>
            <w:tcW w:w="1361" w:type="dxa"/>
            <w:tcBorders>
              <w:top w:val="nil"/>
              <w:left w:val="single" w:sz="4" w:space="0" w:color="auto"/>
              <w:bottom w:val="nil"/>
              <w:right w:val="nil"/>
            </w:tcBorders>
            <w:vAlign w:val="center"/>
          </w:tcPr>
          <w:p w14:paraId="2308C8CB" w14:textId="77777777" w:rsidR="00480276" w:rsidRPr="007A2F89" w:rsidRDefault="00480276" w:rsidP="007A2F89">
            <w:pPr>
              <w:rPr>
                <w:sz w:val="20"/>
                <w:szCs w:val="20"/>
              </w:rPr>
            </w:pPr>
            <w:r w:rsidRPr="007A2F89">
              <w:rPr>
                <w:sz w:val="20"/>
                <w:szCs w:val="20"/>
              </w:rPr>
              <w:t>15 (7,07%)</w:t>
            </w:r>
          </w:p>
        </w:tc>
      </w:tr>
      <w:tr w:rsidR="00480276" w:rsidRPr="007A2F89" w14:paraId="5C9F5AB6" w14:textId="77777777" w:rsidTr="007063FA">
        <w:trPr>
          <w:trHeight w:val="20"/>
          <w:jc w:val="center"/>
        </w:trPr>
        <w:tc>
          <w:tcPr>
            <w:tcW w:w="1361" w:type="dxa"/>
            <w:tcBorders>
              <w:top w:val="nil"/>
              <w:left w:val="nil"/>
              <w:bottom w:val="single" w:sz="4" w:space="0" w:color="auto"/>
              <w:right w:val="single" w:sz="4" w:space="0" w:color="auto"/>
            </w:tcBorders>
            <w:vAlign w:val="center"/>
          </w:tcPr>
          <w:p w14:paraId="193F40D8" w14:textId="09BF8B44" w:rsidR="00480276" w:rsidRPr="007A2F89" w:rsidRDefault="00480276" w:rsidP="007A2F89">
            <w:pPr>
              <w:rPr>
                <w:sz w:val="20"/>
                <w:szCs w:val="20"/>
              </w:rPr>
            </w:pPr>
            <w:r w:rsidRPr="007A2F89">
              <w:rPr>
                <w:sz w:val="20"/>
                <w:szCs w:val="20"/>
              </w:rPr>
              <w:t xml:space="preserve">30+ </w:t>
            </w:r>
            <w:r w:rsidR="000B170D" w:rsidRPr="007A2F89">
              <w:rPr>
                <w:sz w:val="20"/>
                <w:szCs w:val="20"/>
              </w:rPr>
              <w:t>years</w:t>
            </w:r>
          </w:p>
        </w:tc>
        <w:tc>
          <w:tcPr>
            <w:tcW w:w="1361" w:type="dxa"/>
            <w:tcBorders>
              <w:top w:val="nil"/>
              <w:left w:val="single" w:sz="4" w:space="0" w:color="auto"/>
              <w:bottom w:val="single" w:sz="4" w:space="0" w:color="auto"/>
              <w:right w:val="nil"/>
            </w:tcBorders>
            <w:vAlign w:val="center"/>
          </w:tcPr>
          <w:p w14:paraId="2AA7510C" w14:textId="77777777" w:rsidR="00480276" w:rsidRPr="007A2F89" w:rsidRDefault="00480276" w:rsidP="007A2F89">
            <w:pPr>
              <w:rPr>
                <w:sz w:val="20"/>
                <w:szCs w:val="20"/>
              </w:rPr>
            </w:pPr>
            <w:r w:rsidRPr="007A2F89">
              <w:rPr>
                <w:sz w:val="20"/>
                <w:szCs w:val="20"/>
              </w:rPr>
              <w:t>2 (0,47%)</w:t>
            </w:r>
          </w:p>
        </w:tc>
        <w:tc>
          <w:tcPr>
            <w:tcW w:w="1361" w:type="dxa"/>
            <w:tcBorders>
              <w:top w:val="nil"/>
              <w:left w:val="nil"/>
              <w:bottom w:val="single" w:sz="4" w:space="0" w:color="auto"/>
              <w:right w:val="nil"/>
            </w:tcBorders>
            <w:vAlign w:val="center"/>
          </w:tcPr>
          <w:p w14:paraId="6FDD0423" w14:textId="77777777" w:rsidR="00480276" w:rsidRPr="007A2F89" w:rsidRDefault="00480276" w:rsidP="007A2F89">
            <w:pPr>
              <w:rPr>
                <w:sz w:val="20"/>
                <w:szCs w:val="20"/>
              </w:rPr>
            </w:pPr>
            <w:r w:rsidRPr="007A2F89">
              <w:rPr>
                <w:sz w:val="20"/>
                <w:szCs w:val="20"/>
              </w:rPr>
              <w:t>5 (2,35%)</w:t>
            </w:r>
          </w:p>
        </w:tc>
        <w:tc>
          <w:tcPr>
            <w:tcW w:w="1361" w:type="dxa"/>
            <w:tcBorders>
              <w:top w:val="nil"/>
              <w:left w:val="nil"/>
              <w:bottom w:val="single" w:sz="4" w:space="0" w:color="auto"/>
              <w:right w:val="single" w:sz="4" w:space="0" w:color="auto"/>
            </w:tcBorders>
            <w:vAlign w:val="center"/>
          </w:tcPr>
          <w:p w14:paraId="0CF49732" w14:textId="77777777" w:rsidR="00480276" w:rsidRPr="007A2F89" w:rsidRDefault="00480276" w:rsidP="007A2F89">
            <w:pPr>
              <w:rPr>
                <w:sz w:val="20"/>
                <w:szCs w:val="20"/>
              </w:rPr>
            </w:pPr>
            <w:r w:rsidRPr="007A2F89">
              <w:rPr>
                <w:sz w:val="20"/>
                <w:szCs w:val="20"/>
              </w:rPr>
              <w:t>6 (2,83%)</w:t>
            </w:r>
          </w:p>
        </w:tc>
        <w:tc>
          <w:tcPr>
            <w:tcW w:w="1361" w:type="dxa"/>
            <w:tcBorders>
              <w:top w:val="nil"/>
              <w:left w:val="single" w:sz="4" w:space="0" w:color="auto"/>
              <w:bottom w:val="single" w:sz="4" w:space="0" w:color="auto"/>
              <w:right w:val="nil"/>
            </w:tcBorders>
            <w:vAlign w:val="center"/>
          </w:tcPr>
          <w:p w14:paraId="1E5922F9" w14:textId="77777777" w:rsidR="00480276" w:rsidRPr="007A2F89" w:rsidRDefault="00480276" w:rsidP="007A2F89">
            <w:pPr>
              <w:rPr>
                <w:sz w:val="20"/>
                <w:szCs w:val="20"/>
              </w:rPr>
            </w:pPr>
            <w:r w:rsidRPr="007A2F89">
              <w:rPr>
                <w:sz w:val="20"/>
                <w:szCs w:val="20"/>
              </w:rPr>
              <w:t>13 (6,13%)</w:t>
            </w:r>
          </w:p>
        </w:tc>
      </w:tr>
      <w:tr w:rsidR="00480276" w:rsidRPr="007A2F89" w14:paraId="36AA87D6" w14:textId="77777777" w:rsidTr="007063FA">
        <w:trPr>
          <w:trHeight w:val="20"/>
          <w:jc w:val="center"/>
        </w:trPr>
        <w:tc>
          <w:tcPr>
            <w:tcW w:w="1361" w:type="dxa"/>
            <w:tcBorders>
              <w:top w:val="single" w:sz="4" w:space="0" w:color="auto"/>
              <w:left w:val="nil"/>
              <w:bottom w:val="nil"/>
              <w:right w:val="single" w:sz="4" w:space="0" w:color="auto"/>
            </w:tcBorders>
            <w:vAlign w:val="center"/>
          </w:tcPr>
          <w:p w14:paraId="6867D10E" w14:textId="36A7689E"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bottom w:val="nil"/>
              <w:right w:val="nil"/>
            </w:tcBorders>
            <w:vAlign w:val="center"/>
          </w:tcPr>
          <w:p w14:paraId="71CBF73A" w14:textId="77777777" w:rsidR="00480276" w:rsidRPr="007A2F89" w:rsidRDefault="00480276" w:rsidP="007A2F89">
            <w:pPr>
              <w:rPr>
                <w:sz w:val="20"/>
                <w:szCs w:val="20"/>
              </w:rPr>
            </w:pPr>
            <w:r w:rsidRPr="007A2F89">
              <w:rPr>
                <w:sz w:val="20"/>
                <w:szCs w:val="20"/>
              </w:rPr>
              <w:t>5 (2,35%)</w:t>
            </w:r>
          </w:p>
        </w:tc>
        <w:tc>
          <w:tcPr>
            <w:tcW w:w="1361" w:type="dxa"/>
            <w:tcBorders>
              <w:top w:val="single" w:sz="4" w:space="0" w:color="auto"/>
              <w:left w:val="nil"/>
              <w:bottom w:val="nil"/>
              <w:right w:val="nil"/>
            </w:tcBorders>
            <w:vAlign w:val="center"/>
          </w:tcPr>
          <w:p w14:paraId="38D8508D" w14:textId="77777777" w:rsidR="00480276" w:rsidRPr="007A2F89" w:rsidRDefault="00480276" w:rsidP="007A2F89">
            <w:pPr>
              <w:rPr>
                <w:sz w:val="20"/>
                <w:szCs w:val="20"/>
              </w:rPr>
            </w:pPr>
            <w:r w:rsidRPr="007A2F89">
              <w:rPr>
                <w:sz w:val="20"/>
                <w:szCs w:val="20"/>
              </w:rPr>
              <w:t>22 (10,37%)</w:t>
            </w:r>
          </w:p>
        </w:tc>
        <w:tc>
          <w:tcPr>
            <w:tcW w:w="1361" w:type="dxa"/>
            <w:tcBorders>
              <w:top w:val="single" w:sz="4" w:space="0" w:color="auto"/>
              <w:left w:val="nil"/>
              <w:bottom w:val="nil"/>
              <w:right w:val="single" w:sz="4" w:space="0" w:color="auto"/>
            </w:tcBorders>
            <w:vAlign w:val="center"/>
          </w:tcPr>
          <w:p w14:paraId="5D96FB07" w14:textId="77777777" w:rsidR="00480276" w:rsidRPr="007A2F89" w:rsidRDefault="00480276" w:rsidP="007A2F89">
            <w:pPr>
              <w:rPr>
                <w:sz w:val="20"/>
                <w:szCs w:val="20"/>
              </w:rPr>
            </w:pPr>
            <w:r w:rsidRPr="007A2F89">
              <w:rPr>
                <w:sz w:val="20"/>
                <w:szCs w:val="20"/>
              </w:rPr>
              <w:t>10 (4,71%)</w:t>
            </w:r>
          </w:p>
        </w:tc>
        <w:tc>
          <w:tcPr>
            <w:tcW w:w="1361" w:type="dxa"/>
            <w:tcBorders>
              <w:top w:val="single" w:sz="4" w:space="0" w:color="auto"/>
              <w:left w:val="single" w:sz="4" w:space="0" w:color="auto"/>
              <w:bottom w:val="nil"/>
              <w:right w:val="nil"/>
            </w:tcBorders>
            <w:vAlign w:val="center"/>
          </w:tcPr>
          <w:p w14:paraId="0429122A" w14:textId="77777777" w:rsidR="00480276" w:rsidRPr="007A2F89" w:rsidRDefault="00480276" w:rsidP="007A2F89">
            <w:pPr>
              <w:rPr>
                <w:sz w:val="20"/>
                <w:szCs w:val="20"/>
              </w:rPr>
            </w:pPr>
            <w:r w:rsidRPr="007A2F89">
              <w:rPr>
                <w:sz w:val="20"/>
                <w:szCs w:val="20"/>
              </w:rPr>
              <w:t>41 (19,33%)</w:t>
            </w:r>
          </w:p>
        </w:tc>
      </w:tr>
    </w:tbl>
    <w:p w14:paraId="4729E785" w14:textId="77777777" w:rsidR="00480276" w:rsidRPr="007A2F89" w:rsidRDefault="00480276" w:rsidP="007A2F89">
      <w:pPr>
        <w:rPr>
          <w:rFonts w:ascii="Times New Roman" w:hAnsi="Times New Roman"/>
          <w:b/>
          <w:bCs/>
        </w:rPr>
      </w:pPr>
    </w:p>
    <w:tbl>
      <w:tblPr>
        <w:tblStyle w:val="Grigliatabella"/>
        <w:tblW w:w="68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1"/>
        <w:gridCol w:w="1361"/>
        <w:gridCol w:w="1361"/>
        <w:gridCol w:w="1361"/>
        <w:gridCol w:w="1361"/>
      </w:tblGrid>
      <w:tr w:rsidR="007063FA" w:rsidRPr="007A2F89" w14:paraId="1683BE8D" w14:textId="77777777" w:rsidTr="007063FA">
        <w:trPr>
          <w:trHeight w:val="20"/>
          <w:jc w:val="center"/>
        </w:trPr>
        <w:tc>
          <w:tcPr>
            <w:tcW w:w="6805" w:type="dxa"/>
            <w:gridSpan w:val="5"/>
            <w:tcBorders>
              <w:top w:val="nil"/>
              <w:bottom w:val="single" w:sz="4" w:space="0" w:color="auto"/>
            </w:tcBorders>
            <w:vAlign w:val="center"/>
          </w:tcPr>
          <w:p w14:paraId="68F83E87" w14:textId="7136750E" w:rsidR="007063FA" w:rsidRPr="007A2F89" w:rsidRDefault="007063FA" w:rsidP="007A2F89">
            <w:pPr>
              <w:rPr>
                <w:i/>
                <w:iCs/>
                <w:sz w:val="20"/>
                <w:szCs w:val="20"/>
              </w:rPr>
            </w:pPr>
            <w:r w:rsidRPr="007A2F89">
              <w:rPr>
                <w:i/>
                <w:iCs/>
                <w:sz w:val="20"/>
                <w:szCs w:val="20"/>
              </w:rPr>
              <w:t>TERAMO</w:t>
            </w:r>
          </w:p>
        </w:tc>
      </w:tr>
      <w:tr w:rsidR="007063FA" w:rsidRPr="007A2F89" w14:paraId="59A9B7CA" w14:textId="77777777" w:rsidTr="007063FA">
        <w:trPr>
          <w:trHeight w:val="20"/>
          <w:jc w:val="center"/>
        </w:trPr>
        <w:tc>
          <w:tcPr>
            <w:tcW w:w="1361" w:type="dxa"/>
            <w:tcBorders>
              <w:top w:val="single" w:sz="4" w:space="0" w:color="auto"/>
              <w:right w:val="single" w:sz="4" w:space="0" w:color="auto"/>
            </w:tcBorders>
            <w:vAlign w:val="center"/>
          </w:tcPr>
          <w:p w14:paraId="24877BC2"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right w:val="single" w:sz="4" w:space="0" w:color="auto"/>
            </w:tcBorders>
            <w:vAlign w:val="center"/>
          </w:tcPr>
          <w:p w14:paraId="7CA3783F" w14:textId="7963D6C7" w:rsidR="007063FA" w:rsidRPr="007A2F89" w:rsidRDefault="00120B29" w:rsidP="007A2F89">
            <w:pPr>
              <w:rPr>
                <w:i/>
                <w:iCs/>
                <w:sz w:val="20"/>
                <w:szCs w:val="20"/>
              </w:rPr>
            </w:pPr>
            <w:r w:rsidRPr="007A2F89">
              <w:rPr>
                <w:i/>
                <w:iCs/>
                <w:sz w:val="20"/>
                <w:szCs w:val="20"/>
              </w:rPr>
              <w:t>SIZE</w:t>
            </w:r>
          </w:p>
        </w:tc>
        <w:tc>
          <w:tcPr>
            <w:tcW w:w="1361" w:type="dxa"/>
            <w:tcBorders>
              <w:top w:val="single" w:sz="4" w:space="0" w:color="auto"/>
              <w:left w:val="single" w:sz="4" w:space="0" w:color="auto"/>
            </w:tcBorders>
            <w:vAlign w:val="center"/>
          </w:tcPr>
          <w:p w14:paraId="264900A0" w14:textId="77777777" w:rsidR="007063FA" w:rsidRPr="007A2F89" w:rsidRDefault="007063FA" w:rsidP="007A2F89">
            <w:pPr>
              <w:rPr>
                <w:i/>
                <w:iCs/>
                <w:sz w:val="20"/>
                <w:szCs w:val="20"/>
              </w:rPr>
            </w:pPr>
          </w:p>
        </w:tc>
      </w:tr>
      <w:tr w:rsidR="00480276" w:rsidRPr="007A2F89" w14:paraId="167A314B" w14:textId="77777777" w:rsidTr="007063FA">
        <w:trPr>
          <w:trHeight w:val="20"/>
          <w:jc w:val="center"/>
        </w:trPr>
        <w:tc>
          <w:tcPr>
            <w:tcW w:w="1361" w:type="dxa"/>
            <w:tcBorders>
              <w:bottom w:val="single" w:sz="4" w:space="0" w:color="auto"/>
              <w:right w:val="single" w:sz="4" w:space="0" w:color="auto"/>
            </w:tcBorders>
            <w:vAlign w:val="center"/>
          </w:tcPr>
          <w:p w14:paraId="5EFCAD07" w14:textId="77F62290" w:rsidR="00480276" w:rsidRPr="007A2F89" w:rsidRDefault="000B170D" w:rsidP="007A2F89">
            <w:pPr>
              <w:rPr>
                <w:i/>
                <w:iCs/>
                <w:sz w:val="20"/>
                <w:szCs w:val="20"/>
              </w:rPr>
            </w:pPr>
            <w:r w:rsidRPr="007A2F89">
              <w:rPr>
                <w:i/>
                <w:iCs/>
                <w:sz w:val="20"/>
                <w:szCs w:val="20"/>
              </w:rPr>
              <w:t>AGE</w:t>
            </w:r>
          </w:p>
        </w:tc>
        <w:tc>
          <w:tcPr>
            <w:tcW w:w="1361" w:type="dxa"/>
            <w:tcBorders>
              <w:left w:val="single" w:sz="4" w:space="0" w:color="auto"/>
              <w:bottom w:val="single" w:sz="4" w:space="0" w:color="auto"/>
            </w:tcBorders>
            <w:vAlign w:val="center"/>
          </w:tcPr>
          <w:p w14:paraId="1E86CDEC" w14:textId="06BCD7DC" w:rsidR="00480276" w:rsidRPr="007A2F89" w:rsidRDefault="00480276" w:rsidP="007A2F89">
            <w:pPr>
              <w:rPr>
                <w:i/>
                <w:iCs/>
                <w:sz w:val="20"/>
                <w:szCs w:val="20"/>
              </w:rPr>
            </w:pPr>
            <w:r w:rsidRPr="007A2F89">
              <w:rPr>
                <w:i/>
                <w:iCs/>
                <w:sz w:val="20"/>
                <w:szCs w:val="20"/>
              </w:rPr>
              <w:t xml:space="preserve">0-9 </w:t>
            </w:r>
            <w:r w:rsidR="000B170D" w:rsidRPr="007A2F89">
              <w:rPr>
                <w:i/>
                <w:iCs/>
                <w:sz w:val="20"/>
                <w:szCs w:val="20"/>
              </w:rPr>
              <w:br/>
              <w:t>Employees</w:t>
            </w:r>
          </w:p>
        </w:tc>
        <w:tc>
          <w:tcPr>
            <w:tcW w:w="1361" w:type="dxa"/>
            <w:tcBorders>
              <w:bottom w:val="single" w:sz="4" w:space="0" w:color="auto"/>
            </w:tcBorders>
            <w:vAlign w:val="center"/>
          </w:tcPr>
          <w:p w14:paraId="34968B2F" w14:textId="26AB9114" w:rsidR="00480276" w:rsidRPr="007A2F89" w:rsidRDefault="00480276" w:rsidP="007A2F89">
            <w:pPr>
              <w:rPr>
                <w:i/>
                <w:iCs/>
                <w:sz w:val="20"/>
                <w:szCs w:val="20"/>
              </w:rPr>
            </w:pPr>
            <w:r w:rsidRPr="007A2F89">
              <w:rPr>
                <w:i/>
                <w:iCs/>
                <w:sz w:val="20"/>
                <w:szCs w:val="20"/>
              </w:rPr>
              <w:t xml:space="preserve">10-49 </w:t>
            </w:r>
            <w:r w:rsidR="000B170D" w:rsidRPr="007A2F89">
              <w:rPr>
                <w:i/>
                <w:iCs/>
                <w:sz w:val="20"/>
                <w:szCs w:val="20"/>
              </w:rPr>
              <w:br/>
              <w:t>Employees</w:t>
            </w:r>
          </w:p>
        </w:tc>
        <w:tc>
          <w:tcPr>
            <w:tcW w:w="1361" w:type="dxa"/>
            <w:tcBorders>
              <w:bottom w:val="single" w:sz="4" w:space="0" w:color="auto"/>
              <w:right w:val="single" w:sz="4" w:space="0" w:color="auto"/>
            </w:tcBorders>
            <w:vAlign w:val="center"/>
          </w:tcPr>
          <w:p w14:paraId="0E66699C" w14:textId="1427B7D4" w:rsidR="00480276" w:rsidRPr="007A2F89" w:rsidRDefault="00480276" w:rsidP="007A2F89">
            <w:pPr>
              <w:rPr>
                <w:i/>
                <w:iCs/>
                <w:sz w:val="20"/>
                <w:szCs w:val="20"/>
              </w:rPr>
            </w:pPr>
            <w:r w:rsidRPr="007A2F89">
              <w:rPr>
                <w:i/>
                <w:iCs/>
                <w:sz w:val="20"/>
                <w:szCs w:val="20"/>
              </w:rPr>
              <w:t xml:space="preserve">50 + </w:t>
            </w:r>
            <w:r w:rsidR="000B170D" w:rsidRPr="007A2F89">
              <w:rPr>
                <w:i/>
                <w:iCs/>
                <w:sz w:val="20"/>
                <w:szCs w:val="20"/>
              </w:rPr>
              <w:br/>
              <w:t>Employees</w:t>
            </w:r>
          </w:p>
        </w:tc>
        <w:tc>
          <w:tcPr>
            <w:tcW w:w="1361" w:type="dxa"/>
            <w:tcBorders>
              <w:left w:val="single" w:sz="4" w:space="0" w:color="auto"/>
              <w:bottom w:val="single" w:sz="4" w:space="0" w:color="auto"/>
            </w:tcBorders>
            <w:vAlign w:val="center"/>
          </w:tcPr>
          <w:p w14:paraId="09EE4FDB" w14:textId="50F8F4C6" w:rsidR="00480276" w:rsidRPr="007A2F89" w:rsidRDefault="00480276" w:rsidP="007A2F89">
            <w:pPr>
              <w:rPr>
                <w:i/>
                <w:iCs/>
                <w:sz w:val="20"/>
                <w:szCs w:val="20"/>
              </w:rPr>
            </w:pPr>
            <w:r w:rsidRPr="007A2F89">
              <w:rPr>
                <w:i/>
                <w:iCs/>
                <w:sz w:val="20"/>
                <w:szCs w:val="20"/>
              </w:rPr>
              <w:t>Total</w:t>
            </w:r>
          </w:p>
        </w:tc>
      </w:tr>
      <w:tr w:rsidR="00480276" w:rsidRPr="007A2F89" w14:paraId="0B381702" w14:textId="77777777" w:rsidTr="007063FA">
        <w:trPr>
          <w:trHeight w:val="20"/>
          <w:jc w:val="center"/>
        </w:trPr>
        <w:tc>
          <w:tcPr>
            <w:tcW w:w="1361" w:type="dxa"/>
            <w:tcBorders>
              <w:top w:val="single" w:sz="4" w:space="0" w:color="auto"/>
              <w:bottom w:val="nil"/>
              <w:right w:val="single" w:sz="4" w:space="0" w:color="auto"/>
            </w:tcBorders>
            <w:vAlign w:val="center"/>
          </w:tcPr>
          <w:p w14:paraId="68C1CE94" w14:textId="5F762968" w:rsidR="00480276" w:rsidRPr="007A2F89" w:rsidRDefault="00480276" w:rsidP="007A2F89">
            <w:pPr>
              <w:rPr>
                <w:sz w:val="20"/>
                <w:szCs w:val="20"/>
              </w:rPr>
            </w:pPr>
            <w:r w:rsidRPr="007A2F89">
              <w:rPr>
                <w:sz w:val="20"/>
                <w:szCs w:val="20"/>
              </w:rPr>
              <w:t xml:space="preserve">0-19 </w:t>
            </w:r>
            <w:r w:rsidR="000B170D" w:rsidRPr="007A2F89">
              <w:rPr>
                <w:sz w:val="20"/>
                <w:szCs w:val="20"/>
              </w:rPr>
              <w:t>years</w:t>
            </w:r>
          </w:p>
        </w:tc>
        <w:tc>
          <w:tcPr>
            <w:tcW w:w="1361" w:type="dxa"/>
            <w:tcBorders>
              <w:top w:val="single" w:sz="4" w:space="0" w:color="auto"/>
              <w:left w:val="single" w:sz="4" w:space="0" w:color="auto"/>
              <w:bottom w:val="nil"/>
            </w:tcBorders>
            <w:vAlign w:val="center"/>
          </w:tcPr>
          <w:p w14:paraId="6E1EF6C7" w14:textId="77777777" w:rsidR="00480276" w:rsidRPr="007A2F89" w:rsidRDefault="00480276" w:rsidP="007A2F89">
            <w:pPr>
              <w:rPr>
                <w:sz w:val="20"/>
                <w:szCs w:val="20"/>
              </w:rPr>
            </w:pPr>
            <w:r w:rsidRPr="007A2F89">
              <w:rPr>
                <w:sz w:val="20"/>
                <w:szCs w:val="20"/>
              </w:rPr>
              <w:t>2 (0,47%)</w:t>
            </w:r>
          </w:p>
        </w:tc>
        <w:tc>
          <w:tcPr>
            <w:tcW w:w="1361" w:type="dxa"/>
            <w:tcBorders>
              <w:top w:val="single" w:sz="4" w:space="0" w:color="auto"/>
              <w:bottom w:val="nil"/>
            </w:tcBorders>
            <w:vAlign w:val="center"/>
          </w:tcPr>
          <w:p w14:paraId="34EE2987" w14:textId="77777777" w:rsidR="00480276" w:rsidRPr="007A2F89" w:rsidRDefault="00480276" w:rsidP="007A2F89">
            <w:pPr>
              <w:rPr>
                <w:sz w:val="20"/>
                <w:szCs w:val="20"/>
              </w:rPr>
            </w:pPr>
            <w:r w:rsidRPr="007A2F89">
              <w:rPr>
                <w:sz w:val="20"/>
                <w:szCs w:val="20"/>
              </w:rPr>
              <w:t>14 (6,60%)</w:t>
            </w:r>
          </w:p>
        </w:tc>
        <w:tc>
          <w:tcPr>
            <w:tcW w:w="1361" w:type="dxa"/>
            <w:tcBorders>
              <w:top w:val="single" w:sz="4" w:space="0" w:color="auto"/>
              <w:bottom w:val="nil"/>
              <w:right w:val="single" w:sz="4" w:space="0" w:color="auto"/>
            </w:tcBorders>
            <w:vAlign w:val="center"/>
          </w:tcPr>
          <w:p w14:paraId="2FBBF5FD" w14:textId="77777777" w:rsidR="00480276" w:rsidRPr="007A2F89" w:rsidRDefault="00480276" w:rsidP="007A2F89">
            <w:pPr>
              <w:rPr>
                <w:sz w:val="20"/>
                <w:szCs w:val="20"/>
              </w:rPr>
            </w:pPr>
            <w:r w:rsidRPr="007A2F89">
              <w:rPr>
                <w:sz w:val="20"/>
                <w:szCs w:val="20"/>
              </w:rPr>
              <w:t>5 (2,35%)</w:t>
            </w:r>
          </w:p>
        </w:tc>
        <w:tc>
          <w:tcPr>
            <w:tcW w:w="1361" w:type="dxa"/>
            <w:tcBorders>
              <w:top w:val="single" w:sz="4" w:space="0" w:color="auto"/>
              <w:left w:val="single" w:sz="4" w:space="0" w:color="auto"/>
              <w:bottom w:val="nil"/>
            </w:tcBorders>
            <w:vAlign w:val="center"/>
          </w:tcPr>
          <w:p w14:paraId="58D8AB7F" w14:textId="77777777" w:rsidR="00480276" w:rsidRPr="007A2F89" w:rsidRDefault="00480276" w:rsidP="007A2F89">
            <w:pPr>
              <w:rPr>
                <w:sz w:val="20"/>
                <w:szCs w:val="20"/>
              </w:rPr>
            </w:pPr>
            <w:r w:rsidRPr="007A2F89">
              <w:rPr>
                <w:sz w:val="20"/>
                <w:szCs w:val="20"/>
              </w:rPr>
              <w:t>21 (9.90%)</w:t>
            </w:r>
          </w:p>
        </w:tc>
      </w:tr>
      <w:tr w:rsidR="00480276" w:rsidRPr="007A2F89" w14:paraId="173DEA95" w14:textId="77777777" w:rsidTr="007063FA">
        <w:trPr>
          <w:trHeight w:val="20"/>
          <w:jc w:val="center"/>
        </w:trPr>
        <w:tc>
          <w:tcPr>
            <w:tcW w:w="1361" w:type="dxa"/>
            <w:tcBorders>
              <w:top w:val="nil"/>
              <w:bottom w:val="nil"/>
              <w:right w:val="single" w:sz="4" w:space="0" w:color="auto"/>
            </w:tcBorders>
            <w:vAlign w:val="center"/>
          </w:tcPr>
          <w:p w14:paraId="01D76279" w14:textId="122FE012" w:rsidR="00480276" w:rsidRPr="007A2F89" w:rsidRDefault="00480276" w:rsidP="007A2F89">
            <w:pPr>
              <w:rPr>
                <w:sz w:val="20"/>
                <w:szCs w:val="20"/>
              </w:rPr>
            </w:pPr>
            <w:r w:rsidRPr="007A2F89">
              <w:rPr>
                <w:sz w:val="20"/>
                <w:szCs w:val="20"/>
              </w:rPr>
              <w:t xml:space="preserve">20-29 </w:t>
            </w:r>
            <w:r w:rsidR="000B170D" w:rsidRPr="007A2F89">
              <w:rPr>
                <w:sz w:val="20"/>
                <w:szCs w:val="20"/>
              </w:rPr>
              <w:t>years</w:t>
            </w:r>
          </w:p>
        </w:tc>
        <w:tc>
          <w:tcPr>
            <w:tcW w:w="1361" w:type="dxa"/>
            <w:tcBorders>
              <w:top w:val="nil"/>
              <w:left w:val="single" w:sz="4" w:space="0" w:color="auto"/>
              <w:bottom w:val="nil"/>
            </w:tcBorders>
            <w:vAlign w:val="center"/>
          </w:tcPr>
          <w:p w14:paraId="3EE97F05" w14:textId="77777777" w:rsidR="00480276" w:rsidRPr="007A2F89" w:rsidRDefault="00480276" w:rsidP="007A2F89">
            <w:pPr>
              <w:rPr>
                <w:sz w:val="20"/>
                <w:szCs w:val="20"/>
              </w:rPr>
            </w:pPr>
            <w:r w:rsidRPr="007A2F89">
              <w:rPr>
                <w:sz w:val="20"/>
                <w:szCs w:val="20"/>
              </w:rPr>
              <w:t>3 (1,4%)</w:t>
            </w:r>
          </w:p>
        </w:tc>
        <w:tc>
          <w:tcPr>
            <w:tcW w:w="1361" w:type="dxa"/>
            <w:tcBorders>
              <w:top w:val="nil"/>
              <w:bottom w:val="nil"/>
            </w:tcBorders>
            <w:vAlign w:val="center"/>
          </w:tcPr>
          <w:p w14:paraId="1EBAAC1A" w14:textId="77777777" w:rsidR="00480276" w:rsidRPr="007A2F89" w:rsidRDefault="00480276" w:rsidP="007A2F89">
            <w:pPr>
              <w:rPr>
                <w:sz w:val="20"/>
                <w:szCs w:val="20"/>
              </w:rPr>
            </w:pPr>
            <w:r w:rsidRPr="007A2F89">
              <w:rPr>
                <w:sz w:val="20"/>
                <w:szCs w:val="20"/>
              </w:rPr>
              <w:t>9 (4,24%)</w:t>
            </w:r>
          </w:p>
        </w:tc>
        <w:tc>
          <w:tcPr>
            <w:tcW w:w="1361" w:type="dxa"/>
            <w:tcBorders>
              <w:top w:val="nil"/>
              <w:bottom w:val="nil"/>
              <w:right w:val="single" w:sz="4" w:space="0" w:color="auto"/>
            </w:tcBorders>
            <w:vAlign w:val="center"/>
          </w:tcPr>
          <w:p w14:paraId="7A691E49" w14:textId="77777777" w:rsidR="00480276" w:rsidRPr="007A2F89" w:rsidRDefault="00480276" w:rsidP="007A2F89">
            <w:pPr>
              <w:rPr>
                <w:sz w:val="20"/>
                <w:szCs w:val="20"/>
              </w:rPr>
            </w:pPr>
            <w:r w:rsidRPr="007A2F89">
              <w:rPr>
                <w:sz w:val="20"/>
                <w:szCs w:val="20"/>
              </w:rPr>
              <w:t>5 (2,35%)</w:t>
            </w:r>
          </w:p>
        </w:tc>
        <w:tc>
          <w:tcPr>
            <w:tcW w:w="1361" w:type="dxa"/>
            <w:tcBorders>
              <w:top w:val="nil"/>
              <w:left w:val="single" w:sz="4" w:space="0" w:color="auto"/>
              <w:bottom w:val="nil"/>
            </w:tcBorders>
            <w:vAlign w:val="center"/>
          </w:tcPr>
          <w:p w14:paraId="2DBBC33E" w14:textId="77777777" w:rsidR="00480276" w:rsidRPr="007A2F89" w:rsidRDefault="00480276" w:rsidP="007A2F89">
            <w:pPr>
              <w:rPr>
                <w:sz w:val="20"/>
                <w:szCs w:val="20"/>
              </w:rPr>
            </w:pPr>
            <w:r w:rsidRPr="007A2F89">
              <w:rPr>
                <w:sz w:val="20"/>
                <w:szCs w:val="20"/>
              </w:rPr>
              <w:t>17 (8%)</w:t>
            </w:r>
          </w:p>
        </w:tc>
      </w:tr>
      <w:tr w:rsidR="00480276" w:rsidRPr="007A2F89" w14:paraId="4E4501BB" w14:textId="77777777" w:rsidTr="007063FA">
        <w:trPr>
          <w:trHeight w:val="20"/>
          <w:jc w:val="center"/>
        </w:trPr>
        <w:tc>
          <w:tcPr>
            <w:tcW w:w="1361" w:type="dxa"/>
            <w:tcBorders>
              <w:top w:val="nil"/>
              <w:bottom w:val="single" w:sz="4" w:space="0" w:color="auto"/>
              <w:right w:val="single" w:sz="4" w:space="0" w:color="auto"/>
            </w:tcBorders>
            <w:vAlign w:val="center"/>
          </w:tcPr>
          <w:p w14:paraId="3D5D0D6D" w14:textId="524264B3" w:rsidR="00480276" w:rsidRPr="007A2F89" w:rsidRDefault="00480276" w:rsidP="007A2F89">
            <w:pPr>
              <w:rPr>
                <w:sz w:val="20"/>
                <w:szCs w:val="20"/>
              </w:rPr>
            </w:pPr>
            <w:r w:rsidRPr="007A2F89">
              <w:rPr>
                <w:sz w:val="20"/>
                <w:szCs w:val="20"/>
              </w:rPr>
              <w:t xml:space="preserve">30+ </w:t>
            </w:r>
            <w:r w:rsidR="000B170D" w:rsidRPr="007A2F89">
              <w:rPr>
                <w:sz w:val="20"/>
                <w:szCs w:val="20"/>
              </w:rPr>
              <w:t>years</w:t>
            </w:r>
          </w:p>
        </w:tc>
        <w:tc>
          <w:tcPr>
            <w:tcW w:w="1361" w:type="dxa"/>
            <w:tcBorders>
              <w:top w:val="nil"/>
              <w:left w:val="single" w:sz="4" w:space="0" w:color="auto"/>
              <w:bottom w:val="single" w:sz="4" w:space="0" w:color="auto"/>
            </w:tcBorders>
            <w:vAlign w:val="center"/>
          </w:tcPr>
          <w:p w14:paraId="35D8EA63" w14:textId="77777777" w:rsidR="00480276" w:rsidRPr="007A2F89" w:rsidRDefault="00480276" w:rsidP="007A2F89">
            <w:pPr>
              <w:rPr>
                <w:sz w:val="20"/>
                <w:szCs w:val="20"/>
              </w:rPr>
            </w:pPr>
            <w:r w:rsidRPr="007A2F89">
              <w:rPr>
                <w:sz w:val="20"/>
                <w:szCs w:val="20"/>
              </w:rPr>
              <w:t>2 (0,47%)</w:t>
            </w:r>
          </w:p>
        </w:tc>
        <w:tc>
          <w:tcPr>
            <w:tcW w:w="1361" w:type="dxa"/>
            <w:tcBorders>
              <w:top w:val="nil"/>
              <w:bottom w:val="single" w:sz="4" w:space="0" w:color="auto"/>
            </w:tcBorders>
            <w:vAlign w:val="center"/>
          </w:tcPr>
          <w:p w14:paraId="5DA49EFF" w14:textId="77777777" w:rsidR="00480276" w:rsidRPr="007A2F89" w:rsidRDefault="00480276" w:rsidP="007A2F89">
            <w:pPr>
              <w:rPr>
                <w:sz w:val="20"/>
                <w:szCs w:val="20"/>
              </w:rPr>
            </w:pPr>
            <w:r w:rsidRPr="007A2F89">
              <w:rPr>
                <w:sz w:val="20"/>
                <w:szCs w:val="20"/>
              </w:rPr>
              <w:t>4 (1,8%)</w:t>
            </w:r>
          </w:p>
        </w:tc>
        <w:tc>
          <w:tcPr>
            <w:tcW w:w="1361" w:type="dxa"/>
            <w:tcBorders>
              <w:top w:val="nil"/>
              <w:bottom w:val="single" w:sz="4" w:space="0" w:color="auto"/>
              <w:right w:val="single" w:sz="4" w:space="0" w:color="auto"/>
            </w:tcBorders>
            <w:vAlign w:val="center"/>
          </w:tcPr>
          <w:p w14:paraId="0F747DF9" w14:textId="77777777" w:rsidR="00480276" w:rsidRPr="007A2F89" w:rsidRDefault="00480276" w:rsidP="007A2F89">
            <w:pPr>
              <w:rPr>
                <w:sz w:val="20"/>
                <w:szCs w:val="20"/>
              </w:rPr>
            </w:pPr>
            <w:r w:rsidRPr="007A2F89">
              <w:rPr>
                <w:sz w:val="20"/>
                <w:szCs w:val="20"/>
              </w:rPr>
              <w:t>6 (2,83%)</w:t>
            </w:r>
          </w:p>
        </w:tc>
        <w:tc>
          <w:tcPr>
            <w:tcW w:w="1361" w:type="dxa"/>
            <w:tcBorders>
              <w:top w:val="nil"/>
              <w:left w:val="single" w:sz="4" w:space="0" w:color="auto"/>
              <w:bottom w:val="single" w:sz="4" w:space="0" w:color="auto"/>
            </w:tcBorders>
            <w:vAlign w:val="center"/>
          </w:tcPr>
          <w:p w14:paraId="03116B10" w14:textId="77777777" w:rsidR="00480276" w:rsidRPr="007A2F89" w:rsidRDefault="00480276" w:rsidP="007A2F89">
            <w:pPr>
              <w:rPr>
                <w:sz w:val="20"/>
                <w:szCs w:val="20"/>
              </w:rPr>
            </w:pPr>
            <w:r w:rsidRPr="007A2F89">
              <w:rPr>
                <w:sz w:val="20"/>
                <w:szCs w:val="20"/>
              </w:rPr>
              <w:t>12 (5,66%)</w:t>
            </w:r>
          </w:p>
        </w:tc>
      </w:tr>
      <w:tr w:rsidR="00480276" w:rsidRPr="007A2F89" w14:paraId="57D64137" w14:textId="77777777" w:rsidTr="007063FA">
        <w:trPr>
          <w:trHeight w:val="20"/>
          <w:jc w:val="center"/>
        </w:trPr>
        <w:tc>
          <w:tcPr>
            <w:tcW w:w="1361" w:type="dxa"/>
            <w:tcBorders>
              <w:top w:val="single" w:sz="4" w:space="0" w:color="auto"/>
              <w:bottom w:val="nil"/>
              <w:right w:val="single" w:sz="4" w:space="0" w:color="auto"/>
            </w:tcBorders>
            <w:vAlign w:val="center"/>
          </w:tcPr>
          <w:p w14:paraId="48603043" w14:textId="581DF95F"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tcBorders>
            <w:vAlign w:val="center"/>
          </w:tcPr>
          <w:p w14:paraId="2D285634" w14:textId="77777777" w:rsidR="00480276" w:rsidRPr="007A2F89" w:rsidRDefault="00480276" w:rsidP="007A2F89">
            <w:pPr>
              <w:rPr>
                <w:sz w:val="20"/>
                <w:szCs w:val="20"/>
              </w:rPr>
            </w:pPr>
            <w:r w:rsidRPr="007A2F89">
              <w:rPr>
                <w:sz w:val="20"/>
                <w:szCs w:val="20"/>
              </w:rPr>
              <w:t>7 (3,3%)</w:t>
            </w:r>
          </w:p>
        </w:tc>
        <w:tc>
          <w:tcPr>
            <w:tcW w:w="1361" w:type="dxa"/>
            <w:tcBorders>
              <w:top w:val="single" w:sz="4" w:space="0" w:color="auto"/>
            </w:tcBorders>
            <w:vAlign w:val="center"/>
          </w:tcPr>
          <w:p w14:paraId="7F7FD6E3" w14:textId="77777777" w:rsidR="00480276" w:rsidRPr="007A2F89" w:rsidRDefault="00480276" w:rsidP="007A2F89">
            <w:pPr>
              <w:rPr>
                <w:sz w:val="20"/>
                <w:szCs w:val="20"/>
              </w:rPr>
            </w:pPr>
            <w:r w:rsidRPr="007A2F89">
              <w:rPr>
                <w:sz w:val="20"/>
                <w:szCs w:val="20"/>
              </w:rPr>
              <w:t>27 (12,73%)</w:t>
            </w:r>
          </w:p>
        </w:tc>
        <w:tc>
          <w:tcPr>
            <w:tcW w:w="1361" w:type="dxa"/>
            <w:tcBorders>
              <w:top w:val="single" w:sz="4" w:space="0" w:color="auto"/>
              <w:bottom w:val="nil"/>
              <w:right w:val="single" w:sz="4" w:space="0" w:color="auto"/>
            </w:tcBorders>
            <w:vAlign w:val="center"/>
          </w:tcPr>
          <w:p w14:paraId="6663C609" w14:textId="77777777" w:rsidR="00480276" w:rsidRPr="007A2F89" w:rsidRDefault="00480276" w:rsidP="007A2F89">
            <w:pPr>
              <w:rPr>
                <w:sz w:val="20"/>
                <w:szCs w:val="20"/>
              </w:rPr>
            </w:pPr>
            <w:r w:rsidRPr="007A2F89">
              <w:rPr>
                <w:sz w:val="20"/>
                <w:szCs w:val="20"/>
              </w:rPr>
              <w:t>16 (7,54%)</w:t>
            </w:r>
          </w:p>
        </w:tc>
        <w:tc>
          <w:tcPr>
            <w:tcW w:w="1361" w:type="dxa"/>
            <w:tcBorders>
              <w:top w:val="single" w:sz="4" w:space="0" w:color="auto"/>
              <w:left w:val="single" w:sz="4" w:space="0" w:color="auto"/>
            </w:tcBorders>
            <w:vAlign w:val="center"/>
          </w:tcPr>
          <w:p w14:paraId="1CB145FA" w14:textId="77777777" w:rsidR="00480276" w:rsidRPr="007A2F89" w:rsidRDefault="00480276" w:rsidP="007A2F89">
            <w:pPr>
              <w:rPr>
                <w:sz w:val="20"/>
                <w:szCs w:val="20"/>
              </w:rPr>
            </w:pPr>
            <w:r w:rsidRPr="007A2F89">
              <w:rPr>
                <w:sz w:val="20"/>
                <w:szCs w:val="20"/>
              </w:rPr>
              <w:t>50 (23,58%)</w:t>
            </w:r>
          </w:p>
        </w:tc>
      </w:tr>
    </w:tbl>
    <w:p w14:paraId="01C9FFA1" w14:textId="544496C3" w:rsidR="00A3527C" w:rsidRPr="007A2F89" w:rsidRDefault="00E55E93" w:rsidP="007A2F89">
      <w:pPr>
        <w:spacing w:before="120"/>
        <w:rPr>
          <w:rFonts w:ascii="Times New Roman" w:hAnsi="Times New Roman"/>
          <w:i/>
          <w:iCs/>
          <w:sz w:val="20"/>
          <w:szCs w:val="20"/>
          <w:lang w:val="en-GB"/>
        </w:rPr>
      </w:pPr>
      <w:r w:rsidRPr="007A2F89">
        <w:rPr>
          <w:rFonts w:ascii="Times New Roman" w:hAnsi="Times New Roman"/>
          <w:i/>
          <w:iCs/>
          <w:sz w:val="20"/>
          <w:szCs w:val="20"/>
          <w:lang w:val="en-GB"/>
        </w:rPr>
        <w:t>Source: Author</w:t>
      </w:r>
      <w:r w:rsidR="007A2F89" w:rsidRPr="007A2F89">
        <w:rPr>
          <w:rFonts w:ascii="Times New Roman" w:hAnsi="Times New Roman"/>
          <w:i/>
          <w:iCs/>
          <w:sz w:val="20"/>
          <w:szCs w:val="20"/>
          <w:lang w:val="en-GB"/>
        </w:rPr>
        <w:t>’</w:t>
      </w:r>
      <w:r w:rsidRPr="007A2F89">
        <w:rPr>
          <w:rFonts w:ascii="Times New Roman" w:hAnsi="Times New Roman"/>
          <w:i/>
          <w:iCs/>
          <w:sz w:val="20"/>
          <w:szCs w:val="20"/>
          <w:lang w:val="en-GB"/>
        </w:rPr>
        <w:t>s elaboration</w:t>
      </w:r>
      <w:r w:rsidR="008C3C0E" w:rsidRPr="007A2F89">
        <w:rPr>
          <w:rFonts w:ascii="Times New Roman" w:hAnsi="Times New Roman"/>
          <w:i/>
          <w:iCs/>
          <w:sz w:val="20"/>
          <w:szCs w:val="20"/>
          <w:lang w:val="en-GB"/>
        </w:rPr>
        <w:t>.</w:t>
      </w:r>
    </w:p>
    <w:p w14:paraId="12A35F5F" w14:textId="77777777" w:rsidR="007F6A31" w:rsidRPr="007A2F89" w:rsidRDefault="007F6A31" w:rsidP="007A2F89">
      <w:pPr>
        <w:rPr>
          <w:rFonts w:ascii="Times New Roman" w:hAnsi="Times New Roman"/>
          <w:i/>
          <w:iCs/>
          <w:sz w:val="20"/>
          <w:szCs w:val="20"/>
          <w:lang w:val="en-GB"/>
        </w:rPr>
      </w:pPr>
    </w:p>
    <w:p w14:paraId="5FE0841A" w14:textId="61CAC9BF" w:rsidR="00480276" w:rsidRPr="007A2F89" w:rsidRDefault="00480276" w:rsidP="007A2F89">
      <w:pPr>
        <w:spacing w:after="120"/>
        <w:rPr>
          <w:rFonts w:ascii="Times New Roman" w:hAnsi="Times New Roman"/>
          <w:i/>
          <w:iCs/>
          <w:sz w:val="20"/>
          <w:szCs w:val="20"/>
          <w:lang w:val="en-GB"/>
        </w:rPr>
      </w:pPr>
      <w:r w:rsidRPr="007A2F89">
        <w:rPr>
          <w:rFonts w:ascii="Times New Roman" w:hAnsi="Times New Roman"/>
          <w:i/>
          <w:iCs/>
          <w:sz w:val="20"/>
          <w:szCs w:val="20"/>
          <w:lang w:val="en-GB"/>
        </w:rPr>
        <w:t>Tab</w:t>
      </w:r>
      <w:r w:rsidR="00E7431C" w:rsidRPr="007A2F89">
        <w:rPr>
          <w:rFonts w:ascii="Times New Roman" w:hAnsi="Times New Roman"/>
          <w:i/>
          <w:iCs/>
          <w:sz w:val="20"/>
          <w:szCs w:val="20"/>
          <w:lang w:val="en-GB"/>
        </w:rPr>
        <w:t>le</w:t>
      </w:r>
      <w:r w:rsidRPr="007A2F89">
        <w:rPr>
          <w:rFonts w:ascii="Times New Roman" w:hAnsi="Times New Roman"/>
          <w:i/>
          <w:iCs/>
          <w:sz w:val="20"/>
          <w:szCs w:val="20"/>
          <w:lang w:val="en-GB"/>
        </w:rPr>
        <w:t xml:space="preserve"> 2 </w:t>
      </w:r>
      <w:r w:rsidR="008C3C0E" w:rsidRPr="007A2F89">
        <w:rPr>
          <w:rFonts w:ascii="Times New Roman" w:hAnsi="Times New Roman"/>
          <w:i/>
          <w:iCs/>
          <w:sz w:val="20"/>
          <w:szCs w:val="20"/>
          <w:lang w:val="en-GB"/>
        </w:rPr>
        <w:t>-</w:t>
      </w:r>
      <w:r w:rsidRPr="007A2F89">
        <w:rPr>
          <w:rFonts w:ascii="Times New Roman" w:hAnsi="Times New Roman"/>
          <w:i/>
          <w:iCs/>
          <w:sz w:val="20"/>
          <w:szCs w:val="20"/>
          <w:lang w:val="en-GB"/>
        </w:rPr>
        <w:t xml:space="preserve"> </w:t>
      </w:r>
      <w:r w:rsidR="00E55E93" w:rsidRPr="007A2F89">
        <w:rPr>
          <w:rFonts w:ascii="Times New Roman" w:hAnsi="Times New Roman"/>
          <w:i/>
          <w:iCs/>
          <w:sz w:val="20"/>
          <w:szCs w:val="20"/>
          <w:lang w:val="en-GB"/>
        </w:rPr>
        <w:t>Total sample analysis matrix</w:t>
      </w:r>
    </w:p>
    <w:tbl>
      <w:tblPr>
        <w:tblStyle w:val="Grigliatabella"/>
        <w:tblW w:w="68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1"/>
        <w:gridCol w:w="1361"/>
        <w:gridCol w:w="1361"/>
        <w:gridCol w:w="1361"/>
        <w:gridCol w:w="1361"/>
      </w:tblGrid>
      <w:tr w:rsidR="007063FA" w:rsidRPr="007A2F89" w14:paraId="73734FF8" w14:textId="77777777" w:rsidTr="004B06A2">
        <w:trPr>
          <w:trHeight w:val="20"/>
          <w:jc w:val="center"/>
        </w:trPr>
        <w:tc>
          <w:tcPr>
            <w:tcW w:w="6805" w:type="dxa"/>
            <w:gridSpan w:val="5"/>
            <w:vAlign w:val="center"/>
          </w:tcPr>
          <w:p w14:paraId="4338C1E5" w14:textId="1A3EBBE2" w:rsidR="007063FA" w:rsidRPr="007A2F89" w:rsidRDefault="007063FA" w:rsidP="007A2F89">
            <w:pPr>
              <w:rPr>
                <w:i/>
                <w:iCs/>
                <w:sz w:val="20"/>
                <w:szCs w:val="20"/>
              </w:rPr>
            </w:pPr>
            <w:r w:rsidRPr="007A2F89">
              <w:rPr>
                <w:i/>
                <w:iCs/>
                <w:sz w:val="20"/>
                <w:szCs w:val="20"/>
              </w:rPr>
              <w:t>CHIETI</w:t>
            </w:r>
          </w:p>
        </w:tc>
      </w:tr>
      <w:tr w:rsidR="007063FA" w:rsidRPr="007A2F89" w14:paraId="47068258" w14:textId="77777777" w:rsidTr="004B06A2">
        <w:trPr>
          <w:trHeight w:val="20"/>
          <w:jc w:val="center"/>
        </w:trPr>
        <w:tc>
          <w:tcPr>
            <w:tcW w:w="1361" w:type="dxa"/>
            <w:tcBorders>
              <w:top w:val="single" w:sz="4" w:space="0" w:color="auto"/>
              <w:right w:val="single" w:sz="4" w:space="0" w:color="auto"/>
            </w:tcBorders>
            <w:vAlign w:val="center"/>
          </w:tcPr>
          <w:p w14:paraId="29CFDEDF"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right w:val="single" w:sz="4" w:space="0" w:color="auto"/>
            </w:tcBorders>
            <w:vAlign w:val="center"/>
          </w:tcPr>
          <w:p w14:paraId="26A5DB91" w14:textId="7D8495E9" w:rsidR="007063FA" w:rsidRPr="007A2F89" w:rsidRDefault="00120B29" w:rsidP="007A2F89">
            <w:pPr>
              <w:rPr>
                <w:i/>
                <w:iCs/>
                <w:sz w:val="20"/>
                <w:szCs w:val="20"/>
              </w:rPr>
            </w:pPr>
            <w:r w:rsidRPr="007A2F89">
              <w:rPr>
                <w:i/>
                <w:iCs/>
                <w:sz w:val="20"/>
                <w:szCs w:val="20"/>
              </w:rPr>
              <w:t>SIZE</w:t>
            </w:r>
          </w:p>
        </w:tc>
        <w:tc>
          <w:tcPr>
            <w:tcW w:w="1361" w:type="dxa"/>
            <w:tcBorders>
              <w:left w:val="single" w:sz="4" w:space="0" w:color="auto"/>
            </w:tcBorders>
            <w:vAlign w:val="center"/>
          </w:tcPr>
          <w:p w14:paraId="43E51940" w14:textId="77777777" w:rsidR="007063FA" w:rsidRPr="007A2F89" w:rsidRDefault="007063FA" w:rsidP="007A2F89">
            <w:pPr>
              <w:rPr>
                <w:i/>
                <w:iCs/>
                <w:sz w:val="20"/>
                <w:szCs w:val="20"/>
              </w:rPr>
            </w:pPr>
          </w:p>
        </w:tc>
      </w:tr>
      <w:tr w:rsidR="00480276" w:rsidRPr="007A2F89" w14:paraId="5C4E48C4" w14:textId="77777777" w:rsidTr="004B06A2">
        <w:trPr>
          <w:trHeight w:val="20"/>
          <w:jc w:val="center"/>
        </w:trPr>
        <w:tc>
          <w:tcPr>
            <w:tcW w:w="1361" w:type="dxa"/>
            <w:tcBorders>
              <w:bottom w:val="single" w:sz="4" w:space="0" w:color="auto"/>
              <w:right w:val="single" w:sz="4" w:space="0" w:color="auto"/>
            </w:tcBorders>
            <w:vAlign w:val="center"/>
          </w:tcPr>
          <w:p w14:paraId="5FC3387E" w14:textId="50E75E4E" w:rsidR="00480276" w:rsidRPr="007A2F89" w:rsidRDefault="000B170D" w:rsidP="007A2F89">
            <w:pPr>
              <w:rPr>
                <w:i/>
                <w:iCs/>
                <w:sz w:val="20"/>
                <w:szCs w:val="20"/>
              </w:rPr>
            </w:pPr>
            <w:r w:rsidRPr="007A2F89">
              <w:rPr>
                <w:i/>
                <w:iCs/>
                <w:sz w:val="20"/>
                <w:szCs w:val="20"/>
              </w:rPr>
              <w:t>AGE</w:t>
            </w:r>
          </w:p>
        </w:tc>
        <w:tc>
          <w:tcPr>
            <w:tcW w:w="1361" w:type="dxa"/>
            <w:tcBorders>
              <w:left w:val="single" w:sz="4" w:space="0" w:color="auto"/>
              <w:bottom w:val="single" w:sz="4" w:space="0" w:color="auto"/>
            </w:tcBorders>
            <w:vAlign w:val="center"/>
          </w:tcPr>
          <w:p w14:paraId="423561E6" w14:textId="77777777" w:rsidR="007063FA" w:rsidRPr="007A2F89" w:rsidRDefault="00480276" w:rsidP="007A2F89">
            <w:pPr>
              <w:rPr>
                <w:i/>
                <w:iCs/>
                <w:sz w:val="20"/>
                <w:szCs w:val="20"/>
              </w:rPr>
            </w:pPr>
            <w:r w:rsidRPr="007A2F89">
              <w:rPr>
                <w:i/>
                <w:iCs/>
                <w:sz w:val="20"/>
                <w:szCs w:val="20"/>
              </w:rPr>
              <w:t xml:space="preserve">0-9 </w:t>
            </w:r>
          </w:p>
          <w:p w14:paraId="5F5B2166" w14:textId="2FF2FA3F" w:rsidR="00480276" w:rsidRPr="007A2F89" w:rsidRDefault="000B170D" w:rsidP="007A2F89">
            <w:pPr>
              <w:rPr>
                <w:i/>
                <w:iCs/>
                <w:sz w:val="20"/>
                <w:szCs w:val="20"/>
              </w:rPr>
            </w:pPr>
            <w:r w:rsidRPr="007A2F89">
              <w:rPr>
                <w:i/>
                <w:iCs/>
                <w:sz w:val="20"/>
                <w:szCs w:val="20"/>
              </w:rPr>
              <w:t>Employees</w:t>
            </w:r>
          </w:p>
        </w:tc>
        <w:tc>
          <w:tcPr>
            <w:tcW w:w="1361" w:type="dxa"/>
            <w:tcBorders>
              <w:bottom w:val="single" w:sz="4" w:space="0" w:color="auto"/>
            </w:tcBorders>
            <w:vAlign w:val="center"/>
          </w:tcPr>
          <w:p w14:paraId="444BB0B3" w14:textId="77777777" w:rsidR="007063FA" w:rsidRPr="007A2F89" w:rsidRDefault="00480276" w:rsidP="007A2F89">
            <w:pPr>
              <w:rPr>
                <w:i/>
                <w:iCs/>
                <w:sz w:val="20"/>
                <w:szCs w:val="20"/>
              </w:rPr>
            </w:pPr>
            <w:r w:rsidRPr="007A2F89">
              <w:rPr>
                <w:i/>
                <w:iCs/>
                <w:sz w:val="20"/>
                <w:szCs w:val="20"/>
              </w:rPr>
              <w:t xml:space="preserve">10-49 </w:t>
            </w:r>
          </w:p>
          <w:p w14:paraId="461D27E9" w14:textId="67C135B2" w:rsidR="00480276" w:rsidRPr="007A2F89" w:rsidRDefault="000B170D" w:rsidP="007A2F89">
            <w:pPr>
              <w:rPr>
                <w:i/>
                <w:iCs/>
                <w:sz w:val="20"/>
                <w:szCs w:val="20"/>
              </w:rPr>
            </w:pPr>
            <w:r w:rsidRPr="007A2F89">
              <w:rPr>
                <w:i/>
                <w:iCs/>
                <w:sz w:val="20"/>
                <w:szCs w:val="20"/>
              </w:rPr>
              <w:t>Employees</w:t>
            </w:r>
          </w:p>
        </w:tc>
        <w:tc>
          <w:tcPr>
            <w:tcW w:w="1361" w:type="dxa"/>
            <w:tcBorders>
              <w:bottom w:val="single" w:sz="4" w:space="0" w:color="auto"/>
              <w:right w:val="single" w:sz="4" w:space="0" w:color="auto"/>
            </w:tcBorders>
            <w:vAlign w:val="center"/>
          </w:tcPr>
          <w:p w14:paraId="2DEF91A3" w14:textId="77777777" w:rsidR="007063FA" w:rsidRPr="007A2F89" w:rsidRDefault="00480276" w:rsidP="007A2F89">
            <w:pPr>
              <w:rPr>
                <w:i/>
                <w:iCs/>
                <w:sz w:val="20"/>
                <w:szCs w:val="20"/>
              </w:rPr>
            </w:pPr>
            <w:r w:rsidRPr="007A2F89">
              <w:rPr>
                <w:i/>
                <w:iCs/>
                <w:sz w:val="20"/>
                <w:szCs w:val="20"/>
              </w:rPr>
              <w:t xml:space="preserve">50 + </w:t>
            </w:r>
          </w:p>
          <w:p w14:paraId="6790F806" w14:textId="11098E5E" w:rsidR="00480276" w:rsidRPr="007A2F89" w:rsidRDefault="000B170D" w:rsidP="007A2F89">
            <w:pPr>
              <w:rPr>
                <w:i/>
                <w:iCs/>
                <w:sz w:val="20"/>
                <w:szCs w:val="20"/>
              </w:rPr>
            </w:pPr>
            <w:r w:rsidRPr="007A2F89">
              <w:rPr>
                <w:i/>
                <w:iCs/>
                <w:sz w:val="20"/>
                <w:szCs w:val="20"/>
              </w:rPr>
              <w:t>Employees</w:t>
            </w:r>
          </w:p>
        </w:tc>
        <w:tc>
          <w:tcPr>
            <w:tcW w:w="1361" w:type="dxa"/>
            <w:tcBorders>
              <w:left w:val="single" w:sz="4" w:space="0" w:color="auto"/>
              <w:bottom w:val="single" w:sz="4" w:space="0" w:color="auto"/>
            </w:tcBorders>
            <w:vAlign w:val="center"/>
          </w:tcPr>
          <w:p w14:paraId="3F87EAFA" w14:textId="79D335C1" w:rsidR="00480276" w:rsidRPr="007A2F89" w:rsidRDefault="00480276" w:rsidP="007A2F89">
            <w:pPr>
              <w:rPr>
                <w:i/>
                <w:iCs/>
                <w:sz w:val="20"/>
                <w:szCs w:val="20"/>
              </w:rPr>
            </w:pPr>
            <w:r w:rsidRPr="007A2F89">
              <w:rPr>
                <w:i/>
                <w:iCs/>
                <w:sz w:val="20"/>
                <w:szCs w:val="20"/>
              </w:rPr>
              <w:t>Total</w:t>
            </w:r>
          </w:p>
        </w:tc>
      </w:tr>
      <w:tr w:rsidR="00480276" w:rsidRPr="007A2F89" w14:paraId="79BC565C" w14:textId="77777777" w:rsidTr="004B06A2">
        <w:trPr>
          <w:trHeight w:val="20"/>
          <w:jc w:val="center"/>
        </w:trPr>
        <w:tc>
          <w:tcPr>
            <w:tcW w:w="1361" w:type="dxa"/>
            <w:tcBorders>
              <w:top w:val="single" w:sz="4" w:space="0" w:color="auto"/>
              <w:bottom w:val="nil"/>
              <w:right w:val="single" w:sz="4" w:space="0" w:color="auto"/>
            </w:tcBorders>
            <w:vAlign w:val="center"/>
          </w:tcPr>
          <w:p w14:paraId="424A8023" w14:textId="2176B189" w:rsidR="00480276" w:rsidRPr="007A2F89" w:rsidRDefault="00480276" w:rsidP="007A2F89">
            <w:pPr>
              <w:rPr>
                <w:sz w:val="20"/>
                <w:szCs w:val="20"/>
              </w:rPr>
            </w:pPr>
            <w:r w:rsidRPr="007A2F89">
              <w:rPr>
                <w:sz w:val="20"/>
                <w:szCs w:val="20"/>
              </w:rPr>
              <w:t xml:space="preserve">0-19 </w:t>
            </w:r>
            <w:r w:rsidR="000B170D" w:rsidRPr="007A2F89">
              <w:rPr>
                <w:sz w:val="20"/>
                <w:szCs w:val="20"/>
              </w:rPr>
              <w:t>years</w:t>
            </w:r>
          </w:p>
        </w:tc>
        <w:tc>
          <w:tcPr>
            <w:tcW w:w="1361" w:type="dxa"/>
            <w:tcBorders>
              <w:top w:val="single" w:sz="4" w:space="0" w:color="auto"/>
              <w:left w:val="single" w:sz="4" w:space="0" w:color="auto"/>
              <w:bottom w:val="nil"/>
            </w:tcBorders>
          </w:tcPr>
          <w:p w14:paraId="3F229F00" w14:textId="77777777" w:rsidR="00480276" w:rsidRPr="007A2F89" w:rsidRDefault="00480276" w:rsidP="007A2F89">
            <w:pPr>
              <w:rPr>
                <w:sz w:val="20"/>
                <w:szCs w:val="20"/>
              </w:rPr>
            </w:pPr>
            <w:r w:rsidRPr="007A2F89">
              <w:rPr>
                <w:sz w:val="20"/>
                <w:szCs w:val="20"/>
              </w:rPr>
              <w:t>21 (4,28%)</w:t>
            </w:r>
          </w:p>
        </w:tc>
        <w:tc>
          <w:tcPr>
            <w:tcW w:w="1361" w:type="dxa"/>
            <w:tcBorders>
              <w:top w:val="single" w:sz="4" w:space="0" w:color="auto"/>
              <w:bottom w:val="nil"/>
            </w:tcBorders>
          </w:tcPr>
          <w:p w14:paraId="2E3A8623" w14:textId="77777777" w:rsidR="00480276" w:rsidRPr="007A2F89" w:rsidRDefault="00480276" w:rsidP="007A2F89">
            <w:pPr>
              <w:rPr>
                <w:sz w:val="20"/>
                <w:szCs w:val="20"/>
              </w:rPr>
            </w:pPr>
            <w:r w:rsidRPr="007A2F89">
              <w:rPr>
                <w:sz w:val="20"/>
                <w:szCs w:val="20"/>
              </w:rPr>
              <w:t>39 (7,95%)</w:t>
            </w:r>
          </w:p>
        </w:tc>
        <w:tc>
          <w:tcPr>
            <w:tcW w:w="1361" w:type="dxa"/>
            <w:tcBorders>
              <w:top w:val="single" w:sz="4" w:space="0" w:color="auto"/>
              <w:bottom w:val="nil"/>
              <w:right w:val="single" w:sz="4" w:space="0" w:color="auto"/>
            </w:tcBorders>
          </w:tcPr>
          <w:p w14:paraId="1638BCF7" w14:textId="77777777" w:rsidR="00480276" w:rsidRPr="007A2F89" w:rsidRDefault="00480276" w:rsidP="007A2F89">
            <w:pPr>
              <w:rPr>
                <w:sz w:val="20"/>
                <w:szCs w:val="20"/>
              </w:rPr>
            </w:pPr>
            <w:r w:rsidRPr="007A2F89">
              <w:rPr>
                <w:sz w:val="20"/>
                <w:szCs w:val="20"/>
              </w:rPr>
              <w:t>11 (2,24%)</w:t>
            </w:r>
          </w:p>
        </w:tc>
        <w:tc>
          <w:tcPr>
            <w:tcW w:w="1361" w:type="dxa"/>
            <w:tcBorders>
              <w:top w:val="single" w:sz="4" w:space="0" w:color="auto"/>
              <w:left w:val="single" w:sz="4" w:space="0" w:color="auto"/>
              <w:bottom w:val="nil"/>
            </w:tcBorders>
          </w:tcPr>
          <w:p w14:paraId="19B617D0" w14:textId="77777777" w:rsidR="00480276" w:rsidRPr="007A2F89" w:rsidRDefault="00480276" w:rsidP="007A2F89">
            <w:pPr>
              <w:rPr>
                <w:sz w:val="20"/>
                <w:szCs w:val="20"/>
              </w:rPr>
            </w:pPr>
            <w:r w:rsidRPr="007A2F89">
              <w:rPr>
                <w:sz w:val="20"/>
                <w:szCs w:val="20"/>
              </w:rPr>
              <w:t>71 (14,48%)</w:t>
            </w:r>
          </w:p>
        </w:tc>
      </w:tr>
      <w:tr w:rsidR="00480276" w:rsidRPr="007A2F89" w14:paraId="5A356D7A" w14:textId="77777777" w:rsidTr="004B06A2">
        <w:trPr>
          <w:trHeight w:val="20"/>
          <w:jc w:val="center"/>
        </w:trPr>
        <w:tc>
          <w:tcPr>
            <w:tcW w:w="1361" w:type="dxa"/>
            <w:tcBorders>
              <w:top w:val="nil"/>
              <w:bottom w:val="nil"/>
              <w:right w:val="single" w:sz="4" w:space="0" w:color="auto"/>
            </w:tcBorders>
            <w:vAlign w:val="center"/>
          </w:tcPr>
          <w:p w14:paraId="4949F26B" w14:textId="2892F3C3" w:rsidR="00480276" w:rsidRPr="007A2F89" w:rsidRDefault="00480276" w:rsidP="007A2F89">
            <w:pPr>
              <w:rPr>
                <w:sz w:val="20"/>
                <w:szCs w:val="20"/>
              </w:rPr>
            </w:pPr>
            <w:r w:rsidRPr="007A2F89">
              <w:rPr>
                <w:sz w:val="20"/>
                <w:szCs w:val="20"/>
              </w:rPr>
              <w:t xml:space="preserve">20-29 </w:t>
            </w:r>
            <w:r w:rsidR="000B170D" w:rsidRPr="007A2F89">
              <w:rPr>
                <w:sz w:val="20"/>
                <w:szCs w:val="20"/>
              </w:rPr>
              <w:t>years</w:t>
            </w:r>
          </w:p>
        </w:tc>
        <w:tc>
          <w:tcPr>
            <w:tcW w:w="1361" w:type="dxa"/>
            <w:tcBorders>
              <w:top w:val="nil"/>
              <w:left w:val="single" w:sz="4" w:space="0" w:color="auto"/>
              <w:bottom w:val="nil"/>
            </w:tcBorders>
          </w:tcPr>
          <w:p w14:paraId="34E5DB66" w14:textId="77777777" w:rsidR="00480276" w:rsidRPr="007A2F89" w:rsidRDefault="00480276" w:rsidP="007A2F89">
            <w:pPr>
              <w:rPr>
                <w:sz w:val="20"/>
                <w:szCs w:val="20"/>
              </w:rPr>
            </w:pPr>
            <w:r w:rsidRPr="007A2F89">
              <w:rPr>
                <w:sz w:val="20"/>
                <w:szCs w:val="20"/>
              </w:rPr>
              <w:t>5 (1,02%)</w:t>
            </w:r>
          </w:p>
        </w:tc>
        <w:tc>
          <w:tcPr>
            <w:tcW w:w="1361" w:type="dxa"/>
            <w:tcBorders>
              <w:top w:val="nil"/>
              <w:bottom w:val="nil"/>
            </w:tcBorders>
          </w:tcPr>
          <w:p w14:paraId="711E9A70" w14:textId="77777777" w:rsidR="00480276" w:rsidRPr="007A2F89" w:rsidRDefault="00480276" w:rsidP="007A2F89">
            <w:pPr>
              <w:rPr>
                <w:sz w:val="20"/>
                <w:szCs w:val="20"/>
              </w:rPr>
            </w:pPr>
            <w:r w:rsidRPr="007A2F89">
              <w:rPr>
                <w:sz w:val="20"/>
                <w:szCs w:val="20"/>
              </w:rPr>
              <w:t>35 (7,14%)</w:t>
            </w:r>
          </w:p>
        </w:tc>
        <w:tc>
          <w:tcPr>
            <w:tcW w:w="1361" w:type="dxa"/>
            <w:tcBorders>
              <w:top w:val="nil"/>
              <w:bottom w:val="nil"/>
              <w:right w:val="single" w:sz="4" w:space="0" w:color="auto"/>
            </w:tcBorders>
          </w:tcPr>
          <w:p w14:paraId="3E17B858" w14:textId="77777777" w:rsidR="00480276" w:rsidRPr="007A2F89" w:rsidRDefault="00480276" w:rsidP="007A2F89">
            <w:pPr>
              <w:rPr>
                <w:sz w:val="20"/>
                <w:szCs w:val="20"/>
              </w:rPr>
            </w:pPr>
            <w:r w:rsidRPr="007A2F89">
              <w:rPr>
                <w:sz w:val="20"/>
                <w:szCs w:val="20"/>
              </w:rPr>
              <w:t>23 (4,69%)</w:t>
            </w:r>
          </w:p>
        </w:tc>
        <w:tc>
          <w:tcPr>
            <w:tcW w:w="1361" w:type="dxa"/>
            <w:tcBorders>
              <w:top w:val="nil"/>
              <w:left w:val="single" w:sz="4" w:space="0" w:color="auto"/>
              <w:bottom w:val="nil"/>
            </w:tcBorders>
          </w:tcPr>
          <w:p w14:paraId="2F07D2F9" w14:textId="77777777" w:rsidR="00480276" w:rsidRPr="007A2F89" w:rsidRDefault="00480276" w:rsidP="007A2F89">
            <w:pPr>
              <w:rPr>
                <w:sz w:val="20"/>
                <w:szCs w:val="20"/>
              </w:rPr>
            </w:pPr>
            <w:r w:rsidRPr="007A2F89">
              <w:rPr>
                <w:sz w:val="20"/>
                <w:szCs w:val="20"/>
              </w:rPr>
              <w:t>63 (12,85%)</w:t>
            </w:r>
          </w:p>
        </w:tc>
      </w:tr>
      <w:tr w:rsidR="00480276" w:rsidRPr="007A2F89" w14:paraId="24A4D59D" w14:textId="77777777" w:rsidTr="004B06A2">
        <w:trPr>
          <w:trHeight w:val="20"/>
          <w:jc w:val="center"/>
        </w:trPr>
        <w:tc>
          <w:tcPr>
            <w:tcW w:w="1361" w:type="dxa"/>
            <w:tcBorders>
              <w:top w:val="nil"/>
              <w:bottom w:val="single" w:sz="4" w:space="0" w:color="auto"/>
              <w:right w:val="single" w:sz="4" w:space="0" w:color="auto"/>
            </w:tcBorders>
            <w:vAlign w:val="center"/>
          </w:tcPr>
          <w:p w14:paraId="4EB5C50D" w14:textId="612900E0" w:rsidR="00480276" w:rsidRPr="007A2F89" w:rsidRDefault="00480276" w:rsidP="007A2F89">
            <w:pPr>
              <w:rPr>
                <w:sz w:val="20"/>
                <w:szCs w:val="20"/>
              </w:rPr>
            </w:pPr>
            <w:r w:rsidRPr="007A2F89">
              <w:rPr>
                <w:sz w:val="20"/>
                <w:szCs w:val="20"/>
              </w:rPr>
              <w:t xml:space="preserve">30+ </w:t>
            </w:r>
            <w:r w:rsidR="000B170D" w:rsidRPr="007A2F89">
              <w:rPr>
                <w:sz w:val="20"/>
                <w:szCs w:val="20"/>
              </w:rPr>
              <w:t>years</w:t>
            </w:r>
          </w:p>
        </w:tc>
        <w:tc>
          <w:tcPr>
            <w:tcW w:w="1361" w:type="dxa"/>
            <w:tcBorders>
              <w:top w:val="nil"/>
              <w:left w:val="single" w:sz="4" w:space="0" w:color="auto"/>
              <w:bottom w:val="single" w:sz="4" w:space="0" w:color="auto"/>
            </w:tcBorders>
          </w:tcPr>
          <w:p w14:paraId="2E55547F" w14:textId="77777777" w:rsidR="00480276" w:rsidRPr="007A2F89" w:rsidRDefault="00480276" w:rsidP="007A2F89">
            <w:pPr>
              <w:rPr>
                <w:sz w:val="20"/>
                <w:szCs w:val="20"/>
              </w:rPr>
            </w:pPr>
            <w:r w:rsidRPr="007A2F89">
              <w:rPr>
                <w:sz w:val="20"/>
                <w:szCs w:val="20"/>
              </w:rPr>
              <w:t>4 (0,81%)</w:t>
            </w:r>
          </w:p>
        </w:tc>
        <w:tc>
          <w:tcPr>
            <w:tcW w:w="1361" w:type="dxa"/>
            <w:tcBorders>
              <w:top w:val="nil"/>
              <w:bottom w:val="single" w:sz="4" w:space="0" w:color="auto"/>
            </w:tcBorders>
          </w:tcPr>
          <w:p w14:paraId="1A975EA3" w14:textId="77777777" w:rsidR="00480276" w:rsidRPr="007A2F89" w:rsidRDefault="00480276" w:rsidP="007A2F89">
            <w:pPr>
              <w:rPr>
                <w:sz w:val="20"/>
                <w:szCs w:val="20"/>
              </w:rPr>
            </w:pPr>
            <w:r w:rsidRPr="007A2F89">
              <w:rPr>
                <w:sz w:val="20"/>
                <w:szCs w:val="20"/>
              </w:rPr>
              <w:t>39 (7,95%)</w:t>
            </w:r>
          </w:p>
        </w:tc>
        <w:tc>
          <w:tcPr>
            <w:tcW w:w="1361" w:type="dxa"/>
            <w:tcBorders>
              <w:top w:val="nil"/>
              <w:bottom w:val="single" w:sz="4" w:space="0" w:color="auto"/>
              <w:right w:val="single" w:sz="4" w:space="0" w:color="auto"/>
            </w:tcBorders>
          </w:tcPr>
          <w:p w14:paraId="3C16462B" w14:textId="77777777" w:rsidR="00480276" w:rsidRPr="007A2F89" w:rsidRDefault="00480276" w:rsidP="007A2F89">
            <w:pPr>
              <w:rPr>
                <w:sz w:val="20"/>
                <w:szCs w:val="20"/>
              </w:rPr>
            </w:pPr>
            <w:r w:rsidRPr="007A2F89">
              <w:rPr>
                <w:sz w:val="20"/>
                <w:szCs w:val="20"/>
              </w:rPr>
              <w:t>29 (5,91%)</w:t>
            </w:r>
          </w:p>
        </w:tc>
        <w:tc>
          <w:tcPr>
            <w:tcW w:w="1361" w:type="dxa"/>
            <w:tcBorders>
              <w:top w:val="nil"/>
              <w:left w:val="single" w:sz="4" w:space="0" w:color="auto"/>
              <w:bottom w:val="single" w:sz="4" w:space="0" w:color="auto"/>
            </w:tcBorders>
          </w:tcPr>
          <w:p w14:paraId="3D8EA6E1" w14:textId="77777777" w:rsidR="00480276" w:rsidRPr="007A2F89" w:rsidRDefault="00480276" w:rsidP="007A2F89">
            <w:pPr>
              <w:rPr>
                <w:sz w:val="20"/>
                <w:szCs w:val="20"/>
              </w:rPr>
            </w:pPr>
            <w:r w:rsidRPr="007A2F89">
              <w:rPr>
                <w:sz w:val="20"/>
                <w:szCs w:val="20"/>
              </w:rPr>
              <w:t>72 (14,69%)</w:t>
            </w:r>
          </w:p>
        </w:tc>
      </w:tr>
      <w:tr w:rsidR="00480276" w:rsidRPr="007A2F89" w14:paraId="5BB14928" w14:textId="77777777" w:rsidTr="004B06A2">
        <w:trPr>
          <w:trHeight w:val="20"/>
          <w:jc w:val="center"/>
        </w:trPr>
        <w:tc>
          <w:tcPr>
            <w:tcW w:w="1361" w:type="dxa"/>
            <w:tcBorders>
              <w:top w:val="single" w:sz="4" w:space="0" w:color="auto"/>
              <w:bottom w:val="nil"/>
              <w:right w:val="single" w:sz="4" w:space="0" w:color="auto"/>
            </w:tcBorders>
            <w:vAlign w:val="center"/>
          </w:tcPr>
          <w:p w14:paraId="62A3B3A3" w14:textId="5CAE7763"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tcBorders>
          </w:tcPr>
          <w:p w14:paraId="3D2F589F" w14:textId="77777777" w:rsidR="00480276" w:rsidRPr="007A2F89" w:rsidRDefault="00480276" w:rsidP="007A2F89">
            <w:pPr>
              <w:rPr>
                <w:sz w:val="20"/>
                <w:szCs w:val="20"/>
              </w:rPr>
            </w:pPr>
            <w:r w:rsidRPr="007A2F89">
              <w:rPr>
                <w:sz w:val="20"/>
                <w:szCs w:val="20"/>
              </w:rPr>
              <w:t>30 (6,12%)</w:t>
            </w:r>
          </w:p>
        </w:tc>
        <w:tc>
          <w:tcPr>
            <w:tcW w:w="1361" w:type="dxa"/>
            <w:tcBorders>
              <w:top w:val="single" w:sz="4" w:space="0" w:color="auto"/>
            </w:tcBorders>
          </w:tcPr>
          <w:p w14:paraId="5C678E85" w14:textId="77777777" w:rsidR="00480276" w:rsidRPr="007A2F89" w:rsidRDefault="00480276" w:rsidP="007A2F89">
            <w:pPr>
              <w:rPr>
                <w:sz w:val="20"/>
                <w:szCs w:val="20"/>
              </w:rPr>
            </w:pPr>
            <w:r w:rsidRPr="007A2F89">
              <w:rPr>
                <w:sz w:val="20"/>
                <w:szCs w:val="20"/>
              </w:rPr>
              <w:t>113 (23,06%)</w:t>
            </w:r>
          </w:p>
        </w:tc>
        <w:tc>
          <w:tcPr>
            <w:tcW w:w="1361" w:type="dxa"/>
            <w:tcBorders>
              <w:top w:val="single" w:sz="4" w:space="0" w:color="auto"/>
              <w:bottom w:val="nil"/>
              <w:right w:val="single" w:sz="4" w:space="0" w:color="auto"/>
            </w:tcBorders>
          </w:tcPr>
          <w:p w14:paraId="0BD37E74" w14:textId="77777777" w:rsidR="00480276" w:rsidRPr="007A2F89" w:rsidRDefault="00480276" w:rsidP="007A2F89">
            <w:pPr>
              <w:rPr>
                <w:sz w:val="20"/>
                <w:szCs w:val="20"/>
              </w:rPr>
            </w:pPr>
            <w:r w:rsidRPr="007A2F89">
              <w:rPr>
                <w:sz w:val="20"/>
                <w:szCs w:val="20"/>
              </w:rPr>
              <w:t>63 (12,85%)</w:t>
            </w:r>
          </w:p>
        </w:tc>
        <w:tc>
          <w:tcPr>
            <w:tcW w:w="1361" w:type="dxa"/>
            <w:tcBorders>
              <w:top w:val="single" w:sz="4" w:space="0" w:color="auto"/>
              <w:left w:val="single" w:sz="4" w:space="0" w:color="auto"/>
            </w:tcBorders>
          </w:tcPr>
          <w:p w14:paraId="4BA6DE77" w14:textId="77777777" w:rsidR="00480276" w:rsidRPr="007A2F89" w:rsidRDefault="00480276" w:rsidP="007A2F89">
            <w:pPr>
              <w:rPr>
                <w:sz w:val="20"/>
                <w:szCs w:val="20"/>
              </w:rPr>
            </w:pPr>
            <w:r w:rsidRPr="007A2F89">
              <w:rPr>
                <w:sz w:val="20"/>
                <w:szCs w:val="20"/>
              </w:rPr>
              <w:t>206 (42,04%)</w:t>
            </w:r>
          </w:p>
        </w:tc>
      </w:tr>
    </w:tbl>
    <w:p w14:paraId="03BA75A5" w14:textId="77777777" w:rsidR="000B170D" w:rsidRPr="007A2F89" w:rsidRDefault="000B170D" w:rsidP="007A2F89">
      <w:pPr>
        <w:rPr>
          <w:rFonts w:ascii="Times New Roman" w:hAnsi="Times New Roman"/>
        </w:rPr>
      </w:pPr>
    </w:p>
    <w:tbl>
      <w:tblPr>
        <w:tblStyle w:val="Grigliatabella"/>
        <w:tblW w:w="68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1"/>
        <w:gridCol w:w="1361"/>
        <w:gridCol w:w="1361"/>
        <w:gridCol w:w="1361"/>
        <w:gridCol w:w="1361"/>
      </w:tblGrid>
      <w:tr w:rsidR="007063FA" w:rsidRPr="007A2F89" w14:paraId="148A24B7" w14:textId="77777777" w:rsidTr="004B06A2">
        <w:trPr>
          <w:trHeight w:val="20"/>
          <w:jc w:val="center"/>
        </w:trPr>
        <w:tc>
          <w:tcPr>
            <w:tcW w:w="6805" w:type="dxa"/>
            <w:gridSpan w:val="5"/>
            <w:vAlign w:val="center"/>
          </w:tcPr>
          <w:p w14:paraId="1490DD65" w14:textId="6F48AE28" w:rsidR="007063FA" w:rsidRPr="007A2F89" w:rsidRDefault="007063FA" w:rsidP="007A2F89">
            <w:pPr>
              <w:rPr>
                <w:i/>
                <w:iCs/>
                <w:sz w:val="20"/>
                <w:szCs w:val="20"/>
              </w:rPr>
            </w:pPr>
            <w:r w:rsidRPr="007A2F89">
              <w:rPr>
                <w:i/>
                <w:iCs/>
                <w:sz w:val="20"/>
                <w:szCs w:val="20"/>
              </w:rPr>
              <w:t>L</w:t>
            </w:r>
            <w:r w:rsidR="007A2F89" w:rsidRPr="007A2F89">
              <w:rPr>
                <w:i/>
                <w:iCs/>
                <w:sz w:val="20"/>
                <w:szCs w:val="20"/>
              </w:rPr>
              <w:t>’</w:t>
            </w:r>
            <w:r w:rsidRPr="007A2F89">
              <w:rPr>
                <w:i/>
                <w:iCs/>
                <w:sz w:val="20"/>
                <w:szCs w:val="20"/>
              </w:rPr>
              <w:t>AQUILA</w:t>
            </w:r>
          </w:p>
        </w:tc>
      </w:tr>
      <w:tr w:rsidR="007063FA" w:rsidRPr="007A2F89" w14:paraId="65004F1B" w14:textId="77777777" w:rsidTr="004B06A2">
        <w:trPr>
          <w:trHeight w:val="20"/>
          <w:jc w:val="center"/>
        </w:trPr>
        <w:tc>
          <w:tcPr>
            <w:tcW w:w="1361" w:type="dxa"/>
            <w:tcBorders>
              <w:top w:val="single" w:sz="4" w:space="0" w:color="auto"/>
              <w:right w:val="single" w:sz="4" w:space="0" w:color="auto"/>
            </w:tcBorders>
            <w:vAlign w:val="center"/>
          </w:tcPr>
          <w:p w14:paraId="12AF3CBA"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right w:val="single" w:sz="4" w:space="0" w:color="auto"/>
            </w:tcBorders>
            <w:vAlign w:val="center"/>
          </w:tcPr>
          <w:p w14:paraId="67B9608B" w14:textId="34B69702" w:rsidR="007063FA" w:rsidRPr="007A2F89" w:rsidRDefault="00120B29" w:rsidP="007A2F89">
            <w:pPr>
              <w:rPr>
                <w:i/>
                <w:iCs/>
                <w:sz w:val="20"/>
                <w:szCs w:val="20"/>
              </w:rPr>
            </w:pPr>
            <w:r w:rsidRPr="007A2F89">
              <w:rPr>
                <w:i/>
                <w:iCs/>
                <w:sz w:val="20"/>
                <w:szCs w:val="20"/>
              </w:rPr>
              <w:t>SIZE</w:t>
            </w:r>
          </w:p>
        </w:tc>
        <w:tc>
          <w:tcPr>
            <w:tcW w:w="1361" w:type="dxa"/>
            <w:tcBorders>
              <w:left w:val="single" w:sz="4" w:space="0" w:color="auto"/>
            </w:tcBorders>
            <w:vAlign w:val="center"/>
          </w:tcPr>
          <w:p w14:paraId="4DB99E72" w14:textId="77777777" w:rsidR="007063FA" w:rsidRPr="007A2F89" w:rsidRDefault="007063FA" w:rsidP="007A2F89">
            <w:pPr>
              <w:rPr>
                <w:i/>
                <w:iCs/>
                <w:sz w:val="20"/>
                <w:szCs w:val="20"/>
              </w:rPr>
            </w:pPr>
          </w:p>
        </w:tc>
      </w:tr>
      <w:tr w:rsidR="00480276" w:rsidRPr="007A2F89" w14:paraId="54CC72DC" w14:textId="77777777" w:rsidTr="004B06A2">
        <w:trPr>
          <w:trHeight w:val="20"/>
          <w:jc w:val="center"/>
        </w:trPr>
        <w:tc>
          <w:tcPr>
            <w:tcW w:w="1361" w:type="dxa"/>
            <w:tcBorders>
              <w:bottom w:val="single" w:sz="4" w:space="0" w:color="auto"/>
              <w:right w:val="single" w:sz="4" w:space="0" w:color="auto"/>
            </w:tcBorders>
            <w:vAlign w:val="center"/>
          </w:tcPr>
          <w:p w14:paraId="57E7BAE4" w14:textId="1A5C323E" w:rsidR="00480276" w:rsidRPr="007A2F89" w:rsidRDefault="00E55E93" w:rsidP="007A2F89">
            <w:pPr>
              <w:rPr>
                <w:i/>
                <w:iCs/>
                <w:sz w:val="20"/>
                <w:szCs w:val="20"/>
              </w:rPr>
            </w:pPr>
            <w:r w:rsidRPr="007A2F89">
              <w:rPr>
                <w:i/>
                <w:iCs/>
                <w:sz w:val="20"/>
                <w:szCs w:val="20"/>
              </w:rPr>
              <w:lastRenderedPageBreak/>
              <w:t>AGE</w:t>
            </w:r>
          </w:p>
        </w:tc>
        <w:tc>
          <w:tcPr>
            <w:tcW w:w="1361" w:type="dxa"/>
            <w:tcBorders>
              <w:left w:val="single" w:sz="4" w:space="0" w:color="auto"/>
              <w:bottom w:val="single" w:sz="4" w:space="0" w:color="auto"/>
            </w:tcBorders>
            <w:vAlign w:val="center"/>
          </w:tcPr>
          <w:p w14:paraId="1F0A2618" w14:textId="77777777" w:rsidR="007063FA" w:rsidRPr="007A2F89" w:rsidRDefault="00480276" w:rsidP="007A2F89">
            <w:pPr>
              <w:rPr>
                <w:i/>
                <w:iCs/>
                <w:sz w:val="20"/>
                <w:szCs w:val="20"/>
              </w:rPr>
            </w:pPr>
            <w:r w:rsidRPr="007A2F89">
              <w:rPr>
                <w:i/>
                <w:iCs/>
                <w:sz w:val="20"/>
                <w:szCs w:val="20"/>
              </w:rPr>
              <w:t xml:space="preserve">0-9 </w:t>
            </w:r>
          </w:p>
          <w:p w14:paraId="6FF98EDF" w14:textId="5F5ED6B7" w:rsidR="00480276" w:rsidRPr="007A2F89" w:rsidRDefault="00E55E93" w:rsidP="007A2F89">
            <w:pPr>
              <w:rPr>
                <w:i/>
                <w:iCs/>
                <w:sz w:val="20"/>
                <w:szCs w:val="20"/>
              </w:rPr>
            </w:pPr>
            <w:r w:rsidRPr="007A2F89">
              <w:rPr>
                <w:i/>
                <w:iCs/>
                <w:sz w:val="20"/>
                <w:szCs w:val="20"/>
              </w:rPr>
              <w:t>Employees</w:t>
            </w:r>
          </w:p>
        </w:tc>
        <w:tc>
          <w:tcPr>
            <w:tcW w:w="1361" w:type="dxa"/>
            <w:tcBorders>
              <w:bottom w:val="single" w:sz="4" w:space="0" w:color="auto"/>
            </w:tcBorders>
            <w:vAlign w:val="center"/>
          </w:tcPr>
          <w:p w14:paraId="16D9ED76" w14:textId="77777777" w:rsidR="007063FA" w:rsidRPr="007A2F89" w:rsidRDefault="00480276" w:rsidP="007A2F89">
            <w:pPr>
              <w:rPr>
                <w:i/>
                <w:iCs/>
                <w:sz w:val="20"/>
                <w:szCs w:val="20"/>
              </w:rPr>
            </w:pPr>
            <w:r w:rsidRPr="007A2F89">
              <w:rPr>
                <w:i/>
                <w:iCs/>
                <w:sz w:val="20"/>
                <w:szCs w:val="20"/>
              </w:rPr>
              <w:t xml:space="preserve">10-49 </w:t>
            </w:r>
          </w:p>
          <w:p w14:paraId="53EAFD3E" w14:textId="150C90BA" w:rsidR="00480276" w:rsidRPr="007A2F89" w:rsidRDefault="00E55E93" w:rsidP="007A2F89">
            <w:pPr>
              <w:rPr>
                <w:i/>
                <w:iCs/>
                <w:sz w:val="20"/>
                <w:szCs w:val="20"/>
              </w:rPr>
            </w:pPr>
            <w:r w:rsidRPr="007A2F89">
              <w:rPr>
                <w:i/>
                <w:iCs/>
                <w:sz w:val="20"/>
                <w:szCs w:val="20"/>
              </w:rPr>
              <w:t>Employees</w:t>
            </w:r>
          </w:p>
        </w:tc>
        <w:tc>
          <w:tcPr>
            <w:tcW w:w="1361" w:type="dxa"/>
            <w:tcBorders>
              <w:bottom w:val="single" w:sz="4" w:space="0" w:color="auto"/>
              <w:right w:val="single" w:sz="4" w:space="0" w:color="auto"/>
            </w:tcBorders>
            <w:vAlign w:val="center"/>
          </w:tcPr>
          <w:p w14:paraId="2289B0B3" w14:textId="77777777" w:rsidR="007063FA" w:rsidRPr="007A2F89" w:rsidRDefault="00480276" w:rsidP="007A2F89">
            <w:pPr>
              <w:rPr>
                <w:i/>
                <w:iCs/>
                <w:sz w:val="20"/>
                <w:szCs w:val="20"/>
              </w:rPr>
            </w:pPr>
            <w:r w:rsidRPr="007A2F89">
              <w:rPr>
                <w:i/>
                <w:iCs/>
                <w:sz w:val="20"/>
                <w:szCs w:val="20"/>
              </w:rPr>
              <w:t xml:space="preserve">50 + </w:t>
            </w:r>
          </w:p>
          <w:p w14:paraId="790213A7" w14:textId="70DB60BE" w:rsidR="00480276" w:rsidRPr="007A2F89" w:rsidRDefault="00E55E93" w:rsidP="007A2F89">
            <w:pPr>
              <w:rPr>
                <w:i/>
                <w:iCs/>
                <w:sz w:val="20"/>
                <w:szCs w:val="20"/>
              </w:rPr>
            </w:pPr>
            <w:r w:rsidRPr="007A2F89">
              <w:rPr>
                <w:i/>
                <w:iCs/>
                <w:sz w:val="20"/>
                <w:szCs w:val="20"/>
              </w:rPr>
              <w:t>Employees</w:t>
            </w:r>
          </w:p>
        </w:tc>
        <w:tc>
          <w:tcPr>
            <w:tcW w:w="1361" w:type="dxa"/>
            <w:tcBorders>
              <w:left w:val="single" w:sz="4" w:space="0" w:color="auto"/>
              <w:bottom w:val="single" w:sz="4" w:space="0" w:color="auto"/>
            </w:tcBorders>
            <w:vAlign w:val="center"/>
          </w:tcPr>
          <w:p w14:paraId="5FB8EF98" w14:textId="6E2F1C4D" w:rsidR="00480276" w:rsidRPr="007A2F89" w:rsidRDefault="00480276" w:rsidP="007A2F89">
            <w:pPr>
              <w:rPr>
                <w:i/>
                <w:iCs/>
                <w:sz w:val="20"/>
                <w:szCs w:val="20"/>
              </w:rPr>
            </w:pPr>
            <w:r w:rsidRPr="007A2F89">
              <w:rPr>
                <w:i/>
                <w:iCs/>
                <w:sz w:val="20"/>
                <w:szCs w:val="20"/>
              </w:rPr>
              <w:t>Total</w:t>
            </w:r>
          </w:p>
        </w:tc>
      </w:tr>
      <w:tr w:rsidR="00480276" w:rsidRPr="007A2F89" w14:paraId="20958B3E" w14:textId="77777777" w:rsidTr="004B06A2">
        <w:trPr>
          <w:trHeight w:val="20"/>
          <w:jc w:val="center"/>
        </w:trPr>
        <w:tc>
          <w:tcPr>
            <w:tcW w:w="1361" w:type="dxa"/>
            <w:tcBorders>
              <w:top w:val="single" w:sz="4" w:space="0" w:color="auto"/>
              <w:bottom w:val="nil"/>
              <w:right w:val="single" w:sz="4" w:space="0" w:color="auto"/>
            </w:tcBorders>
            <w:vAlign w:val="center"/>
          </w:tcPr>
          <w:p w14:paraId="425F3731" w14:textId="6640158B" w:rsidR="00480276" w:rsidRPr="007A2F89" w:rsidRDefault="00480276" w:rsidP="007A2F89">
            <w:pPr>
              <w:rPr>
                <w:sz w:val="20"/>
                <w:szCs w:val="20"/>
              </w:rPr>
            </w:pPr>
            <w:r w:rsidRPr="007A2F89">
              <w:rPr>
                <w:sz w:val="20"/>
                <w:szCs w:val="20"/>
              </w:rPr>
              <w:t xml:space="preserve">0-19 </w:t>
            </w:r>
            <w:r w:rsidR="00E55E93" w:rsidRPr="007A2F89">
              <w:rPr>
                <w:sz w:val="20"/>
                <w:szCs w:val="20"/>
              </w:rPr>
              <w:t>years</w:t>
            </w:r>
          </w:p>
        </w:tc>
        <w:tc>
          <w:tcPr>
            <w:tcW w:w="1361" w:type="dxa"/>
            <w:tcBorders>
              <w:top w:val="single" w:sz="4" w:space="0" w:color="auto"/>
              <w:left w:val="single" w:sz="4" w:space="0" w:color="auto"/>
              <w:bottom w:val="nil"/>
            </w:tcBorders>
          </w:tcPr>
          <w:p w14:paraId="59D52166" w14:textId="77777777" w:rsidR="00480276" w:rsidRPr="007A2F89" w:rsidRDefault="00480276" w:rsidP="007A2F89">
            <w:pPr>
              <w:rPr>
                <w:sz w:val="20"/>
                <w:szCs w:val="20"/>
              </w:rPr>
            </w:pPr>
            <w:r w:rsidRPr="007A2F89">
              <w:rPr>
                <w:sz w:val="20"/>
                <w:szCs w:val="20"/>
              </w:rPr>
              <w:t>7 (1,42%)</w:t>
            </w:r>
          </w:p>
        </w:tc>
        <w:tc>
          <w:tcPr>
            <w:tcW w:w="1361" w:type="dxa"/>
            <w:tcBorders>
              <w:top w:val="single" w:sz="4" w:space="0" w:color="auto"/>
              <w:bottom w:val="nil"/>
            </w:tcBorders>
          </w:tcPr>
          <w:p w14:paraId="606F34A6" w14:textId="77777777" w:rsidR="00480276" w:rsidRPr="007A2F89" w:rsidRDefault="00480276" w:rsidP="007A2F89">
            <w:pPr>
              <w:rPr>
                <w:sz w:val="20"/>
                <w:szCs w:val="20"/>
              </w:rPr>
            </w:pPr>
            <w:r w:rsidRPr="007A2F89">
              <w:rPr>
                <w:sz w:val="20"/>
                <w:szCs w:val="20"/>
              </w:rPr>
              <w:t>16 (3,26%)</w:t>
            </w:r>
          </w:p>
        </w:tc>
        <w:tc>
          <w:tcPr>
            <w:tcW w:w="1361" w:type="dxa"/>
            <w:tcBorders>
              <w:top w:val="single" w:sz="4" w:space="0" w:color="auto"/>
              <w:bottom w:val="nil"/>
              <w:right w:val="single" w:sz="4" w:space="0" w:color="auto"/>
            </w:tcBorders>
          </w:tcPr>
          <w:p w14:paraId="2543A20B" w14:textId="77777777" w:rsidR="00480276" w:rsidRPr="007A2F89" w:rsidRDefault="00480276" w:rsidP="007A2F89">
            <w:pPr>
              <w:rPr>
                <w:sz w:val="20"/>
                <w:szCs w:val="20"/>
              </w:rPr>
            </w:pPr>
            <w:r w:rsidRPr="007A2F89">
              <w:rPr>
                <w:sz w:val="20"/>
                <w:szCs w:val="20"/>
              </w:rPr>
              <w:t>7 (1,42%)</w:t>
            </w:r>
          </w:p>
        </w:tc>
        <w:tc>
          <w:tcPr>
            <w:tcW w:w="1361" w:type="dxa"/>
            <w:tcBorders>
              <w:top w:val="single" w:sz="4" w:space="0" w:color="auto"/>
              <w:left w:val="single" w:sz="4" w:space="0" w:color="auto"/>
              <w:bottom w:val="nil"/>
            </w:tcBorders>
          </w:tcPr>
          <w:p w14:paraId="2EAC3C64" w14:textId="77777777" w:rsidR="00480276" w:rsidRPr="007A2F89" w:rsidRDefault="00480276" w:rsidP="007A2F89">
            <w:pPr>
              <w:rPr>
                <w:sz w:val="20"/>
                <w:szCs w:val="20"/>
              </w:rPr>
            </w:pPr>
            <w:r w:rsidRPr="007A2F89">
              <w:rPr>
                <w:sz w:val="20"/>
                <w:szCs w:val="20"/>
              </w:rPr>
              <w:t>30 (6,12%)</w:t>
            </w:r>
          </w:p>
        </w:tc>
      </w:tr>
      <w:tr w:rsidR="00480276" w:rsidRPr="007A2F89" w14:paraId="53BC1F2E" w14:textId="77777777" w:rsidTr="004B06A2">
        <w:trPr>
          <w:trHeight w:val="20"/>
          <w:jc w:val="center"/>
        </w:trPr>
        <w:tc>
          <w:tcPr>
            <w:tcW w:w="1361" w:type="dxa"/>
            <w:tcBorders>
              <w:top w:val="nil"/>
              <w:bottom w:val="nil"/>
              <w:right w:val="single" w:sz="4" w:space="0" w:color="auto"/>
            </w:tcBorders>
            <w:vAlign w:val="center"/>
          </w:tcPr>
          <w:p w14:paraId="240B84DE" w14:textId="2FBF19FC" w:rsidR="00480276" w:rsidRPr="007A2F89" w:rsidRDefault="00480276" w:rsidP="007A2F89">
            <w:pPr>
              <w:rPr>
                <w:sz w:val="20"/>
                <w:szCs w:val="20"/>
              </w:rPr>
            </w:pPr>
            <w:r w:rsidRPr="007A2F89">
              <w:rPr>
                <w:sz w:val="20"/>
                <w:szCs w:val="20"/>
              </w:rPr>
              <w:t xml:space="preserve">20-29 </w:t>
            </w:r>
            <w:r w:rsidR="00E55E93" w:rsidRPr="007A2F89">
              <w:rPr>
                <w:sz w:val="20"/>
                <w:szCs w:val="20"/>
              </w:rPr>
              <w:t>years</w:t>
            </w:r>
          </w:p>
        </w:tc>
        <w:tc>
          <w:tcPr>
            <w:tcW w:w="1361" w:type="dxa"/>
            <w:tcBorders>
              <w:top w:val="nil"/>
              <w:left w:val="single" w:sz="4" w:space="0" w:color="auto"/>
              <w:bottom w:val="nil"/>
            </w:tcBorders>
          </w:tcPr>
          <w:p w14:paraId="68F50D17" w14:textId="77777777" w:rsidR="00480276" w:rsidRPr="007A2F89" w:rsidRDefault="00480276" w:rsidP="007A2F89">
            <w:pPr>
              <w:rPr>
                <w:sz w:val="20"/>
                <w:szCs w:val="20"/>
              </w:rPr>
            </w:pPr>
            <w:r w:rsidRPr="007A2F89">
              <w:rPr>
                <w:sz w:val="20"/>
                <w:szCs w:val="20"/>
              </w:rPr>
              <w:t xml:space="preserve">0 </w:t>
            </w:r>
          </w:p>
        </w:tc>
        <w:tc>
          <w:tcPr>
            <w:tcW w:w="1361" w:type="dxa"/>
            <w:tcBorders>
              <w:top w:val="nil"/>
              <w:bottom w:val="nil"/>
            </w:tcBorders>
          </w:tcPr>
          <w:p w14:paraId="1C042065" w14:textId="77777777" w:rsidR="00480276" w:rsidRPr="007A2F89" w:rsidRDefault="00480276" w:rsidP="007A2F89">
            <w:pPr>
              <w:rPr>
                <w:sz w:val="20"/>
                <w:szCs w:val="20"/>
              </w:rPr>
            </w:pPr>
            <w:r w:rsidRPr="007A2F89">
              <w:rPr>
                <w:sz w:val="20"/>
                <w:szCs w:val="20"/>
              </w:rPr>
              <w:t>9 (1,83%)</w:t>
            </w:r>
          </w:p>
        </w:tc>
        <w:tc>
          <w:tcPr>
            <w:tcW w:w="1361" w:type="dxa"/>
            <w:tcBorders>
              <w:top w:val="nil"/>
              <w:bottom w:val="nil"/>
              <w:right w:val="single" w:sz="4" w:space="0" w:color="auto"/>
            </w:tcBorders>
          </w:tcPr>
          <w:p w14:paraId="655B91E3" w14:textId="77777777" w:rsidR="00480276" w:rsidRPr="007A2F89" w:rsidRDefault="00480276" w:rsidP="007A2F89">
            <w:pPr>
              <w:rPr>
                <w:sz w:val="20"/>
                <w:szCs w:val="20"/>
              </w:rPr>
            </w:pPr>
            <w:r w:rsidRPr="007A2F89">
              <w:rPr>
                <w:sz w:val="20"/>
                <w:szCs w:val="20"/>
              </w:rPr>
              <w:t>7 (1,42%)</w:t>
            </w:r>
          </w:p>
        </w:tc>
        <w:tc>
          <w:tcPr>
            <w:tcW w:w="1361" w:type="dxa"/>
            <w:tcBorders>
              <w:top w:val="nil"/>
              <w:left w:val="single" w:sz="4" w:space="0" w:color="auto"/>
              <w:bottom w:val="nil"/>
            </w:tcBorders>
          </w:tcPr>
          <w:p w14:paraId="04F8B172" w14:textId="77777777" w:rsidR="00480276" w:rsidRPr="007A2F89" w:rsidRDefault="00480276" w:rsidP="007A2F89">
            <w:pPr>
              <w:rPr>
                <w:sz w:val="20"/>
                <w:szCs w:val="20"/>
              </w:rPr>
            </w:pPr>
            <w:r w:rsidRPr="007A2F89">
              <w:rPr>
                <w:sz w:val="20"/>
                <w:szCs w:val="20"/>
              </w:rPr>
              <w:t>16 (3,26%)</w:t>
            </w:r>
          </w:p>
        </w:tc>
      </w:tr>
      <w:tr w:rsidR="00480276" w:rsidRPr="007A2F89" w14:paraId="5BC7CEF1" w14:textId="77777777" w:rsidTr="004B06A2">
        <w:trPr>
          <w:trHeight w:val="20"/>
          <w:jc w:val="center"/>
        </w:trPr>
        <w:tc>
          <w:tcPr>
            <w:tcW w:w="1361" w:type="dxa"/>
            <w:tcBorders>
              <w:top w:val="nil"/>
              <w:bottom w:val="single" w:sz="4" w:space="0" w:color="auto"/>
              <w:right w:val="single" w:sz="4" w:space="0" w:color="auto"/>
            </w:tcBorders>
            <w:vAlign w:val="center"/>
          </w:tcPr>
          <w:p w14:paraId="73050D76" w14:textId="57FC39CC" w:rsidR="00480276" w:rsidRPr="007A2F89" w:rsidRDefault="00480276" w:rsidP="007A2F89">
            <w:pPr>
              <w:rPr>
                <w:sz w:val="20"/>
                <w:szCs w:val="20"/>
              </w:rPr>
            </w:pPr>
            <w:r w:rsidRPr="007A2F89">
              <w:rPr>
                <w:sz w:val="20"/>
                <w:szCs w:val="20"/>
              </w:rPr>
              <w:t xml:space="preserve">30+ </w:t>
            </w:r>
            <w:r w:rsidR="00E55E93" w:rsidRPr="007A2F89">
              <w:rPr>
                <w:sz w:val="20"/>
                <w:szCs w:val="20"/>
              </w:rPr>
              <w:t>years</w:t>
            </w:r>
          </w:p>
        </w:tc>
        <w:tc>
          <w:tcPr>
            <w:tcW w:w="1361" w:type="dxa"/>
            <w:tcBorders>
              <w:top w:val="nil"/>
              <w:left w:val="single" w:sz="4" w:space="0" w:color="auto"/>
              <w:bottom w:val="single" w:sz="4" w:space="0" w:color="auto"/>
            </w:tcBorders>
          </w:tcPr>
          <w:p w14:paraId="23E25B55" w14:textId="77777777" w:rsidR="00480276" w:rsidRPr="007A2F89" w:rsidRDefault="00480276" w:rsidP="007A2F89">
            <w:pPr>
              <w:rPr>
                <w:sz w:val="20"/>
                <w:szCs w:val="20"/>
              </w:rPr>
            </w:pPr>
            <w:r w:rsidRPr="007A2F89">
              <w:rPr>
                <w:sz w:val="20"/>
                <w:szCs w:val="20"/>
              </w:rPr>
              <w:t>3 (0,61%)</w:t>
            </w:r>
          </w:p>
        </w:tc>
        <w:tc>
          <w:tcPr>
            <w:tcW w:w="1361" w:type="dxa"/>
            <w:tcBorders>
              <w:top w:val="nil"/>
              <w:bottom w:val="single" w:sz="4" w:space="0" w:color="auto"/>
            </w:tcBorders>
          </w:tcPr>
          <w:p w14:paraId="3DD6A246" w14:textId="77777777" w:rsidR="00480276" w:rsidRPr="007A2F89" w:rsidRDefault="00480276" w:rsidP="007A2F89">
            <w:pPr>
              <w:rPr>
                <w:sz w:val="20"/>
                <w:szCs w:val="20"/>
              </w:rPr>
            </w:pPr>
            <w:r w:rsidRPr="007A2F89">
              <w:rPr>
                <w:sz w:val="20"/>
                <w:szCs w:val="20"/>
              </w:rPr>
              <w:t>16 (17,7%)</w:t>
            </w:r>
          </w:p>
        </w:tc>
        <w:tc>
          <w:tcPr>
            <w:tcW w:w="1361" w:type="dxa"/>
            <w:tcBorders>
              <w:top w:val="nil"/>
              <w:bottom w:val="single" w:sz="4" w:space="0" w:color="auto"/>
              <w:right w:val="single" w:sz="4" w:space="0" w:color="auto"/>
            </w:tcBorders>
          </w:tcPr>
          <w:p w14:paraId="6E1C1B76" w14:textId="77777777" w:rsidR="00480276" w:rsidRPr="007A2F89" w:rsidRDefault="00480276" w:rsidP="007A2F89">
            <w:pPr>
              <w:rPr>
                <w:sz w:val="20"/>
                <w:szCs w:val="20"/>
              </w:rPr>
            </w:pPr>
            <w:r w:rsidRPr="007A2F89">
              <w:rPr>
                <w:sz w:val="20"/>
                <w:szCs w:val="20"/>
              </w:rPr>
              <w:t>9 (1,83%)</w:t>
            </w:r>
          </w:p>
        </w:tc>
        <w:tc>
          <w:tcPr>
            <w:tcW w:w="1361" w:type="dxa"/>
            <w:tcBorders>
              <w:top w:val="nil"/>
              <w:left w:val="single" w:sz="4" w:space="0" w:color="auto"/>
              <w:bottom w:val="single" w:sz="4" w:space="0" w:color="auto"/>
            </w:tcBorders>
          </w:tcPr>
          <w:p w14:paraId="47567B5F" w14:textId="77777777" w:rsidR="00480276" w:rsidRPr="007A2F89" w:rsidRDefault="00480276" w:rsidP="007A2F89">
            <w:pPr>
              <w:rPr>
                <w:sz w:val="20"/>
                <w:szCs w:val="20"/>
              </w:rPr>
            </w:pPr>
            <w:r w:rsidRPr="007A2F89">
              <w:rPr>
                <w:sz w:val="20"/>
                <w:szCs w:val="20"/>
              </w:rPr>
              <w:t>28 (5,71%)</w:t>
            </w:r>
          </w:p>
        </w:tc>
      </w:tr>
      <w:tr w:rsidR="00480276" w:rsidRPr="007A2F89" w14:paraId="3CD081CE" w14:textId="77777777" w:rsidTr="004B06A2">
        <w:trPr>
          <w:trHeight w:val="20"/>
          <w:jc w:val="center"/>
        </w:trPr>
        <w:tc>
          <w:tcPr>
            <w:tcW w:w="1361" w:type="dxa"/>
            <w:tcBorders>
              <w:top w:val="single" w:sz="4" w:space="0" w:color="auto"/>
              <w:bottom w:val="nil"/>
              <w:right w:val="single" w:sz="4" w:space="0" w:color="auto"/>
            </w:tcBorders>
            <w:vAlign w:val="center"/>
          </w:tcPr>
          <w:p w14:paraId="1B5ACED1" w14:textId="6532F007"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tcBorders>
          </w:tcPr>
          <w:p w14:paraId="05BCE48C" w14:textId="77777777" w:rsidR="00480276" w:rsidRPr="007A2F89" w:rsidRDefault="00480276" w:rsidP="007A2F89">
            <w:pPr>
              <w:rPr>
                <w:sz w:val="20"/>
                <w:szCs w:val="20"/>
              </w:rPr>
            </w:pPr>
            <w:r w:rsidRPr="007A2F89">
              <w:rPr>
                <w:sz w:val="20"/>
                <w:szCs w:val="20"/>
              </w:rPr>
              <w:t>10 (2,04%)</w:t>
            </w:r>
          </w:p>
        </w:tc>
        <w:tc>
          <w:tcPr>
            <w:tcW w:w="1361" w:type="dxa"/>
            <w:tcBorders>
              <w:top w:val="single" w:sz="4" w:space="0" w:color="auto"/>
            </w:tcBorders>
          </w:tcPr>
          <w:p w14:paraId="3A988050" w14:textId="77777777" w:rsidR="00480276" w:rsidRPr="007A2F89" w:rsidRDefault="00480276" w:rsidP="007A2F89">
            <w:pPr>
              <w:rPr>
                <w:sz w:val="20"/>
                <w:szCs w:val="20"/>
              </w:rPr>
            </w:pPr>
            <w:r w:rsidRPr="007A2F89">
              <w:rPr>
                <w:sz w:val="20"/>
                <w:szCs w:val="20"/>
              </w:rPr>
              <w:t>41 (8,36%)</w:t>
            </w:r>
          </w:p>
        </w:tc>
        <w:tc>
          <w:tcPr>
            <w:tcW w:w="1361" w:type="dxa"/>
            <w:tcBorders>
              <w:top w:val="single" w:sz="4" w:space="0" w:color="auto"/>
              <w:bottom w:val="nil"/>
              <w:right w:val="single" w:sz="4" w:space="0" w:color="auto"/>
            </w:tcBorders>
          </w:tcPr>
          <w:p w14:paraId="077F5269" w14:textId="77777777" w:rsidR="00480276" w:rsidRPr="007A2F89" w:rsidRDefault="00480276" w:rsidP="007A2F89">
            <w:pPr>
              <w:rPr>
                <w:sz w:val="20"/>
                <w:szCs w:val="20"/>
              </w:rPr>
            </w:pPr>
            <w:r w:rsidRPr="007A2F89">
              <w:rPr>
                <w:sz w:val="20"/>
                <w:szCs w:val="20"/>
              </w:rPr>
              <w:t>23 (4,69%)</w:t>
            </w:r>
          </w:p>
        </w:tc>
        <w:tc>
          <w:tcPr>
            <w:tcW w:w="1361" w:type="dxa"/>
            <w:tcBorders>
              <w:top w:val="single" w:sz="4" w:space="0" w:color="auto"/>
              <w:left w:val="single" w:sz="4" w:space="0" w:color="auto"/>
            </w:tcBorders>
          </w:tcPr>
          <w:p w14:paraId="3A89355A" w14:textId="77777777" w:rsidR="00480276" w:rsidRPr="007A2F89" w:rsidRDefault="00480276" w:rsidP="007A2F89">
            <w:pPr>
              <w:rPr>
                <w:sz w:val="20"/>
                <w:szCs w:val="20"/>
              </w:rPr>
            </w:pPr>
            <w:r w:rsidRPr="007A2F89">
              <w:rPr>
                <w:sz w:val="20"/>
                <w:szCs w:val="20"/>
              </w:rPr>
              <w:t>74 (15,10%)</w:t>
            </w:r>
          </w:p>
        </w:tc>
      </w:tr>
    </w:tbl>
    <w:p w14:paraId="261099F3" w14:textId="77777777" w:rsidR="00480276" w:rsidRPr="007A2F89" w:rsidRDefault="00480276" w:rsidP="007A2F89">
      <w:pPr>
        <w:rPr>
          <w:rFonts w:ascii="Times New Roman" w:hAnsi="Times New Roman"/>
          <w:b/>
          <w:bCs/>
        </w:rPr>
      </w:pPr>
    </w:p>
    <w:tbl>
      <w:tblPr>
        <w:tblStyle w:val="Grigliatabella"/>
        <w:tblW w:w="6805" w:type="dxa"/>
        <w:jc w:val="center"/>
        <w:tblLook w:val="04A0" w:firstRow="1" w:lastRow="0" w:firstColumn="1" w:lastColumn="0" w:noHBand="0" w:noVBand="1"/>
      </w:tblPr>
      <w:tblGrid>
        <w:gridCol w:w="1361"/>
        <w:gridCol w:w="1361"/>
        <w:gridCol w:w="1361"/>
        <w:gridCol w:w="1361"/>
        <w:gridCol w:w="1361"/>
      </w:tblGrid>
      <w:tr w:rsidR="007063FA" w:rsidRPr="007A2F89" w14:paraId="121B5E7A" w14:textId="77777777" w:rsidTr="004B06A2">
        <w:trPr>
          <w:trHeight w:val="20"/>
          <w:jc w:val="center"/>
        </w:trPr>
        <w:tc>
          <w:tcPr>
            <w:tcW w:w="6805" w:type="dxa"/>
            <w:gridSpan w:val="5"/>
            <w:tcBorders>
              <w:top w:val="nil"/>
              <w:left w:val="nil"/>
              <w:bottom w:val="single" w:sz="4" w:space="0" w:color="auto"/>
              <w:right w:val="nil"/>
            </w:tcBorders>
            <w:vAlign w:val="center"/>
          </w:tcPr>
          <w:p w14:paraId="65EEB825" w14:textId="72D05649" w:rsidR="007063FA" w:rsidRPr="007A2F89" w:rsidRDefault="007063FA" w:rsidP="007A2F89">
            <w:pPr>
              <w:rPr>
                <w:i/>
                <w:iCs/>
                <w:sz w:val="20"/>
                <w:szCs w:val="20"/>
              </w:rPr>
            </w:pPr>
            <w:r w:rsidRPr="007A2F89">
              <w:rPr>
                <w:i/>
                <w:iCs/>
                <w:sz w:val="20"/>
                <w:szCs w:val="20"/>
              </w:rPr>
              <w:t>PESCARA</w:t>
            </w:r>
          </w:p>
        </w:tc>
      </w:tr>
      <w:tr w:rsidR="007063FA" w:rsidRPr="007A2F89" w14:paraId="638DFEF1" w14:textId="77777777" w:rsidTr="004B06A2">
        <w:trPr>
          <w:trHeight w:val="20"/>
          <w:jc w:val="center"/>
        </w:trPr>
        <w:tc>
          <w:tcPr>
            <w:tcW w:w="1361" w:type="dxa"/>
            <w:tcBorders>
              <w:top w:val="single" w:sz="4" w:space="0" w:color="auto"/>
              <w:left w:val="nil"/>
              <w:bottom w:val="single" w:sz="4" w:space="0" w:color="auto"/>
              <w:right w:val="single" w:sz="4" w:space="0" w:color="auto"/>
            </w:tcBorders>
            <w:vAlign w:val="center"/>
          </w:tcPr>
          <w:p w14:paraId="3F042B8A"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bottom w:val="single" w:sz="4" w:space="0" w:color="auto"/>
              <w:right w:val="single" w:sz="4" w:space="0" w:color="auto"/>
            </w:tcBorders>
            <w:vAlign w:val="center"/>
          </w:tcPr>
          <w:p w14:paraId="1E070FF9" w14:textId="63353147" w:rsidR="007063FA" w:rsidRPr="007A2F89" w:rsidRDefault="00120B29" w:rsidP="007A2F89">
            <w:pPr>
              <w:rPr>
                <w:i/>
                <w:iCs/>
                <w:sz w:val="20"/>
                <w:szCs w:val="20"/>
              </w:rPr>
            </w:pPr>
            <w:r w:rsidRPr="007A2F89">
              <w:rPr>
                <w:i/>
                <w:iCs/>
                <w:sz w:val="20"/>
                <w:szCs w:val="20"/>
              </w:rPr>
              <w:t>SIZE</w:t>
            </w:r>
          </w:p>
        </w:tc>
        <w:tc>
          <w:tcPr>
            <w:tcW w:w="1361" w:type="dxa"/>
            <w:tcBorders>
              <w:top w:val="single" w:sz="4" w:space="0" w:color="auto"/>
              <w:left w:val="single" w:sz="4" w:space="0" w:color="auto"/>
              <w:bottom w:val="single" w:sz="4" w:space="0" w:color="auto"/>
              <w:right w:val="nil"/>
            </w:tcBorders>
            <w:vAlign w:val="center"/>
          </w:tcPr>
          <w:p w14:paraId="0FFC77D6" w14:textId="77777777" w:rsidR="007063FA" w:rsidRPr="007A2F89" w:rsidRDefault="007063FA" w:rsidP="007A2F89">
            <w:pPr>
              <w:rPr>
                <w:i/>
                <w:iCs/>
                <w:sz w:val="20"/>
                <w:szCs w:val="20"/>
              </w:rPr>
            </w:pPr>
          </w:p>
        </w:tc>
      </w:tr>
      <w:tr w:rsidR="00480276" w:rsidRPr="007A2F89" w14:paraId="5595CB2A" w14:textId="77777777" w:rsidTr="004B06A2">
        <w:trPr>
          <w:trHeight w:val="20"/>
          <w:jc w:val="center"/>
        </w:trPr>
        <w:tc>
          <w:tcPr>
            <w:tcW w:w="1361" w:type="dxa"/>
            <w:tcBorders>
              <w:top w:val="single" w:sz="4" w:space="0" w:color="auto"/>
              <w:left w:val="nil"/>
              <w:bottom w:val="single" w:sz="4" w:space="0" w:color="auto"/>
              <w:right w:val="single" w:sz="4" w:space="0" w:color="auto"/>
            </w:tcBorders>
            <w:vAlign w:val="center"/>
          </w:tcPr>
          <w:p w14:paraId="597A5837" w14:textId="638E50C4" w:rsidR="00480276" w:rsidRPr="007A2F89" w:rsidRDefault="00E55E93" w:rsidP="007A2F89">
            <w:pPr>
              <w:rPr>
                <w:i/>
                <w:iCs/>
                <w:sz w:val="20"/>
                <w:szCs w:val="20"/>
              </w:rPr>
            </w:pPr>
            <w:r w:rsidRPr="007A2F89">
              <w:rPr>
                <w:i/>
                <w:iCs/>
                <w:sz w:val="20"/>
                <w:szCs w:val="20"/>
              </w:rPr>
              <w:t>AGE</w:t>
            </w:r>
          </w:p>
        </w:tc>
        <w:tc>
          <w:tcPr>
            <w:tcW w:w="1361" w:type="dxa"/>
            <w:tcBorders>
              <w:top w:val="single" w:sz="4" w:space="0" w:color="auto"/>
              <w:left w:val="single" w:sz="4" w:space="0" w:color="auto"/>
              <w:bottom w:val="single" w:sz="4" w:space="0" w:color="auto"/>
              <w:right w:val="nil"/>
            </w:tcBorders>
            <w:vAlign w:val="center"/>
          </w:tcPr>
          <w:p w14:paraId="6E08C666" w14:textId="77777777" w:rsidR="007063FA" w:rsidRPr="007A2F89" w:rsidRDefault="00480276" w:rsidP="007A2F89">
            <w:pPr>
              <w:rPr>
                <w:i/>
                <w:iCs/>
                <w:sz w:val="20"/>
                <w:szCs w:val="20"/>
              </w:rPr>
            </w:pPr>
            <w:r w:rsidRPr="007A2F89">
              <w:rPr>
                <w:i/>
                <w:iCs/>
                <w:sz w:val="20"/>
                <w:szCs w:val="20"/>
              </w:rPr>
              <w:t xml:space="preserve">0-9 </w:t>
            </w:r>
          </w:p>
          <w:p w14:paraId="459708B4" w14:textId="4A1BA1E6" w:rsidR="00480276" w:rsidRPr="007A2F89" w:rsidRDefault="00E55E93" w:rsidP="007A2F89">
            <w:pPr>
              <w:rPr>
                <w:i/>
                <w:iCs/>
                <w:sz w:val="20"/>
                <w:szCs w:val="20"/>
              </w:rPr>
            </w:pPr>
            <w:r w:rsidRPr="007A2F89">
              <w:rPr>
                <w:i/>
                <w:iCs/>
                <w:sz w:val="20"/>
                <w:szCs w:val="20"/>
              </w:rPr>
              <w:t>Employees</w:t>
            </w:r>
          </w:p>
        </w:tc>
        <w:tc>
          <w:tcPr>
            <w:tcW w:w="1361" w:type="dxa"/>
            <w:tcBorders>
              <w:top w:val="single" w:sz="4" w:space="0" w:color="auto"/>
              <w:left w:val="nil"/>
              <w:bottom w:val="single" w:sz="4" w:space="0" w:color="auto"/>
              <w:right w:val="nil"/>
            </w:tcBorders>
            <w:vAlign w:val="center"/>
          </w:tcPr>
          <w:p w14:paraId="40085384" w14:textId="77777777" w:rsidR="007063FA" w:rsidRPr="007A2F89" w:rsidRDefault="00480276" w:rsidP="007A2F89">
            <w:pPr>
              <w:rPr>
                <w:i/>
                <w:iCs/>
                <w:sz w:val="20"/>
                <w:szCs w:val="20"/>
              </w:rPr>
            </w:pPr>
            <w:r w:rsidRPr="007A2F89">
              <w:rPr>
                <w:i/>
                <w:iCs/>
                <w:sz w:val="20"/>
                <w:szCs w:val="20"/>
              </w:rPr>
              <w:t xml:space="preserve">10-49 </w:t>
            </w:r>
          </w:p>
          <w:p w14:paraId="4E35A93F" w14:textId="3F10CE80" w:rsidR="00480276" w:rsidRPr="007A2F89" w:rsidRDefault="00E55E93" w:rsidP="007A2F89">
            <w:pPr>
              <w:rPr>
                <w:i/>
                <w:iCs/>
                <w:sz w:val="20"/>
                <w:szCs w:val="20"/>
              </w:rPr>
            </w:pPr>
            <w:r w:rsidRPr="007A2F89">
              <w:rPr>
                <w:i/>
                <w:iCs/>
                <w:sz w:val="20"/>
                <w:szCs w:val="20"/>
              </w:rPr>
              <w:t>Employees</w:t>
            </w:r>
          </w:p>
        </w:tc>
        <w:tc>
          <w:tcPr>
            <w:tcW w:w="1361" w:type="dxa"/>
            <w:tcBorders>
              <w:top w:val="single" w:sz="4" w:space="0" w:color="auto"/>
              <w:left w:val="nil"/>
              <w:bottom w:val="single" w:sz="4" w:space="0" w:color="auto"/>
              <w:right w:val="single" w:sz="4" w:space="0" w:color="auto"/>
            </w:tcBorders>
            <w:vAlign w:val="center"/>
          </w:tcPr>
          <w:p w14:paraId="247A1F6A" w14:textId="7C13EF3C" w:rsidR="007063FA" w:rsidRPr="007A2F89" w:rsidRDefault="00480276" w:rsidP="007A2F89">
            <w:pPr>
              <w:rPr>
                <w:i/>
                <w:iCs/>
                <w:sz w:val="20"/>
                <w:szCs w:val="20"/>
              </w:rPr>
            </w:pPr>
            <w:r w:rsidRPr="007A2F89">
              <w:rPr>
                <w:i/>
                <w:iCs/>
                <w:sz w:val="20"/>
                <w:szCs w:val="20"/>
              </w:rPr>
              <w:t>50 +</w:t>
            </w:r>
          </w:p>
          <w:p w14:paraId="7BAAB724" w14:textId="0734D832" w:rsidR="00480276" w:rsidRPr="007A2F89" w:rsidRDefault="00E55E93" w:rsidP="007A2F89">
            <w:pPr>
              <w:rPr>
                <w:i/>
                <w:iCs/>
                <w:sz w:val="20"/>
                <w:szCs w:val="20"/>
              </w:rPr>
            </w:pPr>
            <w:r w:rsidRPr="007A2F89">
              <w:rPr>
                <w:i/>
                <w:iCs/>
                <w:sz w:val="20"/>
                <w:szCs w:val="20"/>
              </w:rPr>
              <w:t>Employees</w:t>
            </w:r>
          </w:p>
        </w:tc>
        <w:tc>
          <w:tcPr>
            <w:tcW w:w="1361" w:type="dxa"/>
            <w:tcBorders>
              <w:top w:val="single" w:sz="4" w:space="0" w:color="auto"/>
              <w:left w:val="single" w:sz="4" w:space="0" w:color="auto"/>
              <w:bottom w:val="single" w:sz="4" w:space="0" w:color="auto"/>
              <w:right w:val="nil"/>
            </w:tcBorders>
            <w:vAlign w:val="center"/>
          </w:tcPr>
          <w:p w14:paraId="5F40D770" w14:textId="205D950F" w:rsidR="00480276" w:rsidRPr="007A2F89" w:rsidRDefault="00480276" w:rsidP="007A2F89">
            <w:pPr>
              <w:rPr>
                <w:i/>
                <w:iCs/>
                <w:sz w:val="20"/>
                <w:szCs w:val="20"/>
              </w:rPr>
            </w:pPr>
            <w:r w:rsidRPr="007A2F89">
              <w:rPr>
                <w:i/>
                <w:iCs/>
                <w:sz w:val="20"/>
                <w:szCs w:val="20"/>
              </w:rPr>
              <w:t>Total</w:t>
            </w:r>
          </w:p>
        </w:tc>
      </w:tr>
      <w:tr w:rsidR="00480276" w:rsidRPr="007A2F89" w14:paraId="40A026BE" w14:textId="77777777" w:rsidTr="004B06A2">
        <w:trPr>
          <w:trHeight w:val="20"/>
          <w:jc w:val="center"/>
        </w:trPr>
        <w:tc>
          <w:tcPr>
            <w:tcW w:w="1361" w:type="dxa"/>
            <w:tcBorders>
              <w:top w:val="single" w:sz="4" w:space="0" w:color="auto"/>
              <w:left w:val="nil"/>
              <w:bottom w:val="nil"/>
              <w:right w:val="single" w:sz="4" w:space="0" w:color="auto"/>
            </w:tcBorders>
            <w:vAlign w:val="center"/>
          </w:tcPr>
          <w:p w14:paraId="6E9FDE2D" w14:textId="55D0712E" w:rsidR="00480276" w:rsidRPr="007A2F89" w:rsidRDefault="00480276" w:rsidP="007A2F89">
            <w:pPr>
              <w:rPr>
                <w:sz w:val="20"/>
                <w:szCs w:val="20"/>
              </w:rPr>
            </w:pPr>
            <w:r w:rsidRPr="007A2F89">
              <w:rPr>
                <w:sz w:val="20"/>
                <w:szCs w:val="20"/>
              </w:rPr>
              <w:t xml:space="preserve">0-19 </w:t>
            </w:r>
            <w:r w:rsidR="00E55E93" w:rsidRPr="007A2F89">
              <w:rPr>
                <w:sz w:val="20"/>
                <w:szCs w:val="20"/>
              </w:rPr>
              <w:t>years</w:t>
            </w:r>
          </w:p>
        </w:tc>
        <w:tc>
          <w:tcPr>
            <w:tcW w:w="1361" w:type="dxa"/>
            <w:tcBorders>
              <w:top w:val="single" w:sz="4" w:space="0" w:color="auto"/>
              <w:left w:val="single" w:sz="4" w:space="0" w:color="auto"/>
              <w:bottom w:val="nil"/>
              <w:right w:val="nil"/>
            </w:tcBorders>
          </w:tcPr>
          <w:p w14:paraId="061B4EF9" w14:textId="77777777" w:rsidR="00480276" w:rsidRPr="007A2F89" w:rsidRDefault="00480276" w:rsidP="007A2F89">
            <w:pPr>
              <w:rPr>
                <w:sz w:val="20"/>
                <w:szCs w:val="20"/>
              </w:rPr>
            </w:pPr>
            <w:r w:rsidRPr="007A2F89">
              <w:rPr>
                <w:sz w:val="20"/>
                <w:szCs w:val="20"/>
              </w:rPr>
              <w:t>7 (1,4%)</w:t>
            </w:r>
          </w:p>
        </w:tc>
        <w:tc>
          <w:tcPr>
            <w:tcW w:w="1361" w:type="dxa"/>
            <w:tcBorders>
              <w:top w:val="single" w:sz="4" w:space="0" w:color="auto"/>
              <w:left w:val="nil"/>
              <w:bottom w:val="nil"/>
              <w:right w:val="nil"/>
            </w:tcBorders>
          </w:tcPr>
          <w:p w14:paraId="60B16C37" w14:textId="77777777" w:rsidR="00480276" w:rsidRPr="007A2F89" w:rsidRDefault="00480276" w:rsidP="007A2F89">
            <w:pPr>
              <w:rPr>
                <w:sz w:val="20"/>
                <w:szCs w:val="20"/>
              </w:rPr>
            </w:pPr>
            <w:r w:rsidRPr="007A2F89">
              <w:rPr>
                <w:sz w:val="20"/>
                <w:szCs w:val="20"/>
              </w:rPr>
              <w:t>14 (2,85%)</w:t>
            </w:r>
          </w:p>
        </w:tc>
        <w:tc>
          <w:tcPr>
            <w:tcW w:w="1361" w:type="dxa"/>
            <w:tcBorders>
              <w:top w:val="single" w:sz="4" w:space="0" w:color="auto"/>
              <w:left w:val="nil"/>
              <w:bottom w:val="nil"/>
              <w:right w:val="single" w:sz="4" w:space="0" w:color="auto"/>
            </w:tcBorders>
          </w:tcPr>
          <w:p w14:paraId="119157F2" w14:textId="77777777" w:rsidR="00480276" w:rsidRPr="007A2F89" w:rsidRDefault="00480276" w:rsidP="007A2F89">
            <w:pPr>
              <w:rPr>
                <w:sz w:val="20"/>
                <w:szCs w:val="20"/>
              </w:rPr>
            </w:pPr>
            <w:r w:rsidRPr="007A2F89">
              <w:rPr>
                <w:sz w:val="20"/>
                <w:szCs w:val="20"/>
              </w:rPr>
              <w:t>9 (1,83%)</w:t>
            </w:r>
          </w:p>
        </w:tc>
        <w:tc>
          <w:tcPr>
            <w:tcW w:w="1361" w:type="dxa"/>
            <w:tcBorders>
              <w:top w:val="single" w:sz="4" w:space="0" w:color="auto"/>
              <w:left w:val="single" w:sz="4" w:space="0" w:color="auto"/>
              <w:bottom w:val="nil"/>
              <w:right w:val="nil"/>
            </w:tcBorders>
          </w:tcPr>
          <w:p w14:paraId="0FE789DA" w14:textId="77777777" w:rsidR="00480276" w:rsidRPr="007A2F89" w:rsidRDefault="00480276" w:rsidP="007A2F89">
            <w:pPr>
              <w:rPr>
                <w:sz w:val="20"/>
                <w:szCs w:val="20"/>
              </w:rPr>
            </w:pPr>
            <w:r w:rsidRPr="007A2F89">
              <w:rPr>
                <w:sz w:val="20"/>
                <w:szCs w:val="20"/>
              </w:rPr>
              <w:t>30 (6,12%)</w:t>
            </w:r>
          </w:p>
        </w:tc>
      </w:tr>
      <w:tr w:rsidR="00480276" w:rsidRPr="007A2F89" w14:paraId="55677444" w14:textId="77777777" w:rsidTr="004B06A2">
        <w:trPr>
          <w:trHeight w:val="20"/>
          <w:jc w:val="center"/>
        </w:trPr>
        <w:tc>
          <w:tcPr>
            <w:tcW w:w="1361" w:type="dxa"/>
            <w:tcBorders>
              <w:top w:val="nil"/>
              <w:left w:val="nil"/>
              <w:bottom w:val="nil"/>
              <w:right w:val="single" w:sz="4" w:space="0" w:color="auto"/>
            </w:tcBorders>
            <w:vAlign w:val="center"/>
          </w:tcPr>
          <w:p w14:paraId="5AFB29DA" w14:textId="6B8965BB" w:rsidR="00480276" w:rsidRPr="007A2F89" w:rsidRDefault="00480276" w:rsidP="007A2F89">
            <w:pPr>
              <w:rPr>
                <w:sz w:val="20"/>
                <w:szCs w:val="20"/>
              </w:rPr>
            </w:pPr>
            <w:r w:rsidRPr="007A2F89">
              <w:rPr>
                <w:sz w:val="20"/>
                <w:szCs w:val="20"/>
              </w:rPr>
              <w:t xml:space="preserve">20-29 </w:t>
            </w:r>
            <w:r w:rsidR="00E55E93" w:rsidRPr="007A2F89">
              <w:rPr>
                <w:sz w:val="20"/>
                <w:szCs w:val="20"/>
              </w:rPr>
              <w:t>years</w:t>
            </w:r>
          </w:p>
        </w:tc>
        <w:tc>
          <w:tcPr>
            <w:tcW w:w="1361" w:type="dxa"/>
            <w:tcBorders>
              <w:top w:val="nil"/>
              <w:left w:val="single" w:sz="4" w:space="0" w:color="auto"/>
              <w:bottom w:val="nil"/>
              <w:right w:val="nil"/>
            </w:tcBorders>
          </w:tcPr>
          <w:p w14:paraId="7081806F" w14:textId="77777777" w:rsidR="00480276" w:rsidRPr="007A2F89" w:rsidRDefault="00480276" w:rsidP="007A2F89">
            <w:pPr>
              <w:rPr>
                <w:sz w:val="20"/>
                <w:szCs w:val="20"/>
              </w:rPr>
            </w:pPr>
            <w:r w:rsidRPr="007A2F89">
              <w:rPr>
                <w:sz w:val="20"/>
                <w:szCs w:val="20"/>
              </w:rPr>
              <w:t xml:space="preserve">0 </w:t>
            </w:r>
          </w:p>
        </w:tc>
        <w:tc>
          <w:tcPr>
            <w:tcW w:w="1361" w:type="dxa"/>
            <w:tcBorders>
              <w:top w:val="nil"/>
              <w:left w:val="nil"/>
              <w:bottom w:val="nil"/>
              <w:right w:val="nil"/>
            </w:tcBorders>
          </w:tcPr>
          <w:p w14:paraId="33292646" w14:textId="77777777" w:rsidR="00480276" w:rsidRPr="007A2F89" w:rsidRDefault="00480276" w:rsidP="007A2F89">
            <w:pPr>
              <w:rPr>
                <w:sz w:val="20"/>
                <w:szCs w:val="20"/>
              </w:rPr>
            </w:pPr>
            <w:r w:rsidRPr="007A2F89">
              <w:rPr>
                <w:sz w:val="20"/>
                <w:szCs w:val="20"/>
              </w:rPr>
              <w:t>25 (5,10%)</w:t>
            </w:r>
          </w:p>
        </w:tc>
        <w:tc>
          <w:tcPr>
            <w:tcW w:w="1361" w:type="dxa"/>
            <w:tcBorders>
              <w:top w:val="nil"/>
              <w:left w:val="nil"/>
              <w:bottom w:val="nil"/>
              <w:right w:val="single" w:sz="4" w:space="0" w:color="auto"/>
            </w:tcBorders>
          </w:tcPr>
          <w:p w14:paraId="4CAE2053" w14:textId="77777777" w:rsidR="00480276" w:rsidRPr="007A2F89" w:rsidRDefault="00480276" w:rsidP="007A2F89">
            <w:pPr>
              <w:rPr>
                <w:sz w:val="20"/>
                <w:szCs w:val="20"/>
              </w:rPr>
            </w:pPr>
            <w:r w:rsidRPr="007A2F89">
              <w:rPr>
                <w:sz w:val="20"/>
                <w:szCs w:val="20"/>
              </w:rPr>
              <w:t>9 (1,83%)</w:t>
            </w:r>
          </w:p>
        </w:tc>
        <w:tc>
          <w:tcPr>
            <w:tcW w:w="1361" w:type="dxa"/>
            <w:tcBorders>
              <w:top w:val="nil"/>
              <w:left w:val="single" w:sz="4" w:space="0" w:color="auto"/>
              <w:bottom w:val="nil"/>
              <w:right w:val="nil"/>
            </w:tcBorders>
          </w:tcPr>
          <w:p w14:paraId="4F1AE246" w14:textId="77777777" w:rsidR="00480276" w:rsidRPr="007A2F89" w:rsidRDefault="00480276" w:rsidP="007A2F89">
            <w:pPr>
              <w:rPr>
                <w:sz w:val="20"/>
                <w:szCs w:val="20"/>
              </w:rPr>
            </w:pPr>
            <w:r w:rsidRPr="007A2F89">
              <w:rPr>
                <w:sz w:val="20"/>
                <w:szCs w:val="20"/>
              </w:rPr>
              <w:t>34 (6,93%)</w:t>
            </w:r>
          </w:p>
        </w:tc>
      </w:tr>
      <w:tr w:rsidR="00480276" w:rsidRPr="007A2F89" w14:paraId="22587E5E" w14:textId="77777777" w:rsidTr="004B06A2">
        <w:trPr>
          <w:trHeight w:val="20"/>
          <w:jc w:val="center"/>
        </w:trPr>
        <w:tc>
          <w:tcPr>
            <w:tcW w:w="1361" w:type="dxa"/>
            <w:tcBorders>
              <w:top w:val="nil"/>
              <w:left w:val="nil"/>
              <w:bottom w:val="single" w:sz="4" w:space="0" w:color="auto"/>
              <w:right w:val="single" w:sz="4" w:space="0" w:color="auto"/>
            </w:tcBorders>
            <w:vAlign w:val="center"/>
          </w:tcPr>
          <w:p w14:paraId="7CE43090" w14:textId="3C07D7AB" w:rsidR="00480276" w:rsidRPr="007A2F89" w:rsidRDefault="00480276" w:rsidP="007A2F89">
            <w:pPr>
              <w:rPr>
                <w:sz w:val="20"/>
                <w:szCs w:val="20"/>
              </w:rPr>
            </w:pPr>
            <w:r w:rsidRPr="007A2F89">
              <w:rPr>
                <w:sz w:val="20"/>
                <w:szCs w:val="20"/>
              </w:rPr>
              <w:t xml:space="preserve">30+ </w:t>
            </w:r>
            <w:r w:rsidR="00E55E93" w:rsidRPr="007A2F89">
              <w:rPr>
                <w:sz w:val="20"/>
                <w:szCs w:val="20"/>
              </w:rPr>
              <w:t>years</w:t>
            </w:r>
          </w:p>
        </w:tc>
        <w:tc>
          <w:tcPr>
            <w:tcW w:w="1361" w:type="dxa"/>
            <w:tcBorders>
              <w:top w:val="nil"/>
              <w:left w:val="single" w:sz="4" w:space="0" w:color="auto"/>
              <w:bottom w:val="single" w:sz="4" w:space="0" w:color="auto"/>
              <w:right w:val="nil"/>
            </w:tcBorders>
          </w:tcPr>
          <w:p w14:paraId="5927F8AD" w14:textId="77777777" w:rsidR="00480276" w:rsidRPr="007A2F89" w:rsidRDefault="00480276" w:rsidP="007A2F89">
            <w:pPr>
              <w:rPr>
                <w:sz w:val="20"/>
                <w:szCs w:val="20"/>
              </w:rPr>
            </w:pPr>
            <w:r w:rsidRPr="007A2F89">
              <w:rPr>
                <w:sz w:val="20"/>
                <w:szCs w:val="20"/>
              </w:rPr>
              <w:t>5 (2,35%)</w:t>
            </w:r>
          </w:p>
        </w:tc>
        <w:tc>
          <w:tcPr>
            <w:tcW w:w="1361" w:type="dxa"/>
            <w:tcBorders>
              <w:top w:val="nil"/>
              <w:left w:val="nil"/>
              <w:bottom w:val="single" w:sz="4" w:space="0" w:color="auto"/>
              <w:right w:val="nil"/>
            </w:tcBorders>
          </w:tcPr>
          <w:p w14:paraId="6D7BE222" w14:textId="77777777" w:rsidR="00480276" w:rsidRPr="007A2F89" w:rsidRDefault="00480276" w:rsidP="007A2F89">
            <w:pPr>
              <w:rPr>
                <w:sz w:val="20"/>
                <w:szCs w:val="20"/>
              </w:rPr>
            </w:pPr>
            <w:r w:rsidRPr="007A2F89">
              <w:rPr>
                <w:sz w:val="20"/>
                <w:szCs w:val="20"/>
              </w:rPr>
              <w:t>12 (2,44%)</w:t>
            </w:r>
          </w:p>
        </w:tc>
        <w:tc>
          <w:tcPr>
            <w:tcW w:w="1361" w:type="dxa"/>
            <w:tcBorders>
              <w:top w:val="nil"/>
              <w:left w:val="nil"/>
              <w:bottom w:val="single" w:sz="4" w:space="0" w:color="auto"/>
              <w:right w:val="single" w:sz="4" w:space="0" w:color="auto"/>
            </w:tcBorders>
          </w:tcPr>
          <w:p w14:paraId="449F11A9" w14:textId="77777777" w:rsidR="00480276" w:rsidRPr="007A2F89" w:rsidRDefault="00480276" w:rsidP="007A2F89">
            <w:pPr>
              <w:rPr>
                <w:sz w:val="20"/>
                <w:szCs w:val="20"/>
              </w:rPr>
            </w:pPr>
            <w:r w:rsidRPr="007A2F89">
              <w:rPr>
                <w:sz w:val="20"/>
                <w:szCs w:val="20"/>
              </w:rPr>
              <w:t>14 (2,85%)</w:t>
            </w:r>
          </w:p>
        </w:tc>
        <w:tc>
          <w:tcPr>
            <w:tcW w:w="1361" w:type="dxa"/>
            <w:tcBorders>
              <w:top w:val="nil"/>
              <w:left w:val="single" w:sz="4" w:space="0" w:color="auto"/>
              <w:bottom w:val="single" w:sz="4" w:space="0" w:color="auto"/>
              <w:right w:val="nil"/>
            </w:tcBorders>
          </w:tcPr>
          <w:p w14:paraId="25755C09" w14:textId="77777777" w:rsidR="00480276" w:rsidRPr="007A2F89" w:rsidRDefault="00480276" w:rsidP="007A2F89">
            <w:pPr>
              <w:rPr>
                <w:sz w:val="20"/>
                <w:szCs w:val="20"/>
              </w:rPr>
            </w:pPr>
            <w:r w:rsidRPr="007A2F89">
              <w:rPr>
                <w:sz w:val="20"/>
                <w:szCs w:val="20"/>
              </w:rPr>
              <w:t>31 (6,32%)</w:t>
            </w:r>
          </w:p>
        </w:tc>
      </w:tr>
      <w:tr w:rsidR="00480276" w:rsidRPr="007A2F89" w14:paraId="66E14E7B" w14:textId="77777777" w:rsidTr="004B06A2">
        <w:trPr>
          <w:trHeight w:val="20"/>
          <w:jc w:val="center"/>
        </w:trPr>
        <w:tc>
          <w:tcPr>
            <w:tcW w:w="1361" w:type="dxa"/>
            <w:tcBorders>
              <w:top w:val="single" w:sz="4" w:space="0" w:color="auto"/>
              <w:left w:val="nil"/>
              <w:bottom w:val="nil"/>
              <w:right w:val="single" w:sz="4" w:space="0" w:color="auto"/>
            </w:tcBorders>
            <w:vAlign w:val="center"/>
          </w:tcPr>
          <w:p w14:paraId="37F49F5C" w14:textId="3A979B70"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bottom w:val="nil"/>
              <w:right w:val="nil"/>
            </w:tcBorders>
          </w:tcPr>
          <w:p w14:paraId="3E9263A4" w14:textId="77777777" w:rsidR="00480276" w:rsidRPr="007A2F89" w:rsidRDefault="00480276" w:rsidP="007A2F89">
            <w:pPr>
              <w:rPr>
                <w:sz w:val="20"/>
                <w:szCs w:val="20"/>
              </w:rPr>
            </w:pPr>
            <w:r w:rsidRPr="007A2F89">
              <w:rPr>
                <w:sz w:val="20"/>
                <w:szCs w:val="20"/>
              </w:rPr>
              <w:t>12 (2,44%)</w:t>
            </w:r>
          </w:p>
        </w:tc>
        <w:tc>
          <w:tcPr>
            <w:tcW w:w="1361" w:type="dxa"/>
            <w:tcBorders>
              <w:top w:val="single" w:sz="4" w:space="0" w:color="auto"/>
              <w:left w:val="nil"/>
              <w:bottom w:val="nil"/>
              <w:right w:val="nil"/>
            </w:tcBorders>
          </w:tcPr>
          <w:p w14:paraId="11054E8B" w14:textId="77777777" w:rsidR="00480276" w:rsidRPr="007A2F89" w:rsidRDefault="00480276" w:rsidP="007A2F89">
            <w:pPr>
              <w:rPr>
                <w:sz w:val="20"/>
                <w:szCs w:val="20"/>
              </w:rPr>
            </w:pPr>
            <w:r w:rsidRPr="007A2F89">
              <w:rPr>
                <w:sz w:val="20"/>
                <w:szCs w:val="20"/>
              </w:rPr>
              <w:t>51 (10,37%)</w:t>
            </w:r>
          </w:p>
        </w:tc>
        <w:tc>
          <w:tcPr>
            <w:tcW w:w="1361" w:type="dxa"/>
            <w:tcBorders>
              <w:top w:val="single" w:sz="4" w:space="0" w:color="auto"/>
              <w:left w:val="nil"/>
              <w:bottom w:val="nil"/>
              <w:right w:val="single" w:sz="4" w:space="0" w:color="auto"/>
            </w:tcBorders>
          </w:tcPr>
          <w:p w14:paraId="13A2D44F" w14:textId="77777777" w:rsidR="00480276" w:rsidRPr="007A2F89" w:rsidRDefault="00480276" w:rsidP="007A2F89">
            <w:pPr>
              <w:rPr>
                <w:sz w:val="20"/>
                <w:szCs w:val="20"/>
              </w:rPr>
            </w:pPr>
            <w:r w:rsidRPr="007A2F89">
              <w:rPr>
                <w:sz w:val="20"/>
                <w:szCs w:val="20"/>
              </w:rPr>
              <w:t>32 (6,53%)</w:t>
            </w:r>
          </w:p>
        </w:tc>
        <w:tc>
          <w:tcPr>
            <w:tcW w:w="1361" w:type="dxa"/>
            <w:tcBorders>
              <w:top w:val="single" w:sz="4" w:space="0" w:color="auto"/>
              <w:left w:val="single" w:sz="4" w:space="0" w:color="auto"/>
              <w:bottom w:val="nil"/>
              <w:right w:val="nil"/>
            </w:tcBorders>
          </w:tcPr>
          <w:p w14:paraId="68B79BCF" w14:textId="77777777" w:rsidR="00480276" w:rsidRPr="007A2F89" w:rsidRDefault="00480276" w:rsidP="007A2F89">
            <w:pPr>
              <w:rPr>
                <w:sz w:val="20"/>
                <w:szCs w:val="20"/>
              </w:rPr>
            </w:pPr>
            <w:r w:rsidRPr="007A2F89">
              <w:rPr>
                <w:sz w:val="20"/>
                <w:szCs w:val="20"/>
              </w:rPr>
              <w:t>95 (19,38%)</w:t>
            </w:r>
          </w:p>
        </w:tc>
      </w:tr>
    </w:tbl>
    <w:p w14:paraId="6C8CAF4E" w14:textId="77777777" w:rsidR="00480276" w:rsidRPr="007A2F89" w:rsidRDefault="00480276" w:rsidP="007A2F89">
      <w:pPr>
        <w:rPr>
          <w:rFonts w:ascii="Times New Roman" w:hAnsi="Times New Roman"/>
          <w:b/>
          <w:bCs/>
        </w:rPr>
      </w:pPr>
    </w:p>
    <w:tbl>
      <w:tblPr>
        <w:tblStyle w:val="Grigliatabella"/>
        <w:tblW w:w="68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1"/>
        <w:gridCol w:w="1361"/>
        <w:gridCol w:w="1361"/>
        <w:gridCol w:w="1361"/>
        <w:gridCol w:w="1361"/>
      </w:tblGrid>
      <w:tr w:rsidR="007063FA" w:rsidRPr="007A2F89" w14:paraId="42DC99BE" w14:textId="77777777" w:rsidTr="004B06A2">
        <w:trPr>
          <w:trHeight w:val="20"/>
          <w:jc w:val="center"/>
        </w:trPr>
        <w:tc>
          <w:tcPr>
            <w:tcW w:w="6805" w:type="dxa"/>
            <w:gridSpan w:val="5"/>
            <w:vAlign w:val="center"/>
          </w:tcPr>
          <w:p w14:paraId="6C2E2F61" w14:textId="213875FE" w:rsidR="007063FA" w:rsidRPr="007A2F89" w:rsidRDefault="007063FA" w:rsidP="007A2F89">
            <w:pPr>
              <w:rPr>
                <w:i/>
                <w:iCs/>
                <w:sz w:val="20"/>
                <w:szCs w:val="20"/>
              </w:rPr>
            </w:pPr>
            <w:r w:rsidRPr="007A2F89">
              <w:rPr>
                <w:i/>
                <w:iCs/>
                <w:sz w:val="20"/>
                <w:szCs w:val="20"/>
              </w:rPr>
              <w:t>TERAMO</w:t>
            </w:r>
          </w:p>
        </w:tc>
      </w:tr>
      <w:tr w:rsidR="007063FA" w:rsidRPr="007A2F89" w14:paraId="6CAF84DE" w14:textId="77777777" w:rsidTr="004B06A2">
        <w:trPr>
          <w:trHeight w:val="20"/>
          <w:jc w:val="center"/>
        </w:trPr>
        <w:tc>
          <w:tcPr>
            <w:tcW w:w="1361" w:type="dxa"/>
            <w:tcBorders>
              <w:top w:val="single" w:sz="4" w:space="0" w:color="auto"/>
              <w:right w:val="single" w:sz="4" w:space="0" w:color="auto"/>
            </w:tcBorders>
            <w:vAlign w:val="center"/>
          </w:tcPr>
          <w:p w14:paraId="2402F175" w14:textId="77777777" w:rsidR="007063FA" w:rsidRPr="007A2F89" w:rsidRDefault="007063FA" w:rsidP="007A2F89">
            <w:pPr>
              <w:rPr>
                <w:i/>
                <w:iCs/>
                <w:sz w:val="20"/>
                <w:szCs w:val="20"/>
              </w:rPr>
            </w:pPr>
          </w:p>
        </w:tc>
        <w:tc>
          <w:tcPr>
            <w:tcW w:w="4083" w:type="dxa"/>
            <w:gridSpan w:val="3"/>
            <w:tcBorders>
              <w:top w:val="single" w:sz="4" w:space="0" w:color="auto"/>
              <w:left w:val="single" w:sz="4" w:space="0" w:color="auto"/>
              <w:right w:val="single" w:sz="4" w:space="0" w:color="auto"/>
            </w:tcBorders>
            <w:vAlign w:val="center"/>
          </w:tcPr>
          <w:p w14:paraId="1FF5CA68" w14:textId="3F09B8BB" w:rsidR="007063FA" w:rsidRPr="007A2F89" w:rsidRDefault="00F15875" w:rsidP="007A2F89">
            <w:pPr>
              <w:rPr>
                <w:i/>
                <w:iCs/>
                <w:sz w:val="20"/>
                <w:szCs w:val="20"/>
              </w:rPr>
            </w:pPr>
            <w:r w:rsidRPr="007A2F89">
              <w:rPr>
                <w:i/>
                <w:iCs/>
                <w:sz w:val="20"/>
                <w:szCs w:val="20"/>
              </w:rPr>
              <w:t>SIZE</w:t>
            </w:r>
          </w:p>
        </w:tc>
        <w:tc>
          <w:tcPr>
            <w:tcW w:w="1361" w:type="dxa"/>
            <w:tcBorders>
              <w:left w:val="single" w:sz="4" w:space="0" w:color="auto"/>
            </w:tcBorders>
            <w:vAlign w:val="center"/>
          </w:tcPr>
          <w:p w14:paraId="3362B466" w14:textId="77777777" w:rsidR="007063FA" w:rsidRPr="007A2F89" w:rsidRDefault="007063FA" w:rsidP="007A2F89">
            <w:pPr>
              <w:rPr>
                <w:i/>
                <w:iCs/>
                <w:sz w:val="20"/>
                <w:szCs w:val="20"/>
              </w:rPr>
            </w:pPr>
          </w:p>
        </w:tc>
      </w:tr>
      <w:tr w:rsidR="00480276" w:rsidRPr="007A2F89" w14:paraId="02FAD7D0" w14:textId="77777777" w:rsidTr="004B06A2">
        <w:trPr>
          <w:trHeight w:val="20"/>
          <w:jc w:val="center"/>
        </w:trPr>
        <w:tc>
          <w:tcPr>
            <w:tcW w:w="1361" w:type="dxa"/>
            <w:tcBorders>
              <w:bottom w:val="single" w:sz="4" w:space="0" w:color="auto"/>
              <w:right w:val="single" w:sz="4" w:space="0" w:color="auto"/>
            </w:tcBorders>
            <w:vAlign w:val="center"/>
          </w:tcPr>
          <w:p w14:paraId="2489345B" w14:textId="3E70765F" w:rsidR="00480276" w:rsidRPr="007A2F89" w:rsidRDefault="00E55E93" w:rsidP="007A2F89">
            <w:pPr>
              <w:rPr>
                <w:i/>
                <w:iCs/>
                <w:sz w:val="20"/>
                <w:szCs w:val="20"/>
              </w:rPr>
            </w:pPr>
            <w:r w:rsidRPr="007A2F89">
              <w:rPr>
                <w:i/>
                <w:iCs/>
                <w:sz w:val="20"/>
                <w:szCs w:val="20"/>
              </w:rPr>
              <w:t>AGE</w:t>
            </w:r>
          </w:p>
        </w:tc>
        <w:tc>
          <w:tcPr>
            <w:tcW w:w="1361" w:type="dxa"/>
            <w:tcBorders>
              <w:left w:val="single" w:sz="4" w:space="0" w:color="auto"/>
              <w:bottom w:val="single" w:sz="4" w:space="0" w:color="auto"/>
            </w:tcBorders>
            <w:vAlign w:val="center"/>
          </w:tcPr>
          <w:p w14:paraId="2850D056" w14:textId="77777777" w:rsidR="007063FA" w:rsidRPr="007A2F89" w:rsidRDefault="00480276" w:rsidP="007A2F89">
            <w:pPr>
              <w:rPr>
                <w:i/>
                <w:iCs/>
                <w:sz w:val="20"/>
                <w:szCs w:val="20"/>
              </w:rPr>
            </w:pPr>
            <w:r w:rsidRPr="007A2F89">
              <w:rPr>
                <w:i/>
                <w:iCs/>
                <w:sz w:val="20"/>
                <w:szCs w:val="20"/>
              </w:rPr>
              <w:t xml:space="preserve">0-9 </w:t>
            </w:r>
          </w:p>
          <w:p w14:paraId="3EAA5CB4" w14:textId="72D8240E" w:rsidR="00480276" w:rsidRPr="007A2F89" w:rsidRDefault="00E55E93" w:rsidP="007A2F89">
            <w:pPr>
              <w:rPr>
                <w:i/>
                <w:iCs/>
                <w:sz w:val="20"/>
                <w:szCs w:val="20"/>
              </w:rPr>
            </w:pPr>
            <w:r w:rsidRPr="007A2F89">
              <w:rPr>
                <w:i/>
                <w:iCs/>
                <w:sz w:val="20"/>
                <w:szCs w:val="20"/>
              </w:rPr>
              <w:t>Employees</w:t>
            </w:r>
          </w:p>
        </w:tc>
        <w:tc>
          <w:tcPr>
            <w:tcW w:w="1361" w:type="dxa"/>
            <w:tcBorders>
              <w:bottom w:val="single" w:sz="4" w:space="0" w:color="auto"/>
            </w:tcBorders>
            <w:vAlign w:val="center"/>
          </w:tcPr>
          <w:p w14:paraId="45361EEA" w14:textId="77777777" w:rsidR="007063FA" w:rsidRPr="007A2F89" w:rsidRDefault="00480276" w:rsidP="007A2F89">
            <w:pPr>
              <w:rPr>
                <w:i/>
                <w:iCs/>
                <w:sz w:val="20"/>
                <w:szCs w:val="20"/>
              </w:rPr>
            </w:pPr>
            <w:r w:rsidRPr="007A2F89">
              <w:rPr>
                <w:i/>
                <w:iCs/>
                <w:sz w:val="20"/>
                <w:szCs w:val="20"/>
              </w:rPr>
              <w:t xml:space="preserve">10-49 </w:t>
            </w:r>
          </w:p>
          <w:p w14:paraId="28B33078" w14:textId="50178D2A" w:rsidR="00480276" w:rsidRPr="007A2F89" w:rsidRDefault="00E55E93" w:rsidP="007A2F89">
            <w:pPr>
              <w:rPr>
                <w:i/>
                <w:iCs/>
                <w:sz w:val="20"/>
                <w:szCs w:val="20"/>
              </w:rPr>
            </w:pPr>
            <w:r w:rsidRPr="007A2F89">
              <w:rPr>
                <w:i/>
                <w:iCs/>
                <w:sz w:val="20"/>
                <w:szCs w:val="20"/>
              </w:rPr>
              <w:t>Employees</w:t>
            </w:r>
          </w:p>
        </w:tc>
        <w:tc>
          <w:tcPr>
            <w:tcW w:w="1361" w:type="dxa"/>
            <w:tcBorders>
              <w:bottom w:val="single" w:sz="4" w:space="0" w:color="auto"/>
              <w:right w:val="single" w:sz="4" w:space="0" w:color="auto"/>
            </w:tcBorders>
            <w:vAlign w:val="center"/>
          </w:tcPr>
          <w:p w14:paraId="46AFBE19" w14:textId="77777777" w:rsidR="007063FA" w:rsidRPr="007A2F89" w:rsidRDefault="00480276" w:rsidP="007A2F89">
            <w:pPr>
              <w:rPr>
                <w:i/>
                <w:iCs/>
                <w:sz w:val="20"/>
                <w:szCs w:val="20"/>
              </w:rPr>
            </w:pPr>
            <w:r w:rsidRPr="007A2F89">
              <w:rPr>
                <w:i/>
                <w:iCs/>
                <w:sz w:val="20"/>
                <w:szCs w:val="20"/>
              </w:rPr>
              <w:t xml:space="preserve">50 + </w:t>
            </w:r>
          </w:p>
          <w:p w14:paraId="7D574594" w14:textId="60397FC1" w:rsidR="00480276" w:rsidRPr="007A2F89" w:rsidRDefault="00E55E93" w:rsidP="007A2F89">
            <w:pPr>
              <w:rPr>
                <w:i/>
                <w:iCs/>
                <w:sz w:val="20"/>
                <w:szCs w:val="20"/>
              </w:rPr>
            </w:pPr>
            <w:r w:rsidRPr="007A2F89">
              <w:rPr>
                <w:i/>
                <w:iCs/>
                <w:sz w:val="20"/>
                <w:szCs w:val="20"/>
              </w:rPr>
              <w:t>Employees</w:t>
            </w:r>
          </w:p>
        </w:tc>
        <w:tc>
          <w:tcPr>
            <w:tcW w:w="1361" w:type="dxa"/>
            <w:tcBorders>
              <w:left w:val="single" w:sz="4" w:space="0" w:color="auto"/>
              <w:bottom w:val="single" w:sz="4" w:space="0" w:color="auto"/>
            </w:tcBorders>
            <w:vAlign w:val="center"/>
          </w:tcPr>
          <w:p w14:paraId="181544BD" w14:textId="412C2742" w:rsidR="00480276" w:rsidRPr="007A2F89" w:rsidRDefault="00480276" w:rsidP="007A2F89">
            <w:pPr>
              <w:rPr>
                <w:i/>
                <w:iCs/>
                <w:sz w:val="20"/>
                <w:szCs w:val="20"/>
              </w:rPr>
            </w:pPr>
            <w:r w:rsidRPr="007A2F89">
              <w:rPr>
                <w:i/>
                <w:iCs/>
                <w:sz w:val="20"/>
                <w:szCs w:val="20"/>
              </w:rPr>
              <w:t>Total</w:t>
            </w:r>
          </w:p>
        </w:tc>
      </w:tr>
      <w:tr w:rsidR="00480276" w:rsidRPr="007A2F89" w14:paraId="0CA15AD8" w14:textId="77777777" w:rsidTr="004B06A2">
        <w:trPr>
          <w:trHeight w:val="20"/>
          <w:jc w:val="center"/>
        </w:trPr>
        <w:tc>
          <w:tcPr>
            <w:tcW w:w="1361" w:type="dxa"/>
            <w:tcBorders>
              <w:top w:val="single" w:sz="4" w:space="0" w:color="auto"/>
              <w:bottom w:val="nil"/>
              <w:right w:val="single" w:sz="4" w:space="0" w:color="auto"/>
            </w:tcBorders>
            <w:vAlign w:val="center"/>
          </w:tcPr>
          <w:p w14:paraId="6C35EF2C" w14:textId="041E1014" w:rsidR="00480276" w:rsidRPr="007A2F89" w:rsidRDefault="00480276" w:rsidP="007A2F89">
            <w:pPr>
              <w:rPr>
                <w:sz w:val="20"/>
                <w:szCs w:val="20"/>
              </w:rPr>
            </w:pPr>
            <w:r w:rsidRPr="007A2F89">
              <w:rPr>
                <w:sz w:val="20"/>
                <w:szCs w:val="20"/>
              </w:rPr>
              <w:t xml:space="preserve">0-19 </w:t>
            </w:r>
            <w:r w:rsidR="00E55E93" w:rsidRPr="007A2F89">
              <w:rPr>
                <w:sz w:val="20"/>
                <w:szCs w:val="20"/>
              </w:rPr>
              <w:t>years</w:t>
            </w:r>
          </w:p>
        </w:tc>
        <w:tc>
          <w:tcPr>
            <w:tcW w:w="1361" w:type="dxa"/>
            <w:tcBorders>
              <w:top w:val="single" w:sz="4" w:space="0" w:color="auto"/>
              <w:left w:val="single" w:sz="4" w:space="0" w:color="auto"/>
              <w:bottom w:val="nil"/>
            </w:tcBorders>
          </w:tcPr>
          <w:p w14:paraId="6C25560F" w14:textId="77777777" w:rsidR="00480276" w:rsidRPr="007A2F89" w:rsidRDefault="00480276" w:rsidP="007A2F89">
            <w:pPr>
              <w:rPr>
                <w:sz w:val="20"/>
                <w:szCs w:val="20"/>
              </w:rPr>
            </w:pPr>
            <w:r w:rsidRPr="007A2F89">
              <w:rPr>
                <w:sz w:val="20"/>
                <w:szCs w:val="20"/>
              </w:rPr>
              <w:t>5 (2,35%)</w:t>
            </w:r>
          </w:p>
        </w:tc>
        <w:tc>
          <w:tcPr>
            <w:tcW w:w="1361" w:type="dxa"/>
            <w:tcBorders>
              <w:top w:val="single" w:sz="4" w:space="0" w:color="auto"/>
              <w:bottom w:val="nil"/>
            </w:tcBorders>
          </w:tcPr>
          <w:p w14:paraId="6F635D94" w14:textId="77777777" w:rsidR="00480276" w:rsidRPr="007A2F89" w:rsidRDefault="00480276" w:rsidP="007A2F89">
            <w:pPr>
              <w:rPr>
                <w:sz w:val="20"/>
                <w:szCs w:val="20"/>
              </w:rPr>
            </w:pPr>
            <w:r w:rsidRPr="007A2F89">
              <w:rPr>
                <w:sz w:val="20"/>
                <w:szCs w:val="20"/>
              </w:rPr>
              <w:t>32 (6,53%)</w:t>
            </w:r>
          </w:p>
        </w:tc>
        <w:tc>
          <w:tcPr>
            <w:tcW w:w="1361" w:type="dxa"/>
            <w:tcBorders>
              <w:top w:val="single" w:sz="4" w:space="0" w:color="auto"/>
              <w:bottom w:val="nil"/>
              <w:right w:val="single" w:sz="4" w:space="0" w:color="auto"/>
            </w:tcBorders>
          </w:tcPr>
          <w:p w14:paraId="5209F8C4" w14:textId="77777777" w:rsidR="00480276" w:rsidRPr="007A2F89" w:rsidRDefault="00480276" w:rsidP="007A2F89">
            <w:pPr>
              <w:rPr>
                <w:sz w:val="20"/>
                <w:szCs w:val="20"/>
              </w:rPr>
            </w:pPr>
            <w:r w:rsidRPr="007A2F89">
              <w:rPr>
                <w:sz w:val="20"/>
                <w:szCs w:val="20"/>
              </w:rPr>
              <w:t>11 (2,24%)</w:t>
            </w:r>
          </w:p>
        </w:tc>
        <w:tc>
          <w:tcPr>
            <w:tcW w:w="1361" w:type="dxa"/>
            <w:tcBorders>
              <w:top w:val="single" w:sz="4" w:space="0" w:color="auto"/>
              <w:left w:val="single" w:sz="4" w:space="0" w:color="auto"/>
              <w:bottom w:val="nil"/>
            </w:tcBorders>
          </w:tcPr>
          <w:p w14:paraId="639956BC" w14:textId="77777777" w:rsidR="00480276" w:rsidRPr="007A2F89" w:rsidRDefault="00480276" w:rsidP="007A2F89">
            <w:pPr>
              <w:rPr>
                <w:sz w:val="20"/>
                <w:szCs w:val="20"/>
              </w:rPr>
            </w:pPr>
            <w:r w:rsidRPr="007A2F89">
              <w:rPr>
                <w:sz w:val="20"/>
                <w:szCs w:val="20"/>
              </w:rPr>
              <w:t>48 (9.79%)</w:t>
            </w:r>
          </w:p>
        </w:tc>
      </w:tr>
      <w:tr w:rsidR="00480276" w:rsidRPr="007A2F89" w14:paraId="66AD8E76" w14:textId="77777777" w:rsidTr="004B06A2">
        <w:trPr>
          <w:trHeight w:val="20"/>
          <w:jc w:val="center"/>
        </w:trPr>
        <w:tc>
          <w:tcPr>
            <w:tcW w:w="1361" w:type="dxa"/>
            <w:tcBorders>
              <w:top w:val="nil"/>
              <w:bottom w:val="nil"/>
              <w:right w:val="single" w:sz="4" w:space="0" w:color="auto"/>
            </w:tcBorders>
            <w:vAlign w:val="center"/>
          </w:tcPr>
          <w:p w14:paraId="2526BD34" w14:textId="4F729D77" w:rsidR="00480276" w:rsidRPr="007A2F89" w:rsidRDefault="00480276" w:rsidP="007A2F89">
            <w:pPr>
              <w:rPr>
                <w:sz w:val="20"/>
                <w:szCs w:val="20"/>
              </w:rPr>
            </w:pPr>
            <w:r w:rsidRPr="007A2F89">
              <w:rPr>
                <w:sz w:val="20"/>
                <w:szCs w:val="20"/>
              </w:rPr>
              <w:t xml:space="preserve">20-29 </w:t>
            </w:r>
            <w:r w:rsidR="00E55E93" w:rsidRPr="007A2F89">
              <w:rPr>
                <w:sz w:val="20"/>
                <w:szCs w:val="20"/>
              </w:rPr>
              <w:t>years</w:t>
            </w:r>
          </w:p>
        </w:tc>
        <w:tc>
          <w:tcPr>
            <w:tcW w:w="1361" w:type="dxa"/>
            <w:tcBorders>
              <w:top w:val="nil"/>
              <w:left w:val="single" w:sz="4" w:space="0" w:color="auto"/>
              <w:bottom w:val="nil"/>
            </w:tcBorders>
          </w:tcPr>
          <w:p w14:paraId="5A353839" w14:textId="77777777" w:rsidR="00480276" w:rsidRPr="007A2F89" w:rsidRDefault="00480276" w:rsidP="007A2F89">
            <w:pPr>
              <w:rPr>
                <w:sz w:val="20"/>
                <w:szCs w:val="20"/>
              </w:rPr>
            </w:pPr>
            <w:r w:rsidRPr="007A2F89">
              <w:rPr>
                <w:sz w:val="20"/>
                <w:szCs w:val="20"/>
              </w:rPr>
              <w:t>7 (1,4%)</w:t>
            </w:r>
          </w:p>
        </w:tc>
        <w:tc>
          <w:tcPr>
            <w:tcW w:w="1361" w:type="dxa"/>
            <w:tcBorders>
              <w:top w:val="nil"/>
              <w:bottom w:val="nil"/>
            </w:tcBorders>
          </w:tcPr>
          <w:p w14:paraId="46BAD5B9" w14:textId="77777777" w:rsidR="00480276" w:rsidRPr="007A2F89" w:rsidRDefault="00480276" w:rsidP="007A2F89">
            <w:pPr>
              <w:rPr>
                <w:sz w:val="20"/>
                <w:szCs w:val="20"/>
              </w:rPr>
            </w:pPr>
            <w:r w:rsidRPr="007A2F89">
              <w:rPr>
                <w:sz w:val="20"/>
                <w:szCs w:val="20"/>
              </w:rPr>
              <w:t>21 (4,28%)</w:t>
            </w:r>
          </w:p>
        </w:tc>
        <w:tc>
          <w:tcPr>
            <w:tcW w:w="1361" w:type="dxa"/>
            <w:tcBorders>
              <w:top w:val="nil"/>
              <w:bottom w:val="nil"/>
              <w:right w:val="single" w:sz="4" w:space="0" w:color="auto"/>
            </w:tcBorders>
          </w:tcPr>
          <w:p w14:paraId="08A5ED15" w14:textId="77777777" w:rsidR="00480276" w:rsidRPr="007A2F89" w:rsidRDefault="00480276" w:rsidP="007A2F89">
            <w:pPr>
              <w:rPr>
                <w:sz w:val="20"/>
                <w:szCs w:val="20"/>
              </w:rPr>
            </w:pPr>
            <w:r w:rsidRPr="007A2F89">
              <w:rPr>
                <w:sz w:val="20"/>
                <w:szCs w:val="20"/>
              </w:rPr>
              <w:t>11 (2,24%)</w:t>
            </w:r>
          </w:p>
        </w:tc>
        <w:tc>
          <w:tcPr>
            <w:tcW w:w="1361" w:type="dxa"/>
            <w:tcBorders>
              <w:top w:val="nil"/>
              <w:left w:val="single" w:sz="4" w:space="0" w:color="auto"/>
              <w:bottom w:val="nil"/>
            </w:tcBorders>
          </w:tcPr>
          <w:p w14:paraId="6084EE0F" w14:textId="77777777" w:rsidR="00480276" w:rsidRPr="007A2F89" w:rsidRDefault="00480276" w:rsidP="007A2F89">
            <w:pPr>
              <w:rPr>
                <w:sz w:val="20"/>
                <w:szCs w:val="20"/>
              </w:rPr>
            </w:pPr>
            <w:r w:rsidRPr="007A2F89">
              <w:rPr>
                <w:sz w:val="20"/>
                <w:szCs w:val="20"/>
              </w:rPr>
              <w:t>39 (7,95%)</w:t>
            </w:r>
          </w:p>
        </w:tc>
      </w:tr>
      <w:tr w:rsidR="00480276" w:rsidRPr="007A2F89" w14:paraId="56BFE4D9" w14:textId="77777777" w:rsidTr="004B06A2">
        <w:trPr>
          <w:trHeight w:val="20"/>
          <w:jc w:val="center"/>
        </w:trPr>
        <w:tc>
          <w:tcPr>
            <w:tcW w:w="1361" w:type="dxa"/>
            <w:tcBorders>
              <w:top w:val="nil"/>
              <w:bottom w:val="single" w:sz="4" w:space="0" w:color="auto"/>
              <w:right w:val="single" w:sz="4" w:space="0" w:color="auto"/>
            </w:tcBorders>
            <w:vAlign w:val="center"/>
          </w:tcPr>
          <w:p w14:paraId="2B3F3CFB" w14:textId="6E6A6293" w:rsidR="00480276" w:rsidRPr="007A2F89" w:rsidRDefault="00480276" w:rsidP="007A2F89">
            <w:pPr>
              <w:rPr>
                <w:sz w:val="20"/>
                <w:szCs w:val="20"/>
              </w:rPr>
            </w:pPr>
            <w:r w:rsidRPr="007A2F89">
              <w:rPr>
                <w:sz w:val="20"/>
                <w:szCs w:val="20"/>
              </w:rPr>
              <w:t xml:space="preserve">30+ </w:t>
            </w:r>
            <w:r w:rsidR="00E55E93" w:rsidRPr="007A2F89">
              <w:rPr>
                <w:sz w:val="20"/>
                <w:szCs w:val="20"/>
              </w:rPr>
              <w:t>years</w:t>
            </w:r>
          </w:p>
        </w:tc>
        <w:tc>
          <w:tcPr>
            <w:tcW w:w="1361" w:type="dxa"/>
            <w:tcBorders>
              <w:top w:val="nil"/>
              <w:left w:val="single" w:sz="4" w:space="0" w:color="auto"/>
              <w:bottom w:val="single" w:sz="4" w:space="0" w:color="auto"/>
            </w:tcBorders>
          </w:tcPr>
          <w:p w14:paraId="3413232E" w14:textId="77777777" w:rsidR="00480276" w:rsidRPr="007A2F89" w:rsidRDefault="00480276" w:rsidP="007A2F89">
            <w:pPr>
              <w:rPr>
                <w:sz w:val="20"/>
                <w:szCs w:val="20"/>
              </w:rPr>
            </w:pPr>
            <w:r w:rsidRPr="007A2F89">
              <w:rPr>
                <w:sz w:val="20"/>
                <w:szCs w:val="20"/>
              </w:rPr>
              <w:t>5 (2,35%)</w:t>
            </w:r>
          </w:p>
        </w:tc>
        <w:tc>
          <w:tcPr>
            <w:tcW w:w="1361" w:type="dxa"/>
            <w:tcBorders>
              <w:top w:val="nil"/>
              <w:bottom w:val="single" w:sz="4" w:space="0" w:color="auto"/>
            </w:tcBorders>
          </w:tcPr>
          <w:p w14:paraId="5D3965D0" w14:textId="77777777" w:rsidR="00480276" w:rsidRPr="007A2F89" w:rsidRDefault="00480276" w:rsidP="007A2F89">
            <w:pPr>
              <w:rPr>
                <w:sz w:val="20"/>
                <w:szCs w:val="20"/>
              </w:rPr>
            </w:pPr>
            <w:r w:rsidRPr="007A2F89">
              <w:rPr>
                <w:sz w:val="20"/>
                <w:szCs w:val="20"/>
              </w:rPr>
              <w:t>12 (2,44%)</w:t>
            </w:r>
          </w:p>
        </w:tc>
        <w:tc>
          <w:tcPr>
            <w:tcW w:w="1361" w:type="dxa"/>
            <w:tcBorders>
              <w:top w:val="nil"/>
              <w:bottom w:val="single" w:sz="4" w:space="0" w:color="auto"/>
              <w:right w:val="single" w:sz="4" w:space="0" w:color="auto"/>
            </w:tcBorders>
          </w:tcPr>
          <w:p w14:paraId="7E03CF0D" w14:textId="77777777" w:rsidR="00480276" w:rsidRPr="007A2F89" w:rsidRDefault="00480276" w:rsidP="007A2F89">
            <w:pPr>
              <w:rPr>
                <w:sz w:val="20"/>
                <w:szCs w:val="20"/>
              </w:rPr>
            </w:pPr>
            <w:r w:rsidRPr="007A2F89">
              <w:rPr>
                <w:sz w:val="20"/>
                <w:szCs w:val="20"/>
              </w:rPr>
              <w:t>14 (2,85%)</w:t>
            </w:r>
          </w:p>
        </w:tc>
        <w:tc>
          <w:tcPr>
            <w:tcW w:w="1361" w:type="dxa"/>
            <w:tcBorders>
              <w:top w:val="nil"/>
              <w:left w:val="single" w:sz="4" w:space="0" w:color="auto"/>
              <w:bottom w:val="single" w:sz="4" w:space="0" w:color="auto"/>
            </w:tcBorders>
          </w:tcPr>
          <w:p w14:paraId="732B148A" w14:textId="77777777" w:rsidR="00480276" w:rsidRPr="007A2F89" w:rsidRDefault="00480276" w:rsidP="007A2F89">
            <w:pPr>
              <w:rPr>
                <w:sz w:val="20"/>
                <w:szCs w:val="20"/>
              </w:rPr>
            </w:pPr>
            <w:r w:rsidRPr="007A2F89">
              <w:rPr>
                <w:sz w:val="20"/>
                <w:szCs w:val="20"/>
              </w:rPr>
              <w:t>28 (5,71%)</w:t>
            </w:r>
          </w:p>
        </w:tc>
      </w:tr>
      <w:tr w:rsidR="00480276" w:rsidRPr="007A2F89" w14:paraId="45F4B9C0" w14:textId="77777777" w:rsidTr="004B06A2">
        <w:trPr>
          <w:trHeight w:val="20"/>
          <w:jc w:val="center"/>
        </w:trPr>
        <w:tc>
          <w:tcPr>
            <w:tcW w:w="1361" w:type="dxa"/>
            <w:tcBorders>
              <w:top w:val="single" w:sz="4" w:space="0" w:color="auto"/>
              <w:bottom w:val="nil"/>
              <w:right w:val="single" w:sz="4" w:space="0" w:color="auto"/>
            </w:tcBorders>
            <w:vAlign w:val="center"/>
          </w:tcPr>
          <w:p w14:paraId="1ABB3645" w14:textId="74FA1F81" w:rsidR="00480276" w:rsidRPr="007A2F89" w:rsidRDefault="00480276" w:rsidP="007A2F89">
            <w:pPr>
              <w:rPr>
                <w:sz w:val="20"/>
                <w:szCs w:val="20"/>
              </w:rPr>
            </w:pPr>
            <w:r w:rsidRPr="007A2F89">
              <w:rPr>
                <w:sz w:val="20"/>
                <w:szCs w:val="20"/>
              </w:rPr>
              <w:t>Total</w:t>
            </w:r>
          </w:p>
        </w:tc>
        <w:tc>
          <w:tcPr>
            <w:tcW w:w="1361" w:type="dxa"/>
            <w:tcBorders>
              <w:top w:val="single" w:sz="4" w:space="0" w:color="auto"/>
              <w:left w:val="single" w:sz="4" w:space="0" w:color="auto"/>
            </w:tcBorders>
          </w:tcPr>
          <w:p w14:paraId="1B1DBBF3" w14:textId="77777777" w:rsidR="00480276" w:rsidRPr="007A2F89" w:rsidRDefault="00480276" w:rsidP="007A2F89">
            <w:pPr>
              <w:rPr>
                <w:sz w:val="20"/>
                <w:szCs w:val="20"/>
              </w:rPr>
            </w:pPr>
            <w:r w:rsidRPr="007A2F89">
              <w:rPr>
                <w:sz w:val="20"/>
                <w:szCs w:val="20"/>
              </w:rPr>
              <w:t>7 (3,3%)</w:t>
            </w:r>
          </w:p>
        </w:tc>
        <w:tc>
          <w:tcPr>
            <w:tcW w:w="1361" w:type="dxa"/>
            <w:tcBorders>
              <w:top w:val="single" w:sz="4" w:space="0" w:color="auto"/>
            </w:tcBorders>
          </w:tcPr>
          <w:p w14:paraId="5EC02CAC" w14:textId="77777777" w:rsidR="00480276" w:rsidRPr="007A2F89" w:rsidRDefault="00480276" w:rsidP="007A2F89">
            <w:pPr>
              <w:rPr>
                <w:sz w:val="20"/>
                <w:szCs w:val="20"/>
              </w:rPr>
            </w:pPr>
            <w:r w:rsidRPr="007A2F89">
              <w:rPr>
                <w:sz w:val="20"/>
                <w:szCs w:val="20"/>
              </w:rPr>
              <w:t>62 (12,65%)</w:t>
            </w:r>
          </w:p>
        </w:tc>
        <w:tc>
          <w:tcPr>
            <w:tcW w:w="1361" w:type="dxa"/>
            <w:tcBorders>
              <w:top w:val="single" w:sz="4" w:space="0" w:color="auto"/>
              <w:bottom w:val="nil"/>
              <w:right w:val="single" w:sz="4" w:space="0" w:color="auto"/>
            </w:tcBorders>
          </w:tcPr>
          <w:p w14:paraId="0D7EA2B2" w14:textId="77777777" w:rsidR="00480276" w:rsidRPr="007A2F89" w:rsidRDefault="00480276" w:rsidP="007A2F89">
            <w:pPr>
              <w:rPr>
                <w:sz w:val="20"/>
                <w:szCs w:val="20"/>
              </w:rPr>
            </w:pPr>
            <w:r w:rsidRPr="007A2F89">
              <w:rPr>
                <w:sz w:val="20"/>
                <w:szCs w:val="20"/>
              </w:rPr>
              <w:t>36 (7,34%)</w:t>
            </w:r>
          </w:p>
        </w:tc>
        <w:tc>
          <w:tcPr>
            <w:tcW w:w="1361" w:type="dxa"/>
            <w:tcBorders>
              <w:top w:val="single" w:sz="4" w:space="0" w:color="auto"/>
              <w:left w:val="single" w:sz="4" w:space="0" w:color="auto"/>
            </w:tcBorders>
          </w:tcPr>
          <w:p w14:paraId="4E3442D5" w14:textId="77777777" w:rsidR="00480276" w:rsidRPr="007A2F89" w:rsidRDefault="00480276" w:rsidP="007A2F89">
            <w:pPr>
              <w:rPr>
                <w:sz w:val="20"/>
                <w:szCs w:val="20"/>
              </w:rPr>
            </w:pPr>
            <w:r w:rsidRPr="007A2F89">
              <w:rPr>
                <w:sz w:val="20"/>
                <w:szCs w:val="20"/>
              </w:rPr>
              <w:t>115 (23,46%)</w:t>
            </w:r>
          </w:p>
        </w:tc>
      </w:tr>
    </w:tbl>
    <w:p w14:paraId="5128EE94" w14:textId="19DA499F" w:rsidR="00520ED5" w:rsidRPr="007A2F89" w:rsidRDefault="00E55E93" w:rsidP="007A2F89">
      <w:pPr>
        <w:widowControl w:val="0"/>
        <w:rPr>
          <w:rFonts w:ascii="Times New Roman" w:hAnsi="Times New Roman"/>
          <w:sz w:val="24"/>
          <w:szCs w:val="24"/>
        </w:rPr>
      </w:pPr>
      <w:r w:rsidRPr="007A2F89">
        <w:rPr>
          <w:rFonts w:ascii="Times New Roman" w:hAnsi="Times New Roman"/>
          <w:i/>
          <w:iCs/>
          <w:sz w:val="20"/>
          <w:szCs w:val="20"/>
        </w:rPr>
        <w:t xml:space="preserve">Source: </w:t>
      </w:r>
      <w:proofErr w:type="spellStart"/>
      <w:r w:rsidRPr="007A2F89">
        <w:rPr>
          <w:rFonts w:ascii="Times New Roman" w:hAnsi="Times New Roman"/>
          <w:i/>
          <w:iCs/>
          <w:sz w:val="20"/>
          <w:szCs w:val="20"/>
        </w:rPr>
        <w:t>Author</w:t>
      </w:r>
      <w:r w:rsidR="007A2F89" w:rsidRPr="007A2F89">
        <w:rPr>
          <w:rFonts w:ascii="Times New Roman" w:hAnsi="Times New Roman"/>
          <w:i/>
          <w:iCs/>
          <w:sz w:val="20"/>
          <w:szCs w:val="20"/>
        </w:rPr>
        <w:t>’</w:t>
      </w:r>
      <w:r w:rsidRPr="007A2F89">
        <w:rPr>
          <w:rFonts w:ascii="Times New Roman" w:hAnsi="Times New Roman"/>
          <w:i/>
          <w:iCs/>
          <w:sz w:val="20"/>
          <w:szCs w:val="20"/>
        </w:rPr>
        <w:t>s</w:t>
      </w:r>
      <w:proofErr w:type="spellEnd"/>
      <w:r w:rsidRPr="007A2F89">
        <w:rPr>
          <w:rFonts w:ascii="Times New Roman" w:hAnsi="Times New Roman"/>
          <w:i/>
          <w:iCs/>
          <w:sz w:val="20"/>
          <w:szCs w:val="20"/>
        </w:rPr>
        <w:t xml:space="preserve"> </w:t>
      </w:r>
      <w:proofErr w:type="spellStart"/>
      <w:r w:rsidRPr="007A2F89">
        <w:rPr>
          <w:rFonts w:ascii="Times New Roman" w:hAnsi="Times New Roman"/>
          <w:i/>
          <w:iCs/>
          <w:sz w:val="20"/>
          <w:szCs w:val="20"/>
        </w:rPr>
        <w:t>elaboration</w:t>
      </w:r>
      <w:proofErr w:type="spellEnd"/>
      <w:r w:rsidRPr="007A2F89">
        <w:rPr>
          <w:rFonts w:ascii="Times New Roman" w:hAnsi="Times New Roman"/>
          <w:i/>
          <w:iCs/>
          <w:sz w:val="20"/>
          <w:szCs w:val="20"/>
        </w:rPr>
        <w:t>.</w:t>
      </w:r>
    </w:p>
    <w:p w14:paraId="0294A41C" w14:textId="77777777" w:rsidR="007F6A31" w:rsidRPr="007A2F89" w:rsidRDefault="007F6A31" w:rsidP="007A2F89">
      <w:pPr>
        <w:widowControl w:val="0"/>
        <w:rPr>
          <w:rFonts w:ascii="Times New Roman" w:hAnsi="Times New Roman"/>
        </w:rPr>
      </w:pPr>
    </w:p>
    <w:p w14:paraId="23964919" w14:textId="25185014" w:rsidR="00520ED5" w:rsidRPr="007A2F89" w:rsidRDefault="00A84DB0" w:rsidP="007A2F89">
      <w:pPr>
        <w:pStyle w:val="Paragrafoelenco"/>
        <w:numPr>
          <w:ilvl w:val="1"/>
          <w:numId w:val="7"/>
        </w:numPr>
        <w:ind w:left="0" w:firstLine="0"/>
        <w:jc w:val="both"/>
        <w:rPr>
          <w:rFonts w:ascii="Times New Roman" w:hAnsi="Times New Roman"/>
          <w:b/>
          <w:bCs/>
          <w:i/>
          <w:iCs/>
        </w:rPr>
      </w:pPr>
      <w:proofErr w:type="spellStart"/>
      <w:r w:rsidRPr="007A2F89">
        <w:rPr>
          <w:rFonts w:ascii="Times New Roman" w:hAnsi="Times New Roman"/>
          <w:b/>
          <w:bCs/>
          <w:i/>
          <w:iCs/>
        </w:rPr>
        <w:t>Variables</w:t>
      </w:r>
      <w:proofErr w:type="spellEnd"/>
      <w:r w:rsidRPr="007A2F89">
        <w:rPr>
          <w:rFonts w:ascii="Times New Roman" w:hAnsi="Times New Roman"/>
          <w:b/>
          <w:bCs/>
          <w:i/>
          <w:iCs/>
        </w:rPr>
        <w:t xml:space="preserve"> </w:t>
      </w:r>
      <w:proofErr w:type="spellStart"/>
      <w:r w:rsidR="00520ED5" w:rsidRPr="007A2F89">
        <w:rPr>
          <w:rFonts w:ascii="Times New Roman" w:hAnsi="Times New Roman"/>
          <w:b/>
          <w:bCs/>
          <w:i/>
          <w:iCs/>
        </w:rPr>
        <w:t>Descri</w:t>
      </w:r>
      <w:r w:rsidRPr="007A2F89">
        <w:rPr>
          <w:rFonts w:ascii="Times New Roman" w:hAnsi="Times New Roman"/>
          <w:b/>
          <w:bCs/>
          <w:i/>
          <w:iCs/>
        </w:rPr>
        <w:t>ption</w:t>
      </w:r>
      <w:proofErr w:type="spellEnd"/>
    </w:p>
    <w:p w14:paraId="3810B557" w14:textId="21125175" w:rsidR="00D8621E" w:rsidRPr="007A2F89" w:rsidRDefault="00A84DB0" w:rsidP="007A2F89">
      <w:pPr>
        <w:pStyle w:val="Paragrafoelenco"/>
        <w:numPr>
          <w:ilvl w:val="2"/>
          <w:numId w:val="7"/>
        </w:numPr>
        <w:ind w:left="0" w:firstLine="0"/>
        <w:jc w:val="both"/>
        <w:rPr>
          <w:rFonts w:ascii="Times New Roman" w:hAnsi="Times New Roman"/>
          <w:i/>
          <w:iCs/>
        </w:rPr>
      </w:pPr>
      <w:proofErr w:type="spellStart"/>
      <w:r w:rsidRPr="007A2F89">
        <w:rPr>
          <w:rFonts w:ascii="Times New Roman" w:hAnsi="Times New Roman"/>
          <w:i/>
          <w:iCs/>
        </w:rPr>
        <w:t>Dependent</w:t>
      </w:r>
      <w:proofErr w:type="spellEnd"/>
      <w:r w:rsidR="00520ED5" w:rsidRPr="007A2F89">
        <w:rPr>
          <w:rFonts w:ascii="Times New Roman" w:hAnsi="Times New Roman"/>
          <w:i/>
          <w:iCs/>
        </w:rPr>
        <w:t xml:space="preserve"> </w:t>
      </w:r>
      <w:proofErr w:type="spellStart"/>
      <w:r w:rsidRPr="007A2F89">
        <w:rPr>
          <w:rFonts w:ascii="Times New Roman" w:hAnsi="Times New Roman"/>
          <w:i/>
          <w:iCs/>
        </w:rPr>
        <w:t>variable</w:t>
      </w:r>
      <w:proofErr w:type="spellEnd"/>
    </w:p>
    <w:p w14:paraId="160B97BC" w14:textId="77777777" w:rsidR="0046260A" w:rsidRPr="007A2F89" w:rsidRDefault="0046260A" w:rsidP="007A2F89">
      <w:pPr>
        <w:rPr>
          <w:rFonts w:ascii="Times New Roman" w:hAnsi="Times New Roman"/>
          <w:sz w:val="24"/>
          <w:szCs w:val="24"/>
          <w:lang w:val="en-GB"/>
        </w:rPr>
      </w:pPr>
      <w:proofErr w:type="gramStart"/>
      <w:r w:rsidRPr="007A2F89">
        <w:rPr>
          <w:rFonts w:ascii="Times New Roman" w:hAnsi="Times New Roman"/>
          <w:sz w:val="24"/>
          <w:szCs w:val="24"/>
          <w:lang w:val="en-GB"/>
        </w:rPr>
        <w:t>In order to</w:t>
      </w:r>
      <w:proofErr w:type="gramEnd"/>
      <w:r w:rsidRPr="007A2F89">
        <w:rPr>
          <w:rFonts w:ascii="Times New Roman" w:hAnsi="Times New Roman"/>
          <w:sz w:val="24"/>
          <w:szCs w:val="24"/>
          <w:lang w:val="en-GB"/>
        </w:rPr>
        <w:t xml:space="preserve"> highlight the emerging relationship between the company economic results analysed and the adoption of a certified environmental management system, the ROA (Return on Assets) profitability index was used as a proxy of the company economic performance. Regarding the economic and financial results, the literature identifies a set of variables that can be described in 2 macro-groups: </w:t>
      </w:r>
      <w:r w:rsidRPr="007A2F89">
        <w:rPr>
          <w:rFonts w:ascii="Times New Roman" w:hAnsi="Times New Roman"/>
          <w:i/>
          <w:iCs/>
          <w:sz w:val="24"/>
          <w:szCs w:val="24"/>
          <w:lang w:val="en-GB"/>
        </w:rPr>
        <w:t>market-based</w:t>
      </w:r>
      <w:r w:rsidRPr="007A2F89">
        <w:rPr>
          <w:rFonts w:ascii="Times New Roman" w:hAnsi="Times New Roman"/>
          <w:sz w:val="24"/>
          <w:szCs w:val="24"/>
          <w:lang w:val="en-GB"/>
        </w:rPr>
        <w:t xml:space="preserve"> variables and </w:t>
      </w:r>
      <w:r w:rsidRPr="007A2F89">
        <w:rPr>
          <w:rFonts w:ascii="Times New Roman" w:hAnsi="Times New Roman"/>
          <w:i/>
          <w:iCs/>
          <w:sz w:val="24"/>
          <w:szCs w:val="24"/>
          <w:lang w:val="en-GB"/>
        </w:rPr>
        <w:t>accounting based</w:t>
      </w:r>
      <w:r w:rsidRPr="007A2F89">
        <w:rPr>
          <w:rFonts w:ascii="Times New Roman" w:hAnsi="Times New Roman"/>
          <w:sz w:val="24"/>
          <w:szCs w:val="24"/>
          <w:lang w:val="en-GB"/>
        </w:rPr>
        <w:t xml:space="preserve"> variables (</w:t>
      </w:r>
      <w:r w:rsidRPr="007A2F89">
        <w:rPr>
          <w:rFonts w:ascii="Times New Roman" w:hAnsi="Times New Roman"/>
          <w:color w:val="222222"/>
          <w:sz w:val="24"/>
          <w:szCs w:val="24"/>
          <w:shd w:val="clear" w:color="auto" w:fill="FFFFFF"/>
          <w:lang w:val="en-GB"/>
        </w:rPr>
        <w:t xml:space="preserve">Garcia-Castro, </w:t>
      </w:r>
      <w:proofErr w:type="spellStart"/>
      <w:r w:rsidRPr="007A2F89">
        <w:rPr>
          <w:rFonts w:ascii="Times New Roman" w:hAnsi="Times New Roman"/>
          <w:color w:val="222222"/>
          <w:sz w:val="24"/>
          <w:szCs w:val="24"/>
          <w:shd w:val="clear" w:color="auto" w:fill="FFFFFF"/>
          <w:lang w:val="en-GB"/>
        </w:rPr>
        <w:t>Ariño</w:t>
      </w:r>
      <w:proofErr w:type="spellEnd"/>
      <w:r w:rsidRPr="007A2F89">
        <w:rPr>
          <w:rFonts w:ascii="Times New Roman" w:hAnsi="Times New Roman"/>
          <w:color w:val="222222"/>
          <w:sz w:val="24"/>
          <w:szCs w:val="24"/>
          <w:shd w:val="clear" w:color="auto" w:fill="FFFFFF"/>
          <w:lang w:val="en-GB"/>
        </w:rPr>
        <w:t xml:space="preserve"> and </w:t>
      </w:r>
      <w:proofErr w:type="spellStart"/>
      <w:r w:rsidRPr="007A2F89">
        <w:rPr>
          <w:rFonts w:ascii="Times New Roman" w:hAnsi="Times New Roman"/>
          <w:color w:val="222222"/>
          <w:sz w:val="24"/>
          <w:szCs w:val="24"/>
          <w:shd w:val="clear" w:color="auto" w:fill="FFFFFF"/>
          <w:lang w:val="en-GB"/>
        </w:rPr>
        <w:t>Canela</w:t>
      </w:r>
      <w:proofErr w:type="spellEnd"/>
      <w:r w:rsidRPr="007A2F89">
        <w:rPr>
          <w:rFonts w:ascii="Times New Roman" w:hAnsi="Times New Roman"/>
          <w:sz w:val="24"/>
          <w:szCs w:val="24"/>
          <w:lang w:val="en-GB"/>
        </w:rPr>
        <w:t xml:space="preserve">, 2010; </w:t>
      </w:r>
      <w:proofErr w:type="spellStart"/>
      <w:r w:rsidRPr="007A2F89">
        <w:rPr>
          <w:rFonts w:ascii="Times New Roman" w:hAnsi="Times New Roman"/>
          <w:sz w:val="24"/>
          <w:szCs w:val="24"/>
          <w:lang w:val="en-GB"/>
        </w:rPr>
        <w:t>Lassala</w:t>
      </w:r>
      <w:proofErr w:type="spellEnd"/>
      <w:r w:rsidRPr="007A2F89">
        <w:rPr>
          <w:rFonts w:ascii="Times New Roman" w:hAnsi="Times New Roman"/>
          <w:sz w:val="24"/>
          <w:szCs w:val="24"/>
          <w:lang w:val="en-GB"/>
        </w:rPr>
        <w:t xml:space="preserve">, </w:t>
      </w:r>
      <w:proofErr w:type="spellStart"/>
      <w:r w:rsidRPr="007A2F89">
        <w:rPr>
          <w:rFonts w:ascii="Times New Roman" w:eastAsia="Times New Roman" w:hAnsi="Times New Roman"/>
          <w:color w:val="222222"/>
          <w:sz w:val="24"/>
          <w:szCs w:val="24"/>
          <w:shd w:val="clear" w:color="auto" w:fill="FFFFFF"/>
          <w:lang w:val="en-GB" w:eastAsia="it-IT"/>
        </w:rPr>
        <w:t>Apetrei</w:t>
      </w:r>
      <w:proofErr w:type="spellEnd"/>
      <w:r w:rsidRPr="007A2F89">
        <w:rPr>
          <w:rFonts w:ascii="Times New Roman" w:eastAsia="Times New Roman" w:hAnsi="Times New Roman"/>
          <w:color w:val="222222"/>
          <w:sz w:val="24"/>
          <w:szCs w:val="24"/>
          <w:shd w:val="clear" w:color="auto" w:fill="FFFFFF"/>
          <w:lang w:val="en-GB" w:eastAsia="it-IT"/>
        </w:rPr>
        <w:t xml:space="preserve"> and </w:t>
      </w:r>
      <w:proofErr w:type="spellStart"/>
      <w:r w:rsidRPr="007A2F89">
        <w:rPr>
          <w:rFonts w:ascii="Times New Roman" w:eastAsia="Times New Roman" w:hAnsi="Times New Roman"/>
          <w:color w:val="222222"/>
          <w:sz w:val="24"/>
          <w:szCs w:val="24"/>
          <w:shd w:val="clear" w:color="auto" w:fill="FFFFFF"/>
          <w:lang w:val="en-GB" w:eastAsia="it-IT"/>
        </w:rPr>
        <w:t>Sapena</w:t>
      </w:r>
      <w:proofErr w:type="spellEnd"/>
      <w:r w:rsidRPr="007A2F89">
        <w:rPr>
          <w:rFonts w:ascii="Times New Roman" w:eastAsia="Times New Roman" w:hAnsi="Times New Roman"/>
          <w:color w:val="222222"/>
          <w:sz w:val="24"/>
          <w:szCs w:val="24"/>
          <w:shd w:val="clear" w:color="auto" w:fill="FFFFFF"/>
          <w:lang w:val="en-GB" w:eastAsia="it-IT"/>
        </w:rPr>
        <w:t>,</w:t>
      </w:r>
      <w:r w:rsidRPr="007A2F89">
        <w:rPr>
          <w:rFonts w:ascii="Times New Roman" w:hAnsi="Times New Roman"/>
          <w:sz w:val="24"/>
          <w:szCs w:val="24"/>
          <w:lang w:val="en-GB"/>
        </w:rPr>
        <w:t xml:space="preserve"> 2017; </w:t>
      </w:r>
      <w:proofErr w:type="spellStart"/>
      <w:r w:rsidRPr="007A2F89">
        <w:rPr>
          <w:rFonts w:ascii="Times New Roman" w:eastAsia="Times New Roman" w:hAnsi="Times New Roman"/>
          <w:color w:val="222222"/>
          <w:sz w:val="24"/>
          <w:szCs w:val="24"/>
          <w:shd w:val="clear" w:color="auto" w:fill="FFFFFF"/>
          <w:lang w:val="en-GB" w:eastAsia="it-IT"/>
        </w:rPr>
        <w:t>Alshehhi</w:t>
      </w:r>
      <w:proofErr w:type="spellEnd"/>
      <w:r w:rsidRPr="007A2F89">
        <w:rPr>
          <w:rFonts w:ascii="Times New Roman" w:eastAsia="Times New Roman" w:hAnsi="Times New Roman"/>
          <w:color w:val="222222"/>
          <w:sz w:val="24"/>
          <w:szCs w:val="24"/>
          <w:shd w:val="clear" w:color="auto" w:fill="FFFFFF"/>
          <w:lang w:val="en-GB" w:eastAsia="it-IT"/>
        </w:rPr>
        <w:t xml:space="preserve">, </w:t>
      </w:r>
      <w:proofErr w:type="spellStart"/>
      <w:r w:rsidRPr="007A2F89">
        <w:rPr>
          <w:rFonts w:ascii="Times New Roman" w:eastAsia="Times New Roman" w:hAnsi="Times New Roman"/>
          <w:color w:val="222222"/>
          <w:sz w:val="24"/>
          <w:szCs w:val="24"/>
          <w:shd w:val="clear" w:color="auto" w:fill="FFFFFF"/>
          <w:lang w:val="en-GB" w:eastAsia="it-IT"/>
        </w:rPr>
        <w:t>Nobanee</w:t>
      </w:r>
      <w:proofErr w:type="spellEnd"/>
      <w:r w:rsidRPr="007A2F89">
        <w:rPr>
          <w:rFonts w:ascii="Times New Roman" w:eastAsia="Times New Roman" w:hAnsi="Times New Roman"/>
          <w:color w:val="222222"/>
          <w:sz w:val="24"/>
          <w:szCs w:val="24"/>
          <w:shd w:val="clear" w:color="auto" w:fill="FFFFFF"/>
          <w:lang w:val="en-GB" w:eastAsia="it-IT"/>
        </w:rPr>
        <w:t xml:space="preserve"> and </w:t>
      </w:r>
      <w:proofErr w:type="spellStart"/>
      <w:r w:rsidRPr="007A2F89">
        <w:rPr>
          <w:rFonts w:ascii="Times New Roman" w:eastAsia="Times New Roman" w:hAnsi="Times New Roman"/>
          <w:color w:val="222222"/>
          <w:sz w:val="24"/>
          <w:szCs w:val="24"/>
          <w:shd w:val="clear" w:color="auto" w:fill="FFFFFF"/>
          <w:lang w:val="en-GB" w:eastAsia="it-IT"/>
        </w:rPr>
        <w:t>Khare</w:t>
      </w:r>
      <w:proofErr w:type="spellEnd"/>
      <w:r w:rsidRPr="007A2F89">
        <w:rPr>
          <w:rFonts w:ascii="Times New Roman" w:eastAsia="Times New Roman" w:hAnsi="Times New Roman"/>
          <w:color w:val="222222"/>
          <w:sz w:val="24"/>
          <w:szCs w:val="24"/>
          <w:shd w:val="clear" w:color="auto" w:fill="FFFFFF"/>
          <w:lang w:val="en-GB" w:eastAsia="it-IT"/>
        </w:rPr>
        <w:t>,</w:t>
      </w:r>
      <w:r w:rsidRPr="007A2F89">
        <w:rPr>
          <w:rFonts w:ascii="Times New Roman" w:hAnsi="Times New Roman"/>
          <w:sz w:val="24"/>
          <w:szCs w:val="24"/>
          <w:lang w:val="en-GB"/>
        </w:rPr>
        <w:t xml:space="preserve"> 2018). The accounting variables includes the ROA index, used in this research.</w:t>
      </w:r>
    </w:p>
    <w:p w14:paraId="55C8C290" w14:textId="77777777" w:rsidR="0046260A" w:rsidRPr="007A2F89" w:rsidRDefault="0046260A" w:rsidP="007A2F89">
      <w:pPr>
        <w:rPr>
          <w:rFonts w:ascii="Times New Roman" w:hAnsi="Times New Roman"/>
          <w:sz w:val="24"/>
          <w:szCs w:val="24"/>
          <w:lang w:val="en-GB"/>
        </w:rPr>
      </w:pPr>
      <w:r w:rsidRPr="007A2F89">
        <w:rPr>
          <w:rFonts w:ascii="Times New Roman" w:hAnsi="Times New Roman"/>
          <w:sz w:val="24"/>
          <w:szCs w:val="24"/>
          <w:lang w:val="en-GB"/>
        </w:rPr>
        <w:t>Although some limitations have been highlighted for both methodologies, it emerges that the accounting indicators are in any case considered more suitable than the market-based ones to assess company performance. (Wu, 2006). Furthermore, although the company behaviour can be explained using market-based indexes, accounting data shows what really happens in the company (López, Garcia and Rodriguez, 2007), while the market-based variables reflect the profitability expectations, including additional macroeconomic factors that affect these measures.</w:t>
      </w:r>
    </w:p>
    <w:p w14:paraId="11DD0228" w14:textId="77777777" w:rsidR="0046260A" w:rsidRPr="007A2F89" w:rsidRDefault="0046260A" w:rsidP="007A2F89">
      <w:pPr>
        <w:rPr>
          <w:rFonts w:ascii="Times New Roman" w:hAnsi="Times New Roman"/>
          <w:sz w:val="24"/>
          <w:szCs w:val="24"/>
          <w:lang w:val="en-GB"/>
        </w:rPr>
      </w:pPr>
      <w:r w:rsidRPr="007A2F89">
        <w:rPr>
          <w:rFonts w:ascii="Times New Roman" w:hAnsi="Times New Roman"/>
          <w:sz w:val="24"/>
          <w:szCs w:val="24"/>
          <w:lang w:val="en-GB"/>
        </w:rPr>
        <w:t>The Return on Assets (ROA) represents the profitability of assets utilisation and measures managerial efficiency. According to this perspective, it emerges that ROA ratio is, a necessary condition for achieving the profitability outcome. Furthermore, ROA is one of the most financial-used measure</w:t>
      </w:r>
      <w:r w:rsidRPr="007A2F89">
        <w:rPr>
          <w:rFonts w:ascii="Times New Roman" w:eastAsia="Times New Roman" w:hAnsi="Times New Roman"/>
          <w:color w:val="222222"/>
          <w:sz w:val="24"/>
          <w:szCs w:val="24"/>
          <w:shd w:val="clear" w:color="auto" w:fill="FFFFFF"/>
          <w:lang w:val="en-GB" w:eastAsia="it-IT"/>
        </w:rPr>
        <w:t xml:space="preserve"> (</w:t>
      </w:r>
      <w:proofErr w:type="spellStart"/>
      <w:r w:rsidRPr="007A2F89">
        <w:rPr>
          <w:rFonts w:ascii="Times New Roman" w:eastAsia="Times New Roman" w:hAnsi="Times New Roman"/>
          <w:color w:val="222222"/>
          <w:sz w:val="24"/>
          <w:szCs w:val="24"/>
          <w:shd w:val="clear" w:color="auto" w:fill="FFFFFF"/>
          <w:lang w:val="en-GB" w:eastAsia="it-IT"/>
        </w:rPr>
        <w:t>Alshehhi</w:t>
      </w:r>
      <w:proofErr w:type="spellEnd"/>
      <w:r w:rsidRPr="007A2F89">
        <w:rPr>
          <w:rFonts w:ascii="Times New Roman" w:eastAsia="Times New Roman" w:hAnsi="Times New Roman"/>
          <w:color w:val="222222"/>
          <w:sz w:val="24"/>
          <w:szCs w:val="24"/>
          <w:shd w:val="clear" w:color="auto" w:fill="FFFFFF"/>
          <w:lang w:val="en-GB" w:eastAsia="it-IT"/>
        </w:rPr>
        <w:t xml:space="preserve"> et al,2018</w:t>
      </w:r>
      <w:r w:rsidRPr="007A2F89">
        <w:rPr>
          <w:rFonts w:ascii="Times New Roman" w:hAnsi="Times New Roman"/>
          <w:sz w:val="24"/>
          <w:szCs w:val="24"/>
          <w:lang w:val="en-GB"/>
        </w:rPr>
        <w:t>) to understand the relationship between corporate sustainability practices and financial performance.</w:t>
      </w:r>
    </w:p>
    <w:p w14:paraId="66A864F6" w14:textId="77777777" w:rsidR="0046260A" w:rsidRPr="007A2F89" w:rsidRDefault="0046260A" w:rsidP="007A2F89">
      <w:pPr>
        <w:rPr>
          <w:rFonts w:ascii="Times New Roman" w:hAnsi="Times New Roman"/>
          <w:sz w:val="24"/>
          <w:szCs w:val="24"/>
          <w:lang w:val="en-GB"/>
        </w:rPr>
      </w:pPr>
      <w:r w:rsidRPr="007A2F89">
        <w:rPr>
          <w:rFonts w:ascii="Times New Roman" w:hAnsi="Times New Roman"/>
          <w:sz w:val="24"/>
          <w:szCs w:val="24"/>
          <w:lang w:val="en-GB"/>
        </w:rPr>
        <w:t>Therefore, the use of the ROA profitability index - defined by the ratio of operating profit to total assets - appears consistent with the purposes of this research.</w:t>
      </w:r>
    </w:p>
    <w:p w14:paraId="6A49003A" w14:textId="77777777" w:rsidR="007F6A31" w:rsidRPr="007A2F89" w:rsidRDefault="007F6A31" w:rsidP="007A2F89">
      <w:pPr>
        <w:rPr>
          <w:rFonts w:ascii="Times New Roman" w:hAnsi="Times New Roman"/>
          <w:sz w:val="28"/>
          <w:szCs w:val="28"/>
          <w:lang w:val="en-GB"/>
        </w:rPr>
      </w:pPr>
    </w:p>
    <w:p w14:paraId="2756BF44" w14:textId="5921704E" w:rsidR="00520ED5" w:rsidRPr="007A2F89" w:rsidRDefault="00242128" w:rsidP="007A2F89">
      <w:pPr>
        <w:pStyle w:val="Paragrafoelenco"/>
        <w:numPr>
          <w:ilvl w:val="2"/>
          <w:numId w:val="7"/>
        </w:numPr>
        <w:ind w:left="0" w:firstLine="0"/>
        <w:jc w:val="both"/>
        <w:rPr>
          <w:rFonts w:ascii="Times New Roman" w:hAnsi="Times New Roman"/>
          <w:i/>
          <w:iCs/>
        </w:rPr>
      </w:pPr>
      <w:proofErr w:type="spellStart"/>
      <w:r w:rsidRPr="007A2F89">
        <w:rPr>
          <w:rFonts w:ascii="Times New Roman" w:hAnsi="Times New Roman"/>
          <w:i/>
          <w:iCs/>
        </w:rPr>
        <w:t>Independent</w:t>
      </w:r>
      <w:proofErr w:type="spellEnd"/>
      <w:r w:rsidRPr="007A2F89">
        <w:rPr>
          <w:rFonts w:ascii="Times New Roman" w:hAnsi="Times New Roman"/>
          <w:i/>
          <w:iCs/>
        </w:rPr>
        <w:t xml:space="preserve"> </w:t>
      </w:r>
      <w:r w:rsidR="00520ED5" w:rsidRPr="007A2F89">
        <w:rPr>
          <w:rFonts w:ascii="Times New Roman" w:hAnsi="Times New Roman"/>
          <w:i/>
          <w:iCs/>
        </w:rPr>
        <w:t>Variabile</w:t>
      </w:r>
    </w:p>
    <w:p w14:paraId="3CD18C20" w14:textId="4966FAFC" w:rsidR="00520ED5" w:rsidRPr="007A2F89" w:rsidRDefault="002176B2" w:rsidP="007A2F89">
      <w:pPr>
        <w:rPr>
          <w:rFonts w:ascii="Times New Roman" w:hAnsi="Times New Roman"/>
          <w:sz w:val="24"/>
          <w:szCs w:val="24"/>
          <w:lang w:val="en-GB"/>
        </w:rPr>
      </w:pPr>
      <w:r w:rsidRPr="007A2F89">
        <w:rPr>
          <w:rFonts w:ascii="Times New Roman" w:hAnsi="Times New Roman"/>
          <w:sz w:val="24"/>
          <w:szCs w:val="24"/>
          <w:lang w:val="en-GB"/>
        </w:rPr>
        <w:t>Referring</w:t>
      </w:r>
      <w:r w:rsidR="00242128" w:rsidRPr="007A2F89">
        <w:rPr>
          <w:rFonts w:ascii="Times New Roman" w:hAnsi="Times New Roman"/>
          <w:sz w:val="24"/>
          <w:szCs w:val="24"/>
          <w:lang w:val="en-GB"/>
        </w:rPr>
        <w:t xml:space="preserve"> the independent variable used to estimate the model,</w:t>
      </w:r>
      <w:r w:rsidRPr="007A2F89">
        <w:rPr>
          <w:rFonts w:ascii="Times New Roman" w:hAnsi="Times New Roman"/>
          <w:sz w:val="24"/>
          <w:szCs w:val="24"/>
          <w:lang w:val="en-GB"/>
        </w:rPr>
        <w:t xml:space="preserve"> we consider</w:t>
      </w:r>
      <w:r w:rsidR="00242128" w:rsidRPr="007A2F89">
        <w:rPr>
          <w:rFonts w:ascii="Times New Roman" w:hAnsi="Times New Roman"/>
          <w:sz w:val="24"/>
          <w:szCs w:val="24"/>
          <w:lang w:val="en-GB"/>
        </w:rPr>
        <w:t xml:space="preserve"> the adoption of the ISO14001 environmental management system certification, which, as anticipated in the theoretical framework in section 2, determines the adoption of a company management and operations system oriented towards sustainable development. </w:t>
      </w:r>
      <w:r w:rsidR="00F5653E" w:rsidRPr="007A2F89">
        <w:rPr>
          <w:rFonts w:ascii="Times New Roman" w:hAnsi="Times New Roman"/>
          <w:sz w:val="24"/>
          <w:szCs w:val="24"/>
          <w:lang w:val="en-GB"/>
        </w:rPr>
        <w:t>Hence</w:t>
      </w:r>
      <w:r w:rsidR="00190547" w:rsidRPr="007A2F89">
        <w:rPr>
          <w:rFonts w:ascii="Times New Roman" w:hAnsi="Times New Roman"/>
          <w:sz w:val="24"/>
          <w:szCs w:val="24"/>
          <w:lang w:val="en-GB"/>
        </w:rPr>
        <w:t xml:space="preserve">, a dummy variable has been constructed </w:t>
      </w:r>
      <w:r w:rsidR="006B7942" w:rsidRPr="007A2F89">
        <w:rPr>
          <w:rFonts w:ascii="Times New Roman" w:hAnsi="Times New Roman"/>
          <w:sz w:val="24"/>
          <w:szCs w:val="24"/>
          <w:lang w:val="en-GB"/>
        </w:rPr>
        <w:t>and</w:t>
      </w:r>
      <w:r w:rsidR="00190547" w:rsidRPr="007A2F89">
        <w:rPr>
          <w:rFonts w:ascii="Times New Roman" w:hAnsi="Times New Roman"/>
          <w:sz w:val="24"/>
          <w:szCs w:val="24"/>
          <w:lang w:val="en-GB"/>
        </w:rPr>
        <w:t xml:space="preserve"> assumes a value 1 if the company is ISO14001 certified and 0 otherwise.</w:t>
      </w:r>
    </w:p>
    <w:p w14:paraId="249B40A6" w14:textId="77777777" w:rsidR="008C3C0E" w:rsidRPr="007A2F89" w:rsidRDefault="008C3C0E" w:rsidP="007A2F89">
      <w:pPr>
        <w:rPr>
          <w:rFonts w:ascii="Times New Roman" w:hAnsi="Times New Roman"/>
          <w:sz w:val="24"/>
          <w:szCs w:val="24"/>
          <w:lang w:val="en-GB"/>
        </w:rPr>
      </w:pPr>
    </w:p>
    <w:p w14:paraId="0636D0B8" w14:textId="3D5DBAD5" w:rsidR="00520ED5" w:rsidRPr="007A2F89" w:rsidRDefault="00045B31" w:rsidP="007A2F89">
      <w:pPr>
        <w:pStyle w:val="Paragrafoelenco"/>
        <w:numPr>
          <w:ilvl w:val="2"/>
          <w:numId w:val="7"/>
        </w:numPr>
        <w:ind w:left="0" w:firstLine="0"/>
        <w:jc w:val="both"/>
        <w:rPr>
          <w:rFonts w:ascii="Times New Roman" w:hAnsi="Times New Roman"/>
          <w:i/>
          <w:iCs/>
        </w:rPr>
      </w:pPr>
      <w:r w:rsidRPr="007A2F89">
        <w:rPr>
          <w:rFonts w:ascii="Times New Roman" w:hAnsi="Times New Roman"/>
          <w:i/>
          <w:iCs/>
        </w:rPr>
        <w:t xml:space="preserve">Control </w:t>
      </w:r>
      <w:proofErr w:type="spellStart"/>
      <w:r w:rsidR="00520ED5" w:rsidRPr="007A2F89">
        <w:rPr>
          <w:rFonts w:ascii="Times New Roman" w:hAnsi="Times New Roman"/>
          <w:i/>
          <w:iCs/>
        </w:rPr>
        <w:t>Variab</w:t>
      </w:r>
      <w:r w:rsidRPr="007A2F89">
        <w:rPr>
          <w:rFonts w:ascii="Times New Roman" w:hAnsi="Times New Roman"/>
          <w:i/>
          <w:iCs/>
        </w:rPr>
        <w:t>les</w:t>
      </w:r>
      <w:proofErr w:type="spellEnd"/>
    </w:p>
    <w:p w14:paraId="4848006C" w14:textId="66720FB5" w:rsidR="00520ED5" w:rsidRPr="007A2F89" w:rsidRDefault="00F5653E" w:rsidP="007A2F89">
      <w:pPr>
        <w:rPr>
          <w:rFonts w:ascii="Times New Roman" w:hAnsi="Times New Roman"/>
          <w:sz w:val="24"/>
          <w:szCs w:val="24"/>
          <w:lang w:val="en-GB"/>
        </w:rPr>
      </w:pPr>
      <w:proofErr w:type="gramStart"/>
      <w:r w:rsidRPr="007A2F89">
        <w:rPr>
          <w:rFonts w:ascii="Times New Roman" w:hAnsi="Times New Roman"/>
          <w:sz w:val="24"/>
          <w:szCs w:val="24"/>
          <w:lang w:val="en-GB"/>
        </w:rPr>
        <w:t>In order to</w:t>
      </w:r>
      <w:proofErr w:type="gramEnd"/>
      <w:r w:rsidRPr="007A2F89">
        <w:rPr>
          <w:rFonts w:ascii="Times New Roman" w:hAnsi="Times New Roman"/>
          <w:sz w:val="24"/>
          <w:szCs w:val="24"/>
          <w:lang w:val="en-GB"/>
        </w:rPr>
        <w:t xml:space="preserve"> verify</w:t>
      </w:r>
      <w:r w:rsidR="00106B9A" w:rsidRPr="007A2F89">
        <w:rPr>
          <w:rFonts w:ascii="Times New Roman" w:hAnsi="Times New Roman"/>
          <w:sz w:val="24"/>
          <w:szCs w:val="24"/>
          <w:lang w:val="en-GB"/>
        </w:rPr>
        <w:t xml:space="preserve"> the presence of functional effects on the dependent variable, a set of control variables was introduced in the model. </w:t>
      </w:r>
      <w:r w:rsidR="00AE5236" w:rsidRPr="007A2F89">
        <w:rPr>
          <w:rFonts w:ascii="Times New Roman" w:hAnsi="Times New Roman"/>
          <w:sz w:val="24"/>
          <w:szCs w:val="24"/>
          <w:lang w:val="en-GB"/>
        </w:rPr>
        <w:t xml:space="preserve">Specifically, </w:t>
      </w:r>
      <w:r w:rsidRPr="007A2F89">
        <w:rPr>
          <w:rFonts w:ascii="Times New Roman" w:hAnsi="Times New Roman"/>
          <w:sz w:val="24"/>
          <w:szCs w:val="24"/>
          <w:lang w:val="en-GB"/>
        </w:rPr>
        <w:t xml:space="preserve">we used </w:t>
      </w:r>
      <w:r w:rsidR="00AE5236" w:rsidRPr="007A2F89">
        <w:rPr>
          <w:rFonts w:ascii="Times New Roman" w:hAnsi="Times New Roman"/>
          <w:sz w:val="24"/>
          <w:szCs w:val="24"/>
          <w:lang w:val="en-GB"/>
        </w:rPr>
        <w:t xml:space="preserve">first the company size, </w:t>
      </w:r>
      <w:r w:rsidR="00E0633A" w:rsidRPr="007A2F89">
        <w:rPr>
          <w:rFonts w:ascii="Times New Roman" w:hAnsi="Times New Roman"/>
          <w:sz w:val="24"/>
          <w:szCs w:val="24"/>
          <w:lang w:val="en-GB"/>
        </w:rPr>
        <w:t>as</w:t>
      </w:r>
      <w:r w:rsidR="00AE5236" w:rsidRPr="007A2F89">
        <w:rPr>
          <w:rFonts w:ascii="Times New Roman" w:hAnsi="Times New Roman"/>
          <w:sz w:val="24"/>
          <w:szCs w:val="24"/>
          <w:lang w:val="en-GB"/>
        </w:rPr>
        <w:t xml:space="preserve"> the natural logarithm of the number of employees in 2019 (Size). Secondly,</w:t>
      </w:r>
      <w:r w:rsidRPr="007A2F89">
        <w:rPr>
          <w:rFonts w:ascii="Times New Roman" w:hAnsi="Times New Roman"/>
          <w:sz w:val="24"/>
          <w:szCs w:val="24"/>
          <w:lang w:val="en-GB"/>
        </w:rPr>
        <w:t xml:space="preserve"> we introduce</w:t>
      </w:r>
      <w:r w:rsidR="00AE5236" w:rsidRPr="007A2F89">
        <w:rPr>
          <w:rFonts w:ascii="Times New Roman" w:hAnsi="Times New Roman"/>
          <w:sz w:val="24"/>
          <w:szCs w:val="24"/>
          <w:lang w:val="en-GB"/>
        </w:rPr>
        <w:t xml:space="preserve"> a variable </w:t>
      </w:r>
      <w:r w:rsidRPr="007A2F89">
        <w:rPr>
          <w:rFonts w:ascii="Times New Roman" w:hAnsi="Times New Roman"/>
          <w:sz w:val="24"/>
          <w:szCs w:val="24"/>
          <w:lang w:val="en-GB"/>
        </w:rPr>
        <w:t xml:space="preserve">that </w:t>
      </w:r>
      <w:r w:rsidR="00AE5236" w:rsidRPr="007A2F89">
        <w:rPr>
          <w:rFonts w:ascii="Times New Roman" w:hAnsi="Times New Roman"/>
          <w:sz w:val="24"/>
          <w:szCs w:val="24"/>
          <w:lang w:val="en-GB"/>
        </w:rPr>
        <w:t xml:space="preserve">express the company age (Age) </w:t>
      </w:r>
      <w:r w:rsidRPr="007A2F89">
        <w:rPr>
          <w:rFonts w:ascii="Times New Roman" w:hAnsi="Times New Roman"/>
          <w:sz w:val="24"/>
          <w:szCs w:val="24"/>
          <w:lang w:val="en-GB"/>
        </w:rPr>
        <w:t>calculated as</w:t>
      </w:r>
      <w:r w:rsidR="00AE5236" w:rsidRPr="007A2F89">
        <w:rPr>
          <w:rFonts w:ascii="Times New Roman" w:hAnsi="Times New Roman"/>
          <w:sz w:val="24"/>
          <w:szCs w:val="24"/>
          <w:lang w:val="en-GB"/>
        </w:rPr>
        <w:t xml:space="preserve"> the natural logarithm of age </w:t>
      </w:r>
      <w:r w:rsidR="00E813AF" w:rsidRPr="007A2F89">
        <w:rPr>
          <w:rFonts w:ascii="Times New Roman" w:hAnsi="Times New Roman"/>
          <w:sz w:val="24"/>
          <w:szCs w:val="24"/>
          <w:lang w:val="en-GB"/>
        </w:rPr>
        <w:t>up to</w:t>
      </w:r>
      <w:r w:rsidR="00AE5236" w:rsidRPr="007A2F89">
        <w:rPr>
          <w:rFonts w:ascii="Times New Roman" w:hAnsi="Times New Roman"/>
          <w:sz w:val="24"/>
          <w:szCs w:val="24"/>
          <w:lang w:val="en-GB"/>
        </w:rPr>
        <w:t xml:space="preserve"> 31/12/2019.</w:t>
      </w:r>
    </w:p>
    <w:p w14:paraId="2A7A4699" w14:textId="4EE9AF1E" w:rsidR="00520ED5" w:rsidRPr="007A2F89" w:rsidRDefault="00AE5236" w:rsidP="007A2F89">
      <w:pPr>
        <w:rPr>
          <w:rFonts w:ascii="Times New Roman" w:hAnsi="Times New Roman"/>
          <w:sz w:val="24"/>
          <w:szCs w:val="24"/>
          <w:lang w:val="en-GB"/>
        </w:rPr>
      </w:pPr>
      <w:r w:rsidRPr="007A2F89">
        <w:rPr>
          <w:rFonts w:ascii="Times New Roman" w:hAnsi="Times New Roman"/>
          <w:sz w:val="24"/>
          <w:szCs w:val="24"/>
          <w:lang w:val="en-GB"/>
        </w:rPr>
        <w:t xml:space="preserve">Thirdly, an indicator was included </w:t>
      </w:r>
      <w:r w:rsidR="00E0633A" w:rsidRPr="007A2F89">
        <w:rPr>
          <w:rFonts w:ascii="Times New Roman" w:hAnsi="Times New Roman"/>
          <w:sz w:val="24"/>
          <w:szCs w:val="24"/>
          <w:lang w:val="en-GB"/>
        </w:rPr>
        <w:t>to describe</w:t>
      </w:r>
      <w:r w:rsidRPr="007A2F89">
        <w:rPr>
          <w:rFonts w:ascii="Times New Roman" w:hAnsi="Times New Roman"/>
          <w:sz w:val="24"/>
          <w:szCs w:val="24"/>
          <w:lang w:val="en-GB"/>
        </w:rPr>
        <w:t xml:space="preserve"> the corporate financial structure, through the variable Debt / Equity, measured as the ratio between total corporate debt and equity (D / E). As a further control </w:t>
      </w:r>
      <w:r w:rsidR="00475FC4" w:rsidRPr="007A2F89">
        <w:rPr>
          <w:rFonts w:ascii="Times New Roman" w:hAnsi="Times New Roman"/>
          <w:sz w:val="24"/>
          <w:szCs w:val="24"/>
          <w:lang w:val="en-GB"/>
        </w:rPr>
        <w:t>variable</w:t>
      </w:r>
      <w:r w:rsidRPr="007A2F89">
        <w:rPr>
          <w:rFonts w:ascii="Times New Roman" w:hAnsi="Times New Roman"/>
          <w:sz w:val="24"/>
          <w:szCs w:val="24"/>
          <w:lang w:val="en-GB"/>
        </w:rPr>
        <w:t xml:space="preserve"> of the hypothesized relationship, the geographical variable - considering the Abruzzo </w:t>
      </w:r>
      <w:r w:rsidR="0025167A" w:rsidRPr="007A2F89">
        <w:rPr>
          <w:rFonts w:ascii="Times New Roman" w:hAnsi="Times New Roman"/>
          <w:sz w:val="24"/>
          <w:szCs w:val="24"/>
          <w:lang w:val="en-GB"/>
        </w:rPr>
        <w:t>provinces</w:t>
      </w:r>
      <w:r w:rsidRPr="007A2F89">
        <w:rPr>
          <w:rFonts w:ascii="Times New Roman" w:hAnsi="Times New Roman"/>
          <w:sz w:val="24"/>
          <w:szCs w:val="24"/>
          <w:lang w:val="en-GB"/>
        </w:rPr>
        <w:t xml:space="preserve"> in which the company is located (Teramo, L</w:t>
      </w:r>
      <w:r w:rsidR="007A2F89" w:rsidRPr="007A2F89">
        <w:rPr>
          <w:rFonts w:ascii="Times New Roman" w:hAnsi="Times New Roman"/>
          <w:sz w:val="24"/>
          <w:szCs w:val="24"/>
          <w:lang w:val="en-GB"/>
        </w:rPr>
        <w:t>’</w:t>
      </w:r>
      <w:r w:rsidRPr="007A2F89">
        <w:rPr>
          <w:rFonts w:ascii="Times New Roman" w:hAnsi="Times New Roman"/>
          <w:sz w:val="24"/>
          <w:szCs w:val="24"/>
          <w:lang w:val="en-GB"/>
        </w:rPr>
        <w:t xml:space="preserve">Aquila, Chieti, Pescara) - and the temporal variable (Years) - were considered </w:t>
      </w:r>
      <w:r w:rsidR="00E0633A" w:rsidRPr="007A2F89">
        <w:rPr>
          <w:rFonts w:ascii="Times New Roman" w:hAnsi="Times New Roman"/>
          <w:sz w:val="24"/>
          <w:szCs w:val="24"/>
          <w:lang w:val="en-GB"/>
        </w:rPr>
        <w:t>–</w:t>
      </w:r>
      <w:r w:rsidRPr="007A2F89">
        <w:rPr>
          <w:rFonts w:ascii="Times New Roman" w:hAnsi="Times New Roman"/>
          <w:sz w:val="24"/>
          <w:szCs w:val="24"/>
          <w:lang w:val="en-GB"/>
        </w:rPr>
        <w:t xml:space="preserve"> </w:t>
      </w:r>
      <w:r w:rsidR="00E0633A" w:rsidRPr="007A2F89">
        <w:rPr>
          <w:rFonts w:ascii="Times New Roman" w:hAnsi="Times New Roman"/>
          <w:sz w:val="24"/>
          <w:szCs w:val="24"/>
          <w:lang w:val="en-GB"/>
        </w:rPr>
        <w:t xml:space="preserve">to verify </w:t>
      </w:r>
      <w:r w:rsidRPr="007A2F89">
        <w:rPr>
          <w:rFonts w:ascii="Times New Roman" w:hAnsi="Times New Roman"/>
          <w:sz w:val="24"/>
          <w:szCs w:val="24"/>
          <w:lang w:val="en-GB"/>
        </w:rPr>
        <w:t>the effects of the variables in the period considered (2011-2019).</w:t>
      </w:r>
    </w:p>
    <w:p w14:paraId="3060EFBA" w14:textId="77777777" w:rsidR="008C3C0E" w:rsidRPr="007A2F89" w:rsidRDefault="008C3C0E" w:rsidP="007A2F89">
      <w:pPr>
        <w:rPr>
          <w:rFonts w:ascii="Times New Roman" w:hAnsi="Times New Roman"/>
          <w:b/>
          <w:bCs/>
          <w:sz w:val="24"/>
          <w:szCs w:val="24"/>
          <w:lang w:val="en-GB"/>
        </w:rPr>
      </w:pPr>
    </w:p>
    <w:p w14:paraId="09009FC1" w14:textId="4E4984D9" w:rsidR="00AC4EBC" w:rsidRPr="007A2F89" w:rsidRDefault="00AC4EBC" w:rsidP="007A2F89">
      <w:pPr>
        <w:pStyle w:val="Paragrafoelenco"/>
        <w:numPr>
          <w:ilvl w:val="1"/>
          <w:numId w:val="7"/>
        </w:numPr>
        <w:ind w:left="0" w:firstLine="0"/>
        <w:jc w:val="both"/>
        <w:rPr>
          <w:rFonts w:ascii="Times New Roman" w:hAnsi="Times New Roman"/>
          <w:b/>
          <w:bCs/>
          <w:i/>
          <w:iCs/>
        </w:rPr>
      </w:pPr>
      <w:proofErr w:type="spellStart"/>
      <w:r w:rsidRPr="007A2F89">
        <w:rPr>
          <w:rFonts w:ascii="Times New Roman" w:hAnsi="Times New Roman"/>
          <w:b/>
          <w:bCs/>
          <w:i/>
          <w:iCs/>
        </w:rPr>
        <w:t>Analytical</w:t>
      </w:r>
      <w:proofErr w:type="spellEnd"/>
      <w:r w:rsidRPr="007A2F89">
        <w:rPr>
          <w:rFonts w:ascii="Times New Roman" w:hAnsi="Times New Roman"/>
          <w:b/>
          <w:bCs/>
          <w:i/>
          <w:iCs/>
        </w:rPr>
        <w:t xml:space="preserve"> </w:t>
      </w:r>
      <w:proofErr w:type="spellStart"/>
      <w:r w:rsidRPr="007A2F89">
        <w:rPr>
          <w:rFonts w:ascii="Times New Roman" w:hAnsi="Times New Roman"/>
          <w:b/>
          <w:bCs/>
          <w:i/>
          <w:iCs/>
        </w:rPr>
        <w:t>investigation</w:t>
      </w:r>
      <w:proofErr w:type="spellEnd"/>
      <w:r w:rsidRPr="007A2F89">
        <w:rPr>
          <w:rFonts w:ascii="Times New Roman" w:hAnsi="Times New Roman"/>
          <w:b/>
          <w:bCs/>
          <w:i/>
          <w:iCs/>
        </w:rPr>
        <w:t xml:space="preserve"> </w:t>
      </w:r>
      <w:proofErr w:type="spellStart"/>
      <w:r w:rsidRPr="007A2F89">
        <w:rPr>
          <w:rFonts w:ascii="Times New Roman" w:hAnsi="Times New Roman"/>
          <w:b/>
          <w:bCs/>
          <w:i/>
          <w:iCs/>
        </w:rPr>
        <w:t>approach</w:t>
      </w:r>
      <w:proofErr w:type="spellEnd"/>
    </w:p>
    <w:p w14:paraId="14619C88" w14:textId="78FB7261" w:rsidR="00520ED5" w:rsidRPr="007A2F89" w:rsidRDefault="00AC4EBC" w:rsidP="007A2F89">
      <w:pPr>
        <w:rPr>
          <w:rFonts w:ascii="Times New Roman" w:hAnsi="Times New Roman"/>
          <w:sz w:val="24"/>
          <w:szCs w:val="24"/>
          <w:lang w:val="en-GB"/>
        </w:rPr>
      </w:pPr>
      <w:r w:rsidRPr="007A2F89">
        <w:rPr>
          <w:rFonts w:ascii="Times New Roman" w:hAnsi="Times New Roman"/>
          <w:sz w:val="24"/>
          <w:szCs w:val="24"/>
          <w:lang w:val="en-GB"/>
        </w:rPr>
        <w:t>The analysis of the potential effects exerted by the adoption of a certified environmental management system on the company</w:t>
      </w:r>
      <w:r w:rsidR="007A2F89" w:rsidRPr="007A2F89">
        <w:rPr>
          <w:rFonts w:ascii="Times New Roman" w:hAnsi="Times New Roman"/>
          <w:sz w:val="24"/>
          <w:szCs w:val="24"/>
          <w:lang w:val="en-GB"/>
        </w:rPr>
        <w:t>’</w:t>
      </w:r>
      <w:r w:rsidRPr="007A2F89">
        <w:rPr>
          <w:rFonts w:ascii="Times New Roman" w:hAnsi="Times New Roman"/>
          <w:sz w:val="24"/>
          <w:szCs w:val="24"/>
          <w:lang w:val="en-GB"/>
        </w:rPr>
        <w:t>s economic and finan</w:t>
      </w:r>
      <w:r w:rsidR="00146B0A" w:rsidRPr="007A2F89">
        <w:rPr>
          <w:rFonts w:ascii="Times New Roman" w:hAnsi="Times New Roman"/>
          <w:sz w:val="24"/>
          <w:szCs w:val="24"/>
          <w:lang w:val="en-GB"/>
        </w:rPr>
        <w:softHyphen/>
      </w:r>
      <w:r w:rsidRPr="007A2F89">
        <w:rPr>
          <w:rFonts w:ascii="Times New Roman" w:hAnsi="Times New Roman"/>
          <w:sz w:val="24"/>
          <w:szCs w:val="24"/>
          <w:lang w:val="en-GB"/>
        </w:rPr>
        <w:t xml:space="preserve">cial </w:t>
      </w:r>
      <w:r w:rsidR="00E0633A" w:rsidRPr="007A2F89">
        <w:rPr>
          <w:rFonts w:ascii="Times New Roman" w:hAnsi="Times New Roman"/>
          <w:sz w:val="24"/>
          <w:szCs w:val="24"/>
          <w:lang w:val="en-GB"/>
        </w:rPr>
        <w:t xml:space="preserve">performance was </w:t>
      </w:r>
      <w:r w:rsidRPr="007A2F89">
        <w:rPr>
          <w:rFonts w:ascii="Times New Roman" w:hAnsi="Times New Roman"/>
          <w:sz w:val="24"/>
          <w:szCs w:val="24"/>
          <w:lang w:val="en-GB"/>
        </w:rPr>
        <w:t>conducted according to an empirical approach divided into two stages.</w:t>
      </w:r>
      <w:r w:rsidR="00520ED5" w:rsidRPr="007A2F89">
        <w:rPr>
          <w:rFonts w:ascii="Times New Roman" w:hAnsi="Times New Roman"/>
          <w:sz w:val="24"/>
          <w:szCs w:val="24"/>
          <w:lang w:val="en-GB"/>
        </w:rPr>
        <w:t xml:space="preserve"> </w:t>
      </w:r>
      <w:r w:rsidR="00E7759B" w:rsidRPr="007A2F89">
        <w:rPr>
          <w:rFonts w:ascii="Times New Roman" w:hAnsi="Times New Roman"/>
          <w:sz w:val="24"/>
          <w:szCs w:val="24"/>
          <w:lang w:val="en-GB"/>
        </w:rPr>
        <w:t>I</w:t>
      </w:r>
      <w:r w:rsidRPr="007A2F89">
        <w:rPr>
          <w:rFonts w:ascii="Times New Roman" w:hAnsi="Times New Roman"/>
          <w:sz w:val="24"/>
          <w:szCs w:val="24"/>
          <w:lang w:val="en-GB"/>
        </w:rPr>
        <w:t xml:space="preserve">n the first, descriptive </w:t>
      </w:r>
      <w:r w:rsidR="00E7759B" w:rsidRPr="007A2F89">
        <w:rPr>
          <w:rFonts w:ascii="Times New Roman" w:hAnsi="Times New Roman"/>
          <w:sz w:val="24"/>
          <w:szCs w:val="24"/>
          <w:lang w:val="en-GB"/>
        </w:rPr>
        <w:t>analysis</w:t>
      </w:r>
      <w:r w:rsidRPr="007A2F89">
        <w:rPr>
          <w:rFonts w:ascii="Times New Roman" w:hAnsi="Times New Roman"/>
          <w:sz w:val="24"/>
          <w:szCs w:val="24"/>
          <w:lang w:val="en-GB"/>
        </w:rPr>
        <w:t xml:space="preserve"> of the selected sample </w:t>
      </w:r>
      <w:r w:rsidR="00E7759B" w:rsidRPr="007A2F89">
        <w:rPr>
          <w:rFonts w:ascii="Times New Roman" w:hAnsi="Times New Roman"/>
          <w:sz w:val="24"/>
          <w:szCs w:val="24"/>
          <w:lang w:val="en-GB"/>
        </w:rPr>
        <w:t>was</w:t>
      </w:r>
      <w:r w:rsidRPr="007A2F89">
        <w:rPr>
          <w:rFonts w:ascii="Times New Roman" w:hAnsi="Times New Roman"/>
          <w:sz w:val="24"/>
          <w:szCs w:val="24"/>
          <w:lang w:val="en-GB"/>
        </w:rPr>
        <w:t xml:space="preserve"> performed and,</w:t>
      </w:r>
      <w:r w:rsidR="00E7759B" w:rsidRPr="007A2F89">
        <w:rPr>
          <w:rFonts w:ascii="Times New Roman" w:hAnsi="Times New Roman"/>
          <w:sz w:val="24"/>
          <w:szCs w:val="24"/>
          <w:lang w:val="en-GB"/>
        </w:rPr>
        <w:t xml:space="preserve"> </w:t>
      </w:r>
      <w:r w:rsidRPr="007A2F89">
        <w:rPr>
          <w:rFonts w:ascii="Times New Roman" w:hAnsi="Times New Roman"/>
          <w:sz w:val="24"/>
          <w:szCs w:val="24"/>
          <w:lang w:val="en-GB"/>
        </w:rPr>
        <w:t xml:space="preserve">a specific analysis was conducted </w:t>
      </w:r>
      <w:r w:rsidR="00E7759B" w:rsidRPr="007A2F89">
        <w:rPr>
          <w:rFonts w:ascii="Times New Roman" w:hAnsi="Times New Roman"/>
          <w:sz w:val="24"/>
          <w:szCs w:val="24"/>
          <w:lang w:val="en-GB"/>
        </w:rPr>
        <w:t xml:space="preserve">to </w:t>
      </w:r>
      <w:r w:rsidRPr="007A2F89">
        <w:rPr>
          <w:rFonts w:ascii="Times New Roman" w:hAnsi="Times New Roman"/>
          <w:sz w:val="24"/>
          <w:szCs w:val="24"/>
          <w:lang w:val="en-GB"/>
        </w:rPr>
        <w:t>exclud</w:t>
      </w:r>
      <w:r w:rsidR="00E7759B" w:rsidRPr="007A2F89">
        <w:rPr>
          <w:rFonts w:ascii="Times New Roman" w:hAnsi="Times New Roman"/>
          <w:sz w:val="24"/>
          <w:szCs w:val="24"/>
          <w:lang w:val="en-GB"/>
        </w:rPr>
        <w:t>e</w:t>
      </w:r>
      <w:r w:rsidRPr="007A2F89">
        <w:rPr>
          <w:rFonts w:ascii="Times New Roman" w:hAnsi="Times New Roman"/>
          <w:sz w:val="24"/>
          <w:szCs w:val="24"/>
          <w:lang w:val="en-GB"/>
        </w:rPr>
        <w:t xml:space="preserve"> the presence of multicollinearity among the independent variables. </w:t>
      </w:r>
      <w:r w:rsidR="008E2565" w:rsidRPr="007A2F89">
        <w:rPr>
          <w:rFonts w:ascii="Times New Roman" w:hAnsi="Times New Roman"/>
          <w:sz w:val="24"/>
          <w:szCs w:val="24"/>
          <w:lang w:val="en-GB"/>
        </w:rPr>
        <w:t xml:space="preserve">Specifically, a </w:t>
      </w:r>
      <w:r w:rsidR="008E2565" w:rsidRPr="007A2F89">
        <w:rPr>
          <w:rFonts w:ascii="Times New Roman" w:hAnsi="Times New Roman"/>
          <w:i/>
          <w:iCs/>
          <w:sz w:val="24"/>
          <w:szCs w:val="24"/>
          <w:lang w:val="en-GB"/>
        </w:rPr>
        <w:t>VIF - Variance Inflation Factor</w:t>
      </w:r>
      <w:r w:rsidR="008E2565" w:rsidRPr="007A2F89">
        <w:rPr>
          <w:rFonts w:ascii="Times New Roman" w:hAnsi="Times New Roman"/>
          <w:sz w:val="24"/>
          <w:szCs w:val="24"/>
          <w:lang w:val="en-GB"/>
        </w:rPr>
        <w:t xml:space="preserve"> analysis </w:t>
      </w:r>
      <w:r w:rsidR="00146B0A" w:rsidRPr="007A2F89">
        <w:rPr>
          <w:rFonts w:ascii="Times New Roman" w:hAnsi="Times New Roman"/>
          <w:sz w:val="24"/>
          <w:szCs w:val="24"/>
          <w:lang w:val="en-GB"/>
        </w:rPr>
        <w:t xml:space="preserve">and a </w:t>
      </w:r>
      <w:r w:rsidR="008E2565" w:rsidRPr="007A2F89">
        <w:rPr>
          <w:rFonts w:ascii="Times New Roman" w:hAnsi="Times New Roman"/>
          <w:sz w:val="24"/>
          <w:szCs w:val="24"/>
          <w:lang w:val="en-GB"/>
        </w:rPr>
        <w:t>Pearson</w:t>
      </w:r>
      <w:r w:rsidR="007A2F89" w:rsidRPr="007A2F89">
        <w:rPr>
          <w:rFonts w:ascii="Times New Roman" w:hAnsi="Times New Roman"/>
          <w:sz w:val="24"/>
          <w:szCs w:val="24"/>
          <w:lang w:val="en-GB"/>
        </w:rPr>
        <w:t>’</w:t>
      </w:r>
      <w:r w:rsidR="00146B0A" w:rsidRPr="007A2F89">
        <w:rPr>
          <w:rFonts w:ascii="Times New Roman" w:hAnsi="Times New Roman"/>
          <w:sz w:val="24"/>
          <w:szCs w:val="24"/>
          <w:lang w:val="en-GB"/>
        </w:rPr>
        <w:t>s</w:t>
      </w:r>
      <w:r w:rsidR="008E2565" w:rsidRPr="007A2F89">
        <w:rPr>
          <w:rFonts w:ascii="Times New Roman" w:hAnsi="Times New Roman"/>
          <w:sz w:val="24"/>
          <w:szCs w:val="24"/>
          <w:lang w:val="en-GB"/>
        </w:rPr>
        <w:t xml:space="preserve"> bivariate correlation analysis were conducted to verify the absence of high and significant correlation coefficient between the independent variables. </w:t>
      </w:r>
      <w:r w:rsidR="00E0633A" w:rsidRPr="007A2F89">
        <w:rPr>
          <w:rFonts w:ascii="Times New Roman" w:hAnsi="Times New Roman"/>
          <w:sz w:val="24"/>
          <w:szCs w:val="24"/>
          <w:lang w:val="en-GB"/>
        </w:rPr>
        <w:t>Furthermore</w:t>
      </w:r>
      <w:r w:rsidR="008E2565" w:rsidRPr="007A2F89">
        <w:rPr>
          <w:rFonts w:ascii="Times New Roman" w:hAnsi="Times New Roman"/>
          <w:sz w:val="24"/>
          <w:szCs w:val="24"/>
          <w:lang w:val="en-GB"/>
        </w:rPr>
        <w:t xml:space="preserve">, </w:t>
      </w:r>
      <w:r w:rsidR="00E7759B" w:rsidRPr="007A2F89">
        <w:rPr>
          <w:rFonts w:ascii="Times New Roman" w:hAnsi="Times New Roman"/>
          <w:sz w:val="24"/>
          <w:szCs w:val="24"/>
          <w:lang w:val="en-GB"/>
        </w:rPr>
        <w:t xml:space="preserve">with the aim </w:t>
      </w:r>
      <w:r w:rsidR="00146B0A" w:rsidRPr="007A2F89">
        <w:rPr>
          <w:rFonts w:ascii="Times New Roman" w:hAnsi="Times New Roman"/>
          <w:sz w:val="24"/>
          <w:szCs w:val="24"/>
          <w:lang w:val="en-GB"/>
        </w:rPr>
        <w:t>of</w:t>
      </w:r>
      <w:r w:rsidR="008E2565" w:rsidRPr="007A2F89">
        <w:rPr>
          <w:rFonts w:ascii="Times New Roman" w:hAnsi="Times New Roman"/>
          <w:sz w:val="24"/>
          <w:szCs w:val="24"/>
          <w:lang w:val="en-GB"/>
        </w:rPr>
        <w:t xml:space="preserve"> empirically valida</w:t>
      </w:r>
      <w:r w:rsidR="00E0633A" w:rsidRPr="007A2F89">
        <w:rPr>
          <w:rFonts w:ascii="Times New Roman" w:hAnsi="Times New Roman"/>
          <w:sz w:val="24"/>
          <w:szCs w:val="24"/>
          <w:lang w:val="en-GB"/>
        </w:rPr>
        <w:t>t</w:t>
      </w:r>
      <w:r w:rsidR="00146B0A" w:rsidRPr="007A2F89">
        <w:rPr>
          <w:rFonts w:ascii="Times New Roman" w:hAnsi="Times New Roman"/>
          <w:sz w:val="24"/>
          <w:szCs w:val="24"/>
          <w:lang w:val="en-GB"/>
        </w:rPr>
        <w:t>ing</w:t>
      </w:r>
      <w:r w:rsidR="008E2565" w:rsidRPr="007A2F89">
        <w:rPr>
          <w:rFonts w:ascii="Times New Roman" w:hAnsi="Times New Roman"/>
          <w:sz w:val="24"/>
          <w:szCs w:val="24"/>
          <w:lang w:val="en-GB"/>
        </w:rPr>
        <w:t xml:space="preserve"> the research hypothesis, a </w:t>
      </w:r>
      <w:r w:rsidR="008E2565" w:rsidRPr="007A2F89">
        <w:rPr>
          <w:rFonts w:ascii="Times New Roman" w:hAnsi="Times New Roman"/>
          <w:i/>
          <w:iCs/>
          <w:sz w:val="24"/>
          <w:szCs w:val="24"/>
          <w:lang w:val="en-GB"/>
        </w:rPr>
        <w:t>GLS - Generalized Least Square</w:t>
      </w:r>
      <w:r w:rsidR="008E2565" w:rsidRPr="007A2F89">
        <w:rPr>
          <w:rFonts w:ascii="Times New Roman" w:hAnsi="Times New Roman"/>
          <w:sz w:val="24"/>
          <w:szCs w:val="24"/>
          <w:lang w:val="en-GB"/>
        </w:rPr>
        <w:t xml:space="preserve"> </w:t>
      </w:r>
      <w:r w:rsidR="008E2565" w:rsidRPr="007A2F89">
        <w:rPr>
          <w:rFonts w:ascii="Times New Roman" w:hAnsi="Times New Roman"/>
          <w:i/>
          <w:iCs/>
          <w:sz w:val="24"/>
          <w:szCs w:val="24"/>
          <w:lang w:val="en-GB"/>
        </w:rPr>
        <w:t>Regression</w:t>
      </w:r>
      <w:r w:rsidR="008E2565" w:rsidRPr="007A2F89">
        <w:rPr>
          <w:rFonts w:ascii="Times New Roman" w:hAnsi="Times New Roman"/>
          <w:sz w:val="24"/>
          <w:szCs w:val="24"/>
          <w:lang w:val="en-GB"/>
        </w:rPr>
        <w:t xml:space="preserve"> model was developed, particularly suitable </w:t>
      </w:r>
      <w:r w:rsidR="00E0633A" w:rsidRPr="007A2F89">
        <w:rPr>
          <w:rFonts w:ascii="Times New Roman" w:hAnsi="Times New Roman"/>
          <w:sz w:val="24"/>
          <w:szCs w:val="24"/>
          <w:lang w:val="en-GB"/>
        </w:rPr>
        <w:t>to</w:t>
      </w:r>
      <w:r w:rsidR="008E2565" w:rsidRPr="007A2F89">
        <w:rPr>
          <w:rFonts w:ascii="Times New Roman" w:hAnsi="Times New Roman"/>
          <w:sz w:val="24"/>
          <w:szCs w:val="24"/>
          <w:lang w:val="en-GB"/>
        </w:rPr>
        <w:t xml:space="preserve"> estimat</w:t>
      </w:r>
      <w:r w:rsidR="00E0633A" w:rsidRPr="007A2F89">
        <w:rPr>
          <w:rFonts w:ascii="Times New Roman" w:hAnsi="Times New Roman"/>
          <w:sz w:val="24"/>
          <w:szCs w:val="24"/>
          <w:lang w:val="en-GB"/>
        </w:rPr>
        <w:t>e the</w:t>
      </w:r>
      <w:r w:rsidR="008E2565" w:rsidRPr="007A2F89">
        <w:rPr>
          <w:rFonts w:ascii="Times New Roman" w:hAnsi="Times New Roman"/>
          <w:sz w:val="24"/>
          <w:szCs w:val="24"/>
          <w:lang w:val="en-GB"/>
        </w:rPr>
        <w:t xml:space="preserve"> linear relationships between variables in a panel data</w:t>
      </w:r>
      <w:r w:rsidR="00146B0A" w:rsidRPr="007A2F89">
        <w:rPr>
          <w:rFonts w:ascii="Times New Roman" w:hAnsi="Times New Roman"/>
          <w:sz w:val="24"/>
          <w:szCs w:val="24"/>
          <w:lang w:val="en-GB"/>
        </w:rPr>
        <w:t>set</w:t>
      </w:r>
      <w:r w:rsidR="008E2565" w:rsidRPr="007A2F89">
        <w:rPr>
          <w:rFonts w:ascii="Times New Roman" w:hAnsi="Times New Roman"/>
          <w:sz w:val="24"/>
          <w:szCs w:val="24"/>
          <w:lang w:val="en-GB"/>
        </w:rPr>
        <w:t>.</w:t>
      </w:r>
    </w:p>
    <w:p w14:paraId="49ADBE5D" w14:textId="7EB691C1" w:rsidR="007063FA" w:rsidRPr="007A2F89" w:rsidRDefault="008E2565" w:rsidP="007A2F89">
      <w:pPr>
        <w:widowControl w:val="0"/>
        <w:rPr>
          <w:rFonts w:ascii="Times New Roman" w:hAnsi="Times New Roman"/>
          <w:sz w:val="24"/>
          <w:szCs w:val="24"/>
          <w:lang w:val="en-GB"/>
        </w:rPr>
      </w:pPr>
      <w:r w:rsidRPr="007A2F89">
        <w:rPr>
          <w:rFonts w:ascii="Times New Roman" w:hAnsi="Times New Roman"/>
          <w:sz w:val="24"/>
          <w:szCs w:val="24"/>
          <w:lang w:val="en-GB"/>
        </w:rPr>
        <w:t>Regarding the models used for the study, the function that expresses the relationship between the company economic and financial performance and the adoption of a certified environmental management system can be described as follows:</w:t>
      </w:r>
    </w:p>
    <w:p w14:paraId="3D028B28" w14:textId="77777777" w:rsidR="008E2565" w:rsidRPr="007A2F89" w:rsidRDefault="008E2565" w:rsidP="007A2F89">
      <w:pPr>
        <w:widowControl w:val="0"/>
        <w:rPr>
          <w:rFonts w:ascii="Times New Roman" w:hAnsi="Times New Roman"/>
          <w:sz w:val="24"/>
          <w:szCs w:val="24"/>
          <w:lang w:val="en-GB"/>
        </w:rPr>
      </w:pPr>
    </w:p>
    <w:p w14:paraId="10DEFCBC" w14:textId="7D9C53EB" w:rsidR="00520ED5" w:rsidRPr="007A2F89" w:rsidRDefault="00B05C23" w:rsidP="007A2F89">
      <w:pPr>
        <w:rPr>
          <w:rFonts w:ascii="Times New Roman" w:hAnsi="Times New Roman"/>
          <w:iCs/>
          <w:sz w:val="24"/>
          <w:szCs w:val="24"/>
          <w:lang w:val="en-GB"/>
        </w:rPr>
      </w:pPr>
      <m:oMath>
        <m:sSub>
          <m:sSubPr>
            <m:ctrlPr>
              <w:rPr>
                <w:rFonts w:ascii="Cambria Math" w:hAnsi="Cambria Math"/>
                <w:i/>
                <w:sz w:val="24"/>
                <w:szCs w:val="24"/>
              </w:rPr>
            </m:ctrlPr>
          </m:sSubPr>
          <m:e>
            <m:r>
              <w:rPr>
                <w:rFonts w:ascii="Cambria Math" w:hAnsi="Cambria Math"/>
                <w:sz w:val="24"/>
                <w:szCs w:val="24"/>
              </w:rPr>
              <m:t>ROS</m:t>
            </m:r>
          </m:e>
          <m:sub>
            <m:r>
              <w:rPr>
                <w:rFonts w:ascii="Cambria Math" w:hAnsi="Cambria Math"/>
                <w:sz w:val="24"/>
                <w:szCs w:val="24"/>
              </w:rPr>
              <m:t>it</m:t>
            </m:r>
          </m:sub>
        </m:sSub>
      </m:oMath>
      <w:r w:rsidR="00520ED5" w:rsidRPr="007A2F89">
        <w:rPr>
          <w:rFonts w:ascii="Times New Roman" w:hAnsi="Times New Roman"/>
          <w:sz w:val="24"/>
          <w:szCs w:val="24"/>
          <w:lang w:val="en-GB"/>
        </w:rPr>
        <w:t xml:space="preserve"> =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lang w:val="en-GB"/>
              </w:rPr>
              <m:t>1</m:t>
            </m:r>
          </m:sub>
        </m:sSub>
        <m:sSub>
          <m:sSubPr>
            <m:ctrlPr>
              <w:rPr>
                <w:rFonts w:ascii="Cambria Math" w:hAnsi="Cambria Math"/>
                <w:i/>
                <w:sz w:val="24"/>
                <w:szCs w:val="24"/>
              </w:rPr>
            </m:ctrlPr>
          </m:sSubPr>
          <m:e>
            <m:r>
              <w:rPr>
                <w:rFonts w:ascii="Cambria Math" w:hAnsi="Cambria Math"/>
                <w:sz w:val="24"/>
                <w:szCs w:val="24"/>
              </w:rPr>
              <m:t>ISO</m:t>
            </m:r>
            <m:r>
              <w:rPr>
                <w:rFonts w:ascii="Cambria Math" w:hAnsi="Cambria Math"/>
                <w:sz w:val="24"/>
                <w:szCs w:val="24"/>
                <w:lang w:val="en-GB"/>
              </w:rPr>
              <m:t>14001</m:t>
            </m:r>
          </m:e>
          <m:sub>
            <m:r>
              <w:rPr>
                <w:rFonts w:ascii="Cambria Math" w:hAnsi="Cambria Math"/>
                <w:sz w:val="24"/>
                <w:szCs w:val="24"/>
              </w:rPr>
              <m:t>it</m:t>
            </m:r>
          </m:sub>
        </m:sSub>
      </m:oMath>
      <w:r w:rsidR="00520ED5" w:rsidRPr="007A2F89">
        <w:rPr>
          <w:rFonts w:ascii="Times New Roman" w:hAnsi="Times New Roman"/>
          <w:sz w:val="24"/>
          <w:szCs w:val="24"/>
          <w:lang w:val="en-GB"/>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lang w:val="en-GB"/>
              </w:rPr>
              <m:t>2</m:t>
            </m:r>
          </m:sub>
        </m:sSub>
        <m:sSub>
          <m:sSubPr>
            <m:ctrlPr>
              <w:rPr>
                <w:rFonts w:ascii="Cambria Math" w:hAnsi="Cambria Math"/>
                <w:i/>
                <w:sz w:val="24"/>
                <w:szCs w:val="24"/>
              </w:rPr>
            </m:ctrlPr>
          </m:sSubPr>
          <m:e>
            <m:r>
              <m:rPr>
                <m:sty m:val="p"/>
              </m:rPr>
              <w:rPr>
                <w:rFonts w:ascii="Cambria Math" w:hAnsi="Cambria Math"/>
                <w:sz w:val="24"/>
                <w:szCs w:val="24"/>
                <w:lang w:val="en-GB"/>
              </w:rPr>
              <m:t>CONTROL</m:t>
            </m:r>
          </m:e>
          <m:sub>
            <m:r>
              <w:rPr>
                <w:rFonts w:ascii="Cambria Math" w:hAnsi="Cambria Math"/>
                <w:sz w:val="24"/>
                <w:szCs w:val="24"/>
              </w:rPr>
              <m:t>it</m:t>
            </m:r>
          </m:sub>
        </m:sSub>
      </m:oMath>
      <w:r w:rsidR="00520ED5" w:rsidRPr="007A2F89">
        <w:rPr>
          <w:rFonts w:ascii="Times New Roman" w:hAnsi="Times New Roman"/>
          <w:i/>
          <w:sz w:val="24"/>
          <w:szCs w:val="24"/>
          <w:lang w:val="en-GB"/>
        </w:rPr>
        <w:t xml:space="preserve"> + </w:t>
      </w:r>
      <m:oMath>
        <m:sSub>
          <m:sSubPr>
            <m:ctrlPr>
              <w:rPr>
                <w:rFonts w:ascii="Cambria Math" w:hAnsi="Cambria Math"/>
                <w:i/>
                <w:sz w:val="24"/>
                <w:szCs w:val="24"/>
              </w:rPr>
            </m:ctrlPr>
          </m:sSubPr>
          <m:e>
            <m:r>
              <w:rPr>
                <w:rFonts w:ascii="Cambria Math" w:hAnsi="Cambria Math"/>
                <w:sz w:val="24"/>
                <w:szCs w:val="24"/>
                <w:lang w:val="en-GB"/>
              </w:rPr>
              <m:t>ℇ</m:t>
            </m:r>
          </m:e>
          <m:sub>
            <m:r>
              <w:rPr>
                <w:rFonts w:ascii="Cambria Math" w:hAnsi="Cambria Math"/>
                <w:sz w:val="24"/>
                <w:szCs w:val="24"/>
              </w:rPr>
              <m:t>it</m:t>
            </m:r>
          </m:sub>
        </m:sSub>
      </m:oMath>
    </w:p>
    <w:p w14:paraId="5DD00865" w14:textId="327323C0" w:rsidR="00520ED5" w:rsidRPr="007A2F89" w:rsidRDefault="00520ED5" w:rsidP="007A2F89">
      <w:pPr>
        <w:widowControl w:val="0"/>
        <w:rPr>
          <w:rFonts w:ascii="Times New Roman" w:hAnsi="Times New Roman"/>
          <w:sz w:val="24"/>
          <w:szCs w:val="24"/>
          <w:lang w:val="en-GB"/>
        </w:rPr>
      </w:pPr>
    </w:p>
    <w:p w14:paraId="3F62B54F" w14:textId="39A08113" w:rsidR="00520ED5" w:rsidRPr="007A2F89" w:rsidRDefault="008E2565" w:rsidP="007A2F89">
      <w:pPr>
        <w:rPr>
          <w:rFonts w:ascii="Times New Roman" w:hAnsi="Times New Roman"/>
          <w:sz w:val="24"/>
          <w:szCs w:val="24"/>
          <w:lang w:val="en-GB"/>
        </w:rPr>
      </w:pPr>
      <w:r w:rsidRPr="007A2F89">
        <w:rPr>
          <w:rFonts w:ascii="Times New Roman" w:hAnsi="Times New Roman"/>
          <w:sz w:val="24"/>
          <w:szCs w:val="24"/>
          <w:lang w:val="en-GB"/>
        </w:rPr>
        <w:t xml:space="preserve">where CONTROL represents the vector of control variables and </w:t>
      </w:r>
      <w:r w:rsidR="00520ED5" w:rsidRPr="007A2F89">
        <w:rPr>
          <w:rFonts w:ascii="Times New Roman" w:hAnsi="Times New Roman"/>
          <w:sz w:val="24"/>
          <w:szCs w:val="24"/>
        </w:rPr>
        <w:t>ε</w:t>
      </w:r>
      <w:r w:rsidR="00520ED5" w:rsidRPr="007A2F89">
        <w:rPr>
          <w:rFonts w:ascii="Times New Roman" w:hAnsi="Times New Roman"/>
          <w:i/>
          <w:sz w:val="24"/>
          <w:szCs w:val="24"/>
          <w:vertAlign w:val="subscript"/>
          <w:lang w:val="en-GB"/>
        </w:rPr>
        <w:t>it</w:t>
      </w:r>
      <w:r w:rsidR="00520ED5" w:rsidRPr="007A2F89">
        <w:rPr>
          <w:rFonts w:ascii="Times New Roman" w:hAnsi="Times New Roman"/>
          <w:sz w:val="24"/>
          <w:szCs w:val="24"/>
          <w:lang w:val="en-GB"/>
        </w:rPr>
        <w:t xml:space="preserve"> </w:t>
      </w:r>
      <w:r w:rsidRPr="007A2F89">
        <w:rPr>
          <w:rFonts w:ascii="Times New Roman" w:hAnsi="Times New Roman"/>
          <w:sz w:val="24"/>
          <w:szCs w:val="24"/>
          <w:lang w:val="en-GB"/>
        </w:rPr>
        <w:t>the company</w:t>
      </w:r>
      <w:r w:rsidR="007A2F89" w:rsidRPr="007A2F89">
        <w:rPr>
          <w:rFonts w:ascii="Times New Roman" w:hAnsi="Times New Roman"/>
          <w:sz w:val="24"/>
          <w:szCs w:val="24"/>
          <w:lang w:val="en-GB"/>
        </w:rPr>
        <w:t>’</w:t>
      </w:r>
      <w:r w:rsidRPr="007A2F89">
        <w:rPr>
          <w:rFonts w:ascii="Times New Roman" w:hAnsi="Times New Roman"/>
          <w:sz w:val="24"/>
          <w:szCs w:val="24"/>
          <w:lang w:val="en-GB"/>
        </w:rPr>
        <w:t xml:space="preserve">s error term </w:t>
      </w:r>
      <w:proofErr w:type="spellStart"/>
      <w:r w:rsidR="00520ED5" w:rsidRPr="007A2F89">
        <w:rPr>
          <w:rFonts w:ascii="Times New Roman" w:hAnsi="Times New Roman"/>
          <w:i/>
          <w:sz w:val="24"/>
          <w:szCs w:val="24"/>
          <w:lang w:val="en-GB"/>
        </w:rPr>
        <w:t>i</w:t>
      </w:r>
      <w:proofErr w:type="spellEnd"/>
      <w:r w:rsidR="00520ED5" w:rsidRPr="007A2F89">
        <w:rPr>
          <w:rFonts w:ascii="Times New Roman" w:hAnsi="Times New Roman"/>
          <w:sz w:val="24"/>
          <w:szCs w:val="24"/>
          <w:lang w:val="en-GB"/>
        </w:rPr>
        <w:t xml:space="preserve"> </w:t>
      </w:r>
      <w:r w:rsidRPr="007A2F89">
        <w:rPr>
          <w:rFonts w:ascii="Times New Roman" w:hAnsi="Times New Roman"/>
          <w:sz w:val="24"/>
          <w:szCs w:val="24"/>
          <w:lang w:val="en-GB"/>
        </w:rPr>
        <w:t>at the time</w:t>
      </w:r>
      <w:r w:rsidR="00520ED5" w:rsidRPr="007A2F89">
        <w:rPr>
          <w:rFonts w:ascii="Times New Roman" w:hAnsi="Times New Roman"/>
          <w:sz w:val="24"/>
          <w:szCs w:val="24"/>
          <w:lang w:val="en-GB"/>
        </w:rPr>
        <w:t xml:space="preserve"> </w:t>
      </w:r>
      <w:r w:rsidR="00520ED5" w:rsidRPr="007A2F89">
        <w:rPr>
          <w:rFonts w:ascii="Times New Roman" w:hAnsi="Times New Roman"/>
          <w:i/>
          <w:sz w:val="24"/>
          <w:szCs w:val="24"/>
          <w:lang w:val="en-GB"/>
        </w:rPr>
        <w:t>t</w:t>
      </w:r>
      <w:r w:rsidR="00520ED5" w:rsidRPr="007A2F89">
        <w:rPr>
          <w:rFonts w:ascii="Times New Roman" w:hAnsi="Times New Roman"/>
          <w:sz w:val="24"/>
          <w:szCs w:val="24"/>
          <w:lang w:val="en-GB"/>
        </w:rPr>
        <w:t>.</w:t>
      </w:r>
    </w:p>
    <w:p w14:paraId="79D355B0" w14:textId="77777777" w:rsidR="008C3C0E" w:rsidRPr="007A2F89" w:rsidRDefault="008C3C0E" w:rsidP="007A2F89">
      <w:pPr>
        <w:widowControl w:val="0"/>
        <w:rPr>
          <w:rFonts w:ascii="Times New Roman" w:hAnsi="Times New Roman"/>
          <w:lang w:val="en-GB"/>
        </w:rPr>
      </w:pPr>
    </w:p>
    <w:p w14:paraId="1C39C0F8" w14:textId="77D8E1CA" w:rsidR="001118E5" w:rsidRPr="007A2F89" w:rsidRDefault="00520ED5" w:rsidP="007A2F89">
      <w:pPr>
        <w:pStyle w:val="Paragrafoelenco"/>
        <w:numPr>
          <w:ilvl w:val="0"/>
          <w:numId w:val="7"/>
        </w:numPr>
        <w:ind w:left="0" w:firstLine="0"/>
        <w:jc w:val="both"/>
        <w:rPr>
          <w:rFonts w:ascii="Times New Roman" w:hAnsi="Times New Roman"/>
          <w:b/>
          <w:bCs/>
        </w:rPr>
      </w:pPr>
      <w:proofErr w:type="spellStart"/>
      <w:r w:rsidRPr="007A2F89">
        <w:rPr>
          <w:rFonts w:ascii="Times New Roman" w:hAnsi="Times New Roman"/>
          <w:b/>
          <w:bCs/>
        </w:rPr>
        <w:t>R</w:t>
      </w:r>
      <w:r w:rsidR="008E2565" w:rsidRPr="007A2F89">
        <w:rPr>
          <w:rFonts w:ascii="Times New Roman" w:hAnsi="Times New Roman"/>
          <w:b/>
          <w:bCs/>
        </w:rPr>
        <w:t>esults</w:t>
      </w:r>
      <w:proofErr w:type="spellEnd"/>
    </w:p>
    <w:p w14:paraId="6280B015" w14:textId="0DC647E2" w:rsidR="001118E5" w:rsidRPr="007A2F89" w:rsidRDefault="008E2565" w:rsidP="007A2F89">
      <w:pPr>
        <w:pStyle w:val="Paragrafoelenco"/>
        <w:numPr>
          <w:ilvl w:val="1"/>
          <w:numId w:val="7"/>
        </w:numPr>
        <w:ind w:left="0" w:firstLine="0"/>
        <w:jc w:val="both"/>
        <w:rPr>
          <w:rFonts w:ascii="Times New Roman" w:hAnsi="Times New Roman"/>
          <w:b/>
          <w:bCs/>
          <w:i/>
          <w:iCs/>
        </w:rPr>
      </w:pPr>
      <w:proofErr w:type="spellStart"/>
      <w:r w:rsidRPr="007A2F89">
        <w:rPr>
          <w:rFonts w:ascii="Times New Roman" w:hAnsi="Times New Roman"/>
          <w:b/>
          <w:bCs/>
          <w:i/>
          <w:iCs/>
        </w:rPr>
        <w:t>Descriptive</w:t>
      </w:r>
      <w:proofErr w:type="spellEnd"/>
      <w:r w:rsidRPr="007A2F89">
        <w:rPr>
          <w:rFonts w:ascii="Times New Roman" w:hAnsi="Times New Roman"/>
          <w:b/>
          <w:bCs/>
          <w:i/>
          <w:iCs/>
        </w:rPr>
        <w:t xml:space="preserve"> </w:t>
      </w:r>
      <w:proofErr w:type="spellStart"/>
      <w:r w:rsidRPr="007A2F89">
        <w:rPr>
          <w:rFonts w:ascii="Times New Roman" w:hAnsi="Times New Roman"/>
          <w:b/>
          <w:bCs/>
          <w:i/>
          <w:iCs/>
        </w:rPr>
        <w:t>statistics</w:t>
      </w:r>
      <w:proofErr w:type="spellEnd"/>
    </w:p>
    <w:p w14:paraId="06FD9363" w14:textId="59F1569D" w:rsidR="00520ED5" w:rsidRPr="007A2F89" w:rsidRDefault="00C3779C" w:rsidP="007A2F89">
      <w:pPr>
        <w:rPr>
          <w:rFonts w:ascii="Times New Roman" w:hAnsi="Times New Roman"/>
          <w:sz w:val="24"/>
          <w:szCs w:val="24"/>
          <w:lang w:val="en-GB"/>
        </w:rPr>
      </w:pPr>
      <w:r w:rsidRPr="007A2F89">
        <w:rPr>
          <w:rFonts w:ascii="Times New Roman" w:hAnsi="Times New Roman"/>
          <w:sz w:val="24"/>
          <w:szCs w:val="24"/>
          <w:lang w:val="en-GB"/>
        </w:rPr>
        <w:t xml:space="preserve">Table 3 </w:t>
      </w:r>
      <w:r w:rsidR="00322FEB" w:rsidRPr="007A2F89">
        <w:rPr>
          <w:rFonts w:ascii="Times New Roman" w:hAnsi="Times New Roman"/>
          <w:sz w:val="24"/>
          <w:szCs w:val="24"/>
          <w:lang w:val="en-GB"/>
        </w:rPr>
        <w:t>shows</w:t>
      </w:r>
      <w:r w:rsidRPr="007A2F89">
        <w:rPr>
          <w:rFonts w:ascii="Times New Roman" w:hAnsi="Times New Roman"/>
          <w:sz w:val="24"/>
          <w:szCs w:val="24"/>
          <w:lang w:val="en-GB"/>
        </w:rPr>
        <w:t xml:space="preserve"> the descriptive statistics</w:t>
      </w:r>
      <w:r w:rsidR="00322FEB" w:rsidRPr="007A2F89">
        <w:rPr>
          <w:rFonts w:ascii="Times New Roman" w:hAnsi="Times New Roman"/>
          <w:sz w:val="24"/>
          <w:szCs w:val="24"/>
          <w:lang w:val="en-GB"/>
        </w:rPr>
        <w:t>,</w:t>
      </w:r>
      <w:r w:rsidRPr="007A2F89">
        <w:rPr>
          <w:rFonts w:ascii="Times New Roman" w:hAnsi="Times New Roman"/>
          <w:sz w:val="24"/>
          <w:szCs w:val="24"/>
          <w:lang w:val="en-GB"/>
        </w:rPr>
        <w:t xml:space="preserve"> </w:t>
      </w:r>
      <w:r w:rsidR="003C1609" w:rsidRPr="007A2F89">
        <w:rPr>
          <w:rFonts w:ascii="Times New Roman" w:hAnsi="Times New Roman"/>
          <w:sz w:val="24"/>
          <w:szCs w:val="24"/>
          <w:lang w:val="en-GB"/>
        </w:rPr>
        <w:t>separately computed</w:t>
      </w:r>
      <w:r w:rsidRPr="007A2F89">
        <w:rPr>
          <w:rFonts w:ascii="Times New Roman" w:hAnsi="Times New Roman"/>
          <w:sz w:val="24"/>
          <w:szCs w:val="24"/>
          <w:lang w:val="en-GB"/>
        </w:rPr>
        <w:t xml:space="preserve"> for ISO14001 and non-ISO14001 certified companies.  It should be noted that the companies that adopt an ISO14001 certified environmental management system show</w:t>
      </w:r>
      <w:r w:rsidR="00322FEB" w:rsidRPr="007A2F89">
        <w:rPr>
          <w:rFonts w:ascii="Times New Roman" w:hAnsi="Times New Roman"/>
          <w:sz w:val="24"/>
          <w:szCs w:val="24"/>
          <w:lang w:val="en-GB"/>
        </w:rPr>
        <w:t>,</w:t>
      </w:r>
      <w:r w:rsidRPr="007A2F89">
        <w:rPr>
          <w:rFonts w:ascii="Times New Roman" w:hAnsi="Times New Roman"/>
          <w:sz w:val="24"/>
          <w:szCs w:val="24"/>
          <w:lang w:val="en-GB"/>
        </w:rPr>
        <w:t xml:space="preserve"> on average</w:t>
      </w:r>
      <w:r w:rsidR="00322FEB" w:rsidRPr="007A2F89">
        <w:rPr>
          <w:rFonts w:ascii="Times New Roman" w:hAnsi="Times New Roman"/>
          <w:sz w:val="24"/>
          <w:szCs w:val="24"/>
          <w:lang w:val="en-GB"/>
        </w:rPr>
        <w:t>,</w:t>
      </w:r>
      <w:r w:rsidRPr="007A2F89">
        <w:rPr>
          <w:rFonts w:ascii="Times New Roman" w:hAnsi="Times New Roman"/>
          <w:sz w:val="24"/>
          <w:szCs w:val="24"/>
          <w:lang w:val="en-GB"/>
        </w:rPr>
        <w:t xml:space="preserve"> a higher profitability with a similar variability </w:t>
      </w:r>
      <w:r w:rsidR="00322FEB" w:rsidRPr="007A2F89">
        <w:rPr>
          <w:rFonts w:ascii="Times New Roman" w:hAnsi="Times New Roman"/>
          <w:sz w:val="24"/>
          <w:szCs w:val="24"/>
          <w:lang w:val="en-GB"/>
        </w:rPr>
        <w:t>than</w:t>
      </w:r>
      <w:r w:rsidRPr="007A2F89">
        <w:rPr>
          <w:rFonts w:ascii="Times New Roman" w:hAnsi="Times New Roman"/>
          <w:sz w:val="24"/>
          <w:szCs w:val="24"/>
          <w:lang w:val="en-GB"/>
        </w:rPr>
        <w:t xml:space="preserve"> non-certified companies. Furthermore, certified companies are</w:t>
      </w:r>
      <w:r w:rsidR="00E0633A" w:rsidRPr="007A2F89">
        <w:rPr>
          <w:rFonts w:ascii="Times New Roman" w:hAnsi="Times New Roman"/>
          <w:sz w:val="24"/>
          <w:szCs w:val="24"/>
          <w:lang w:val="en-GB"/>
        </w:rPr>
        <w:t>,</w:t>
      </w:r>
      <w:r w:rsidRPr="007A2F89">
        <w:rPr>
          <w:rFonts w:ascii="Times New Roman" w:hAnsi="Times New Roman"/>
          <w:sz w:val="24"/>
          <w:szCs w:val="24"/>
          <w:lang w:val="en-GB"/>
        </w:rPr>
        <w:t xml:space="preserve"> on average</w:t>
      </w:r>
      <w:r w:rsidR="00E0633A" w:rsidRPr="007A2F89">
        <w:rPr>
          <w:rFonts w:ascii="Times New Roman" w:hAnsi="Times New Roman"/>
          <w:sz w:val="24"/>
          <w:szCs w:val="24"/>
          <w:lang w:val="en-GB"/>
        </w:rPr>
        <w:t>,</w:t>
      </w:r>
      <w:r w:rsidRPr="007A2F89">
        <w:rPr>
          <w:rFonts w:ascii="Times New Roman" w:hAnsi="Times New Roman"/>
          <w:sz w:val="24"/>
          <w:szCs w:val="24"/>
          <w:lang w:val="en-GB"/>
        </w:rPr>
        <w:t xml:space="preserve"> larger than non-certified companies, with a lower ratio between corporate liabilities and equity capital.</w:t>
      </w:r>
    </w:p>
    <w:p w14:paraId="490BFFA7" w14:textId="77777777" w:rsidR="00520ED5" w:rsidRPr="007A2F89" w:rsidRDefault="00520ED5" w:rsidP="007A2F89">
      <w:pPr>
        <w:rPr>
          <w:rFonts w:ascii="Times New Roman" w:hAnsi="Times New Roman"/>
          <w:b/>
          <w:bCs/>
          <w:lang w:val="en-GB"/>
        </w:rPr>
      </w:pPr>
    </w:p>
    <w:p w14:paraId="48333FCB" w14:textId="1D1E317B" w:rsidR="00520ED5" w:rsidRPr="007A2F89" w:rsidRDefault="00520ED5" w:rsidP="007A2F89">
      <w:pPr>
        <w:spacing w:after="120"/>
        <w:rPr>
          <w:rFonts w:ascii="Times New Roman" w:hAnsi="Times New Roman"/>
          <w:i/>
          <w:iCs/>
          <w:sz w:val="20"/>
          <w:szCs w:val="20"/>
          <w:lang w:val="en-GB"/>
        </w:rPr>
      </w:pPr>
      <w:r w:rsidRPr="007A2F89">
        <w:rPr>
          <w:rFonts w:ascii="Times New Roman" w:hAnsi="Times New Roman"/>
          <w:i/>
          <w:iCs/>
          <w:sz w:val="20"/>
          <w:szCs w:val="20"/>
          <w:lang w:val="en-GB"/>
        </w:rPr>
        <w:t>Tab</w:t>
      </w:r>
      <w:r w:rsidR="00E7431C" w:rsidRPr="007A2F89">
        <w:rPr>
          <w:rFonts w:ascii="Times New Roman" w:hAnsi="Times New Roman"/>
          <w:i/>
          <w:iCs/>
          <w:sz w:val="20"/>
          <w:szCs w:val="20"/>
          <w:lang w:val="en-GB"/>
        </w:rPr>
        <w:t>le</w:t>
      </w:r>
      <w:r w:rsidRPr="007A2F89">
        <w:rPr>
          <w:rFonts w:ascii="Times New Roman" w:hAnsi="Times New Roman"/>
          <w:i/>
          <w:iCs/>
          <w:sz w:val="20"/>
          <w:szCs w:val="20"/>
          <w:lang w:val="en-GB"/>
        </w:rPr>
        <w:t xml:space="preserve"> 3 - </w:t>
      </w:r>
      <w:r w:rsidR="00C3779C" w:rsidRPr="007A2F89">
        <w:rPr>
          <w:rFonts w:ascii="Times New Roman" w:hAnsi="Times New Roman"/>
          <w:i/>
          <w:iCs/>
          <w:sz w:val="20"/>
          <w:szCs w:val="20"/>
          <w:lang w:val="en-GB"/>
        </w:rPr>
        <w:t>Descriptive statistics separately calculated for ISO14001 certified and non-certified companies</w:t>
      </w:r>
    </w:p>
    <w:tbl>
      <w:tblPr>
        <w:tblStyle w:val="Grigliatabella"/>
        <w:tblW w:w="671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44"/>
        <w:gridCol w:w="1534"/>
        <w:gridCol w:w="1016"/>
        <w:gridCol w:w="1016"/>
        <w:gridCol w:w="809"/>
        <w:gridCol w:w="991"/>
        <w:gridCol w:w="9"/>
      </w:tblGrid>
      <w:tr w:rsidR="000A75C9" w:rsidRPr="007A2F89" w14:paraId="30FBD9DC" w14:textId="77777777" w:rsidTr="004B06A2">
        <w:trPr>
          <w:trHeight w:val="20"/>
          <w:jc w:val="center"/>
        </w:trPr>
        <w:tc>
          <w:tcPr>
            <w:tcW w:w="6719" w:type="dxa"/>
            <w:gridSpan w:val="7"/>
            <w:tcBorders>
              <w:top w:val="nil"/>
            </w:tcBorders>
            <w:vAlign w:val="center"/>
          </w:tcPr>
          <w:p w14:paraId="2DE7CEF8" w14:textId="77777777" w:rsidR="00520ED5" w:rsidRPr="007A2F89" w:rsidRDefault="00520ED5" w:rsidP="007A2F89">
            <w:pPr>
              <w:rPr>
                <w:i/>
                <w:iCs/>
                <w:sz w:val="18"/>
                <w:szCs w:val="18"/>
              </w:rPr>
            </w:pPr>
            <w:r w:rsidRPr="007A2F89">
              <w:rPr>
                <w:i/>
                <w:iCs/>
                <w:sz w:val="18"/>
                <w:szCs w:val="18"/>
              </w:rPr>
              <w:t>ISO14001 = 0</w:t>
            </w:r>
          </w:p>
        </w:tc>
      </w:tr>
      <w:tr w:rsidR="000A75C9" w:rsidRPr="007A2F89" w14:paraId="0A4A2218" w14:textId="77777777" w:rsidTr="004B06A2">
        <w:trPr>
          <w:gridAfter w:val="1"/>
          <w:wAfter w:w="9" w:type="dxa"/>
          <w:trHeight w:val="20"/>
          <w:jc w:val="center"/>
        </w:trPr>
        <w:tc>
          <w:tcPr>
            <w:tcW w:w="1344" w:type="dxa"/>
            <w:tcBorders>
              <w:top w:val="single" w:sz="4" w:space="0" w:color="auto"/>
              <w:bottom w:val="single" w:sz="4" w:space="0" w:color="auto"/>
              <w:right w:val="nil"/>
            </w:tcBorders>
            <w:vAlign w:val="center"/>
          </w:tcPr>
          <w:p w14:paraId="48E197A0" w14:textId="47E9B2E9" w:rsidR="00520ED5" w:rsidRPr="007A2F89" w:rsidRDefault="00654B72" w:rsidP="007A2F89">
            <w:pPr>
              <w:rPr>
                <w:i/>
                <w:iCs/>
                <w:sz w:val="18"/>
                <w:szCs w:val="18"/>
              </w:rPr>
            </w:pPr>
            <w:r w:rsidRPr="007A2F89">
              <w:rPr>
                <w:i/>
                <w:iCs/>
                <w:sz w:val="18"/>
                <w:szCs w:val="18"/>
              </w:rPr>
              <w:t>Variab</w:t>
            </w:r>
            <w:r w:rsidR="005E6353" w:rsidRPr="007A2F89">
              <w:rPr>
                <w:i/>
                <w:iCs/>
                <w:sz w:val="18"/>
                <w:szCs w:val="18"/>
              </w:rPr>
              <w:t>les</w:t>
            </w:r>
          </w:p>
        </w:tc>
        <w:tc>
          <w:tcPr>
            <w:tcW w:w="1534" w:type="dxa"/>
            <w:tcBorders>
              <w:left w:val="nil"/>
              <w:bottom w:val="single" w:sz="4" w:space="0" w:color="auto"/>
              <w:right w:val="nil"/>
            </w:tcBorders>
            <w:vAlign w:val="center"/>
          </w:tcPr>
          <w:p w14:paraId="1182B2A3" w14:textId="77777777" w:rsidR="00520ED5" w:rsidRPr="007A2F89" w:rsidRDefault="00520ED5" w:rsidP="007A2F89">
            <w:pPr>
              <w:rPr>
                <w:i/>
                <w:iCs/>
                <w:sz w:val="18"/>
                <w:szCs w:val="18"/>
              </w:rPr>
            </w:pPr>
            <w:proofErr w:type="spellStart"/>
            <w:r w:rsidRPr="007A2F89">
              <w:rPr>
                <w:i/>
                <w:iCs/>
                <w:sz w:val="18"/>
                <w:szCs w:val="18"/>
              </w:rPr>
              <w:t>Obs</w:t>
            </w:r>
            <w:proofErr w:type="spellEnd"/>
          </w:p>
        </w:tc>
        <w:tc>
          <w:tcPr>
            <w:tcW w:w="1016" w:type="dxa"/>
            <w:tcBorders>
              <w:left w:val="nil"/>
              <w:bottom w:val="single" w:sz="4" w:space="0" w:color="auto"/>
              <w:right w:val="nil"/>
            </w:tcBorders>
            <w:vAlign w:val="center"/>
          </w:tcPr>
          <w:p w14:paraId="5E0BE510" w14:textId="5FC36C8A" w:rsidR="00520ED5" w:rsidRPr="007A2F89" w:rsidRDefault="00520ED5" w:rsidP="007A2F89">
            <w:pPr>
              <w:rPr>
                <w:i/>
                <w:iCs/>
                <w:sz w:val="18"/>
                <w:szCs w:val="18"/>
              </w:rPr>
            </w:pPr>
            <w:r w:rsidRPr="007A2F89">
              <w:rPr>
                <w:i/>
                <w:iCs/>
                <w:sz w:val="18"/>
                <w:szCs w:val="18"/>
              </w:rPr>
              <w:t>Me</w:t>
            </w:r>
            <w:r w:rsidR="005E6353" w:rsidRPr="007A2F89">
              <w:rPr>
                <w:i/>
                <w:iCs/>
                <w:sz w:val="18"/>
                <w:szCs w:val="18"/>
              </w:rPr>
              <w:t>an</w:t>
            </w:r>
          </w:p>
        </w:tc>
        <w:tc>
          <w:tcPr>
            <w:tcW w:w="1016" w:type="dxa"/>
            <w:tcBorders>
              <w:left w:val="nil"/>
              <w:bottom w:val="single" w:sz="4" w:space="0" w:color="auto"/>
              <w:right w:val="nil"/>
            </w:tcBorders>
            <w:vAlign w:val="center"/>
          </w:tcPr>
          <w:p w14:paraId="095F8C74" w14:textId="77777777" w:rsidR="00520ED5" w:rsidRPr="007A2F89" w:rsidRDefault="00520ED5" w:rsidP="007A2F89">
            <w:pPr>
              <w:rPr>
                <w:i/>
                <w:iCs/>
                <w:sz w:val="18"/>
                <w:szCs w:val="18"/>
              </w:rPr>
            </w:pPr>
            <w:r w:rsidRPr="007A2F89">
              <w:rPr>
                <w:i/>
                <w:iCs/>
                <w:sz w:val="18"/>
                <w:szCs w:val="18"/>
              </w:rPr>
              <w:t>SD</w:t>
            </w:r>
          </w:p>
        </w:tc>
        <w:tc>
          <w:tcPr>
            <w:tcW w:w="809" w:type="dxa"/>
            <w:tcBorders>
              <w:left w:val="nil"/>
              <w:bottom w:val="single" w:sz="4" w:space="0" w:color="auto"/>
              <w:right w:val="nil"/>
            </w:tcBorders>
            <w:vAlign w:val="center"/>
          </w:tcPr>
          <w:p w14:paraId="319BF85C" w14:textId="77777777" w:rsidR="00520ED5" w:rsidRPr="007A2F89" w:rsidRDefault="00520ED5" w:rsidP="007A2F89">
            <w:pPr>
              <w:rPr>
                <w:i/>
                <w:iCs/>
                <w:sz w:val="18"/>
                <w:szCs w:val="18"/>
              </w:rPr>
            </w:pPr>
            <w:r w:rsidRPr="007A2F89">
              <w:rPr>
                <w:i/>
                <w:iCs/>
                <w:sz w:val="18"/>
                <w:szCs w:val="18"/>
              </w:rPr>
              <w:t>Min</w:t>
            </w:r>
          </w:p>
        </w:tc>
        <w:tc>
          <w:tcPr>
            <w:tcW w:w="991" w:type="dxa"/>
            <w:tcBorders>
              <w:left w:val="nil"/>
              <w:bottom w:val="single" w:sz="4" w:space="0" w:color="auto"/>
            </w:tcBorders>
            <w:vAlign w:val="center"/>
          </w:tcPr>
          <w:p w14:paraId="4793C06E" w14:textId="77777777" w:rsidR="00520ED5" w:rsidRPr="007A2F89" w:rsidRDefault="00520ED5" w:rsidP="007A2F89">
            <w:pPr>
              <w:rPr>
                <w:i/>
                <w:iCs/>
                <w:sz w:val="18"/>
                <w:szCs w:val="18"/>
              </w:rPr>
            </w:pPr>
            <w:r w:rsidRPr="007A2F89">
              <w:rPr>
                <w:i/>
                <w:iCs/>
                <w:sz w:val="18"/>
                <w:szCs w:val="18"/>
              </w:rPr>
              <w:t>Max</w:t>
            </w:r>
          </w:p>
        </w:tc>
      </w:tr>
      <w:tr w:rsidR="000A75C9" w:rsidRPr="007A2F89" w14:paraId="604EC15A" w14:textId="77777777" w:rsidTr="004B06A2">
        <w:trPr>
          <w:gridAfter w:val="1"/>
          <w:wAfter w:w="9" w:type="dxa"/>
          <w:trHeight w:val="20"/>
          <w:jc w:val="center"/>
        </w:trPr>
        <w:tc>
          <w:tcPr>
            <w:tcW w:w="1344" w:type="dxa"/>
            <w:tcBorders>
              <w:top w:val="single" w:sz="4" w:space="0" w:color="auto"/>
              <w:bottom w:val="nil"/>
              <w:right w:val="nil"/>
            </w:tcBorders>
            <w:vAlign w:val="center"/>
          </w:tcPr>
          <w:p w14:paraId="590A95EF" w14:textId="3F868DF7" w:rsidR="00520ED5" w:rsidRPr="007A2F89" w:rsidRDefault="0080340C" w:rsidP="007A2F89">
            <w:pPr>
              <w:rPr>
                <w:sz w:val="18"/>
                <w:szCs w:val="18"/>
              </w:rPr>
            </w:pPr>
            <w:r w:rsidRPr="007A2F89">
              <w:rPr>
                <w:sz w:val="18"/>
                <w:szCs w:val="18"/>
              </w:rPr>
              <w:t>Age</w:t>
            </w:r>
          </w:p>
        </w:tc>
        <w:tc>
          <w:tcPr>
            <w:tcW w:w="1534" w:type="dxa"/>
            <w:tcBorders>
              <w:top w:val="single" w:sz="4" w:space="0" w:color="auto"/>
              <w:left w:val="nil"/>
              <w:bottom w:val="nil"/>
              <w:right w:val="nil"/>
            </w:tcBorders>
            <w:vAlign w:val="center"/>
          </w:tcPr>
          <w:p w14:paraId="0626D9E7" w14:textId="005DA4B6" w:rsidR="00520ED5" w:rsidRPr="007A2F89" w:rsidRDefault="00520ED5" w:rsidP="007A2F89">
            <w:pPr>
              <w:rPr>
                <w:b/>
                <w:bCs/>
                <w:sz w:val="18"/>
                <w:szCs w:val="18"/>
              </w:rPr>
            </w:pPr>
            <w:r w:rsidRPr="007A2F89">
              <w:rPr>
                <w:sz w:val="18"/>
                <w:szCs w:val="18"/>
              </w:rPr>
              <w:t>2,</w:t>
            </w:r>
            <w:r w:rsidR="00960D8A" w:rsidRPr="007A2F89">
              <w:rPr>
                <w:sz w:val="18"/>
                <w:szCs w:val="18"/>
              </w:rPr>
              <w:t>502</w:t>
            </w:r>
          </w:p>
        </w:tc>
        <w:tc>
          <w:tcPr>
            <w:tcW w:w="1016" w:type="dxa"/>
            <w:tcBorders>
              <w:top w:val="single" w:sz="4" w:space="0" w:color="auto"/>
              <w:left w:val="nil"/>
              <w:bottom w:val="nil"/>
              <w:right w:val="nil"/>
            </w:tcBorders>
            <w:vAlign w:val="center"/>
          </w:tcPr>
          <w:p w14:paraId="1B8231DC" w14:textId="67B9DC94" w:rsidR="00520ED5" w:rsidRPr="007A2F89" w:rsidRDefault="00960D8A" w:rsidP="007A2F89">
            <w:pPr>
              <w:rPr>
                <w:b/>
                <w:bCs/>
                <w:sz w:val="18"/>
                <w:szCs w:val="18"/>
              </w:rPr>
            </w:pPr>
            <w:r w:rsidRPr="007A2F89">
              <w:rPr>
                <w:sz w:val="18"/>
                <w:szCs w:val="18"/>
              </w:rPr>
              <w:t>24.46043</w:t>
            </w:r>
          </w:p>
        </w:tc>
        <w:tc>
          <w:tcPr>
            <w:tcW w:w="1016" w:type="dxa"/>
            <w:tcBorders>
              <w:top w:val="single" w:sz="4" w:space="0" w:color="auto"/>
              <w:left w:val="nil"/>
              <w:bottom w:val="nil"/>
              <w:right w:val="nil"/>
            </w:tcBorders>
            <w:vAlign w:val="center"/>
          </w:tcPr>
          <w:p w14:paraId="6CBF8E93" w14:textId="1FA4EB94" w:rsidR="00520ED5" w:rsidRPr="007A2F89" w:rsidRDefault="00960D8A" w:rsidP="007A2F89">
            <w:pPr>
              <w:rPr>
                <w:b/>
                <w:bCs/>
                <w:sz w:val="18"/>
                <w:szCs w:val="18"/>
              </w:rPr>
            </w:pPr>
            <w:r w:rsidRPr="007A2F89">
              <w:rPr>
                <w:sz w:val="18"/>
                <w:szCs w:val="18"/>
              </w:rPr>
              <w:t>10.92886</w:t>
            </w:r>
          </w:p>
        </w:tc>
        <w:tc>
          <w:tcPr>
            <w:tcW w:w="809" w:type="dxa"/>
            <w:tcBorders>
              <w:top w:val="single" w:sz="4" w:space="0" w:color="auto"/>
              <w:left w:val="nil"/>
              <w:bottom w:val="nil"/>
              <w:right w:val="nil"/>
            </w:tcBorders>
            <w:vAlign w:val="center"/>
          </w:tcPr>
          <w:p w14:paraId="0BCD8C73" w14:textId="6A522CB0" w:rsidR="00520ED5" w:rsidRPr="007A2F89" w:rsidRDefault="00960D8A" w:rsidP="007A2F89">
            <w:pPr>
              <w:rPr>
                <w:sz w:val="18"/>
                <w:szCs w:val="18"/>
              </w:rPr>
            </w:pPr>
            <w:r w:rsidRPr="007A2F89">
              <w:rPr>
                <w:sz w:val="18"/>
                <w:szCs w:val="18"/>
              </w:rPr>
              <w:t>9</w:t>
            </w:r>
          </w:p>
        </w:tc>
        <w:tc>
          <w:tcPr>
            <w:tcW w:w="991" w:type="dxa"/>
            <w:tcBorders>
              <w:top w:val="single" w:sz="4" w:space="0" w:color="auto"/>
              <w:left w:val="nil"/>
              <w:bottom w:val="nil"/>
            </w:tcBorders>
            <w:vAlign w:val="center"/>
          </w:tcPr>
          <w:p w14:paraId="6791D2BE" w14:textId="7578F83F" w:rsidR="00520ED5" w:rsidRPr="007A2F89" w:rsidRDefault="00960D8A" w:rsidP="007A2F89">
            <w:pPr>
              <w:rPr>
                <w:sz w:val="18"/>
                <w:szCs w:val="18"/>
              </w:rPr>
            </w:pPr>
            <w:r w:rsidRPr="007A2F89">
              <w:rPr>
                <w:sz w:val="18"/>
                <w:szCs w:val="18"/>
              </w:rPr>
              <w:t>58</w:t>
            </w:r>
          </w:p>
        </w:tc>
      </w:tr>
      <w:tr w:rsidR="000A75C9" w:rsidRPr="007A2F89" w14:paraId="211D3417" w14:textId="77777777" w:rsidTr="004B06A2">
        <w:trPr>
          <w:gridAfter w:val="1"/>
          <w:wAfter w:w="9" w:type="dxa"/>
          <w:trHeight w:val="20"/>
          <w:jc w:val="center"/>
        </w:trPr>
        <w:tc>
          <w:tcPr>
            <w:tcW w:w="1344" w:type="dxa"/>
            <w:tcBorders>
              <w:top w:val="nil"/>
              <w:bottom w:val="nil"/>
              <w:right w:val="nil"/>
            </w:tcBorders>
            <w:vAlign w:val="center"/>
          </w:tcPr>
          <w:p w14:paraId="485C7CFA" w14:textId="2911F862" w:rsidR="00520ED5" w:rsidRPr="007A2F89" w:rsidRDefault="0080340C" w:rsidP="007A2F89">
            <w:pPr>
              <w:rPr>
                <w:sz w:val="18"/>
                <w:szCs w:val="18"/>
              </w:rPr>
            </w:pPr>
            <w:r w:rsidRPr="007A2F89">
              <w:rPr>
                <w:sz w:val="18"/>
                <w:szCs w:val="18"/>
              </w:rPr>
              <w:t>Employees</w:t>
            </w:r>
          </w:p>
        </w:tc>
        <w:tc>
          <w:tcPr>
            <w:tcW w:w="1534" w:type="dxa"/>
            <w:tcBorders>
              <w:top w:val="nil"/>
              <w:left w:val="nil"/>
              <w:bottom w:val="nil"/>
              <w:right w:val="nil"/>
            </w:tcBorders>
            <w:vAlign w:val="center"/>
          </w:tcPr>
          <w:p w14:paraId="1F335026" w14:textId="77777777" w:rsidR="00520ED5" w:rsidRPr="007A2F89" w:rsidRDefault="00520ED5" w:rsidP="007A2F89">
            <w:pPr>
              <w:rPr>
                <w:b/>
                <w:bCs/>
                <w:sz w:val="18"/>
                <w:szCs w:val="18"/>
              </w:rPr>
            </w:pPr>
            <w:r w:rsidRPr="007A2F89">
              <w:rPr>
                <w:sz w:val="18"/>
                <w:szCs w:val="18"/>
              </w:rPr>
              <w:t>2,502</w:t>
            </w:r>
          </w:p>
        </w:tc>
        <w:tc>
          <w:tcPr>
            <w:tcW w:w="1016" w:type="dxa"/>
            <w:tcBorders>
              <w:top w:val="nil"/>
              <w:left w:val="nil"/>
              <w:bottom w:val="nil"/>
              <w:right w:val="nil"/>
            </w:tcBorders>
            <w:vAlign w:val="center"/>
          </w:tcPr>
          <w:p w14:paraId="0E9686AB" w14:textId="77C7C9FA" w:rsidR="00520ED5" w:rsidRPr="007A2F89" w:rsidRDefault="00960D8A" w:rsidP="007A2F89">
            <w:pPr>
              <w:rPr>
                <w:sz w:val="18"/>
                <w:szCs w:val="18"/>
              </w:rPr>
            </w:pPr>
            <w:r w:rsidRPr="007A2F89">
              <w:rPr>
                <w:sz w:val="18"/>
                <w:szCs w:val="18"/>
              </w:rPr>
              <w:t>24.46043</w:t>
            </w:r>
          </w:p>
        </w:tc>
        <w:tc>
          <w:tcPr>
            <w:tcW w:w="1016" w:type="dxa"/>
            <w:tcBorders>
              <w:top w:val="nil"/>
              <w:left w:val="nil"/>
              <w:bottom w:val="nil"/>
              <w:right w:val="nil"/>
            </w:tcBorders>
            <w:vAlign w:val="center"/>
          </w:tcPr>
          <w:p w14:paraId="3FB8FED3" w14:textId="12674415" w:rsidR="00520ED5" w:rsidRPr="007A2F89" w:rsidRDefault="00960D8A" w:rsidP="007A2F89">
            <w:pPr>
              <w:rPr>
                <w:b/>
                <w:bCs/>
                <w:sz w:val="18"/>
                <w:szCs w:val="18"/>
              </w:rPr>
            </w:pPr>
            <w:r w:rsidRPr="007A2F89">
              <w:rPr>
                <w:sz w:val="18"/>
                <w:szCs w:val="18"/>
              </w:rPr>
              <w:t>47.87702</w:t>
            </w:r>
          </w:p>
        </w:tc>
        <w:tc>
          <w:tcPr>
            <w:tcW w:w="809" w:type="dxa"/>
            <w:tcBorders>
              <w:top w:val="nil"/>
              <w:left w:val="nil"/>
              <w:bottom w:val="nil"/>
              <w:right w:val="nil"/>
            </w:tcBorders>
            <w:vAlign w:val="center"/>
          </w:tcPr>
          <w:p w14:paraId="3714C10A" w14:textId="4702E0E2" w:rsidR="00520ED5" w:rsidRPr="007A2F89" w:rsidRDefault="00960D8A" w:rsidP="007A2F89">
            <w:pPr>
              <w:rPr>
                <w:sz w:val="18"/>
                <w:szCs w:val="18"/>
              </w:rPr>
            </w:pPr>
            <w:r w:rsidRPr="007A2F89">
              <w:rPr>
                <w:sz w:val="18"/>
                <w:szCs w:val="18"/>
              </w:rPr>
              <w:t>2</w:t>
            </w:r>
          </w:p>
        </w:tc>
        <w:tc>
          <w:tcPr>
            <w:tcW w:w="991" w:type="dxa"/>
            <w:tcBorders>
              <w:top w:val="nil"/>
              <w:left w:val="nil"/>
              <w:bottom w:val="nil"/>
            </w:tcBorders>
            <w:vAlign w:val="center"/>
          </w:tcPr>
          <w:p w14:paraId="323E750D" w14:textId="639C8456" w:rsidR="00520ED5" w:rsidRPr="007A2F89" w:rsidRDefault="00960D8A" w:rsidP="007A2F89">
            <w:pPr>
              <w:rPr>
                <w:sz w:val="18"/>
                <w:szCs w:val="18"/>
              </w:rPr>
            </w:pPr>
            <w:r w:rsidRPr="007A2F89">
              <w:rPr>
                <w:sz w:val="18"/>
                <w:szCs w:val="18"/>
              </w:rPr>
              <w:t>225</w:t>
            </w:r>
          </w:p>
        </w:tc>
      </w:tr>
      <w:tr w:rsidR="000A75C9" w:rsidRPr="007A2F89" w14:paraId="4A1627BB" w14:textId="77777777" w:rsidTr="004B06A2">
        <w:trPr>
          <w:gridAfter w:val="1"/>
          <w:wAfter w:w="9" w:type="dxa"/>
          <w:trHeight w:val="20"/>
          <w:jc w:val="center"/>
        </w:trPr>
        <w:tc>
          <w:tcPr>
            <w:tcW w:w="1344" w:type="dxa"/>
            <w:tcBorders>
              <w:top w:val="nil"/>
              <w:bottom w:val="nil"/>
              <w:right w:val="nil"/>
            </w:tcBorders>
            <w:vAlign w:val="center"/>
          </w:tcPr>
          <w:p w14:paraId="78640AF4" w14:textId="3EB3AE89" w:rsidR="00520ED5" w:rsidRPr="007A2F89" w:rsidRDefault="0080340C" w:rsidP="007A2F89">
            <w:pPr>
              <w:rPr>
                <w:sz w:val="18"/>
                <w:szCs w:val="18"/>
              </w:rPr>
            </w:pPr>
            <w:r w:rsidRPr="007A2F89">
              <w:rPr>
                <w:sz w:val="18"/>
                <w:szCs w:val="18"/>
              </w:rPr>
              <w:t>Assets</w:t>
            </w:r>
          </w:p>
        </w:tc>
        <w:tc>
          <w:tcPr>
            <w:tcW w:w="1534" w:type="dxa"/>
            <w:tcBorders>
              <w:top w:val="nil"/>
              <w:left w:val="nil"/>
              <w:bottom w:val="nil"/>
              <w:right w:val="nil"/>
            </w:tcBorders>
            <w:vAlign w:val="center"/>
          </w:tcPr>
          <w:p w14:paraId="3105201D" w14:textId="5A7697C2" w:rsidR="00520ED5" w:rsidRPr="007A2F89" w:rsidRDefault="00520ED5" w:rsidP="007A2F89">
            <w:pPr>
              <w:rPr>
                <w:b/>
                <w:bCs/>
                <w:sz w:val="18"/>
                <w:szCs w:val="18"/>
              </w:rPr>
            </w:pPr>
            <w:r w:rsidRPr="007A2F89">
              <w:rPr>
                <w:sz w:val="18"/>
                <w:szCs w:val="18"/>
              </w:rPr>
              <w:t>2,</w:t>
            </w:r>
            <w:r w:rsidR="00960D8A" w:rsidRPr="007A2F89">
              <w:rPr>
                <w:sz w:val="18"/>
                <w:szCs w:val="18"/>
              </w:rPr>
              <w:t>417</w:t>
            </w:r>
          </w:p>
        </w:tc>
        <w:tc>
          <w:tcPr>
            <w:tcW w:w="1016" w:type="dxa"/>
            <w:tcBorders>
              <w:top w:val="nil"/>
              <w:left w:val="nil"/>
              <w:bottom w:val="nil"/>
              <w:right w:val="nil"/>
            </w:tcBorders>
            <w:vAlign w:val="center"/>
          </w:tcPr>
          <w:p w14:paraId="2CADBA8C" w14:textId="7C72547A" w:rsidR="00520ED5" w:rsidRPr="007A2F89" w:rsidRDefault="00960D8A" w:rsidP="007A2F89">
            <w:pPr>
              <w:rPr>
                <w:sz w:val="18"/>
                <w:szCs w:val="18"/>
              </w:rPr>
            </w:pPr>
            <w:r w:rsidRPr="007A2F89">
              <w:rPr>
                <w:sz w:val="18"/>
                <w:szCs w:val="18"/>
              </w:rPr>
              <w:t>7954.703</w:t>
            </w:r>
          </w:p>
        </w:tc>
        <w:tc>
          <w:tcPr>
            <w:tcW w:w="1016" w:type="dxa"/>
            <w:tcBorders>
              <w:top w:val="nil"/>
              <w:left w:val="nil"/>
              <w:bottom w:val="nil"/>
              <w:right w:val="nil"/>
            </w:tcBorders>
            <w:vAlign w:val="center"/>
          </w:tcPr>
          <w:p w14:paraId="1FDA67AD" w14:textId="4125BFB0" w:rsidR="00520ED5" w:rsidRPr="007A2F89" w:rsidRDefault="00960D8A" w:rsidP="007A2F89">
            <w:pPr>
              <w:rPr>
                <w:b/>
                <w:bCs/>
                <w:sz w:val="18"/>
                <w:szCs w:val="18"/>
              </w:rPr>
            </w:pPr>
            <w:r w:rsidRPr="007A2F89">
              <w:rPr>
                <w:sz w:val="18"/>
                <w:szCs w:val="18"/>
              </w:rPr>
              <w:t>17171.54</w:t>
            </w:r>
          </w:p>
        </w:tc>
        <w:tc>
          <w:tcPr>
            <w:tcW w:w="809" w:type="dxa"/>
            <w:tcBorders>
              <w:top w:val="nil"/>
              <w:left w:val="nil"/>
              <w:bottom w:val="nil"/>
              <w:right w:val="nil"/>
            </w:tcBorders>
            <w:vAlign w:val="center"/>
          </w:tcPr>
          <w:p w14:paraId="18C81105" w14:textId="16186C31" w:rsidR="00520ED5" w:rsidRPr="007A2F89" w:rsidRDefault="00432809" w:rsidP="007A2F89">
            <w:pPr>
              <w:rPr>
                <w:sz w:val="18"/>
                <w:szCs w:val="18"/>
              </w:rPr>
            </w:pPr>
            <w:r w:rsidRPr="007A2F89">
              <w:rPr>
                <w:sz w:val="18"/>
                <w:szCs w:val="18"/>
              </w:rPr>
              <w:t>0</w:t>
            </w:r>
            <w:r w:rsidR="00960D8A" w:rsidRPr="007A2F89">
              <w:rPr>
                <w:sz w:val="18"/>
                <w:szCs w:val="18"/>
              </w:rPr>
              <w:t>.816</w:t>
            </w:r>
          </w:p>
        </w:tc>
        <w:tc>
          <w:tcPr>
            <w:tcW w:w="991" w:type="dxa"/>
            <w:tcBorders>
              <w:top w:val="nil"/>
              <w:left w:val="nil"/>
              <w:bottom w:val="nil"/>
            </w:tcBorders>
            <w:vAlign w:val="center"/>
          </w:tcPr>
          <w:p w14:paraId="4E41B6FF" w14:textId="08AB8655" w:rsidR="00520ED5" w:rsidRPr="007A2F89" w:rsidRDefault="00960D8A" w:rsidP="007A2F89">
            <w:pPr>
              <w:rPr>
                <w:b/>
                <w:bCs/>
                <w:sz w:val="18"/>
                <w:szCs w:val="18"/>
              </w:rPr>
            </w:pPr>
            <w:r w:rsidRPr="007A2F89">
              <w:rPr>
                <w:sz w:val="18"/>
                <w:szCs w:val="18"/>
              </w:rPr>
              <w:t>276223.3</w:t>
            </w:r>
          </w:p>
        </w:tc>
      </w:tr>
      <w:tr w:rsidR="00960D8A" w:rsidRPr="007A2F89" w14:paraId="5659412B" w14:textId="77777777" w:rsidTr="004B06A2">
        <w:trPr>
          <w:gridAfter w:val="1"/>
          <w:wAfter w:w="9" w:type="dxa"/>
          <w:trHeight w:val="20"/>
          <w:jc w:val="center"/>
        </w:trPr>
        <w:tc>
          <w:tcPr>
            <w:tcW w:w="1344" w:type="dxa"/>
            <w:tcBorders>
              <w:top w:val="nil"/>
              <w:bottom w:val="nil"/>
              <w:right w:val="nil"/>
            </w:tcBorders>
            <w:vAlign w:val="center"/>
          </w:tcPr>
          <w:p w14:paraId="7322F174" w14:textId="1E1DB420" w:rsidR="00960D8A" w:rsidRPr="007A2F89" w:rsidRDefault="00960D8A" w:rsidP="007A2F89">
            <w:pPr>
              <w:rPr>
                <w:sz w:val="18"/>
                <w:szCs w:val="18"/>
              </w:rPr>
            </w:pPr>
            <w:r w:rsidRPr="007A2F89">
              <w:rPr>
                <w:sz w:val="18"/>
                <w:szCs w:val="18"/>
              </w:rPr>
              <w:t>ROA</w:t>
            </w:r>
          </w:p>
        </w:tc>
        <w:tc>
          <w:tcPr>
            <w:tcW w:w="1534" w:type="dxa"/>
            <w:tcBorders>
              <w:top w:val="nil"/>
              <w:left w:val="nil"/>
              <w:bottom w:val="nil"/>
              <w:right w:val="nil"/>
            </w:tcBorders>
            <w:vAlign w:val="center"/>
          </w:tcPr>
          <w:p w14:paraId="1E95D1F9" w14:textId="36AE5292" w:rsidR="00960D8A" w:rsidRPr="007A2F89" w:rsidRDefault="00960D8A" w:rsidP="007A2F89">
            <w:pPr>
              <w:rPr>
                <w:sz w:val="18"/>
                <w:szCs w:val="18"/>
              </w:rPr>
            </w:pPr>
            <w:r w:rsidRPr="007A2F89">
              <w:rPr>
                <w:sz w:val="18"/>
                <w:szCs w:val="18"/>
              </w:rPr>
              <w:t>2,417</w:t>
            </w:r>
          </w:p>
        </w:tc>
        <w:tc>
          <w:tcPr>
            <w:tcW w:w="1016" w:type="dxa"/>
            <w:tcBorders>
              <w:top w:val="nil"/>
              <w:left w:val="nil"/>
              <w:bottom w:val="nil"/>
              <w:right w:val="nil"/>
            </w:tcBorders>
            <w:vAlign w:val="center"/>
          </w:tcPr>
          <w:p w14:paraId="74A50769" w14:textId="3A01D57A" w:rsidR="00960D8A" w:rsidRPr="007A2F89" w:rsidRDefault="00960D8A" w:rsidP="007A2F89">
            <w:pPr>
              <w:rPr>
                <w:sz w:val="18"/>
                <w:szCs w:val="18"/>
              </w:rPr>
            </w:pPr>
            <w:r w:rsidRPr="007A2F89">
              <w:rPr>
                <w:sz w:val="18"/>
                <w:szCs w:val="18"/>
              </w:rPr>
              <w:t>4.727571</w:t>
            </w:r>
          </w:p>
        </w:tc>
        <w:tc>
          <w:tcPr>
            <w:tcW w:w="1016" w:type="dxa"/>
            <w:tcBorders>
              <w:top w:val="nil"/>
              <w:left w:val="nil"/>
              <w:bottom w:val="nil"/>
              <w:right w:val="nil"/>
            </w:tcBorders>
            <w:vAlign w:val="center"/>
          </w:tcPr>
          <w:p w14:paraId="7A1A2BB2" w14:textId="5D03C150" w:rsidR="00960D8A" w:rsidRPr="007A2F89" w:rsidRDefault="00960D8A" w:rsidP="007A2F89">
            <w:pPr>
              <w:rPr>
                <w:sz w:val="18"/>
                <w:szCs w:val="18"/>
              </w:rPr>
            </w:pPr>
            <w:r w:rsidRPr="007A2F89">
              <w:rPr>
                <w:sz w:val="18"/>
                <w:szCs w:val="18"/>
              </w:rPr>
              <w:t>13.139</w:t>
            </w:r>
          </w:p>
        </w:tc>
        <w:tc>
          <w:tcPr>
            <w:tcW w:w="809" w:type="dxa"/>
            <w:tcBorders>
              <w:top w:val="nil"/>
              <w:left w:val="nil"/>
              <w:bottom w:val="nil"/>
              <w:right w:val="nil"/>
            </w:tcBorders>
            <w:vAlign w:val="center"/>
          </w:tcPr>
          <w:p w14:paraId="590B42E0" w14:textId="434CAEBC" w:rsidR="00960D8A" w:rsidRPr="007A2F89" w:rsidRDefault="00960D8A" w:rsidP="007A2F89">
            <w:pPr>
              <w:rPr>
                <w:sz w:val="18"/>
                <w:szCs w:val="18"/>
              </w:rPr>
            </w:pPr>
            <w:r w:rsidRPr="007A2F89">
              <w:rPr>
                <w:sz w:val="18"/>
                <w:szCs w:val="18"/>
              </w:rPr>
              <w:t>-329.17</w:t>
            </w:r>
          </w:p>
        </w:tc>
        <w:tc>
          <w:tcPr>
            <w:tcW w:w="991" w:type="dxa"/>
            <w:tcBorders>
              <w:top w:val="nil"/>
              <w:left w:val="nil"/>
              <w:bottom w:val="nil"/>
            </w:tcBorders>
            <w:vAlign w:val="center"/>
          </w:tcPr>
          <w:p w14:paraId="201164EB" w14:textId="18CE5132" w:rsidR="00960D8A" w:rsidRPr="007A2F89" w:rsidRDefault="00960D8A" w:rsidP="007A2F89">
            <w:pPr>
              <w:rPr>
                <w:sz w:val="18"/>
                <w:szCs w:val="18"/>
              </w:rPr>
            </w:pPr>
            <w:r w:rsidRPr="007A2F89">
              <w:rPr>
                <w:sz w:val="18"/>
                <w:szCs w:val="18"/>
              </w:rPr>
              <w:t>65.67</w:t>
            </w:r>
          </w:p>
        </w:tc>
      </w:tr>
      <w:tr w:rsidR="000A75C9" w:rsidRPr="007A2F89" w14:paraId="17DD423A" w14:textId="77777777" w:rsidTr="004B06A2">
        <w:trPr>
          <w:gridAfter w:val="1"/>
          <w:wAfter w:w="9" w:type="dxa"/>
          <w:trHeight w:val="20"/>
          <w:jc w:val="center"/>
        </w:trPr>
        <w:tc>
          <w:tcPr>
            <w:tcW w:w="1344" w:type="dxa"/>
            <w:tcBorders>
              <w:top w:val="nil"/>
              <w:bottom w:val="single" w:sz="4" w:space="0" w:color="auto"/>
              <w:right w:val="nil"/>
            </w:tcBorders>
            <w:vAlign w:val="center"/>
          </w:tcPr>
          <w:p w14:paraId="4EFF1BA2" w14:textId="77777777" w:rsidR="00520ED5" w:rsidRPr="007A2F89" w:rsidRDefault="00520ED5" w:rsidP="007A2F89">
            <w:pPr>
              <w:rPr>
                <w:sz w:val="18"/>
                <w:szCs w:val="18"/>
              </w:rPr>
            </w:pPr>
            <w:r w:rsidRPr="007A2F89">
              <w:rPr>
                <w:sz w:val="18"/>
                <w:szCs w:val="18"/>
              </w:rPr>
              <w:t>Debt/Equity</w:t>
            </w:r>
          </w:p>
        </w:tc>
        <w:tc>
          <w:tcPr>
            <w:tcW w:w="1534" w:type="dxa"/>
            <w:tcBorders>
              <w:top w:val="nil"/>
              <w:left w:val="nil"/>
              <w:bottom w:val="single" w:sz="4" w:space="0" w:color="auto"/>
              <w:right w:val="nil"/>
            </w:tcBorders>
            <w:vAlign w:val="center"/>
          </w:tcPr>
          <w:p w14:paraId="2BD3E281" w14:textId="77777777" w:rsidR="00520ED5" w:rsidRPr="007A2F89" w:rsidRDefault="00520ED5" w:rsidP="007A2F89">
            <w:pPr>
              <w:rPr>
                <w:sz w:val="18"/>
                <w:szCs w:val="18"/>
              </w:rPr>
            </w:pPr>
            <w:r w:rsidRPr="007A2F89">
              <w:rPr>
                <w:sz w:val="18"/>
                <w:szCs w:val="18"/>
              </w:rPr>
              <w:t>1,912</w:t>
            </w:r>
          </w:p>
        </w:tc>
        <w:tc>
          <w:tcPr>
            <w:tcW w:w="1016" w:type="dxa"/>
            <w:tcBorders>
              <w:top w:val="nil"/>
              <w:left w:val="nil"/>
              <w:bottom w:val="single" w:sz="4" w:space="0" w:color="auto"/>
              <w:right w:val="nil"/>
            </w:tcBorders>
            <w:vAlign w:val="center"/>
          </w:tcPr>
          <w:p w14:paraId="7AA541BB" w14:textId="4BBE8F7C" w:rsidR="00520ED5" w:rsidRPr="007A2F89" w:rsidRDefault="00960D8A" w:rsidP="007A2F89">
            <w:pPr>
              <w:rPr>
                <w:sz w:val="18"/>
                <w:szCs w:val="18"/>
              </w:rPr>
            </w:pPr>
            <w:r w:rsidRPr="007A2F89">
              <w:rPr>
                <w:sz w:val="18"/>
                <w:szCs w:val="18"/>
              </w:rPr>
              <w:t>2.153651</w:t>
            </w:r>
          </w:p>
        </w:tc>
        <w:tc>
          <w:tcPr>
            <w:tcW w:w="1016" w:type="dxa"/>
            <w:tcBorders>
              <w:top w:val="nil"/>
              <w:left w:val="nil"/>
              <w:bottom w:val="single" w:sz="4" w:space="0" w:color="auto"/>
              <w:right w:val="nil"/>
            </w:tcBorders>
            <w:vAlign w:val="center"/>
          </w:tcPr>
          <w:p w14:paraId="30D79F17" w14:textId="35C2B7C0" w:rsidR="00520ED5" w:rsidRPr="007A2F89" w:rsidRDefault="00960D8A" w:rsidP="007A2F89">
            <w:pPr>
              <w:rPr>
                <w:sz w:val="18"/>
                <w:szCs w:val="18"/>
              </w:rPr>
            </w:pPr>
            <w:r w:rsidRPr="007A2F89">
              <w:rPr>
                <w:sz w:val="18"/>
                <w:szCs w:val="18"/>
              </w:rPr>
              <w:t>7.775759</w:t>
            </w:r>
          </w:p>
        </w:tc>
        <w:tc>
          <w:tcPr>
            <w:tcW w:w="809" w:type="dxa"/>
            <w:tcBorders>
              <w:top w:val="nil"/>
              <w:left w:val="nil"/>
              <w:bottom w:val="single" w:sz="4" w:space="0" w:color="auto"/>
              <w:right w:val="nil"/>
            </w:tcBorders>
            <w:vAlign w:val="center"/>
          </w:tcPr>
          <w:p w14:paraId="5AFF0E72" w14:textId="77777777" w:rsidR="00520ED5" w:rsidRPr="007A2F89" w:rsidRDefault="00520ED5" w:rsidP="007A2F89">
            <w:pPr>
              <w:rPr>
                <w:sz w:val="18"/>
                <w:szCs w:val="18"/>
              </w:rPr>
            </w:pPr>
            <w:r w:rsidRPr="007A2F89">
              <w:rPr>
                <w:sz w:val="18"/>
                <w:szCs w:val="18"/>
              </w:rPr>
              <w:t>-82.86</w:t>
            </w:r>
          </w:p>
        </w:tc>
        <w:tc>
          <w:tcPr>
            <w:tcW w:w="991" w:type="dxa"/>
            <w:tcBorders>
              <w:top w:val="nil"/>
              <w:left w:val="nil"/>
              <w:bottom w:val="single" w:sz="4" w:space="0" w:color="auto"/>
            </w:tcBorders>
            <w:vAlign w:val="center"/>
          </w:tcPr>
          <w:p w14:paraId="05DA0422" w14:textId="08824FBA" w:rsidR="00520ED5" w:rsidRPr="007A2F89" w:rsidRDefault="00520ED5" w:rsidP="007A2F89">
            <w:pPr>
              <w:rPr>
                <w:sz w:val="18"/>
                <w:szCs w:val="18"/>
              </w:rPr>
            </w:pPr>
            <w:r w:rsidRPr="007A2F89">
              <w:rPr>
                <w:sz w:val="18"/>
                <w:szCs w:val="18"/>
              </w:rPr>
              <w:t>161.79</w:t>
            </w:r>
          </w:p>
        </w:tc>
      </w:tr>
      <w:tr w:rsidR="000A75C9" w:rsidRPr="007A2F89" w14:paraId="0243D4FE" w14:textId="77777777" w:rsidTr="004B06A2">
        <w:trPr>
          <w:trHeight w:val="20"/>
          <w:jc w:val="center"/>
        </w:trPr>
        <w:tc>
          <w:tcPr>
            <w:tcW w:w="6719" w:type="dxa"/>
            <w:gridSpan w:val="7"/>
            <w:tcBorders>
              <w:top w:val="nil"/>
              <w:bottom w:val="single" w:sz="4" w:space="0" w:color="auto"/>
            </w:tcBorders>
            <w:vAlign w:val="center"/>
          </w:tcPr>
          <w:p w14:paraId="7FA1EE67" w14:textId="77777777" w:rsidR="00520ED5" w:rsidRPr="007A2F89" w:rsidRDefault="00520ED5" w:rsidP="007A2F89">
            <w:pPr>
              <w:rPr>
                <w:i/>
                <w:iCs/>
                <w:sz w:val="18"/>
                <w:szCs w:val="18"/>
              </w:rPr>
            </w:pPr>
            <w:r w:rsidRPr="007A2F89">
              <w:rPr>
                <w:i/>
                <w:iCs/>
                <w:sz w:val="18"/>
                <w:szCs w:val="18"/>
              </w:rPr>
              <w:t>ISO14001= 1</w:t>
            </w:r>
          </w:p>
        </w:tc>
      </w:tr>
      <w:tr w:rsidR="000A75C9" w:rsidRPr="007A2F89" w14:paraId="20E0DD33" w14:textId="77777777" w:rsidTr="004B06A2">
        <w:trPr>
          <w:gridAfter w:val="1"/>
          <w:wAfter w:w="9" w:type="dxa"/>
          <w:trHeight w:val="20"/>
          <w:jc w:val="center"/>
        </w:trPr>
        <w:tc>
          <w:tcPr>
            <w:tcW w:w="1344" w:type="dxa"/>
            <w:tcBorders>
              <w:top w:val="single" w:sz="4" w:space="0" w:color="auto"/>
              <w:bottom w:val="single" w:sz="4" w:space="0" w:color="auto"/>
              <w:right w:val="nil"/>
            </w:tcBorders>
            <w:vAlign w:val="center"/>
          </w:tcPr>
          <w:p w14:paraId="7F4EB337" w14:textId="6E01FD2F" w:rsidR="00520ED5" w:rsidRPr="007A2F89" w:rsidRDefault="00654B72" w:rsidP="007A2F89">
            <w:pPr>
              <w:rPr>
                <w:i/>
                <w:iCs/>
                <w:sz w:val="18"/>
                <w:szCs w:val="18"/>
              </w:rPr>
            </w:pPr>
            <w:r w:rsidRPr="007A2F89">
              <w:rPr>
                <w:i/>
                <w:iCs/>
                <w:sz w:val="18"/>
                <w:szCs w:val="18"/>
              </w:rPr>
              <w:t>Variab</w:t>
            </w:r>
            <w:r w:rsidR="005E6353" w:rsidRPr="007A2F89">
              <w:rPr>
                <w:i/>
                <w:iCs/>
                <w:sz w:val="18"/>
                <w:szCs w:val="18"/>
              </w:rPr>
              <w:t>les</w:t>
            </w:r>
          </w:p>
        </w:tc>
        <w:tc>
          <w:tcPr>
            <w:tcW w:w="1534" w:type="dxa"/>
            <w:tcBorders>
              <w:top w:val="single" w:sz="4" w:space="0" w:color="auto"/>
              <w:left w:val="nil"/>
              <w:bottom w:val="single" w:sz="4" w:space="0" w:color="auto"/>
              <w:right w:val="nil"/>
            </w:tcBorders>
            <w:vAlign w:val="center"/>
          </w:tcPr>
          <w:p w14:paraId="093E45DD" w14:textId="77777777" w:rsidR="00520ED5" w:rsidRPr="007A2F89" w:rsidRDefault="00520ED5" w:rsidP="007A2F89">
            <w:pPr>
              <w:rPr>
                <w:i/>
                <w:iCs/>
                <w:sz w:val="18"/>
                <w:szCs w:val="18"/>
              </w:rPr>
            </w:pPr>
            <w:proofErr w:type="spellStart"/>
            <w:r w:rsidRPr="007A2F89">
              <w:rPr>
                <w:i/>
                <w:iCs/>
                <w:sz w:val="18"/>
                <w:szCs w:val="18"/>
              </w:rPr>
              <w:t>Obs</w:t>
            </w:r>
            <w:proofErr w:type="spellEnd"/>
          </w:p>
        </w:tc>
        <w:tc>
          <w:tcPr>
            <w:tcW w:w="1016" w:type="dxa"/>
            <w:tcBorders>
              <w:top w:val="single" w:sz="4" w:space="0" w:color="auto"/>
              <w:left w:val="nil"/>
              <w:bottom w:val="single" w:sz="4" w:space="0" w:color="auto"/>
              <w:right w:val="nil"/>
            </w:tcBorders>
            <w:vAlign w:val="center"/>
          </w:tcPr>
          <w:p w14:paraId="350AE3A9" w14:textId="6F9CE9A9" w:rsidR="00520ED5" w:rsidRPr="007A2F89" w:rsidRDefault="00520ED5" w:rsidP="007A2F89">
            <w:pPr>
              <w:rPr>
                <w:i/>
                <w:iCs/>
                <w:sz w:val="18"/>
                <w:szCs w:val="18"/>
              </w:rPr>
            </w:pPr>
            <w:r w:rsidRPr="007A2F89">
              <w:rPr>
                <w:i/>
                <w:iCs/>
                <w:sz w:val="18"/>
                <w:szCs w:val="18"/>
              </w:rPr>
              <w:t>Me</w:t>
            </w:r>
            <w:r w:rsidR="005E6353" w:rsidRPr="007A2F89">
              <w:rPr>
                <w:i/>
                <w:iCs/>
                <w:sz w:val="18"/>
                <w:szCs w:val="18"/>
              </w:rPr>
              <w:t>an</w:t>
            </w:r>
          </w:p>
        </w:tc>
        <w:tc>
          <w:tcPr>
            <w:tcW w:w="1016" w:type="dxa"/>
            <w:tcBorders>
              <w:top w:val="single" w:sz="4" w:space="0" w:color="auto"/>
              <w:left w:val="nil"/>
              <w:bottom w:val="single" w:sz="4" w:space="0" w:color="auto"/>
              <w:right w:val="nil"/>
            </w:tcBorders>
            <w:vAlign w:val="center"/>
          </w:tcPr>
          <w:p w14:paraId="7DCCA2F5" w14:textId="77777777" w:rsidR="00520ED5" w:rsidRPr="007A2F89" w:rsidRDefault="00520ED5" w:rsidP="007A2F89">
            <w:pPr>
              <w:rPr>
                <w:i/>
                <w:iCs/>
                <w:sz w:val="18"/>
                <w:szCs w:val="18"/>
              </w:rPr>
            </w:pPr>
            <w:r w:rsidRPr="007A2F89">
              <w:rPr>
                <w:i/>
                <w:iCs/>
                <w:sz w:val="18"/>
                <w:szCs w:val="18"/>
              </w:rPr>
              <w:t>SD</w:t>
            </w:r>
          </w:p>
        </w:tc>
        <w:tc>
          <w:tcPr>
            <w:tcW w:w="809" w:type="dxa"/>
            <w:tcBorders>
              <w:top w:val="single" w:sz="4" w:space="0" w:color="auto"/>
              <w:left w:val="nil"/>
              <w:bottom w:val="single" w:sz="4" w:space="0" w:color="auto"/>
              <w:right w:val="nil"/>
            </w:tcBorders>
            <w:vAlign w:val="center"/>
          </w:tcPr>
          <w:p w14:paraId="2E9485AB" w14:textId="77777777" w:rsidR="00520ED5" w:rsidRPr="007A2F89" w:rsidRDefault="00520ED5" w:rsidP="007A2F89">
            <w:pPr>
              <w:rPr>
                <w:i/>
                <w:iCs/>
                <w:sz w:val="18"/>
                <w:szCs w:val="18"/>
              </w:rPr>
            </w:pPr>
            <w:r w:rsidRPr="007A2F89">
              <w:rPr>
                <w:i/>
                <w:iCs/>
                <w:sz w:val="18"/>
                <w:szCs w:val="18"/>
              </w:rPr>
              <w:t>Min</w:t>
            </w:r>
          </w:p>
        </w:tc>
        <w:tc>
          <w:tcPr>
            <w:tcW w:w="991" w:type="dxa"/>
            <w:tcBorders>
              <w:top w:val="single" w:sz="4" w:space="0" w:color="auto"/>
              <w:left w:val="nil"/>
              <w:bottom w:val="single" w:sz="4" w:space="0" w:color="auto"/>
            </w:tcBorders>
            <w:vAlign w:val="center"/>
          </w:tcPr>
          <w:p w14:paraId="12D8C3EC" w14:textId="77777777" w:rsidR="00520ED5" w:rsidRPr="007A2F89" w:rsidRDefault="00520ED5" w:rsidP="007A2F89">
            <w:pPr>
              <w:rPr>
                <w:i/>
                <w:iCs/>
                <w:sz w:val="18"/>
                <w:szCs w:val="18"/>
              </w:rPr>
            </w:pPr>
            <w:r w:rsidRPr="007A2F89">
              <w:rPr>
                <w:i/>
                <w:iCs/>
                <w:sz w:val="18"/>
                <w:szCs w:val="18"/>
              </w:rPr>
              <w:t>Max</w:t>
            </w:r>
          </w:p>
        </w:tc>
      </w:tr>
      <w:tr w:rsidR="000A75C9" w:rsidRPr="007A2F89" w14:paraId="284D46E1" w14:textId="77777777" w:rsidTr="004B06A2">
        <w:trPr>
          <w:gridAfter w:val="1"/>
          <w:wAfter w:w="9" w:type="dxa"/>
          <w:trHeight w:val="20"/>
          <w:jc w:val="center"/>
        </w:trPr>
        <w:tc>
          <w:tcPr>
            <w:tcW w:w="1344" w:type="dxa"/>
            <w:tcBorders>
              <w:top w:val="single" w:sz="4" w:space="0" w:color="auto"/>
              <w:bottom w:val="nil"/>
              <w:right w:val="nil"/>
            </w:tcBorders>
            <w:vAlign w:val="center"/>
          </w:tcPr>
          <w:p w14:paraId="6D92A44C" w14:textId="09F2573D" w:rsidR="00520ED5" w:rsidRPr="007A2F89" w:rsidRDefault="00960D8A" w:rsidP="007A2F89">
            <w:pPr>
              <w:rPr>
                <w:sz w:val="18"/>
                <w:szCs w:val="18"/>
              </w:rPr>
            </w:pPr>
            <w:r w:rsidRPr="007A2F89">
              <w:rPr>
                <w:sz w:val="18"/>
                <w:szCs w:val="18"/>
              </w:rPr>
              <w:t>Age</w:t>
            </w:r>
          </w:p>
        </w:tc>
        <w:tc>
          <w:tcPr>
            <w:tcW w:w="1534" w:type="dxa"/>
            <w:tcBorders>
              <w:top w:val="single" w:sz="4" w:space="0" w:color="auto"/>
              <w:left w:val="nil"/>
              <w:bottom w:val="nil"/>
              <w:right w:val="nil"/>
            </w:tcBorders>
            <w:vAlign w:val="center"/>
          </w:tcPr>
          <w:p w14:paraId="2DB5EF59" w14:textId="4F64853E" w:rsidR="00520ED5" w:rsidRPr="007A2F89" w:rsidRDefault="00520ED5" w:rsidP="007A2F89">
            <w:pPr>
              <w:rPr>
                <w:b/>
                <w:bCs/>
                <w:sz w:val="18"/>
                <w:szCs w:val="18"/>
              </w:rPr>
            </w:pPr>
            <w:r w:rsidRPr="007A2F89">
              <w:rPr>
                <w:sz w:val="18"/>
                <w:szCs w:val="18"/>
              </w:rPr>
              <w:t>1,</w:t>
            </w:r>
            <w:r w:rsidR="00960D8A" w:rsidRPr="007A2F89">
              <w:rPr>
                <w:sz w:val="18"/>
                <w:szCs w:val="18"/>
              </w:rPr>
              <w:t>908</w:t>
            </w:r>
          </w:p>
        </w:tc>
        <w:tc>
          <w:tcPr>
            <w:tcW w:w="1016" w:type="dxa"/>
            <w:tcBorders>
              <w:top w:val="single" w:sz="4" w:space="0" w:color="auto"/>
              <w:left w:val="nil"/>
              <w:bottom w:val="nil"/>
              <w:right w:val="nil"/>
            </w:tcBorders>
            <w:vAlign w:val="center"/>
          </w:tcPr>
          <w:p w14:paraId="37ABE700" w14:textId="19CADE0D" w:rsidR="00520ED5" w:rsidRPr="007A2F89" w:rsidRDefault="00960D8A" w:rsidP="007A2F89">
            <w:pPr>
              <w:rPr>
                <w:b/>
                <w:bCs/>
                <w:sz w:val="18"/>
                <w:szCs w:val="18"/>
              </w:rPr>
            </w:pPr>
            <w:r w:rsidRPr="007A2F89">
              <w:rPr>
                <w:sz w:val="18"/>
                <w:szCs w:val="18"/>
              </w:rPr>
              <w:t>24.71226</w:t>
            </w:r>
          </w:p>
        </w:tc>
        <w:tc>
          <w:tcPr>
            <w:tcW w:w="1016" w:type="dxa"/>
            <w:tcBorders>
              <w:top w:val="single" w:sz="4" w:space="0" w:color="auto"/>
              <w:left w:val="nil"/>
              <w:bottom w:val="nil"/>
              <w:right w:val="nil"/>
            </w:tcBorders>
            <w:vAlign w:val="center"/>
          </w:tcPr>
          <w:p w14:paraId="58C9B148" w14:textId="0E781CFE" w:rsidR="00520ED5" w:rsidRPr="007A2F89" w:rsidRDefault="00960D8A" w:rsidP="007A2F89">
            <w:pPr>
              <w:rPr>
                <w:b/>
                <w:bCs/>
                <w:sz w:val="18"/>
                <w:szCs w:val="18"/>
              </w:rPr>
            </w:pPr>
            <w:r w:rsidRPr="007A2F89">
              <w:rPr>
                <w:sz w:val="18"/>
                <w:szCs w:val="18"/>
              </w:rPr>
              <w:t>10.26331</w:t>
            </w:r>
          </w:p>
        </w:tc>
        <w:tc>
          <w:tcPr>
            <w:tcW w:w="809" w:type="dxa"/>
            <w:tcBorders>
              <w:top w:val="single" w:sz="4" w:space="0" w:color="auto"/>
              <w:left w:val="nil"/>
              <w:bottom w:val="nil"/>
              <w:right w:val="nil"/>
            </w:tcBorders>
            <w:vAlign w:val="center"/>
          </w:tcPr>
          <w:p w14:paraId="4CA2FF88" w14:textId="07E8F1A9" w:rsidR="00520ED5" w:rsidRPr="007A2F89" w:rsidRDefault="00960D8A" w:rsidP="007A2F89">
            <w:pPr>
              <w:rPr>
                <w:sz w:val="18"/>
                <w:szCs w:val="18"/>
              </w:rPr>
            </w:pPr>
            <w:r w:rsidRPr="007A2F89">
              <w:rPr>
                <w:sz w:val="18"/>
                <w:szCs w:val="18"/>
              </w:rPr>
              <w:t>9</w:t>
            </w:r>
          </w:p>
        </w:tc>
        <w:tc>
          <w:tcPr>
            <w:tcW w:w="991" w:type="dxa"/>
            <w:tcBorders>
              <w:top w:val="single" w:sz="4" w:space="0" w:color="auto"/>
              <w:left w:val="nil"/>
              <w:bottom w:val="nil"/>
            </w:tcBorders>
            <w:vAlign w:val="center"/>
          </w:tcPr>
          <w:p w14:paraId="2431DF39" w14:textId="51521C6E" w:rsidR="00520ED5" w:rsidRPr="007A2F89" w:rsidRDefault="00960D8A" w:rsidP="007A2F89">
            <w:pPr>
              <w:rPr>
                <w:sz w:val="18"/>
                <w:szCs w:val="18"/>
              </w:rPr>
            </w:pPr>
            <w:r w:rsidRPr="007A2F89">
              <w:rPr>
                <w:sz w:val="18"/>
                <w:szCs w:val="18"/>
              </w:rPr>
              <w:t>59</w:t>
            </w:r>
          </w:p>
        </w:tc>
      </w:tr>
      <w:tr w:rsidR="000A75C9" w:rsidRPr="007A2F89" w14:paraId="668B5D6A" w14:textId="77777777" w:rsidTr="004B06A2">
        <w:trPr>
          <w:gridAfter w:val="1"/>
          <w:wAfter w:w="9" w:type="dxa"/>
          <w:trHeight w:val="20"/>
          <w:jc w:val="center"/>
        </w:trPr>
        <w:tc>
          <w:tcPr>
            <w:tcW w:w="1344" w:type="dxa"/>
            <w:tcBorders>
              <w:top w:val="nil"/>
              <w:bottom w:val="nil"/>
              <w:right w:val="nil"/>
            </w:tcBorders>
            <w:vAlign w:val="center"/>
          </w:tcPr>
          <w:p w14:paraId="37A4EFEB" w14:textId="020141FC" w:rsidR="00520ED5" w:rsidRPr="007A2F89" w:rsidRDefault="00960D8A" w:rsidP="007A2F89">
            <w:pPr>
              <w:rPr>
                <w:sz w:val="18"/>
                <w:szCs w:val="18"/>
              </w:rPr>
            </w:pPr>
            <w:r w:rsidRPr="007A2F89">
              <w:rPr>
                <w:sz w:val="18"/>
                <w:szCs w:val="18"/>
              </w:rPr>
              <w:t>Employees</w:t>
            </w:r>
          </w:p>
        </w:tc>
        <w:tc>
          <w:tcPr>
            <w:tcW w:w="1534" w:type="dxa"/>
            <w:tcBorders>
              <w:top w:val="nil"/>
              <w:left w:val="nil"/>
              <w:bottom w:val="nil"/>
              <w:right w:val="nil"/>
            </w:tcBorders>
            <w:vAlign w:val="center"/>
          </w:tcPr>
          <w:p w14:paraId="4D94DD77" w14:textId="77777777" w:rsidR="00520ED5" w:rsidRPr="007A2F89" w:rsidRDefault="00520ED5" w:rsidP="007A2F89">
            <w:pPr>
              <w:rPr>
                <w:sz w:val="18"/>
                <w:szCs w:val="18"/>
              </w:rPr>
            </w:pPr>
            <w:r w:rsidRPr="007A2F89">
              <w:rPr>
                <w:sz w:val="18"/>
                <w:szCs w:val="18"/>
              </w:rPr>
              <w:t>1,908</w:t>
            </w:r>
          </w:p>
        </w:tc>
        <w:tc>
          <w:tcPr>
            <w:tcW w:w="1016" w:type="dxa"/>
            <w:tcBorders>
              <w:top w:val="nil"/>
              <w:left w:val="nil"/>
              <w:bottom w:val="nil"/>
              <w:right w:val="nil"/>
            </w:tcBorders>
            <w:vAlign w:val="center"/>
          </w:tcPr>
          <w:p w14:paraId="630108ED" w14:textId="0AE60724" w:rsidR="00520ED5" w:rsidRPr="007A2F89" w:rsidRDefault="00960D8A" w:rsidP="007A2F89">
            <w:pPr>
              <w:rPr>
                <w:sz w:val="18"/>
                <w:szCs w:val="18"/>
              </w:rPr>
            </w:pPr>
            <w:r w:rsidRPr="007A2F89">
              <w:rPr>
                <w:sz w:val="18"/>
                <w:szCs w:val="18"/>
              </w:rPr>
              <w:t xml:space="preserve">50.15094  </w:t>
            </w:r>
          </w:p>
        </w:tc>
        <w:tc>
          <w:tcPr>
            <w:tcW w:w="1016" w:type="dxa"/>
            <w:tcBorders>
              <w:top w:val="nil"/>
              <w:left w:val="nil"/>
              <w:bottom w:val="nil"/>
              <w:right w:val="nil"/>
            </w:tcBorders>
            <w:vAlign w:val="center"/>
          </w:tcPr>
          <w:p w14:paraId="39C05F1D" w14:textId="54AB277B" w:rsidR="00520ED5" w:rsidRPr="007A2F89" w:rsidRDefault="00960D8A" w:rsidP="007A2F89">
            <w:pPr>
              <w:rPr>
                <w:sz w:val="18"/>
                <w:szCs w:val="18"/>
              </w:rPr>
            </w:pPr>
            <w:r w:rsidRPr="007A2F89">
              <w:rPr>
                <w:sz w:val="18"/>
                <w:szCs w:val="18"/>
              </w:rPr>
              <w:t>53.36991</w:t>
            </w:r>
          </w:p>
        </w:tc>
        <w:tc>
          <w:tcPr>
            <w:tcW w:w="809" w:type="dxa"/>
            <w:tcBorders>
              <w:top w:val="nil"/>
              <w:left w:val="nil"/>
              <w:bottom w:val="nil"/>
              <w:right w:val="nil"/>
            </w:tcBorders>
            <w:vAlign w:val="center"/>
          </w:tcPr>
          <w:p w14:paraId="240DAE68" w14:textId="1A95309E" w:rsidR="00520ED5" w:rsidRPr="007A2F89" w:rsidRDefault="00960D8A" w:rsidP="007A2F89">
            <w:pPr>
              <w:rPr>
                <w:sz w:val="18"/>
                <w:szCs w:val="18"/>
              </w:rPr>
            </w:pPr>
            <w:r w:rsidRPr="007A2F89">
              <w:rPr>
                <w:sz w:val="18"/>
                <w:szCs w:val="18"/>
              </w:rPr>
              <w:t>2</w:t>
            </w:r>
          </w:p>
        </w:tc>
        <w:tc>
          <w:tcPr>
            <w:tcW w:w="991" w:type="dxa"/>
            <w:tcBorders>
              <w:top w:val="nil"/>
              <w:left w:val="nil"/>
              <w:bottom w:val="nil"/>
            </w:tcBorders>
            <w:vAlign w:val="center"/>
          </w:tcPr>
          <w:p w14:paraId="3BE8A193" w14:textId="52A8744B" w:rsidR="00520ED5" w:rsidRPr="007A2F89" w:rsidRDefault="00960D8A" w:rsidP="007A2F89">
            <w:pPr>
              <w:rPr>
                <w:sz w:val="18"/>
                <w:szCs w:val="18"/>
              </w:rPr>
            </w:pPr>
            <w:r w:rsidRPr="007A2F89">
              <w:rPr>
                <w:sz w:val="18"/>
                <w:szCs w:val="18"/>
              </w:rPr>
              <w:t>244</w:t>
            </w:r>
          </w:p>
        </w:tc>
      </w:tr>
      <w:tr w:rsidR="000A75C9" w:rsidRPr="007A2F89" w14:paraId="18C79C57" w14:textId="77777777" w:rsidTr="004B06A2">
        <w:trPr>
          <w:gridAfter w:val="1"/>
          <w:wAfter w:w="9" w:type="dxa"/>
          <w:trHeight w:val="20"/>
          <w:jc w:val="center"/>
        </w:trPr>
        <w:tc>
          <w:tcPr>
            <w:tcW w:w="1344" w:type="dxa"/>
            <w:tcBorders>
              <w:top w:val="nil"/>
              <w:bottom w:val="nil"/>
              <w:right w:val="nil"/>
            </w:tcBorders>
            <w:vAlign w:val="center"/>
          </w:tcPr>
          <w:p w14:paraId="0B8BA39F" w14:textId="0A084D16" w:rsidR="00520ED5" w:rsidRPr="007A2F89" w:rsidRDefault="00960D8A" w:rsidP="007A2F89">
            <w:pPr>
              <w:rPr>
                <w:sz w:val="18"/>
                <w:szCs w:val="18"/>
              </w:rPr>
            </w:pPr>
            <w:r w:rsidRPr="007A2F89">
              <w:rPr>
                <w:sz w:val="18"/>
                <w:szCs w:val="18"/>
              </w:rPr>
              <w:t>Assets</w:t>
            </w:r>
          </w:p>
        </w:tc>
        <w:tc>
          <w:tcPr>
            <w:tcW w:w="1534" w:type="dxa"/>
            <w:tcBorders>
              <w:top w:val="nil"/>
              <w:left w:val="nil"/>
              <w:bottom w:val="nil"/>
              <w:right w:val="nil"/>
            </w:tcBorders>
            <w:vAlign w:val="center"/>
          </w:tcPr>
          <w:p w14:paraId="0710C4C3" w14:textId="0214288A" w:rsidR="00520ED5" w:rsidRPr="007A2F89" w:rsidRDefault="00520ED5" w:rsidP="007A2F89">
            <w:pPr>
              <w:rPr>
                <w:sz w:val="18"/>
                <w:szCs w:val="18"/>
              </w:rPr>
            </w:pPr>
            <w:r w:rsidRPr="007A2F89">
              <w:rPr>
                <w:sz w:val="18"/>
                <w:szCs w:val="18"/>
              </w:rPr>
              <w:t>1,90</w:t>
            </w:r>
            <w:r w:rsidR="00960D8A" w:rsidRPr="007A2F89">
              <w:rPr>
                <w:sz w:val="18"/>
                <w:szCs w:val="18"/>
              </w:rPr>
              <w:t>7</w:t>
            </w:r>
          </w:p>
        </w:tc>
        <w:tc>
          <w:tcPr>
            <w:tcW w:w="1016" w:type="dxa"/>
            <w:tcBorders>
              <w:top w:val="nil"/>
              <w:left w:val="nil"/>
              <w:bottom w:val="nil"/>
              <w:right w:val="nil"/>
            </w:tcBorders>
            <w:vAlign w:val="center"/>
          </w:tcPr>
          <w:p w14:paraId="29591095" w14:textId="42DE5EAA" w:rsidR="00520ED5" w:rsidRPr="007A2F89" w:rsidRDefault="00960D8A" w:rsidP="007A2F89">
            <w:pPr>
              <w:rPr>
                <w:sz w:val="18"/>
                <w:szCs w:val="18"/>
              </w:rPr>
            </w:pPr>
            <w:r w:rsidRPr="007A2F89">
              <w:rPr>
                <w:sz w:val="18"/>
                <w:szCs w:val="18"/>
              </w:rPr>
              <w:t>14756.98</w:t>
            </w:r>
          </w:p>
        </w:tc>
        <w:tc>
          <w:tcPr>
            <w:tcW w:w="1016" w:type="dxa"/>
            <w:tcBorders>
              <w:top w:val="nil"/>
              <w:left w:val="nil"/>
              <w:bottom w:val="nil"/>
              <w:right w:val="nil"/>
            </w:tcBorders>
            <w:vAlign w:val="center"/>
          </w:tcPr>
          <w:p w14:paraId="58DDF041" w14:textId="5728E90F" w:rsidR="00520ED5" w:rsidRPr="007A2F89" w:rsidRDefault="00960D8A" w:rsidP="007A2F89">
            <w:pPr>
              <w:rPr>
                <w:sz w:val="18"/>
                <w:szCs w:val="18"/>
              </w:rPr>
            </w:pPr>
            <w:r w:rsidRPr="007A2F89">
              <w:rPr>
                <w:sz w:val="18"/>
                <w:szCs w:val="18"/>
              </w:rPr>
              <w:t>27235.3</w:t>
            </w:r>
          </w:p>
        </w:tc>
        <w:tc>
          <w:tcPr>
            <w:tcW w:w="809" w:type="dxa"/>
            <w:tcBorders>
              <w:top w:val="nil"/>
              <w:left w:val="nil"/>
              <w:bottom w:val="nil"/>
              <w:right w:val="nil"/>
            </w:tcBorders>
            <w:vAlign w:val="center"/>
          </w:tcPr>
          <w:p w14:paraId="5556DC6E" w14:textId="369BB98F" w:rsidR="00520ED5" w:rsidRPr="007A2F89" w:rsidRDefault="00960D8A" w:rsidP="007A2F89">
            <w:pPr>
              <w:rPr>
                <w:sz w:val="18"/>
                <w:szCs w:val="18"/>
              </w:rPr>
            </w:pPr>
            <w:r w:rsidRPr="007A2F89">
              <w:rPr>
                <w:sz w:val="18"/>
                <w:szCs w:val="18"/>
              </w:rPr>
              <w:t>14.872</w:t>
            </w:r>
          </w:p>
        </w:tc>
        <w:tc>
          <w:tcPr>
            <w:tcW w:w="991" w:type="dxa"/>
            <w:tcBorders>
              <w:top w:val="nil"/>
              <w:left w:val="nil"/>
              <w:bottom w:val="nil"/>
            </w:tcBorders>
            <w:vAlign w:val="center"/>
          </w:tcPr>
          <w:p w14:paraId="00535A9B" w14:textId="0C54F12C" w:rsidR="00520ED5" w:rsidRPr="007A2F89" w:rsidRDefault="00960D8A" w:rsidP="007A2F89">
            <w:pPr>
              <w:rPr>
                <w:sz w:val="18"/>
                <w:szCs w:val="18"/>
              </w:rPr>
            </w:pPr>
            <w:r w:rsidRPr="007A2F89">
              <w:rPr>
                <w:sz w:val="18"/>
                <w:szCs w:val="18"/>
              </w:rPr>
              <w:t>308646.2</w:t>
            </w:r>
          </w:p>
        </w:tc>
      </w:tr>
      <w:tr w:rsidR="00960D8A" w:rsidRPr="007A2F89" w14:paraId="0E0A6F87" w14:textId="77777777" w:rsidTr="004B06A2">
        <w:trPr>
          <w:gridAfter w:val="1"/>
          <w:wAfter w:w="9" w:type="dxa"/>
          <w:trHeight w:val="20"/>
          <w:jc w:val="center"/>
        </w:trPr>
        <w:tc>
          <w:tcPr>
            <w:tcW w:w="1344" w:type="dxa"/>
            <w:tcBorders>
              <w:top w:val="nil"/>
              <w:bottom w:val="nil"/>
              <w:right w:val="nil"/>
            </w:tcBorders>
            <w:vAlign w:val="center"/>
          </w:tcPr>
          <w:p w14:paraId="07D64265" w14:textId="33CB0310" w:rsidR="00960D8A" w:rsidRPr="007A2F89" w:rsidRDefault="00960D8A" w:rsidP="007A2F89">
            <w:pPr>
              <w:rPr>
                <w:sz w:val="18"/>
                <w:szCs w:val="18"/>
              </w:rPr>
            </w:pPr>
            <w:r w:rsidRPr="007A2F89">
              <w:rPr>
                <w:sz w:val="18"/>
                <w:szCs w:val="18"/>
              </w:rPr>
              <w:t>ROA</w:t>
            </w:r>
          </w:p>
        </w:tc>
        <w:tc>
          <w:tcPr>
            <w:tcW w:w="1534" w:type="dxa"/>
            <w:tcBorders>
              <w:top w:val="nil"/>
              <w:left w:val="nil"/>
              <w:bottom w:val="nil"/>
              <w:right w:val="nil"/>
            </w:tcBorders>
            <w:vAlign w:val="center"/>
          </w:tcPr>
          <w:p w14:paraId="41BDC9F3" w14:textId="7CC4C380" w:rsidR="00960D8A" w:rsidRPr="007A2F89" w:rsidRDefault="00960D8A" w:rsidP="007A2F89">
            <w:pPr>
              <w:rPr>
                <w:sz w:val="18"/>
                <w:szCs w:val="18"/>
              </w:rPr>
            </w:pPr>
            <w:r w:rsidRPr="007A2F89">
              <w:rPr>
                <w:sz w:val="18"/>
                <w:szCs w:val="18"/>
              </w:rPr>
              <w:t>1,907</w:t>
            </w:r>
          </w:p>
        </w:tc>
        <w:tc>
          <w:tcPr>
            <w:tcW w:w="1016" w:type="dxa"/>
            <w:tcBorders>
              <w:top w:val="nil"/>
              <w:left w:val="nil"/>
              <w:bottom w:val="nil"/>
              <w:right w:val="nil"/>
            </w:tcBorders>
            <w:vAlign w:val="center"/>
          </w:tcPr>
          <w:p w14:paraId="28F93E07" w14:textId="0A326C5C" w:rsidR="00960D8A" w:rsidRPr="007A2F89" w:rsidRDefault="00960D8A" w:rsidP="007A2F89">
            <w:pPr>
              <w:rPr>
                <w:sz w:val="18"/>
                <w:szCs w:val="18"/>
              </w:rPr>
            </w:pPr>
            <w:r w:rsidRPr="007A2F89">
              <w:rPr>
                <w:sz w:val="18"/>
                <w:szCs w:val="18"/>
              </w:rPr>
              <w:t>6.067672</w:t>
            </w:r>
          </w:p>
        </w:tc>
        <w:tc>
          <w:tcPr>
            <w:tcW w:w="1016" w:type="dxa"/>
            <w:tcBorders>
              <w:top w:val="nil"/>
              <w:left w:val="nil"/>
              <w:bottom w:val="nil"/>
              <w:right w:val="nil"/>
            </w:tcBorders>
            <w:vAlign w:val="center"/>
          </w:tcPr>
          <w:p w14:paraId="7CCD68B5" w14:textId="5F4BA793" w:rsidR="00960D8A" w:rsidRPr="007A2F89" w:rsidRDefault="00960D8A" w:rsidP="007A2F89">
            <w:pPr>
              <w:rPr>
                <w:sz w:val="18"/>
                <w:szCs w:val="18"/>
              </w:rPr>
            </w:pPr>
            <w:r w:rsidRPr="007A2F89">
              <w:rPr>
                <w:sz w:val="18"/>
                <w:szCs w:val="18"/>
              </w:rPr>
              <w:t>9.124103</w:t>
            </w:r>
          </w:p>
        </w:tc>
        <w:tc>
          <w:tcPr>
            <w:tcW w:w="809" w:type="dxa"/>
            <w:tcBorders>
              <w:top w:val="nil"/>
              <w:left w:val="nil"/>
              <w:bottom w:val="nil"/>
              <w:right w:val="nil"/>
            </w:tcBorders>
            <w:vAlign w:val="center"/>
          </w:tcPr>
          <w:p w14:paraId="6F36E39C" w14:textId="475AEC5B" w:rsidR="00960D8A" w:rsidRPr="007A2F89" w:rsidRDefault="00960D8A" w:rsidP="007A2F89">
            <w:pPr>
              <w:rPr>
                <w:sz w:val="18"/>
                <w:szCs w:val="18"/>
              </w:rPr>
            </w:pPr>
            <w:r w:rsidRPr="007A2F89">
              <w:rPr>
                <w:sz w:val="18"/>
                <w:szCs w:val="18"/>
              </w:rPr>
              <w:t>-55.88</w:t>
            </w:r>
          </w:p>
        </w:tc>
        <w:tc>
          <w:tcPr>
            <w:tcW w:w="991" w:type="dxa"/>
            <w:tcBorders>
              <w:top w:val="nil"/>
              <w:left w:val="nil"/>
              <w:bottom w:val="nil"/>
            </w:tcBorders>
            <w:vAlign w:val="center"/>
          </w:tcPr>
          <w:p w14:paraId="27C6BB41" w14:textId="1AC4D051" w:rsidR="00960D8A" w:rsidRPr="007A2F89" w:rsidRDefault="00960D8A" w:rsidP="007A2F89">
            <w:pPr>
              <w:rPr>
                <w:sz w:val="18"/>
                <w:szCs w:val="18"/>
              </w:rPr>
            </w:pPr>
            <w:r w:rsidRPr="007A2F89">
              <w:rPr>
                <w:sz w:val="18"/>
                <w:szCs w:val="18"/>
              </w:rPr>
              <w:t>67.28</w:t>
            </w:r>
          </w:p>
        </w:tc>
      </w:tr>
      <w:tr w:rsidR="000A75C9" w:rsidRPr="007A2F89" w14:paraId="54DB60DC" w14:textId="77777777" w:rsidTr="004B06A2">
        <w:trPr>
          <w:gridAfter w:val="1"/>
          <w:wAfter w:w="9" w:type="dxa"/>
          <w:trHeight w:val="20"/>
          <w:jc w:val="center"/>
        </w:trPr>
        <w:tc>
          <w:tcPr>
            <w:tcW w:w="1344" w:type="dxa"/>
            <w:tcBorders>
              <w:top w:val="nil"/>
              <w:bottom w:val="single" w:sz="4" w:space="0" w:color="auto"/>
              <w:right w:val="nil"/>
            </w:tcBorders>
            <w:vAlign w:val="center"/>
          </w:tcPr>
          <w:p w14:paraId="3CC579A4" w14:textId="77777777" w:rsidR="00520ED5" w:rsidRPr="007A2F89" w:rsidRDefault="00520ED5" w:rsidP="007A2F89">
            <w:pPr>
              <w:rPr>
                <w:sz w:val="18"/>
                <w:szCs w:val="18"/>
              </w:rPr>
            </w:pPr>
            <w:r w:rsidRPr="007A2F89">
              <w:rPr>
                <w:sz w:val="18"/>
                <w:szCs w:val="18"/>
              </w:rPr>
              <w:lastRenderedPageBreak/>
              <w:t>Debt/Equity</w:t>
            </w:r>
          </w:p>
        </w:tc>
        <w:tc>
          <w:tcPr>
            <w:tcW w:w="1534" w:type="dxa"/>
            <w:tcBorders>
              <w:top w:val="nil"/>
              <w:left w:val="nil"/>
              <w:bottom w:val="single" w:sz="4" w:space="0" w:color="auto"/>
              <w:right w:val="nil"/>
            </w:tcBorders>
            <w:vAlign w:val="center"/>
          </w:tcPr>
          <w:p w14:paraId="7ED86E15" w14:textId="77777777" w:rsidR="00520ED5" w:rsidRPr="007A2F89" w:rsidRDefault="00520ED5" w:rsidP="007A2F89">
            <w:pPr>
              <w:rPr>
                <w:sz w:val="18"/>
                <w:szCs w:val="18"/>
              </w:rPr>
            </w:pPr>
            <w:r w:rsidRPr="007A2F89">
              <w:rPr>
                <w:sz w:val="18"/>
                <w:szCs w:val="18"/>
              </w:rPr>
              <w:t>1,723</w:t>
            </w:r>
          </w:p>
        </w:tc>
        <w:tc>
          <w:tcPr>
            <w:tcW w:w="1016" w:type="dxa"/>
            <w:tcBorders>
              <w:top w:val="nil"/>
              <w:left w:val="nil"/>
              <w:bottom w:val="single" w:sz="4" w:space="0" w:color="auto"/>
              <w:right w:val="nil"/>
            </w:tcBorders>
            <w:vAlign w:val="center"/>
          </w:tcPr>
          <w:p w14:paraId="5004286B" w14:textId="78D808B2" w:rsidR="00520ED5" w:rsidRPr="007A2F89" w:rsidRDefault="00960D8A" w:rsidP="007A2F89">
            <w:pPr>
              <w:rPr>
                <w:sz w:val="18"/>
                <w:szCs w:val="18"/>
              </w:rPr>
            </w:pPr>
            <w:r w:rsidRPr="007A2F89">
              <w:rPr>
                <w:sz w:val="18"/>
                <w:szCs w:val="18"/>
              </w:rPr>
              <w:t>1.751741</w:t>
            </w:r>
          </w:p>
        </w:tc>
        <w:tc>
          <w:tcPr>
            <w:tcW w:w="1016" w:type="dxa"/>
            <w:tcBorders>
              <w:top w:val="nil"/>
              <w:left w:val="nil"/>
              <w:bottom w:val="single" w:sz="4" w:space="0" w:color="auto"/>
              <w:right w:val="nil"/>
            </w:tcBorders>
            <w:vAlign w:val="center"/>
          </w:tcPr>
          <w:p w14:paraId="4A8F7666" w14:textId="4CD6E10A" w:rsidR="00520ED5" w:rsidRPr="007A2F89" w:rsidRDefault="00960D8A" w:rsidP="007A2F89">
            <w:pPr>
              <w:rPr>
                <w:sz w:val="18"/>
                <w:szCs w:val="18"/>
              </w:rPr>
            </w:pPr>
            <w:r w:rsidRPr="007A2F89">
              <w:rPr>
                <w:sz w:val="18"/>
                <w:szCs w:val="18"/>
              </w:rPr>
              <w:t>6.618009</w:t>
            </w:r>
          </w:p>
        </w:tc>
        <w:tc>
          <w:tcPr>
            <w:tcW w:w="809" w:type="dxa"/>
            <w:tcBorders>
              <w:top w:val="nil"/>
              <w:left w:val="nil"/>
              <w:bottom w:val="single" w:sz="4" w:space="0" w:color="auto"/>
              <w:right w:val="nil"/>
            </w:tcBorders>
            <w:vAlign w:val="center"/>
          </w:tcPr>
          <w:p w14:paraId="7CBE059C" w14:textId="06175648" w:rsidR="00520ED5" w:rsidRPr="007A2F89" w:rsidRDefault="00960D8A" w:rsidP="007A2F89">
            <w:pPr>
              <w:rPr>
                <w:sz w:val="18"/>
                <w:szCs w:val="18"/>
              </w:rPr>
            </w:pPr>
            <w:r w:rsidRPr="007A2F89">
              <w:rPr>
                <w:sz w:val="18"/>
                <w:szCs w:val="18"/>
              </w:rPr>
              <w:t>-11.69</w:t>
            </w:r>
          </w:p>
        </w:tc>
        <w:tc>
          <w:tcPr>
            <w:tcW w:w="991" w:type="dxa"/>
            <w:tcBorders>
              <w:top w:val="nil"/>
              <w:left w:val="nil"/>
              <w:bottom w:val="single" w:sz="4" w:space="0" w:color="auto"/>
            </w:tcBorders>
            <w:vAlign w:val="center"/>
          </w:tcPr>
          <w:p w14:paraId="20EA3AB8" w14:textId="77777777" w:rsidR="00520ED5" w:rsidRPr="007A2F89" w:rsidRDefault="00520ED5" w:rsidP="007A2F89">
            <w:pPr>
              <w:rPr>
                <w:sz w:val="18"/>
                <w:szCs w:val="18"/>
              </w:rPr>
            </w:pPr>
            <w:r w:rsidRPr="007A2F89">
              <w:rPr>
                <w:sz w:val="18"/>
                <w:szCs w:val="18"/>
              </w:rPr>
              <w:t>156.05</w:t>
            </w:r>
          </w:p>
        </w:tc>
      </w:tr>
    </w:tbl>
    <w:p w14:paraId="4BAB80BA" w14:textId="3F26F93E" w:rsidR="00C3779C" w:rsidRPr="007A2F89" w:rsidRDefault="00C3779C" w:rsidP="007A2F89">
      <w:pPr>
        <w:pStyle w:val="NormaleWeb"/>
        <w:jc w:val="both"/>
        <w:rPr>
          <w:rFonts w:eastAsia="Calibri"/>
          <w:i/>
          <w:iCs/>
          <w:sz w:val="20"/>
          <w:szCs w:val="20"/>
          <w:lang w:eastAsia="en-US"/>
        </w:rPr>
      </w:pPr>
      <w:r w:rsidRPr="007A2F89">
        <w:rPr>
          <w:rFonts w:eastAsia="Calibri"/>
          <w:i/>
          <w:iCs/>
          <w:sz w:val="20"/>
          <w:szCs w:val="20"/>
          <w:lang w:eastAsia="en-US"/>
        </w:rPr>
        <w:t xml:space="preserve">Source: </w:t>
      </w:r>
      <w:proofErr w:type="spellStart"/>
      <w:r w:rsidRPr="007A2F89">
        <w:rPr>
          <w:rFonts w:eastAsia="Calibri"/>
          <w:i/>
          <w:iCs/>
          <w:sz w:val="20"/>
          <w:szCs w:val="20"/>
          <w:lang w:eastAsia="en-US"/>
        </w:rPr>
        <w:t>Author</w:t>
      </w:r>
      <w:r w:rsidR="007A2F89" w:rsidRPr="007A2F89">
        <w:rPr>
          <w:rFonts w:eastAsia="Calibri"/>
          <w:i/>
          <w:iCs/>
          <w:sz w:val="20"/>
          <w:szCs w:val="20"/>
          <w:lang w:eastAsia="en-US"/>
        </w:rPr>
        <w:t>’</w:t>
      </w:r>
      <w:r w:rsidRPr="007A2F89">
        <w:rPr>
          <w:rFonts w:eastAsia="Calibri"/>
          <w:i/>
          <w:iCs/>
          <w:sz w:val="20"/>
          <w:szCs w:val="20"/>
          <w:lang w:eastAsia="en-US"/>
        </w:rPr>
        <w:t>s</w:t>
      </w:r>
      <w:proofErr w:type="spellEnd"/>
      <w:r w:rsidRPr="007A2F89">
        <w:rPr>
          <w:rFonts w:eastAsia="Calibri"/>
          <w:i/>
          <w:iCs/>
          <w:sz w:val="20"/>
          <w:szCs w:val="20"/>
          <w:lang w:eastAsia="en-US"/>
        </w:rPr>
        <w:t xml:space="preserve"> </w:t>
      </w:r>
      <w:proofErr w:type="spellStart"/>
      <w:r w:rsidRPr="007A2F89">
        <w:rPr>
          <w:rFonts w:eastAsia="Calibri"/>
          <w:i/>
          <w:iCs/>
          <w:sz w:val="20"/>
          <w:szCs w:val="20"/>
          <w:lang w:eastAsia="en-US"/>
        </w:rPr>
        <w:t>elaboration</w:t>
      </w:r>
      <w:proofErr w:type="spellEnd"/>
    </w:p>
    <w:p w14:paraId="3982FC8E" w14:textId="77777777" w:rsidR="00C3779C" w:rsidRPr="007A2F89" w:rsidRDefault="00C3779C" w:rsidP="007A2F89">
      <w:pPr>
        <w:pStyle w:val="NormaleWeb"/>
        <w:jc w:val="both"/>
        <w:rPr>
          <w:rFonts w:eastAsia="Calibri"/>
          <w:i/>
          <w:iCs/>
          <w:sz w:val="18"/>
          <w:szCs w:val="18"/>
          <w:lang w:eastAsia="en-US"/>
        </w:rPr>
      </w:pPr>
    </w:p>
    <w:p w14:paraId="3E32BB56" w14:textId="39C41147" w:rsidR="00A918CB" w:rsidRPr="007A2F89" w:rsidRDefault="00C3779C" w:rsidP="007A2F89">
      <w:pPr>
        <w:pStyle w:val="NormaleWeb"/>
        <w:jc w:val="both"/>
        <w:rPr>
          <w:lang w:val="en-GB"/>
        </w:rPr>
      </w:pPr>
      <w:r w:rsidRPr="007A2F89">
        <w:rPr>
          <w:lang w:val="en-GB"/>
        </w:rPr>
        <w:t xml:space="preserve">Table 4 shows the values ​​from the VIF analysis computed for the independent variable and the control variables </w:t>
      </w:r>
      <w:r w:rsidR="0036190D" w:rsidRPr="007A2F89">
        <w:rPr>
          <w:lang w:val="en-GB"/>
        </w:rPr>
        <w:t>analysed</w:t>
      </w:r>
      <w:r w:rsidR="00520ED5" w:rsidRPr="007A2F89">
        <w:rPr>
          <w:lang w:val="en-GB"/>
        </w:rPr>
        <w:t xml:space="preserve">. </w:t>
      </w:r>
      <w:r w:rsidRPr="007A2F89">
        <w:rPr>
          <w:lang w:val="en-GB"/>
        </w:rPr>
        <w:t xml:space="preserve">The results show that the VIF </w:t>
      </w:r>
      <w:r w:rsidR="0036190D" w:rsidRPr="007A2F89">
        <w:rPr>
          <w:lang w:val="en-GB"/>
        </w:rPr>
        <w:t>coefficients, for</w:t>
      </w:r>
      <w:r w:rsidRPr="007A2F89">
        <w:rPr>
          <w:lang w:val="en-GB"/>
        </w:rPr>
        <w:t xml:space="preserve"> each variable and the mean value</w:t>
      </w:r>
      <w:r w:rsidR="0036190D" w:rsidRPr="007A2F89">
        <w:rPr>
          <w:lang w:val="en-GB"/>
        </w:rPr>
        <w:t>,</w:t>
      </w:r>
      <w:r w:rsidRPr="007A2F89">
        <w:rPr>
          <w:lang w:val="en-GB"/>
        </w:rPr>
        <w:t xml:space="preserve"> are lower than the </w:t>
      </w:r>
      <w:proofErr w:type="spellStart"/>
      <w:r w:rsidRPr="007A2F89">
        <w:rPr>
          <w:lang w:val="en-GB"/>
        </w:rPr>
        <w:t>cutoff</w:t>
      </w:r>
      <w:proofErr w:type="spellEnd"/>
      <w:r w:rsidRPr="007A2F89">
        <w:rPr>
          <w:lang w:val="en-GB"/>
        </w:rPr>
        <w:t xml:space="preserve"> value of 4 (VIF &lt;4), as well as the values ​​of 1 / VIF are higher than 0.2, traditionally considered as limit values ​​</w:t>
      </w:r>
      <w:r w:rsidR="00E0633A" w:rsidRPr="007A2F89">
        <w:rPr>
          <w:lang w:val="en-GB"/>
        </w:rPr>
        <w:t>to</w:t>
      </w:r>
      <w:r w:rsidRPr="007A2F89">
        <w:rPr>
          <w:lang w:val="en-GB"/>
        </w:rPr>
        <w:t xml:space="preserve"> verify the presence of multicollinearity </w:t>
      </w:r>
      <w:r w:rsidR="00520ED5" w:rsidRPr="007A2F89">
        <w:rPr>
          <w:lang w:val="en-GB"/>
        </w:rPr>
        <w:t>(Hair et al., 2010).</w:t>
      </w:r>
    </w:p>
    <w:p w14:paraId="00011772" w14:textId="77777777" w:rsidR="00D120A0" w:rsidRPr="007A2F89" w:rsidRDefault="00D120A0" w:rsidP="007A2F89">
      <w:pPr>
        <w:pStyle w:val="NormaleWeb"/>
        <w:jc w:val="both"/>
        <w:rPr>
          <w:rFonts w:eastAsia="Calibri"/>
          <w:iCs/>
          <w:sz w:val="22"/>
          <w:szCs w:val="22"/>
          <w:lang w:val="en-GB" w:eastAsia="en-GB"/>
        </w:rPr>
      </w:pPr>
    </w:p>
    <w:p w14:paraId="06D531B0" w14:textId="179E4D83" w:rsidR="00520ED5" w:rsidRPr="007A2F89" w:rsidRDefault="00520ED5" w:rsidP="007A2F89">
      <w:pPr>
        <w:pStyle w:val="NormaleWeb"/>
        <w:spacing w:after="120"/>
        <w:jc w:val="both"/>
        <w:rPr>
          <w:i/>
          <w:iCs/>
          <w:sz w:val="20"/>
          <w:szCs w:val="20"/>
          <w:lang w:val="en-GB"/>
        </w:rPr>
      </w:pPr>
      <w:r w:rsidRPr="007A2F89">
        <w:rPr>
          <w:i/>
          <w:iCs/>
          <w:sz w:val="20"/>
          <w:szCs w:val="20"/>
          <w:lang w:val="en-GB"/>
        </w:rPr>
        <w:t>Tab</w:t>
      </w:r>
      <w:r w:rsidR="008C3C0E" w:rsidRPr="007A2F89">
        <w:rPr>
          <w:i/>
          <w:iCs/>
          <w:sz w:val="20"/>
          <w:szCs w:val="20"/>
          <w:lang w:val="en-GB"/>
        </w:rPr>
        <w:t>.</w:t>
      </w:r>
      <w:r w:rsidRPr="007A2F89">
        <w:rPr>
          <w:i/>
          <w:iCs/>
          <w:sz w:val="20"/>
          <w:szCs w:val="20"/>
          <w:lang w:val="en-GB"/>
        </w:rPr>
        <w:t xml:space="preserve"> 4 </w:t>
      </w:r>
      <w:r w:rsidR="008C3C0E" w:rsidRPr="007A2F89">
        <w:rPr>
          <w:i/>
          <w:iCs/>
          <w:sz w:val="20"/>
          <w:szCs w:val="20"/>
          <w:lang w:val="en-GB"/>
        </w:rPr>
        <w:t>-</w:t>
      </w:r>
      <w:r w:rsidRPr="007A2F89">
        <w:rPr>
          <w:i/>
          <w:iCs/>
          <w:sz w:val="20"/>
          <w:szCs w:val="20"/>
          <w:lang w:val="en-GB"/>
        </w:rPr>
        <w:t xml:space="preserve"> </w:t>
      </w:r>
      <w:r w:rsidR="00C3779C" w:rsidRPr="007A2F89">
        <w:rPr>
          <w:i/>
          <w:iCs/>
          <w:sz w:val="20"/>
          <w:szCs w:val="20"/>
          <w:lang w:val="en-GB"/>
        </w:rPr>
        <w:t xml:space="preserve">VIF analysis results </w:t>
      </w:r>
      <w:r w:rsidRPr="007A2F89">
        <w:rPr>
          <w:i/>
          <w:iCs/>
          <w:sz w:val="20"/>
          <w:szCs w:val="20"/>
          <w:lang w:val="en-GB"/>
        </w:rPr>
        <w:t>– Variable Inflation Factor</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50"/>
        <w:gridCol w:w="3686"/>
        <w:gridCol w:w="1276"/>
      </w:tblGrid>
      <w:tr w:rsidR="000A75C9" w:rsidRPr="007A2F89" w14:paraId="17B2D219" w14:textId="77777777" w:rsidTr="000A75C9">
        <w:tc>
          <w:tcPr>
            <w:tcW w:w="1650" w:type="dxa"/>
            <w:tcBorders>
              <w:top w:val="single" w:sz="4" w:space="0" w:color="auto"/>
              <w:bottom w:val="single" w:sz="4" w:space="0" w:color="auto"/>
              <w:right w:val="nil"/>
            </w:tcBorders>
          </w:tcPr>
          <w:p w14:paraId="3BDFD639" w14:textId="31EC5D93" w:rsidR="00520ED5" w:rsidRPr="007A2F89" w:rsidRDefault="00520ED5" w:rsidP="007A2F89">
            <w:pPr>
              <w:rPr>
                <w:i/>
                <w:iCs/>
              </w:rPr>
            </w:pPr>
            <w:r w:rsidRPr="007A2F89">
              <w:rPr>
                <w:i/>
                <w:iCs/>
              </w:rPr>
              <w:t>Variab</w:t>
            </w:r>
            <w:r w:rsidR="00C3779C" w:rsidRPr="007A2F89">
              <w:rPr>
                <w:i/>
                <w:iCs/>
              </w:rPr>
              <w:t>les</w:t>
            </w:r>
          </w:p>
        </w:tc>
        <w:tc>
          <w:tcPr>
            <w:tcW w:w="3686" w:type="dxa"/>
            <w:tcBorders>
              <w:top w:val="single" w:sz="4" w:space="0" w:color="auto"/>
              <w:left w:val="nil"/>
              <w:bottom w:val="single" w:sz="4" w:space="0" w:color="auto"/>
              <w:right w:val="nil"/>
            </w:tcBorders>
          </w:tcPr>
          <w:p w14:paraId="152A25C5" w14:textId="77777777" w:rsidR="00520ED5" w:rsidRPr="007A2F89" w:rsidRDefault="00520ED5" w:rsidP="007A2F89">
            <w:pPr>
              <w:rPr>
                <w:i/>
                <w:iCs/>
              </w:rPr>
            </w:pPr>
            <w:r w:rsidRPr="007A2F89">
              <w:rPr>
                <w:i/>
                <w:iCs/>
              </w:rPr>
              <w:t>VIF</w:t>
            </w:r>
          </w:p>
        </w:tc>
        <w:tc>
          <w:tcPr>
            <w:tcW w:w="1276" w:type="dxa"/>
            <w:tcBorders>
              <w:top w:val="single" w:sz="4" w:space="0" w:color="auto"/>
              <w:left w:val="nil"/>
              <w:bottom w:val="single" w:sz="4" w:space="0" w:color="auto"/>
            </w:tcBorders>
          </w:tcPr>
          <w:p w14:paraId="0CF7C0F9" w14:textId="77777777" w:rsidR="00520ED5" w:rsidRPr="007A2F89" w:rsidRDefault="00520ED5" w:rsidP="007A2F89">
            <w:pPr>
              <w:rPr>
                <w:i/>
                <w:iCs/>
              </w:rPr>
            </w:pPr>
            <w:r w:rsidRPr="007A2F89">
              <w:rPr>
                <w:i/>
                <w:iCs/>
              </w:rPr>
              <w:t>1/VIF</w:t>
            </w:r>
          </w:p>
        </w:tc>
      </w:tr>
      <w:tr w:rsidR="000A75C9" w:rsidRPr="007A2F89" w14:paraId="283A6E90" w14:textId="77777777" w:rsidTr="000A75C9">
        <w:tc>
          <w:tcPr>
            <w:tcW w:w="1650" w:type="dxa"/>
            <w:tcBorders>
              <w:top w:val="single" w:sz="4" w:space="0" w:color="auto"/>
              <w:bottom w:val="nil"/>
              <w:right w:val="nil"/>
            </w:tcBorders>
          </w:tcPr>
          <w:p w14:paraId="4232C10E" w14:textId="77777777" w:rsidR="00520ED5" w:rsidRPr="007A2F89" w:rsidRDefault="00520ED5" w:rsidP="007A2F89">
            <w:r w:rsidRPr="007A2F89">
              <w:t>Chieti</w:t>
            </w:r>
          </w:p>
        </w:tc>
        <w:tc>
          <w:tcPr>
            <w:tcW w:w="3686" w:type="dxa"/>
            <w:tcBorders>
              <w:top w:val="single" w:sz="4" w:space="0" w:color="auto"/>
              <w:left w:val="nil"/>
              <w:bottom w:val="nil"/>
              <w:right w:val="nil"/>
            </w:tcBorders>
          </w:tcPr>
          <w:p w14:paraId="302503DD" w14:textId="77777777" w:rsidR="00520ED5" w:rsidRPr="007A2F89" w:rsidRDefault="00520ED5" w:rsidP="007A2F89">
            <w:r w:rsidRPr="007A2F89">
              <w:t>2.26</w:t>
            </w:r>
          </w:p>
        </w:tc>
        <w:tc>
          <w:tcPr>
            <w:tcW w:w="1276" w:type="dxa"/>
            <w:tcBorders>
              <w:top w:val="single" w:sz="4" w:space="0" w:color="auto"/>
              <w:left w:val="nil"/>
              <w:bottom w:val="nil"/>
            </w:tcBorders>
          </w:tcPr>
          <w:p w14:paraId="1711FD98" w14:textId="4F2A7824" w:rsidR="00520ED5" w:rsidRPr="007A2F89" w:rsidRDefault="00A918CB" w:rsidP="007A2F89">
            <w:r w:rsidRPr="007A2F89">
              <w:t>0.4430</w:t>
            </w:r>
          </w:p>
        </w:tc>
      </w:tr>
      <w:tr w:rsidR="000A75C9" w:rsidRPr="007A2F89" w14:paraId="36764D86" w14:textId="77777777" w:rsidTr="000A75C9">
        <w:tc>
          <w:tcPr>
            <w:tcW w:w="1650" w:type="dxa"/>
            <w:tcBorders>
              <w:top w:val="nil"/>
              <w:bottom w:val="nil"/>
              <w:right w:val="nil"/>
            </w:tcBorders>
          </w:tcPr>
          <w:p w14:paraId="64B04295" w14:textId="77777777" w:rsidR="00520ED5" w:rsidRPr="007A2F89" w:rsidRDefault="00520ED5" w:rsidP="007A2F89">
            <w:r w:rsidRPr="007A2F89">
              <w:t>Teramo</w:t>
            </w:r>
          </w:p>
        </w:tc>
        <w:tc>
          <w:tcPr>
            <w:tcW w:w="3686" w:type="dxa"/>
            <w:tcBorders>
              <w:top w:val="nil"/>
              <w:left w:val="nil"/>
              <w:bottom w:val="nil"/>
              <w:right w:val="nil"/>
            </w:tcBorders>
          </w:tcPr>
          <w:p w14:paraId="58F737C7" w14:textId="77777777" w:rsidR="00520ED5" w:rsidRPr="007A2F89" w:rsidRDefault="00520ED5" w:rsidP="007A2F89">
            <w:r w:rsidRPr="007A2F89">
              <w:t>2.00</w:t>
            </w:r>
          </w:p>
        </w:tc>
        <w:tc>
          <w:tcPr>
            <w:tcW w:w="1276" w:type="dxa"/>
            <w:tcBorders>
              <w:top w:val="nil"/>
              <w:left w:val="nil"/>
              <w:bottom w:val="nil"/>
            </w:tcBorders>
          </w:tcPr>
          <w:p w14:paraId="1F23AB7B" w14:textId="560FB867" w:rsidR="00520ED5" w:rsidRPr="007A2F89" w:rsidRDefault="00A918CB" w:rsidP="007A2F89">
            <w:r w:rsidRPr="007A2F89">
              <w:t>0.499</w:t>
            </w:r>
            <w:r w:rsidR="00EC6690" w:rsidRPr="007A2F89">
              <w:t>9</w:t>
            </w:r>
          </w:p>
        </w:tc>
      </w:tr>
      <w:tr w:rsidR="000A75C9" w:rsidRPr="007A2F89" w14:paraId="02678FCD" w14:textId="77777777" w:rsidTr="000A75C9">
        <w:tc>
          <w:tcPr>
            <w:tcW w:w="1650" w:type="dxa"/>
            <w:tcBorders>
              <w:top w:val="nil"/>
              <w:bottom w:val="nil"/>
              <w:right w:val="nil"/>
            </w:tcBorders>
          </w:tcPr>
          <w:p w14:paraId="7388DE3A" w14:textId="77777777" w:rsidR="00520ED5" w:rsidRPr="007A2F89" w:rsidRDefault="00520ED5" w:rsidP="007A2F89">
            <w:r w:rsidRPr="007A2F89">
              <w:t>Pescara</w:t>
            </w:r>
          </w:p>
        </w:tc>
        <w:tc>
          <w:tcPr>
            <w:tcW w:w="3686" w:type="dxa"/>
            <w:tcBorders>
              <w:top w:val="nil"/>
              <w:left w:val="nil"/>
              <w:bottom w:val="nil"/>
              <w:right w:val="nil"/>
            </w:tcBorders>
          </w:tcPr>
          <w:p w14:paraId="64C23B06" w14:textId="77777777" w:rsidR="00520ED5" w:rsidRPr="007A2F89" w:rsidRDefault="00520ED5" w:rsidP="007A2F89">
            <w:r w:rsidRPr="007A2F89">
              <w:t>1.91</w:t>
            </w:r>
          </w:p>
        </w:tc>
        <w:tc>
          <w:tcPr>
            <w:tcW w:w="1276" w:type="dxa"/>
            <w:tcBorders>
              <w:top w:val="nil"/>
              <w:left w:val="nil"/>
              <w:bottom w:val="nil"/>
            </w:tcBorders>
          </w:tcPr>
          <w:p w14:paraId="0A5F3B03" w14:textId="74AC7D17" w:rsidR="00520ED5" w:rsidRPr="007A2F89" w:rsidRDefault="00A918CB" w:rsidP="007A2F89">
            <w:r w:rsidRPr="007A2F89">
              <w:t>0.5228</w:t>
            </w:r>
          </w:p>
        </w:tc>
      </w:tr>
      <w:tr w:rsidR="000A75C9" w:rsidRPr="007A2F89" w14:paraId="5BC4721C" w14:textId="77777777" w:rsidTr="000A75C9">
        <w:tc>
          <w:tcPr>
            <w:tcW w:w="1650" w:type="dxa"/>
            <w:tcBorders>
              <w:top w:val="nil"/>
              <w:bottom w:val="nil"/>
              <w:right w:val="nil"/>
            </w:tcBorders>
          </w:tcPr>
          <w:p w14:paraId="5A04574E" w14:textId="0CEB6907" w:rsidR="00520ED5" w:rsidRPr="007A2F89" w:rsidRDefault="00A918CB" w:rsidP="007A2F89">
            <w:r w:rsidRPr="007A2F89">
              <w:t>AGE</w:t>
            </w:r>
          </w:p>
        </w:tc>
        <w:tc>
          <w:tcPr>
            <w:tcW w:w="3686" w:type="dxa"/>
            <w:tcBorders>
              <w:top w:val="nil"/>
              <w:left w:val="nil"/>
              <w:bottom w:val="nil"/>
              <w:right w:val="nil"/>
            </w:tcBorders>
          </w:tcPr>
          <w:p w14:paraId="73962F24" w14:textId="77777777" w:rsidR="00520ED5" w:rsidRPr="007A2F89" w:rsidRDefault="00520ED5" w:rsidP="007A2F89">
            <w:r w:rsidRPr="007A2F89">
              <w:t>1.07</w:t>
            </w:r>
          </w:p>
        </w:tc>
        <w:tc>
          <w:tcPr>
            <w:tcW w:w="1276" w:type="dxa"/>
            <w:tcBorders>
              <w:top w:val="nil"/>
              <w:left w:val="nil"/>
              <w:bottom w:val="nil"/>
            </w:tcBorders>
          </w:tcPr>
          <w:p w14:paraId="639B66D2" w14:textId="18150AD2" w:rsidR="00520ED5" w:rsidRPr="007A2F89" w:rsidRDefault="00A918CB" w:rsidP="007A2F89">
            <w:r w:rsidRPr="007A2F89">
              <w:t>0.9303</w:t>
            </w:r>
          </w:p>
        </w:tc>
      </w:tr>
      <w:tr w:rsidR="000A75C9" w:rsidRPr="007A2F89" w14:paraId="71BDF932" w14:textId="77777777" w:rsidTr="00EC6690">
        <w:tc>
          <w:tcPr>
            <w:tcW w:w="1650" w:type="dxa"/>
            <w:tcBorders>
              <w:top w:val="nil"/>
              <w:bottom w:val="nil"/>
              <w:right w:val="nil"/>
            </w:tcBorders>
          </w:tcPr>
          <w:p w14:paraId="1A5A84A0" w14:textId="193BF653" w:rsidR="00520ED5" w:rsidRPr="007A2F89" w:rsidRDefault="00A918CB" w:rsidP="007A2F89">
            <w:r w:rsidRPr="007A2F89">
              <w:t>Employees</w:t>
            </w:r>
          </w:p>
        </w:tc>
        <w:tc>
          <w:tcPr>
            <w:tcW w:w="3686" w:type="dxa"/>
            <w:tcBorders>
              <w:top w:val="nil"/>
              <w:left w:val="nil"/>
              <w:bottom w:val="nil"/>
              <w:right w:val="nil"/>
            </w:tcBorders>
          </w:tcPr>
          <w:p w14:paraId="1D9EA98C" w14:textId="77777777" w:rsidR="00520ED5" w:rsidRPr="007A2F89" w:rsidRDefault="00520ED5" w:rsidP="007A2F89">
            <w:r w:rsidRPr="007A2F89">
              <w:t>1.06</w:t>
            </w:r>
          </w:p>
        </w:tc>
        <w:tc>
          <w:tcPr>
            <w:tcW w:w="1276" w:type="dxa"/>
            <w:tcBorders>
              <w:top w:val="nil"/>
              <w:left w:val="nil"/>
              <w:bottom w:val="nil"/>
            </w:tcBorders>
          </w:tcPr>
          <w:p w14:paraId="6ADB14E8" w14:textId="29F0CAE7" w:rsidR="00520ED5" w:rsidRPr="007A2F89" w:rsidRDefault="00A918CB" w:rsidP="007A2F89">
            <w:r w:rsidRPr="007A2F89">
              <w:t>0.943</w:t>
            </w:r>
            <w:r w:rsidR="00EC6690" w:rsidRPr="007A2F89">
              <w:t>5</w:t>
            </w:r>
          </w:p>
        </w:tc>
      </w:tr>
      <w:tr w:rsidR="000A75C9" w:rsidRPr="007A2F89" w14:paraId="08CA3AC1" w14:textId="77777777" w:rsidTr="00EC6690">
        <w:tc>
          <w:tcPr>
            <w:tcW w:w="1650" w:type="dxa"/>
            <w:tcBorders>
              <w:top w:val="nil"/>
              <w:bottom w:val="nil"/>
              <w:right w:val="nil"/>
            </w:tcBorders>
          </w:tcPr>
          <w:p w14:paraId="200DE92E" w14:textId="77777777" w:rsidR="00520ED5" w:rsidRPr="007A2F89" w:rsidRDefault="00520ED5" w:rsidP="007A2F89">
            <w:r w:rsidRPr="007A2F89">
              <w:t>D/E</w:t>
            </w:r>
          </w:p>
        </w:tc>
        <w:tc>
          <w:tcPr>
            <w:tcW w:w="3686" w:type="dxa"/>
            <w:tcBorders>
              <w:top w:val="nil"/>
              <w:left w:val="nil"/>
              <w:bottom w:val="nil"/>
              <w:right w:val="nil"/>
            </w:tcBorders>
          </w:tcPr>
          <w:p w14:paraId="50B7407C" w14:textId="77777777" w:rsidR="00520ED5" w:rsidRPr="007A2F89" w:rsidRDefault="00520ED5" w:rsidP="007A2F89">
            <w:r w:rsidRPr="007A2F89">
              <w:t>1.01</w:t>
            </w:r>
          </w:p>
        </w:tc>
        <w:tc>
          <w:tcPr>
            <w:tcW w:w="1276" w:type="dxa"/>
            <w:tcBorders>
              <w:top w:val="nil"/>
              <w:left w:val="nil"/>
              <w:bottom w:val="nil"/>
            </w:tcBorders>
          </w:tcPr>
          <w:p w14:paraId="2131A66C" w14:textId="401C67D6" w:rsidR="00520ED5" w:rsidRPr="007A2F89" w:rsidRDefault="00A918CB" w:rsidP="007A2F89">
            <w:r w:rsidRPr="007A2F89">
              <w:t>0.992</w:t>
            </w:r>
            <w:r w:rsidR="00EC6690" w:rsidRPr="007A2F89">
              <w:t>3</w:t>
            </w:r>
          </w:p>
        </w:tc>
      </w:tr>
      <w:tr w:rsidR="000A75C9" w:rsidRPr="007A2F89" w14:paraId="20F008BB" w14:textId="77777777" w:rsidTr="00EC6690">
        <w:tc>
          <w:tcPr>
            <w:tcW w:w="1650" w:type="dxa"/>
            <w:tcBorders>
              <w:top w:val="nil"/>
              <w:bottom w:val="single" w:sz="4" w:space="0" w:color="auto"/>
              <w:right w:val="nil"/>
            </w:tcBorders>
          </w:tcPr>
          <w:p w14:paraId="513CB675" w14:textId="7C27327E" w:rsidR="00520ED5" w:rsidRPr="007A2F89" w:rsidRDefault="00A918CB" w:rsidP="007A2F89">
            <w:r w:rsidRPr="007A2F89">
              <w:t xml:space="preserve">     Mean VIF</w:t>
            </w:r>
          </w:p>
        </w:tc>
        <w:tc>
          <w:tcPr>
            <w:tcW w:w="3686" w:type="dxa"/>
            <w:tcBorders>
              <w:top w:val="nil"/>
              <w:left w:val="nil"/>
              <w:bottom w:val="single" w:sz="4" w:space="0" w:color="auto"/>
              <w:right w:val="nil"/>
            </w:tcBorders>
          </w:tcPr>
          <w:p w14:paraId="21309720" w14:textId="01197C57" w:rsidR="00520ED5" w:rsidRPr="007A2F89" w:rsidRDefault="00A918CB" w:rsidP="007A2F89">
            <w:r w:rsidRPr="007A2F89">
              <w:t xml:space="preserve">                            1.55</w:t>
            </w:r>
          </w:p>
        </w:tc>
        <w:tc>
          <w:tcPr>
            <w:tcW w:w="1276" w:type="dxa"/>
            <w:tcBorders>
              <w:top w:val="nil"/>
              <w:left w:val="nil"/>
              <w:bottom w:val="single" w:sz="4" w:space="0" w:color="auto"/>
            </w:tcBorders>
          </w:tcPr>
          <w:p w14:paraId="60225A53" w14:textId="77777777" w:rsidR="00520ED5" w:rsidRPr="007A2F89" w:rsidRDefault="00520ED5" w:rsidP="007A2F89"/>
        </w:tc>
      </w:tr>
    </w:tbl>
    <w:p w14:paraId="21E50D50" w14:textId="5D2BBF1F" w:rsidR="008C3C0E" w:rsidRPr="007A2F89" w:rsidRDefault="00C3779C" w:rsidP="007A2F89">
      <w:pPr>
        <w:rPr>
          <w:rFonts w:ascii="Times New Roman" w:hAnsi="Times New Roman"/>
          <w:i/>
          <w:iCs/>
          <w:sz w:val="20"/>
          <w:szCs w:val="20"/>
        </w:rPr>
      </w:pPr>
      <w:r w:rsidRPr="007A2F89">
        <w:rPr>
          <w:rFonts w:ascii="Times New Roman" w:hAnsi="Times New Roman"/>
          <w:i/>
          <w:iCs/>
          <w:sz w:val="20"/>
          <w:szCs w:val="20"/>
        </w:rPr>
        <w:t xml:space="preserve">Source: </w:t>
      </w:r>
      <w:proofErr w:type="spellStart"/>
      <w:r w:rsidRPr="007A2F89">
        <w:rPr>
          <w:rFonts w:ascii="Times New Roman" w:hAnsi="Times New Roman"/>
          <w:i/>
          <w:iCs/>
          <w:sz w:val="20"/>
          <w:szCs w:val="20"/>
        </w:rPr>
        <w:t>Author</w:t>
      </w:r>
      <w:r w:rsidR="007A2F89" w:rsidRPr="007A2F89">
        <w:rPr>
          <w:rFonts w:ascii="Times New Roman" w:hAnsi="Times New Roman"/>
          <w:i/>
          <w:iCs/>
          <w:sz w:val="20"/>
          <w:szCs w:val="20"/>
        </w:rPr>
        <w:t>’</w:t>
      </w:r>
      <w:r w:rsidRPr="007A2F89">
        <w:rPr>
          <w:rFonts w:ascii="Times New Roman" w:hAnsi="Times New Roman"/>
          <w:i/>
          <w:iCs/>
          <w:sz w:val="20"/>
          <w:szCs w:val="20"/>
        </w:rPr>
        <w:t>s</w:t>
      </w:r>
      <w:proofErr w:type="spellEnd"/>
      <w:r w:rsidRPr="007A2F89">
        <w:rPr>
          <w:rFonts w:ascii="Times New Roman" w:hAnsi="Times New Roman"/>
          <w:i/>
          <w:iCs/>
          <w:sz w:val="20"/>
          <w:szCs w:val="20"/>
        </w:rPr>
        <w:t xml:space="preserve"> </w:t>
      </w:r>
      <w:proofErr w:type="spellStart"/>
      <w:r w:rsidRPr="007A2F89">
        <w:rPr>
          <w:rFonts w:ascii="Times New Roman" w:hAnsi="Times New Roman"/>
          <w:i/>
          <w:iCs/>
          <w:sz w:val="20"/>
          <w:szCs w:val="20"/>
        </w:rPr>
        <w:t>elaboration</w:t>
      </w:r>
      <w:proofErr w:type="spellEnd"/>
    </w:p>
    <w:p w14:paraId="68E4858A" w14:textId="77777777" w:rsidR="00C3779C" w:rsidRPr="007A2F89" w:rsidRDefault="00C3779C" w:rsidP="007A2F89">
      <w:pPr>
        <w:rPr>
          <w:rFonts w:ascii="Times New Roman" w:hAnsi="Times New Roman"/>
          <w:b/>
          <w:bCs/>
          <w:sz w:val="18"/>
          <w:szCs w:val="18"/>
        </w:rPr>
      </w:pPr>
    </w:p>
    <w:p w14:paraId="12903EB8" w14:textId="47239951" w:rsidR="00520ED5" w:rsidRPr="007A2F89" w:rsidRDefault="00C3779C" w:rsidP="007A2F89">
      <w:pPr>
        <w:pStyle w:val="NormaleWeb"/>
        <w:jc w:val="both"/>
        <w:rPr>
          <w:lang w:val="en-GB"/>
        </w:rPr>
      </w:pPr>
      <w:r w:rsidRPr="007A2F89">
        <w:rPr>
          <w:lang w:val="en-GB"/>
        </w:rPr>
        <w:t>Table 5 shows the Pearson</w:t>
      </w:r>
      <w:r w:rsidR="007A2F89" w:rsidRPr="007A2F89">
        <w:rPr>
          <w:lang w:val="en-GB"/>
        </w:rPr>
        <w:t>’</w:t>
      </w:r>
      <w:r w:rsidR="000F37B0" w:rsidRPr="007A2F89">
        <w:rPr>
          <w:lang w:val="en-GB"/>
        </w:rPr>
        <w:t>s</w:t>
      </w:r>
      <w:r w:rsidRPr="007A2F89">
        <w:rPr>
          <w:lang w:val="en-GB"/>
        </w:rPr>
        <w:t xml:space="preserve"> bivariate correlation</w:t>
      </w:r>
      <w:r w:rsidR="000F37B0" w:rsidRPr="007A2F89">
        <w:rPr>
          <w:lang w:val="en-GB"/>
        </w:rPr>
        <w:t xml:space="preserve"> matrix: </w:t>
      </w:r>
      <w:r w:rsidRPr="007A2F89">
        <w:rPr>
          <w:lang w:val="en-GB"/>
        </w:rPr>
        <w:t>the absence of high and significant correlation ​​between the predictors and the control variables suggests that multicollinearity doesn</w:t>
      </w:r>
      <w:r w:rsidR="007A2F89" w:rsidRPr="007A2F89">
        <w:rPr>
          <w:lang w:val="en-GB"/>
        </w:rPr>
        <w:t>’</w:t>
      </w:r>
      <w:r w:rsidRPr="007A2F89">
        <w:rPr>
          <w:lang w:val="en-GB"/>
        </w:rPr>
        <w:t xml:space="preserve">t represent a </w:t>
      </w:r>
      <w:r w:rsidR="0036190D" w:rsidRPr="007A2F89">
        <w:rPr>
          <w:lang w:val="en-GB"/>
        </w:rPr>
        <w:t>critical issue</w:t>
      </w:r>
      <w:r w:rsidRPr="007A2F89">
        <w:rPr>
          <w:lang w:val="en-GB"/>
        </w:rPr>
        <w:t>.</w:t>
      </w:r>
      <w:r w:rsidR="00520ED5" w:rsidRPr="007A2F89">
        <w:rPr>
          <w:lang w:val="en-GB"/>
        </w:rPr>
        <w:t xml:space="preserve"> </w:t>
      </w:r>
      <w:r w:rsidRPr="007A2F89">
        <w:rPr>
          <w:lang w:val="en-GB"/>
        </w:rPr>
        <w:t>Therefore, it is possible to conduct the empirical analysis according to the models and the estimation method defined in the previous section.</w:t>
      </w:r>
    </w:p>
    <w:p w14:paraId="47BB34A2" w14:textId="77777777" w:rsidR="00F74CD7" w:rsidRPr="007A2F89" w:rsidRDefault="00F74CD7" w:rsidP="007A2F89">
      <w:pPr>
        <w:widowControl w:val="0"/>
        <w:rPr>
          <w:rFonts w:ascii="Times New Roman" w:hAnsi="Times New Roman"/>
          <w:lang w:val="en-GB"/>
        </w:rPr>
      </w:pPr>
    </w:p>
    <w:p w14:paraId="6911EE1C" w14:textId="728CED47" w:rsidR="00520ED5" w:rsidRPr="007A2F89" w:rsidRDefault="00520ED5" w:rsidP="007A2F89">
      <w:pPr>
        <w:spacing w:after="120"/>
        <w:rPr>
          <w:rFonts w:ascii="Times New Roman" w:hAnsi="Times New Roman"/>
          <w:i/>
          <w:iCs/>
          <w:sz w:val="20"/>
          <w:szCs w:val="20"/>
          <w:lang w:val="en-GB"/>
        </w:rPr>
      </w:pPr>
      <w:r w:rsidRPr="007A2F89">
        <w:rPr>
          <w:rFonts w:ascii="Times New Roman" w:hAnsi="Times New Roman"/>
          <w:i/>
          <w:iCs/>
          <w:sz w:val="20"/>
          <w:szCs w:val="20"/>
          <w:lang w:val="en-GB"/>
        </w:rPr>
        <w:t>Tab</w:t>
      </w:r>
      <w:r w:rsidR="00E7431C" w:rsidRPr="007A2F89">
        <w:rPr>
          <w:rFonts w:ascii="Times New Roman" w:hAnsi="Times New Roman"/>
          <w:i/>
          <w:iCs/>
          <w:sz w:val="20"/>
          <w:szCs w:val="20"/>
          <w:lang w:val="en-GB"/>
        </w:rPr>
        <w:t>le</w:t>
      </w:r>
      <w:r w:rsidRPr="007A2F89">
        <w:rPr>
          <w:rFonts w:ascii="Times New Roman" w:hAnsi="Times New Roman"/>
          <w:i/>
          <w:iCs/>
          <w:sz w:val="20"/>
          <w:szCs w:val="20"/>
          <w:lang w:val="en-GB"/>
        </w:rPr>
        <w:t xml:space="preserve"> 5 </w:t>
      </w:r>
      <w:r w:rsidR="000F37B0" w:rsidRPr="007A2F89">
        <w:rPr>
          <w:rFonts w:ascii="Times New Roman" w:hAnsi="Times New Roman"/>
          <w:i/>
          <w:iCs/>
          <w:sz w:val="20"/>
          <w:szCs w:val="20"/>
          <w:lang w:val="en-GB"/>
        </w:rPr>
        <w:t>–</w:t>
      </w:r>
      <w:r w:rsidRPr="007A2F89">
        <w:rPr>
          <w:rFonts w:ascii="Times New Roman" w:hAnsi="Times New Roman"/>
          <w:i/>
          <w:iCs/>
          <w:sz w:val="20"/>
          <w:szCs w:val="20"/>
          <w:lang w:val="en-GB"/>
        </w:rPr>
        <w:t xml:space="preserve"> </w:t>
      </w:r>
      <w:r w:rsidR="00F131F6" w:rsidRPr="007A2F89">
        <w:rPr>
          <w:rFonts w:ascii="Times New Roman" w:hAnsi="Times New Roman"/>
          <w:i/>
          <w:iCs/>
          <w:sz w:val="20"/>
          <w:szCs w:val="20"/>
          <w:lang w:val="en-GB"/>
        </w:rPr>
        <w:t>Pearson</w:t>
      </w:r>
      <w:r w:rsidR="007A2F89" w:rsidRPr="007A2F89">
        <w:rPr>
          <w:rFonts w:ascii="Times New Roman" w:hAnsi="Times New Roman"/>
          <w:i/>
          <w:iCs/>
          <w:sz w:val="20"/>
          <w:szCs w:val="20"/>
          <w:lang w:val="en-GB"/>
        </w:rPr>
        <w:t>’</w:t>
      </w:r>
      <w:r w:rsidR="00F131F6" w:rsidRPr="007A2F89">
        <w:rPr>
          <w:rFonts w:ascii="Times New Roman" w:hAnsi="Times New Roman"/>
          <w:i/>
          <w:iCs/>
          <w:sz w:val="20"/>
          <w:szCs w:val="20"/>
          <w:lang w:val="en-GB"/>
        </w:rPr>
        <w:t>s bivariate correlation matrix</w:t>
      </w:r>
    </w:p>
    <w:tbl>
      <w:tblPr>
        <w:tblStyle w:val="Grigliatabella"/>
        <w:tblW w:w="2360"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52"/>
        <w:gridCol w:w="452"/>
        <w:gridCol w:w="452"/>
        <w:gridCol w:w="452"/>
        <w:gridCol w:w="452"/>
        <w:gridCol w:w="452"/>
        <w:gridCol w:w="452"/>
        <w:gridCol w:w="452"/>
        <w:gridCol w:w="452"/>
        <w:gridCol w:w="452"/>
      </w:tblGrid>
      <w:tr w:rsidR="00520ED5" w:rsidRPr="007A2F89" w14:paraId="11D17DCD" w14:textId="77777777" w:rsidTr="000F37B0">
        <w:trPr>
          <w:cantSplit/>
          <w:trHeight w:val="907"/>
          <w:jc w:val="center"/>
        </w:trPr>
        <w:tc>
          <w:tcPr>
            <w:tcW w:w="236" w:type="dxa"/>
            <w:tcBorders>
              <w:right w:val="single" w:sz="4" w:space="0" w:color="auto"/>
            </w:tcBorders>
            <w:textDirection w:val="btLr"/>
          </w:tcPr>
          <w:p w14:paraId="6FE88BC0" w14:textId="77777777" w:rsidR="00520ED5" w:rsidRPr="007A2F89" w:rsidRDefault="00520ED5" w:rsidP="007A2F89">
            <w:pPr>
              <w:ind w:right="113"/>
              <w:rPr>
                <w:i/>
                <w:iCs/>
                <w:sz w:val="20"/>
                <w:szCs w:val="20"/>
              </w:rPr>
            </w:pPr>
            <w:r w:rsidRPr="007A2F89">
              <w:rPr>
                <w:i/>
                <w:iCs/>
                <w:sz w:val="20"/>
                <w:szCs w:val="20"/>
              </w:rPr>
              <w:t>9</w:t>
            </w:r>
          </w:p>
        </w:tc>
        <w:tc>
          <w:tcPr>
            <w:tcW w:w="236" w:type="dxa"/>
            <w:tcBorders>
              <w:left w:val="single" w:sz="4" w:space="0" w:color="auto"/>
            </w:tcBorders>
            <w:textDirection w:val="btLr"/>
          </w:tcPr>
          <w:p w14:paraId="47462DF3" w14:textId="77777777" w:rsidR="00520ED5" w:rsidRPr="007A2F89" w:rsidRDefault="00520ED5" w:rsidP="007A2F89">
            <w:pPr>
              <w:ind w:right="113"/>
              <w:rPr>
                <w:sz w:val="20"/>
                <w:szCs w:val="20"/>
              </w:rPr>
            </w:pPr>
          </w:p>
        </w:tc>
        <w:tc>
          <w:tcPr>
            <w:tcW w:w="236" w:type="dxa"/>
            <w:textDirection w:val="btLr"/>
          </w:tcPr>
          <w:p w14:paraId="6A5D9E03" w14:textId="77777777" w:rsidR="00520ED5" w:rsidRPr="007A2F89" w:rsidRDefault="00520ED5" w:rsidP="007A2F89">
            <w:pPr>
              <w:ind w:right="113"/>
              <w:rPr>
                <w:sz w:val="20"/>
                <w:szCs w:val="20"/>
              </w:rPr>
            </w:pPr>
          </w:p>
        </w:tc>
        <w:tc>
          <w:tcPr>
            <w:tcW w:w="236" w:type="dxa"/>
            <w:textDirection w:val="btLr"/>
          </w:tcPr>
          <w:p w14:paraId="2483D805" w14:textId="77777777" w:rsidR="00520ED5" w:rsidRPr="007A2F89" w:rsidRDefault="00520ED5" w:rsidP="007A2F89">
            <w:pPr>
              <w:ind w:right="113"/>
              <w:rPr>
                <w:sz w:val="20"/>
                <w:szCs w:val="20"/>
              </w:rPr>
            </w:pPr>
          </w:p>
        </w:tc>
        <w:tc>
          <w:tcPr>
            <w:tcW w:w="236" w:type="dxa"/>
            <w:textDirection w:val="btLr"/>
          </w:tcPr>
          <w:p w14:paraId="7103061D" w14:textId="77777777" w:rsidR="00520ED5" w:rsidRPr="007A2F89" w:rsidRDefault="00520ED5" w:rsidP="007A2F89">
            <w:pPr>
              <w:ind w:right="113"/>
              <w:rPr>
                <w:sz w:val="20"/>
                <w:szCs w:val="20"/>
              </w:rPr>
            </w:pPr>
          </w:p>
        </w:tc>
        <w:tc>
          <w:tcPr>
            <w:tcW w:w="236" w:type="dxa"/>
            <w:textDirection w:val="btLr"/>
          </w:tcPr>
          <w:p w14:paraId="1C0E7F9F" w14:textId="77777777" w:rsidR="00520ED5" w:rsidRPr="007A2F89" w:rsidRDefault="00520ED5" w:rsidP="007A2F89">
            <w:pPr>
              <w:ind w:right="113"/>
              <w:rPr>
                <w:sz w:val="20"/>
                <w:szCs w:val="20"/>
              </w:rPr>
            </w:pPr>
          </w:p>
        </w:tc>
        <w:tc>
          <w:tcPr>
            <w:tcW w:w="236" w:type="dxa"/>
            <w:textDirection w:val="btLr"/>
          </w:tcPr>
          <w:p w14:paraId="7342BE9D" w14:textId="77777777" w:rsidR="00520ED5" w:rsidRPr="007A2F89" w:rsidRDefault="00520ED5" w:rsidP="007A2F89">
            <w:pPr>
              <w:ind w:right="113"/>
              <w:rPr>
                <w:sz w:val="20"/>
                <w:szCs w:val="20"/>
              </w:rPr>
            </w:pPr>
          </w:p>
        </w:tc>
        <w:tc>
          <w:tcPr>
            <w:tcW w:w="236" w:type="dxa"/>
            <w:textDirection w:val="btLr"/>
          </w:tcPr>
          <w:p w14:paraId="629794A7" w14:textId="77777777" w:rsidR="00520ED5" w:rsidRPr="007A2F89" w:rsidRDefault="00520ED5" w:rsidP="007A2F89">
            <w:pPr>
              <w:ind w:right="113"/>
              <w:rPr>
                <w:sz w:val="20"/>
                <w:szCs w:val="20"/>
              </w:rPr>
            </w:pPr>
          </w:p>
        </w:tc>
        <w:tc>
          <w:tcPr>
            <w:tcW w:w="236" w:type="dxa"/>
            <w:textDirection w:val="btLr"/>
          </w:tcPr>
          <w:p w14:paraId="6C2EC22D" w14:textId="77777777" w:rsidR="00520ED5" w:rsidRPr="007A2F89" w:rsidRDefault="00520ED5" w:rsidP="007A2F89">
            <w:pPr>
              <w:ind w:right="113"/>
              <w:rPr>
                <w:sz w:val="20"/>
                <w:szCs w:val="20"/>
              </w:rPr>
            </w:pPr>
          </w:p>
        </w:tc>
        <w:tc>
          <w:tcPr>
            <w:tcW w:w="236" w:type="dxa"/>
            <w:textDirection w:val="btLr"/>
          </w:tcPr>
          <w:p w14:paraId="58DC2DAF" w14:textId="3DF80990" w:rsidR="00520ED5" w:rsidRPr="007A2F89" w:rsidRDefault="00275D4A" w:rsidP="007A2F89">
            <w:pPr>
              <w:ind w:right="113"/>
              <w:rPr>
                <w:sz w:val="20"/>
                <w:szCs w:val="20"/>
              </w:rPr>
            </w:pPr>
            <w:r w:rsidRPr="007A2F89">
              <w:rPr>
                <w:sz w:val="20"/>
                <w:szCs w:val="20"/>
              </w:rPr>
              <w:t>1.0000</w:t>
            </w:r>
          </w:p>
        </w:tc>
      </w:tr>
      <w:tr w:rsidR="00520ED5" w:rsidRPr="007A2F89" w14:paraId="4D8A2E05" w14:textId="77777777" w:rsidTr="000F37B0">
        <w:trPr>
          <w:cantSplit/>
          <w:trHeight w:val="907"/>
          <w:jc w:val="center"/>
        </w:trPr>
        <w:tc>
          <w:tcPr>
            <w:tcW w:w="236" w:type="dxa"/>
            <w:tcBorders>
              <w:right w:val="single" w:sz="4" w:space="0" w:color="auto"/>
            </w:tcBorders>
            <w:textDirection w:val="btLr"/>
          </w:tcPr>
          <w:p w14:paraId="2CD3D22D" w14:textId="77777777" w:rsidR="00520ED5" w:rsidRPr="007A2F89" w:rsidRDefault="00520ED5" w:rsidP="007A2F89">
            <w:pPr>
              <w:ind w:right="113"/>
              <w:rPr>
                <w:i/>
                <w:iCs/>
                <w:sz w:val="20"/>
                <w:szCs w:val="20"/>
              </w:rPr>
            </w:pPr>
            <w:r w:rsidRPr="007A2F89">
              <w:rPr>
                <w:i/>
                <w:iCs/>
                <w:sz w:val="20"/>
                <w:szCs w:val="20"/>
              </w:rPr>
              <w:t>8</w:t>
            </w:r>
          </w:p>
        </w:tc>
        <w:tc>
          <w:tcPr>
            <w:tcW w:w="236" w:type="dxa"/>
            <w:tcBorders>
              <w:left w:val="single" w:sz="4" w:space="0" w:color="auto"/>
            </w:tcBorders>
            <w:textDirection w:val="btLr"/>
          </w:tcPr>
          <w:p w14:paraId="5532E4BC" w14:textId="77777777" w:rsidR="00520ED5" w:rsidRPr="007A2F89" w:rsidRDefault="00520ED5" w:rsidP="007A2F89">
            <w:pPr>
              <w:ind w:right="113"/>
              <w:rPr>
                <w:sz w:val="20"/>
                <w:szCs w:val="20"/>
              </w:rPr>
            </w:pPr>
          </w:p>
        </w:tc>
        <w:tc>
          <w:tcPr>
            <w:tcW w:w="236" w:type="dxa"/>
            <w:textDirection w:val="btLr"/>
          </w:tcPr>
          <w:p w14:paraId="1C7DD8B7" w14:textId="77777777" w:rsidR="00520ED5" w:rsidRPr="007A2F89" w:rsidRDefault="00520ED5" w:rsidP="007A2F89">
            <w:pPr>
              <w:ind w:right="113"/>
              <w:rPr>
                <w:sz w:val="20"/>
                <w:szCs w:val="20"/>
              </w:rPr>
            </w:pPr>
          </w:p>
        </w:tc>
        <w:tc>
          <w:tcPr>
            <w:tcW w:w="236" w:type="dxa"/>
            <w:textDirection w:val="btLr"/>
          </w:tcPr>
          <w:p w14:paraId="22EFA4D9" w14:textId="77777777" w:rsidR="00520ED5" w:rsidRPr="007A2F89" w:rsidRDefault="00520ED5" w:rsidP="007A2F89">
            <w:pPr>
              <w:ind w:right="113"/>
              <w:rPr>
                <w:sz w:val="20"/>
                <w:szCs w:val="20"/>
              </w:rPr>
            </w:pPr>
          </w:p>
        </w:tc>
        <w:tc>
          <w:tcPr>
            <w:tcW w:w="236" w:type="dxa"/>
            <w:textDirection w:val="btLr"/>
          </w:tcPr>
          <w:p w14:paraId="5E93CD6E" w14:textId="77777777" w:rsidR="00520ED5" w:rsidRPr="007A2F89" w:rsidRDefault="00520ED5" w:rsidP="007A2F89">
            <w:pPr>
              <w:ind w:right="113"/>
              <w:rPr>
                <w:sz w:val="20"/>
                <w:szCs w:val="20"/>
              </w:rPr>
            </w:pPr>
          </w:p>
        </w:tc>
        <w:tc>
          <w:tcPr>
            <w:tcW w:w="236" w:type="dxa"/>
            <w:textDirection w:val="btLr"/>
          </w:tcPr>
          <w:p w14:paraId="673CE26E" w14:textId="77777777" w:rsidR="00520ED5" w:rsidRPr="007A2F89" w:rsidRDefault="00520ED5" w:rsidP="007A2F89">
            <w:pPr>
              <w:ind w:right="113"/>
              <w:rPr>
                <w:sz w:val="20"/>
                <w:szCs w:val="20"/>
              </w:rPr>
            </w:pPr>
          </w:p>
        </w:tc>
        <w:tc>
          <w:tcPr>
            <w:tcW w:w="236" w:type="dxa"/>
            <w:textDirection w:val="btLr"/>
          </w:tcPr>
          <w:p w14:paraId="25C77E43" w14:textId="77777777" w:rsidR="00520ED5" w:rsidRPr="007A2F89" w:rsidRDefault="00520ED5" w:rsidP="007A2F89">
            <w:pPr>
              <w:ind w:right="113"/>
              <w:rPr>
                <w:sz w:val="20"/>
                <w:szCs w:val="20"/>
              </w:rPr>
            </w:pPr>
          </w:p>
        </w:tc>
        <w:tc>
          <w:tcPr>
            <w:tcW w:w="236" w:type="dxa"/>
            <w:tcBorders>
              <w:bottom w:val="nil"/>
            </w:tcBorders>
            <w:textDirection w:val="btLr"/>
          </w:tcPr>
          <w:p w14:paraId="7143A42F" w14:textId="77777777" w:rsidR="00520ED5" w:rsidRPr="007A2F89" w:rsidRDefault="00520ED5" w:rsidP="007A2F89">
            <w:pPr>
              <w:ind w:right="113"/>
              <w:rPr>
                <w:sz w:val="20"/>
                <w:szCs w:val="20"/>
              </w:rPr>
            </w:pPr>
          </w:p>
        </w:tc>
        <w:tc>
          <w:tcPr>
            <w:tcW w:w="236" w:type="dxa"/>
            <w:textDirection w:val="btLr"/>
          </w:tcPr>
          <w:p w14:paraId="4AFE82BB" w14:textId="6D52B1C7" w:rsidR="00520ED5" w:rsidRPr="007A2F89" w:rsidRDefault="00275D4A" w:rsidP="007A2F89">
            <w:pPr>
              <w:ind w:right="113"/>
              <w:rPr>
                <w:sz w:val="20"/>
                <w:szCs w:val="20"/>
              </w:rPr>
            </w:pPr>
            <w:r w:rsidRPr="007A2F89">
              <w:rPr>
                <w:sz w:val="20"/>
                <w:szCs w:val="20"/>
              </w:rPr>
              <w:t>1.0000</w:t>
            </w:r>
          </w:p>
        </w:tc>
        <w:tc>
          <w:tcPr>
            <w:tcW w:w="236" w:type="dxa"/>
            <w:textDirection w:val="btLr"/>
          </w:tcPr>
          <w:p w14:paraId="20EA09E4" w14:textId="1141C81B" w:rsidR="00520ED5" w:rsidRPr="007A2F89" w:rsidRDefault="00275D4A" w:rsidP="007A2F89">
            <w:pPr>
              <w:ind w:right="113"/>
              <w:rPr>
                <w:sz w:val="20"/>
                <w:szCs w:val="20"/>
              </w:rPr>
            </w:pPr>
            <w:r w:rsidRPr="007A2F89">
              <w:rPr>
                <w:sz w:val="20"/>
                <w:szCs w:val="20"/>
              </w:rPr>
              <w:t>-.0275</w:t>
            </w:r>
          </w:p>
        </w:tc>
      </w:tr>
      <w:tr w:rsidR="00520ED5" w:rsidRPr="007A2F89" w14:paraId="52DC03FE" w14:textId="77777777" w:rsidTr="000F37B0">
        <w:trPr>
          <w:cantSplit/>
          <w:trHeight w:val="907"/>
          <w:jc w:val="center"/>
        </w:trPr>
        <w:tc>
          <w:tcPr>
            <w:tcW w:w="236" w:type="dxa"/>
            <w:tcBorders>
              <w:right w:val="single" w:sz="4" w:space="0" w:color="auto"/>
            </w:tcBorders>
            <w:textDirection w:val="btLr"/>
          </w:tcPr>
          <w:p w14:paraId="49144684" w14:textId="77777777" w:rsidR="00520ED5" w:rsidRPr="007A2F89" w:rsidRDefault="00520ED5" w:rsidP="007A2F89">
            <w:pPr>
              <w:ind w:right="113"/>
              <w:rPr>
                <w:i/>
                <w:iCs/>
                <w:sz w:val="20"/>
                <w:szCs w:val="20"/>
              </w:rPr>
            </w:pPr>
            <w:r w:rsidRPr="007A2F89">
              <w:rPr>
                <w:i/>
                <w:iCs/>
                <w:sz w:val="20"/>
                <w:szCs w:val="20"/>
              </w:rPr>
              <w:t>7</w:t>
            </w:r>
          </w:p>
        </w:tc>
        <w:tc>
          <w:tcPr>
            <w:tcW w:w="236" w:type="dxa"/>
            <w:tcBorders>
              <w:left w:val="single" w:sz="4" w:space="0" w:color="auto"/>
            </w:tcBorders>
            <w:textDirection w:val="btLr"/>
          </w:tcPr>
          <w:p w14:paraId="29E2017C" w14:textId="77777777" w:rsidR="00520ED5" w:rsidRPr="007A2F89" w:rsidRDefault="00520ED5" w:rsidP="007A2F89">
            <w:pPr>
              <w:ind w:right="113"/>
              <w:rPr>
                <w:sz w:val="20"/>
                <w:szCs w:val="20"/>
              </w:rPr>
            </w:pPr>
          </w:p>
        </w:tc>
        <w:tc>
          <w:tcPr>
            <w:tcW w:w="236" w:type="dxa"/>
            <w:textDirection w:val="btLr"/>
          </w:tcPr>
          <w:p w14:paraId="5E5FA91E" w14:textId="77777777" w:rsidR="00520ED5" w:rsidRPr="007A2F89" w:rsidRDefault="00520ED5" w:rsidP="007A2F89">
            <w:pPr>
              <w:ind w:right="113"/>
              <w:rPr>
                <w:sz w:val="20"/>
                <w:szCs w:val="20"/>
              </w:rPr>
            </w:pPr>
          </w:p>
        </w:tc>
        <w:tc>
          <w:tcPr>
            <w:tcW w:w="236" w:type="dxa"/>
            <w:textDirection w:val="btLr"/>
          </w:tcPr>
          <w:p w14:paraId="16E7D126" w14:textId="77777777" w:rsidR="00520ED5" w:rsidRPr="007A2F89" w:rsidRDefault="00520ED5" w:rsidP="007A2F89">
            <w:pPr>
              <w:ind w:right="113"/>
              <w:rPr>
                <w:sz w:val="20"/>
                <w:szCs w:val="20"/>
              </w:rPr>
            </w:pPr>
          </w:p>
        </w:tc>
        <w:tc>
          <w:tcPr>
            <w:tcW w:w="236" w:type="dxa"/>
            <w:textDirection w:val="btLr"/>
          </w:tcPr>
          <w:p w14:paraId="564F4BD6" w14:textId="77777777" w:rsidR="00520ED5" w:rsidRPr="007A2F89" w:rsidRDefault="00520ED5" w:rsidP="007A2F89">
            <w:pPr>
              <w:ind w:right="113"/>
              <w:rPr>
                <w:sz w:val="20"/>
                <w:szCs w:val="20"/>
              </w:rPr>
            </w:pPr>
          </w:p>
        </w:tc>
        <w:tc>
          <w:tcPr>
            <w:tcW w:w="236" w:type="dxa"/>
            <w:textDirection w:val="btLr"/>
          </w:tcPr>
          <w:p w14:paraId="3B1D30F3" w14:textId="77777777" w:rsidR="00520ED5" w:rsidRPr="007A2F89" w:rsidRDefault="00520ED5" w:rsidP="007A2F89">
            <w:pPr>
              <w:ind w:right="113"/>
              <w:rPr>
                <w:sz w:val="20"/>
                <w:szCs w:val="20"/>
              </w:rPr>
            </w:pPr>
          </w:p>
        </w:tc>
        <w:tc>
          <w:tcPr>
            <w:tcW w:w="236" w:type="dxa"/>
            <w:textDirection w:val="btLr"/>
          </w:tcPr>
          <w:p w14:paraId="69EBBCCE" w14:textId="77777777" w:rsidR="00520ED5" w:rsidRPr="007A2F89" w:rsidRDefault="00520ED5" w:rsidP="007A2F89">
            <w:pPr>
              <w:ind w:right="113"/>
              <w:rPr>
                <w:sz w:val="20"/>
                <w:szCs w:val="20"/>
              </w:rPr>
            </w:pPr>
          </w:p>
        </w:tc>
        <w:tc>
          <w:tcPr>
            <w:tcW w:w="236" w:type="dxa"/>
            <w:tcBorders>
              <w:bottom w:val="nil"/>
              <w:right w:val="nil"/>
            </w:tcBorders>
            <w:textDirection w:val="btLr"/>
          </w:tcPr>
          <w:p w14:paraId="13B72592" w14:textId="77777777" w:rsidR="00520ED5" w:rsidRPr="007A2F89" w:rsidRDefault="00520ED5" w:rsidP="007A2F89">
            <w:pPr>
              <w:ind w:right="113"/>
              <w:rPr>
                <w:sz w:val="20"/>
                <w:szCs w:val="20"/>
              </w:rPr>
            </w:pPr>
            <w:r w:rsidRPr="007A2F89">
              <w:rPr>
                <w:sz w:val="20"/>
                <w:szCs w:val="20"/>
              </w:rPr>
              <w:t>1.0000</w:t>
            </w:r>
          </w:p>
        </w:tc>
        <w:tc>
          <w:tcPr>
            <w:tcW w:w="236" w:type="dxa"/>
            <w:tcBorders>
              <w:left w:val="nil"/>
            </w:tcBorders>
            <w:textDirection w:val="btLr"/>
          </w:tcPr>
          <w:p w14:paraId="742919BE" w14:textId="6A8188B2" w:rsidR="00520ED5" w:rsidRPr="007A2F89" w:rsidRDefault="00275D4A" w:rsidP="007A2F89">
            <w:pPr>
              <w:ind w:right="113"/>
              <w:rPr>
                <w:sz w:val="20"/>
                <w:szCs w:val="20"/>
              </w:rPr>
            </w:pPr>
            <w:r w:rsidRPr="007A2F89">
              <w:rPr>
                <w:sz w:val="20"/>
                <w:szCs w:val="20"/>
              </w:rPr>
              <w:t>-.2068*</w:t>
            </w:r>
          </w:p>
        </w:tc>
        <w:tc>
          <w:tcPr>
            <w:tcW w:w="236" w:type="dxa"/>
            <w:textDirection w:val="btLr"/>
          </w:tcPr>
          <w:p w14:paraId="67CD87B4" w14:textId="0665FA58" w:rsidR="00520ED5" w:rsidRPr="007A2F89" w:rsidRDefault="00275D4A" w:rsidP="007A2F89">
            <w:pPr>
              <w:ind w:right="113"/>
              <w:rPr>
                <w:sz w:val="20"/>
                <w:szCs w:val="20"/>
              </w:rPr>
            </w:pPr>
            <w:r w:rsidRPr="007A2F89">
              <w:rPr>
                <w:sz w:val="20"/>
                <w:szCs w:val="20"/>
              </w:rPr>
              <w:t>.0352*</w:t>
            </w:r>
          </w:p>
        </w:tc>
      </w:tr>
      <w:tr w:rsidR="00520ED5" w:rsidRPr="007A2F89" w14:paraId="681E7A85" w14:textId="77777777" w:rsidTr="000F37B0">
        <w:trPr>
          <w:cantSplit/>
          <w:trHeight w:val="907"/>
          <w:jc w:val="center"/>
        </w:trPr>
        <w:tc>
          <w:tcPr>
            <w:tcW w:w="236" w:type="dxa"/>
            <w:tcBorders>
              <w:right w:val="single" w:sz="4" w:space="0" w:color="auto"/>
            </w:tcBorders>
            <w:textDirection w:val="btLr"/>
          </w:tcPr>
          <w:p w14:paraId="5D920DEC" w14:textId="77777777" w:rsidR="00520ED5" w:rsidRPr="007A2F89" w:rsidRDefault="00520ED5" w:rsidP="007A2F89">
            <w:pPr>
              <w:ind w:right="113"/>
              <w:rPr>
                <w:i/>
                <w:iCs/>
                <w:sz w:val="20"/>
                <w:szCs w:val="20"/>
              </w:rPr>
            </w:pPr>
            <w:r w:rsidRPr="007A2F89">
              <w:rPr>
                <w:i/>
                <w:iCs/>
                <w:sz w:val="20"/>
                <w:szCs w:val="20"/>
              </w:rPr>
              <w:t>6</w:t>
            </w:r>
          </w:p>
        </w:tc>
        <w:tc>
          <w:tcPr>
            <w:tcW w:w="236" w:type="dxa"/>
            <w:tcBorders>
              <w:left w:val="single" w:sz="4" w:space="0" w:color="auto"/>
            </w:tcBorders>
            <w:textDirection w:val="btLr"/>
          </w:tcPr>
          <w:p w14:paraId="472D1118" w14:textId="77777777" w:rsidR="00520ED5" w:rsidRPr="007A2F89" w:rsidRDefault="00520ED5" w:rsidP="007A2F89">
            <w:pPr>
              <w:ind w:right="113"/>
              <w:rPr>
                <w:sz w:val="20"/>
                <w:szCs w:val="20"/>
              </w:rPr>
            </w:pPr>
          </w:p>
        </w:tc>
        <w:tc>
          <w:tcPr>
            <w:tcW w:w="236" w:type="dxa"/>
            <w:textDirection w:val="btLr"/>
          </w:tcPr>
          <w:p w14:paraId="26F590F3" w14:textId="77777777" w:rsidR="00520ED5" w:rsidRPr="007A2F89" w:rsidRDefault="00520ED5" w:rsidP="007A2F89">
            <w:pPr>
              <w:ind w:right="113"/>
              <w:rPr>
                <w:sz w:val="20"/>
                <w:szCs w:val="20"/>
              </w:rPr>
            </w:pPr>
          </w:p>
        </w:tc>
        <w:tc>
          <w:tcPr>
            <w:tcW w:w="236" w:type="dxa"/>
            <w:textDirection w:val="btLr"/>
          </w:tcPr>
          <w:p w14:paraId="35C67BD7" w14:textId="77777777" w:rsidR="00520ED5" w:rsidRPr="007A2F89" w:rsidRDefault="00520ED5" w:rsidP="007A2F89">
            <w:pPr>
              <w:ind w:right="113"/>
              <w:rPr>
                <w:sz w:val="20"/>
                <w:szCs w:val="20"/>
              </w:rPr>
            </w:pPr>
          </w:p>
        </w:tc>
        <w:tc>
          <w:tcPr>
            <w:tcW w:w="236" w:type="dxa"/>
            <w:textDirection w:val="btLr"/>
          </w:tcPr>
          <w:p w14:paraId="1A89BE79" w14:textId="77777777" w:rsidR="00520ED5" w:rsidRPr="007A2F89" w:rsidRDefault="00520ED5" w:rsidP="007A2F89">
            <w:pPr>
              <w:ind w:right="113"/>
              <w:rPr>
                <w:sz w:val="20"/>
                <w:szCs w:val="20"/>
              </w:rPr>
            </w:pPr>
          </w:p>
        </w:tc>
        <w:tc>
          <w:tcPr>
            <w:tcW w:w="236" w:type="dxa"/>
            <w:textDirection w:val="btLr"/>
          </w:tcPr>
          <w:p w14:paraId="315CF9DB" w14:textId="77777777" w:rsidR="00520ED5" w:rsidRPr="007A2F89" w:rsidRDefault="00520ED5" w:rsidP="007A2F89">
            <w:pPr>
              <w:ind w:right="113"/>
              <w:rPr>
                <w:sz w:val="20"/>
                <w:szCs w:val="20"/>
              </w:rPr>
            </w:pPr>
          </w:p>
        </w:tc>
        <w:tc>
          <w:tcPr>
            <w:tcW w:w="236" w:type="dxa"/>
            <w:textDirection w:val="btLr"/>
          </w:tcPr>
          <w:p w14:paraId="56EA0E7D" w14:textId="77777777" w:rsidR="00520ED5" w:rsidRPr="007A2F89" w:rsidRDefault="00520ED5" w:rsidP="007A2F89">
            <w:pPr>
              <w:ind w:right="113"/>
              <w:rPr>
                <w:sz w:val="20"/>
                <w:szCs w:val="20"/>
              </w:rPr>
            </w:pPr>
            <w:r w:rsidRPr="007A2F89">
              <w:rPr>
                <w:sz w:val="20"/>
                <w:szCs w:val="20"/>
              </w:rPr>
              <w:t>1.0000</w:t>
            </w:r>
          </w:p>
        </w:tc>
        <w:tc>
          <w:tcPr>
            <w:tcW w:w="236" w:type="dxa"/>
            <w:tcBorders>
              <w:bottom w:val="nil"/>
              <w:right w:val="nil"/>
            </w:tcBorders>
            <w:textDirection w:val="btLr"/>
          </w:tcPr>
          <w:p w14:paraId="6C3AB9A2" w14:textId="7EADBEE6" w:rsidR="00520ED5" w:rsidRPr="007A2F89" w:rsidRDefault="00520ED5" w:rsidP="007A2F89">
            <w:pPr>
              <w:ind w:right="113"/>
              <w:rPr>
                <w:sz w:val="20"/>
                <w:szCs w:val="20"/>
              </w:rPr>
            </w:pPr>
            <w:r w:rsidRPr="007A2F89">
              <w:rPr>
                <w:sz w:val="20"/>
                <w:szCs w:val="20"/>
              </w:rPr>
              <w:t>-.3592*</w:t>
            </w:r>
          </w:p>
        </w:tc>
        <w:tc>
          <w:tcPr>
            <w:tcW w:w="236" w:type="dxa"/>
            <w:tcBorders>
              <w:left w:val="nil"/>
            </w:tcBorders>
            <w:textDirection w:val="btLr"/>
          </w:tcPr>
          <w:p w14:paraId="23F06F18" w14:textId="4891065B" w:rsidR="00520ED5" w:rsidRPr="007A2F89" w:rsidRDefault="00275D4A" w:rsidP="007A2F89">
            <w:pPr>
              <w:ind w:right="113"/>
              <w:rPr>
                <w:sz w:val="20"/>
                <w:szCs w:val="20"/>
              </w:rPr>
            </w:pPr>
            <w:r w:rsidRPr="007A2F89">
              <w:rPr>
                <w:sz w:val="20"/>
                <w:szCs w:val="20"/>
              </w:rPr>
              <w:t>-.4177*</w:t>
            </w:r>
          </w:p>
        </w:tc>
        <w:tc>
          <w:tcPr>
            <w:tcW w:w="236" w:type="dxa"/>
            <w:textDirection w:val="btLr"/>
          </w:tcPr>
          <w:p w14:paraId="59E2AD48" w14:textId="3B8A6D54" w:rsidR="00520ED5" w:rsidRPr="007A2F89" w:rsidRDefault="00275D4A" w:rsidP="007A2F89">
            <w:pPr>
              <w:ind w:right="113"/>
              <w:rPr>
                <w:sz w:val="20"/>
                <w:szCs w:val="20"/>
              </w:rPr>
            </w:pPr>
            <w:r w:rsidRPr="007A2F89">
              <w:rPr>
                <w:sz w:val="20"/>
                <w:szCs w:val="20"/>
              </w:rPr>
              <w:t>.0100</w:t>
            </w:r>
          </w:p>
        </w:tc>
      </w:tr>
      <w:tr w:rsidR="00520ED5" w:rsidRPr="007A2F89" w14:paraId="4EA4F984" w14:textId="77777777" w:rsidTr="000F37B0">
        <w:trPr>
          <w:cantSplit/>
          <w:trHeight w:val="907"/>
          <w:jc w:val="center"/>
        </w:trPr>
        <w:tc>
          <w:tcPr>
            <w:tcW w:w="236" w:type="dxa"/>
            <w:tcBorders>
              <w:right w:val="single" w:sz="4" w:space="0" w:color="auto"/>
            </w:tcBorders>
            <w:textDirection w:val="btLr"/>
          </w:tcPr>
          <w:p w14:paraId="744F3893" w14:textId="7D66E9F7" w:rsidR="00520ED5" w:rsidRPr="007A2F89" w:rsidRDefault="00520ED5" w:rsidP="007A2F89">
            <w:pPr>
              <w:ind w:right="113"/>
              <w:rPr>
                <w:i/>
                <w:iCs/>
                <w:sz w:val="20"/>
                <w:szCs w:val="20"/>
              </w:rPr>
            </w:pPr>
            <w:r w:rsidRPr="007A2F89">
              <w:rPr>
                <w:i/>
                <w:iCs/>
                <w:sz w:val="20"/>
                <w:szCs w:val="20"/>
              </w:rPr>
              <w:t>5</w:t>
            </w:r>
          </w:p>
        </w:tc>
        <w:tc>
          <w:tcPr>
            <w:tcW w:w="236" w:type="dxa"/>
            <w:tcBorders>
              <w:left w:val="single" w:sz="4" w:space="0" w:color="auto"/>
            </w:tcBorders>
            <w:textDirection w:val="btLr"/>
          </w:tcPr>
          <w:p w14:paraId="1E3A4DB3" w14:textId="77777777" w:rsidR="00520ED5" w:rsidRPr="007A2F89" w:rsidRDefault="00520ED5" w:rsidP="007A2F89">
            <w:pPr>
              <w:ind w:right="113"/>
              <w:rPr>
                <w:sz w:val="20"/>
                <w:szCs w:val="20"/>
              </w:rPr>
            </w:pPr>
          </w:p>
        </w:tc>
        <w:tc>
          <w:tcPr>
            <w:tcW w:w="236" w:type="dxa"/>
            <w:textDirection w:val="btLr"/>
          </w:tcPr>
          <w:p w14:paraId="3DC38DE4" w14:textId="77777777" w:rsidR="00520ED5" w:rsidRPr="007A2F89" w:rsidRDefault="00520ED5" w:rsidP="007A2F89">
            <w:pPr>
              <w:ind w:right="113"/>
              <w:rPr>
                <w:sz w:val="20"/>
                <w:szCs w:val="20"/>
              </w:rPr>
            </w:pPr>
          </w:p>
        </w:tc>
        <w:tc>
          <w:tcPr>
            <w:tcW w:w="236" w:type="dxa"/>
            <w:textDirection w:val="btLr"/>
          </w:tcPr>
          <w:p w14:paraId="122730B5" w14:textId="77777777" w:rsidR="00520ED5" w:rsidRPr="007A2F89" w:rsidRDefault="00520ED5" w:rsidP="007A2F89">
            <w:pPr>
              <w:ind w:right="113"/>
              <w:rPr>
                <w:sz w:val="20"/>
                <w:szCs w:val="20"/>
              </w:rPr>
            </w:pPr>
          </w:p>
        </w:tc>
        <w:tc>
          <w:tcPr>
            <w:tcW w:w="236" w:type="dxa"/>
            <w:textDirection w:val="btLr"/>
          </w:tcPr>
          <w:p w14:paraId="0484512C" w14:textId="77777777" w:rsidR="00520ED5" w:rsidRPr="007A2F89" w:rsidRDefault="00520ED5" w:rsidP="007A2F89">
            <w:pPr>
              <w:ind w:right="113"/>
              <w:rPr>
                <w:sz w:val="20"/>
                <w:szCs w:val="20"/>
              </w:rPr>
            </w:pPr>
          </w:p>
        </w:tc>
        <w:tc>
          <w:tcPr>
            <w:tcW w:w="236" w:type="dxa"/>
            <w:textDirection w:val="btLr"/>
          </w:tcPr>
          <w:p w14:paraId="632AA80D" w14:textId="77777777" w:rsidR="00520ED5" w:rsidRPr="007A2F89" w:rsidRDefault="00520ED5" w:rsidP="007A2F89">
            <w:pPr>
              <w:ind w:right="113"/>
              <w:rPr>
                <w:sz w:val="20"/>
                <w:szCs w:val="20"/>
              </w:rPr>
            </w:pPr>
            <w:r w:rsidRPr="007A2F89">
              <w:rPr>
                <w:sz w:val="20"/>
                <w:szCs w:val="20"/>
              </w:rPr>
              <w:t>1.0000</w:t>
            </w:r>
          </w:p>
        </w:tc>
        <w:tc>
          <w:tcPr>
            <w:tcW w:w="236" w:type="dxa"/>
            <w:textDirection w:val="btLr"/>
          </w:tcPr>
          <w:p w14:paraId="767DD4DC" w14:textId="5C4A9BC4" w:rsidR="00520ED5" w:rsidRPr="007A2F89" w:rsidRDefault="00520ED5" w:rsidP="007A2F89">
            <w:pPr>
              <w:ind w:right="113"/>
              <w:rPr>
                <w:sz w:val="20"/>
                <w:szCs w:val="20"/>
              </w:rPr>
            </w:pPr>
            <w:r w:rsidRPr="007A2F89">
              <w:rPr>
                <w:sz w:val="20"/>
                <w:szCs w:val="20"/>
              </w:rPr>
              <w:t>-.4716*</w:t>
            </w:r>
          </w:p>
        </w:tc>
        <w:tc>
          <w:tcPr>
            <w:tcW w:w="236" w:type="dxa"/>
            <w:tcBorders>
              <w:bottom w:val="nil"/>
              <w:right w:val="nil"/>
            </w:tcBorders>
            <w:textDirection w:val="btLr"/>
          </w:tcPr>
          <w:p w14:paraId="545BE977" w14:textId="35468E7D" w:rsidR="00520ED5" w:rsidRPr="007A2F89" w:rsidRDefault="00520ED5" w:rsidP="007A2F89">
            <w:pPr>
              <w:ind w:right="113"/>
              <w:rPr>
                <w:sz w:val="20"/>
                <w:szCs w:val="20"/>
              </w:rPr>
            </w:pPr>
            <w:r w:rsidRPr="007A2F89">
              <w:rPr>
                <w:sz w:val="20"/>
                <w:szCs w:val="20"/>
              </w:rPr>
              <w:t>-.2336*</w:t>
            </w:r>
          </w:p>
        </w:tc>
        <w:tc>
          <w:tcPr>
            <w:tcW w:w="236" w:type="dxa"/>
            <w:tcBorders>
              <w:left w:val="nil"/>
            </w:tcBorders>
            <w:textDirection w:val="btLr"/>
          </w:tcPr>
          <w:p w14:paraId="651869A6" w14:textId="6ED5148B" w:rsidR="00520ED5" w:rsidRPr="007A2F89" w:rsidRDefault="00275D4A" w:rsidP="007A2F89">
            <w:pPr>
              <w:ind w:right="113"/>
              <w:rPr>
                <w:sz w:val="20"/>
                <w:szCs w:val="20"/>
              </w:rPr>
            </w:pPr>
            <w:r w:rsidRPr="007A2F89">
              <w:rPr>
                <w:sz w:val="20"/>
                <w:szCs w:val="20"/>
              </w:rPr>
              <w:t>-.2716*</w:t>
            </w:r>
          </w:p>
        </w:tc>
        <w:tc>
          <w:tcPr>
            <w:tcW w:w="236" w:type="dxa"/>
            <w:textDirection w:val="btLr"/>
          </w:tcPr>
          <w:p w14:paraId="7499E2F6" w14:textId="7F820F1B" w:rsidR="00520ED5" w:rsidRPr="007A2F89" w:rsidRDefault="00275D4A" w:rsidP="007A2F89">
            <w:pPr>
              <w:ind w:right="113"/>
              <w:rPr>
                <w:sz w:val="20"/>
                <w:szCs w:val="20"/>
              </w:rPr>
            </w:pPr>
            <w:r w:rsidRPr="007A2F89">
              <w:rPr>
                <w:sz w:val="20"/>
                <w:szCs w:val="20"/>
              </w:rPr>
              <w:t>-.0147</w:t>
            </w:r>
          </w:p>
        </w:tc>
      </w:tr>
      <w:tr w:rsidR="00520ED5" w:rsidRPr="007A2F89" w14:paraId="0DFE407E" w14:textId="77777777" w:rsidTr="000F37B0">
        <w:trPr>
          <w:cantSplit/>
          <w:trHeight w:val="907"/>
          <w:jc w:val="center"/>
        </w:trPr>
        <w:tc>
          <w:tcPr>
            <w:tcW w:w="236" w:type="dxa"/>
            <w:tcBorders>
              <w:right w:val="single" w:sz="4" w:space="0" w:color="auto"/>
            </w:tcBorders>
            <w:textDirection w:val="btLr"/>
          </w:tcPr>
          <w:p w14:paraId="2A052A6D" w14:textId="77777777" w:rsidR="00520ED5" w:rsidRPr="007A2F89" w:rsidRDefault="00520ED5" w:rsidP="007A2F89">
            <w:pPr>
              <w:ind w:right="113"/>
              <w:rPr>
                <w:i/>
                <w:iCs/>
                <w:sz w:val="20"/>
                <w:szCs w:val="20"/>
              </w:rPr>
            </w:pPr>
            <w:r w:rsidRPr="007A2F89">
              <w:rPr>
                <w:i/>
                <w:iCs/>
                <w:sz w:val="20"/>
                <w:szCs w:val="20"/>
              </w:rPr>
              <w:t>4</w:t>
            </w:r>
          </w:p>
        </w:tc>
        <w:tc>
          <w:tcPr>
            <w:tcW w:w="236" w:type="dxa"/>
            <w:tcBorders>
              <w:left w:val="single" w:sz="4" w:space="0" w:color="auto"/>
            </w:tcBorders>
            <w:textDirection w:val="btLr"/>
          </w:tcPr>
          <w:p w14:paraId="23395989" w14:textId="77777777" w:rsidR="00520ED5" w:rsidRPr="007A2F89" w:rsidRDefault="00520ED5" w:rsidP="007A2F89">
            <w:pPr>
              <w:ind w:right="113"/>
              <w:rPr>
                <w:sz w:val="20"/>
                <w:szCs w:val="20"/>
              </w:rPr>
            </w:pPr>
          </w:p>
        </w:tc>
        <w:tc>
          <w:tcPr>
            <w:tcW w:w="236" w:type="dxa"/>
            <w:textDirection w:val="btLr"/>
          </w:tcPr>
          <w:p w14:paraId="6A2CB09D" w14:textId="77777777" w:rsidR="00520ED5" w:rsidRPr="007A2F89" w:rsidRDefault="00520ED5" w:rsidP="007A2F89">
            <w:pPr>
              <w:ind w:right="113"/>
              <w:rPr>
                <w:sz w:val="20"/>
                <w:szCs w:val="20"/>
              </w:rPr>
            </w:pPr>
          </w:p>
        </w:tc>
        <w:tc>
          <w:tcPr>
            <w:tcW w:w="236" w:type="dxa"/>
            <w:textDirection w:val="btLr"/>
          </w:tcPr>
          <w:p w14:paraId="4F805AB0" w14:textId="77777777" w:rsidR="00520ED5" w:rsidRPr="007A2F89" w:rsidRDefault="00520ED5" w:rsidP="007A2F89">
            <w:pPr>
              <w:ind w:right="113"/>
              <w:rPr>
                <w:sz w:val="20"/>
                <w:szCs w:val="20"/>
              </w:rPr>
            </w:pPr>
          </w:p>
        </w:tc>
        <w:tc>
          <w:tcPr>
            <w:tcW w:w="236" w:type="dxa"/>
            <w:textDirection w:val="btLr"/>
          </w:tcPr>
          <w:p w14:paraId="0A24021C" w14:textId="77777777" w:rsidR="00520ED5" w:rsidRPr="007A2F89" w:rsidRDefault="00520ED5" w:rsidP="007A2F89">
            <w:pPr>
              <w:ind w:right="113"/>
              <w:rPr>
                <w:sz w:val="20"/>
                <w:szCs w:val="20"/>
              </w:rPr>
            </w:pPr>
            <w:r w:rsidRPr="007A2F89">
              <w:rPr>
                <w:sz w:val="20"/>
                <w:szCs w:val="20"/>
              </w:rPr>
              <w:t>1.0000</w:t>
            </w:r>
          </w:p>
        </w:tc>
        <w:tc>
          <w:tcPr>
            <w:tcW w:w="236" w:type="dxa"/>
            <w:textDirection w:val="btLr"/>
          </w:tcPr>
          <w:p w14:paraId="22719C6E" w14:textId="51C3B6DA" w:rsidR="00520ED5" w:rsidRPr="007A2F89" w:rsidRDefault="00520ED5" w:rsidP="007A2F89">
            <w:pPr>
              <w:ind w:right="113"/>
              <w:rPr>
                <w:sz w:val="20"/>
                <w:szCs w:val="20"/>
              </w:rPr>
            </w:pPr>
            <w:r w:rsidRPr="007A2F89">
              <w:rPr>
                <w:sz w:val="20"/>
                <w:szCs w:val="20"/>
              </w:rPr>
              <w:t>.0173</w:t>
            </w:r>
          </w:p>
        </w:tc>
        <w:tc>
          <w:tcPr>
            <w:tcW w:w="236" w:type="dxa"/>
            <w:textDirection w:val="btLr"/>
          </w:tcPr>
          <w:p w14:paraId="7B8ADA89" w14:textId="18676613" w:rsidR="00520ED5" w:rsidRPr="007A2F89" w:rsidRDefault="00520ED5" w:rsidP="007A2F89">
            <w:pPr>
              <w:ind w:right="113"/>
              <w:rPr>
                <w:sz w:val="20"/>
                <w:szCs w:val="20"/>
              </w:rPr>
            </w:pPr>
            <w:r w:rsidRPr="007A2F89">
              <w:rPr>
                <w:sz w:val="20"/>
                <w:szCs w:val="20"/>
              </w:rPr>
              <w:t>-.0373*</w:t>
            </w:r>
          </w:p>
        </w:tc>
        <w:tc>
          <w:tcPr>
            <w:tcW w:w="236" w:type="dxa"/>
            <w:tcBorders>
              <w:bottom w:val="nil"/>
              <w:right w:val="nil"/>
            </w:tcBorders>
            <w:textDirection w:val="btLr"/>
          </w:tcPr>
          <w:p w14:paraId="18EEAAEA" w14:textId="2EAF5BF4" w:rsidR="00520ED5" w:rsidRPr="007A2F89" w:rsidRDefault="00520ED5" w:rsidP="007A2F89">
            <w:pPr>
              <w:ind w:right="113"/>
              <w:rPr>
                <w:sz w:val="20"/>
                <w:szCs w:val="20"/>
              </w:rPr>
            </w:pPr>
            <w:r w:rsidRPr="007A2F89">
              <w:rPr>
                <w:sz w:val="20"/>
                <w:szCs w:val="20"/>
              </w:rPr>
              <w:t>.0150</w:t>
            </w:r>
          </w:p>
        </w:tc>
        <w:tc>
          <w:tcPr>
            <w:tcW w:w="236" w:type="dxa"/>
            <w:tcBorders>
              <w:left w:val="nil"/>
            </w:tcBorders>
            <w:textDirection w:val="btLr"/>
          </w:tcPr>
          <w:p w14:paraId="171F9147" w14:textId="3CC362BA" w:rsidR="00520ED5" w:rsidRPr="007A2F89" w:rsidRDefault="00275D4A" w:rsidP="007A2F89">
            <w:pPr>
              <w:ind w:right="113"/>
              <w:rPr>
                <w:sz w:val="20"/>
                <w:szCs w:val="20"/>
              </w:rPr>
            </w:pPr>
            <w:r w:rsidRPr="007A2F89">
              <w:rPr>
                <w:sz w:val="20"/>
                <w:szCs w:val="20"/>
              </w:rPr>
              <w:t>.0144</w:t>
            </w:r>
          </w:p>
        </w:tc>
        <w:tc>
          <w:tcPr>
            <w:tcW w:w="236" w:type="dxa"/>
            <w:textDirection w:val="btLr"/>
          </w:tcPr>
          <w:p w14:paraId="31150219" w14:textId="61E8D86B" w:rsidR="00520ED5" w:rsidRPr="007A2F89" w:rsidRDefault="00275D4A" w:rsidP="007A2F89">
            <w:pPr>
              <w:ind w:right="113"/>
              <w:rPr>
                <w:sz w:val="20"/>
                <w:szCs w:val="20"/>
              </w:rPr>
            </w:pPr>
            <w:r w:rsidRPr="007A2F89">
              <w:rPr>
                <w:sz w:val="20"/>
                <w:szCs w:val="20"/>
              </w:rPr>
              <w:t>-.0539*</w:t>
            </w:r>
          </w:p>
        </w:tc>
      </w:tr>
      <w:tr w:rsidR="00520ED5" w:rsidRPr="007A2F89" w14:paraId="5427181E" w14:textId="77777777" w:rsidTr="000F37B0">
        <w:trPr>
          <w:cantSplit/>
          <w:trHeight w:val="907"/>
          <w:jc w:val="center"/>
        </w:trPr>
        <w:tc>
          <w:tcPr>
            <w:tcW w:w="236" w:type="dxa"/>
            <w:tcBorders>
              <w:right w:val="single" w:sz="4" w:space="0" w:color="auto"/>
            </w:tcBorders>
            <w:textDirection w:val="btLr"/>
          </w:tcPr>
          <w:p w14:paraId="6DFCD938" w14:textId="77777777" w:rsidR="00520ED5" w:rsidRPr="007A2F89" w:rsidRDefault="00520ED5" w:rsidP="007A2F89">
            <w:pPr>
              <w:ind w:right="113"/>
              <w:rPr>
                <w:i/>
                <w:iCs/>
                <w:sz w:val="20"/>
                <w:szCs w:val="20"/>
              </w:rPr>
            </w:pPr>
            <w:r w:rsidRPr="007A2F89">
              <w:rPr>
                <w:i/>
                <w:iCs/>
                <w:sz w:val="20"/>
                <w:szCs w:val="20"/>
              </w:rPr>
              <w:t>3</w:t>
            </w:r>
          </w:p>
        </w:tc>
        <w:tc>
          <w:tcPr>
            <w:tcW w:w="236" w:type="dxa"/>
            <w:tcBorders>
              <w:left w:val="single" w:sz="4" w:space="0" w:color="auto"/>
            </w:tcBorders>
            <w:textDirection w:val="btLr"/>
          </w:tcPr>
          <w:p w14:paraId="18262312" w14:textId="77777777" w:rsidR="00520ED5" w:rsidRPr="007A2F89" w:rsidRDefault="00520ED5" w:rsidP="007A2F89">
            <w:pPr>
              <w:ind w:right="113"/>
              <w:rPr>
                <w:sz w:val="20"/>
                <w:szCs w:val="20"/>
              </w:rPr>
            </w:pPr>
          </w:p>
        </w:tc>
        <w:tc>
          <w:tcPr>
            <w:tcW w:w="236" w:type="dxa"/>
            <w:textDirection w:val="btLr"/>
          </w:tcPr>
          <w:p w14:paraId="0A1C2868" w14:textId="77777777" w:rsidR="00520ED5" w:rsidRPr="007A2F89" w:rsidRDefault="00520ED5" w:rsidP="007A2F89">
            <w:pPr>
              <w:ind w:right="113"/>
              <w:rPr>
                <w:sz w:val="20"/>
                <w:szCs w:val="20"/>
              </w:rPr>
            </w:pPr>
          </w:p>
        </w:tc>
        <w:tc>
          <w:tcPr>
            <w:tcW w:w="236" w:type="dxa"/>
            <w:textDirection w:val="btLr"/>
          </w:tcPr>
          <w:p w14:paraId="7546E077" w14:textId="77777777" w:rsidR="00520ED5" w:rsidRPr="007A2F89" w:rsidRDefault="00520ED5" w:rsidP="007A2F89">
            <w:pPr>
              <w:ind w:right="113"/>
              <w:rPr>
                <w:sz w:val="20"/>
                <w:szCs w:val="20"/>
              </w:rPr>
            </w:pPr>
            <w:r w:rsidRPr="007A2F89">
              <w:rPr>
                <w:sz w:val="20"/>
                <w:szCs w:val="20"/>
              </w:rPr>
              <w:t>1.0000</w:t>
            </w:r>
          </w:p>
        </w:tc>
        <w:tc>
          <w:tcPr>
            <w:tcW w:w="236" w:type="dxa"/>
            <w:textDirection w:val="btLr"/>
          </w:tcPr>
          <w:p w14:paraId="3B1E2865" w14:textId="35305BC6" w:rsidR="00520ED5" w:rsidRPr="007A2F89" w:rsidRDefault="00520ED5" w:rsidP="007A2F89">
            <w:pPr>
              <w:ind w:right="113"/>
              <w:rPr>
                <w:sz w:val="20"/>
                <w:szCs w:val="20"/>
              </w:rPr>
            </w:pPr>
            <w:r w:rsidRPr="007A2F89">
              <w:rPr>
                <w:sz w:val="20"/>
                <w:szCs w:val="20"/>
              </w:rPr>
              <w:t>.2519*</w:t>
            </w:r>
          </w:p>
        </w:tc>
        <w:tc>
          <w:tcPr>
            <w:tcW w:w="236" w:type="dxa"/>
            <w:textDirection w:val="btLr"/>
          </w:tcPr>
          <w:p w14:paraId="0F008B94" w14:textId="1B3D9658" w:rsidR="00520ED5" w:rsidRPr="007A2F89" w:rsidRDefault="00520ED5" w:rsidP="007A2F89">
            <w:pPr>
              <w:ind w:right="113"/>
              <w:rPr>
                <w:sz w:val="20"/>
                <w:szCs w:val="20"/>
              </w:rPr>
            </w:pPr>
            <w:r w:rsidRPr="007A2F89">
              <w:rPr>
                <w:sz w:val="20"/>
                <w:szCs w:val="20"/>
              </w:rPr>
              <w:t>-.0516*</w:t>
            </w:r>
          </w:p>
        </w:tc>
        <w:tc>
          <w:tcPr>
            <w:tcW w:w="236" w:type="dxa"/>
            <w:textDirection w:val="btLr"/>
          </w:tcPr>
          <w:p w14:paraId="22F75AEC" w14:textId="24BD7886" w:rsidR="00520ED5" w:rsidRPr="007A2F89" w:rsidRDefault="00520ED5" w:rsidP="007A2F89">
            <w:pPr>
              <w:ind w:right="113"/>
              <w:rPr>
                <w:sz w:val="20"/>
                <w:szCs w:val="20"/>
              </w:rPr>
            </w:pPr>
            <w:r w:rsidRPr="007A2F89">
              <w:rPr>
                <w:sz w:val="20"/>
                <w:szCs w:val="20"/>
              </w:rPr>
              <w:t>.0471*</w:t>
            </w:r>
          </w:p>
        </w:tc>
        <w:tc>
          <w:tcPr>
            <w:tcW w:w="236" w:type="dxa"/>
            <w:tcBorders>
              <w:bottom w:val="nil"/>
              <w:right w:val="nil"/>
            </w:tcBorders>
            <w:textDirection w:val="btLr"/>
          </w:tcPr>
          <w:p w14:paraId="0667E562" w14:textId="13C57C42" w:rsidR="00520ED5" w:rsidRPr="007A2F89" w:rsidRDefault="00520ED5" w:rsidP="007A2F89">
            <w:pPr>
              <w:ind w:right="113"/>
              <w:rPr>
                <w:sz w:val="20"/>
                <w:szCs w:val="20"/>
              </w:rPr>
            </w:pPr>
            <w:r w:rsidRPr="007A2F89">
              <w:rPr>
                <w:sz w:val="20"/>
                <w:szCs w:val="20"/>
              </w:rPr>
              <w:t>-.0357*</w:t>
            </w:r>
          </w:p>
        </w:tc>
        <w:tc>
          <w:tcPr>
            <w:tcW w:w="236" w:type="dxa"/>
            <w:tcBorders>
              <w:left w:val="nil"/>
            </w:tcBorders>
            <w:textDirection w:val="btLr"/>
          </w:tcPr>
          <w:p w14:paraId="5AD78551" w14:textId="1A3C9FB5" w:rsidR="00520ED5" w:rsidRPr="007A2F89" w:rsidRDefault="00275D4A" w:rsidP="007A2F89">
            <w:pPr>
              <w:ind w:right="113"/>
              <w:rPr>
                <w:sz w:val="20"/>
                <w:szCs w:val="20"/>
              </w:rPr>
            </w:pPr>
            <w:r w:rsidRPr="007A2F89">
              <w:rPr>
                <w:sz w:val="20"/>
                <w:szCs w:val="20"/>
              </w:rPr>
              <w:t>.0288</w:t>
            </w:r>
          </w:p>
        </w:tc>
        <w:tc>
          <w:tcPr>
            <w:tcW w:w="236" w:type="dxa"/>
            <w:textDirection w:val="btLr"/>
          </w:tcPr>
          <w:p w14:paraId="19224E6B" w14:textId="22C7B148" w:rsidR="00520ED5" w:rsidRPr="007A2F89" w:rsidRDefault="00275D4A" w:rsidP="007A2F89">
            <w:pPr>
              <w:ind w:right="113"/>
              <w:rPr>
                <w:sz w:val="20"/>
                <w:szCs w:val="20"/>
              </w:rPr>
            </w:pPr>
            <w:r w:rsidRPr="007A2F89">
              <w:rPr>
                <w:sz w:val="20"/>
                <w:szCs w:val="20"/>
              </w:rPr>
              <w:t>-.0667*</w:t>
            </w:r>
          </w:p>
        </w:tc>
      </w:tr>
      <w:tr w:rsidR="00520ED5" w:rsidRPr="007A2F89" w14:paraId="7598063D" w14:textId="77777777" w:rsidTr="000F37B0">
        <w:trPr>
          <w:cantSplit/>
          <w:trHeight w:val="907"/>
          <w:jc w:val="center"/>
        </w:trPr>
        <w:tc>
          <w:tcPr>
            <w:tcW w:w="236" w:type="dxa"/>
            <w:tcBorders>
              <w:right w:val="single" w:sz="4" w:space="0" w:color="auto"/>
            </w:tcBorders>
            <w:textDirection w:val="btLr"/>
          </w:tcPr>
          <w:p w14:paraId="7AD5080B" w14:textId="77777777" w:rsidR="00520ED5" w:rsidRPr="007A2F89" w:rsidRDefault="00520ED5" w:rsidP="007A2F89">
            <w:pPr>
              <w:ind w:right="113"/>
              <w:rPr>
                <w:i/>
                <w:iCs/>
                <w:sz w:val="20"/>
                <w:szCs w:val="20"/>
              </w:rPr>
            </w:pPr>
            <w:r w:rsidRPr="007A2F89">
              <w:rPr>
                <w:i/>
                <w:iCs/>
                <w:sz w:val="20"/>
                <w:szCs w:val="20"/>
              </w:rPr>
              <w:t>2</w:t>
            </w:r>
          </w:p>
        </w:tc>
        <w:tc>
          <w:tcPr>
            <w:tcW w:w="236" w:type="dxa"/>
            <w:tcBorders>
              <w:left w:val="single" w:sz="4" w:space="0" w:color="auto"/>
            </w:tcBorders>
            <w:textDirection w:val="btLr"/>
          </w:tcPr>
          <w:p w14:paraId="59A28355" w14:textId="77777777" w:rsidR="00520ED5" w:rsidRPr="007A2F89" w:rsidRDefault="00520ED5" w:rsidP="007A2F89">
            <w:pPr>
              <w:ind w:right="113"/>
              <w:rPr>
                <w:sz w:val="20"/>
                <w:szCs w:val="20"/>
              </w:rPr>
            </w:pPr>
          </w:p>
        </w:tc>
        <w:tc>
          <w:tcPr>
            <w:tcW w:w="236" w:type="dxa"/>
            <w:textDirection w:val="btLr"/>
          </w:tcPr>
          <w:p w14:paraId="4A953F1A" w14:textId="77777777" w:rsidR="00520ED5" w:rsidRPr="007A2F89" w:rsidRDefault="00520ED5" w:rsidP="007A2F89">
            <w:pPr>
              <w:ind w:right="113"/>
              <w:rPr>
                <w:sz w:val="20"/>
                <w:szCs w:val="20"/>
              </w:rPr>
            </w:pPr>
            <w:r w:rsidRPr="007A2F89">
              <w:rPr>
                <w:sz w:val="20"/>
                <w:szCs w:val="20"/>
              </w:rPr>
              <w:t>1.0000</w:t>
            </w:r>
          </w:p>
        </w:tc>
        <w:tc>
          <w:tcPr>
            <w:tcW w:w="236" w:type="dxa"/>
            <w:textDirection w:val="btLr"/>
          </w:tcPr>
          <w:p w14:paraId="5AA29F83" w14:textId="36820616" w:rsidR="00520ED5" w:rsidRPr="007A2F89" w:rsidRDefault="00520ED5" w:rsidP="007A2F89">
            <w:pPr>
              <w:ind w:right="113"/>
              <w:rPr>
                <w:sz w:val="20"/>
                <w:szCs w:val="20"/>
              </w:rPr>
            </w:pPr>
            <w:r w:rsidRPr="007A2F89">
              <w:rPr>
                <w:sz w:val="20"/>
                <w:szCs w:val="20"/>
              </w:rPr>
              <w:t>.0263</w:t>
            </w:r>
          </w:p>
        </w:tc>
        <w:tc>
          <w:tcPr>
            <w:tcW w:w="236" w:type="dxa"/>
            <w:textDirection w:val="btLr"/>
          </w:tcPr>
          <w:p w14:paraId="2BCE40FA" w14:textId="7C89334D" w:rsidR="00520ED5" w:rsidRPr="007A2F89" w:rsidRDefault="0046725A" w:rsidP="007A2F89">
            <w:pPr>
              <w:ind w:right="113"/>
              <w:rPr>
                <w:sz w:val="20"/>
                <w:szCs w:val="20"/>
              </w:rPr>
            </w:pPr>
            <w:r w:rsidRPr="007A2F89">
              <w:rPr>
                <w:sz w:val="20"/>
                <w:szCs w:val="20"/>
              </w:rPr>
              <w:t>.1034*</w:t>
            </w:r>
          </w:p>
        </w:tc>
        <w:tc>
          <w:tcPr>
            <w:tcW w:w="236" w:type="dxa"/>
            <w:textDirection w:val="btLr"/>
          </w:tcPr>
          <w:p w14:paraId="229F8F3D" w14:textId="0070A57C" w:rsidR="00520ED5" w:rsidRPr="007A2F89" w:rsidRDefault="00520ED5" w:rsidP="007A2F89">
            <w:pPr>
              <w:ind w:right="113"/>
              <w:rPr>
                <w:sz w:val="20"/>
                <w:szCs w:val="20"/>
              </w:rPr>
            </w:pPr>
            <w:r w:rsidRPr="007A2F89">
              <w:rPr>
                <w:sz w:val="20"/>
                <w:szCs w:val="20"/>
              </w:rPr>
              <w:t>.0024</w:t>
            </w:r>
          </w:p>
        </w:tc>
        <w:tc>
          <w:tcPr>
            <w:tcW w:w="236" w:type="dxa"/>
            <w:textDirection w:val="btLr"/>
          </w:tcPr>
          <w:p w14:paraId="5E46D786" w14:textId="68B4F039" w:rsidR="00520ED5" w:rsidRPr="007A2F89" w:rsidRDefault="00520ED5" w:rsidP="007A2F89">
            <w:pPr>
              <w:ind w:right="113"/>
              <w:rPr>
                <w:sz w:val="20"/>
                <w:szCs w:val="20"/>
              </w:rPr>
            </w:pPr>
            <w:r w:rsidRPr="007A2F89">
              <w:rPr>
                <w:sz w:val="20"/>
                <w:szCs w:val="20"/>
              </w:rPr>
              <w:t>-.0011</w:t>
            </w:r>
          </w:p>
        </w:tc>
        <w:tc>
          <w:tcPr>
            <w:tcW w:w="236" w:type="dxa"/>
            <w:tcBorders>
              <w:bottom w:val="nil"/>
              <w:right w:val="nil"/>
            </w:tcBorders>
            <w:textDirection w:val="btLr"/>
          </w:tcPr>
          <w:p w14:paraId="5EC70AA4" w14:textId="63344E83" w:rsidR="00520ED5" w:rsidRPr="007A2F89" w:rsidRDefault="00520ED5" w:rsidP="007A2F89">
            <w:pPr>
              <w:ind w:right="113"/>
              <w:rPr>
                <w:sz w:val="20"/>
                <w:szCs w:val="20"/>
              </w:rPr>
            </w:pPr>
            <w:r w:rsidRPr="007A2F89">
              <w:rPr>
                <w:sz w:val="20"/>
                <w:szCs w:val="20"/>
              </w:rPr>
              <w:t>-.0002</w:t>
            </w:r>
          </w:p>
        </w:tc>
        <w:tc>
          <w:tcPr>
            <w:tcW w:w="236" w:type="dxa"/>
            <w:tcBorders>
              <w:left w:val="nil"/>
              <w:bottom w:val="nil"/>
            </w:tcBorders>
            <w:textDirection w:val="btLr"/>
          </w:tcPr>
          <w:p w14:paraId="14F0230D" w14:textId="59D88A09" w:rsidR="00520ED5" w:rsidRPr="007A2F89" w:rsidRDefault="00275D4A" w:rsidP="007A2F89">
            <w:pPr>
              <w:ind w:right="113"/>
              <w:rPr>
                <w:sz w:val="20"/>
                <w:szCs w:val="20"/>
              </w:rPr>
            </w:pPr>
            <w:r w:rsidRPr="007A2F89">
              <w:rPr>
                <w:sz w:val="20"/>
                <w:szCs w:val="20"/>
              </w:rPr>
              <w:t>-.0011</w:t>
            </w:r>
          </w:p>
        </w:tc>
        <w:tc>
          <w:tcPr>
            <w:tcW w:w="236" w:type="dxa"/>
            <w:textDirection w:val="btLr"/>
          </w:tcPr>
          <w:p w14:paraId="5B7D6BA9" w14:textId="646D8D74" w:rsidR="00520ED5" w:rsidRPr="007A2F89" w:rsidRDefault="00275D4A" w:rsidP="007A2F89">
            <w:pPr>
              <w:ind w:right="113"/>
              <w:rPr>
                <w:sz w:val="20"/>
                <w:szCs w:val="20"/>
              </w:rPr>
            </w:pPr>
            <w:r w:rsidRPr="007A2F89">
              <w:rPr>
                <w:sz w:val="20"/>
                <w:szCs w:val="20"/>
              </w:rPr>
              <w:t>-.0277</w:t>
            </w:r>
          </w:p>
        </w:tc>
      </w:tr>
      <w:tr w:rsidR="00520ED5" w:rsidRPr="007A2F89" w14:paraId="79641BFF" w14:textId="77777777" w:rsidTr="000F37B0">
        <w:trPr>
          <w:cantSplit/>
          <w:trHeight w:val="907"/>
          <w:jc w:val="center"/>
        </w:trPr>
        <w:tc>
          <w:tcPr>
            <w:tcW w:w="236" w:type="dxa"/>
            <w:tcBorders>
              <w:right w:val="single" w:sz="4" w:space="0" w:color="auto"/>
            </w:tcBorders>
            <w:textDirection w:val="btLr"/>
          </w:tcPr>
          <w:p w14:paraId="643435D0" w14:textId="77777777" w:rsidR="00520ED5" w:rsidRPr="007A2F89" w:rsidRDefault="00520ED5" w:rsidP="007A2F89">
            <w:pPr>
              <w:ind w:right="113"/>
              <w:rPr>
                <w:i/>
                <w:iCs/>
                <w:sz w:val="20"/>
                <w:szCs w:val="20"/>
              </w:rPr>
            </w:pPr>
            <w:r w:rsidRPr="007A2F89">
              <w:rPr>
                <w:i/>
                <w:iCs/>
                <w:sz w:val="20"/>
                <w:szCs w:val="20"/>
              </w:rPr>
              <w:lastRenderedPageBreak/>
              <w:t>1</w:t>
            </w:r>
          </w:p>
        </w:tc>
        <w:tc>
          <w:tcPr>
            <w:tcW w:w="236" w:type="dxa"/>
            <w:tcBorders>
              <w:left w:val="single" w:sz="4" w:space="0" w:color="auto"/>
            </w:tcBorders>
            <w:textDirection w:val="btLr"/>
          </w:tcPr>
          <w:p w14:paraId="42015CE1" w14:textId="77777777" w:rsidR="00520ED5" w:rsidRPr="007A2F89" w:rsidRDefault="00520ED5" w:rsidP="007A2F89">
            <w:pPr>
              <w:ind w:right="113"/>
              <w:rPr>
                <w:sz w:val="20"/>
                <w:szCs w:val="20"/>
              </w:rPr>
            </w:pPr>
            <w:r w:rsidRPr="007A2F89">
              <w:rPr>
                <w:sz w:val="20"/>
                <w:szCs w:val="20"/>
              </w:rPr>
              <w:t>1.0000</w:t>
            </w:r>
          </w:p>
        </w:tc>
        <w:tc>
          <w:tcPr>
            <w:tcW w:w="236" w:type="dxa"/>
            <w:textDirection w:val="btLr"/>
          </w:tcPr>
          <w:p w14:paraId="4955084B" w14:textId="5EC30E8C" w:rsidR="00520ED5" w:rsidRPr="007A2F89" w:rsidRDefault="00A918CB" w:rsidP="007A2F89">
            <w:pPr>
              <w:ind w:right="113"/>
              <w:rPr>
                <w:sz w:val="20"/>
                <w:szCs w:val="20"/>
              </w:rPr>
            </w:pPr>
            <w:r w:rsidRPr="007A2F89">
              <w:rPr>
                <w:sz w:val="20"/>
                <w:szCs w:val="20"/>
              </w:rPr>
              <w:t>.0576*</w:t>
            </w:r>
          </w:p>
        </w:tc>
        <w:tc>
          <w:tcPr>
            <w:tcW w:w="236" w:type="dxa"/>
            <w:textDirection w:val="btLr"/>
          </w:tcPr>
          <w:p w14:paraId="5E2BF5F1" w14:textId="7C11EA52" w:rsidR="00520ED5" w:rsidRPr="007A2F89" w:rsidRDefault="0046725A" w:rsidP="007A2F89">
            <w:pPr>
              <w:ind w:right="113"/>
              <w:rPr>
                <w:sz w:val="20"/>
                <w:szCs w:val="20"/>
              </w:rPr>
            </w:pPr>
            <w:r w:rsidRPr="007A2F89">
              <w:rPr>
                <w:sz w:val="20"/>
                <w:szCs w:val="20"/>
              </w:rPr>
              <w:t>-.0820*</w:t>
            </w:r>
          </w:p>
        </w:tc>
        <w:tc>
          <w:tcPr>
            <w:tcW w:w="236" w:type="dxa"/>
            <w:textDirection w:val="btLr"/>
          </w:tcPr>
          <w:p w14:paraId="57871071" w14:textId="56574758" w:rsidR="00520ED5" w:rsidRPr="007A2F89" w:rsidRDefault="0046725A" w:rsidP="007A2F89">
            <w:pPr>
              <w:ind w:right="113"/>
              <w:rPr>
                <w:sz w:val="20"/>
                <w:szCs w:val="20"/>
              </w:rPr>
            </w:pPr>
            <w:r w:rsidRPr="007A2F89">
              <w:rPr>
                <w:sz w:val="20"/>
                <w:szCs w:val="20"/>
              </w:rPr>
              <w:t>.0190</w:t>
            </w:r>
          </w:p>
        </w:tc>
        <w:tc>
          <w:tcPr>
            <w:tcW w:w="236" w:type="dxa"/>
            <w:textDirection w:val="btLr"/>
          </w:tcPr>
          <w:p w14:paraId="738E9C7C" w14:textId="6D58E909" w:rsidR="00520ED5" w:rsidRPr="007A2F89" w:rsidRDefault="0046725A" w:rsidP="007A2F89">
            <w:pPr>
              <w:ind w:right="113"/>
              <w:rPr>
                <w:sz w:val="20"/>
                <w:szCs w:val="20"/>
              </w:rPr>
            </w:pPr>
            <w:r w:rsidRPr="007A2F89">
              <w:rPr>
                <w:sz w:val="20"/>
                <w:szCs w:val="20"/>
              </w:rPr>
              <w:t>.0282</w:t>
            </w:r>
          </w:p>
        </w:tc>
        <w:tc>
          <w:tcPr>
            <w:tcW w:w="236" w:type="dxa"/>
            <w:textDirection w:val="btLr"/>
          </w:tcPr>
          <w:p w14:paraId="41162E4B" w14:textId="06F0F7F5" w:rsidR="00520ED5" w:rsidRPr="007A2F89" w:rsidRDefault="0046725A" w:rsidP="007A2F89">
            <w:pPr>
              <w:ind w:right="113"/>
              <w:rPr>
                <w:sz w:val="20"/>
                <w:szCs w:val="20"/>
              </w:rPr>
            </w:pPr>
            <w:r w:rsidRPr="007A2F89">
              <w:rPr>
                <w:sz w:val="20"/>
                <w:szCs w:val="20"/>
              </w:rPr>
              <w:t>-.0181</w:t>
            </w:r>
          </w:p>
        </w:tc>
        <w:tc>
          <w:tcPr>
            <w:tcW w:w="236" w:type="dxa"/>
            <w:tcBorders>
              <w:bottom w:val="nil"/>
              <w:right w:val="nil"/>
            </w:tcBorders>
            <w:textDirection w:val="btLr"/>
          </w:tcPr>
          <w:p w14:paraId="0AFAC6CB" w14:textId="656524E1" w:rsidR="00520ED5" w:rsidRPr="007A2F89" w:rsidRDefault="0046725A" w:rsidP="007A2F89">
            <w:pPr>
              <w:ind w:right="113"/>
              <w:rPr>
                <w:sz w:val="20"/>
                <w:szCs w:val="20"/>
              </w:rPr>
            </w:pPr>
            <w:r w:rsidRPr="007A2F89">
              <w:rPr>
                <w:sz w:val="20"/>
                <w:szCs w:val="20"/>
              </w:rPr>
              <w:t>-.0103</w:t>
            </w:r>
          </w:p>
        </w:tc>
        <w:tc>
          <w:tcPr>
            <w:tcW w:w="236" w:type="dxa"/>
            <w:tcBorders>
              <w:left w:val="nil"/>
              <w:bottom w:val="nil"/>
            </w:tcBorders>
            <w:textDirection w:val="btLr"/>
          </w:tcPr>
          <w:p w14:paraId="51A92187" w14:textId="7444B263" w:rsidR="00520ED5" w:rsidRPr="007A2F89" w:rsidRDefault="00275D4A" w:rsidP="007A2F89">
            <w:pPr>
              <w:ind w:right="113"/>
              <w:rPr>
                <w:sz w:val="20"/>
                <w:szCs w:val="20"/>
              </w:rPr>
            </w:pPr>
            <w:r w:rsidRPr="007A2F89">
              <w:rPr>
                <w:sz w:val="20"/>
                <w:szCs w:val="20"/>
              </w:rPr>
              <w:t>.0015</w:t>
            </w:r>
          </w:p>
        </w:tc>
        <w:tc>
          <w:tcPr>
            <w:tcW w:w="236" w:type="dxa"/>
            <w:textDirection w:val="btLr"/>
          </w:tcPr>
          <w:p w14:paraId="60781254" w14:textId="0A7C7A54" w:rsidR="00520ED5" w:rsidRPr="007A2F89" w:rsidRDefault="00275D4A" w:rsidP="007A2F89">
            <w:pPr>
              <w:ind w:right="113"/>
              <w:rPr>
                <w:sz w:val="20"/>
                <w:szCs w:val="20"/>
              </w:rPr>
            </w:pPr>
            <w:r w:rsidRPr="007A2F89">
              <w:rPr>
                <w:sz w:val="20"/>
                <w:szCs w:val="20"/>
              </w:rPr>
              <w:t>-.0400*</w:t>
            </w:r>
          </w:p>
        </w:tc>
      </w:tr>
      <w:tr w:rsidR="00520ED5" w:rsidRPr="007A2F89" w14:paraId="2D5DD085" w14:textId="77777777" w:rsidTr="000F37B0">
        <w:trPr>
          <w:cantSplit/>
          <w:trHeight w:val="1191"/>
          <w:jc w:val="center"/>
        </w:trPr>
        <w:tc>
          <w:tcPr>
            <w:tcW w:w="236" w:type="dxa"/>
            <w:tcBorders>
              <w:right w:val="single" w:sz="4" w:space="0" w:color="auto"/>
            </w:tcBorders>
            <w:textDirection w:val="btLr"/>
          </w:tcPr>
          <w:p w14:paraId="1092ECAB" w14:textId="48DBB679" w:rsidR="00520ED5" w:rsidRPr="007A2F89" w:rsidRDefault="00520ED5" w:rsidP="007A2F89">
            <w:pPr>
              <w:ind w:right="113"/>
              <w:rPr>
                <w:i/>
                <w:iCs/>
                <w:sz w:val="20"/>
                <w:szCs w:val="20"/>
              </w:rPr>
            </w:pPr>
            <w:r w:rsidRPr="007A2F89">
              <w:rPr>
                <w:i/>
                <w:iCs/>
                <w:sz w:val="20"/>
                <w:szCs w:val="20"/>
              </w:rPr>
              <w:t>Variab</w:t>
            </w:r>
            <w:r w:rsidR="00C3779C" w:rsidRPr="007A2F89">
              <w:rPr>
                <w:i/>
                <w:iCs/>
                <w:sz w:val="20"/>
                <w:szCs w:val="20"/>
              </w:rPr>
              <w:t>les</w:t>
            </w:r>
          </w:p>
        </w:tc>
        <w:tc>
          <w:tcPr>
            <w:tcW w:w="236" w:type="dxa"/>
            <w:tcBorders>
              <w:left w:val="single" w:sz="4" w:space="0" w:color="auto"/>
            </w:tcBorders>
            <w:textDirection w:val="btLr"/>
          </w:tcPr>
          <w:p w14:paraId="6F8E064E" w14:textId="281725D7" w:rsidR="00520ED5" w:rsidRPr="007A2F89" w:rsidRDefault="00520ED5" w:rsidP="007A2F89">
            <w:pPr>
              <w:ind w:right="113"/>
              <w:rPr>
                <w:sz w:val="20"/>
                <w:szCs w:val="20"/>
              </w:rPr>
            </w:pPr>
            <w:r w:rsidRPr="007A2F89">
              <w:rPr>
                <w:sz w:val="20"/>
                <w:szCs w:val="20"/>
              </w:rPr>
              <w:t>RO</w:t>
            </w:r>
            <w:r w:rsidR="00A918CB" w:rsidRPr="007A2F89">
              <w:rPr>
                <w:sz w:val="20"/>
                <w:szCs w:val="20"/>
              </w:rPr>
              <w:t>A</w:t>
            </w:r>
          </w:p>
        </w:tc>
        <w:tc>
          <w:tcPr>
            <w:tcW w:w="236" w:type="dxa"/>
            <w:textDirection w:val="btLr"/>
          </w:tcPr>
          <w:p w14:paraId="3694C24B" w14:textId="77777777" w:rsidR="00520ED5" w:rsidRPr="007A2F89" w:rsidRDefault="00520ED5" w:rsidP="007A2F89">
            <w:pPr>
              <w:ind w:right="113"/>
              <w:rPr>
                <w:sz w:val="20"/>
                <w:szCs w:val="20"/>
              </w:rPr>
            </w:pPr>
            <w:r w:rsidRPr="007A2F89">
              <w:rPr>
                <w:sz w:val="20"/>
                <w:szCs w:val="20"/>
              </w:rPr>
              <w:t>ISO14001</w:t>
            </w:r>
          </w:p>
        </w:tc>
        <w:tc>
          <w:tcPr>
            <w:tcW w:w="236" w:type="dxa"/>
            <w:textDirection w:val="btLr"/>
          </w:tcPr>
          <w:p w14:paraId="03EE76B7" w14:textId="6CD0519D" w:rsidR="00520ED5" w:rsidRPr="007A2F89" w:rsidRDefault="00C3779C" w:rsidP="007A2F89">
            <w:pPr>
              <w:ind w:right="113"/>
              <w:rPr>
                <w:sz w:val="20"/>
                <w:szCs w:val="20"/>
              </w:rPr>
            </w:pPr>
            <w:r w:rsidRPr="007A2F89">
              <w:rPr>
                <w:sz w:val="20"/>
                <w:szCs w:val="20"/>
              </w:rPr>
              <w:t>Age</w:t>
            </w:r>
          </w:p>
        </w:tc>
        <w:tc>
          <w:tcPr>
            <w:tcW w:w="236" w:type="dxa"/>
            <w:textDirection w:val="btLr"/>
          </w:tcPr>
          <w:p w14:paraId="6E4CF82F" w14:textId="2A065EE4" w:rsidR="00520ED5" w:rsidRPr="007A2F89" w:rsidRDefault="0046725A" w:rsidP="007A2F89">
            <w:pPr>
              <w:ind w:right="113"/>
              <w:rPr>
                <w:sz w:val="20"/>
                <w:szCs w:val="20"/>
              </w:rPr>
            </w:pPr>
            <w:r w:rsidRPr="007A2F89">
              <w:rPr>
                <w:sz w:val="20"/>
                <w:szCs w:val="20"/>
              </w:rPr>
              <w:t>Employees</w:t>
            </w:r>
          </w:p>
        </w:tc>
        <w:tc>
          <w:tcPr>
            <w:tcW w:w="236" w:type="dxa"/>
            <w:textDirection w:val="btLr"/>
          </w:tcPr>
          <w:p w14:paraId="19DA1BA3" w14:textId="77777777" w:rsidR="00520ED5" w:rsidRPr="007A2F89" w:rsidRDefault="00520ED5" w:rsidP="007A2F89">
            <w:pPr>
              <w:ind w:right="113"/>
              <w:rPr>
                <w:sz w:val="20"/>
                <w:szCs w:val="20"/>
              </w:rPr>
            </w:pPr>
            <w:r w:rsidRPr="007A2F89">
              <w:rPr>
                <w:sz w:val="20"/>
                <w:szCs w:val="20"/>
              </w:rPr>
              <w:t>Teramo</w:t>
            </w:r>
          </w:p>
        </w:tc>
        <w:tc>
          <w:tcPr>
            <w:tcW w:w="236" w:type="dxa"/>
            <w:textDirection w:val="btLr"/>
          </w:tcPr>
          <w:p w14:paraId="5F62F9BB" w14:textId="77777777" w:rsidR="00520ED5" w:rsidRPr="007A2F89" w:rsidRDefault="00520ED5" w:rsidP="007A2F89">
            <w:pPr>
              <w:ind w:right="113"/>
              <w:rPr>
                <w:sz w:val="20"/>
                <w:szCs w:val="20"/>
              </w:rPr>
            </w:pPr>
            <w:r w:rsidRPr="007A2F89">
              <w:rPr>
                <w:sz w:val="20"/>
                <w:szCs w:val="20"/>
              </w:rPr>
              <w:t>Chieti</w:t>
            </w:r>
          </w:p>
        </w:tc>
        <w:tc>
          <w:tcPr>
            <w:tcW w:w="236" w:type="dxa"/>
            <w:tcBorders>
              <w:right w:val="nil"/>
            </w:tcBorders>
            <w:textDirection w:val="btLr"/>
          </w:tcPr>
          <w:p w14:paraId="731359A4" w14:textId="421C05A9" w:rsidR="00520ED5" w:rsidRPr="007A2F89" w:rsidRDefault="00520ED5" w:rsidP="007A2F89">
            <w:pPr>
              <w:ind w:right="113"/>
              <w:rPr>
                <w:sz w:val="20"/>
                <w:szCs w:val="20"/>
              </w:rPr>
            </w:pPr>
            <w:r w:rsidRPr="007A2F89">
              <w:rPr>
                <w:sz w:val="20"/>
                <w:szCs w:val="20"/>
              </w:rPr>
              <w:t>L</w:t>
            </w:r>
            <w:r w:rsidR="007A2F89" w:rsidRPr="007A2F89">
              <w:rPr>
                <w:sz w:val="20"/>
                <w:szCs w:val="20"/>
              </w:rPr>
              <w:t>’</w:t>
            </w:r>
            <w:r w:rsidRPr="007A2F89">
              <w:rPr>
                <w:sz w:val="20"/>
                <w:szCs w:val="20"/>
              </w:rPr>
              <w:t>Aquila</w:t>
            </w:r>
          </w:p>
        </w:tc>
        <w:tc>
          <w:tcPr>
            <w:tcW w:w="236" w:type="dxa"/>
            <w:tcBorders>
              <w:left w:val="nil"/>
            </w:tcBorders>
            <w:textDirection w:val="btLr"/>
          </w:tcPr>
          <w:p w14:paraId="4862D932" w14:textId="77777777" w:rsidR="00520ED5" w:rsidRPr="007A2F89" w:rsidRDefault="00520ED5" w:rsidP="007A2F89">
            <w:pPr>
              <w:ind w:right="113"/>
              <w:rPr>
                <w:sz w:val="20"/>
                <w:szCs w:val="20"/>
              </w:rPr>
            </w:pPr>
            <w:r w:rsidRPr="007A2F89">
              <w:rPr>
                <w:sz w:val="20"/>
                <w:szCs w:val="20"/>
              </w:rPr>
              <w:t>Pescara</w:t>
            </w:r>
          </w:p>
        </w:tc>
        <w:tc>
          <w:tcPr>
            <w:tcW w:w="236" w:type="dxa"/>
            <w:textDirection w:val="btLr"/>
          </w:tcPr>
          <w:p w14:paraId="13332D4E" w14:textId="77777777" w:rsidR="00520ED5" w:rsidRPr="007A2F89" w:rsidRDefault="00520ED5" w:rsidP="007A2F89">
            <w:pPr>
              <w:ind w:right="113"/>
              <w:rPr>
                <w:sz w:val="20"/>
                <w:szCs w:val="20"/>
              </w:rPr>
            </w:pPr>
            <w:r w:rsidRPr="007A2F89">
              <w:rPr>
                <w:sz w:val="20"/>
                <w:szCs w:val="20"/>
              </w:rPr>
              <w:t>D/E</w:t>
            </w:r>
          </w:p>
        </w:tc>
      </w:tr>
      <w:tr w:rsidR="00520ED5" w:rsidRPr="007A2F89" w14:paraId="3B4A3740" w14:textId="77777777" w:rsidTr="000F37B0">
        <w:trPr>
          <w:cantSplit/>
          <w:trHeight w:val="216"/>
          <w:jc w:val="center"/>
        </w:trPr>
        <w:tc>
          <w:tcPr>
            <w:tcW w:w="236" w:type="dxa"/>
            <w:tcBorders>
              <w:bottom w:val="nil"/>
              <w:right w:val="single" w:sz="4" w:space="0" w:color="auto"/>
            </w:tcBorders>
            <w:textDirection w:val="btLr"/>
          </w:tcPr>
          <w:p w14:paraId="0315473A" w14:textId="77777777" w:rsidR="00520ED5" w:rsidRPr="007A2F89" w:rsidRDefault="00520ED5" w:rsidP="007A2F89">
            <w:pPr>
              <w:ind w:right="113"/>
              <w:rPr>
                <w:i/>
                <w:iCs/>
                <w:sz w:val="20"/>
                <w:szCs w:val="20"/>
              </w:rPr>
            </w:pPr>
          </w:p>
        </w:tc>
        <w:tc>
          <w:tcPr>
            <w:tcW w:w="236" w:type="dxa"/>
            <w:tcBorders>
              <w:left w:val="single" w:sz="4" w:space="0" w:color="auto"/>
            </w:tcBorders>
            <w:textDirection w:val="btLr"/>
          </w:tcPr>
          <w:p w14:paraId="625A256E" w14:textId="77777777" w:rsidR="00520ED5" w:rsidRPr="007A2F89" w:rsidRDefault="00520ED5" w:rsidP="007A2F89">
            <w:pPr>
              <w:ind w:right="113"/>
              <w:rPr>
                <w:i/>
                <w:iCs/>
                <w:sz w:val="20"/>
                <w:szCs w:val="20"/>
              </w:rPr>
            </w:pPr>
            <w:r w:rsidRPr="007A2F89">
              <w:rPr>
                <w:i/>
                <w:iCs/>
                <w:sz w:val="20"/>
                <w:szCs w:val="20"/>
              </w:rPr>
              <w:t>1</w:t>
            </w:r>
          </w:p>
        </w:tc>
        <w:tc>
          <w:tcPr>
            <w:tcW w:w="236" w:type="dxa"/>
            <w:textDirection w:val="btLr"/>
          </w:tcPr>
          <w:p w14:paraId="375AD0FE" w14:textId="77777777" w:rsidR="00520ED5" w:rsidRPr="007A2F89" w:rsidRDefault="00520ED5" w:rsidP="007A2F89">
            <w:pPr>
              <w:ind w:right="113"/>
              <w:rPr>
                <w:i/>
                <w:iCs/>
                <w:sz w:val="20"/>
                <w:szCs w:val="20"/>
              </w:rPr>
            </w:pPr>
            <w:r w:rsidRPr="007A2F89">
              <w:rPr>
                <w:i/>
                <w:iCs/>
                <w:sz w:val="20"/>
                <w:szCs w:val="20"/>
              </w:rPr>
              <w:t>2</w:t>
            </w:r>
          </w:p>
        </w:tc>
        <w:tc>
          <w:tcPr>
            <w:tcW w:w="236" w:type="dxa"/>
            <w:textDirection w:val="btLr"/>
          </w:tcPr>
          <w:p w14:paraId="32107D8F" w14:textId="77777777" w:rsidR="00520ED5" w:rsidRPr="007A2F89" w:rsidRDefault="00520ED5" w:rsidP="007A2F89">
            <w:pPr>
              <w:ind w:right="113"/>
              <w:rPr>
                <w:i/>
                <w:iCs/>
                <w:sz w:val="20"/>
                <w:szCs w:val="20"/>
              </w:rPr>
            </w:pPr>
            <w:r w:rsidRPr="007A2F89">
              <w:rPr>
                <w:i/>
                <w:iCs/>
                <w:sz w:val="20"/>
                <w:szCs w:val="20"/>
              </w:rPr>
              <w:t>3</w:t>
            </w:r>
          </w:p>
        </w:tc>
        <w:tc>
          <w:tcPr>
            <w:tcW w:w="236" w:type="dxa"/>
            <w:textDirection w:val="btLr"/>
          </w:tcPr>
          <w:p w14:paraId="3DADB642" w14:textId="77777777" w:rsidR="00520ED5" w:rsidRPr="007A2F89" w:rsidRDefault="00520ED5" w:rsidP="007A2F89">
            <w:pPr>
              <w:ind w:right="113"/>
              <w:rPr>
                <w:i/>
                <w:iCs/>
                <w:sz w:val="20"/>
                <w:szCs w:val="20"/>
              </w:rPr>
            </w:pPr>
            <w:r w:rsidRPr="007A2F89">
              <w:rPr>
                <w:i/>
                <w:iCs/>
                <w:sz w:val="20"/>
                <w:szCs w:val="20"/>
              </w:rPr>
              <w:t>4</w:t>
            </w:r>
          </w:p>
        </w:tc>
        <w:tc>
          <w:tcPr>
            <w:tcW w:w="236" w:type="dxa"/>
            <w:textDirection w:val="btLr"/>
          </w:tcPr>
          <w:p w14:paraId="4C35DD9D" w14:textId="77777777" w:rsidR="00520ED5" w:rsidRPr="007A2F89" w:rsidRDefault="00520ED5" w:rsidP="007A2F89">
            <w:pPr>
              <w:ind w:right="113"/>
              <w:rPr>
                <w:i/>
                <w:iCs/>
                <w:sz w:val="20"/>
                <w:szCs w:val="20"/>
              </w:rPr>
            </w:pPr>
            <w:r w:rsidRPr="007A2F89">
              <w:rPr>
                <w:i/>
                <w:iCs/>
                <w:sz w:val="20"/>
                <w:szCs w:val="20"/>
              </w:rPr>
              <w:t>5</w:t>
            </w:r>
          </w:p>
        </w:tc>
        <w:tc>
          <w:tcPr>
            <w:tcW w:w="236" w:type="dxa"/>
            <w:textDirection w:val="btLr"/>
          </w:tcPr>
          <w:p w14:paraId="4983AF7E" w14:textId="77777777" w:rsidR="00520ED5" w:rsidRPr="007A2F89" w:rsidRDefault="00520ED5" w:rsidP="007A2F89">
            <w:pPr>
              <w:ind w:right="113"/>
              <w:rPr>
                <w:i/>
                <w:iCs/>
                <w:sz w:val="20"/>
                <w:szCs w:val="20"/>
              </w:rPr>
            </w:pPr>
            <w:r w:rsidRPr="007A2F89">
              <w:rPr>
                <w:i/>
                <w:iCs/>
                <w:sz w:val="20"/>
                <w:szCs w:val="20"/>
              </w:rPr>
              <w:t>6</w:t>
            </w:r>
          </w:p>
        </w:tc>
        <w:tc>
          <w:tcPr>
            <w:tcW w:w="236" w:type="dxa"/>
            <w:textDirection w:val="btLr"/>
          </w:tcPr>
          <w:p w14:paraId="5BF05E59" w14:textId="77777777" w:rsidR="00520ED5" w:rsidRPr="007A2F89" w:rsidRDefault="00520ED5" w:rsidP="007A2F89">
            <w:pPr>
              <w:ind w:right="113"/>
              <w:rPr>
                <w:i/>
                <w:iCs/>
                <w:sz w:val="20"/>
                <w:szCs w:val="20"/>
              </w:rPr>
            </w:pPr>
            <w:r w:rsidRPr="007A2F89">
              <w:rPr>
                <w:i/>
                <w:iCs/>
                <w:sz w:val="20"/>
                <w:szCs w:val="20"/>
              </w:rPr>
              <w:t>7</w:t>
            </w:r>
          </w:p>
        </w:tc>
        <w:tc>
          <w:tcPr>
            <w:tcW w:w="236" w:type="dxa"/>
            <w:textDirection w:val="btLr"/>
          </w:tcPr>
          <w:p w14:paraId="2F60538D" w14:textId="77777777" w:rsidR="00520ED5" w:rsidRPr="007A2F89" w:rsidRDefault="00520ED5" w:rsidP="007A2F89">
            <w:pPr>
              <w:ind w:right="113"/>
              <w:rPr>
                <w:i/>
                <w:iCs/>
                <w:sz w:val="20"/>
                <w:szCs w:val="20"/>
              </w:rPr>
            </w:pPr>
            <w:r w:rsidRPr="007A2F89">
              <w:rPr>
                <w:i/>
                <w:iCs/>
                <w:sz w:val="20"/>
                <w:szCs w:val="20"/>
              </w:rPr>
              <w:t>8</w:t>
            </w:r>
          </w:p>
        </w:tc>
        <w:tc>
          <w:tcPr>
            <w:tcW w:w="236" w:type="dxa"/>
            <w:textDirection w:val="btLr"/>
          </w:tcPr>
          <w:p w14:paraId="1D720C2F" w14:textId="77777777" w:rsidR="00520ED5" w:rsidRPr="007A2F89" w:rsidRDefault="00520ED5" w:rsidP="007A2F89">
            <w:pPr>
              <w:ind w:right="113"/>
              <w:rPr>
                <w:i/>
                <w:iCs/>
                <w:sz w:val="20"/>
                <w:szCs w:val="20"/>
              </w:rPr>
            </w:pPr>
            <w:r w:rsidRPr="007A2F89">
              <w:rPr>
                <w:i/>
                <w:iCs/>
                <w:sz w:val="20"/>
                <w:szCs w:val="20"/>
              </w:rPr>
              <w:t>9</w:t>
            </w:r>
          </w:p>
        </w:tc>
      </w:tr>
    </w:tbl>
    <w:p w14:paraId="5F7F3D48" w14:textId="1601245E" w:rsidR="00F131F6" w:rsidRPr="007A2F89" w:rsidRDefault="00F131F6" w:rsidP="007A2F89">
      <w:pPr>
        <w:spacing w:before="120"/>
        <w:rPr>
          <w:rFonts w:ascii="Times New Roman" w:hAnsi="Times New Roman"/>
          <w:i/>
          <w:iCs/>
          <w:sz w:val="20"/>
          <w:szCs w:val="20"/>
          <w:lang w:val="en-GB"/>
        </w:rPr>
      </w:pPr>
      <w:r w:rsidRPr="007A2F89">
        <w:rPr>
          <w:rFonts w:ascii="Times New Roman" w:hAnsi="Times New Roman"/>
          <w:i/>
          <w:iCs/>
          <w:sz w:val="20"/>
          <w:szCs w:val="20"/>
          <w:lang w:val="en-GB"/>
        </w:rPr>
        <w:t>Note: * Correlations are significant at the 5% level</w:t>
      </w:r>
    </w:p>
    <w:p w14:paraId="6AE79F82" w14:textId="733F4D64" w:rsidR="00F131F6" w:rsidRPr="007A2F89" w:rsidRDefault="00F131F6" w:rsidP="007A2F89">
      <w:pPr>
        <w:rPr>
          <w:rFonts w:ascii="Times New Roman" w:hAnsi="Times New Roman"/>
          <w:i/>
          <w:iCs/>
          <w:sz w:val="20"/>
          <w:szCs w:val="20"/>
        </w:rPr>
      </w:pPr>
      <w:r w:rsidRPr="007A2F89">
        <w:rPr>
          <w:rFonts w:ascii="Times New Roman" w:hAnsi="Times New Roman"/>
          <w:i/>
          <w:iCs/>
          <w:sz w:val="20"/>
          <w:szCs w:val="20"/>
        </w:rPr>
        <w:t xml:space="preserve">Source: </w:t>
      </w:r>
      <w:proofErr w:type="spellStart"/>
      <w:r w:rsidRPr="007A2F89">
        <w:rPr>
          <w:rFonts w:ascii="Times New Roman" w:hAnsi="Times New Roman"/>
          <w:i/>
          <w:iCs/>
          <w:sz w:val="20"/>
          <w:szCs w:val="20"/>
        </w:rPr>
        <w:t>Author</w:t>
      </w:r>
      <w:r w:rsidR="007A2F89" w:rsidRPr="007A2F89">
        <w:rPr>
          <w:rFonts w:ascii="Times New Roman" w:hAnsi="Times New Roman"/>
          <w:i/>
          <w:iCs/>
          <w:sz w:val="20"/>
          <w:szCs w:val="20"/>
        </w:rPr>
        <w:t>’</w:t>
      </w:r>
      <w:r w:rsidRPr="007A2F89">
        <w:rPr>
          <w:rFonts w:ascii="Times New Roman" w:hAnsi="Times New Roman"/>
          <w:i/>
          <w:iCs/>
          <w:sz w:val="20"/>
          <w:szCs w:val="20"/>
        </w:rPr>
        <w:t>s</w:t>
      </w:r>
      <w:proofErr w:type="spellEnd"/>
      <w:r w:rsidRPr="007A2F89">
        <w:rPr>
          <w:rFonts w:ascii="Times New Roman" w:hAnsi="Times New Roman"/>
          <w:i/>
          <w:iCs/>
          <w:sz w:val="20"/>
          <w:szCs w:val="20"/>
        </w:rPr>
        <w:t xml:space="preserve"> </w:t>
      </w:r>
      <w:proofErr w:type="spellStart"/>
      <w:r w:rsidRPr="007A2F89">
        <w:rPr>
          <w:rFonts w:ascii="Times New Roman" w:hAnsi="Times New Roman"/>
          <w:i/>
          <w:iCs/>
          <w:sz w:val="20"/>
          <w:szCs w:val="20"/>
        </w:rPr>
        <w:t>elaboration</w:t>
      </w:r>
      <w:proofErr w:type="spellEnd"/>
    </w:p>
    <w:p w14:paraId="2115423C" w14:textId="77777777" w:rsidR="00DA61B5" w:rsidRPr="007A2F89" w:rsidRDefault="00DA61B5" w:rsidP="007A2F89">
      <w:pPr>
        <w:rPr>
          <w:rFonts w:ascii="Times New Roman" w:hAnsi="Times New Roman"/>
          <w:i/>
          <w:iCs/>
          <w:sz w:val="18"/>
          <w:szCs w:val="18"/>
        </w:rPr>
      </w:pPr>
    </w:p>
    <w:p w14:paraId="71FDA7F0" w14:textId="3CD6712C" w:rsidR="001118E5" w:rsidRPr="007A2F89" w:rsidRDefault="006C4ED5" w:rsidP="007A2F89">
      <w:pPr>
        <w:pStyle w:val="Paragrafoelenco"/>
        <w:numPr>
          <w:ilvl w:val="1"/>
          <w:numId w:val="7"/>
        </w:numPr>
        <w:ind w:left="0" w:firstLine="0"/>
        <w:jc w:val="both"/>
        <w:rPr>
          <w:rFonts w:ascii="Times New Roman" w:hAnsi="Times New Roman"/>
          <w:b/>
          <w:bCs/>
          <w:i/>
          <w:iCs/>
        </w:rPr>
      </w:pPr>
      <w:proofErr w:type="spellStart"/>
      <w:r w:rsidRPr="007A2F89">
        <w:rPr>
          <w:rFonts w:ascii="Times New Roman" w:hAnsi="Times New Roman"/>
          <w:b/>
          <w:bCs/>
          <w:i/>
          <w:iCs/>
        </w:rPr>
        <w:t>Estimation</w:t>
      </w:r>
      <w:proofErr w:type="spellEnd"/>
      <w:r w:rsidRPr="007A2F89">
        <w:rPr>
          <w:rFonts w:ascii="Times New Roman" w:hAnsi="Times New Roman"/>
          <w:b/>
          <w:bCs/>
          <w:i/>
          <w:iCs/>
        </w:rPr>
        <w:t xml:space="preserve"> of </w:t>
      </w:r>
      <w:proofErr w:type="spellStart"/>
      <w:r w:rsidRPr="007A2F89">
        <w:rPr>
          <w:rFonts w:ascii="Times New Roman" w:hAnsi="Times New Roman"/>
          <w:b/>
          <w:bCs/>
          <w:i/>
          <w:iCs/>
        </w:rPr>
        <w:t>regression</w:t>
      </w:r>
      <w:proofErr w:type="spellEnd"/>
      <w:r w:rsidRPr="007A2F89">
        <w:rPr>
          <w:rFonts w:ascii="Times New Roman" w:hAnsi="Times New Roman"/>
          <w:b/>
          <w:bCs/>
          <w:i/>
          <w:iCs/>
        </w:rPr>
        <w:t xml:space="preserve"> </w:t>
      </w:r>
      <w:proofErr w:type="spellStart"/>
      <w:r w:rsidRPr="007A2F89">
        <w:rPr>
          <w:rFonts w:ascii="Times New Roman" w:hAnsi="Times New Roman"/>
          <w:b/>
          <w:bCs/>
          <w:i/>
          <w:iCs/>
        </w:rPr>
        <w:t>models</w:t>
      </w:r>
      <w:proofErr w:type="spellEnd"/>
      <w:r w:rsidRPr="007A2F89">
        <w:rPr>
          <w:rFonts w:ascii="Times New Roman" w:hAnsi="Times New Roman"/>
          <w:b/>
          <w:bCs/>
          <w:i/>
          <w:iCs/>
        </w:rPr>
        <w:t xml:space="preserve"> </w:t>
      </w:r>
    </w:p>
    <w:p w14:paraId="0B462213" w14:textId="40772856" w:rsidR="001118E5" w:rsidRPr="007A2F89" w:rsidRDefault="006C4ED5" w:rsidP="007A2F89">
      <w:pPr>
        <w:rPr>
          <w:rFonts w:ascii="Times New Roman" w:hAnsi="Times New Roman"/>
          <w:sz w:val="24"/>
          <w:szCs w:val="24"/>
          <w:lang w:val="en-GB"/>
        </w:rPr>
      </w:pPr>
      <w:r w:rsidRPr="007A2F89">
        <w:rPr>
          <w:rFonts w:ascii="Times New Roman" w:hAnsi="Times New Roman"/>
          <w:sz w:val="24"/>
          <w:szCs w:val="24"/>
          <w:lang w:val="en-GB"/>
        </w:rPr>
        <w:t xml:space="preserve">Table 6 shows the results of the regression model. The model </w:t>
      </w:r>
      <w:r w:rsidR="00F74CD7" w:rsidRPr="007A2F89">
        <w:rPr>
          <w:rFonts w:ascii="Times New Roman" w:hAnsi="Times New Roman"/>
          <w:sz w:val="24"/>
          <w:szCs w:val="24"/>
          <w:lang w:val="en-GB"/>
        </w:rPr>
        <w:t>was</w:t>
      </w:r>
      <w:r w:rsidRPr="007A2F89">
        <w:rPr>
          <w:rFonts w:ascii="Times New Roman" w:hAnsi="Times New Roman"/>
          <w:sz w:val="24"/>
          <w:szCs w:val="24"/>
          <w:lang w:val="en-GB"/>
        </w:rPr>
        <w:t xml:space="preserve"> completed following the </w:t>
      </w:r>
      <w:r w:rsidR="000F37B0" w:rsidRPr="007A2F89">
        <w:rPr>
          <w:rFonts w:ascii="Times New Roman" w:hAnsi="Times New Roman"/>
          <w:sz w:val="24"/>
          <w:szCs w:val="24"/>
          <w:lang w:val="en-GB"/>
        </w:rPr>
        <w:t>stepwise</w:t>
      </w:r>
      <w:r w:rsidRPr="007A2F89">
        <w:rPr>
          <w:rFonts w:ascii="Times New Roman" w:hAnsi="Times New Roman"/>
          <w:sz w:val="24"/>
          <w:szCs w:val="24"/>
          <w:lang w:val="en-GB"/>
        </w:rPr>
        <w:t xml:space="preserve"> method: th</w:t>
      </w:r>
      <w:r w:rsidR="00F74CD7" w:rsidRPr="007A2F89">
        <w:rPr>
          <w:rFonts w:ascii="Times New Roman" w:hAnsi="Times New Roman"/>
          <w:sz w:val="24"/>
          <w:szCs w:val="24"/>
          <w:lang w:val="en-GB"/>
        </w:rPr>
        <w:t>e</w:t>
      </w:r>
      <w:r w:rsidRPr="007A2F89">
        <w:rPr>
          <w:rFonts w:ascii="Times New Roman" w:hAnsi="Times New Roman"/>
          <w:sz w:val="24"/>
          <w:szCs w:val="24"/>
          <w:lang w:val="en-GB"/>
        </w:rPr>
        <w:t xml:space="preserve"> control variables</w:t>
      </w:r>
      <w:r w:rsidR="00F74CD7" w:rsidRPr="007A2F89">
        <w:rPr>
          <w:rFonts w:ascii="Times New Roman" w:hAnsi="Times New Roman"/>
          <w:sz w:val="24"/>
          <w:szCs w:val="24"/>
          <w:lang w:val="en-GB"/>
        </w:rPr>
        <w:t xml:space="preserve"> estimation</w:t>
      </w:r>
      <w:r w:rsidRPr="007A2F89">
        <w:rPr>
          <w:rFonts w:ascii="Times New Roman" w:hAnsi="Times New Roman"/>
          <w:sz w:val="24"/>
          <w:szCs w:val="24"/>
          <w:lang w:val="en-GB"/>
        </w:rPr>
        <w:t xml:space="preserve"> </w:t>
      </w:r>
      <w:r w:rsidR="007A2F89">
        <w:rPr>
          <w:rFonts w:ascii="Times New Roman" w:hAnsi="Times New Roman"/>
          <w:sz w:val="24"/>
          <w:szCs w:val="24"/>
          <w:lang w:val="en-GB"/>
        </w:rPr>
        <w:t>is</w:t>
      </w:r>
      <w:r w:rsidRPr="007A2F89">
        <w:rPr>
          <w:rFonts w:ascii="Times New Roman" w:hAnsi="Times New Roman"/>
          <w:sz w:val="24"/>
          <w:szCs w:val="24"/>
          <w:lang w:val="en-GB"/>
        </w:rPr>
        <w:t xml:space="preserve"> shown in column (I), while the estimat</w:t>
      </w:r>
      <w:r w:rsidR="00F74CD7" w:rsidRPr="007A2F89">
        <w:rPr>
          <w:rFonts w:ascii="Times New Roman" w:hAnsi="Times New Roman"/>
          <w:sz w:val="24"/>
          <w:szCs w:val="24"/>
          <w:lang w:val="en-GB"/>
        </w:rPr>
        <w:t>ion</w:t>
      </w:r>
      <w:r w:rsidRPr="007A2F89">
        <w:rPr>
          <w:rFonts w:ascii="Times New Roman" w:hAnsi="Times New Roman"/>
          <w:sz w:val="24"/>
          <w:szCs w:val="24"/>
          <w:lang w:val="en-GB"/>
        </w:rPr>
        <w:t xml:space="preserve"> of the main effects </w:t>
      </w:r>
      <w:proofErr w:type="gramStart"/>
      <w:r w:rsidRPr="007A2F89">
        <w:rPr>
          <w:rFonts w:ascii="Times New Roman" w:hAnsi="Times New Roman"/>
          <w:sz w:val="24"/>
          <w:szCs w:val="24"/>
          <w:lang w:val="en-GB"/>
        </w:rPr>
        <w:t>are</w:t>
      </w:r>
      <w:proofErr w:type="gramEnd"/>
      <w:r w:rsidRPr="007A2F89">
        <w:rPr>
          <w:rFonts w:ascii="Times New Roman" w:hAnsi="Times New Roman"/>
          <w:sz w:val="24"/>
          <w:szCs w:val="24"/>
          <w:lang w:val="en-GB"/>
        </w:rPr>
        <w:t xml:space="preserve"> included in column (II).</w:t>
      </w:r>
    </w:p>
    <w:p w14:paraId="3D101048" w14:textId="039A08DD" w:rsidR="001118E5" w:rsidRPr="007A2F89" w:rsidRDefault="006C4ED5" w:rsidP="007A2F89">
      <w:pPr>
        <w:rPr>
          <w:rFonts w:ascii="Times New Roman" w:hAnsi="Times New Roman"/>
          <w:sz w:val="24"/>
          <w:szCs w:val="24"/>
          <w:lang w:val="en-GB"/>
        </w:rPr>
      </w:pPr>
      <w:r w:rsidRPr="007A2F89">
        <w:rPr>
          <w:rFonts w:ascii="Times New Roman" w:hAnsi="Times New Roman"/>
          <w:sz w:val="24"/>
          <w:szCs w:val="24"/>
          <w:lang w:val="en-GB"/>
        </w:rPr>
        <w:t>These results show a positive and significant relationship between the adoption of an environmental management system certification (ISO14001) and the company</w:t>
      </w:r>
      <w:r w:rsidR="007A2F89" w:rsidRPr="007A2F89">
        <w:rPr>
          <w:rFonts w:ascii="Times New Roman" w:hAnsi="Times New Roman"/>
          <w:sz w:val="24"/>
          <w:szCs w:val="24"/>
          <w:lang w:val="en-GB"/>
        </w:rPr>
        <w:t>’</w:t>
      </w:r>
      <w:r w:rsidRPr="007A2F89">
        <w:rPr>
          <w:rFonts w:ascii="Times New Roman" w:hAnsi="Times New Roman"/>
          <w:sz w:val="24"/>
          <w:szCs w:val="24"/>
          <w:lang w:val="en-GB"/>
        </w:rPr>
        <w:t xml:space="preserve">s economic and financial results, measured </w:t>
      </w:r>
      <w:r w:rsidR="00F74CD7" w:rsidRPr="007A2F89">
        <w:rPr>
          <w:rFonts w:ascii="Times New Roman" w:hAnsi="Times New Roman"/>
          <w:sz w:val="24"/>
          <w:szCs w:val="24"/>
          <w:lang w:val="en-GB"/>
        </w:rPr>
        <w:t>with</w:t>
      </w:r>
      <w:r w:rsidRPr="007A2F89">
        <w:rPr>
          <w:rFonts w:ascii="Times New Roman" w:hAnsi="Times New Roman"/>
          <w:sz w:val="24"/>
          <w:szCs w:val="24"/>
          <w:lang w:val="en-GB"/>
        </w:rPr>
        <w:t xml:space="preserve"> the RO</w:t>
      </w:r>
      <w:r w:rsidR="00241002" w:rsidRPr="007A2F89">
        <w:rPr>
          <w:rFonts w:ascii="Times New Roman" w:hAnsi="Times New Roman"/>
          <w:sz w:val="24"/>
          <w:szCs w:val="24"/>
          <w:lang w:val="en-GB"/>
        </w:rPr>
        <w:t>A</w:t>
      </w:r>
      <w:r w:rsidRPr="007A2F89">
        <w:rPr>
          <w:rFonts w:ascii="Times New Roman" w:hAnsi="Times New Roman"/>
          <w:sz w:val="24"/>
          <w:szCs w:val="24"/>
          <w:lang w:val="en-GB"/>
        </w:rPr>
        <w:t xml:space="preserve"> value (Column II, 1.</w:t>
      </w:r>
      <w:r w:rsidR="00241002" w:rsidRPr="007A2F89">
        <w:rPr>
          <w:rFonts w:ascii="Times New Roman" w:hAnsi="Times New Roman"/>
          <w:sz w:val="24"/>
          <w:szCs w:val="24"/>
          <w:lang w:val="en-GB"/>
        </w:rPr>
        <w:t>3646</w:t>
      </w:r>
      <w:r w:rsidRPr="007A2F89">
        <w:rPr>
          <w:rFonts w:ascii="Times New Roman" w:hAnsi="Times New Roman"/>
          <w:sz w:val="24"/>
          <w:szCs w:val="24"/>
          <w:lang w:val="en-GB"/>
        </w:rPr>
        <w:t>, p&gt; 0.0</w:t>
      </w:r>
      <w:r w:rsidR="00241002" w:rsidRPr="007A2F89">
        <w:rPr>
          <w:rFonts w:ascii="Times New Roman" w:hAnsi="Times New Roman"/>
          <w:sz w:val="24"/>
          <w:szCs w:val="24"/>
          <w:lang w:val="en-GB"/>
        </w:rPr>
        <w:t>5</w:t>
      </w:r>
      <w:r w:rsidRPr="007A2F89">
        <w:rPr>
          <w:rFonts w:ascii="Times New Roman" w:hAnsi="Times New Roman"/>
          <w:sz w:val="24"/>
          <w:szCs w:val="24"/>
          <w:lang w:val="en-GB"/>
        </w:rPr>
        <w:t xml:space="preserve">) which allows us to support the research hypothesis H1. </w:t>
      </w:r>
      <w:r w:rsidR="00FA7977" w:rsidRPr="007A2F89">
        <w:rPr>
          <w:rFonts w:ascii="Times New Roman" w:hAnsi="Times New Roman"/>
          <w:sz w:val="24"/>
          <w:szCs w:val="24"/>
          <w:lang w:val="en-GB"/>
        </w:rPr>
        <w:t>Furthermore, it is possible to verify that, for the control variables, there are no significant variations in the values and in the</w:t>
      </w:r>
      <w:r w:rsidR="00F74CD7" w:rsidRPr="007A2F89">
        <w:rPr>
          <w:rFonts w:ascii="Times New Roman" w:hAnsi="Times New Roman"/>
          <w:sz w:val="24"/>
          <w:szCs w:val="24"/>
          <w:lang w:val="en-GB"/>
        </w:rPr>
        <w:t xml:space="preserve"> </w:t>
      </w:r>
      <w:r w:rsidR="00241002" w:rsidRPr="007A2F89">
        <w:rPr>
          <w:rFonts w:ascii="Times New Roman" w:hAnsi="Times New Roman"/>
          <w:sz w:val="24"/>
          <w:szCs w:val="24"/>
          <w:lang w:val="en-GB"/>
        </w:rPr>
        <w:t>coefficients</w:t>
      </w:r>
      <w:r w:rsidR="007A2F89" w:rsidRPr="007A2F89">
        <w:rPr>
          <w:rFonts w:ascii="Times New Roman" w:hAnsi="Times New Roman"/>
          <w:sz w:val="24"/>
          <w:szCs w:val="24"/>
          <w:lang w:val="en-GB"/>
        </w:rPr>
        <w:t>’</w:t>
      </w:r>
      <w:r w:rsidR="00FA7977" w:rsidRPr="007A2F89">
        <w:rPr>
          <w:rFonts w:ascii="Times New Roman" w:hAnsi="Times New Roman"/>
          <w:sz w:val="24"/>
          <w:szCs w:val="24"/>
          <w:lang w:val="en-GB"/>
        </w:rPr>
        <w:t xml:space="preserve"> significance, demonstrating </w:t>
      </w:r>
      <w:r w:rsidR="00241002" w:rsidRPr="007A2F89">
        <w:rPr>
          <w:rFonts w:ascii="Times New Roman" w:hAnsi="Times New Roman"/>
          <w:sz w:val="24"/>
          <w:szCs w:val="24"/>
          <w:lang w:val="en-GB"/>
        </w:rPr>
        <w:t>how</w:t>
      </w:r>
      <w:r w:rsidR="00FA7977" w:rsidRPr="007A2F89">
        <w:rPr>
          <w:rFonts w:ascii="Times New Roman" w:hAnsi="Times New Roman"/>
          <w:sz w:val="24"/>
          <w:szCs w:val="24"/>
          <w:lang w:val="en-GB"/>
        </w:rPr>
        <w:t xml:space="preserve"> the choice of these variables are functional to correctly define the estimated model.</w:t>
      </w:r>
    </w:p>
    <w:p w14:paraId="244E8CCF" w14:textId="77777777" w:rsidR="00D120A0" w:rsidRPr="007A2F89" w:rsidRDefault="00D120A0" w:rsidP="007A2F89">
      <w:pPr>
        <w:rPr>
          <w:rFonts w:ascii="Times New Roman" w:hAnsi="Times New Roman"/>
          <w:lang w:val="en-GB"/>
        </w:rPr>
      </w:pPr>
    </w:p>
    <w:p w14:paraId="514FF5CD" w14:textId="7405A4FC" w:rsidR="001118E5" w:rsidRPr="007A2F89" w:rsidRDefault="001118E5" w:rsidP="007A2F89">
      <w:pPr>
        <w:spacing w:after="120"/>
        <w:rPr>
          <w:rFonts w:ascii="Times New Roman" w:hAnsi="Times New Roman"/>
          <w:i/>
          <w:iCs/>
          <w:sz w:val="20"/>
          <w:szCs w:val="20"/>
          <w:lang w:val="en-GB"/>
        </w:rPr>
      </w:pPr>
      <w:r w:rsidRPr="007A2F89">
        <w:rPr>
          <w:rFonts w:ascii="Times New Roman" w:hAnsi="Times New Roman"/>
          <w:i/>
          <w:iCs/>
          <w:sz w:val="20"/>
          <w:szCs w:val="20"/>
          <w:lang w:val="en-GB"/>
        </w:rPr>
        <w:t>Tab</w:t>
      </w:r>
      <w:r w:rsidR="00E913A1" w:rsidRPr="007A2F89">
        <w:rPr>
          <w:rFonts w:ascii="Times New Roman" w:hAnsi="Times New Roman"/>
          <w:i/>
          <w:iCs/>
          <w:sz w:val="20"/>
          <w:szCs w:val="20"/>
          <w:lang w:val="en-GB"/>
        </w:rPr>
        <w:t>le</w:t>
      </w:r>
      <w:r w:rsidRPr="007A2F89">
        <w:rPr>
          <w:rFonts w:ascii="Times New Roman" w:hAnsi="Times New Roman"/>
          <w:i/>
          <w:iCs/>
          <w:sz w:val="20"/>
          <w:szCs w:val="20"/>
          <w:lang w:val="en-GB"/>
        </w:rPr>
        <w:t xml:space="preserve"> 6 –</w:t>
      </w:r>
      <w:r w:rsidR="007A2F89" w:rsidRPr="007A2F89">
        <w:rPr>
          <w:rFonts w:ascii="Times New Roman" w:hAnsi="Times New Roman"/>
          <w:i/>
          <w:iCs/>
          <w:sz w:val="20"/>
          <w:szCs w:val="20"/>
          <w:lang w:val="en-GB"/>
        </w:rPr>
        <w:t xml:space="preserve"> Results of the estimated </w:t>
      </w:r>
      <w:r w:rsidR="00FA7977" w:rsidRPr="007A2F89">
        <w:rPr>
          <w:rFonts w:ascii="Times New Roman" w:hAnsi="Times New Roman"/>
          <w:i/>
          <w:iCs/>
          <w:sz w:val="20"/>
          <w:szCs w:val="20"/>
          <w:lang w:val="en-GB"/>
        </w:rPr>
        <w:t>GLS regression models</w:t>
      </w:r>
    </w:p>
    <w:tbl>
      <w:tblPr>
        <w:tblStyle w:val="Grigliatabella"/>
        <w:tblW w:w="49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2689"/>
        <w:gridCol w:w="2653"/>
      </w:tblGrid>
      <w:tr w:rsidR="001118E5" w:rsidRPr="007A2F89" w14:paraId="775681BE" w14:textId="77777777" w:rsidTr="000A75C9">
        <w:tc>
          <w:tcPr>
            <w:tcW w:w="2217" w:type="pct"/>
            <w:tcBorders>
              <w:top w:val="single" w:sz="4" w:space="0" w:color="auto"/>
            </w:tcBorders>
            <w:vAlign w:val="center"/>
          </w:tcPr>
          <w:p w14:paraId="613676DB" w14:textId="77777777" w:rsidR="001118E5" w:rsidRPr="007A2F89" w:rsidRDefault="001118E5" w:rsidP="007A2F89">
            <w:pPr>
              <w:pStyle w:val="Newparagraph"/>
              <w:spacing w:line="240" w:lineRule="auto"/>
              <w:ind w:right="37" w:firstLine="0"/>
              <w:jc w:val="both"/>
              <w:rPr>
                <w:b/>
                <w:bCs/>
                <w:sz w:val="18"/>
                <w:szCs w:val="18"/>
              </w:rPr>
            </w:pPr>
          </w:p>
        </w:tc>
        <w:tc>
          <w:tcPr>
            <w:tcW w:w="1400" w:type="pct"/>
            <w:tcBorders>
              <w:top w:val="single" w:sz="4" w:space="0" w:color="auto"/>
            </w:tcBorders>
            <w:vAlign w:val="center"/>
          </w:tcPr>
          <w:p w14:paraId="017A9324" w14:textId="77777777" w:rsidR="001118E5" w:rsidRPr="007A2F89" w:rsidRDefault="001118E5" w:rsidP="007A2F89">
            <w:pPr>
              <w:pStyle w:val="Newparagraph"/>
              <w:tabs>
                <w:tab w:val="left" w:pos="882"/>
              </w:tabs>
              <w:spacing w:line="240" w:lineRule="auto"/>
              <w:ind w:firstLine="0"/>
              <w:jc w:val="both"/>
              <w:rPr>
                <w:b/>
                <w:bCs/>
                <w:sz w:val="18"/>
                <w:szCs w:val="18"/>
              </w:rPr>
            </w:pPr>
          </w:p>
        </w:tc>
        <w:tc>
          <w:tcPr>
            <w:tcW w:w="1382" w:type="pct"/>
            <w:tcBorders>
              <w:top w:val="single" w:sz="4" w:space="0" w:color="auto"/>
            </w:tcBorders>
            <w:vAlign w:val="center"/>
          </w:tcPr>
          <w:p w14:paraId="566B8EEA" w14:textId="77777777" w:rsidR="001118E5" w:rsidRPr="007A2F89" w:rsidRDefault="001118E5" w:rsidP="007A2F89">
            <w:pPr>
              <w:pStyle w:val="Newparagraph"/>
              <w:spacing w:line="240" w:lineRule="auto"/>
              <w:ind w:firstLine="0"/>
              <w:jc w:val="both"/>
              <w:rPr>
                <w:b/>
                <w:bCs/>
                <w:sz w:val="18"/>
                <w:szCs w:val="18"/>
                <w:lang w:val="it-IT"/>
              </w:rPr>
            </w:pPr>
            <w:r w:rsidRPr="007A2F89">
              <w:rPr>
                <w:b/>
                <w:bCs/>
                <w:sz w:val="18"/>
                <w:szCs w:val="18"/>
                <w:lang w:val="it-IT"/>
              </w:rPr>
              <w:t>Modello 1</w:t>
            </w:r>
          </w:p>
        </w:tc>
      </w:tr>
      <w:tr w:rsidR="001118E5" w:rsidRPr="007A2F89" w14:paraId="71D74059" w14:textId="77777777" w:rsidTr="000A75C9">
        <w:tc>
          <w:tcPr>
            <w:tcW w:w="2217" w:type="pct"/>
            <w:tcBorders>
              <w:bottom w:val="single" w:sz="4" w:space="0" w:color="auto"/>
            </w:tcBorders>
            <w:tcMar>
              <w:top w:w="57" w:type="dxa"/>
              <w:bottom w:w="57" w:type="dxa"/>
            </w:tcMar>
            <w:vAlign w:val="center"/>
          </w:tcPr>
          <w:p w14:paraId="4CBC606A" w14:textId="77777777" w:rsidR="001118E5" w:rsidRPr="007A2F89" w:rsidRDefault="001118E5" w:rsidP="007A2F89">
            <w:pPr>
              <w:pStyle w:val="Newparagraph"/>
              <w:spacing w:line="240" w:lineRule="auto"/>
              <w:ind w:right="37" w:firstLine="0"/>
              <w:jc w:val="both"/>
              <w:rPr>
                <w:b/>
                <w:bCs/>
                <w:sz w:val="18"/>
                <w:szCs w:val="18"/>
                <w:lang w:val="it-IT"/>
              </w:rPr>
            </w:pPr>
          </w:p>
        </w:tc>
        <w:tc>
          <w:tcPr>
            <w:tcW w:w="1400" w:type="pct"/>
            <w:tcBorders>
              <w:bottom w:val="single" w:sz="4" w:space="0" w:color="auto"/>
            </w:tcBorders>
            <w:tcMar>
              <w:top w:w="57" w:type="dxa"/>
              <w:bottom w:w="57" w:type="dxa"/>
            </w:tcMar>
            <w:vAlign w:val="center"/>
          </w:tcPr>
          <w:p w14:paraId="71CBAF3A" w14:textId="77777777" w:rsidR="001118E5" w:rsidRPr="007A2F89" w:rsidRDefault="001118E5" w:rsidP="007A2F89">
            <w:pPr>
              <w:pStyle w:val="Newparagraph"/>
              <w:tabs>
                <w:tab w:val="left" w:pos="882"/>
              </w:tabs>
              <w:spacing w:line="240" w:lineRule="auto"/>
              <w:ind w:firstLine="0"/>
              <w:jc w:val="both"/>
              <w:rPr>
                <w:b/>
                <w:bCs/>
                <w:sz w:val="18"/>
                <w:szCs w:val="18"/>
                <w:lang w:val="it-IT"/>
              </w:rPr>
            </w:pPr>
            <w:r w:rsidRPr="007A2F89">
              <w:rPr>
                <w:b/>
                <w:bCs/>
                <w:sz w:val="18"/>
                <w:szCs w:val="18"/>
                <w:lang w:val="it-IT"/>
              </w:rPr>
              <w:t>(I)</w:t>
            </w:r>
          </w:p>
        </w:tc>
        <w:tc>
          <w:tcPr>
            <w:tcW w:w="1382" w:type="pct"/>
            <w:tcBorders>
              <w:bottom w:val="single" w:sz="4" w:space="0" w:color="auto"/>
            </w:tcBorders>
            <w:tcMar>
              <w:top w:w="57" w:type="dxa"/>
              <w:bottom w:w="57" w:type="dxa"/>
            </w:tcMar>
            <w:vAlign w:val="center"/>
          </w:tcPr>
          <w:p w14:paraId="2E0E336A" w14:textId="77777777" w:rsidR="001118E5" w:rsidRPr="007A2F89" w:rsidRDefault="001118E5" w:rsidP="007A2F89">
            <w:pPr>
              <w:pStyle w:val="Newparagraph"/>
              <w:spacing w:line="240" w:lineRule="auto"/>
              <w:ind w:firstLine="0"/>
              <w:jc w:val="both"/>
              <w:rPr>
                <w:b/>
                <w:bCs/>
                <w:sz w:val="18"/>
                <w:szCs w:val="18"/>
                <w:lang w:val="it-IT"/>
              </w:rPr>
            </w:pPr>
            <w:r w:rsidRPr="007A2F89">
              <w:rPr>
                <w:b/>
                <w:bCs/>
                <w:sz w:val="18"/>
                <w:szCs w:val="18"/>
                <w:lang w:val="it-IT"/>
              </w:rPr>
              <w:t>(II)</w:t>
            </w:r>
          </w:p>
        </w:tc>
      </w:tr>
      <w:tr w:rsidR="001118E5" w:rsidRPr="007A2F89" w14:paraId="6D36D68B" w14:textId="77777777" w:rsidTr="000A75C9">
        <w:tc>
          <w:tcPr>
            <w:tcW w:w="2217" w:type="pct"/>
            <w:tcBorders>
              <w:top w:val="single" w:sz="4" w:space="0" w:color="auto"/>
            </w:tcBorders>
            <w:tcMar>
              <w:top w:w="57" w:type="dxa"/>
              <w:bottom w:w="57" w:type="dxa"/>
            </w:tcMar>
            <w:vAlign w:val="center"/>
          </w:tcPr>
          <w:p w14:paraId="69CC842D" w14:textId="77777777" w:rsidR="001118E5" w:rsidRPr="007A2F89" w:rsidRDefault="001118E5" w:rsidP="007A2F89">
            <w:pPr>
              <w:pStyle w:val="Newparagraph"/>
              <w:spacing w:line="240" w:lineRule="auto"/>
              <w:ind w:right="37" w:firstLine="0"/>
              <w:jc w:val="both"/>
              <w:rPr>
                <w:sz w:val="18"/>
                <w:szCs w:val="18"/>
                <w:lang w:val="it-IT"/>
              </w:rPr>
            </w:pPr>
            <w:r w:rsidRPr="007A2F89">
              <w:rPr>
                <w:sz w:val="18"/>
                <w:szCs w:val="18"/>
                <w:lang w:val="it-IT"/>
              </w:rPr>
              <w:t>ISO14001</w:t>
            </w:r>
          </w:p>
        </w:tc>
        <w:tc>
          <w:tcPr>
            <w:tcW w:w="1400" w:type="pct"/>
            <w:tcBorders>
              <w:top w:val="single" w:sz="4" w:space="0" w:color="auto"/>
            </w:tcBorders>
            <w:tcMar>
              <w:top w:w="57" w:type="dxa"/>
              <w:bottom w:w="57" w:type="dxa"/>
            </w:tcMar>
            <w:vAlign w:val="center"/>
          </w:tcPr>
          <w:p w14:paraId="65F79746" w14:textId="77777777" w:rsidR="001118E5" w:rsidRPr="007A2F89" w:rsidRDefault="001118E5" w:rsidP="007A2F89">
            <w:pPr>
              <w:pStyle w:val="Newparagraph"/>
              <w:tabs>
                <w:tab w:val="left" w:pos="882"/>
              </w:tabs>
              <w:spacing w:line="240" w:lineRule="auto"/>
              <w:ind w:firstLine="0"/>
              <w:jc w:val="both"/>
              <w:rPr>
                <w:sz w:val="18"/>
                <w:szCs w:val="18"/>
                <w:lang w:val="it-IT"/>
              </w:rPr>
            </w:pPr>
          </w:p>
        </w:tc>
        <w:tc>
          <w:tcPr>
            <w:tcW w:w="1382" w:type="pct"/>
            <w:tcBorders>
              <w:top w:val="single" w:sz="4" w:space="0" w:color="auto"/>
            </w:tcBorders>
            <w:tcMar>
              <w:top w:w="57" w:type="dxa"/>
              <w:bottom w:w="57" w:type="dxa"/>
            </w:tcMar>
            <w:vAlign w:val="center"/>
          </w:tcPr>
          <w:p w14:paraId="66734BF8" w14:textId="39D32353"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1.</w:t>
            </w:r>
            <w:r w:rsidR="00660E78" w:rsidRPr="007A2F89">
              <w:rPr>
                <w:sz w:val="18"/>
                <w:szCs w:val="18"/>
                <w:lang w:val="it-IT"/>
              </w:rPr>
              <w:t>3646</w:t>
            </w:r>
            <w:r w:rsidR="00432809" w:rsidRPr="007A2F89">
              <w:rPr>
                <w:sz w:val="18"/>
                <w:szCs w:val="18"/>
                <w:lang w:val="it-IT"/>
              </w:rPr>
              <w:t>**</w:t>
            </w:r>
          </w:p>
          <w:p w14:paraId="70364660" w14:textId="3FF02ED8"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6835</w:t>
            </w:r>
            <w:r w:rsidRPr="007A2F89">
              <w:rPr>
                <w:sz w:val="18"/>
                <w:szCs w:val="18"/>
                <w:lang w:val="it-IT"/>
              </w:rPr>
              <w:t>)</w:t>
            </w:r>
          </w:p>
        </w:tc>
      </w:tr>
      <w:tr w:rsidR="001118E5" w:rsidRPr="007A2F89" w14:paraId="36DABFBA" w14:textId="77777777" w:rsidTr="000A75C9">
        <w:tc>
          <w:tcPr>
            <w:tcW w:w="2217" w:type="pct"/>
            <w:tcMar>
              <w:top w:w="57" w:type="dxa"/>
              <w:bottom w:w="57" w:type="dxa"/>
            </w:tcMar>
            <w:vAlign w:val="center"/>
          </w:tcPr>
          <w:p w14:paraId="6BD1947F" w14:textId="44F39EB8" w:rsidR="001118E5" w:rsidRPr="007A2F89" w:rsidRDefault="00FA7977" w:rsidP="007A2F89">
            <w:pPr>
              <w:pStyle w:val="Newparagraph"/>
              <w:spacing w:line="240" w:lineRule="auto"/>
              <w:ind w:left="171" w:right="37" w:firstLine="0"/>
              <w:jc w:val="both"/>
              <w:rPr>
                <w:i/>
                <w:iCs/>
                <w:sz w:val="18"/>
                <w:szCs w:val="18"/>
                <w:lang w:val="it-IT"/>
              </w:rPr>
            </w:pPr>
            <w:r w:rsidRPr="007A2F89">
              <w:rPr>
                <w:i/>
                <w:iCs/>
                <w:sz w:val="18"/>
                <w:szCs w:val="18"/>
                <w:lang w:val="it-IT"/>
              </w:rPr>
              <w:t xml:space="preserve">Control </w:t>
            </w:r>
            <w:proofErr w:type="spellStart"/>
            <w:r w:rsidRPr="007A2F89">
              <w:rPr>
                <w:i/>
                <w:iCs/>
                <w:sz w:val="18"/>
                <w:szCs w:val="18"/>
                <w:lang w:val="it-IT"/>
              </w:rPr>
              <w:t>Variables</w:t>
            </w:r>
            <w:proofErr w:type="spellEnd"/>
          </w:p>
        </w:tc>
        <w:tc>
          <w:tcPr>
            <w:tcW w:w="1400" w:type="pct"/>
            <w:tcMar>
              <w:top w:w="57" w:type="dxa"/>
              <w:bottom w:w="57" w:type="dxa"/>
            </w:tcMar>
            <w:vAlign w:val="center"/>
          </w:tcPr>
          <w:p w14:paraId="623AABAB" w14:textId="77777777" w:rsidR="001118E5" w:rsidRPr="007A2F89" w:rsidRDefault="001118E5" w:rsidP="007A2F89">
            <w:pPr>
              <w:pStyle w:val="Newparagraph"/>
              <w:tabs>
                <w:tab w:val="left" w:pos="882"/>
              </w:tabs>
              <w:spacing w:line="240" w:lineRule="auto"/>
              <w:ind w:firstLine="0"/>
              <w:jc w:val="both"/>
              <w:rPr>
                <w:sz w:val="18"/>
                <w:szCs w:val="18"/>
                <w:lang w:val="it-IT"/>
              </w:rPr>
            </w:pPr>
          </w:p>
        </w:tc>
        <w:tc>
          <w:tcPr>
            <w:tcW w:w="1382" w:type="pct"/>
            <w:tcMar>
              <w:top w:w="57" w:type="dxa"/>
              <w:bottom w:w="57" w:type="dxa"/>
            </w:tcMar>
            <w:vAlign w:val="center"/>
          </w:tcPr>
          <w:p w14:paraId="7FD8AFBC" w14:textId="77777777" w:rsidR="001118E5" w:rsidRPr="007A2F89" w:rsidRDefault="001118E5" w:rsidP="007A2F89">
            <w:pPr>
              <w:pStyle w:val="Newparagraph"/>
              <w:spacing w:line="240" w:lineRule="auto"/>
              <w:ind w:firstLine="0"/>
              <w:jc w:val="both"/>
              <w:rPr>
                <w:sz w:val="18"/>
                <w:szCs w:val="18"/>
                <w:lang w:val="it-IT"/>
              </w:rPr>
            </w:pPr>
          </w:p>
        </w:tc>
      </w:tr>
      <w:tr w:rsidR="001118E5" w:rsidRPr="007A2F89" w14:paraId="618B0046" w14:textId="77777777" w:rsidTr="000A75C9">
        <w:tc>
          <w:tcPr>
            <w:tcW w:w="2217" w:type="pct"/>
            <w:tcMar>
              <w:top w:w="57" w:type="dxa"/>
              <w:bottom w:w="57" w:type="dxa"/>
            </w:tcMar>
            <w:vAlign w:val="center"/>
          </w:tcPr>
          <w:p w14:paraId="00FA02F0" w14:textId="66BBA371" w:rsidR="001118E5" w:rsidRPr="007A2F89" w:rsidRDefault="00FA7977" w:rsidP="007A2F89">
            <w:pPr>
              <w:pStyle w:val="Newparagraph"/>
              <w:spacing w:line="240" w:lineRule="auto"/>
              <w:ind w:left="313" w:right="37" w:firstLine="0"/>
              <w:jc w:val="both"/>
              <w:rPr>
                <w:sz w:val="18"/>
                <w:szCs w:val="18"/>
                <w:lang w:val="it-IT"/>
              </w:rPr>
            </w:pPr>
            <w:r w:rsidRPr="007A2F89">
              <w:rPr>
                <w:sz w:val="18"/>
                <w:szCs w:val="18"/>
                <w:lang w:val="it-IT"/>
              </w:rPr>
              <w:t>Age</w:t>
            </w:r>
          </w:p>
        </w:tc>
        <w:tc>
          <w:tcPr>
            <w:tcW w:w="1400" w:type="pct"/>
            <w:tcMar>
              <w:top w:w="57" w:type="dxa"/>
              <w:bottom w:w="57" w:type="dxa"/>
            </w:tcMar>
            <w:vAlign w:val="center"/>
          </w:tcPr>
          <w:p w14:paraId="0B00BD7F" w14:textId="17296095" w:rsidR="001118E5" w:rsidRPr="007A2F89" w:rsidRDefault="00EF7631" w:rsidP="007A2F89">
            <w:pPr>
              <w:pStyle w:val="Newparagraph"/>
              <w:tabs>
                <w:tab w:val="left" w:pos="882"/>
              </w:tabs>
              <w:spacing w:line="240" w:lineRule="auto"/>
              <w:ind w:firstLine="0"/>
              <w:jc w:val="both"/>
              <w:rPr>
                <w:sz w:val="18"/>
                <w:szCs w:val="18"/>
                <w:lang w:val="it-IT"/>
              </w:rPr>
            </w:pPr>
            <w:r w:rsidRPr="007A2F89">
              <w:rPr>
                <w:sz w:val="18"/>
                <w:szCs w:val="18"/>
                <w:lang w:val="it-IT"/>
              </w:rPr>
              <w:t>-2.2214</w:t>
            </w:r>
            <w:r w:rsidR="00660E78" w:rsidRPr="007A2F89">
              <w:rPr>
                <w:sz w:val="18"/>
                <w:szCs w:val="18"/>
                <w:lang w:val="it-IT"/>
              </w:rPr>
              <w:t>**</w:t>
            </w:r>
            <w:r w:rsidRPr="007A2F89">
              <w:rPr>
                <w:sz w:val="18"/>
                <w:szCs w:val="18"/>
                <w:lang w:val="it-IT"/>
              </w:rPr>
              <w:br/>
            </w:r>
            <w:r w:rsidR="001118E5" w:rsidRPr="007A2F89">
              <w:rPr>
                <w:sz w:val="18"/>
                <w:szCs w:val="18"/>
                <w:lang w:val="it-IT"/>
              </w:rPr>
              <w:t>(0.</w:t>
            </w:r>
            <w:r w:rsidR="00EC6690" w:rsidRPr="007A2F89">
              <w:rPr>
                <w:sz w:val="18"/>
                <w:szCs w:val="18"/>
                <w:lang w:val="it-IT"/>
              </w:rPr>
              <w:t>7803</w:t>
            </w:r>
            <w:r w:rsidR="001118E5" w:rsidRPr="007A2F89">
              <w:rPr>
                <w:sz w:val="18"/>
                <w:szCs w:val="18"/>
                <w:lang w:val="it-IT"/>
              </w:rPr>
              <w:t>)</w:t>
            </w:r>
          </w:p>
        </w:tc>
        <w:tc>
          <w:tcPr>
            <w:tcW w:w="1382" w:type="pct"/>
            <w:tcMar>
              <w:top w:w="57" w:type="dxa"/>
              <w:bottom w:w="57" w:type="dxa"/>
            </w:tcMar>
            <w:vAlign w:val="center"/>
          </w:tcPr>
          <w:p w14:paraId="36725836" w14:textId="173AD471"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w:t>
            </w:r>
            <w:r w:rsidR="00660E78" w:rsidRPr="007A2F89">
              <w:rPr>
                <w:sz w:val="18"/>
                <w:szCs w:val="18"/>
                <w:lang w:val="it-IT"/>
              </w:rPr>
              <w:t>2</w:t>
            </w:r>
            <w:r w:rsidRPr="007A2F89">
              <w:rPr>
                <w:sz w:val="18"/>
                <w:szCs w:val="18"/>
                <w:lang w:val="it-IT"/>
              </w:rPr>
              <w:t>.</w:t>
            </w:r>
            <w:r w:rsidR="00660E78" w:rsidRPr="007A2F89">
              <w:rPr>
                <w:sz w:val="18"/>
                <w:szCs w:val="18"/>
                <w:lang w:val="it-IT"/>
              </w:rPr>
              <w:t>2159</w:t>
            </w:r>
            <w:r w:rsidR="00432809" w:rsidRPr="007A2F89">
              <w:rPr>
                <w:sz w:val="18"/>
                <w:szCs w:val="18"/>
                <w:lang w:val="it-IT"/>
              </w:rPr>
              <w:t>**</w:t>
            </w:r>
          </w:p>
          <w:p w14:paraId="5BAEF21C" w14:textId="1530C77C"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7781</w:t>
            </w:r>
            <w:r w:rsidRPr="007A2F89">
              <w:rPr>
                <w:sz w:val="18"/>
                <w:szCs w:val="18"/>
                <w:lang w:val="it-IT"/>
              </w:rPr>
              <w:t>)</w:t>
            </w:r>
          </w:p>
        </w:tc>
      </w:tr>
      <w:tr w:rsidR="001118E5" w:rsidRPr="007A2F89" w14:paraId="2BF153B3" w14:textId="77777777" w:rsidTr="000A75C9">
        <w:tc>
          <w:tcPr>
            <w:tcW w:w="2217" w:type="pct"/>
            <w:tcMar>
              <w:top w:w="57" w:type="dxa"/>
              <w:bottom w:w="57" w:type="dxa"/>
            </w:tcMar>
            <w:vAlign w:val="center"/>
          </w:tcPr>
          <w:p w14:paraId="2C96710C" w14:textId="4DBFB02E" w:rsidR="001118E5" w:rsidRPr="007A2F89" w:rsidRDefault="00EC6690" w:rsidP="007A2F89">
            <w:pPr>
              <w:pStyle w:val="Newparagraph"/>
              <w:spacing w:line="240" w:lineRule="auto"/>
              <w:ind w:left="313" w:right="37" w:firstLine="0"/>
              <w:jc w:val="both"/>
              <w:rPr>
                <w:sz w:val="18"/>
                <w:szCs w:val="18"/>
                <w:lang w:val="it-IT"/>
              </w:rPr>
            </w:pPr>
            <w:proofErr w:type="spellStart"/>
            <w:r w:rsidRPr="007A2F89">
              <w:rPr>
                <w:sz w:val="18"/>
                <w:szCs w:val="18"/>
                <w:lang w:val="it-IT"/>
              </w:rPr>
              <w:t>Employees</w:t>
            </w:r>
            <w:proofErr w:type="spellEnd"/>
          </w:p>
        </w:tc>
        <w:tc>
          <w:tcPr>
            <w:tcW w:w="1400" w:type="pct"/>
            <w:tcMar>
              <w:top w:w="57" w:type="dxa"/>
              <w:bottom w:w="57" w:type="dxa"/>
            </w:tcMar>
            <w:vAlign w:val="center"/>
          </w:tcPr>
          <w:p w14:paraId="227B9741" w14:textId="296AE38F"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5311</w:t>
            </w:r>
            <w:r w:rsidR="00660E78" w:rsidRPr="007A2F89">
              <w:rPr>
                <w:sz w:val="18"/>
                <w:szCs w:val="18"/>
                <w:lang w:val="it-IT"/>
              </w:rPr>
              <w:t>*</w:t>
            </w:r>
          </w:p>
          <w:p w14:paraId="7A664D6F" w14:textId="44EF647D"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3162</w:t>
            </w:r>
            <w:r w:rsidRPr="007A2F89">
              <w:rPr>
                <w:sz w:val="18"/>
                <w:szCs w:val="18"/>
                <w:lang w:val="it-IT"/>
              </w:rPr>
              <w:t>)</w:t>
            </w:r>
          </w:p>
        </w:tc>
        <w:tc>
          <w:tcPr>
            <w:tcW w:w="1382" w:type="pct"/>
            <w:tcMar>
              <w:top w:w="57" w:type="dxa"/>
              <w:bottom w:w="57" w:type="dxa"/>
            </w:tcMar>
            <w:vAlign w:val="center"/>
          </w:tcPr>
          <w:p w14:paraId="41B59DB3" w14:textId="1ABEAF70"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4740</w:t>
            </w:r>
          </w:p>
          <w:p w14:paraId="6F6FB7F6" w14:textId="458EDCD8"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3166</w:t>
            </w:r>
            <w:r w:rsidRPr="007A2F89">
              <w:rPr>
                <w:sz w:val="18"/>
                <w:szCs w:val="18"/>
                <w:lang w:val="it-IT"/>
              </w:rPr>
              <w:t>)</w:t>
            </w:r>
          </w:p>
        </w:tc>
      </w:tr>
      <w:tr w:rsidR="001118E5" w:rsidRPr="007A2F89" w14:paraId="3D25F46D" w14:textId="77777777" w:rsidTr="000A75C9">
        <w:tc>
          <w:tcPr>
            <w:tcW w:w="2217" w:type="pct"/>
            <w:tcMar>
              <w:top w:w="57" w:type="dxa"/>
              <w:bottom w:w="57" w:type="dxa"/>
            </w:tcMar>
            <w:vAlign w:val="center"/>
          </w:tcPr>
          <w:p w14:paraId="395FBDDC"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Teramo</w:t>
            </w:r>
          </w:p>
        </w:tc>
        <w:tc>
          <w:tcPr>
            <w:tcW w:w="1400" w:type="pct"/>
            <w:tcMar>
              <w:top w:w="57" w:type="dxa"/>
              <w:bottom w:w="57" w:type="dxa"/>
            </w:tcMar>
            <w:vAlign w:val="center"/>
          </w:tcPr>
          <w:p w14:paraId="2903742B" w14:textId="692EEB8E"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6280</w:t>
            </w:r>
          </w:p>
          <w:p w14:paraId="048C67E5" w14:textId="43FAD421"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w:t>
            </w:r>
            <w:r w:rsidR="00EC6690" w:rsidRPr="007A2F89">
              <w:rPr>
                <w:sz w:val="18"/>
                <w:szCs w:val="18"/>
                <w:lang w:val="it-IT"/>
              </w:rPr>
              <w:t>1.0367</w:t>
            </w:r>
            <w:r w:rsidRPr="007A2F89">
              <w:rPr>
                <w:sz w:val="18"/>
                <w:szCs w:val="18"/>
                <w:lang w:val="it-IT"/>
              </w:rPr>
              <w:t>)</w:t>
            </w:r>
          </w:p>
        </w:tc>
        <w:tc>
          <w:tcPr>
            <w:tcW w:w="1382" w:type="pct"/>
            <w:tcMar>
              <w:top w:w="57" w:type="dxa"/>
              <w:bottom w:w="57" w:type="dxa"/>
            </w:tcMar>
            <w:vAlign w:val="center"/>
          </w:tcPr>
          <w:p w14:paraId="197A809B" w14:textId="2D03EBCB"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w:t>
            </w:r>
            <w:r w:rsidR="00660E78" w:rsidRPr="007A2F89">
              <w:rPr>
                <w:sz w:val="18"/>
                <w:szCs w:val="18"/>
                <w:lang w:val="it-IT"/>
              </w:rPr>
              <w:t>0</w:t>
            </w:r>
            <w:r w:rsidRPr="007A2F89">
              <w:rPr>
                <w:sz w:val="18"/>
                <w:szCs w:val="18"/>
                <w:lang w:val="it-IT"/>
              </w:rPr>
              <w:t>.</w:t>
            </w:r>
            <w:r w:rsidR="00660E78" w:rsidRPr="007A2F89">
              <w:rPr>
                <w:sz w:val="18"/>
                <w:szCs w:val="18"/>
                <w:lang w:val="it-IT"/>
              </w:rPr>
              <w:t>7340</w:t>
            </w:r>
          </w:p>
          <w:p w14:paraId="0BA46792" w14:textId="74832F8D"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w:t>
            </w:r>
            <w:r w:rsidR="00660E78" w:rsidRPr="007A2F89">
              <w:rPr>
                <w:sz w:val="18"/>
                <w:szCs w:val="18"/>
                <w:lang w:val="it-IT"/>
              </w:rPr>
              <w:t>1.0337</w:t>
            </w:r>
            <w:r w:rsidRPr="007A2F89">
              <w:rPr>
                <w:sz w:val="18"/>
                <w:szCs w:val="18"/>
                <w:lang w:val="it-IT"/>
              </w:rPr>
              <w:t>)</w:t>
            </w:r>
          </w:p>
        </w:tc>
      </w:tr>
      <w:tr w:rsidR="001118E5" w:rsidRPr="007A2F89" w14:paraId="4F05757B" w14:textId="77777777" w:rsidTr="000A75C9">
        <w:tc>
          <w:tcPr>
            <w:tcW w:w="2217" w:type="pct"/>
            <w:tcMar>
              <w:top w:w="57" w:type="dxa"/>
              <w:bottom w:w="57" w:type="dxa"/>
            </w:tcMar>
            <w:vAlign w:val="center"/>
          </w:tcPr>
          <w:p w14:paraId="741ECFC3"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Chieti</w:t>
            </w:r>
          </w:p>
        </w:tc>
        <w:tc>
          <w:tcPr>
            <w:tcW w:w="1400" w:type="pct"/>
            <w:tcMar>
              <w:top w:w="57" w:type="dxa"/>
              <w:bottom w:w="57" w:type="dxa"/>
            </w:tcMar>
            <w:vAlign w:val="center"/>
          </w:tcPr>
          <w:p w14:paraId="5D1567B2" w14:textId="4C308465"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w:t>
            </w:r>
            <w:r w:rsidR="00EC6690" w:rsidRPr="007A2F89">
              <w:rPr>
                <w:sz w:val="18"/>
                <w:szCs w:val="18"/>
                <w:lang w:val="it-IT"/>
              </w:rPr>
              <w:t>0</w:t>
            </w:r>
            <w:r w:rsidRPr="007A2F89">
              <w:rPr>
                <w:sz w:val="18"/>
                <w:szCs w:val="18"/>
                <w:lang w:val="it-IT"/>
              </w:rPr>
              <w:t>.</w:t>
            </w:r>
            <w:r w:rsidR="00EC6690" w:rsidRPr="007A2F89">
              <w:rPr>
                <w:sz w:val="18"/>
                <w:szCs w:val="18"/>
                <w:lang w:val="it-IT"/>
              </w:rPr>
              <w:t>5640</w:t>
            </w:r>
          </w:p>
          <w:p w14:paraId="1937FB3F" w14:textId="163241AD"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9297</w:t>
            </w:r>
            <w:r w:rsidRPr="007A2F89">
              <w:rPr>
                <w:sz w:val="18"/>
                <w:szCs w:val="18"/>
                <w:lang w:val="it-IT"/>
              </w:rPr>
              <w:t>)</w:t>
            </w:r>
          </w:p>
        </w:tc>
        <w:tc>
          <w:tcPr>
            <w:tcW w:w="1382" w:type="pct"/>
            <w:tcMar>
              <w:top w:w="57" w:type="dxa"/>
              <w:bottom w:w="57" w:type="dxa"/>
            </w:tcMar>
            <w:vAlign w:val="center"/>
          </w:tcPr>
          <w:p w14:paraId="13AE62BA" w14:textId="3FB0D51B"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w:t>
            </w:r>
            <w:r w:rsidR="00660E78" w:rsidRPr="007A2F89">
              <w:rPr>
                <w:sz w:val="18"/>
                <w:szCs w:val="18"/>
                <w:lang w:val="it-IT"/>
              </w:rPr>
              <w:t>0.6006</w:t>
            </w:r>
          </w:p>
          <w:p w14:paraId="240E2DF2" w14:textId="6E43592B"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9272</w:t>
            </w:r>
            <w:r w:rsidRPr="007A2F89">
              <w:rPr>
                <w:sz w:val="18"/>
                <w:szCs w:val="18"/>
                <w:lang w:val="it-IT"/>
              </w:rPr>
              <w:t>)</w:t>
            </w:r>
          </w:p>
        </w:tc>
      </w:tr>
      <w:tr w:rsidR="001118E5" w:rsidRPr="007A2F89" w14:paraId="1403185C" w14:textId="77777777" w:rsidTr="000A75C9">
        <w:tc>
          <w:tcPr>
            <w:tcW w:w="2217" w:type="pct"/>
            <w:tcMar>
              <w:top w:w="57" w:type="dxa"/>
              <w:bottom w:w="57" w:type="dxa"/>
            </w:tcMar>
            <w:vAlign w:val="center"/>
          </w:tcPr>
          <w:p w14:paraId="1F78BDFC" w14:textId="4C8D756C"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L</w:t>
            </w:r>
            <w:r w:rsidR="007A2F89" w:rsidRPr="007A2F89">
              <w:rPr>
                <w:sz w:val="18"/>
                <w:szCs w:val="18"/>
                <w:lang w:val="it-IT"/>
              </w:rPr>
              <w:t>’</w:t>
            </w:r>
            <w:r w:rsidRPr="007A2F89">
              <w:rPr>
                <w:sz w:val="18"/>
                <w:szCs w:val="18"/>
                <w:lang w:val="it-IT"/>
              </w:rPr>
              <w:t>Aquila</w:t>
            </w:r>
          </w:p>
        </w:tc>
        <w:tc>
          <w:tcPr>
            <w:tcW w:w="1400" w:type="pct"/>
            <w:tcMar>
              <w:top w:w="57" w:type="dxa"/>
              <w:bottom w:w="57" w:type="dxa"/>
            </w:tcMar>
            <w:vAlign w:val="center"/>
          </w:tcPr>
          <w:p w14:paraId="761D3F44" w14:textId="0B5E9412"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-1.</w:t>
            </w:r>
            <w:r w:rsidR="00EC6690" w:rsidRPr="007A2F89">
              <w:rPr>
                <w:sz w:val="18"/>
                <w:szCs w:val="18"/>
                <w:lang w:val="it-IT"/>
              </w:rPr>
              <w:t>1131</w:t>
            </w:r>
          </w:p>
          <w:p w14:paraId="5B1101EC" w14:textId="42555B2A"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w:t>
            </w:r>
            <w:r w:rsidR="00EC6690" w:rsidRPr="007A2F89">
              <w:rPr>
                <w:sz w:val="18"/>
                <w:szCs w:val="18"/>
                <w:lang w:val="it-IT"/>
              </w:rPr>
              <w:t>1.1682</w:t>
            </w:r>
            <w:r w:rsidRPr="007A2F89">
              <w:rPr>
                <w:sz w:val="18"/>
                <w:szCs w:val="18"/>
                <w:lang w:val="it-IT"/>
              </w:rPr>
              <w:t>)</w:t>
            </w:r>
          </w:p>
        </w:tc>
        <w:tc>
          <w:tcPr>
            <w:tcW w:w="1382" w:type="pct"/>
            <w:tcMar>
              <w:top w:w="57" w:type="dxa"/>
              <w:bottom w:w="57" w:type="dxa"/>
            </w:tcMar>
            <w:vAlign w:val="center"/>
          </w:tcPr>
          <w:p w14:paraId="36839C11" w14:textId="45BA2FB4"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-1.</w:t>
            </w:r>
            <w:r w:rsidR="00660E78" w:rsidRPr="007A2F89">
              <w:rPr>
                <w:sz w:val="18"/>
                <w:szCs w:val="18"/>
                <w:lang w:val="it-IT"/>
              </w:rPr>
              <w:t>1180</w:t>
            </w:r>
          </w:p>
          <w:p w14:paraId="72071024" w14:textId="75373FFF"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w:t>
            </w:r>
            <w:r w:rsidR="00660E78" w:rsidRPr="007A2F89">
              <w:rPr>
                <w:sz w:val="18"/>
                <w:szCs w:val="18"/>
                <w:lang w:val="it-IT"/>
              </w:rPr>
              <w:t>1</w:t>
            </w:r>
            <w:r w:rsidRPr="007A2F89">
              <w:rPr>
                <w:sz w:val="18"/>
                <w:szCs w:val="18"/>
                <w:lang w:val="it-IT"/>
              </w:rPr>
              <w:t>.</w:t>
            </w:r>
            <w:r w:rsidR="00660E78" w:rsidRPr="007A2F89">
              <w:rPr>
                <w:sz w:val="18"/>
                <w:szCs w:val="18"/>
                <w:lang w:val="it-IT"/>
              </w:rPr>
              <w:t>1648</w:t>
            </w:r>
            <w:r w:rsidRPr="007A2F89">
              <w:rPr>
                <w:sz w:val="18"/>
                <w:szCs w:val="18"/>
                <w:lang w:val="it-IT"/>
              </w:rPr>
              <w:t>)</w:t>
            </w:r>
          </w:p>
        </w:tc>
      </w:tr>
      <w:tr w:rsidR="001118E5" w:rsidRPr="007A2F89" w14:paraId="532A5A40" w14:textId="77777777" w:rsidTr="000A75C9">
        <w:tc>
          <w:tcPr>
            <w:tcW w:w="2217" w:type="pct"/>
            <w:tcMar>
              <w:top w:w="57" w:type="dxa"/>
              <w:bottom w:w="57" w:type="dxa"/>
            </w:tcMar>
            <w:vAlign w:val="center"/>
          </w:tcPr>
          <w:p w14:paraId="55CA4ED2"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Pescara</w:t>
            </w:r>
          </w:p>
        </w:tc>
        <w:tc>
          <w:tcPr>
            <w:tcW w:w="1400" w:type="pct"/>
            <w:tcMar>
              <w:top w:w="57" w:type="dxa"/>
              <w:bottom w:w="57" w:type="dxa"/>
            </w:tcMar>
            <w:vAlign w:val="center"/>
          </w:tcPr>
          <w:p w14:paraId="4D3EC07B" w14:textId="77777777" w:rsidR="001118E5" w:rsidRPr="007A2F89" w:rsidRDefault="001118E5" w:rsidP="007A2F89">
            <w:pPr>
              <w:pStyle w:val="Newparagraph"/>
              <w:tabs>
                <w:tab w:val="left" w:pos="882"/>
              </w:tabs>
              <w:spacing w:line="240" w:lineRule="auto"/>
              <w:ind w:firstLine="0"/>
              <w:jc w:val="both"/>
              <w:rPr>
                <w:i/>
                <w:iCs/>
                <w:sz w:val="18"/>
                <w:szCs w:val="18"/>
                <w:lang w:val="it-IT"/>
              </w:rPr>
            </w:pPr>
            <w:r w:rsidRPr="007A2F89">
              <w:rPr>
                <w:i/>
                <w:iCs/>
                <w:sz w:val="18"/>
                <w:szCs w:val="18"/>
                <w:lang w:val="it-IT"/>
              </w:rPr>
              <w:t>(</w:t>
            </w:r>
            <w:proofErr w:type="spellStart"/>
            <w:r w:rsidRPr="007A2F89">
              <w:rPr>
                <w:i/>
                <w:iCs/>
                <w:sz w:val="18"/>
                <w:szCs w:val="18"/>
                <w:lang w:val="it-IT"/>
              </w:rPr>
              <w:t>omitted</w:t>
            </w:r>
            <w:proofErr w:type="spellEnd"/>
            <w:r w:rsidRPr="007A2F89">
              <w:rPr>
                <w:i/>
                <w:iCs/>
                <w:sz w:val="18"/>
                <w:szCs w:val="18"/>
                <w:lang w:val="it-IT"/>
              </w:rPr>
              <w:t>)</w:t>
            </w:r>
          </w:p>
        </w:tc>
        <w:tc>
          <w:tcPr>
            <w:tcW w:w="1382" w:type="pct"/>
            <w:tcMar>
              <w:top w:w="57" w:type="dxa"/>
              <w:bottom w:w="57" w:type="dxa"/>
            </w:tcMar>
            <w:vAlign w:val="center"/>
          </w:tcPr>
          <w:p w14:paraId="7B6B01A0" w14:textId="77777777" w:rsidR="001118E5" w:rsidRPr="007A2F89" w:rsidRDefault="001118E5" w:rsidP="007A2F89">
            <w:pPr>
              <w:pStyle w:val="Newparagraph"/>
              <w:spacing w:line="240" w:lineRule="auto"/>
              <w:ind w:firstLine="0"/>
              <w:jc w:val="both"/>
              <w:rPr>
                <w:i/>
                <w:iCs/>
                <w:sz w:val="18"/>
                <w:szCs w:val="18"/>
                <w:lang w:val="it-IT"/>
              </w:rPr>
            </w:pPr>
            <w:r w:rsidRPr="007A2F89">
              <w:rPr>
                <w:i/>
                <w:iCs/>
                <w:sz w:val="18"/>
                <w:szCs w:val="18"/>
                <w:lang w:val="it-IT"/>
              </w:rPr>
              <w:t>(</w:t>
            </w:r>
            <w:proofErr w:type="spellStart"/>
            <w:r w:rsidRPr="007A2F89">
              <w:rPr>
                <w:i/>
                <w:iCs/>
                <w:sz w:val="18"/>
                <w:szCs w:val="18"/>
                <w:lang w:val="it-IT"/>
              </w:rPr>
              <w:t>omitted</w:t>
            </w:r>
            <w:proofErr w:type="spellEnd"/>
            <w:r w:rsidRPr="007A2F89">
              <w:rPr>
                <w:i/>
                <w:iCs/>
                <w:sz w:val="18"/>
                <w:szCs w:val="18"/>
                <w:lang w:val="it-IT"/>
              </w:rPr>
              <w:t>)</w:t>
            </w:r>
          </w:p>
        </w:tc>
      </w:tr>
      <w:tr w:rsidR="001118E5" w:rsidRPr="007A2F89" w14:paraId="3FCA052D" w14:textId="77777777" w:rsidTr="000A75C9">
        <w:tc>
          <w:tcPr>
            <w:tcW w:w="2217" w:type="pct"/>
            <w:tcMar>
              <w:top w:w="57" w:type="dxa"/>
              <w:bottom w:w="57" w:type="dxa"/>
            </w:tcMar>
            <w:vAlign w:val="center"/>
          </w:tcPr>
          <w:p w14:paraId="1AD51E4C"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D/E</w:t>
            </w:r>
          </w:p>
        </w:tc>
        <w:tc>
          <w:tcPr>
            <w:tcW w:w="1400" w:type="pct"/>
            <w:tcMar>
              <w:top w:w="57" w:type="dxa"/>
              <w:bottom w:w="57" w:type="dxa"/>
            </w:tcMar>
            <w:vAlign w:val="center"/>
          </w:tcPr>
          <w:p w14:paraId="7CF8034D" w14:textId="7ADB96C3"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3416</w:t>
            </w:r>
          </w:p>
          <w:p w14:paraId="51A39BEE" w14:textId="77777777"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(0.0167)</w:t>
            </w:r>
          </w:p>
        </w:tc>
        <w:tc>
          <w:tcPr>
            <w:tcW w:w="1382" w:type="pct"/>
            <w:tcMar>
              <w:top w:w="57" w:type="dxa"/>
              <w:bottom w:w="57" w:type="dxa"/>
            </w:tcMar>
            <w:vAlign w:val="center"/>
          </w:tcPr>
          <w:p w14:paraId="0CA1D627" w14:textId="551CFA1C"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3362</w:t>
            </w:r>
          </w:p>
          <w:p w14:paraId="37A13DBB" w14:textId="017601E4"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2829</w:t>
            </w:r>
            <w:r w:rsidRPr="007A2F89">
              <w:rPr>
                <w:sz w:val="18"/>
                <w:szCs w:val="18"/>
                <w:lang w:val="it-IT"/>
              </w:rPr>
              <w:t>)</w:t>
            </w:r>
          </w:p>
        </w:tc>
      </w:tr>
      <w:tr w:rsidR="001118E5" w:rsidRPr="007A2F89" w14:paraId="4B64C0A2" w14:textId="77777777" w:rsidTr="000A75C9">
        <w:tc>
          <w:tcPr>
            <w:tcW w:w="2217" w:type="pct"/>
            <w:tcMar>
              <w:top w:w="57" w:type="dxa"/>
              <w:bottom w:w="57" w:type="dxa"/>
            </w:tcMar>
          </w:tcPr>
          <w:p w14:paraId="44356BCF" w14:textId="499F4163" w:rsidR="001118E5" w:rsidRPr="007A2F89" w:rsidRDefault="006626F5" w:rsidP="007A2F89">
            <w:pPr>
              <w:pStyle w:val="Newparagraph"/>
              <w:spacing w:line="240" w:lineRule="auto"/>
              <w:ind w:right="37" w:firstLine="0"/>
              <w:jc w:val="both"/>
              <w:rPr>
                <w:i/>
                <w:iCs/>
                <w:sz w:val="18"/>
                <w:szCs w:val="18"/>
                <w:lang w:val="it-IT"/>
              </w:rPr>
            </w:pPr>
            <w:r w:rsidRPr="007A2F89">
              <w:rPr>
                <w:i/>
                <w:iCs/>
                <w:sz w:val="18"/>
                <w:szCs w:val="18"/>
                <w:lang w:val="it-IT"/>
              </w:rPr>
              <w:t xml:space="preserve">   </w:t>
            </w:r>
            <w:proofErr w:type="spellStart"/>
            <w:r w:rsidR="00FA7977" w:rsidRPr="007A2F89">
              <w:rPr>
                <w:i/>
                <w:iCs/>
                <w:sz w:val="18"/>
                <w:szCs w:val="18"/>
                <w:lang w:val="it-IT"/>
              </w:rPr>
              <w:t>Year</w:t>
            </w:r>
            <w:proofErr w:type="spellEnd"/>
          </w:p>
        </w:tc>
        <w:tc>
          <w:tcPr>
            <w:tcW w:w="1400" w:type="pct"/>
            <w:tcMar>
              <w:top w:w="57" w:type="dxa"/>
              <w:bottom w:w="57" w:type="dxa"/>
            </w:tcMar>
            <w:vAlign w:val="center"/>
          </w:tcPr>
          <w:p w14:paraId="5075C395" w14:textId="77777777" w:rsidR="001118E5" w:rsidRPr="007A2F89" w:rsidRDefault="001118E5" w:rsidP="007A2F89">
            <w:pPr>
              <w:pStyle w:val="Newparagraph"/>
              <w:tabs>
                <w:tab w:val="left" w:pos="882"/>
              </w:tabs>
              <w:spacing w:line="240" w:lineRule="auto"/>
              <w:ind w:firstLine="0"/>
              <w:jc w:val="both"/>
              <w:rPr>
                <w:i/>
                <w:iCs/>
                <w:sz w:val="18"/>
                <w:szCs w:val="18"/>
                <w:lang w:val="it-IT"/>
              </w:rPr>
            </w:pPr>
          </w:p>
        </w:tc>
        <w:tc>
          <w:tcPr>
            <w:tcW w:w="1382" w:type="pct"/>
            <w:tcMar>
              <w:top w:w="57" w:type="dxa"/>
              <w:bottom w:w="57" w:type="dxa"/>
            </w:tcMar>
            <w:vAlign w:val="center"/>
          </w:tcPr>
          <w:p w14:paraId="50DD0DBC" w14:textId="77777777" w:rsidR="001118E5" w:rsidRPr="007A2F89" w:rsidRDefault="001118E5" w:rsidP="007A2F89">
            <w:pPr>
              <w:pStyle w:val="Newparagraph"/>
              <w:spacing w:line="240" w:lineRule="auto"/>
              <w:ind w:firstLine="0"/>
              <w:jc w:val="both"/>
              <w:rPr>
                <w:i/>
                <w:iCs/>
                <w:sz w:val="18"/>
                <w:szCs w:val="18"/>
                <w:lang w:val="it-IT"/>
              </w:rPr>
            </w:pPr>
          </w:p>
        </w:tc>
      </w:tr>
      <w:tr w:rsidR="001118E5" w:rsidRPr="007A2F89" w14:paraId="36107608" w14:textId="77777777" w:rsidTr="000A75C9">
        <w:tc>
          <w:tcPr>
            <w:tcW w:w="2217" w:type="pct"/>
            <w:tcMar>
              <w:top w:w="57" w:type="dxa"/>
              <w:bottom w:w="57" w:type="dxa"/>
            </w:tcMar>
          </w:tcPr>
          <w:p w14:paraId="733EF0CC"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2012</w:t>
            </w:r>
          </w:p>
        </w:tc>
        <w:tc>
          <w:tcPr>
            <w:tcW w:w="1400" w:type="pct"/>
            <w:tcMar>
              <w:top w:w="57" w:type="dxa"/>
              <w:bottom w:w="57" w:type="dxa"/>
            </w:tcMar>
            <w:vAlign w:val="center"/>
          </w:tcPr>
          <w:p w14:paraId="50A8BC2B" w14:textId="37C1EF14"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8724</w:t>
            </w:r>
          </w:p>
          <w:p w14:paraId="74479369" w14:textId="04B99515"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6908</w:t>
            </w:r>
            <w:r w:rsidRPr="007A2F89">
              <w:rPr>
                <w:sz w:val="18"/>
                <w:szCs w:val="18"/>
                <w:lang w:val="it-IT"/>
              </w:rPr>
              <w:t>)</w:t>
            </w:r>
          </w:p>
        </w:tc>
        <w:tc>
          <w:tcPr>
            <w:tcW w:w="1382" w:type="pct"/>
            <w:tcMar>
              <w:top w:w="57" w:type="dxa"/>
              <w:bottom w:w="57" w:type="dxa"/>
            </w:tcMar>
            <w:vAlign w:val="center"/>
          </w:tcPr>
          <w:p w14:paraId="78EF2285" w14:textId="59075B8A"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8721</w:t>
            </w:r>
          </w:p>
          <w:p w14:paraId="090C406E" w14:textId="103DCAB4"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6908</w:t>
            </w:r>
            <w:r w:rsidRPr="007A2F89">
              <w:rPr>
                <w:sz w:val="18"/>
                <w:szCs w:val="18"/>
                <w:lang w:val="it-IT"/>
              </w:rPr>
              <w:t>)</w:t>
            </w:r>
          </w:p>
        </w:tc>
      </w:tr>
      <w:tr w:rsidR="001118E5" w:rsidRPr="007A2F89" w14:paraId="424DD7A5" w14:textId="77777777" w:rsidTr="000A75C9">
        <w:tc>
          <w:tcPr>
            <w:tcW w:w="2217" w:type="pct"/>
            <w:tcMar>
              <w:top w:w="57" w:type="dxa"/>
              <w:bottom w:w="57" w:type="dxa"/>
            </w:tcMar>
          </w:tcPr>
          <w:p w14:paraId="308CE1FB" w14:textId="3DD1C897" w:rsidR="001118E5" w:rsidRPr="007A2F89" w:rsidRDefault="001118E5" w:rsidP="007A2F89">
            <w:pPr>
              <w:pStyle w:val="Newparagraph"/>
              <w:tabs>
                <w:tab w:val="left" w:pos="1152"/>
              </w:tabs>
              <w:spacing w:line="240" w:lineRule="auto"/>
              <w:ind w:left="313" w:right="37" w:firstLine="0"/>
              <w:jc w:val="both"/>
              <w:rPr>
                <w:sz w:val="18"/>
                <w:szCs w:val="18"/>
                <w:lang w:val="it-IT"/>
              </w:rPr>
            </w:pPr>
            <w:r w:rsidRPr="007A2F89">
              <w:rPr>
                <w:sz w:val="18"/>
                <w:szCs w:val="18"/>
                <w:lang w:val="it-IT"/>
              </w:rPr>
              <w:t>2013</w:t>
            </w:r>
            <w:r w:rsidR="004B06A2" w:rsidRPr="007A2F89">
              <w:rPr>
                <w:sz w:val="18"/>
                <w:szCs w:val="18"/>
                <w:lang w:val="it-IT"/>
              </w:rPr>
              <w:tab/>
            </w:r>
          </w:p>
        </w:tc>
        <w:tc>
          <w:tcPr>
            <w:tcW w:w="1400" w:type="pct"/>
            <w:tcMar>
              <w:top w:w="57" w:type="dxa"/>
              <w:bottom w:w="57" w:type="dxa"/>
            </w:tcMar>
            <w:vAlign w:val="center"/>
          </w:tcPr>
          <w:p w14:paraId="27C62231" w14:textId="04A8BDF8" w:rsidR="001118E5" w:rsidRPr="007A2F89" w:rsidRDefault="00EC6690" w:rsidP="007A2F89">
            <w:pPr>
              <w:pStyle w:val="Newparagraph"/>
              <w:tabs>
                <w:tab w:val="left" w:pos="882"/>
              </w:tabs>
              <w:spacing w:line="240" w:lineRule="auto"/>
              <w:ind w:firstLine="0"/>
              <w:jc w:val="both"/>
              <w:rPr>
                <w:sz w:val="18"/>
                <w:szCs w:val="18"/>
                <w:lang w:val="it-IT"/>
              </w:rPr>
            </w:pPr>
            <w:r w:rsidRPr="007A2F89">
              <w:rPr>
                <w:sz w:val="18"/>
                <w:szCs w:val="18"/>
                <w:lang w:val="it-IT"/>
              </w:rPr>
              <w:t>1.2748</w:t>
            </w:r>
            <w:r w:rsidR="00660E78" w:rsidRPr="007A2F89">
              <w:rPr>
                <w:sz w:val="18"/>
                <w:szCs w:val="18"/>
                <w:lang w:val="it-IT"/>
              </w:rPr>
              <w:t>*</w:t>
            </w:r>
          </w:p>
          <w:p w14:paraId="771A7AA1" w14:textId="2EECA586"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6909</w:t>
            </w:r>
            <w:r w:rsidRPr="007A2F89">
              <w:rPr>
                <w:sz w:val="18"/>
                <w:szCs w:val="18"/>
                <w:lang w:val="it-IT"/>
              </w:rPr>
              <w:t>)</w:t>
            </w:r>
          </w:p>
        </w:tc>
        <w:tc>
          <w:tcPr>
            <w:tcW w:w="1382" w:type="pct"/>
            <w:tcMar>
              <w:top w:w="57" w:type="dxa"/>
              <w:bottom w:w="57" w:type="dxa"/>
            </w:tcMar>
            <w:vAlign w:val="center"/>
          </w:tcPr>
          <w:p w14:paraId="4DDF619B" w14:textId="46F4B403" w:rsidR="001118E5" w:rsidRPr="007A2F89" w:rsidRDefault="00660E78" w:rsidP="007A2F89">
            <w:pPr>
              <w:pStyle w:val="Newparagraph"/>
              <w:spacing w:line="240" w:lineRule="auto"/>
              <w:ind w:firstLine="0"/>
              <w:jc w:val="both"/>
              <w:rPr>
                <w:sz w:val="18"/>
                <w:szCs w:val="18"/>
                <w:lang w:val="it-IT"/>
              </w:rPr>
            </w:pPr>
            <w:r w:rsidRPr="007A2F89">
              <w:rPr>
                <w:sz w:val="18"/>
                <w:szCs w:val="18"/>
                <w:lang w:val="it-IT"/>
              </w:rPr>
              <w:t>1</w:t>
            </w:r>
            <w:r w:rsidR="001118E5" w:rsidRPr="007A2F89">
              <w:rPr>
                <w:sz w:val="18"/>
                <w:szCs w:val="18"/>
                <w:lang w:val="it-IT"/>
              </w:rPr>
              <w:t>.</w:t>
            </w:r>
            <w:r w:rsidRPr="007A2F89">
              <w:rPr>
                <w:sz w:val="18"/>
                <w:szCs w:val="18"/>
                <w:lang w:val="it-IT"/>
              </w:rPr>
              <w:t>2719</w:t>
            </w:r>
            <w:r w:rsidR="00432809" w:rsidRPr="007A2F89">
              <w:rPr>
                <w:sz w:val="18"/>
                <w:szCs w:val="18"/>
                <w:lang w:val="it-IT"/>
              </w:rPr>
              <w:t>*</w:t>
            </w:r>
          </w:p>
          <w:p w14:paraId="0DB05F8A" w14:textId="525DC139"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6915</w:t>
            </w:r>
            <w:r w:rsidRPr="007A2F89">
              <w:rPr>
                <w:sz w:val="18"/>
                <w:szCs w:val="18"/>
                <w:lang w:val="it-IT"/>
              </w:rPr>
              <w:t>)</w:t>
            </w:r>
          </w:p>
        </w:tc>
      </w:tr>
      <w:tr w:rsidR="001118E5" w:rsidRPr="007A2F89" w14:paraId="457C8A85" w14:textId="77777777" w:rsidTr="000A75C9">
        <w:tc>
          <w:tcPr>
            <w:tcW w:w="2217" w:type="pct"/>
            <w:tcMar>
              <w:top w:w="57" w:type="dxa"/>
              <w:bottom w:w="57" w:type="dxa"/>
            </w:tcMar>
          </w:tcPr>
          <w:p w14:paraId="3F56BCB8"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2014</w:t>
            </w:r>
          </w:p>
        </w:tc>
        <w:tc>
          <w:tcPr>
            <w:tcW w:w="1400" w:type="pct"/>
            <w:tcMar>
              <w:top w:w="57" w:type="dxa"/>
              <w:bottom w:w="57" w:type="dxa"/>
            </w:tcMar>
            <w:vAlign w:val="center"/>
          </w:tcPr>
          <w:p w14:paraId="7D92A845" w14:textId="35AF3A3E"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6702</w:t>
            </w:r>
          </w:p>
          <w:p w14:paraId="7E4E5F91" w14:textId="0174638D"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7048</w:t>
            </w:r>
            <w:r w:rsidRPr="007A2F89">
              <w:rPr>
                <w:sz w:val="18"/>
                <w:szCs w:val="18"/>
                <w:lang w:val="it-IT"/>
              </w:rPr>
              <w:t>)</w:t>
            </w:r>
          </w:p>
        </w:tc>
        <w:tc>
          <w:tcPr>
            <w:tcW w:w="1382" w:type="pct"/>
            <w:tcMar>
              <w:top w:w="57" w:type="dxa"/>
              <w:bottom w:w="57" w:type="dxa"/>
            </w:tcMar>
            <w:vAlign w:val="center"/>
          </w:tcPr>
          <w:p w14:paraId="1FB52B4C" w14:textId="45889F3D"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6679</w:t>
            </w:r>
          </w:p>
          <w:p w14:paraId="044AD290" w14:textId="03C1492F"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7048</w:t>
            </w:r>
            <w:r w:rsidRPr="007A2F89">
              <w:rPr>
                <w:sz w:val="18"/>
                <w:szCs w:val="18"/>
                <w:lang w:val="it-IT"/>
              </w:rPr>
              <w:t>)</w:t>
            </w:r>
          </w:p>
        </w:tc>
      </w:tr>
      <w:tr w:rsidR="001118E5" w:rsidRPr="007A2F89" w14:paraId="3E8695FD" w14:textId="77777777" w:rsidTr="000A75C9">
        <w:tc>
          <w:tcPr>
            <w:tcW w:w="2217" w:type="pct"/>
            <w:tcMar>
              <w:top w:w="57" w:type="dxa"/>
              <w:bottom w:w="57" w:type="dxa"/>
            </w:tcMar>
          </w:tcPr>
          <w:p w14:paraId="55DAF099"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2015</w:t>
            </w:r>
          </w:p>
        </w:tc>
        <w:tc>
          <w:tcPr>
            <w:tcW w:w="1400" w:type="pct"/>
            <w:tcMar>
              <w:top w:w="57" w:type="dxa"/>
              <w:bottom w:w="57" w:type="dxa"/>
            </w:tcMar>
            <w:vAlign w:val="center"/>
          </w:tcPr>
          <w:p w14:paraId="4B4D0715" w14:textId="588C7E7A" w:rsidR="001118E5" w:rsidRPr="007A2F89" w:rsidRDefault="00EC6690" w:rsidP="007A2F89">
            <w:pPr>
              <w:pStyle w:val="Newparagraph"/>
              <w:tabs>
                <w:tab w:val="left" w:pos="882"/>
              </w:tabs>
              <w:spacing w:line="240" w:lineRule="auto"/>
              <w:ind w:firstLine="0"/>
              <w:jc w:val="both"/>
              <w:rPr>
                <w:sz w:val="18"/>
                <w:szCs w:val="18"/>
                <w:lang w:val="it-IT"/>
              </w:rPr>
            </w:pPr>
            <w:r w:rsidRPr="007A2F89">
              <w:rPr>
                <w:sz w:val="18"/>
                <w:szCs w:val="18"/>
                <w:lang w:val="it-IT"/>
              </w:rPr>
              <w:t>1.1568</w:t>
            </w:r>
            <w:r w:rsidR="00660E78" w:rsidRPr="007A2F89">
              <w:rPr>
                <w:sz w:val="18"/>
                <w:szCs w:val="18"/>
                <w:lang w:val="it-IT"/>
              </w:rPr>
              <w:t>*</w:t>
            </w:r>
          </w:p>
          <w:p w14:paraId="651580E0" w14:textId="69BD60E4"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7015</w:t>
            </w:r>
            <w:r w:rsidRPr="007A2F89">
              <w:rPr>
                <w:sz w:val="18"/>
                <w:szCs w:val="18"/>
                <w:lang w:val="it-IT"/>
              </w:rPr>
              <w:t>)</w:t>
            </w:r>
          </w:p>
        </w:tc>
        <w:tc>
          <w:tcPr>
            <w:tcW w:w="1382" w:type="pct"/>
            <w:tcMar>
              <w:top w:w="57" w:type="dxa"/>
              <w:bottom w:w="57" w:type="dxa"/>
            </w:tcMar>
            <w:vAlign w:val="center"/>
          </w:tcPr>
          <w:p w14:paraId="04FDFFD3" w14:textId="34AAC370" w:rsidR="001118E5" w:rsidRPr="007A2F89" w:rsidRDefault="00660E78" w:rsidP="007A2F89">
            <w:pPr>
              <w:pStyle w:val="Newparagraph"/>
              <w:spacing w:line="240" w:lineRule="auto"/>
              <w:ind w:firstLine="0"/>
              <w:jc w:val="both"/>
              <w:rPr>
                <w:sz w:val="18"/>
                <w:szCs w:val="18"/>
                <w:lang w:val="it-IT"/>
              </w:rPr>
            </w:pPr>
            <w:r w:rsidRPr="007A2F89">
              <w:rPr>
                <w:sz w:val="18"/>
                <w:szCs w:val="18"/>
                <w:lang w:val="it-IT"/>
              </w:rPr>
              <w:t>1</w:t>
            </w:r>
            <w:r w:rsidR="001118E5" w:rsidRPr="007A2F89">
              <w:rPr>
                <w:sz w:val="18"/>
                <w:szCs w:val="18"/>
                <w:lang w:val="it-IT"/>
              </w:rPr>
              <w:t>.</w:t>
            </w:r>
            <w:r w:rsidRPr="007A2F89">
              <w:rPr>
                <w:sz w:val="18"/>
                <w:szCs w:val="18"/>
                <w:lang w:val="it-IT"/>
              </w:rPr>
              <w:t>1552</w:t>
            </w:r>
            <w:r w:rsidR="00432809" w:rsidRPr="007A2F89">
              <w:rPr>
                <w:sz w:val="18"/>
                <w:szCs w:val="18"/>
                <w:lang w:val="it-IT"/>
              </w:rPr>
              <w:t>*</w:t>
            </w:r>
          </w:p>
          <w:p w14:paraId="1F4BEB17" w14:textId="26B9EF2B"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7015</w:t>
            </w:r>
            <w:r w:rsidRPr="007A2F89">
              <w:rPr>
                <w:sz w:val="18"/>
                <w:szCs w:val="18"/>
                <w:lang w:val="it-IT"/>
              </w:rPr>
              <w:t>)</w:t>
            </w:r>
          </w:p>
        </w:tc>
      </w:tr>
      <w:tr w:rsidR="001118E5" w:rsidRPr="007A2F89" w14:paraId="6B1BF46A" w14:textId="77777777" w:rsidTr="000A75C9">
        <w:tc>
          <w:tcPr>
            <w:tcW w:w="2217" w:type="pct"/>
            <w:tcMar>
              <w:top w:w="57" w:type="dxa"/>
              <w:bottom w:w="57" w:type="dxa"/>
            </w:tcMar>
          </w:tcPr>
          <w:p w14:paraId="4C34F36F"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2016</w:t>
            </w:r>
          </w:p>
        </w:tc>
        <w:tc>
          <w:tcPr>
            <w:tcW w:w="1400" w:type="pct"/>
            <w:tcMar>
              <w:top w:w="57" w:type="dxa"/>
              <w:bottom w:w="57" w:type="dxa"/>
            </w:tcMar>
            <w:vAlign w:val="center"/>
          </w:tcPr>
          <w:p w14:paraId="266BD213" w14:textId="42D26A28"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5519</w:t>
            </w:r>
          </w:p>
          <w:p w14:paraId="1166FA32" w14:textId="5FCA5BA2"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lastRenderedPageBreak/>
              <w:t>(0.</w:t>
            </w:r>
            <w:r w:rsidR="00EC6690" w:rsidRPr="007A2F89">
              <w:rPr>
                <w:sz w:val="18"/>
                <w:szCs w:val="18"/>
                <w:lang w:val="it-IT"/>
              </w:rPr>
              <w:t>7036</w:t>
            </w:r>
            <w:r w:rsidRPr="007A2F89">
              <w:rPr>
                <w:sz w:val="18"/>
                <w:szCs w:val="18"/>
                <w:lang w:val="it-IT"/>
              </w:rPr>
              <w:t>)</w:t>
            </w:r>
          </w:p>
        </w:tc>
        <w:tc>
          <w:tcPr>
            <w:tcW w:w="1382" w:type="pct"/>
            <w:tcMar>
              <w:top w:w="57" w:type="dxa"/>
              <w:bottom w:w="57" w:type="dxa"/>
            </w:tcMar>
            <w:vAlign w:val="center"/>
          </w:tcPr>
          <w:p w14:paraId="36991B18" w14:textId="6D893333"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lastRenderedPageBreak/>
              <w:t>0.</w:t>
            </w:r>
            <w:r w:rsidR="00660E78" w:rsidRPr="007A2F89">
              <w:rPr>
                <w:sz w:val="18"/>
                <w:szCs w:val="18"/>
                <w:lang w:val="it-IT"/>
              </w:rPr>
              <w:t>5496</w:t>
            </w:r>
          </w:p>
          <w:p w14:paraId="2AB133C6" w14:textId="6CD1E879"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lastRenderedPageBreak/>
              <w:t>(0.</w:t>
            </w:r>
            <w:r w:rsidR="00432809" w:rsidRPr="007A2F89">
              <w:rPr>
                <w:sz w:val="18"/>
                <w:szCs w:val="18"/>
                <w:lang w:val="it-IT"/>
              </w:rPr>
              <w:t>7036</w:t>
            </w:r>
            <w:r w:rsidRPr="007A2F89">
              <w:rPr>
                <w:sz w:val="18"/>
                <w:szCs w:val="18"/>
                <w:lang w:val="it-IT"/>
              </w:rPr>
              <w:t>)</w:t>
            </w:r>
          </w:p>
        </w:tc>
      </w:tr>
      <w:tr w:rsidR="001118E5" w:rsidRPr="007A2F89" w14:paraId="4F923CA7" w14:textId="77777777" w:rsidTr="000A75C9">
        <w:tc>
          <w:tcPr>
            <w:tcW w:w="2217" w:type="pct"/>
            <w:tcMar>
              <w:top w:w="57" w:type="dxa"/>
              <w:bottom w:w="57" w:type="dxa"/>
            </w:tcMar>
          </w:tcPr>
          <w:p w14:paraId="2A7C7D45"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lastRenderedPageBreak/>
              <w:t>2017</w:t>
            </w:r>
          </w:p>
        </w:tc>
        <w:tc>
          <w:tcPr>
            <w:tcW w:w="1400" w:type="pct"/>
            <w:tcMar>
              <w:top w:w="57" w:type="dxa"/>
              <w:bottom w:w="57" w:type="dxa"/>
            </w:tcMar>
            <w:vAlign w:val="center"/>
          </w:tcPr>
          <w:p w14:paraId="04DE962A" w14:textId="27DB3738" w:rsidR="001118E5" w:rsidRPr="007A2F89" w:rsidRDefault="00EC6690" w:rsidP="007A2F89">
            <w:pPr>
              <w:pStyle w:val="Newparagraph"/>
              <w:tabs>
                <w:tab w:val="left" w:pos="882"/>
              </w:tabs>
              <w:spacing w:line="240" w:lineRule="auto"/>
              <w:ind w:firstLine="0"/>
              <w:jc w:val="both"/>
              <w:rPr>
                <w:sz w:val="18"/>
                <w:szCs w:val="18"/>
                <w:lang w:val="it-IT"/>
              </w:rPr>
            </w:pPr>
            <w:r w:rsidRPr="007A2F89">
              <w:rPr>
                <w:sz w:val="18"/>
                <w:szCs w:val="18"/>
                <w:lang w:val="it-IT"/>
              </w:rPr>
              <w:t>1.0055</w:t>
            </w:r>
          </w:p>
          <w:p w14:paraId="6A33716B" w14:textId="501D46D1"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EC6690" w:rsidRPr="007A2F89">
              <w:rPr>
                <w:sz w:val="18"/>
                <w:szCs w:val="18"/>
                <w:lang w:val="it-IT"/>
              </w:rPr>
              <w:t>7024</w:t>
            </w:r>
            <w:r w:rsidRPr="007A2F89">
              <w:rPr>
                <w:sz w:val="18"/>
                <w:szCs w:val="18"/>
                <w:lang w:val="it-IT"/>
              </w:rPr>
              <w:t>)</w:t>
            </w:r>
          </w:p>
        </w:tc>
        <w:tc>
          <w:tcPr>
            <w:tcW w:w="1382" w:type="pct"/>
            <w:tcMar>
              <w:top w:w="57" w:type="dxa"/>
              <w:bottom w:w="57" w:type="dxa"/>
            </w:tcMar>
            <w:vAlign w:val="center"/>
          </w:tcPr>
          <w:p w14:paraId="5292FD7F" w14:textId="321999DD" w:rsidR="001118E5" w:rsidRPr="007A2F89" w:rsidRDefault="00432809" w:rsidP="007A2F89">
            <w:pPr>
              <w:pStyle w:val="Newparagraph"/>
              <w:spacing w:line="240" w:lineRule="auto"/>
              <w:ind w:firstLine="0"/>
              <w:jc w:val="both"/>
              <w:rPr>
                <w:sz w:val="18"/>
                <w:szCs w:val="18"/>
                <w:lang w:val="it-IT"/>
              </w:rPr>
            </w:pPr>
            <w:r w:rsidRPr="007A2F89">
              <w:rPr>
                <w:sz w:val="18"/>
                <w:szCs w:val="18"/>
                <w:lang w:val="it-IT"/>
              </w:rPr>
              <w:t>1</w:t>
            </w:r>
            <w:r w:rsidR="001118E5" w:rsidRPr="007A2F89">
              <w:rPr>
                <w:sz w:val="18"/>
                <w:szCs w:val="18"/>
                <w:lang w:val="it-IT"/>
              </w:rPr>
              <w:t>.</w:t>
            </w:r>
            <w:r w:rsidRPr="007A2F89">
              <w:rPr>
                <w:sz w:val="18"/>
                <w:szCs w:val="18"/>
                <w:lang w:val="it-IT"/>
              </w:rPr>
              <w:t>0090</w:t>
            </w:r>
          </w:p>
          <w:p w14:paraId="6C13D2FE" w14:textId="4C203947"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432809" w:rsidRPr="007A2F89">
              <w:rPr>
                <w:sz w:val="18"/>
                <w:szCs w:val="18"/>
                <w:lang w:val="it-IT"/>
              </w:rPr>
              <w:t>7023</w:t>
            </w:r>
            <w:r w:rsidRPr="007A2F89">
              <w:rPr>
                <w:sz w:val="18"/>
                <w:szCs w:val="18"/>
                <w:lang w:val="it-IT"/>
              </w:rPr>
              <w:t>)</w:t>
            </w:r>
          </w:p>
        </w:tc>
      </w:tr>
      <w:tr w:rsidR="001118E5" w:rsidRPr="007A2F89" w14:paraId="02268399" w14:textId="77777777" w:rsidTr="000A75C9">
        <w:tc>
          <w:tcPr>
            <w:tcW w:w="2217" w:type="pct"/>
            <w:tcMar>
              <w:top w:w="57" w:type="dxa"/>
              <w:bottom w:w="57" w:type="dxa"/>
            </w:tcMar>
          </w:tcPr>
          <w:p w14:paraId="382DBF8A"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2018</w:t>
            </w:r>
          </w:p>
        </w:tc>
        <w:tc>
          <w:tcPr>
            <w:tcW w:w="1400" w:type="pct"/>
            <w:tcMar>
              <w:top w:w="57" w:type="dxa"/>
              <w:bottom w:w="57" w:type="dxa"/>
            </w:tcMar>
            <w:vAlign w:val="center"/>
          </w:tcPr>
          <w:p w14:paraId="4E19E80D" w14:textId="5F01210F"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7649</w:t>
            </w:r>
          </w:p>
          <w:p w14:paraId="52E8092C" w14:textId="1DB85C7C"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6969</w:t>
            </w:r>
            <w:r w:rsidRPr="007A2F89">
              <w:rPr>
                <w:sz w:val="18"/>
                <w:szCs w:val="18"/>
                <w:lang w:val="it-IT"/>
              </w:rPr>
              <w:t>)</w:t>
            </w:r>
          </w:p>
        </w:tc>
        <w:tc>
          <w:tcPr>
            <w:tcW w:w="1382" w:type="pct"/>
            <w:tcMar>
              <w:top w:w="57" w:type="dxa"/>
              <w:bottom w:w="57" w:type="dxa"/>
            </w:tcMar>
            <w:vAlign w:val="center"/>
          </w:tcPr>
          <w:p w14:paraId="2AB4BDA5" w14:textId="31671165"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432809" w:rsidRPr="007A2F89">
              <w:rPr>
                <w:sz w:val="18"/>
                <w:szCs w:val="18"/>
                <w:lang w:val="it-IT"/>
              </w:rPr>
              <w:t>7675</w:t>
            </w:r>
          </w:p>
          <w:p w14:paraId="72DC228E" w14:textId="29EFE9F1"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432809" w:rsidRPr="007A2F89">
              <w:rPr>
                <w:sz w:val="18"/>
                <w:szCs w:val="18"/>
                <w:lang w:val="it-IT"/>
              </w:rPr>
              <w:t>6969</w:t>
            </w:r>
            <w:r w:rsidRPr="007A2F89">
              <w:rPr>
                <w:sz w:val="18"/>
                <w:szCs w:val="18"/>
                <w:lang w:val="it-IT"/>
              </w:rPr>
              <w:t>)</w:t>
            </w:r>
          </w:p>
        </w:tc>
      </w:tr>
      <w:tr w:rsidR="001118E5" w:rsidRPr="007A2F89" w14:paraId="7DD8A4F9" w14:textId="77777777" w:rsidTr="000A75C9">
        <w:tc>
          <w:tcPr>
            <w:tcW w:w="2217" w:type="pct"/>
            <w:tcMar>
              <w:top w:w="57" w:type="dxa"/>
              <w:bottom w:w="57" w:type="dxa"/>
            </w:tcMar>
          </w:tcPr>
          <w:p w14:paraId="1A93282D" w14:textId="77777777" w:rsidR="001118E5" w:rsidRPr="007A2F89" w:rsidRDefault="001118E5" w:rsidP="007A2F89">
            <w:pPr>
              <w:pStyle w:val="Newparagraph"/>
              <w:spacing w:line="240" w:lineRule="auto"/>
              <w:ind w:left="313" w:right="37" w:firstLine="0"/>
              <w:jc w:val="both"/>
              <w:rPr>
                <w:sz w:val="18"/>
                <w:szCs w:val="18"/>
                <w:lang w:val="it-IT"/>
              </w:rPr>
            </w:pPr>
            <w:r w:rsidRPr="007A2F89">
              <w:rPr>
                <w:sz w:val="18"/>
                <w:szCs w:val="18"/>
                <w:lang w:val="it-IT"/>
              </w:rPr>
              <w:t>2019</w:t>
            </w:r>
          </w:p>
        </w:tc>
        <w:tc>
          <w:tcPr>
            <w:tcW w:w="1400" w:type="pct"/>
            <w:tcMar>
              <w:top w:w="57" w:type="dxa"/>
              <w:bottom w:w="57" w:type="dxa"/>
            </w:tcMar>
            <w:vAlign w:val="center"/>
          </w:tcPr>
          <w:p w14:paraId="1A79048B" w14:textId="5D9D2E96"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.07352</w:t>
            </w:r>
          </w:p>
          <w:p w14:paraId="2FB009D6" w14:textId="1FD0CFBA"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6968</w:t>
            </w:r>
            <w:r w:rsidRPr="007A2F89">
              <w:rPr>
                <w:sz w:val="18"/>
                <w:szCs w:val="18"/>
                <w:lang w:val="it-IT"/>
              </w:rPr>
              <w:t>)</w:t>
            </w:r>
          </w:p>
        </w:tc>
        <w:tc>
          <w:tcPr>
            <w:tcW w:w="1382" w:type="pct"/>
            <w:tcMar>
              <w:top w:w="57" w:type="dxa"/>
              <w:bottom w:w="57" w:type="dxa"/>
            </w:tcMar>
            <w:vAlign w:val="center"/>
          </w:tcPr>
          <w:p w14:paraId="0F761935" w14:textId="09213FE6"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432809" w:rsidRPr="007A2F89">
              <w:rPr>
                <w:sz w:val="18"/>
                <w:szCs w:val="18"/>
                <w:lang w:val="it-IT"/>
              </w:rPr>
              <w:t>7957</w:t>
            </w:r>
          </w:p>
          <w:p w14:paraId="40B1BE27" w14:textId="475FC1E6"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432809" w:rsidRPr="007A2F89">
              <w:rPr>
                <w:sz w:val="18"/>
                <w:szCs w:val="18"/>
                <w:lang w:val="it-IT"/>
              </w:rPr>
              <w:t>6967</w:t>
            </w:r>
            <w:r w:rsidRPr="007A2F89">
              <w:rPr>
                <w:sz w:val="18"/>
                <w:szCs w:val="18"/>
                <w:lang w:val="it-IT"/>
              </w:rPr>
              <w:t>)</w:t>
            </w:r>
          </w:p>
        </w:tc>
      </w:tr>
      <w:tr w:rsidR="001118E5" w:rsidRPr="007A2F89" w14:paraId="41846FF1" w14:textId="77777777" w:rsidTr="000A75C9">
        <w:tc>
          <w:tcPr>
            <w:tcW w:w="2217" w:type="pct"/>
            <w:tcMar>
              <w:top w:w="57" w:type="dxa"/>
              <w:bottom w:w="57" w:type="dxa"/>
            </w:tcMar>
          </w:tcPr>
          <w:p w14:paraId="324BCE83" w14:textId="5F45978B" w:rsidR="001118E5" w:rsidRPr="007A2F89" w:rsidRDefault="001118E5" w:rsidP="007A2F89">
            <w:pPr>
              <w:pStyle w:val="Newparagraph"/>
              <w:spacing w:line="240" w:lineRule="auto"/>
              <w:ind w:right="37" w:firstLine="0"/>
              <w:jc w:val="both"/>
              <w:rPr>
                <w:sz w:val="18"/>
                <w:szCs w:val="18"/>
                <w:lang w:val="it-IT"/>
              </w:rPr>
            </w:pPr>
            <w:r w:rsidRPr="007A2F89">
              <w:rPr>
                <w:sz w:val="18"/>
                <w:szCs w:val="18"/>
                <w:lang w:val="it-IT"/>
              </w:rPr>
              <w:t xml:space="preserve">N. </w:t>
            </w:r>
            <w:r w:rsidR="00FA7977" w:rsidRPr="007A2F89">
              <w:rPr>
                <w:sz w:val="18"/>
                <w:szCs w:val="18"/>
                <w:lang w:val="it-IT"/>
              </w:rPr>
              <w:t xml:space="preserve">of </w:t>
            </w:r>
            <w:proofErr w:type="spellStart"/>
            <w:r w:rsidR="00FA7977" w:rsidRPr="007A2F89">
              <w:rPr>
                <w:sz w:val="18"/>
                <w:szCs w:val="18"/>
                <w:lang w:val="it-IT"/>
              </w:rPr>
              <w:t>observations</w:t>
            </w:r>
            <w:proofErr w:type="spellEnd"/>
            <w:r w:rsidRPr="007A2F89">
              <w:rPr>
                <w:sz w:val="18"/>
                <w:szCs w:val="18"/>
                <w:lang w:val="it-IT"/>
              </w:rPr>
              <w:t xml:space="preserve"> </w:t>
            </w:r>
          </w:p>
        </w:tc>
        <w:tc>
          <w:tcPr>
            <w:tcW w:w="1400" w:type="pct"/>
            <w:tcMar>
              <w:top w:w="57" w:type="dxa"/>
              <w:bottom w:w="57" w:type="dxa"/>
            </w:tcMar>
            <w:vAlign w:val="center"/>
          </w:tcPr>
          <w:p w14:paraId="213E496A" w14:textId="2717014F"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3</w:t>
            </w:r>
            <w:r w:rsidR="00660E78" w:rsidRPr="007A2F89">
              <w:rPr>
                <w:sz w:val="18"/>
                <w:szCs w:val="18"/>
                <w:lang w:val="it-IT"/>
              </w:rPr>
              <w:t>635</w:t>
            </w:r>
          </w:p>
        </w:tc>
        <w:tc>
          <w:tcPr>
            <w:tcW w:w="1382" w:type="pct"/>
            <w:tcMar>
              <w:top w:w="57" w:type="dxa"/>
              <w:bottom w:w="57" w:type="dxa"/>
            </w:tcMar>
            <w:vAlign w:val="center"/>
          </w:tcPr>
          <w:p w14:paraId="6D932878" w14:textId="53FBBBF9"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3</w:t>
            </w:r>
            <w:r w:rsidR="00660E78" w:rsidRPr="007A2F89">
              <w:rPr>
                <w:sz w:val="18"/>
                <w:szCs w:val="18"/>
                <w:lang w:val="it-IT"/>
              </w:rPr>
              <w:t>635</w:t>
            </w:r>
          </w:p>
        </w:tc>
      </w:tr>
      <w:tr w:rsidR="001118E5" w:rsidRPr="007A2F89" w14:paraId="1824ABDE" w14:textId="77777777" w:rsidTr="000A75C9">
        <w:tc>
          <w:tcPr>
            <w:tcW w:w="2217" w:type="pct"/>
            <w:tcMar>
              <w:top w:w="57" w:type="dxa"/>
              <w:bottom w:w="57" w:type="dxa"/>
            </w:tcMar>
          </w:tcPr>
          <w:p w14:paraId="10C73D35" w14:textId="082FDB82" w:rsidR="001118E5" w:rsidRPr="007A2F89" w:rsidRDefault="001118E5" w:rsidP="007A2F89">
            <w:pPr>
              <w:pStyle w:val="Newparagraph"/>
              <w:spacing w:line="240" w:lineRule="auto"/>
              <w:ind w:right="37" w:firstLine="0"/>
              <w:jc w:val="both"/>
              <w:rPr>
                <w:sz w:val="18"/>
                <w:szCs w:val="18"/>
                <w:lang w:val="it-IT"/>
              </w:rPr>
            </w:pPr>
            <w:r w:rsidRPr="007A2F89">
              <w:rPr>
                <w:sz w:val="18"/>
                <w:szCs w:val="18"/>
                <w:lang w:val="it-IT"/>
              </w:rPr>
              <w:t xml:space="preserve">N. </w:t>
            </w:r>
            <w:r w:rsidR="00FA7977" w:rsidRPr="007A2F89">
              <w:rPr>
                <w:sz w:val="18"/>
                <w:szCs w:val="18"/>
                <w:lang w:val="it-IT"/>
              </w:rPr>
              <w:t>of groups</w:t>
            </w:r>
          </w:p>
        </w:tc>
        <w:tc>
          <w:tcPr>
            <w:tcW w:w="1400" w:type="pct"/>
            <w:tcMar>
              <w:top w:w="57" w:type="dxa"/>
              <w:bottom w:w="57" w:type="dxa"/>
            </w:tcMar>
            <w:vAlign w:val="center"/>
          </w:tcPr>
          <w:p w14:paraId="4683C6C3" w14:textId="06B61373"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48</w:t>
            </w:r>
            <w:r w:rsidR="00660E78" w:rsidRPr="007A2F89">
              <w:rPr>
                <w:sz w:val="18"/>
                <w:szCs w:val="18"/>
                <w:lang w:val="it-IT"/>
              </w:rPr>
              <w:t>4</w:t>
            </w:r>
          </w:p>
        </w:tc>
        <w:tc>
          <w:tcPr>
            <w:tcW w:w="1382" w:type="pct"/>
            <w:tcMar>
              <w:top w:w="57" w:type="dxa"/>
              <w:bottom w:w="57" w:type="dxa"/>
            </w:tcMar>
            <w:vAlign w:val="center"/>
          </w:tcPr>
          <w:p w14:paraId="486CFCA2" w14:textId="271724DD"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48</w:t>
            </w:r>
            <w:r w:rsidR="00660E78" w:rsidRPr="007A2F89">
              <w:rPr>
                <w:sz w:val="18"/>
                <w:szCs w:val="18"/>
                <w:lang w:val="it-IT"/>
              </w:rPr>
              <w:t>4</w:t>
            </w:r>
          </w:p>
        </w:tc>
      </w:tr>
      <w:tr w:rsidR="001118E5" w:rsidRPr="007A2F89" w14:paraId="55774137" w14:textId="77777777" w:rsidTr="000A75C9">
        <w:tc>
          <w:tcPr>
            <w:tcW w:w="2217" w:type="pct"/>
            <w:tcMar>
              <w:top w:w="57" w:type="dxa"/>
              <w:bottom w:w="57" w:type="dxa"/>
            </w:tcMar>
          </w:tcPr>
          <w:p w14:paraId="51E23565" w14:textId="00AA6094" w:rsidR="001118E5" w:rsidRPr="007A2F89" w:rsidRDefault="001118E5" w:rsidP="007A2F89">
            <w:pPr>
              <w:pStyle w:val="Newparagraph"/>
              <w:spacing w:line="240" w:lineRule="auto"/>
              <w:ind w:right="37" w:firstLine="0"/>
              <w:jc w:val="both"/>
              <w:rPr>
                <w:sz w:val="18"/>
                <w:szCs w:val="18"/>
                <w:lang w:val="it-IT"/>
              </w:rPr>
            </w:pPr>
            <w:r w:rsidRPr="007A2F89">
              <w:rPr>
                <w:sz w:val="18"/>
                <w:szCs w:val="18"/>
                <w:lang w:val="it-IT"/>
              </w:rPr>
              <w:t>Wald chi2 (</w:t>
            </w:r>
            <w:r w:rsidR="00660E78" w:rsidRPr="007A2F89">
              <w:rPr>
                <w:sz w:val="18"/>
                <w:szCs w:val="18"/>
                <w:lang w:val="it-IT"/>
              </w:rPr>
              <w:t>25</w:t>
            </w:r>
            <w:r w:rsidRPr="007A2F89">
              <w:rPr>
                <w:sz w:val="18"/>
                <w:szCs w:val="18"/>
                <w:lang w:val="it-IT"/>
              </w:rPr>
              <w:t>)</w:t>
            </w:r>
          </w:p>
        </w:tc>
        <w:tc>
          <w:tcPr>
            <w:tcW w:w="1400" w:type="pct"/>
            <w:tcMar>
              <w:top w:w="57" w:type="dxa"/>
              <w:bottom w:w="57" w:type="dxa"/>
            </w:tcMar>
            <w:vAlign w:val="center"/>
          </w:tcPr>
          <w:p w14:paraId="6E27440C" w14:textId="64F05720"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1</w:t>
            </w:r>
            <w:r w:rsidR="00660E78" w:rsidRPr="007A2F89">
              <w:rPr>
                <w:sz w:val="18"/>
                <w:szCs w:val="18"/>
                <w:lang w:val="it-IT"/>
              </w:rPr>
              <w:t>8</w:t>
            </w:r>
            <w:r w:rsidRPr="007A2F89">
              <w:rPr>
                <w:sz w:val="18"/>
                <w:szCs w:val="18"/>
                <w:lang w:val="it-IT"/>
              </w:rPr>
              <w:t>.</w:t>
            </w:r>
            <w:r w:rsidR="00660E78" w:rsidRPr="007A2F89">
              <w:rPr>
                <w:sz w:val="18"/>
                <w:szCs w:val="18"/>
                <w:lang w:val="it-IT"/>
              </w:rPr>
              <w:t>23</w:t>
            </w:r>
          </w:p>
        </w:tc>
        <w:tc>
          <w:tcPr>
            <w:tcW w:w="1382" w:type="pct"/>
            <w:tcMar>
              <w:top w:w="57" w:type="dxa"/>
              <w:bottom w:w="57" w:type="dxa"/>
            </w:tcMar>
            <w:vAlign w:val="center"/>
          </w:tcPr>
          <w:p w14:paraId="736A70D3" w14:textId="56DEAC12" w:rsidR="001118E5" w:rsidRPr="007A2F89" w:rsidRDefault="00660E78" w:rsidP="007A2F89">
            <w:pPr>
              <w:pStyle w:val="Newparagraph"/>
              <w:spacing w:line="240" w:lineRule="auto"/>
              <w:ind w:firstLine="0"/>
              <w:jc w:val="both"/>
              <w:rPr>
                <w:sz w:val="18"/>
                <w:szCs w:val="18"/>
                <w:lang w:val="it-IT"/>
              </w:rPr>
            </w:pPr>
            <w:r w:rsidRPr="007A2F89">
              <w:rPr>
                <w:sz w:val="18"/>
                <w:szCs w:val="18"/>
                <w:lang w:val="it-IT"/>
              </w:rPr>
              <w:t>22</w:t>
            </w:r>
            <w:r w:rsidR="001118E5" w:rsidRPr="007A2F89">
              <w:rPr>
                <w:sz w:val="18"/>
                <w:szCs w:val="18"/>
                <w:lang w:val="it-IT"/>
              </w:rPr>
              <w:t>.</w:t>
            </w:r>
            <w:r w:rsidRPr="007A2F89">
              <w:rPr>
                <w:sz w:val="18"/>
                <w:szCs w:val="18"/>
                <w:lang w:val="it-IT"/>
              </w:rPr>
              <w:t>29</w:t>
            </w:r>
          </w:p>
        </w:tc>
      </w:tr>
      <w:tr w:rsidR="001118E5" w:rsidRPr="007A2F89" w14:paraId="0548FF8A" w14:textId="77777777" w:rsidTr="000A75C9">
        <w:tc>
          <w:tcPr>
            <w:tcW w:w="2217" w:type="pct"/>
            <w:tcBorders>
              <w:bottom w:val="single" w:sz="4" w:space="0" w:color="auto"/>
            </w:tcBorders>
            <w:tcMar>
              <w:top w:w="57" w:type="dxa"/>
              <w:bottom w:w="57" w:type="dxa"/>
            </w:tcMar>
          </w:tcPr>
          <w:p w14:paraId="5B0DD0D7" w14:textId="77777777" w:rsidR="001118E5" w:rsidRPr="007A2F89" w:rsidRDefault="001118E5" w:rsidP="007A2F89">
            <w:pPr>
              <w:pStyle w:val="Newparagraph"/>
              <w:spacing w:line="240" w:lineRule="auto"/>
              <w:ind w:right="37" w:firstLine="0"/>
              <w:jc w:val="both"/>
              <w:rPr>
                <w:sz w:val="18"/>
                <w:szCs w:val="18"/>
                <w:lang w:val="it-IT"/>
              </w:rPr>
            </w:pPr>
            <w:r w:rsidRPr="007A2F89">
              <w:rPr>
                <w:sz w:val="18"/>
                <w:szCs w:val="18"/>
                <w:lang w:val="it-IT"/>
              </w:rPr>
              <w:t>Overall R2</w:t>
            </w:r>
          </w:p>
        </w:tc>
        <w:tc>
          <w:tcPr>
            <w:tcW w:w="1400" w:type="pct"/>
            <w:tcBorders>
              <w:bottom w:val="single" w:sz="4" w:space="0" w:color="auto"/>
            </w:tcBorders>
            <w:tcMar>
              <w:top w:w="57" w:type="dxa"/>
              <w:bottom w:w="57" w:type="dxa"/>
            </w:tcMar>
            <w:vAlign w:val="center"/>
          </w:tcPr>
          <w:p w14:paraId="3C11BD98" w14:textId="09F473BD" w:rsidR="001118E5" w:rsidRPr="007A2F89" w:rsidRDefault="001118E5" w:rsidP="007A2F89">
            <w:pPr>
              <w:pStyle w:val="Newparagraph"/>
              <w:tabs>
                <w:tab w:val="left" w:pos="882"/>
              </w:tabs>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1963</w:t>
            </w:r>
          </w:p>
        </w:tc>
        <w:tc>
          <w:tcPr>
            <w:tcW w:w="1382" w:type="pct"/>
            <w:tcBorders>
              <w:bottom w:val="single" w:sz="4" w:space="0" w:color="auto"/>
            </w:tcBorders>
            <w:tcMar>
              <w:top w:w="57" w:type="dxa"/>
              <w:bottom w:w="57" w:type="dxa"/>
            </w:tcMar>
            <w:vAlign w:val="center"/>
          </w:tcPr>
          <w:p w14:paraId="0FA342DE" w14:textId="1D00EE56" w:rsidR="001118E5" w:rsidRPr="007A2F89" w:rsidRDefault="001118E5" w:rsidP="007A2F89">
            <w:pPr>
              <w:pStyle w:val="Newparagraph"/>
              <w:spacing w:line="240" w:lineRule="auto"/>
              <w:ind w:firstLine="0"/>
              <w:jc w:val="both"/>
              <w:rPr>
                <w:sz w:val="18"/>
                <w:szCs w:val="18"/>
                <w:lang w:val="it-IT"/>
              </w:rPr>
            </w:pPr>
            <w:r w:rsidRPr="007A2F89">
              <w:rPr>
                <w:sz w:val="18"/>
                <w:szCs w:val="18"/>
                <w:lang w:val="it-IT"/>
              </w:rPr>
              <w:t>0.</w:t>
            </w:r>
            <w:r w:rsidR="00660E78" w:rsidRPr="007A2F89">
              <w:rPr>
                <w:sz w:val="18"/>
                <w:szCs w:val="18"/>
                <w:lang w:val="it-IT"/>
              </w:rPr>
              <w:t>1005</w:t>
            </w:r>
          </w:p>
        </w:tc>
      </w:tr>
    </w:tbl>
    <w:p w14:paraId="5C801025" w14:textId="6099BF2E" w:rsidR="001118E5" w:rsidRPr="007A2F89" w:rsidRDefault="001118E5" w:rsidP="007A2F89">
      <w:pPr>
        <w:spacing w:before="120"/>
        <w:rPr>
          <w:rFonts w:ascii="Times New Roman" w:hAnsi="Times New Roman"/>
          <w:i/>
          <w:iCs/>
          <w:sz w:val="20"/>
          <w:szCs w:val="20"/>
          <w:lang w:val="en-GB" w:eastAsia="en-GB"/>
        </w:rPr>
      </w:pPr>
      <w:r w:rsidRPr="007A2F89">
        <w:rPr>
          <w:rFonts w:ascii="Times New Roman" w:hAnsi="Times New Roman"/>
          <w:i/>
          <w:iCs/>
          <w:sz w:val="20"/>
          <w:szCs w:val="20"/>
          <w:lang w:val="en-GB" w:eastAsia="en-GB"/>
        </w:rPr>
        <w:t>Not</w:t>
      </w:r>
      <w:r w:rsidR="00FA7977" w:rsidRPr="007A2F89">
        <w:rPr>
          <w:rFonts w:ascii="Times New Roman" w:hAnsi="Times New Roman"/>
          <w:i/>
          <w:iCs/>
          <w:sz w:val="20"/>
          <w:szCs w:val="20"/>
          <w:lang w:val="en-GB" w:eastAsia="en-GB"/>
        </w:rPr>
        <w:t>e</w:t>
      </w:r>
      <w:r w:rsidRPr="007A2F89">
        <w:rPr>
          <w:rFonts w:ascii="Times New Roman" w:hAnsi="Times New Roman"/>
          <w:i/>
          <w:iCs/>
          <w:sz w:val="20"/>
          <w:szCs w:val="20"/>
          <w:lang w:val="en-GB" w:eastAsia="en-GB"/>
        </w:rPr>
        <w:t xml:space="preserve">: </w:t>
      </w:r>
      <w:r w:rsidR="00FA7977" w:rsidRPr="007A2F89">
        <w:rPr>
          <w:rFonts w:ascii="Times New Roman" w:hAnsi="Times New Roman"/>
          <w:i/>
          <w:iCs/>
          <w:sz w:val="20"/>
          <w:szCs w:val="20"/>
          <w:lang w:val="en-GB" w:eastAsia="en-GB"/>
        </w:rPr>
        <w:t>Robust standard errors are shown in parentheses</w:t>
      </w:r>
      <w:r w:rsidRPr="007A2F89">
        <w:rPr>
          <w:rFonts w:ascii="Times New Roman" w:hAnsi="Times New Roman"/>
          <w:i/>
          <w:iCs/>
          <w:sz w:val="20"/>
          <w:szCs w:val="20"/>
          <w:lang w:val="en-GB" w:eastAsia="en-GB"/>
        </w:rPr>
        <w:t xml:space="preserve">. </w:t>
      </w:r>
    </w:p>
    <w:p w14:paraId="37F8526E" w14:textId="77777777" w:rsidR="001118E5" w:rsidRPr="007A2F89" w:rsidRDefault="001118E5" w:rsidP="007A2F89">
      <w:pPr>
        <w:rPr>
          <w:rFonts w:ascii="Times New Roman" w:hAnsi="Times New Roman"/>
          <w:i/>
          <w:iCs/>
          <w:sz w:val="20"/>
          <w:szCs w:val="20"/>
          <w:lang w:val="en-GB" w:eastAsia="en-GB"/>
        </w:rPr>
      </w:pPr>
      <w:r w:rsidRPr="007A2F89">
        <w:rPr>
          <w:rFonts w:ascii="Times New Roman" w:hAnsi="Times New Roman"/>
          <w:i/>
          <w:iCs/>
          <w:sz w:val="20"/>
          <w:szCs w:val="20"/>
          <w:lang w:val="en-GB" w:eastAsia="en-GB"/>
        </w:rPr>
        <w:t>* p &lt; 0,10.</w:t>
      </w:r>
    </w:p>
    <w:p w14:paraId="4C7F0A85" w14:textId="77777777" w:rsidR="001118E5" w:rsidRPr="007A2F89" w:rsidRDefault="001118E5" w:rsidP="007A2F89">
      <w:pPr>
        <w:rPr>
          <w:rFonts w:ascii="Times New Roman" w:hAnsi="Times New Roman"/>
          <w:i/>
          <w:iCs/>
          <w:sz w:val="20"/>
          <w:szCs w:val="20"/>
          <w:lang w:val="en-GB" w:eastAsia="en-GB"/>
        </w:rPr>
      </w:pPr>
      <w:r w:rsidRPr="007A2F89">
        <w:rPr>
          <w:rFonts w:ascii="Times New Roman" w:hAnsi="Times New Roman"/>
          <w:i/>
          <w:iCs/>
          <w:sz w:val="20"/>
          <w:szCs w:val="20"/>
          <w:lang w:val="en-GB" w:eastAsia="en-GB"/>
        </w:rPr>
        <w:t>** p &lt; 0,05.</w:t>
      </w:r>
    </w:p>
    <w:p w14:paraId="40C371E0" w14:textId="0FEA2322" w:rsidR="001118E5" w:rsidRPr="007A2F89" w:rsidRDefault="001118E5" w:rsidP="007A2F89">
      <w:pPr>
        <w:rPr>
          <w:rFonts w:ascii="Times New Roman" w:hAnsi="Times New Roman"/>
          <w:i/>
          <w:iCs/>
          <w:sz w:val="20"/>
          <w:szCs w:val="20"/>
          <w:lang w:val="en-GB" w:eastAsia="en-GB"/>
        </w:rPr>
      </w:pPr>
      <w:r w:rsidRPr="007A2F89">
        <w:rPr>
          <w:rFonts w:ascii="Times New Roman" w:hAnsi="Times New Roman"/>
          <w:i/>
          <w:iCs/>
          <w:sz w:val="20"/>
          <w:szCs w:val="20"/>
          <w:lang w:val="en-GB" w:eastAsia="en-GB"/>
        </w:rPr>
        <w:t>*** p &lt; 0,001.</w:t>
      </w:r>
    </w:p>
    <w:p w14:paraId="6BC4F27B" w14:textId="371DAA9E" w:rsidR="00D120A0" w:rsidRPr="007A2F89" w:rsidRDefault="00FA7977" w:rsidP="007A2F89">
      <w:pPr>
        <w:rPr>
          <w:rFonts w:ascii="Times New Roman" w:hAnsi="Times New Roman"/>
          <w:sz w:val="24"/>
          <w:szCs w:val="24"/>
          <w:lang w:val="en-GB" w:eastAsia="en-GB"/>
        </w:rPr>
      </w:pPr>
      <w:r w:rsidRPr="007A2F89">
        <w:rPr>
          <w:rFonts w:ascii="Times New Roman" w:hAnsi="Times New Roman"/>
          <w:i/>
          <w:iCs/>
          <w:sz w:val="20"/>
          <w:szCs w:val="20"/>
          <w:lang w:val="en-GB" w:eastAsia="en-GB"/>
        </w:rPr>
        <w:t>Source: author</w:t>
      </w:r>
      <w:r w:rsidR="007A2F89" w:rsidRPr="007A2F89">
        <w:rPr>
          <w:rFonts w:ascii="Times New Roman" w:hAnsi="Times New Roman"/>
          <w:i/>
          <w:iCs/>
          <w:sz w:val="20"/>
          <w:szCs w:val="20"/>
          <w:lang w:val="en-GB" w:eastAsia="en-GB"/>
        </w:rPr>
        <w:t>’</w:t>
      </w:r>
      <w:r w:rsidRPr="007A2F89">
        <w:rPr>
          <w:rFonts w:ascii="Times New Roman" w:hAnsi="Times New Roman"/>
          <w:i/>
          <w:iCs/>
          <w:sz w:val="20"/>
          <w:szCs w:val="20"/>
          <w:lang w:val="en-GB" w:eastAsia="en-GB"/>
        </w:rPr>
        <w:t>s elaboration</w:t>
      </w:r>
    </w:p>
    <w:p w14:paraId="52A306B6" w14:textId="77777777" w:rsidR="00B001F6" w:rsidRPr="007A2F89" w:rsidRDefault="00B001F6" w:rsidP="007A2F89">
      <w:pPr>
        <w:rPr>
          <w:rFonts w:ascii="Times New Roman" w:hAnsi="Times New Roman"/>
          <w:lang w:val="en-GB" w:eastAsia="en-GB"/>
        </w:rPr>
      </w:pPr>
    </w:p>
    <w:p w14:paraId="4491FB4A" w14:textId="32673E67" w:rsidR="00BC5860" w:rsidRPr="007A2F89" w:rsidRDefault="001118E5" w:rsidP="007A2F89">
      <w:pPr>
        <w:pStyle w:val="Paragrafoelenco"/>
        <w:numPr>
          <w:ilvl w:val="0"/>
          <w:numId w:val="7"/>
        </w:numPr>
        <w:ind w:left="0" w:firstLine="0"/>
        <w:jc w:val="both"/>
        <w:rPr>
          <w:rFonts w:ascii="Times New Roman" w:hAnsi="Times New Roman"/>
          <w:b/>
          <w:bCs/>
        </w:rPr>
      </w:pPr>
      <w:proofErr w:type="spellStart"/>
      <w:r w:rsidRPr="007A2F89">
        <w:rPr>
          <w:rFonts w:ascii="Times New Roman" w:hAnsi="Times New Roman"/>
          <w:b/>
          <w:bCs/>
        </w:rPr>
        <w:t>Conclusion</w:t>
      </w:r>
      <w:proofErr w:type="spellEnd"/>
    </w:p>
    <w:p w14:paraId="76A00304" w14:textId="030B8028" w:rsidR="001118E5" w:rsidRPr="007A2F89" w:rsidRDefault="00BC5860" w:rsidP="007A2F89">
      <w:pPr>
        <w:rPr>
          <w:rFonts w:ascii="Times New Roman" w:hAnsi="Times New Roman"/>
          <w:sz w:val="24"/>
          <w:szCs w:val="24"/>
        </w:rPr>
      </w:pPr>
      <w:r w:rsidRPr="007A2F89">
        <w:rPr>
          <w:rFonts w:ascii="Times New Roman" w:hAnsi="Times New Roman"/>
          <w:sz w:val="24"/>
          <w:szCs w:val="24"/>
          <w:lang w:val="en-GB"/>
        </w:rPr>
        <w:t>The results from the empirical analysis allow us to state that</w:t>
      </w:r>
      <w:r w:rsidR="00245665" w:rsidRPr="007A2F89">
        <w:rPr>
          <w:rFonts w:ascii="Times New Roman" w:hAnsi="Times New Roman"/>
          <w:sz w:val="24"/>
          <w:szCs w:val="24"/>
          <w:lang w:val="en-GB"/>
        </w:rPr>
        <w:t xml:space="preserve"> </w:t>
      </w:r>
      <w:r w:rsidRPr="007A2F89">
        <w:rPr>
          <w:rFonts w:ascii="Times New Roman" w:hAnsi="Times New Roman"/>
          <w:sz w:val="24"/>
          <w:szCs w:val="24"/>
          <w:lang w:val="en-GB"/>
        </w:rPr>
        <w:t xml:space="preserve">the implementation of </w:t>
      </w:r>
      <w:r w:rsidR="00F74CD7" w:rsidRPr="007A2F89">
        <w:rPr>
          <w:rFonts w:ascii="Times New Roman" w:hAnsi="Times New Roman"/>
          <w:sz w:val="24"/>
          <w:szCs w:val="24"/>
          <w:lang w:val="en-GB"/>
        </w:rPr>
        <w:t>an environmental management</w:t>
      </w:r>
      <w:r w:rsidRPr="007A2F89">
        <w:rPr>
          <w:rFonts w:ascii="Times New Roman" w:hAnsi="Times New Roman"/>
          <w:sz w:val="24"/>
          <w:szCs w:val="24"/>
          <w:lang w:val="en-GB"/>
        </w:rPr>
        <w:t xml:space="preserve"> system</w:t>
      </w:r>
      <w:r w:rsidR="00F74CD7" w:rsidRPr="007A2F89">
        <w:rPr>
          <w:rFonts w:ascii="Times New Roman" w:hAnsi="Times New Roman"/>
          <w:sz w:val="24"/>
          <w:szCs w:val="24"/>
          <w:lang w:val="en-GB"/>
        </w:rPr>
        <w:t>,</w:t>
      </w:r>
      <w:r w:rsidRPr="007A2F89">
        <w:rPr>
          <w:rFonts w:ascii="Times New Roman" w:hAnsi="Times New Roman"/>
          <w:sz w:val="24"/>
          <w:szCs w:val="24"/>
          <w:lang w:val="en-GB"/>
        </w:rPr>
        <w:t xml:space="preserve"> </w:t>
      </w:r>
      <w:r w:rsidR="00F74CD7" w:rsidRPr="007A2F89">
        <w:rPr>
          <w:rFonts w:ascii="Times New Roman" w:hAnsi="Times New Roman"/>
          <w:sz w:val="24"/>
          <w:szCs w:val="24"/>
          <w:lang w:val="en-GB"/>
        </w:rPr>
        <w:t xml:space="preserve">to </w:t>
      </w:r>
      <w:r w:rsidRPr="007A2F89">
        <w:rPr>
          <w:rFonts w:ascii="Times New Roman" w:hAnsi="Times New Roman"/>
          <w:sz w:val="24"/>
          <w:szCs w:val="24"/>
          <w:lang w:val="en-GB"/>
        </w:rPr>
        <w:t>obtai</w:t>
      </w:r>
      <w:r w:rsidR="00F74CD7" w:rsidRPr="007A2F89">
        <w:rPr>
          <w:rFonts w:ascii="Times New Roman" w:hAnsi="Times New Roman"/>
          <w:sz w:val="24"/>
          <w:szCs w:val="24"/>
          <w:lang w:val="en-GB"/>
        </w:rPr>
        <w:t>n</w:t>
      </w:r>
      <w:r w:rsidRPr="007A2F89">
        <w:rPr>
          <w:rFonts w:ascii="Times New Roman" w:hAnsi="Times New Roman"/>
          <w:sz w:val="24"/>
          <w:szCs w:val="24"/>
          <w:lang w:val="en-GB"/>
        </w:rPr>
        <w:t xml:space="preserve"> ISO14001 certification, </w:t>
      </w:r>
      <w:r w:rsidR="00F74CD7" w:rsidRPr="007A2F89">
        <w:rPr>
          <w:rFonts w:ascii="Times New Roman" w:hAnsi="Times New Roman"/>
          <w:sz w:val="24"/>
          <w:szCs w:val="24"/>
          <w:lang w:val="en-GB"/>
        </w:rPr>
        <w:t>with the aim</w:t>
      </w:r>
      <w:r w:rsidRPr="007A2F89">
        <w:rPr>
          <w:rFonts w:ascii="Times New Roman" w:hAnsi="Times New Roman"/>
          <w:sz w:val="24"/>
          <w:szCs w:val="24"/>
          <w:lang w:val="en-GB"/>
        </w:rPr>
        <w:t xml:space="preserve"> </w:t>
      </w:r>
      <w:r w:rsidR="00F74CD7" w:rsidRPr="007A2F89">
        <w:rPr>
          <w:rFonts w:ascii="Times New Roman" w:hAnsi="Times New Roman"/>
          <w:sz w:val="24"/>
          <w:szCs w:val="24"/>
          <w:lang w:val="en-GB"/>
        </w:rPr>
        <w:t>to</w:t>
      </w:r>
      <w:r w:rsidRPr="007A2F89">
        <w:rPr>
          <w:rFonts w:ascii="Times New Roman" w:hAnsi="Times New Roman"/>
          <w:sz w:val="24"/>
          <w:szCs w:val="24"/>
          <w:lang w:val="en-GB"/>
        </w:rPr>
        <w:t xml:space="preserve"> assess and reduc</w:t>
      </w:r>
      <w:r w:rsidR="00F74CD7" w:rsidRPr="007A2F89">
        <w:rPr>
          <w:rFonts w:ascii="Times New Roman" w:hAnsi="Times New Roman"/>
          <w:sz w:val="24"/>
          <w:szCs w:val="24"/>
          <w:lang w:val="en-GB"/>
        </w:rPr>
        <w:t>e</w:t>
      </w:r>
      <w:r w:rsidRPr="007A2F89">
        <w:rPr>
          <w:rFonts w:ascii="Times New Roman" w:hAnsi="Times New Roman"/>
          <w:sz w:val="24"/>
          <w:szCs w:val="24"/>
          <w:lang w:val="en-GB"/>
        </w:rPr>
        <w:t xml:space="preserve"> environmental impacts and </w:t>
      </w:r>
      <w:r w:rsidR="00F74CD7" w:rsidRPr="007A2F89">
        <w:rPr>
          <w:rFonts w:ascii="Times New Roman" w:hAnsi="Times New Roman"/>
          <w:sz w:val="24"/>
          <w:szCs w:val="24"/>
          <w:lang w:val="en-GB"/>
        </w:rPr>
        <w:t>to plan</w:t>
      </w:r>
      <w:r w:rsidRPr="007A2F89">
        <w:rPr>
          <w:rFonts w:ascii="Times New Roman" w:hAnsi="Times New Roman"/>
          <w:sz w:val="24"/>
          <w:szCs w:val="24"/>
          <w:lang w:val="en-GB"/>
        </w:rPr>
        <w:t xml:space="preserve"> sustainability and corporate social responsibility strategies, positively influence </w:t>
      </w:r>
      <w:r w:rsidR="00561B6B" w:rsidRPr="007A2F89">
        <w:rPr>
          <w:rFonts w:ascii="Times New Roman" w:hAnsi="Times New Roman"/>
          <w:sz w:val="24"/>
          <w:szCs w:val="24"/>
          <w:lang w:val="en-GB"/>
        </w:rPr>
        <w:t xml:space="preserve">the </w:t>
      </w:r>
      <w:r w:rsidRPr="007A2F89">
        <w:rPr>
          <w:rFonts w:ascii="Times New Roman" w:hAnsi="Times New Roman"/>
          <w:sz w:val="24"/>
          <w:szCs w:val="24"/>
          <w:lang w:val="en-GB"/>
        </w:rPr>
        <w:t xml:space="preserve">economic and financial </w:t>
      </w:r>
      <w:r w:rsidR="00F74CD7" w:rsidRPr="007A2F89">
        <w:rPr>
          <w:rFonts w:ascii="Times New Roman" w:hAnsi="Times New Roman"/>
          <w:sz w:val="24"/>
          <w:szCs w:val="24"/>
          <w:lang w:val="en-GB"/>
        </w:rPr>
        <w:t>performance</w:t>
      </w:r>
      <w:r w:rsidRPr="007A2F89">
        <w:rPr>
          <w:rFonts w:ascii="Times New Roman" w:hAnsi="Times New Roman"/>
          <w:sz w:val="24"/>
          <w:szCs w:val="24"/>
          <w:lang w:val="en-GB"/>
        </w:rPr>
        <w:t xml:space="preserve"> of Abruzzo SMEs</w:t>
      </w:r>
      <w:r w:rsidR="00F74CD7" w:rsidRPr="007A2F89">
        <w:rPr>
          <w:rFonts w:ascii="Times New Roman" w:hAnsi="Times New Roman"/>
          <w:sz w:val="24"/>
          <w:szCs w:val="24"/>
          <w:lang w:val="en-GB"/>
        </w:rPr>
        <w:t xml:space="preserve"> and allow us</w:t>
      </w:r>
      <w:r w:rsidRPr="007A2F89">
        <w:rPr>
          <w:rFonts w:ascii="Times New Roman" w:hAnsi="Times New Roman"/>
          <w:sz w:val="24"/>
          <w:szCs w:val="24"/>
          <w:lang w:val="en-GB"/>
        </w:rPr>
        <w:t xml:space="preserve"> to affirmatively answer the research question </w:t>
      </w:r>
      <w:r w:rsidR="00561B6B" w:rsidRPr="007A2F89">
        <w:rPr>
          <w:rFonts w:ascii="Times New Roman" w:hAnsi="Times New Roman"/>
          <w:sz w:val="24"/>
          <w:szCs w:val="24"/>
          <w:lang w:val="en-GB"/>
        </w:rPr>
        <w:t>and to</w:t>
      </w:r>
      <w:r w:rsidRPr="007A2F89">
        <w:rPr>
          <w:rFonts w:ascii="Times New Roman" w:hAnsi="Times New Roman"/>
          <w:sz w:val="24"/>
          <w:szCs w:val="24"/>
          <w:lang w:val="en-GB"/>
        </w:rPr>
        <w:t xml:space="preserve"> confi</w:t>
      </w:r>
      <w:r w:rsidR="00561B6B" w:rsidRPr="007A2F89">
        <w:rPr>
          <w:rFonts w:ascii="Times New Roman" w:hAnsi="Times New Roman"/>
          <w:sz w:val="24"/>
          <w:szCs w:val="24"/>
          <w:lang w:val="en-GB"/>
        </w:rPr>
        <w:t>rm</w:t>
      </w:r>
      <w:r w:rsidRPr="007A2F89">
        <w:rPr>
          <w:rFonts w:ascii="Times New Roman" w:hAnsi="Times New Roman"/>
          <w:sz w:val="24"/>
          <w:szCs w:val="24"/>
          <w:lang w:val="en-GB"/>
        </w:rPr>
        <w:t xml:space="preserve"> the relationship hypothesized in paragraph 2. </w:t>
      </w:r>
      <w:r w:rsidR="00347E4B" w:rsidRPr="007A2F89">
        <w:rPr>
          <w:rFonts w:ascii="Times New Roman" w:hAnsi="Times New Roman"/>
          <w:sz w:val="24"/>
          <w:szCs w:val="24"/>
          <w:lang w:val="en-GB"/>
        </w:rPr>
        <w:t xml:space="preserve">These results are part of the research </w:t>
      </w:r>
      <w:r w:rsidR="00F74CD7" w:rsidRPr="007A2F89">
        <w:rPr>
          <w:rFonts w:ascii="Times New Roman" w:hAnsi="Times New Roman"/>
          <w:sz w:val="24"/>
          <w:szCs w:val="24"/>
          <w:lang w:val="en-GB"/>
        </w:rPr>
        <w:t>line</w:t>
      </w:r>
      <w:r w:rsidR="00347E4B" w:rsidRPr="007A2F89">
        <w:rPr>
          <w:rFonts w:ascii="Times New Roman" w:hAnsi="Times New Roman"/>
          <w:sz w:val="24"/>
          <w:szCs w:val="24"/>
          <w:lang w:val="en-GB"/>
        </w:rPr>
        <w:t xml:space="preserve"> that supports the adoption of management approaches and models </w:t>
      </w:r>
      <w:r w:rsidR="00326BB3" w:rsidRPr="007A2F89">
        <w:rPr>
          <w:rFonts w:ascii="Times New Roman" w:hAnsi="Times New Roman"/>
          <w:sz w:val="24"/>
          <w:szCs w:val="24"/>
          <w:lang w:val="en-GB"/>
        </w:rPr>
        <w:t>towards</w:t>
      </w:r>
      <w:r w:rsidR="00347E4B" w:rsidRPr="007A2F89">
        <w:rPr>
          <w:rFonts w:ascii="Times New Roman" w:hAnsi="Times New Roman"/>
          <w:sz w:val="24"/>
          <w:szCs w:val="24"/>
          <w:lang w:val="en-GB"/>
        </w:rPr>
        <w:t xml:space="preserve"> sustainable development and, therefore,</w:t>
      </w:r>
      <w:r w:rsidR="00326BB3" w:rsidRPr="007A2F89">
        <w:rPr>
          <w:rFonts w:ascii="Times New Roman" w:hAnsi="Times New Roman"/>
          <w:sz w:val="24"/>
          <w:szCs w:val="24"/>
          <w:lang w:val="en-GB"/>
        </w:rPr>
        <w:t xml:space="preserve"> allow to</w:t>
      </w:r>
      <w:r w:rsidR="00347E4B" w:rsidRPr="007A2F89">
        <w:rPr>
          <w:rFonts w:ascii="Times New Roman" w:hAnsi="Times New Roman"/>
          <w:sz w:val="24"/>
          <w:szCs w:val="24"/>
          <w:lang w:val="en-GB"/>
        </w:rPr>
        <w:t xml:space="preserve"> mitigat</w:t>
      </w:r>
      <w:r w:rsidR="00326BB3" w:rsidRPr="007A2F89">
        <w:rPr>
          <w:rFonts w:ascii="Times New Roman" w:hAnsi="Times New Roman"/>
          <w:sz w:val="24"/>
          <w:szCs w:val="24"/>
          <w:lang w:val="en-GB"/>
        </w:rPr>
        <w:t>e</w:t>
      </w:r>
      <w:r w:rsidR="00347E4B" w:rsidRPr="007A2F89">
        <w:rPr>
          <w:rFonts w:ascii="Times New Roman" w:hAnsi="Times New Roman"/>
          <w:sz w:val="24"/>
          <w:szCs w:val="24"/>
          <w:lang w:val="en-GB"/>
        </w:rPr>
        <w:t xml:space="preserve"> social and environmental impacts of the business activity </w:t>
      </w:r>
      <w:r w:rsidR="00326BB3" w:rsidRPr="007A2F89">
        <w:rPr>
          <w:rFonts w:ascii="Times New Roman" w:hAnsi="Times New Roman"/>
          <w:sz w:val="24"/>
          <w:szCs w:val="24"/>
          <w:lang w:val="en-GB"/>
        </w:rPr>
        <w:t>contributing</w:t>
      </w:r>
      <w:r w:rsidR="00347E4B" w:rsidRPr="007A2F89">
        <w:rPr>
          <w:rFonts w:ascii="Times New Roman" w:hAnsi="Times New Roman"/>
          <w:sz w:val="24"/>
          <w:szCs w:val="24"/>
          <w:lang w:val="en-GB"/>
        </w:rPr>
        <w:t xml:space="preserve"> </w:t>
      </w:r>
      <w:r w:rsidR="00326BB3" w:rsidRPr="007A2F89">
        <w:rPr>
          <w:rFonts w:ascii="Times New Roman" w:hAnsi="Times New Roman"/>
          <w:sz w:val="24"/>
          <w:szCs w:val="24"/>
          <w:lang w:val="en-GB"/>
        </w:rPr>
        <w:t xml:space="preserve">to the </w:t>
      </w:r>
      <w:r w:rsidR="008A20A6" w:rsidRPr="007A2F89">
        <w:rPr>
          <w:rFonts w:ascii="Times New Roman" w:hAnsi="Times New Roman"/>
          <w:sz w:val="24"/>
          <w:szCs w:val="24"/>
          <w:lang w:val="en-GB"/>
        </w:rPr>
        <w:t>economic performance</w:t>
      </w:r>
      <w:r w:rsidR="00347E4B" w:rsidRPr="007A2F89">
        <w:rPr>
          <w:rFonts w:ascii="Times New Roman" w:hAnsi="Times New Roman"/>
          <w:sz w:val="24"/>
          <w:szCs w:val="24"/>
          <w:lang w:val="en-GB"/>
        </w:rPr>
        <w:t xml:space="preserve"> improvement. </w:t>
      </w:r>
      <w:r w:rsidR="001118E5" w:rsidRPr="007A2F89">
        <w:rPr>
          <w:rFonts w:ascii="Times New Roman" w:hAnsi="Times New Roman"/>
          <w:sz w:val="24"/>
          <w:szCs w:val="24"/>
        </w:rPr>
        <w:t>(</w:t>
      </w:r>
      <w:proofErr w:type="spellStart"/>
      <w:r w:rsidR="001118E5" w:rsidRPr="007A2F89">
        <w:rPr>
          <w:rFonts w:ascii="Times New Roman" w:hAnsi="Times New Roman"/>
          <w:sz w:val="24"/>
          <w:szCs w:val="24"/>
        </w:rPr>
        <w:t>Wheelen</w:t>
      </w:r>
      <w:proofErr w:type="spellEnd"/>
      <w:r w:rsidR="001118E5" w:rsidRPr="007A2F89">
        <w:rPr>
          <w:rFonts w:ascii="Times New Roman" w:hAnsi="Times New Roman"/>
          <w:sz w:val="24"/>
          <w:szCs w:val="24"/>
        </w:rPr>
        <w:t xml:space="preserve"> </w:t>
      </w:r>
      <w:r w:rsidR="00B001F6" w:rsidRPr="007A2F89">
        <w:rPr>
          <w:rFonts w:ascii="Times New Roman" w:hAnsi="Times New Roman"/>
          <w:sz w:val="24"/>
          <w:szCs w:val="24"/>
        </w:rPr>
        <w:t>e</w:t>
      </w:r>
      <w:r w:rsidR="001118E5" w:rsidRPr="007A2F89">
        <w:rPr>
          <w:rFonts w:ascii="Times New Roman" w:hAnsi="Times New Roman"/>
          <w:sz w:val="24"/>
          <w:szCs w:val="24"/>
        </w:rPr>
        <w:t xml:space="preserve"> </w:t>
      </w:r>
      <w:proofErr w:type="spellStart"/>
      <w:r w:rsidR="001118E5" w:rsidRPr="007A2F89">
        <w:rPr>
          <w:rFonts w:ascii="Times New Roman" w:hAnsi="Times New Roman"/>
          <w:sz w:val="24"/>
          <w:szCs w:val="24"/>
        </w:rPr>
        <w:t>Hunger</w:t>
      </w:r>
      <w:proofErr w:type="spellEnd"/>
      <w:r w:rsidR="001118E5" w:rsidRPr="007A2F89">
        <w:rPr>
          <w:rFonts w:ascii="Times New Roman" w:hAnsi="Times New Roman"/>
          <w:sz w:val="24"/>
          <w:szCs w:val="24"/>
        </w:rPr>
        <w:t xml:space="preserve">, 2012; </w:t>
      </w:r>
      <w:proofErr w:type="spellStart"/>
      <w:r w:rsidR="00B001F6" w:rsidRPr="007A2F89">
        <w:rPr>
          <w:rFonts w:ascii="Times New Roman" w:hAnsi="Times New Roman"/>
          <w:sz w:val="24"/>
          <w:szCs w:val="24"/>
        </w:rPr>
        <w:t>Ahamed</w:t>
      </w:r>
      <w:proofErr w:type="spellEnd"/>
      <w:r w:rsidR="00B001F6" w:rsidRPr="007A2F89">
        <w:rPr>
          <w:rFonts w:ascii="Times New Roman" w:hAnsi="Times New Roman"/>
          <w:sz w:val="24"/>
          <w:szCs w:val="24"/>
        </w:rPr>
        <w:t xml:space="preserve">, </w:t>
      </w:r>
      <w:proofErr w:type="spellStart"/>
      <w:r w:rsidR="00B001F6" w:rsidRPr="007A2F89">
        <w:rPr>
          <w:rFonts w:ascii="Times New Roman" w:hAnsi="Times New Roman"/>
          <w:sz w:val="24"/>
          <w:szCs w:val="24"/>
        </w:rPr>
        <w:t>Almsafir</w:t>
      </w:r>
      <w:proofErr w:type="spellEnd"/>
      <w:r w:rsidR="00B001F6" w:rsidRPr="007A2F89">
        <w:rPr>
          <w:rFonts w:ascii="Times New Roman" w:hAnsi="Times New Roman"/>
          <w:sz w:val="24"/>
          <w:szCs w:val="24"/>
        </w:rPr>
        <w:t xml:space="preserve"> e Al-</w:t>
      </w:r>
      <w:proofErr w:type="spellStart"/>
      <w:r w:rsidR="00B001F6" w:rsidRPr="007A2F89">
        <w:rPr>
          <w:rFonts w:ascii="Times New Roman" w:hAnsi="Times New Roman"/>
          <w:sz w:val="24"/>
          <w:szCs w:val="24"/>
        </w:rPr>
        <w:t>Smadi</w:t>
      </w:r>
      <w:proofErr w:type="spellEnd"/>
      <w:r w:rsidR="001118E5" w:rsidRPr="007A2F89">
        <w:rPr>
          <w:rFonts w:ascii="Times New Roman" w:hAnsi="Times New Roman"/>
          <w:sz w:val="24"/>
          <w:szCs w:val="24"/>
        </w:rPr>
        <w:t xml:space="preserve">, 2014; </w:t>
      </w:r>
      <w:proofErr w:type="spellStart"/>
      <w:r w:rsidR="001118E5" w:rsidRPr="007A2F89">
        <w:rPr>
          <w:rFonts w:ascii="Times New Roman" w:hAnsi="Times New Roman"/>
          <w:sz w:val="24"/>
          <w:szCs w:val="24"/>
        </w:rPr>
        <w:t>Kim</w:t>
      </w:r>
      <w:proofErr w:type="spellEnd"/>
      <w:r w:rsidR="00B001F6" w:rsidRPr="007A2F89">
        <w:rPr>
          <w:rFonts w:ascii="Times New Roman" w:hAnsi="Times New Roman"/>
          <w:sz w:val="24"/>
          <w:szCs w:val="24"/>
        </w:rPr>
        <w:t xml:space="preserve"> e</w:t>
      </w:r>
      <w:r w:rsidR="001118E5" w:rsidRPr="007A2F89">
        <w:rPr>
          <w:rFonts w:ascii="Times New Roman" w:hAnsi="Times New Roman"/>
          <w:sz w:val="24"/>
          <w:szCs w:val="24"/>
        </w:rPr>
        <w:t xml:space="preserve"> </w:t>
      </w:r>
      <w:proofErr w:type="spellStart"/>
      <w:r w:rsidR="001118E5" w:rsidRPr="007A2F89">
        <w:rPr>
          <w:rFonts w:ascii="Times New Roman" w:hAnsi="Times New Roman"/>
          <w:sz w:val="24"/>
          <w:szCs w:val="24"/>
        </w:rPr>
        <w:t>Kim</w:t>
      </w:r>
      <w:proofErr w:type="spellEnd"/>
      <w:r w:rsidR="001118E5" w:rsidRPr="007A2F89">
        <w:rPr>
          <w:rFonts w:ascii="Times New Roman" w:hAnsi="Times New Roman"/>
          <w:sz w:val="24"/>
          <w:szCs w:val="24"/>
        </w:rPr>
        <w:t xml:space="preserve">, 2014; </w:t>
      </w:r>
      <w:proofErr w:type="spellStart"/>
      <w:r w:rsidR="001118E5" w:rsidRPr="007A2F89">
        <w:rPr>
          <w:rFonts w:ascii="Times New Roman" w:hAnsi="Times New Roman"/>
          <w:sz w:val="24"/>
          <w:szCs w:val="24"/>
        </w:rPr>
        <w:t>Maqbool</w:t>
      </w:r>
      <w:proofErr w:type="spellEnd"/>
      <w:r w:rsidR="001118E5" w:rsidRPr="007A2F89">
        <w:rPr>
          <w:rFonts w:ascii="Times New Roman" w:hAnsi="Times New Roman"/>
          <w:sz w:val="24"/>
          <w:szCs w:val="24"/>
        </w:rPr>
        <w:t xml:space="preserve"> </w:t>
      </w:r>
      <w:r w:rsidR="00B001F6" w:rsidRPr="007A2F89">
        <w:rPr>
          <w:rFonts w:ascii="Times New Roman" w:hAnsi="Times New Roman"/>
          <w:sz w:val="24"/>
          <w:szCs w:val="24"/>
        </w:rPr>
        <w:t>e</w:t>
      </w:r>
      <w:r w:rsidR="001118E5" w:rsidRPr="007A2F89">
        <w:rPr>
          <w:rFonts w:ascii="Times New Roman" w:hAnsi="Times New Roman"/>
          <w:sz w:val="24"/>
          <w:szCs w:val="24"/>
        </w:rPr>
        <w:t xml:space="preserve"> </w:t>
      </w:r>
      <w:proofErr w:type="spellStart"/>
      <w:r w:rsidR="001118E5" w:rsidRPr="007A2F89">
        <w:rPr>
          <w:rFonts w:ascii="Times New Roman" w:hAnsi="Times New Roman"/>
          <w:sz w:val="24"/>
          <w:szCs w:val="24"/>
        </w:rPr>
        <w:t>Zameer</w:t>
      </w:r>
      <w:proofErr w:type="spellEnd"/>
      <w:r w:rsidR="001118E5" w:rsidRPr="007A2F89">
        <w:rPr>
          <w:rFonts w:ascii="Times New Roman" w:hAnsi="Times New Roman"/>
          <w:sz w:val="24"/>
          <w:szCs w:val="24"/>
        </w:rPr>
        <w:t xml:space="preserve">, 2018; </w:t>
      </w:r>
      <w:proofErr w:type="spellStart"/>
      <w:r w:rsidR="001118E5" w:rsidRPr="007A2F89">
        <w:rPr>
          <w:rFonts w:ascii="Times New Roman" w:hAnsi="Times New Roman"/>
          <w:sz w:val="24"/>
          <w:szCs w:val="24"/>
        </w:rPr>
        <w:t>Platonova</w:t>
      </w:r>
      <w:proofErr w:type="spellEnd"/>
      <w:r w:rsidR="001118E5" w:rsidRPr="007A2F89">
        <w:rPr>
          <w:rFonts w:ascii="Times New Roman" w:hAnsi="Times New Roman"/>
          <w:sz w:val="24"/>
          <w:szCs w:val="24"/>
        </w:rPr>
        <w:t xml:space="preserve"> </w:t>
      </w:r>
      <w:r w:rsidR="001118E5" w:rsidRPr="007A2F89">
        <w:rPr>
          <w:rFonts w:ascii="Times New Roman" w:hAnsi="Times New Roman"/>
          <w:i/>
          <w:iCs/>
          <w:sz w:val="24"/>
          <w:szCs w:val="24"/>
        </w:rPr>
        <w:t>et al.</w:t>
      </w:r>
      <w:r w:rsidR="001118E5" w:rsidRPr="007A2F89">
        <w:rPr>
          <w:rFonts w:ascii="Times New Roman" w:hAnsi="Times New Roman"/>
          <w:sz w:val="24"/>
          <w:szCs w:val="24"/>
        </w:rPr>
        <w:t>, 2018).</w:t>
      </w:r>
    </w:p>
    <w:p w14:paraId="354BD6AB" w14:textId="64ECA972" w:rsidR="009F696E" w:rsidRPr="007A2F89" w:rsidRDefault="008A20A6" w:rsidP="007A2F89">
      <w:pPr>
        <w:rPr>
          <w:rFonts w:ascii="Times New Roman" w:hAnsi="Times New Roman"/>
          <w:sz w:val="24"/>
          <w:szCs w:val="24"/>
          <w:lang w:val="en-GB"/>
        </w:rPr>
      </w:pPr>
      <w:r w:rsidRPr="007A2F89">
        <w:rPr>
          <w:rFonts w:ascii="Times New Roman" w:hAnsi="Times New Roman"/>
          <w:sz w:val="24"/>
          <w:szCs w:val="24"/>
          <w:lang w:val="en-GB"/>
        </w:rPr>
        <w:t>U</w:t>
      </w:r>
      <w:r w:rsidR="00347E4B" w:rsidRPr="007A2F89">
        <w:rPr>
          <w:rFonts w:ascii="Times New Roman" w:hAnsi="Times New Roman"/>
          <w:sz w:val="24"/>
          <w:szCs w:val="24"/>
          <w:lang w:val="en-GB"/>
        </w:rPr>
        <w:t xml:space="preserve">nder the </w:t>
      </w:r>
      <w:r w:rsidR="00326BB3" w:rsidRPr="007A2F89">
        <w:rPr>
          <w:rFonts w:ascii="Times New Roman" w:hAnsi="Times New Roman"/>
          <w:sz w:val="24"/>
          <w:szCs w:val="24"/>
          <w:lang w:val="en-GB"/>
        </w:rPr>
        <w:t>Signalling</w:t>
      </w:r>
      <w:r w:rsidR="00347E4B" w:rsidRPr="007A2F89">
        <w:rPr>
          <w:rFonts w:ascii="Times New Roman" w:hAnsi="Times New Roman"/>
          <w:sz w:val="24"/>
          <w:szCs w:val="24"/>
          <w:lang w:val="en-GB"/>
        </w:rPr>
        <w:t xml:space="preserve"> Theory perspective, the research contributes to the theoretical development</w:t>
      </w:r>
      <w:r w:rsidRPr="007A2F89">
        <w:rPr>
          <w:rFonts w:ascii="Times New Roman" w:hAnsi="Times New Roman"/>
          <w:sz w:val="24"/>
          <w:szCs w:val="24"/>
          <w:lang w:val="en-GB"/>
        </w:rPr>
        <w:t>,</w:t>
      </w:r>
      <w:r w:rsidR="00347E4B" w:rsidRPr="007A2F89">
        <w:rPr>
          <w:rFonts w:ascii="Times New Roman" w:hAnsi="Times New Roman"/>
          <w:sz w:val="24"/>
          <w:szCs w:val="24"/>
          <w:lang w:val="en-GB"/>
        </w:rPr>
        <w:t xml:space="preserve"> showing how the management system environmental ISO14001 certification is suitable as a </w:t>
      </w:r>
      <w:proofErr w:type="spellStart"/>
      <w:r w:rsidR="00245665" w:rsidRPr="007A2F89">
        <w:rPr>
          <w:rFonts w:ascii="Times New Roman" w:hAnsi="Times New Roman"/>
          <w:sz w:val="24"/>
          <w:szCs w:val="24"/>
          <w:lang w:val="en-GB"/>
        </w:rPr>
        <w:t>signaling</w:t>
      </w:r>
      <w:proofErr w:type="spellEnd"/>
      <w:r w:rsidR="00347E4B" w:rsidRPr="007A2F89">
        <w:rPr>
          <w:rFonts w:ascii="Times New Roman" w:hAnsi="Times New Roman"/>
          <w:sz w:val="24"/>
          <w:szCs w:val="24"/>
          <w:lang w:val="en-GB"/>
        </w:rPr>
        <w:t xml:space="preserve"> tool for the orientation </w:t>
      </w:r>
      <w:r w:rsidRPr="007A2F89">
        <w:rPr>
          <w:rFonts w:ascii="Times New Roman" w:hAnsi="Times New Roman"/>
          <w:sz w:val="24"/>
          <w:szCs w:val="24"/>
          <w:lang w:val="en-GB"/>
        </w:rPr>
        <w:t>towards the</w:t>
      </w:r>
      <w:r w:rsidR="00347E4B" w:rsidRPr="007A2F89">
        <w:rPr>
          <w:rFonts w:ascii="Times New Roman" w:hAnsi="Times New Roman"/>
          <w:sz w:val="24"/>
          <w:szCs w:val="24"/>
          <w:lang w:val="en-GB"/>
        </w:rPr>
        <w:t xml:space="preserve"> sustainable development of small and medium-sized enterprises in Abruzzo, noting a positive influence relating to corporate stakeholders, signal receivers, reducing information asymmetries and </w:t>
      </w:r>
      <w:r w:rsidR="00326BB3" w:rsidRPr="007A2F89">
        <w:rPr>
          <w:rFonts w:ascii="Times New Roman" w:hAnsi="Times New Roman"/>
          <w:sz w:val="24"/>
          <w:szCs w:val="24"/>
          <w:lang w:val="en-GB"/>
        </w:rPr>
        <w:t>the relat</w:t>
      </w:r>
      <w:r w:rsidR="00245665" w:rsidRPr="007A2F89">
        <w:rPr>
          <w:rFonts w:ascii="Times New Roman" w:hAnsi="Times New Roman"/>
          <w:sz w:val="24"/>
          <w:szCs w:val="24"/>
          <w:lang w:val="en-GB"/>
        </w:rPr>
        <w:t>ed</w:t>
      </w:r>
      <w:r w:rsidR="00326BB3" w:rsidRPr="007A2F89">
        <w:rPr>
          <w:rFonts w:ascii="Times New Roman" w:hAnsi="Times New Roman"/>
          <w:sz w:val="24"/>
          <w:szCs w:val="24"/>
          <w:lang w:val="en-GB"/>
        </w:rPr>
        <w:t xml:space="preserve"> </w:t>
      </w:r>
      <w:r w:rsidR="00347E4B" w:rsidRPr="007A2F89">
        <w:rPr>
          <w:rFonts w:ascii="Times New Roman" w:hAnsi="Times New Roman"/>
          <w:sz w:val="24"/>
          <w:szCs w:val="24"/>
          <w:lang w:val="en-GB"/>
        </w:rPr>
        <w:t>cost</w:t>
      </w:r>
      <w:r w:rsidR="00245665" w:rsidRPr="007A2F89">
        <w:rPr>
          <w:rFonts w:ascii="Times New Roman" w:hAnsi="Times New Roman"/>
          <w:sz w:val="24"/>
          <w:szCs w:val="24"/>
          <w:lang w:val="en-GB"/>
        </w:rPr>
        <w:t>s</w:t>
      </w:r>
      <w:r w:rsidRPr="007A2F89">
        <w:rPr>
          <w:rFonts w:ascii="Times New Roman" w:hAnsi="Times New Roman"/>
          <w:sz w:val="24"/>
          <w:szCs w:val="24"/>
          <w:lang w:val="en-GB"/>
        </w:rPr>
        <w:t>.</w:t>
      </w:r>
      <w:r w:rsidR="00347E4B" w:rsidRPr="007A2F89">
        <w:rPr>
          <w:rFonts w:ascii="Times New Roman" w:hAnsi="Times New Roman"/>
          <w:sz w:val="24"/>
          <w:szCs w:val="24"/>
          <w:lang w:val="en-GB"/>
        </w:rPr>
        <w:t xml:space="preserve"> </w:t>
      </w:r>
      <w:r w:rsidRPr="007A2F89">
        <w:rPr>
          <w:rFonts w:ascii="Times New Roman" w:hAnsi="Times New Roman"/>
          <w:sz w:val="24"/>
          <w:szCs w:val="24"/>
          <w:lang w:val="en-GB"/>
        </w:rPr>
        <w:t>Hence, it</w:t>
      </w:r>
      <w:r w:rsidR="00347E4B" w:rsidRPr="007A2F89">
        <w:rPr>
          <w:rFonts w:ascii="Times New Roman" w:hAnsi="Times New Roman"/>
          <w:sz w:val="24"/>
          <w:szCs w:val="24"/>
          <w:lang w:val="en-GB"/>
        </w:rPr>
        <w:t xml:space="preserve"> contribu</w:t>
      </w:r>
      <w:r w:rsidRPr="007A2F89">
        <w:rPr>
          <w:rFonts w:ascii="Times New Roman" w:hAnsi="Times New Roman"/>
          <w:sz w:val="24"/>
          <w:szCs w:val="24"/>
          <w:lang w:val="en-GB"/>
        </w:rPr>
        <w:t>tes</w:t>
      </w:r>
      <w:r w:rsidR="00347E4B" w:rsidRPr="007A2F89">
        <w:rPr>
          <w:rFonts w:ascii="Times New Roman" w:hAnsi="Times New Roman"/>
          <w:sz w:val="24"/>
          <w:szCs w:val="24"/>
          <w:lang w:val="en-GB"/>
        </w:rPr>
        <w:t xml:space="preserve"> to the company results improvement. The </w:t>
      </w:r>
      <w:r w:rsidR="00326BB3" w:rsidRPr="007A2F89">
        <w:rPr>
          <w:rFonts w:ascii="Times New Roman" w:hAnsi="Times New Roman"/>
          <w:sz w:val="24"/>
          <w:szCs w:val="24"/>
          <w:lang w:val="en-GB"/>
        </w:rPr>
        <w:t>Signalling</w:t>
      </w:r>
      <w:r w:rsidR="00347E4B" w:rsidRPr="007A2F89">
        <w:rPr>
          <w:rFonts w:ascii="Times New Roman" w:hAnsi="Times New Roman"/>
          <w:sz w:val="24"/>
          <w:szCs w:val="24"/>
          <w:lang w:val="en-GB"/>
        </w:rPr>
        <w:t xml:space="preserve"> </w:t>
      </w:r>
      <w:r w:rsidR="009F696E" w:rsidRPr="007A2F89">
        <w:rPr>
          <w:rFonts w:ascii="Times New Roman" w:hAnsi="Times New Roman"/>
          <w:sz w:val="24"/>
          <w:szCs w:val="24"/>
          <w:lang w:val="en-GB"/>
        </w:rPr>
        <w:t>T</w:t>
      </w:r>
      <w:r w:rsidR="00347E4B" w:rsidRPr="007A2F89">
        <w:rPr>
          <w:rFonts w:ascii="Times New Roman" w:hAnsi="Times New Roman"/>
          <w:sz w:val="24"/>
          <w:szCs w:val="24"/>
          <w:lang w:val="en-GB"/>
        </w:rPr>
        <w:t>heory, used as a theoretical framework for th</w:t>
      </w:r>
      <w:r w:rsidR="009F696E" w:rsidRPr="007A2F89">
        <w:rPr>
          <w:rFonts w:ascii="Times New Roman" w:hAnsi="Times New Roman"/>
          <w:sz w:val="24"/>
          <w:szCs w:val="24"/>
          <w:lang w:val="en-GB"/>
        </w:rPr>
        <w:t>is</w:t>
      </w:r>
      <w:r w:rsidR="00347E4B" w:rsidRPr="007A2F89">
        <w:rPr>
          <w:rFonts w:ascii="Times New Roman" w:hAnsi="Times New Roman"/>
          <w:sz w:val="24"/>
          <w:szCs w:val="24"/>
          <w:lang w:val="en-GB"/>
        </w:rPr>
        <w:t xml:space="preserve"> research, </w:t>
      </w:r>
      <w:r w:rsidRPr="007A2F89">
        <w:rPr>
          <w:rFonts w:ascii="Times New Roman" w:hAnsi="Times New Roman"/>
          <w:sz w:val="24"/>
          <w:szCs w:val="24"/>
          <w:lang w:val="en-GB"/>
        </w:rPr>
        <w:t>highlights that</w:t>
      </w:r>
      <w:r w:rsidR="00347E4B" w:rsidRPr="007A2F89">
        <w:rPr>
          <w:rFonts w:ascii="Times New Roman" w:hAnsi="Times New Roman"/>
          <w:sz w:val="24"/>
          <w:szCs w:val="24"/>
          <w:lang w:val="en-GB"/>
        </w:rPr>
        <w:t xml:space="preserve"> the</w:t>
      </w:r>
      <w:r w:rsidRPr="007A2F89">
        <w:rPr>
          <w:rFonts w:ascii="Times New Roman" w:hAnsi="Times New Roman"/>
          <w:sz w:val="24"/>
          <w:szCs w:val="24"/>
          <w:lang w:val="en-GB"/>
        </w:rPr>
        <w:t xml:space="preserve"> company</w:t>
      </w:r>
      <w:r w:rsidR="007A2F89" w:rsidRPr="007A2F89">
        <w:rPr>
          <w:rFonts w:ascii="Times New Roman" w:hAnsi="Times New Roman"/>
          <w:sz w:val="24"/>
          <w:szCs w:val="24"/>
          <w:lang w:val="en-GB"/>
        </w:rPr>
        <w:t>’</w:t>
      </w:r>
      <w:r w:rsidRPr="007A2F89">
        <w:rPr>
          <w:rFonts w:ascii="Times New Roman" w:hAnsi="Times New Roman"/>
          <w:sz w:val="24"/>
          <w:szCs w:val="24"/>
          <w:lang w:val="en-GB"/>
        </w:rPr>
        <w:t>s</w:t>
      </w:r>
      <w:r w:rsidR="00347E4B" w:rsidRPr="007A2F89">
        <w:rPr>
          <w:rFonts w:ascii="Times New Roman" w:hAnsi="Times New Roman"/>
          <w:sz w:val="24"/>
          <w:szCs w:val="24"/>
          <w:lang w:val="en-GB"/>
        </w:rPr>
        <w:t xml:space="preserve"> reporting orientation towards sustainable development, through useful tools to communicat</w:t>
      </w:r>
      <w:r w:rsidR="009F696E" w:rsidRPr="007A2F89">
        <w:rPr>
          <w:rFonts w:ascii="Times New Roman" w:hAnsi="Times New Roman"/>
          <w:sz w:val="24"/>
          <w:szCs w:val="24"/>
          <w:lang w:val="en-GB"/>
        </w:rPr>
        <w:t>es</w:t>
      </w:r>
      <w:r w:rsidR="00347E4B" w:rsidRPr="007A2F89">
        <w:rPr>
          <w:rFonts w:ascii="Times New Roman" w:hAnsi="Times New Roman"/>
          <w:sz w:val="24"/>
          <w:szCs w:val="24"/>
          <w:lang w:val="en-GB"/>
        </w:rPr>
        <w:t xml:space="preserve"> </w:t>
      </w:r>
      <w:r w:rsidR="009F696E" w:rsidRPr="007A2F89">
        <w:rPr>
          <w:rFonts w:ascii="Times New Roman" w:hAnsi="Times New Roman"/>
          <w:sz w:val="24"/>
          <w:szCs w:val="24"/>
          <w:lang w:val="en-GB"/>
        </w:rPr>
        <w:t>the</w:t>
      </w:r>
      <w:r w:rsidR="00347E4B" w:rsidRPr="007A2F89">
        <w:rPr>
          <w:rFonts w:ascii="Times New Roman" w:hAnsi="Times New Roman"/>
          <w:sz w:val="24"/>
          <w:szCs w:val="24"/>
          <w:lang w:val="en-GB"/>
        </w:rPr>
        <w:t xml:space="preserve"> specific characteristics of the environmental management system - such as ISO14001 certification - both functional and no</w:t>
      </w:r>
      <w:r w:rsidR="009F696E" w:rsidRPr="007A2F89">
        <w:rPr>
          <w:rFonts w:ascii="Times New Roman" w:hAnsi="Times New Roman"/>
          <w:sz w:val="24"/>
          <w:szCs w:val="24"/>
          <w:lang w:val="en-GB"/>
        </w:rPr>
        <w:t>t</w:t>
      </w:r>
      <w:r w:rsidR="00347E4B" w:rsidRPr="007A2F89">
        <w:rPr>
          <w:rFonts w:ascii="Times New Roman" w:hAnsi="Times New Roman"/>
          <w:sz w:val="24"/>
          <w:szCs w:val="24"/>
          <w:lang w:val="en-GB"/>
        </w:rPr>
        <w:t xml:space="preserve"> only for the specific purpose - </w:t>
      </w:r>
      <w:r w:rsidRPr="007A2F89">
        <w:rPr>
          <w:rFonts w:ascii="Times New Roman" w:hAnsi="Times New Roman"/>
          <w:sz w:val="24"/>
          <w:szCs w:val="24"/>
          <w:lang w:val="en-GB"/>
        </w:rPr>
        <w:t>or</w:t>
      </w:r>
      <w:r w:rsidR="00347E4B" w:rsidRPr="007A2F89">
        <w:rPr>
          <w:rFonts w:ascii="Times New Roman" w:hAnsi="Times New Roman"/>
          <w:sz w:val="24"/>
          <w:szCs w:val="24"/>
          <w:lang w:val="en-GB"/>
        </w:rPr>
        <w:t xml:space="preserve"> to demonstrate compliance with an international standard for the promotion of sustainable models -, but </w:t>
      </w:r>
      <w:r w:rsidR="00326BB3" w:rsidRPr="007A2F89">
        <w:rPr>
          <w:rFonts w:ascii="Times New Roman" w:hAnsi="Times New Roman"/>
          <w:sz w:val="24"/>
          <w:szCs w:val="24"/>
          <w:lang w:val="en-GB"/>
        </w:rPr>
        <w:t xml:space="preserve">to </w:t>
      </w:r>
      <w:r w:rsidR="00347E4B" w:rsidRPr="007A2F89">
        <w:rPr>
          <w:rFonts w:ascii="Times New Roman" w:hAnsi="Times New Roman"/>
          <w:sz w:val="24"/>
          <w:szCs w:val="24"/>
          <w:lang w:val="en-GB"/>
        </w:rPr>
        <w:t>contribute to the improvement of economic results and company profitability.</w:t>
      </w:r>
    </w:p>
    <w:p w14:paraId="75E67B47" w14:textId="41A8443B" w:rsidR="00326BB3" w:rsidRPr="007A2F89" w:rsidRDefault="009F696E" w:rsidP="007A2F89">
      <w:pPr>
        <w:rPr>
          <w:rFonts w:ascii="Times New Roman" w:hAnsi="Times New Roman"/>
          <w:sz w:val="24"/>
          <w:szCs w:val="24"/>
          <w:lang w:val="en-GB"/>
        </w:rPr>
      </w:pPr>
      <w:r w:rsidRPr="007A2F89">
        <w:rPr>
          <w:rFonts w:ascii="Times New Roman" w:hAnsi="Times New Roman"/>
          <w:sz w:val="24"/>
          <w:szCs w:val="24"/>
          <w:lang w:val="en-GB"/>
        </w:rPr>
        <w:t>From a practical point of view, th</w:t>
      </w:r>
      <w:r w:rsidR="008A20A6" w:rsidRPr="007A2F89">
        <w:rPr>
          <w:rFonts w:ascii="Times New Roman" w:hAnsi="Times New Roman"/>
          <w:sz w:val="24"/>
          <w:szCs w:val="24"/>
          <w:lang w:val="en-GB"/>
        </w:rPr>
        <w:t>is</w:t>
      </w:r>
      <w:r w:rsidRPr="007A2F89">
        <w:rPr>
          <w:rFonts w:ascii="Times New Roman" w:hAnsi="Times New Roman"/>
          <w:sz w:val="24"/>
          <w:szCs w:val="24"/>
          <w:lang w:val="en-GB"/>
        </w:rPr>
        <w:t xml:space="preserve"> research offers some managerial implications</w:t>
      </w:r>
      <w:r w:rsidR="00326BB3" w:rsidRPr="007A2F89">
        <w:rPr>
          <w:rFonts w:ascii="Times New Roman" w:hAnsi="Times New Roman"/>
          <w:sz w:val="24"/>
          <w:szCs w:val="24"/>
          <w:lang w:val="en-GB"/>
        </w:rPr>
        <w:t>.</w:t>
      </w:r>
      <w:r w:rsidRPr="007A2F89">
        <w:rPr>
          <w:rFonts w:ascii="Times New Roman" w:hAnsi="Times New Roman"/>
          <w:sz w:val="24"/>
          <w:szCs w:val="24"/>
          <w:lang w:val="en-GB"/>
        </w:rPr>
        <w:t xml:space="preserve"> </w:t>
      </w:r>
      <w:r w:rsidR="00326BB3" w:rsidRPr="007A2F89">
        <w:rPr>
          <w:rFonts w:ascii="Times New Roman" w:hAnsi="Times New Roman"/>
          <w:sz w:val="24"/>
          <w:szCs w:val="24"/>
          <w:lang w:val="en-GB"/>
        </w:rPr>
        <w:t>I</w:t>
      </w:r>
      <w:r w:rsidRPr="007A2F89">
        <w:rPr>
          <w:rFonts w:ascii="Times New Roman" w:hAnsi="Times New Roman"/>
          <w:sz w:val="24"/>
          <w:szCs w:val="24"/>
          <w:lang w:val="en-GB"/>
        </w:rPr>
        <w:t xml:space="preserve">t helps to show </w:t>
      </w:r>
      <w:r w:rsidR="008A20A6" w:rsidRPr="007A2F89">
        <w:rPr>
          <w:rFonts w:ascii="Times New Roman" w:hAnsi="Times New Roman"/>
          <w:sz w:val="24"/>
          <w:szCs w:val="24"/>
          <w:lang w:val="en-GB"/>
        </w:rPr>
        <w:t xml:space="preserve">that </w:t>
      </w:r>
      <w:r w:rsidRPr="007A2F89">
        <w:rPr>
          <w:rFonts w:ascii="Times New Roman" w:hAnsi="Times New Roman"/>
          <w:sz w:val="24"/>
          <w:szCs w:val="24"/>
          <w:lang w:val="en-GB"/>
        </w:rPr>
        <w:t>the adoption of an environmental management system,</w:t>
      </w:r>
      <w:r w:rsidR="001118E5" w:rsidRPr="007A2F89">
        <w:rPr>
          <w:rFonts w:ascii="Times New Roman" w:hAnsi="Times New Roman"/>
          <w:sz w:val="24"/>
          <w:szCs w:val="24"/>
          <w:lang w:val="en-GB"/>
        </w:rPr>
        <w:t xml:space="preserve"> </w:t>
      </w:r>
      <w:r w:rsidR="008A20A6" w:rsidRPr="007A2F89">
        <w:rPr>
          <w:rFonts w:ascii="Times New Roman" w:hAnsi="Times New Roman"/>
          <w:sz w:val="24"/>
          <w:szCs w:val="24"/>
          <w:lang w:val="en-GB"/>
        </w:rPr>
        <w:t>with</w:t>
      </w:r>
      <w:r w:rsidRPr="007A2F89">
        <w:rPr>
          <w:rFonts w:ascii="Times New Roman" w:hAnsi="Times New Roman"/>
          <w:sz w:val="24"/>
          <w:szCs w:val="24"/>
          <w:lang w:val="en-GB"/>
        </w:rPr>
        <w:t xml:space="preserve"> its reporting</w:t>
      </w:r>
      <w:r w:rsidR="008A20A6" w:rsidRPr="007A2F89">
        <w:rPr>
          <w:rFonts w:ascii="Times New Roman" w:hAnsi="Times New Roman"/>
          <w:sz w:val="24"/>
          <w:szCs w:val="24"/>
          <w:lang w:val="en-GB"/>
        </w:rPr>
        <w:t xml:space="preserve"> process and</w:t>
      </w:r>
      <w:r w:rsidRPr="007A2F89">
        <w:rPr>
          <w:rFonts w:ascii="Times New Roman" w:hAnsi="Times New Roman"/>
          <w:sz w:val="24"/>
          <w:szCs w:val="24"/>
          <w:lang w:val="en-GB"/>
        </w:rPr>
        <w:t xml:space="preserve"> </w:t>
      </w:r>
      <w:r w:rsidR="008A20A6" w:rsidRPr="007A2F89">
        <w:rPr>
          <w:rFonts w:ascii="Times New Roman" w:hAnsi="Times New Roman"/>
          <w:sz w:val="24"/>
          <w:szCs w:val="24"/>
          <w:lang w:val="en-GB"/>
        </w:rPr>
        <w:t xml:space="preserve">the </w:t>
      </w:r>
      <w:r w:rsidRPr="007A2F89">
        <w:rPr>
          <w:rFonts w:ascii="Times New Roman" w:hAnsi="Times New Roman"/>
          <w:sz w:val="24"/>
          <w:szCs w:val="24"/>
          <w:lang w:val="en-GB"/>
        </w:rPr>
        <w:t>alignment with an international standard, contributes to the reduction of the social and environmental impact</w:t>
      </w:r>
      <w:r w:rsidR="00326BB3" w:rsidRPr="007A2F89">
        <w:rPr>
          <w:rFonts w:ascii="Times New Roman" w:hAnsi="Times New Roman"/>
          <w:sz w:val="24"/>
          <w:szCs w:val="24"/>
          <w:lang w:val="en-GB"/>
        </w:rPr>
        <w:t xml:space="preserve"> and</w:t>
      </w:r>
      <w:r w:rsidRPr="007A2F89">
        <w:rPr>
          <w:rFonts w:ascii="Times New Roman" w:hAnsi="Times New Roman"/>
          <w:sz w:val="24"/>
          <w:szCs w:val="24"/>
          <w:lang w:val="en-GB"/>
        </w:rPr>
        <w:t xml:space="preserve"> to </w:t>
      </w:r>
      <w:r w:rsidR="00326BB3" w:rsidRPr="007A2F89">
        <w:rPr>
          <w:rFonts w:ascii="Times New Roman" w:hAnsi="Times New Roman"/>
          <w:sz w:val="24"/>
          <w:szCs w:val="24"/>
          <w:lang w:val="en-GB"/>
        </w:rPr>
        <w:t>improve</w:t>
      </w:r>
      <w:r w:rsidRPr="007A2F89">
        <w:rPr>
          <w:rFonts w:ascii="Times New Roman" w:hAnsi="Times New Roman"/>
          <w:sz w:val="24"/>
          <w:szCs w:val="24"/>
          <w:lang w:val="en-GB"/>
        </w:rPr>
        <w:t xml:space="preserve"> </w:t>
      </w:r>
      <w:r w:rsidR="00326BB3" w:rsidRPr="007A2F89">
        <w:rPr>
          <w:rFonts w:ascii="Times New Roman" w:hAnsi="Times New Roman"/>
          <w:sz w:val="24"/>
          <w:szCs w:val="24"/>
          <w:lang w:val="en-GB"/>
        </w:rPr>
        <w:t>the</w:t>
      </w:r>
      <w:r w:rsidRPr="007A2F89">
        <w:rPr>
          <w:rFonts w:ascii="Times New Roman" w:hAnsi="Times New Roman"/>
          <w:sz w:val="24"/>
          <w:szCs w:val="24"/>
          <w:lang w:val="en-GB"/>
        </w:rPr>
        <w:t xml:space="preserve"> economic performance, with </w:t>
      </w:r>
      <w:proofErr w:type="gramStart"/>
      <w:r w:rsidRPr="007A2F89">
        <w:rPr>
          <w:rFonts w:ascii="Times New Roman" w:hAnsi="Times New Roman"/>
          <w:sz w:val="24"/>
          <w:szCs w:val="24"/>
          <w:lang w:val="en-GB"/>
        </w:rPr>
        <w:t>particular reference</w:t>
      </w:r>
      <w:proofErr w:type="gramEnd"/>
      <w:r w:rsidRPr="007A2F89">
        <w:rPr>
          <w:rFonts w:ascii="Times New Roman" w:hAnsi="Times New Roman"/>
          <w:sz w:val="24"/>
          <w:szCs w:val="24"/>
          <w:lang w:val="en-GB"/>
        </w:rPr>
        <w:t xml:space="preserve"> to SMEs</w:t>
      </w:r>
      <w:r w:rsidR="00326BB3" w:rsidRPr="007A2F89">
        <w:rPr>
          <w:rFonts w:ascii="Times New Roman" w:hAnsi="Times New Roman"/>
          <w:sz w:val="24"/>
          <w:szCs w:val="24"/>
          <w:lang w:val="en-GB"/>
        </w:rPr>
        <w:t>,</w:t>
      </w:r>
      <w:r w:rsidRPr="007A2F89">
        <w:rPr>
          <w:rFonts w:ascii="Times New Roman" w:hAnsi="Times New Roman"/>
          <w:sz w:val="24"/>
          <w:szCs w:val="24"/>
          <w:lang w:val="en-GB"/>
        </w:rPr>
        <w:t xml:space="preserve"> that need to implement </w:t>
      </w:r>
      <w:r w:rsidR="00245665" w:rsidRPr="007A2F89">
        <w:rPr>
          <w:rFonts w:ascii="Times New Roman" w:hAnsi="Times New Roman"/>
          <w:sz w:val="24"/>
          <w:szCs w:val="24"/>
          <w:lang w:val="en-GB"/>
        </w:rPr>
        <w:t>proper</w:t>
      </w:r>
      <w:r w:rsidR="008A20A6" w:rsidRPr="007A2F89">
        <w:rPr>
          <w:rFonts w:ascii="Times New Roman" w:hAnsi="Times New Roman"/>
          <w:sz w:val="24"/>
          <w:szCs w:val="24"/>
          <w:lang w:val="en-GB"/>
        </w:rPr>
        <w:t xml:space="preserve"> </w:t>
      </w:r>
      <w:r w:rsidR="00326BB3" w:rsidRPr="007A2F89">
        <w:rPr>
          <w:rFonts w:ascii="Times New Roman" w:hAnsi="Times New Roman"/>
          <w:sz w:val="24"/>
          <w:szCs w:val="24"/>
          <w:lang w:val="en-GB"/>
        </w:rPr>
        <w:t>communication tool</w:t>
      </w:r>
      <w:r w:rsidR="00245665" w:rsidRPr="007A2F89">
        <w:rPr>
          <w:rFonts w:ascii="Times New Roman" w:hAnsi="Times New Roman"/>
          <w:sz w:val="24"/>
          <w:szCs w:val="24"/>
          <w:lang w:val="en-GB"/>
        </w:rPr>
        <w:t>s</w:t>
      </w:r>
      <w:r w:rsidRPr="007A2F89">
        <w:rPr>
          <w:rFonts w:ascii="Times New Roman" w:hAnsi="Times New Roman"/>
          <w:sz w:val="24"/>
          <w:szCs w:val="24"/>
          <w:lang w:val="en-GB"/>
        </w:rPr>
        <w:t xml:space="preserve"> for their commitment in sustainability initiatives, facing the </w:t>
      </w:r>
      <w:r w:rsidR="00326BB3" w:rsidRPr="007A2F89">
        <w:rPr>
          <w:rFonts w:ascii="Times New Roman" w:hAnsi="Times New Roman"/>
          <w:sz w:val="24"/>
          <w:szCs w:val="24"/>
          <w:lang w:val="en-GB"/>
        </w:rPr>
        <w:t>lack</w:t>
      </w:r>
      <w:r w:rsidRPr="007A2F89">
        <w:rPr>
          <w:rFonts w:ascii="Times New Roman" w:hAnsi="Times New Roman"/>
          <w:sz w:val="24"/>
          <w:szCs w:val="24"/>
          <w:lang w:val="en-GB"/>
        </w:rPr>
        <w:t xml:space="preserve"> of economic resources and specific skills</w:t>
      </w:r>
      <w:r w:rsidR="00326BB3" w:rsidRPr="007A2F89">
        <w:rPr>
          <w:rFonts w:ascii="Times New Roman" w:hAnsi="Times New Roman"/>
          <w:sz w:val="24"/>
          <w:szCs w:val="24"/>
          <w:lang w:val="en-GB"/>
        </w:rPr>
        <w:t>,</w:t>
      </w:r>
      <w:r w:rsidRPr="007A2F89">
        <w:rPr>
          <w:rFonts w:ascii="Times New Roman" w:hAnsi="Times New Roman"/>
          <w:sz w:val="24"/>
          <w:szCs w:val="24"/>
          <w:lang w:val="en-GB"/>
        </w:rPr>
        <w:t xml:space="preserve"> widely discussed in the literature.</w:t>
      </w:r>
    </w:p>
    <w:p w14:paraId="3DBBCBD1" w14:textId="2DB1630E" w:rsidR="00326BB3" w:rsidRPr="007A2F89" w:rsidRDefault="00326BB3" w:rsidP="007A2F89">
      <w:pPr>
        <w:rPr>
          <w:rFonts w:ascii="Times New Roman" w:hAnsi="Times New Roman"/>
          <w:b/>
          <w:bCs/>
          <w:sz w:val="24"/>
          <w:szCs w:val="24"/>
          <w:lang w:val="en-US"/>
        </w:rPr>
      </w:pPr>
    </w:p>
    <w:p w14:paraId="0931E176" w14:textId="59A32962" w:rsidR="008843DB" w:rsidRPr="007A2F89" w:rsidRDefault="008843DB" w:rsidP="007A2F89">
      <w:pPr>
        <w:rPr>
          <w:rFonts w:ascii="Times New Roman" w:hAnsi="Times New Roman"/>
          <w:b/>
          <w:bCs/>
          <w:sz w:val="24"/>
          <w:szCs w:val="24"/>
          <w:lang w:val="en-US"/>
        </w:rPr>
      </w:pPr>
    </w:p>
    <w:p w14:paraId="6377734F" w14:textId="77777777" w:rsidR="008843DB" w:rsidRPr="007A2F89" w:rsidRDefault="008843DB" w:rsidP="007A2F89">
      <w:pPr>
        <w:rPr>
          <w:rFonts w:ascii="Times New Roman" w:hAnsi="Times New Roman"/>
          <w:b/>
          <w:bCs/>
          <w:sz w:val="24"/>
          <w:szCs w:val="24"/>
          <w:lang w:val="en-US"/>
        </w:rPr>
      </w:pPr>
    </w:p>
    <w:p w14:paraId="28BED38E" w14:textId="3F020725" w:rsidR="001118E5" w:rsidRPr="007A2F89" w:rsidRDefault="00DA61B5" w:rsidP="007A2F89">
      <w:pPr>
        <w:rPr>
          <w:rFonts w:ascii="Times New Roman" w:hAnsi="Times New Roman"/>
          <w:b/>
          <w:bCs/>
          <w:sz w:val="24"/>
          <w:szCs w:val="24"/>
          <w:lang w:val="en-US"/>
        </w:rPr>
      </w:pPr>
      <w:r w:rsidRPr="007A2F89">
        <w:rPr>
          <w:rFonts w:ascii="Times New Roman" w:hAnsi="Times New Roman"/>
          <w:b/>
          <w:bCs/>
          <w:sz w:val="24"/>
          <w:szCs w:val="24"/>
          <w:lang w:val="en-US"/>
        </w:rPr>
        <w:t>References</w:t>
      </w:r>
    </w:p>
    <w:p w14:paraId="3BC6AECD" w14:textId="16E506AD"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lastRenderedPageBreak/>
        <w:t>Aggarwal, P. (2013). Impact of sustainability performance of company on its financial performance: A study of listed Indian companies. </w:t>
      </w:r>
      <w:r w:rsidRPr="007A2F89">
        <w:rPr>
          <w:rFonts w:ascii="Times New Roman" w:eastAsia="Times New Roman" w:hAnsi="Times New Roman"/>
          <w:i/>
          <w:iCs/>
          <w:color w:val="222222"/>
          <w:lang w:val="en-US" w:eastAsia="it-IT"/>
        </w:rPr>
        <w:t>Global Journal of Management and Business Research (C: Finance) Vol</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13</w:t>
      </w:r>
      <w:r w:rsidRPr="007A2F89">
        <w:rPr>
          <w:rFonts w:ascii="Times New Roman" w:eastAsia="Times New Roman" w:hAnsi="Times New Roman"/>
          <w:color w:val="222222"/>
          <w:shd w:val="clear" w:color="auto" w:fill="FFFFFF"/>
          <w:lang w:val="en-US" w:eastAsia="it-IT"/>
        </w:rPr>
        <w:t>.</w:t>
      </w:r>
    </w:p>
    <w:p w14:paraId="502CBB80" w14:textId="77777777" w:rsidR="001118E5" w:rsidRPr="007A2F89" w:rsidRDefault="001118E5" w:rsidP="007A2F89">
      <w:pPr>
        <w:pStyle w:val="Paragrafoelenco"/>
        <w:numPr>
          <w:ilvl w:val="0"/>
          <w:numId w:val="12"/>
        </w:numPr>
        <w:ind w:left="567" w:hanging="567"/>
        <w:jc w:val="both"/>
        <w:rPr>
          <w:rFonts w:ascii="Times New Roman" w:hAnsi="Times New Roman"/>
          <w:lang w:val="en-US"/>
        </w:rPr>
      </w:pPr>
      <w:r w:rsidRPr="007A2F89">
        <w:rPr>
          <w:rFonts w:ascii="Times New Roman" w:hAnsi="Times New Roman"/>
          <w:lang w:val="en-US"/>
        </w:rPr>
        <w:t xml:space="preserve">Ahamed, W. S. W., </w:t>
      </w:r>
      <w:proofErr w:type="spellStart"/>
      <w:r w:rsidRPr="007A2F89">
        <w:rPr>
          <w:rFonts w:ascii="Times New Roman" w:hAnsi="Times New Roman"/>
          <w:lang w:val="en-US"/>
        </w:rPr>
        <w:t>Almsafir</w:t>
      </w:r>
      <w:proofErr w:type="spellEnd"/>
      <w:r w:rsidRPr="007A2F89">
        <w:rPr>
          <w:rFonts w:ascii="Times New Roman" w:hAnsi="Times New Roman"/>
          <w:lang w:val="en-US"/>
        </w:rPr>
        <w:t>, M. K., &amp; Al-</w:t>
      </w:r>
      <w:proofErr w:type="spellStart"/>
      <w:r w:rsidRPr="007A2F89">
        <w:rPr>
          <w:rFonts w:ascii="Times New Roman" w:hAnsi="Times New Roman"/>
          <w:lang w:val="en-US"/>
        </w:rPr>
        <w:t>Smadi</w:t>
      </w:r>
      <w:proofErr w:type="spellEnd"/>
      <w:r w:rsidRPr="007A2F89">
        <w:rPr>
          <w:rFonts w:ascii="Times New Roman" w:hAnsi="Times New Roman"/>
          <w:lang w:val="en-US"/>
        </w:rPr>
        <w:t>, A. W. (2014). Does corporate social responsibility lead to improve in firm financial performance? Evidence from Malaysia. </w:t>
      </w:r>
      <w:r w:rsidRPr="007A2F89">
        <w:rPr>
          <w:rFonts w:ascii="Times New Roman" w:hAnsi="Times New Roman"/>
          <w:i/>
          <w:iCs/>
          <w:lang w:val="en-US"/>
        </w:rPr>
        <w:t>International Journal of Economics and Finance</w:t>
      </w:r>
      <w:r w:rsidRPr="007A2F89">
        <w:rPr>
          <w:rFonts w:ascii="Times New Roman" w:hAnsi="Times New Roman"/>
          <w:lang w:val="en-US"/>
        </w:rPr>
        <w:t>, </w:t>
      </w:r>
      <w:r w:rsidRPr="007A2F89">
        <w:rPr>
          <w:rFonts w:ascii="Times New Roman" w:hAnsi="Times New Roman"/>
          <w:i/>
          <w:iCs/>
          <w:lang w:val="en-US"/>
        </w:rPr>
        <w:t>6</w:t>
      </w:r>
      <w:r w:rsidRPr="007A2F89">
        <w:rPr>
          <w:rFonts w:ascii="Times New Roman" w:hAnsi="Times New Roman"/>
          <w:lang w:val="en-US"/>
        </w:rPr>
        <w:t>(3), 126-138.</w:t>
      </w:r>
    </w:p>
    <w:p w14:paraId="5F21ECD9"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proofErr w:type="spellStart"/>
      <w:r w:rsidRPr="007A2F89">
        <w:rPr>
          <w:rFonts w:ascii="Times New Roman" w:eastAsia="Times New Roman" w:hAnsi="Times New Roman"/>
          <w:color w:val="222222"/>
          <w:shd w:val="clear" w:color="auto" w:fill="FFFFFF"/>
          <w:lang w:val="en-US" w:eastAsia="it-IT"/>
        </w:rPr>
        <w:t>Alshehhi</w:t>
      </w:r>
      <w:proofErr w:type="spellEnd"/>
      <w:r w:rsidRPr="007A2F89">
        <w:rPr>
          <w:rFonts w:ascii="Times New Roman" w:eastAsia="Times New Roman" w:hAnsi="Times New Roman"/>
          <w:color w:val="222222"/>
          <w:shd w:val="clear" w:color="auto" w:fill="FFFFFF"/>
          <w:lang w:val="en-US" w:eastAsia="it-IT"/>
        </w:rPr>
        <w:t xml:space="preserve">, A., </w:t>
      </w:r>
      <w:proofErr w:type="spellStart"/>
      <w:r w:rsidRPr="007A2F89">
        <w:rPr>
          <w:rFonts w:ascii="Times New Roman" w:eastAsia="Times New Roman" w:hAnsi="Times New Roman"/>
          <w:color w:val="222222"/>
          <w:shd w:val="clear" w:color="auto" w:fill="FFFFFF"/>
          <w:lang w:val="en-US" w:eastAsia="it-IT"/>
        </w:rPr>
        <w:t>Nobanee</w:t>
      </w:r>
      <w:proofErr w:type="spellEnd"/>
      <w:r w:rsidRPr="007A2F89">
        <w:rPr>
          <w:rFonts w:ascii="Times New Roman" w:eastAsia="Times New Roman" w:hAnsi="Times New Roman"/>
          <w:color w:val="222222"/>
          <w:shd w:val="clear" w:color="auto" w:fill="FFFFFF"/>
          <w:lang w:val="en-US" w:eastAsia="it-IT"/>
        </w:rPr>
        <w:t xml:space="preserve">, H., &amp; </w:t>
      </w:r>
      <w:proofErr w:type="spellStart"/>
      <w:r w:rsidRPr="007A2F89">
        <w:rPr>
          <w:rFonts w:ascii="Times New Roman" w:eastAsia="Times New Roman" w:hAnsi="Times New Roman"/>
          <w:color w:val="222222"/>
          <w:shd w:val="clear" w:color="auto" w:fill="FFFFFF"/>
          <w:lang w:val="en-US" w:eastAsia="it-IT"/>
        </w:rPr>
        <w:t>Khare</w:t>
      </w:r>
      <w:proofErr w:type="spellEnd"/>
      <w:r w:rsidRPr="007A2F89">
        <w:rPr>
          <w:rFonts w:ascii="Times New Roman" w:eastAsia="Times New Roman" w:hAnsi="Times New Roman"/>
          <w:color w:val="222222"/>
          <w:shd w:val="clear" w:color="auto" w:fill="FFFFFF"/>
          <w:lang w:val="en-US" w:eastAsia="it-IT"/>
        </w:rPr>
        <w:t>, N. (2018). The impact of sustainability practices on corporate financial performance: Literature trends and future research potential. </w:t>
      </w:r>
      <w:r w:rsidRPr="007A2F89">
        <w:rPr>
          <w:rFonts w:ascii="Times New Roman" w:eastAsia="Times New Roman" w:hAnsi="Times New Roman"/>
          <w:i/>
          <w:iCs/>
          <w:color w:val="222222"/>
          <w:lang w:val="en-US" w:eastAsia="it-IT"/>
        </w:rPr>
        <w:t>Sustainability</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10</w:t>
      </w:r>
      <w:r w:rsidRPr="007A2F89">
        <w:rPr>
          <w:rFonts w:ascii="Times New Roman" w:eastAsia="Times New Roman" w:hAnsi="Times New Roman"/>
          <w:color w:val="222222"/>
          <w:shd w:val="clear" w:color="auto" w:fill="FFFFFF"/>
          <w:lang w:val="en-US" w:eastAsia="it-IT"/>
        </w:rPr>
        <w:t>(2), 494.</w:t>
      </w:r>
    </w:p>
    <w:p w14:paraId="33882862"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t>Ameer, R., &amp; Othman, R. (2012). Sustainability practices and corporate financial performance: A study based on the top global corporations. </w:t>
      </w:r>
      <w:r w:rsidRPr="007A2F89">
        <w:rPr>
          <w:rFonts w:ascii="Times New Roman" w:eastAsia="Times New Roman" w:hAnsi="Times New Roman"/>
          <w:i/>
          <w:iCs/>
          <w:color w:val="222222"/>
          <w:lang w:val="en-US" w:eastAsia="it-IT"/>
        </w:rPr>
        <w:t>Journal of business ethics</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108</w:t>
      </w:r>
      <w:r w:rsidRPr="007A2F89">
        <w:rPr>
          <w:rFonts w:ascii="Times New Roman" w:eastAsia="Times New Roman" w:hAnsi="Times New Roman"/>
          <w:color w:val="222222"/>
          <w:shd w:val="clear" w:color="auto" w:fill="FFFFFF"/>
          <w:lang w:val="en-US" w:eastAsia="it-IT"/>
        </w:rPr>
        <w:t>(1), 61-79.</w:t>
      </w:r>
    </w:p>
    <w:p w14:paraId="0982127E"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proofErr w:type="spellStart"/>
      <w:r w:rsidRPr="00F16011">
        <w:rPr>
          <w:rFonts w:ascii="Times New Roman" w:eastAsia="Times New Roman" w:hAnsi="Times New Roman"/>
          <w:color w:val="222222"/>
          <w:shd w:val="clear" w:color="auto" w:fill="FFFFFF"/>
          <w:lang w:eastAsia="it-IT"/>
        </w:rPr>
        <w:t>Babakri</w:t>
      </w:r>
      <w:proofErr w:type="spellEnd"/>
      <w:r w:rsidRPr="00F16011">
        <w:rPr>
          <w:rFonts w:ascii="Times New Roman" w:eastAsia="Times New Roman" w:hAnsi="Times New Roman"/>
          <w:color w:val="222222"/>
          <w:shd w:val="clear" w:color="auto" w:fill="FFFFFF"/>
          <w:lang w:eastAsia="it-IT"/>
        </w:rPr>
        <w:t xml:space="preserve">, K. A., Bennett, R. A., &amp; Franchetti, M. (2003). </w:t>
      </w:r>
      <w:r w:rsidRPr="007A2F89">
        <w:rPr>
          <w:rFonts w:ascii="Times New Roman" w:eastAsia="Times New Roman" w:hAnsi="Times New Roman"/>
          <w:color w:val="222222"/>
          <w:shd w:val="clear" w:color="auto" w:fill="FFFFFF"/>
          <w:lang w:val="en-US" w:eastAsia="it-IT"/>
        </w:rPr>
        <w:t>Critical factors for implementing ISO 14001 standard in United States industrial companies. </w:t>
      </w:r>
      <w:r w:rsidRPr="007A2F89">
        <w:rPr>
          <w:rFonts w:ascii="Times New Roman" w:eastAsia="Times New Roman" w:hAnsi="Times New Roman"/>
          <w:i/>
          <w:iCs/>
          <w:color w:val="222222"/>
          <w:lang w:val="en-US" w:eastAsia="it-IT"/>
        </w:rPr>
        <w:t>Journal of cleaner production</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11</w:t>
      </w:r>
      <w:r w:rsidRPr="007A2F89">
        <w:rPr>
          <w:rFonts w:ascii="Times New Roman" w:eastAsia="Times New Roman" w:hAnsi="Times New Roman"/>
          <w:color w:val="222222"/>
          <w:shd w:val="clear" w:color="auto" w:fill="FFFFFF"/>
          <w:lang w:val="en-US" w:eastAsia="it-IT"/>
        </w:rPr>
        <w:t>(7), 749-752.</w:t>
      </w:r>
    </w:p>
    <w:p w14:paraId="5E0C2BE9"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t xml:space="preserve">Boulding, W., &amp; </w:t>
      </w:r>
      <w:proofErr w:type="spellStart"/>
      <w:r w:rsidRPr="007A2F89">
        <w:rPr>
          <w:rFonts w:ascii="Times New Roman" w:eastAsia="Times New Roman" w:hAnsi="Times New Roman"/>
          <w:color w:val="222222"/>
          <w:shd w:val="clear" w:color="auto" w:fill="FFFFFF"/>
          <w:lang w:val="en-US" w:eastAsia="it-IT"/>
        </w:rPr>
        <w:t>Kirmani</w:t>
      </w:r>
      <w:proofErr w:type="spellEnd"/>
      <w:r w:rsidRPr="007A2F89">
        <w:rPr>
          <w:rFonts w:ascii="Times New Roman" w:eastAsia="Times New Roman" w:hAnsi="Times New Roman"/>
          <w:color w:val="222222"/>
          <w:shd w:val="clear" w:color="auto" w:fill="FFFFFF"/>
          <w:lang w:val="en-US" w:eastAsia="it-IT"/>
        </w:rPr>
        <w:t xml:space="preserve">, A. (1993). A consumer-side experimental examination of signaling theory: do consumers perceive warranties as signals of </w:t>
      </w:r>
      <w:proofErr w:type="gramStart"/>
      <w:r w:rsidRPr="007A2F89">
        <w:rPr>
          <w:rFonts w:ascii="Times New Roman" w:eastAsia="Times New Roman" w:hAnsi="Times New Roman"/>
          <w:color w:val="222222"/>
          <w:shd w:val="clear" w:color="auto" w:fill="FFFFFF"/>
          <w:lang w:val="en-US" w:eastAsia="it-IT"/>
        </w:rPr>
        <w:t>quality?.</w:t>
      </w:r>
      <w:proofErr w:type="gramEnd"/>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Journal of consumer research</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20</w:t>
      </w:r>
      <w:r w:rsidRPr="007A2F89">
        <w:rPr>
          <w:rFonts w:ascii="Times New Roman" w:eastAsia="Times New Roman" w:hAnsi="Times New Roman"/>
          <w:color w:val="222222"/>
          <w:shd w:val="clear" w:color="auto" w:fill="FFFFFF"/>
          <w:lang w:val="en-US" w:eastAsia="it-IT"/>
        </w:rPr>
        <w:t>(1), 111-123.</w:t>
      </w:r>
    </w:p>
    <w:p w14:paraId="13FD7612"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color w:val="222222"/>
          <w:shd w:val="clear" w:color="auto" w:fill="FFFFFF"/>
          <w:lang w:val="en-US" w:eastAsia="it-IT"/>
        </w:rPr>
        <w:t xml:space="preserve">Cantele, S., &amp; </w:t>
      </w:r>
      <w:proofErr w:type="spellStart"/>
      <w:r w:rsidRPr="007A2F89">
        <w:rPr>
          <w:rFonts w:ascii="Times New Roman" w:eastAsia="Times New Roman" w:hAnsi="Times New Roman"/>
          <w:color w:val="222222"/>
          <w:shd w:val="clear" w:color="auto" w:fill="FFFFFF"/>
          <w:lang w:val="en-US" w:eastAsia="it-IT"/>
        </w:rPr>
        <w:t>Zardini</w:t>
      </w:r>
      <w:proofErr w:type="spellEnd"/>
      <w:r w:rsidRPr="007A2F89">
        <w:rPr>
          <w:rFonts w:ascii="Times New Roman" w:eastAsia="Times New Roman" w:hAnsi="Times New Roman"/>
          <w:color w:val="222222"/>
          <w:shd w:val="clear" w:color="auto" w:fill="FFFFFF"/>
          <w:lang w:val="en-US" w:eastAsia="it-IT"/>
        </w:rPr>
        <w:t>, A. (2018). Is sustainability a competitive advantage for small businesses? An empirical analysis of possible mediators in the sustainability–financial performance relationship. </w:t>
      </w:r>
      <w:r w:rsidRPr="007A2F89">
        <w:rPr>
          <w:rFonts w:ascii="Times New Roman" w:eastAsia="Times New Roman" w:hAnsi="Times New Roman"/>
          <w:i/>
          <w:iCs/>
          <w:color w:val="222222"/>
          <w:lang w:eastAsia="it-IT"/>
        </w:rPr>
        <w:t xml:space="preserve">Journal of </w:t>
      </w:r>
      <w:proofErr w:type="spellStart"/>
      <w:r w:rsidRPr="007A2F89">
        <w:rPr>
          <w:rFonts w:ascii="Times New Roman" w:eastAsia="Times New Roman" w:hAnsi="Times New Roman"/>
          <w:i/>
          <w:iCs/>
          <w:color w:val="222222"/>
          <w:lang w:eastAsia="it-IT"/>
        </w:rPr>
        <w:t>Cleaner</w:t>
      </w:r>
      <w:proofErr w:type="spellEnd"/>
      <w:r w:rsidRPr="007A2F89">
        <w:rPr>
          <w:rFonts w:ascii="Times New Roman" w:eastAsia="Times New Roman" w:hAnsi="Times New Roman"/>
          <w:i/>
          <w:iCs/>
          <w:color w:val="222222"/>
          <w:lang w:eastAsia="it-IT"/>
        </w:rPr>
        <w:t xml:space="preserve"> Production</w:t>
      </w:r>
      <w:r w:rsidRPr="007A2F89">
        <w:rPr>
          <w:rFonts w:ascii="Times New Roman" w:eastAsia="Times New Roman" w:hAnsi="Times New Roman"/>
          <w:color w:val="222222"/>
          <w:shd w:val="clear" w:color="auto" w:fill="FFFFFF"/>
          <w:lang w:eastAsia="it-IT"/>
        </w:rPr>
        <w:t>, </w:t>
      </w:r>
      <w:r w:rsidRPr="007A2F89">
        <w:rPr>
          <w:rFonts w:ascii="Times New Roman" w:eastAsia="Times New Roman" w:hAnsi="Times New Roman"/>
          <w:i/>
          <w:iCs/>
          <w:color w:val="222222"/>
          <w:lang w:eastAsia="it-IT"/>
        </w:rPr>
        <w:t>182</w:t>
      </w:r>
      <w:r w:rsidRPr="007A2F89">
        <w:rPr>
          <w:rFonts w:ascii="Times New Roman" w:eastAsia="Times New Roman" w:hAnsi="Times New Roman"/>
          <w:color w:val="222222"/>
          <w:shd w:val="clear" w:color="auto" w:fill="FFFFFF"/>
          <w:lang w:eastAsia="it-IT"/>
        </w:rPr>
        <w:t>, 166-176.</w:t>
      </w:r>
    </w:p>
    <w:p w14:paraId="7DA73DA4" w14:textId="77777777" w:rsidR="001118E5" w:rsidRPr="007A2F89" w:rsidRDefault="001118E5" w:rsidP="007A2F89">
      <w:pPr>
        <w:pStyle w:val="NormaleWeb"/>
        <w:numPr>
          <w:ilvl w:val="0"/>
          <w:numId w:val="12"/>
        </w:numPr>
        <w:ind w:left="567" w:hanging="567"/>
        <w:jc w:val="both"/>
      </w:pPr>
      <w:r w:rsidRPr="007A2F89">
        <w:t xml:space="preserve">Coda, V. (1989). Etica e impresa: il valore dello sviluppo. </w:t>
      </w:r>
      <w:r w:rsidRPr="007A2F89">
        <w:rPr>
          <w:i/>
          <w:iCs/>
        </w:rPr>
        <w:t>Rivista dei dottori commercialisti</w:t>
      </w:r>
      <w:r w:rsidRPr="007A2F89">
        <w:t xml:space="preserve">, (5), 789-800. </w:t>
      </w:r>
    </w:p>
    <w:p w14:paraId="13F4CA1F" w14:textId="77777777" w:rsidR="001118E5" w:rsidRPr="007A2F89" w:rsidRDefault="001118E5" w:rsidP="007A2F89">
      <w:pPr>
        <w:pStyle w:val="NormaleWeb"/>
        <w:numPr>
          <w:ilvl w:val="0"/>
          <w:numId w:val="12"/>
        </w:numPr>
        <w:ind w:left="567" w:hanging="567"/>
        <w:jc w:val="both"/>
        <w:rPr>
          <w:lang w:val="en-US"/>
        </w:rPr>
      </w:pPr>
      <w:r w:rsidRPr="007A2F89">
        <w:rPr>
          <w:lang w:val="en-US"/>
        </w:rPr>
        <w:t xml:space="preserve">Coda, V. (2010). </w:t>
      </w:r>
      <w:r w:rsidRPr="007A2F89">
        <w:rPr>
          <w:i/>
          <w:iCs/>
          <w:lang w:val="en-US"/>
        </w:rPr>
        <w:t>Entrepreneurial Values and Strategic Management. Essays in Management Theory</w:t>
      </w:r>
      <w:r w:rsidRPr="007A2F89">
        <w:rPr>
          <w:lang w:val="en-US"/>
        </w:rPr>
        <w:t xml:space="preserve">. Basingstoke: Palgrave, Macmillan. </w:t>
      </w:r>
    </w:p>
    <w:p w14:paraId="30FABF62" w14:textId="77777777" w:rsidR="001118E5" w:rsidRPr="007A2F89" w:rsidRDefault="001118E5" w:rsidP="007A2F89">
      <w:pPr>
        <w:pStyle w:val="NormaleWeb"/>
        <w:numPr>
          <w:ilvl w:val="0"/>
          <w:numId w:val="12"/>
        </w:numPr>
        <w:ind w:left="567" w:hanging="567"/>
        <w:jc w:val="both"/>
        <w:rPr>
          <w:lang w:val="en-US"/>
        </w:rPr>
      </w:pPr>
      <w:r w:rsidRPr="007A2F89">
        <w:rPr>
          <w:lang w:val="en-US"/>
        </w:rPr>
        <w:t>Commission of the European Communities. Directorate-General for Regional Policy and Cohesion. (1995). </w:t>
      </w:r>
      <w:r w:rsidRPr="007A2F89">
        <w:rPr>
          <w:i/>
          <w:iCs/>
          <w:lang w:val="en-US"/>
        </w:rPr>
        <w:t>Development Prospects of the Central Mediterranean Regions (</w:t>
      </w:r>
      <w:proofErr w:type="spellStart"/>
      <w:r w:rsidRPr="007A2F89">
        <w:rPr>
          <w:i/>
          <w:iCs/>
          <w:lang w:val="en-US"/>
        </w:rPr>
        <w:t>Mezzogiorno</w:t>
      </w:r>
      <w:proofErr w:type="spellEnd"/>
      <w:r w:rsidRPr="007A2F89">
        <w:rPr>
          <w:i/>
          <w:iCs/>
          <w:lang w:val="en-US"/>
        </w:rPr>
        <w:t>-Greece)</w:t>
      </w:r>
      <w:r w:rsidRPr="007A2F89">
        <w:rPr>
          <w:lang w:val="en-US"/>
        </w:rPr>
        <w:t>. Office for Official Publications of the European Communities.</w:t>
      </w:r>
    </w:p>
    <w:p w14:paraId="1E8CEE51" w14:textId="77777777" w:rsidR="001118E5" w:rsidRPr="007A2F89" w:rsidRDefault="001118E5" w:rsidP="007A2F89">
      <w:pPr>
        <w:pStyle w:val="Paragrafoelenco"/>
        <w:numPr>
          <w:ilvl w:val="0"/>
          <w:numId w:val="12"/>
        </w:numPr>
        <w:ind w:left="567" w:hanging="567"/>
        <w:jc w:val="both"/>
        <w:rPr>
          <w:rFonts w:ascii="Times New Roman" w:hAnsi="Times New Roman"/>
          <w:lang w:val="en-US"/>
        </w:rPr>
      </w:pPr>
      <w:r w:rsidRPr="007A2F89">
        <w:rPr>
          <w:rFonts w:ascii="Times New Roman" w:hAnsi="Times New Roman"/>
        </w:rPr>
        <w:t xml:space="preserve">Connelly, B. L., Certo, S. T., </w:t>
      </w:r>
      <w:proofErr w:type="spellStart"/>
      <w:r w:rsidRPr="007A2F89">
        <w:rPr>
          <w:rFonts w:ascii="Times New Roman" w:hAnsi="Times New Roman"/>
        </w:rPr>
        <w:t>Ireland</w:t>
      </w:r>
      <w:proofErr w:type="spellEnd"/>
      <w:r w:rsidRPr="007A2F89">
        <w:rPr>
          <w:rFonts w:ascii="Times New Roman" w:hAnsi="Times New Roman"/>
        </w:rPr>
        <w:t xml:space="preserve">, R. D., &amp; </w:t>
      </w:r>
      <w:proofErr w:type="spellStart"/>
      <w:r w:rsidRPr="007A2F89">
        <w:rPr>
          <w:rFonts w:ascii="Times New Roman" w:hAnsi="Times New Roman"/>
        </w:rPr>
        <w:t>Reutzel</w:t>
      </w:r>
      <w:proofErr w:type="spellEnd"/>
      <w:r w:rsidRPr="007A2F89">
        <w:rPr>
          <w:rFonts w:ascii="Times New Roman" w:hAnsi="Times New Roman"/>
        </w:rPr>
        <w:t xml:space="preserve">, C. R. (2011). </w:t>
      </w:r>
      <w:r w:rsidRPr="007A2F89">
        <w:rPr>
          <w:rFonts w:ascii="Times New Roman" w:hAnsi="Times New Roman"/>
          <w:lang w:val="en-US"/>
        </w:rPr>
        <w:t>Signaling theory: A review and assessment. </w:t>
      </w:r>
      <w:r w:rsidRPr="007A2F89">
        <w:rPr>
          <w:rFonts w:ascii="Times New Roman" w:hAnsi="Times New Roman"/>
          <w:i/>
          <w:iCs/>
          <w:lang w:val="en-US"/>
        </w:rPr>
        <w:t>Journal of management</w:t>
      </w:r>
      <w:r w:rsidRPr="007A2F89">
        <w:rPr>
          <w:rFonts w:ascii="Times New Roman" w:hAnsi="Times New Roman"/>
          <w:lang w:val="en-US"/>
        </w:rPr>
        <w:t>, </w:t>
      </w:r>
      <w:r w:rsidRPr="007A2F89">
        <w:rPr>
          <w:rFonts w:ascii="Times New Roman" w:hAnsi="Times New Roman"/>
          <w:i/>
          <w:iCs/>
          <w:lang w:val="en-US"/>
        </w:rPr>
        <w:t>37</w:t>
      </w:r>
      <w:r w:rsidRPr="007A2F89">
        <w:rPr>
          <w:rFonts w:ascii="Times New Roman" w:hAnsi="Times New Roman"/>
          <w:lang w:val="en-US"/>
        </w:rPr>
        <w:t>(1), 39-67.</w:t>
      </w:r>
    </w:p>
    <w:p w14:paraId="1F9F597E" w14:textId="77777777" w:rsidR="001118E5" w:rsidRPr="007A2F89" w:rsidRDefault="001118E5" w:rsidP="007A2F89">
      <w:pPr>
        <w:pStyle w:val="Paragrafoelenco"/>
        <w:numPr>
          <w:ilvl w:val="0"/>
          <w:numId w:val="12"/>
        </w:numPr>
        <w:ind w:left="567" w:hanging="567"/>
        <w:jc w:val="both"/>
        <w:rPr>
          <w:rFonts w:ascii="Times New Roman" w:eastAsiaTheme="minorHAnsi" w:hAnsi="Times New Roman"/>
        </w:rPr>
      </w:pPr>
      <w:proofErr w:type="spellStart"/>
      <w:r w:rsidRPr="007A2F89">
        <w:rPr>
          <w:rFonts w:ascii="Times New Roman" w:eastAsiaTheme="minorHAnsi" w:hAnsi="Times New Roman"/>
        </w:rPr>
        <w:t>Cordeiro</w:t>
      </w:r>
      <w:proofErr w:type="spellEnd"/>
      <w:r w:rsidRPr="007A2F89">
        <w:rPr>
          <w:rFonts w:ascii="Times New Roman" w:eastAsiaTheme="minorHAnsi" w:hAnsi="Times New Roman"/>
        </w:rPr>
        <w:t xml:space="preserve">, J. J., &amp; </w:t>
      </w:r>
      <w:proofErr w:type="spellStart"/>
      <w:r w:rsidRPr="007A2F89">
        <w:rPr>
          <w:rFonts w:ascii="Times New Roman" w:eastAsiaTheme="minorHAnsi" w:hAnsi="Times New Roman"/>
        </w:rPr>
        <w:t>Sarkis</w:t>
      </w:r>
      <w:proofErr w:type="spellEnd"/>
      <w:r w:rsidRPr="007A2F89">
        <w:rPr>
          <w:rFonts w:ascii="Times New Roman" w:eastAsiaTheme="minorHAnsi" w:hAnsi="Times New Roman"/>
        </w:rPr>
        <w:t xml:space="preserve">, J. (1997). </w:t>
      </w:r>
      <w:r w:rsidRPr="007A2F89">
        <w:rPr>
          <w:rFonts w:ascii="Times New Roman" w:eastAsiaTheme="minorHAnsi" w:hAnsi="Times New Roman"/>
          <w:lang w:val="en-US"/>
        </w:rPr>
        <w:t xml:space="preserve">Environmental </w:t>
      </w:r>
      <w:proofErr w:type="spellStart"/>
      <w:r w:rsidRPr="007A2F89">
        <w:rPr>
          <w:rFonts w:ascii="Times New Roman" w:eastAsiaTheme="minorHAnsi" w:hAnsi="Times New Roman"/>
          <w:lang w:val="en-US"/>
        </w:rPr>
        <w:t>proactivism</w:t>
      </w:r>
      <w:proofErr w:type="spellEnd"/>
      <w:r w:rsidRPr="007A2F89">
        <w:rPr>
          <w:rFonts w:ascii="Times New Roman" w:eastAsiaTheme="minorHAnsi" w:hAnsi="Times New Roman"/>
          <w:lang w:val="en-US"/>
        </w:rPr>
        <w:t xml:space="preserve"> and firm performance: evidence from security analyst earnings forecasts. </w:t>
      </w:r>
      <w:r w:rsidRPr="007A2F89">
        <w:rPr>
          <w:rFonts w:ascii="Times New Roman" w:eastAsiaTheme="minorHAnsi" w:hAnsi="Times New Roman"/>
          <w:i/>
          <w:iCs/>
        </w:rPr>
        <w:t xml:space="preserve">Business </w:t>
      </w:r>
      <w:proofErr w:type="spellStart"/>
      <w:r w:rsidRPr="007A2F89">
        <w:rPr>
          <w:rFonts w:ascii="Times New Roman" w:eastAsiaTheme="minorHAnsi" w:hAnsi="Times New Roman"/>
          <w:i/>
          <w:iCs/>
        </w:rPr>
        <w:t>strategy</w:t>
      </w:r>
      <w:proofErr w:type="spellEnd"/>
      <w:r w:rsidRPr="007A2F89">
        <w:rPr>
          <w:rFonts w:ascii="Times New Roman" w:eastAsiaTheme="minorHAnsi" w:hAnsi="Times New Roman"/>
          <w:i/>
          <w:iCs/>
        </w:rPr>
        <w:t xml:space="preserve"> and the </w:t>
      </w:r>
      <w:proofErr w:type="spellStart"/>
      <w:r w:rsidRPr="007A2F89">
        <w:rPr>
          <w:rFonts w:ascii="Times New Roman" w:eastAsiaTheme="minorHAnsi" w:hAnsi="Times New Roman"/>
          <w:i/>
          <w:iCs/>
        </w:rPr>
        <w:t>environment</w:t>
      </w:r>
      <w:proofErr w:type="spellEnd"/>
      <w:r w:rsidRPr="007A2F89">
        <w:rPr>
          <w:rFonts w:ascii="Times New Roman" w:eastAsiaTheme="minorHAnsi" w:hAnsi="Times New Roman"/>
        </w:rPr>
        <w:t>, </w:t>
      </w:r>
      <w:r w:rsidRPr="007A2F89">
        <w:rPr>
          <w:rFonts w:ascii="Times New Roman" w:eastAsiaTheme="minorHAnsi" w:hAnsi="Times New Roman"/>
          <w:i/>
          <w:iCs/>
        </w:rPr>
        <w:t>6</w:t>
      </w:r>
      <w:r w:rsidRPr="007A2F89">
        <w:rPr>
          <w:rFonts w:ascii="Times New Roman" w:eastAsiaTheme="minorHAnsi" w:hAnsi="Times New Roman"/>
        </w:rPr>
        <w:t>(2), 104-114.</w:t>
      </w:r>
    </w:p>
    <w:p w14:paraId="3F38F5DD" w14:textId="13745C77" w:rsidR="001118E5" w:rsidRPr="007A2F89" w:rsidRDefault="001118E5"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color w:val="222222"/>
          <w:shd w:val="clear" w:color="auto" w:fill="FFFFFF"/>
          <w:lang w:eastAsia="it-IT"/>
        </w:rPr>
        <w:t xml:space="preserve">Corsi, C., &amp; Migliori, S. (2017). Le </w:t>
      </w:r>
      <w:proofErr w:type="spellStart"/>
      <w:r w:rsidRPr="007A2F89">
        <w:rPr>
          <w:rFonts w:ascii="Times New Roman" w:eastAsia="Times New Roman" w:hAnsi="Times New Roman"/>
          <w:color w:val="222222"/>
          <w:shd w:val="clear" w:color="auto" w:fill="FFFFFF"/>
          <w:lang w:eastAsia="it-IT"/>
        </w:rPr>
        <w:t>pmi</w:t>
      </w:r>
      <w:proofErr w:type="spellEnd"/>
      <w:r w:rsidRPr="007A2F89">
        <w:rPr>
          <w:rFonts w:ascii="Times New Roman" w:eastAsia="Times New Roman" w:hAnsi="Times New Roman"/>
          <w:color w:val="222222"/>
          <w:shd w:val="clear" w:color="auto" w:fill="FFFFFF"/>
          <w:lang w:eastAsia="it-IT"/>
        </w:rPr>
        <w:t xml:space="preserve"> italiane: </w:t>
      </w:r>
      <w:proofErr w:type="spellStart"/>
      <w:r w:rsidRPr="007A2F89">
        <w:rPr>
          <w:rFonts w:ascii="Times New Roman" w:eastAsia="Times New Roman" w:hAnsi="Times New Roman"/>
          <w:color w:val="222222"/>
          <w:shd w:val="clear" w:color="auto" w:fill="FFFFFF"/>
          <w:lang w:eastAsia="it-IT"/>
        </w:rPr>
        <w:t>governance</w:t>
      </w:r>
      <w:proofErr w:type="spellEnd"/>
      <w:r w:rsidRPr="007A2F89">
        <w:rPr>
          <w:rFonts w:ascii="Times New Roman" w:eastAsia="Times New Roman" w:hAnsi="Times New Roman"/>
          <w:color w:val="222222"/>
          <w:shd w:val="clear" w:color="auto" w:fill="FFFFFF"/>
          <w:lang w:eastAsia="it-IT"/>
        </w:rPr>
        <w:t>, internazionalizzazione e struttura finanziaria. </w:t>
      </w:r>
      <w:r w:rsidRPr="007A2F89">
        <w:rPr>
          <w:rFonts w:ascii="Times New Roman" w:eastAsia="Times New Roman" w:hAnsi="Times New Roman"/>
          <w:color w:val="222222"/>
          <w:lang w:eastAsia="it-IT"/>
        </w:rPr>
        <w:t>Franco Angeli</w:t>
      </w:r>
      <w:r w:rsidR="004F3051" w:rsidRPr="007A2F89">
        <w:rPr>
          <w:rFonts w:ascii="Times New Roman" w:eastAsia="Times New Roman" w:hAnsi="Times New Roman"/>
          <w:color w:val="222222"/>
          <w:shd w:val="clear" w:color="auto" w:fill="FFFFFF"/>
          <w:lang w:eastAsia="it-IT"/>
        </w:rPr>
        <w:t>, Milano.</w:t>
      </w:r>
    </w:p>
    <w:p w14:paraId="073CF6E1" w14:textId="74C0EAE0" w:rsidR="001118E5" w:rsidRPr="007A2F89" w:rsidRDefault="001118E5"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color w:val="222222"/>
          <w:shd w:val="clear" w:color="auto" w:fill="FFFFFF"/>
          <w:lang w:eastAsia="it-IT"/>
        </w:rPr>
        <w:t>Cortese, D., &amp; Cantino, V. (2020). Finalità dell</w:t>
      </w:r>
      <w:r w:rsidR="007A2F89" w:rsidRPr="007A2F89">
        <w:rPr>
          <w:rFonts w:ascii="Times New Roman" w:eastAsia="Times New Roman" w:hAnsi="Times New Roman"/>
          <w:color w:val="222222"/>
          <w:shd w:val="clear" w:color="auto" w:fill="FFFFFF"/>
          <w:lang w:eastAsia="it-IT"/>
        </w:rPr>
        <w:t>’</w:t>
      </w:r>
      <w:r w:rsidRPr="007A2F89">
        <w:rPr>
          <w:rFonts w:ascii="Times New Roman" w:eastAsia="Times New Roman" w:hAnsi="Times New Roman"/>
          <w:color w:val="222222"/>
          <w:shd w:val="clear" w:color="auto" w:fill="FFFFFF"/>
          <w:lang w:eastAsia="it-IT"/>
        </w:rPr>
        <w:t>impresa: equilibrio tra sostanza, interpretazioni e condizioni mutevoli.</w:t>
      </w:r>
    </w:p>
    <w:p w14:paraId="0EC4712C" w14:textId="75885AB1" w:rsidR="00327A3C" w:rsidRPr="007A2F89" w:rsidRDefault="00327A3C" w:rsidP="007A2F89">
      <w:pPr>
        <w:pStyle w:val="Paragrafoelenco"/>
        <w:numPr>
          <w:ilvl w:val="0"/>
          <w:numId w:val="12"/>
        </w:numPr>
        <w:ind w:left="567" w:hanging="567"/>
        <w:jc w:val="both"/>
        <w:rPr>
          <w:rFonts w:ascii="Times New Roman" w:eastAsia="Times New Roman" w:hAnsi="Times New Roman"/>
          <w:color w:val="222222"/>
          <w:shd w:val="clear" w:color="auto" w:fill="FFFFFF"/>
          <w:lang w:eastAsia="it-IT"/>
        </w:rPr>
      </w:pPr>
      <w:r w:rsidRPr="007A2F89">
        <w:rPr>
          <w:rFonts w:ascii="Times New Roman" w:eastAsia="Times New Roman" w:hAnsi="Times New Roman"/>
          <w:color w:val="222222"/>
          <w:shd w:val="clear" w:color="auto" w:fill="FFFFFF"/>
          <w:lang w:eastAsia="it-IT"/>
        </w:rPr>
        <w:t>D</w:t>
      </w:r>
      <w:r w:rsidR="007A2F89" w:rsidRPr="007A2F89">
        <w:rPr>
          <w:rFonts w:ascii="Times New Roman" w:eastAsia="Times New Roman" w:hAnsi="Times New Roman"/>
          <w:color w:val="222222"/>
          <w:shd w:val="clear" w:color="auto" w:fill="FFFFFF"/>
          <w:lang w:eastAsia="it-IT"/>
        </w:rPr>
        <w:t>’</w:t>
      </w:r>
      <w:r w:rsidRPr="007A2F89">
        <w:rPr>
          <w:rFonts w:ascii="Times New Roman" w:eastAsia="Times New Roman" w:hAnsi="Times New Roman"/>
          <w:color w:val="222222"/>
          <w:shd w:val="clear" w:color="auto" w:fill="FFFFFF"/>
          <w:lang w:eastAsia="it-IT"/>
        </w:rPr>
        <w:t>Amico, L. (2017). </w:t>
      </w:r>
      <w:r w:rsidRPr="007A2F89">
        <w:rPr>
          <w:rFonts w:ascii="Times New Roman" w:eastAsia="Times New Roman" w:hAnsi="Times New Roman"/>
          <w:i/>
          <w:iCs/>
          <w:color w:val="222222"/>
          <w:shd w:val="clear" w:color="auto" w:fill="FFFFFF"/>
          <w:lang w:eastAsia="it-IT"/>
        </w:rPr>
        <w:t>L</w:t>
      </w:r>
      <w:r w:rsidR="007A2F89" w:rsidRPr="007A2F89">
        <w:rPr>
          <w:rFonts w:ascii="Times New Roman" w:eastAsia="Times New Roman" w:hAnsi="Times New Roman"/>
          <w:i/>
          <w:iCs/>
          <w:color w:val="222222"/>
          <w:shd w:val="clear" w:color="auto" w:fill="FFFFFF"/>
          <w:lang w:eastAsia="it-IT"/>
        </w:rPr>
        <w:t>’</w:t>
      </w:r>
      <w:r w:rsidRPr="007A2F89">
        <w:rPr>
          <w:rFonts w:ascii="Times New Roman" w:eastAsia="Times New Roman" w:hAnsi="Times New Roman"/>
          <w:i/>
          <w:iCs/>
          <w:color w:val="222222"/>
          <w:shd w:val="clear" w:color="auto" w:fill="FFFFFF"/>
          <w:lang w:eastAsia="it-IT"/>
        </w:rPr>
        <w:t>evoluzione degli studi sull</w:t>
      </w:r>
      <w:r w:rsidR="007A2F89" w:rsidRPr="007A2F89">
        <w:rPr>
          <w:rFonts w:ascii="Times New Roman" w:eastAsia="Times New Roman" w:hAnsi="Times New Roman"/>
          <w:i/>
          <w:iCs/>
          <w:color w:val="222222"/>
          <w:shd w:val="clear" w:color="auto" w:fill="FFFFFF"/>
          <w:lang w:eastAsia="it-IT"/>
        </w:rPr>
        <w:t>’</w:t>
      </w:r>
      <w:r w:rsidRPr="007A2F89">
        <w:rPr>
          <w:rFonts w:ascii="Times New Roman" w:eastAsia="Times New Roman" w:hAnsi="Times New Roman"/>
          <w:i/>
          <w:iCs/>
          <w:color w:val="222222"/>
          <w:shd w:val="clear" w:color="auto" w:fill="FFFFFF"/>
          <w:lang w:eastAsia="it-IT"/>
        </w:rPr>
        <w:t>economia d</w:t>
      </w:r>
      <w:r w:rsidR="007A2F89" w:rsidRPr="007A2F89">
        <w:rPr>
          <w:rFonts w:ascii="Times New Roman" w:eastAsia="Times New Roman" w:hAnsi="Times New Roman"/>
          <w:i/>
          <w:iCs/>
          <w:color w:val="222222"/>
          <w:shd w:val="clear" w:color="auto" w:fill="FFFFFF"/>
          <w:lang w:eastAsia="it-IT"/>
        </w:rPr>
        <w:t>’</w:t>
      </w:r>
      <w:r w:rsidRPr="007A2F89">
        <w:rPr>
          <w:rFonts w:ascii="Times New Roman" w:eastAsia="Times New Roman" w:hAnsi="Times New Roman"/>
          <w:i/>
          <w:iCs/>
          <w:color w:val="222222"/>
          <w:shd w:val="clear" w:color="auto" w:fill="FFFFFF"/>
          <w:lang w:eastAsia="it-IT"/>
        </w:rPr>
        <w:t>azienda: brevi considerazioni sull</w:t>
      </w:r>
      <w:r w:rsidR="007A2F89" w:rsidRPr="007A2F89">
        <w:rPr>
          <w:rFonts w:ascii="Times New Roman" w:eastAsia="Times New Roman" w:hAnsi="Times New Roman"/>
          <w:i/>
          <w:iCs/>
          <w:color w:val="222222"/>
          <w:shd w:val="clear" w:color="auto" w:fill="FFFFFF"/>
          <w:lang w:eastAsia="it-IT"/>
        </w:rPr>
        <w:t>’</w:t>
      </w:r>
      <w:r w:rsidRPr="007A2F89">
        <w:rPr>
          <w:rFonts w:ascii="Times New Roman" w:eastAsia="Times New Roman" w:hAnsi="Times New Roman"/>
          <w:i/>
          <w:iCs/>
          <w:color w:val="222222"/>
          <w:shd w:val="clear" w:color="auto" w:fill="FFFFFF"/>
          <w:lang w:eastAsia="it-IT"/>
        </w:rPr>
        <w:t>inquadramento della disciplina</w:t>
      </w:r>
      <w:r w:rsidRPr="007A2F89">
        <w:rPr>
          <w:rFonts w:ascii="Times New Roman" w:eastAsia="Times New Roman" w:hAnsi="Times New Roman"/>
          <w:color w:val="222222"/>
          <w:shd w:val="clear" w:color="auto" w:fill="FFFFFF"/>
          <w:lang w:eastAsia="it-IT"/>
        </w:rPr>
        <w:t>, in “I principi e i modelli de l</w:t>
      </w:r>
      <w:r w:rsidR="007A2F89" w:rsidRPr="007A2F89">
        <w:rPr>
          <w:rFonts w:ascii="Times New Roman" w:eastAsia="Times New Roman" w:hAnsi="Times New Roman"/>
          <w:color w:val="222222"/>
          <w:shd w:val="clear" w:color="auto" w:fill="FFFFFF"/>
          <w:lang w:eastAsia="it-IT"/>
        </w:rPr>
        <w:t>’</w:t>
      </w:r>
      <w:r w:rsidRPr="007A2F89">
        <w:rPr>
          <w:rFonts w:ascii="Times New Roman" w:eastAsia="Times New Roman" w:hAnsi="Times New Roman"/>
          <w:color w:val="222222"/>
          <w:shd w:val="clear" w:color="auto" w:fill="FFFFFF"/>
          <w:lang w:eastAsia="it-IT"/>
        </w:rPr>
        <w:t>Economia Aziendale” di G. Paolone, L. D</w:t>
      </w:r>
      <w:r w:rsidR="007A2F89" w:rsidRPr="007A2F89">
        <w:rPr>
          <w:rFonts w:ascii="Times New Roman" w:eastAsia="Times New Roman" w:hAnsi="Times New Roman"/>
          <w:color w:val="222222"/>
          <w:shd w:val="clear" w:color="auto" w:fill="FFFFFF"/>
          <w:lang w:eastAsia="it-IT"/>
        </w:rPr>
        <w:t>’</w:t>
      </w:r>
      <w:r w:rsidRPr="007A2F89">
        <w:rPr>
          <w:rFonts w:ascii="Times New Roman" w:eastAsia="Times New Roman" w:hAnsi="Times New Roman"/>
          <w:color w:val="222222"/>
          <w:shd w:val="clear" w:color="auto" w:fill="FFFFFF"/>
          <w:lang w:eastAsia="it-IT"/>
        </w:rPr>
        <w:t>Amico (a cura di), Giappichelli Editore, Torino.</w:t>
      </w:r>
    </w:p>
    <w:p w14:paraId="46E29D66" w14:textId="6F5C191F" w:rsidR="00311BEF" w:rsidRPr="007A2F89" w:rsidRDefault="00311BEF"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lang w:eastAsia="it-IT"/>
        </w:rPr>
        <w:t>D</w:t>
      </w:r>
      <w:r w:rsidR="007A2F89" w:rsidRPr="007A2F89">
        <w:rPr>
          <w:rFonts w:ascii="Times New Roman" w:eastAsia="Times New Roman" w:hAnsi="Times New Roman"/>
          <w:lang w:eastAsia="it-IT"/>
        </w:rPr>
        <w:t>’</w:t>
      </w:r>
      <w:r w:rsidRPr="007A2F89">
        <w:rPr>
          <w:rFonts w:ascii="Times New Roman" w:eastAsia="Times New Roman" w:hAnsi="Times New Roman"/>
          <w:lang w:eastAsia="it-IT"/>
        </w:rPr>
        <w:t xml:space="preserve">Amico L (1994), </w:t>
      </w:r>
      <w:r w:rsidRPr="007A2F89">
        <w:rPr>
          <w:rFonts w:ascii="Times New Roman" w:eastAsia="Times New Roman" w:hAnsi="Times New Roman"/>
          <w:i/>
          <w:iCs/>
          <w:lang w:eastAsia="it-IT"/>
        </w:rPr>
        <w:t xml:space="preserve">Le strutture imprenditoriali della Regione Abruzzo, </w:t>
      </w:r>
      <w:r w:rsidRPr="007A2F89">
        <w:rPr>
          <w:rFonts w:ascii="Times New Roman" w:eastAsia="Times New Roman" w:hAnsi="Times New Roman"/>
          <w:lang w:eastAsia="it-IT"/>
        </w:rPr>
        <w:t>Atti della Regione Abruzzo, Pescara.</w:t>
      </w:r>
    </w:p>
    <w:p w14:paraId="1B405E48"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proofErr w:type="spellStart"/>
      <w:r w:rsidRPr="007A2F89">
        <w:rPr>
          <w:rFonts w:ascii="Times New Roman" w:eastAsia="Times New Roman" w:hAnsi="Times New Roman"/>
          <w:color w:val="222222"/>
          <w:shd w:val="clear" w:color="auto" w:fill="FFFFFF"/>
          <w:lang w:eastAsia="it-IT"/>
        </w:rPr>
        <w:t>Danso</w:t>
      </w:r>
      <w:proofErr w:type="spellEnd"/>
      <w:r w:rsidRPr="007A2F89">
        <w:rPr>
          <w:rFonts w:ascii="Times New Roman" w:eastAsia="Times New Roman" w:hAnsi="Times New Roman"/>
          <w:color w:val="222222"/>
          <w:shd w:val="clear" w:color="auto" w:fill="FFFFFF"/>
          <w:lang w:eastAsia="it-IT"/>
        </w:rPr>
        <w:t xml:space="preserve">, A., </w:t>
      </w:r>
      <w:proofErr w:type="spellStart"/>
      <w:r w:rsidRPr="007A2F89">
        <w:rPr>
          <w:rFonts w:ascii="Times New Roman" w:eastAsia="Times New Roman" w:hAnsi="Times New Roman"/>
          <w:color w:val="222222"/>
          <w:shd w:val="clear" w:color="auto" w:fill="FFFFFF"/>
          <w:lang w:eastAsia="it-IT"/>
        </w:rPr>
        <w:t>Adomako</w:t>
      </w:r>
      <w:proofErr w:type="spellEnd"/>
      <w:r w:rsidRPr="007A2F89">
        <w:rPr>
          <w:rFonts w:ascii="Times New Roman" w:eastAsia="Times New Roman" w:hAnsi="Times New Roman"/>
          <w:color w:val="222222"/>
          <w:shd w:val="clear" w:color="auto" w:fill="FFFFFF"/>
          <w:lang w:eastAsia="it-IT"/>
        </w:rPr>
        <w:t xml:space="preserve">, S., </w:t>
      </w:r>
      <w:proofErr w:type="spellStart"/>
      <w:r w:rsidRPr="007A2F89">
        <w:rPr>
          <w:rFonts w:ascii="Times New Roman" w:eastAsia="Times New Roman" w:hAnsi="Times New Roman"/>
          <w:color w:val="222222"/>
          <w:shd w:val="clear" w:color="auto" w:fill="FFFFFF"/>
          <w:lang w:eastAsia="it-IT"/>
        </w:rPr>
        <w:t>Amankwah‐Amoah</w:t>
      </w:r>
      <w:proofErr w:type="spellEnd"/>
      <w:r w:rsidRPr="007A2F89">
        <w:rPr>
          <w:rFonts w:ascii="Times New Roman" w:eastAsia="Times New Roman" w:hAnsi="Times New Roman"/>
          <w:color w:val="222222"/>
          <w:shd w:val="clear" w:color="auto" w:fill="FFFFFF"/>
          <w:lang w:eastAsia="it-IT"/>
        </w:rPr>
        <w:t xml:space="preserve">, J., </w:t>
      </w:r>
      <w:proofErr w:type="spellStart"/>
      <w:r w:rsidRPr="007A2F89">
        <w:rPr>
          <w:rFonts w:ascii="Times New Roman" w:eastAsia="Times New Roman" w:hAnsi="Times New Roman"/>
          <w:color w:val="222222"/>
          <w:shd w:val="clear" w:color="auto" w:fill="FFFFFF"/>
          <w:lang w:eastAsia="it-IT"/>
        </w:rPr>
        <w:t>Owusu‐Agyei</w:t>
      </w:r>
      <w:proofErr w:type="spellEnd"/>
      <w:r w:rsidRPr="007A2F89">
        <w:rPr>
          <w:rFonts w:ascii="Times New Roman" w:eastAsia="Times New Roman" w:hAnsi="Times New Roman"/>
          <w:color w:val="222222"/>
          <w:shd w:val="clear" w:color="auto" w:fill="FFFFFF"/>
          <w:lang w:eastAsia="it-IT"/>
        </w:rPr>
        <w:t xml:space="preserve">, S., &amp; </w:t>
      </w:r>
      <w:proofErr w:type="spellStart"/>
      <w:r w:rsidRPr="007A2F89">
        <w:rPr>
          <w:rFonts w:ascii="Times New Roman" w:eastAsia="Times New Roman" w:hAnsi="Times New Roman"/>
          <w:color w:val="222222"/>
          <w:shd w:val="clear" w:color="auto" w:fill="FFFFFF"/>
          <w:lang w:eastAsia="it-IT"/>
        </w:rPr>
        <w:t>Konadu</w:t>
      </w:r>
      <w:proofErr w:type="spellEnd"/>
      <w:r w:rsidRPr="007A2F89">
        <w:rPr>
          <w:rFonts w:ascii="Times New Roman" w:eastAsia="Times New Roman" w:hAnsi="Times New Roman"/>
          <w:color w:val="222222"/>
          <w:shd w:val="clear" w:color="auto" w:fill="FFFFFF"/>
          <w:lang w:eastAsia="it-IT"/>
        </w:rPr>
        <w:t xml:space="preserve">, R. (2019). </w:t>
      </w:r>
      <w:r w:rsidRPr="007A2F89">
        <w:rPr>
          <w:rFonts w:ascii="Times New Roman" w:eastAsia="Times New Roman" w:hAnsi="Times New Roman"/>
          <w:color w:val="222222"/>
          <w:shd w:val="clear" w:color="auto" w:fill="FFFFFF"/>
          <w:lang w:val="en-US" w:eastAsia="it-IT"/>
        </w:rPr>
        <w:t xml:space="preserve">Environmental sustainability orientation, competitive </w:t>
      </w:r>
      <w:proofErr w:type="gramStart"/>
      <w:r w:rsidRPr="007A2F89">
        <w:rPr>
          <w:rFonts w:ascii="Times New Roman" w:eastAsia="Times New Roman" w:hAnsi="Times New Roman"/>
          <w:color w:val="222222"/>
          <w:shd w:val="clear" w:color="auto" w:fill="FFFFFF"/>
          <w:lang w:val="en-US" w:eastAsia="it-IT"/>
        </w:rPr>
        <w:t>strategy</w:t>
      </w:r>
      <w:proofErr w:type="gramEnd"/>
      <w:r w:rsidRPr="007A2F89">
        <w:rPr>
          <w:rFonts w:ascii="Times New Roman" w:eastAsia="Times New Roman" w:hAnsi="Times New Roman"/>
          <w:color w:val="222222"/>
          <w:shd w:val="clear" w:color="auto" w:fill="FFFFFF"/>
          <w:lang w:val="en-US" w:eastAsia="it-IT"/>
        </w:rPr>
        <w:t xml:space="preserve"> and financial performance. </w:t>
      </w:r>
      <w:r w:rsidRPr="007A2F89">
        <w:rPr>
          <w:rFonts w:ascii="Times New Roman" w:eastAsia="Times New Roman" w:hAnsi="Times New Roman"/>
          <w:i/>
          <w:iCs/>
          <w:color w:val="222222"/>
          <w:lang w:val="en-US" w:eastAsia="it-IT"/>
        </w:rPr>
        <w:t>Business Strategy and the Environment</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28</w:t>
      </w:r>
      <w:r w:rsidRPr="007A2F89">
        <w:rPr>
          <w:rFonts w:ascii="Times New Roman" w:eastAsia="Times New Roman" w:hAnsi="Times New Roman"/>
          <w:color w:val="222222"/>
          <w:shd w:val="clear" w:color="auto" w:fill="FFFFFF"/>
          <w:lang w:val="en-US" w:eastAsia="it-IT"/>
        </w:rPr>
        <w:t>(5), 885-895.</w:t>
      </w:r>
    </w:p>
    <w:p w14:paraId="0F6DB325" w14:textId="6B3DC7BA" w:rsidR="001118E5" w:rsidRPr="007A2F89" w:rsidRDefault="003A0013" w:rsidP="007A2F89">
      <w:pPr>
        <w:pStyle w:val="Paragrafoelenco"/>
        <w:numPr>
          <w:ilvl w:val="0"/>
          <w:numId w:val="12"/>
        </w:numPr>
        <w:ind w:left="567" w:hanging="567"/>
        <w:jc w:val="both"/>
        <w:rPr>
          <w:rFonts w:ascii="Times New Roman" w:eastAsia="Times New Roman" w:hAnsi="Times New Roman"/>
          <w:color w:val="222222"/>
          <w:shd w:val="clear" w:color="auto" w:fill="FFFFFF"/>
          <w:lang w:eastAsia="it-IT"/>
        </w:rPr>
      </w:pPr>
      <w:r w:rsidRPr="007A2F89">
        <w:rPr>
          <w:rFonts w:ascii="Times New Roman" w:eastAsia="Times New Roman" w:hAnsi="Times New Roman"/>
          <w:color w:val="222222"/>
          <w:shd w:val="clear" w:color="auto" w:fill="FFFFFF"/>
          <w:lang w:eastAsia="it-IT"/>
        </w:rPr>
        <w:t xml:space="preserve">Del Baldo, M. (2009). Corporate social </w:t>
      </w:r>
      <w:proofErr w:type="spellStart"/>
      <w:r w:rsidRPr="007A2F89">
        <w:rPr>
          <w:rFonts w:ascii="Times New Roman" w:eastAsia="Times New Roman" w:hAnsi="Times New Roman"/>
          <w:color w:val="222222"/>
          <w:shd w:val="clear" w:color="auto" w:fill="FFFFFF"/>
          <w:lang w:eastAsia="it-IT"/>
        </w:rPr>
        <w:t>responsability</w:t>
      </w:r>
      <w:proofErr w:type="spellEnd"/>
      <w:r w:rsidRPr="007A2F89">
        <w:rPr>
          <w:rFonts w:ascii="Times New Roman" w:eastAsia="Times New Roman" w:hAnsi="Times New Roman"/>
          <w:color w:val="222222"/>
          <w:shd w:val="clear" w:color="auto" w:fill="FFFFFF"/>
          <w:lang w:eastAsia="it-IT"/>
        </w:rPr>
        <w:t xml:space="preserve"> e corporate </w:t>
      </w:r>
      <w:proofErr w:type="spellStart"/>
      <w:r w:rsidRPr="007A2F89">
        <w:rPr>
          <w:rFonts w:ascii="Times New Roman" w:eastAsia="Times New Roman" w:hAnsi="Times New Roman"/>
          <w:color w:val="222222"/>
          <w:shd w:val="clear" w:color="auto" w:fill="FFFFFF"/>
          <w:lang w:eastAsia="it-IT"/>
        </w:rPr>
        <w:t>governance</w:t>
      </w:r>
      <w:proofErr w:type="spellEnd"/>
      <w:r w:rsidRPr="007A2F89">
        <w:rPr>
          <w:rFonts w:ascii="Times New Roman" w:eastAsia="Times New Roman" w:hAnsi="Times New Roman"/>
          <w:color w:val="222222"/>
          <w:shd w:val="clear" w:color="auto" w:fill="FFFFFF"/>
          <w:lang w:eastAsia="it-IT"/>
        </w:rPr>
        <w:t xml:space="preserve">: quale nesso nelle </w:t>
      </w:r>
      <w:proofErr w:type="gramStart"/>
      <w:r w:rsidRPr="007A2F89">
        <w:rPr>
          <w:rFonts w:ascii="Times New Roman" w:eastAsia="Times New Roman" w:hAnsi="Times New Roman"/>
          <w:color w:val="222222"/>
          <w:shd w:val="clear" w:color="auto" w:fill="FFFFFF"/>
          <w:lang w:eastAsia="it-IT"/>
        </w:rPr>
        <w:t>PMI?.</w:t>
      </w:r>
      <w:proofErr w:type="gramEnd"/>
      <w:r w:rsidRPr="007A2F89">
        <w:rPr>
          <w:rFonts w:ascii="Times New Roman" w:eastAsia="Times New Roman" w:hAnsi="Times New Roman"/>
          <w:color w:val="222222"/>
          <w:shd w:val="clear" w:color="auto" w:fill="FFFFFF"/>
          <w:lang w:eastAsia="it-IT"/>
        </w:rPr>
        <w:t> </w:t>
      </w:r>
      <w:r w:rsidRPr="007A2F89">
        <w:rPr>
          <w:rFonts w:ascii="Times New Roman" w:eastAsia="Times New Roman" w:hAnsi="Times New Roman"/>
          <w:i/>
          <w:iCs/>
          <w:color w:val="222222"/>
          <w:shd w:val="clear" w:color="auto" w:fill="FFFFFF"/>
          <w:lang w:eastAsia="it-IT"/>
        </w:rPr>
        <w:t>Piccola impresa:</w:t>
      </w:r>
      <w:r w:rsidR="0084433D" w:rsidRPr="007A2F89">
        <w:rPr>
          <w:rFonts w:ascii="Times New Roman" w:eastAsia="Times New Roman" w:hAnsi="Times New Roman"/>
          <w:i/>
          <w:iCs/>
          <w:color w:val="222222"/>
          <w:shd w:val="clear" w:color="auto" w:fill="FFFFFF"/>
          <w:lang w:eastAsia="it-IT"/>
        </w:rPr>
        <w:t xml:space="preserve"> </w:t>
      </w:r>
      <w:r w:rsidRPr="007A2F89">
        <w:rPr>
          <w:rFonts w:ascii="Times New Roman" w:eastAsia="Times New Roman" w:hAnsi="Times New Roman"/>
          <w:i/>
          <w:iCs/>
          <w:color w:val="222222"/>
          <w:shd w:val="clear" w:color="auto" w:fill="FFFFFF"/>
          <w:lang w:eastAsia="it-IT"/>
        </w:rPr>
        <w:t>Small Business</w:t>
      </w:r>
      <w:r w:rsidRPr="007A2F89">
        <w:rPr>
          <w:rFonts w:ascii="Times New Roman" w:eastAsia="Times New Roman" w:hAnsi="Times New Roman"/>
          <w:color w:val="222222"/>
          <w:shd w:val="clear" w:color="auto" w:fill="FFFFFF"/>
          <w:lang w:eastAsia="it-IT"/>
        </w:rPr>
        <w:t>, (3), 61.</w:t>
      </w:r>
    </w:p>
    <w:p w14:paraId="7E7E54C0" w14:textId="22406AC6" w:rsidR="001118E5" w:rsidRPr="007A2F89" w:rsidRDefault="001118E5"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color w:val="222222"/>
          <w:shd w:val="clear" w:color="auto" w:fill="FFFFFF"/>
          <w:lang w:eastAsia="it-IT"/>
        </w:rPr>
        <w:t>Di Carlo, E. (2017). </w:t>
      </w:r>
      <w:r w:rsidRPr="007A2F89">
        <w:rPr>
          <w:rFonts w:ascii="Times New Roman" w:eastAsia="Times New Roman" w:hAnsi="Times New Roman"/>
          <w:i/>
          <w:iCs/>
          <w:color w:val="222222"/>
          <w:lang w:eastAsia="it-IT"/>
        </w:rPr>
        <w:t>Interesse primario dell</w:t>
      </w:r>
      <w:r w:rsidR="007A2F89" w:rsidRPr="007A2F89">
        <w:rPr>
          <w:rFonts w:ascii="Times New Roman" w:eastAsia="Times New Roman" w:hAnsi="Times New Roman"/>
          <w:i/>
          <w:iCs/>
          <w:color w:val="222222"/>
          <w:lang w:eastAsia="it-IT"/>
        </w:rPr>
        <w:t>’</w:t>
      </w:r>
      <w:r w:rsidRPr="007A2F89">
        <w:rPr>
          <w:rFonts w:ascii="Times New Roman" w:eastAsia="Times New Roman" w:hAnsi="Times New Roman"/>
          <w:i/>
          <w:iCs/>
          <w:color w:val="222222"/>
          <w:lang w:eastAsia="it-IT"/>
        </w:rPr>
        <w:t>azienda come principio-guida e bene comune</w:t>
      </w:r>
      <w:r w:rsidRPr="007A2F89">
        <w:rPr>
          <w:rFonts w:ascii="Times New Roman" w:eastAsia="Times New Roman" w:hAnsi="Times New Roman"/>
          <w:color w:val="222222"/>
          <w:shd w:val="clear" w:color="auto" w:fill="FFFFFF"/>
          <w:lang w:eastAsia="it-IT"/>
        </w:rPr>
        <w:t xml:space="preserve">. </w:t>
      </w:r>
      <w:proofErr w:type="spellStart"/>
      <w:r w:rsidRPr="007A2F89">
        <w:rPr>
          <w:rFonts w:ascii="Times New Roman" w:eastAsia="Times New Roman" w:hAnsi="Times New Roman"/>
          <w:color w:val="222222"/>
          <w:shd w:val="clear" w:color="auto" w:fill="FFFFFF"/>
          <w:lang w:eastAsia="it-IT"/>
        </w:rPr>
        <w:t>Giappichelli</w:t>
      </w:r>
      <w:proofErr w:type="spellEnd"/>
      <w:r w:rsidRPr="007A2F89">
        <w:rPr>
          <w:rFonts w:ascii="Times New Roman" w:eastAsia="Times New Roman" w:hAnsi="Times New Roman"/>
          <w:color w:val="222222"/>
          <w:shd w:val="clear" w:color="auto" w:fill="FFFFFF"/>
          <w:lang w:eastAsia="it-IT"/>
        </w:rPr>
        <w:t xml:space="preserve"> Editore</w:t>
      </w:r>
      <w:r w:rsidR="004B3619" w:rsidRPr="007A2F89">
        <w:rPr>
          <w:rFonts w:ascii="Times New Roman" w:eastAsia="Times New Roman" w:hAnsi="Times New Roman"/>
          <w:color w:val="222222"/>
          <w:shd w:val="clear" w:color="auto" w:fill="FFFFFF"/>
          <w:lang w:eastAsia="it-IT"/>
        </w:rPr>
        <w:t>, Torino.</w:t>
      </w:r>
    </w:p>
    <w:p w14:paraId="4F864070"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GB" w:eastAsia="it-IT"/>
        </w:rPr>
        <w:t xml:space="preserve">Epstein, M. J., &amp; Roy, M. J. (2003). </w:t>
      </w:r>
      <w:r w:rsidRPr="007A2F89">
        <w:rPr>
          <w:rFonts w:ascii="Times New Roman" w:eastAsia="Times New Roman" w:hAnsi="Times New Roman"/>
          <w:color w:val="222222"/>
          <w:shd w:val="clear" w:color="auto" w:fill="FFFFFF"/>
          <w:lang w:val="en-US" w:eastAsia="it-IT"/>
        </w:rPr>
        <w:t>Making the business case for sustainability: linking social and environmental actions to financial performance. </w:t>
      </w:r>
      <w:r w:rsidRPr="007A2F89">
        <w:rPr>
          <w:rFonts w:ascii="Times New Roman" w:eastAsia="Times New Roman" w:hAnsi="Times New Roman"/>
          <w:i/>
          <w:iCs/>
          <w:color w:val="222222"/>
          <w:lang w:val="en-US" w:eastAsia="it-IT"/>
        </w:rPr>
        <w:t>Journal of Corporate Citizenship</w:t>
      </w:r>
      <w:r w:rsidRPr="007A2F89">
        <w:rPr>
          <w:rFonts w:ascii="Times New Roman" w:eastAsia="Times New Roman" w:hAnsi="Times New Roman"/>
          <w:color w:val="222222"/>
          <w:shd w:val="clear" w:color="auto" w:fill="FFFFFF"/>
          <w:lang w:val="en-US" w:eastAsia="it-IT"/>
        </w:rPr>
        <w:t>, (9), 79-96.</w:t>
      </w:r>
    </w:p>
    <w:p w14:paraId="6C62D7BC" w14:textId="418D2F4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lang w:val="en-US" w:eastAsia="it-IT"/>
        </w:rPr>
        <w:t xml:space="preserve">Freeman, R. E. </w:t>
      </w:r>
      <w:r w:rsidRPr="007A2F89">
        <w:rPr>
          <w:rFonts w:ascii="Times New Roman" w:hAnsi="Times New Roman"/>
          <w:lang w:val="en-US"/>
        </w:rPr>
        <w:t>(</w:t>
      </w:r>
      <w:r w:rsidRPr="007A2F89">
        <w:rPr>
          <w:rFonts w:ascii="Times New Roman" w:eastAsia="Times New Roman" w:hAnsi="Times New Roman"/>
          <w:lang w:val="en-US" w:eastAsia="it-IT"/>
        </w:rPr>
        <w:t>1984</w:t>
      </w:r>
      <w:r w:rsidRPr="007A2F89">
        <w:rPr>
          <w:rFonts w:ascii="Times New Roman" w:hAnsi="Times New Roman"/>
          <w:lang w:val="en-US"/>
        </w:rPr>
        <w:t>)</w:t>
      </w:r>
      <w:r w:rsidRPr="007A2F89">
        <w:rPr>
          <w:rFonts w:ascii="Times New Roman" w:eastAsia="Times New Roman" w:hAnsi="Times New Roman"/>
          <w:lang w:val="en-US" w:eastAsia="it-IT"/>
        </w:rPr>
        <w:t>. Strategic management: A stakeholder approach. Pitman</w:t>
      </w:r>
      <w:r w:rsidR="004B3619" w:rsidRPr="007A2F89">
        <w:rPr>
          <w:rFonts w:ascii="Times New Roman" w:eastAsia="Times New Roman" w:hAnsi="Times New Roman"/>
          <w:lang w:val="en-US" w:eastAsia="it-IT"/>
        </w:rPr>
        <w:t>, Boston.</w:t>
      </w:r>
    </w:p>
    <w:p w14:paraId="26FB3957"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lastRenderedPageBreak/>
        <w:t>Friedman, M. (1970). A theoretical framework for monetary analysis. </w:t>
      </w:r>
      <w:r w:rsidRPr="007A2F89">
        <w:rPr>
          <w:rFonts w:ascii="Times New Roman" w:eastAsia="Times New Roman" w:hAnsi="Times New Roman"/>
          <w:i/>
          <w:iCs/>
          <w:color w:val="222222"/>
          <w:lang w:val="en-US" w:eastAsia="it-IT"/>
        </w:rPr>
        <w:t>journal of Political Economy</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78</w:t>
      </w:r>
      <w:r w:rsidRPr="007A2F89">
        <w:rPr>
          <w:rFonts w:ascii="Times New Roman" w:eastAsia="Times New Roman" w:hAnsi="Times New Roman"/>
          <w:color w:val="222222"/>
          <w:shd w:val="clear" w:color="auto" w:fill="FFFFFF"/>
          <w:lang w:val="en-US" w:eastAsia="it-IT"/>
        </w:rPr>
        <w:t>(2), 193-238.</w:t>
      </w:r>
    </w:p>
    <w:p w14:paraId="0ED383C5" w14:textId="77777777" w:rsidR="001118E5" w:rsidRPr="007A2F89" w:rsidRDefault="001118E5" w:rsidP="007A2F89">
      <w:pPr>
        <w:pStyle w:val="Testocommento"/>
        <w:numPr>
          <w:ilvl w:val="0"/>
          <w:numId w:val="12"/>
        </w:numPr>
        <w:ind w:left="567" w:hanging="567"/>
        <w:jc w:val="both"/>
        <w:rPr>
          <w:rFonts w:ascii="Times New Roman" w:hAnsi="Times New Roman"/>
          <w:color w:val="222222"/>
          <w:sz w:val="24"/>
          <w:szCs w:val="24"/>
          <w:shd w:val="clear" w:color="auto" w:fill="FFFFFF"/>
          <w:lang w:val="en-US"/>
        </w:rPr>
      </w:pPr>
      <w:r w:rsidRPr="007A2F89">
        <w:rPr>
          <w:rFonts w:ascii="Times New Roman" w:hAnsi="Times New Roman"/>
          <w:color w:val="222222"/>
          <w:sz w:val="24"/>
          <w:szCs w:val="24"/>
          <w:shd w:val="clear" w:color="auto" w:fill="FFFFFF"/>
        </w:rPr>
        <w:t xml:space="preserve">Garcia-Castro, R., </w:t>
      </w:r>
      <w:proofErr w:type="spellStart"/>
      <w:r w:rsidRPr="007A2F89">
        <w:rPr>
          <w:rFonts w:ascii="Times New Roman" w:hAnsi="Times New Roman"/>
          <w:color w:val="222222"/>
          <w:sz w:val="24"/>
          <w:szCs w:val="24"/>
          <w:shd w:val="clear" w:color="auto" w:fill="FFFFFF"/>
        </w:rPr>
        <w:t>Ariño</w:t>
      </w:r>
      <w:proofErr w:type="spellEnd"/>
      <w:r w:rsidRPr="007A2F89">
        <w:rPr>
          <w:rFonts w:ascii="Times New Roman" w:hAnsi="Times New Roman"/>
          <w:color w:val="222222"/>
          <w:sz w:val="24"/>
          <w:szCs w:val="24"/>
          <w:shd w:val="clear" w:color="auto" w:fill="FFFFFF"/>
        </w:rPr>
        <w:t xml:space="preserve">, M. A., &amp; Canela, M. A. (2010). </w:t>
      </w:r>
      <w:r w:rsidRPr="007A2F89">
        <w:rPr>
          <w:rFonts w:ascii="Times New Roman" w:hAnsi="Times New Roman"/>
          <w:color w:val="222222"/>
          <w:sz w:val="24"/>
          <w:szCs w:val="24"/>
          <w:shd w:val="clear" w:color="auto" w:fill="FFFFFF"/>
          <w:lang w:val="en-US"/>
        </w:rPr>
        <w:t>Does social performance really lead to financial performance? Accounting for endogeneity. </w:t>
      </w:r>
      <w:r w:rsidRPr="007A2F89">
        <w:rPr>
          <w:rFonts w:ascii="Times New Roman" w:hAnsi="Times New Roman"/>
          <w:i/>
          <w:iCs/>
          <w:color w:val="222222"/>
          <w:sz w:val="24"/>
          <w:szCs w:val="24"/>
          <w:shd w:val="clear" w:color="auto" w:fill="FFFFFF"/>
          <w:lang w:val="en-US"/>
        </w:rPr>
        <w:t>Journal of Business Ethics</w:t>
      </w:r>
      <w:r w:rsidRPr="007A2F89">
        <w:rPr>
          <w:rFonts w:ascii="Times New Roman" w:hAnsi="Times New Roman"/>
          <w:color w:val="222222"/>
          <w:sz w:val="24"/>
          <w:szCs w:val="24"/>
          <w:shd w:val="clear" w:color="auto" w:fill="FFFFFF"/>
          <w:lang w:val="en-US"/>
        </w:rPr>
        <w:t>, </w:t>
      </w:r>
      <w:r w:rsidRPr="007A2F89">
        <w:rPr>
          <w:rFonts w:ascii="Times New Roman" w:hAnsi="Times New Roman"/>
          <w:i/>
          <w:iCs/>
          <w:color w:val="222222"/>
          <w:sz w:val="24"/>
          <w:szCs w:val="24"/>
          <w:shd w:val="clear" w:color="auto" w:fill="FFFFFF"/>
          <w:lang w:val="en-US"/>
        </w:rPr>
        <w:t>92</w:t>
      </w:r>
      <w:r w:rsidRPr="007A2F89">
        <w:rPr>
          <w:rFonts w:ascii="Times New Roman" w:hAnsi="Times New Roman"/>
          <w:color w:val="222222"/>
          <w:sz w:val="24"/>
          <w:szCs w:val="24"/>
          <w:shd w:val="clear" w:color="auto" w:fill="FFFFFF"/>
          <w:lang w:val="en-US"/>
        </w:rPr>
        <w:t>(1), 107-126.</w:t>
      </w:r>
    </w:p>
    <w:p w14:paraId="6372C2C7"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val="en-US" w:eastAsia="it-IT"/>
        </w:rPr>
      </w:pPr>
      <w:proofErr w:type="spellStart"/>
      <w:r w:rsidRPr="007A2F89">
        <w:rPr>
          <w:rFonts w:ascii="Times New Roman" w:eastAsia="Times New Roman" w:hAnsi="Times New Roman"/>
          <w:color w:val="222222"/>
          <w:sz w:val="24"/>
          <w:szCs w:val="24"/>
          <w:shd w:val="clear" w:color="auto" w:fill="FFFFFF"/>
          <w:lang w:val="en-US" w:eastAsia="it-IT"/>
        </w:rPr>
        <w:t>Godemann</w:t>
      </w:r>
      <w:proofErr w:type="spellEnd"/>
      <w:r w:rsidRPr="007A2F89">
        <w:rPr>
          <w:rFonts w:ascii="Times New Roman" w:eastAsia="Times New Roman" w:hAnsi="Times New Roman"/>
          <w:color w:val="222222"/>
          <w:sz w:val="24"/>
          <w:szCs w:val="24"/>
          <w:shd w:val="clear" w:color="auto" w:fill="FFFFFF"/>
          <w:lang w:val="en-US" w:eastAsia="it-IT"/>
        </w:rPr>
        <w:t>, J., &amp; Michelsen, G. (2011). Sustainability communication–an introduction. In </w:t>
      </w:r>
      <w:r w:rsidRPr="007A2F89">
        <w:rPr>
          <w:rFonts w:ascii="Times New Roman" w:eastAsia="Times New Roman" w:hAnsi="Times New Roman"/>
          <w:i/>
          <w:iCs/>
          <w:color w:val="222222"/>
          <w:sz w:val="24"/>
          <w:szCs w:val="24"/>
          <w:shd w:val="clear" w:color="auto" w:fill="FFFFFF"/>
          <w:lang w:val="en-US" w:eastAsia="it-IT"/>
        </w:rPr>
        <w:t xml:space="preserve">Sustainability communication </w:t>
      </w:r>
      <w:r w:rsidRPr="007A2F89">
        <w:rPr>
          <w:rFonts w:ascii="Times New Roman" w:eastAsia="Times New Roman" w:hAnsi="Times New Roman"/>
          <w:color w:val="222222"/>
          <w:sz w:val="24"/>
          <w:szCs w:val="24"/>
          <w:shd w:val="clear" w:color="auto" w:fill="FFFFFF"/>
          <w:lang w:val="en-US" w:eastAsia="it-IT"/>
        </w:rPr>
        <w:t>(pp. 3-11). Springer, Dordrecht.</w:t>
      </w:r>
    </w:p>
    <w:p w14:paraId="44A73E8F" w14:textId="77777777" w:rsidR="001118E5" w:rsidRPr="007A2F89" w:rsidRDefault="001118E5" w:rsidP="007A2F89">
      <w:pPr>
        <w:pStyle w:val="Paragrafoelenco"/>
        <w:numPr>
          <w:ilvl w:val="0"/>
          <w:numId w:val="12"/>
        </w:numPr>
        <w:ind w:left="567" w:hanging="567"/>
        <w:jc w:val="both"/>
        <w:rPr>
          <w:rFonts w:ascii="Times New Roman" w:hAnsi="Times New Roman"/>
          <w:lang w:val="en-US"/>
        </w:rPr>
      </w:pPr>
      <w:proofErr w:type="spellStart"/>
      <w:r w:rsidRPr="007A2F89">
        <w:rPr>
          <w:rFonts w:ascii="Times New Roman" w:hAnsi="Times New Roman"/>
          <w:lang w:val="en-US"/>
        </w:rPr>
        <w:t>Graafland</w:t>
      </w:r>
      <w:proofErr w:type="spellEnd"/>
      <w:r w:rsidRPr="007A2F89">
        <w:rPr>
          <w:rFonts w:ascii="Times New Roman" w:hAnsi="Times New Roman"/>
          <w:lang w:val="en-US"/>
        </w:rPr>
        <w:t xml:space="preserve">, J., &amp; </w:t>
      </w:r>
      <w:proofErr w:type="spellStart"/>
      <w:r w:rsidRPr="007A2F89">
        <w:rPr>
          <w:rFonts w:ascii="Times New Roman" w:hAnsi="Times New Roman"/>
          <w:lang w:val="en-US"/>
        </w:rPr>
        <w:t>Mazereeuw</w:t>
      </w:r>
      <w:proofErr w:type="spellEnd"/>
      <w:r w:rsidRPr="007A2F89">
        <w:rPr>
          <w:rFonts w:ascii="Times New Roman" w:hAnsi="Times New Roman"/>
          <w:lang w:val="en-US"/>
        </w:rPr>
        <w:t xml:space="preserve">-Van der </w:t>
      </w:r>
      <w:proofErr w:type="spellStart"/>
      <w:r w:rsidRPr="007A2F89">
        <w:rPr>
          <w:rFonts w:ascii="Times New Roman" w:hAnsi="Times New Roman"/>
          <w:lang w:val="en-US"/>
        </w:rPr>
        <w:t>Duijn</w:t>
      </w:r>
      <w:proofErr w:type="spellEnd"/>
      <w:r w:rsidRPr="007A2F89">
        <w:rPr>
          <w:rFonts w:ascii="Times New Roman" w:hAnsi="Times New Roman"/>
          <w:lang w:val="en-US"/>
        </w:rPr>
        <w:t xml:space="preserve"> Schouten, C. (2012). Motives for corporate social responsibility. </w:t>
      </w:r>
      <w:r w:rsidRPr="007A2F89">
        <w:rPr>
          <w:rFonts w:ascii="Times New Roman" w:hAnsi="Times New Roman"/>
          <w:i/>
          <w:iCs/>
          <w:lang w:val="en-US"/>
        </w:rPr>
        <w:t>De Economist</w:t>
      </w:r>
      <w:r w:rsidRPr="007A2F89">
        <w:rPr>
          <w:rFonts w:ascii="Times New Roman" w:hAnsi="Times New Roman"/>
          <w:lang w:val="en-US"/>
        </w:rPr>
        <w:t>, </w:t>
      </w:r>
      <w:r w:rsidRPr="007A2F89">
        <w:rPr>
          <w:rFonts w:ascii="Times New Roman" w:hAnsi="Times New Roman"/>
          <w:i/>
          <w:iCs/>
          <w:lang w:val="en-US"/>
        </w:rPr>
        <w:t>160</w:t>
      </w:r>
      <w:r w:rsidRPr="007A2F89">
        <w:rPr>
          <w:rFonts w:ascii="Times New Roman" w:hAnsi="Times New Roman"/>
          <w:lang w:val="en-US"/>
        </w:rPr>
        <w:t>(4), 377-396.</w:t>
      </w:r>
    </w:p>
    <w:p w14:paraId="5F17CDDD"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proofErr w:type="spellStart"/>
      <w:r w:rsidRPr="007A2F89">
        <w:rPr>
          <w:rFonts w:ascii="Times New Roman" w:eastAsia="Times New Roman" w:hAnsi="Times New Roman"/>
          <w:color w:val="222222"/>
          <w:shd w:val="clear" w:color="auto" w:fill="FFFFFF"/>
          <w:lang w:val="en-US" w:eastAsia="it-IT"/>
        </w:rPr>
        <w:t>Graafland</w:t>
      </w:r>
      <w:proofErr w:type="spellEnd"/>
      <w:r w:rsidRPr="007A2F89">
        <w:rPr>
          <w:rFonts w:ascii="Times New Roman" w:eastAsia="Times New Roman" w:hAnsi="Times New Roman"/>
          <w:color w:val="222222"/>
          <w:shd w:val="clear" w:color="auto" w:fill="FFFFFF"/>
          <w:lang w:val="en-US" w:eastAsia="it-IT"/>
        </w:rPr>
        <w:t>, J., &amp; Van de Ven, B. (2006). Strategic and moral motivation for corporate social responsibility. </w:t>
      </w:r>
      <w:r w:rsidRPr="007A2F89">
        <w:rPr>
          <w:rFonts w:ascii="Times New Roman" w:eastAsia="Times New Roman" w:hAnsi="Times New Roman"/>
          <w:i/>
          <w:iCs/>
          <w:color w:val="222222"/>
          <w:lang w:val="en-US" w:eastAsia="it-IT"/>
        </w:rPr>
        <w:t>Journal of Corporate Citizenship</w:t>
      </w:r>
      <w:r w:rsidRPr="007A2F89">
        <w:rPr>
          <w:rFonts w:ascii="Times New Roman" w:eastAsia="Times New Roman" w:hAnsi="Times New Roman"/>
          <w:color w:val="222222"/>
          <w:shd w:val="clear" w:color="auto" w:fill="FFFFFF"/>
          <w:lang w:val="en-US" w:eastAsia="it-IT"/>
        </w:rPr>
        <w:t>, (22), 111-123.</w:t>
      </w:r>
    </w:p>
    <w:p w14:paraId="2F416FED" w14:textId="77777777" w:rsidR="001118E5" w:rsidRPr="007A2F89" w:rsidRDefault="001118E5" w:rsidP="007A2F89">
      <w:pPr>
        <w:pStyle w:val="Paragrafoelenco"/>
        <w:numPr>
          <w:ilvl w:val="0"/>
          <w:numId w:val="12"/>
        </w:numPr>
        <w:ind w:left="567" w:hanging="567"/>
        <w:jc w:val="both"/>
        <w:rPr>
          <w:rFonts w:ascii="Times New Roman" w:eastAsiaTheme="minorHAnsi" w:hAnsi="Times New Roman"/>
          <w:lang w:val="en-US"/>
        </w:rPr>
      </w:pPr>
      <w:proofErr w:type="spellStart"/>
      <w:r w:rsidRPr="007A2F89">
        <w:rPr>
          <w:rFonts w:ascii="Times New Roman" w:eastAsiaTheme="minorHAnsi" w:hAnsi="Times New Roman"/>
        </w:rPr>
        <w:t>Griffin</w:t>
      </w:r>
      <w:proofErr w:type="spellEnd"/>
      <w:r w:rsidRPr="007A2F89">
        <w:rPr>
          <w:rFonts w:ascii="Times New Roman" w:eastAsiaTheme="minorHAnsi" w:hAnsi="Times New Roman"/>
        </w:rPr>
        <w:t xml:space="preserve">, J. J., &amp; </w:t>
      </w:r>
      <w:proofErr w:type="spellStart"/>
      <w:r w:rsidRPr="007A2F89">
        <w:rPr>
          <w:rFonts w:ascii="Times New Roman" w:eastAsiaTheme="minorHAnsi" w:hAnsi="Times New Roman"/>
        </w:rPr>
        <w:t>Mahon</w:t>
      </w:r>
      <w:proofErr w:type="spellEnd"/>
      <w:r w:rsidRPr="007A2F89">
        <w:rPr>
          <w:rFonts w:ascii="Times New Roman" w:eastAsiaTheme="minorHAnsi" w:hAnsi="Times New Roman"/>
        </w:rPr>
        <w:t xml:space="preserve">, J. F. (1997). </w:t>
      </w:r>
      <w:r w:rsidRPr="007A2F89">
        <w:rPr>
          <w:rFonts w:ascii="Times New Roman" w:eastAsiaTheme="minorHAnsi" w:hAnsi="Times New Roman"/>
          <w:lang w:val="en-US"/>
        </w:rPr>
        <w:t>The corporate social performance and corporate financial performance debate: Twenty-five years of incomparable research. </w:t>
      </w:r>
      <w:r w:rsidRPr="007A2F89">
        <w:rPr>
          <w:rFonts w:ascii="Times New Roman" w:eastAsiaTheme="minorHAnsi" w:hAnsi="Times New Roman"/>
          <w:i/>
          <w:iCs/>
          <w:lang w:val="en-US"/>
        </w:rPr>
        <w:t>Business &amp; society</w:t>
      </w:r>
      <w:r w:rsidRPr="007A2F89">
        <w:rPr>
          <w:rFonts w:ascii="Times New Roman" w:eastAsiaTheme="minorHAnsi" w:hAnsi="Times New Roman"/>
          <w:lang w:val="en-US"/>
        </w:rPr>
        <w:t>, </w:t>
      </w:r>
      <w:r w:rsidRPr="007A2F89">
        <w:rPr>
          <w:rFonts w:ascii="Times New Roman" w:eastAsiaTheme="minorHAnsi" w:hAnsi="Times New Roman"/>
          <w:i/>
          <w:iCs/>
          <w:lang w:val="en-US"/>
        </w:rPr>
        <w:t>36</w:t>
      </w:r>
      <w:r w:rsidRPr="007A2F89">
        <w:rPr>
          <w:rFonts w:ascii="Times New Roman" w:eastAsiaTheme="minorHAnsi" w:hAnsi="Times New Roman"/>
          <w:lang w:val="en-US"/>
        </w:rPr>
        <w:t>(1), 5-31.</w:t>
      </w:r>
    </w:p>
    <w:p w14:paraId="7C6FAC5D" w14:textId="3F6C0EEC"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shd w:val="clear" w:color="auto" w:fill="FFFFFF"/>
          <w:lang w:val="en-US" w:eastAsia="it-IT"/>
        </w:rPr>
        <w:t xml:space="preserve">Hair, J., Black, W., </w:t>
      </w:r>
      <w:proofErr w:type="spellStart"/>
      <w:r w:rsidRPr="007A2F89">
        <w:rPr>
          <w:rFonts w:ascii="Times New Roman" w:eastAsia="Times New Roman" w:hAnsi="Times New Roman"/>
          <w:shd w:val="clear" w:color="auto" w:fill="FFFFFF"/>
          <w:lang w:val="en-US" w:eastAsia="it-IT"/>
        </w:rPr>
        <w:t>Babin</w:t>
      </w:r>
      <w:proofErr w:type="spellEnd"/>
      <w:r w:rsidRPr="007A2F89">
        <w:rPr>
          <w:rFonts w:ascii="Times New Roman" w:eastAsia="Times New Roman" w:hAnsi="Times New Roman"/>
          <w:shd w:val="clear" w:color="auto" w:fill="FFFFFF"/>
          <w:lang w:val="en-US" w:eastAsia="it-IT"/>
        </w:rPr>
        <w:t>, B., Anderson, R., &amp; Tatham, R. (2010). Multivariate data analysis</w:t>
      </w:r>
      <w:r w:rsidR="004B3619" w:rsidRPr="007A2F89">
        <w:rPr>
          <w:rFonts w:ascii="Times New Roman" w:eastAsia="Times New Roman" w:hAnsi="Times New Roman"/>
          <w:shd w:val="clear" w:color="auto" w:fill="FFFFFF"/>
          <w:lang w:val="en-US" w:eastAsia="it-IT"/>
        </w:rPr>
        <w:t>.</w:t>
      </w:r>
      <w:r w:rsidRPr="007A2F89">
        <w:rPr>
          <w:rFonts w:ascii="Times New Roman" w:eastAsia="Times New Roman" w:hAnsi="Times New Roman"/>
          <w:shd w:val="clear" w:color="auto" w:fill="FFFFFF"/>
          <w:lang w:val="en-US" w:eastAsia="it-IT"/>
        </w:rPr>
        <w:t xml:space="preserve"> Pearson Education Inc</w:t>
      </w:r>
      <w:r w:rsidR="004B3619" w:rsidRPr="007A2F89">
        <w:rPr>
          <w:rFonts w:ascii="Times New Roman" w:eastAsia="Times New Roman" w:hAnsi="Times New Roman"/>
          <w:shd w:val="clear" w:color="auto" w:fill="FFFFFF"/>
          <w:lang w:val="en-US" w:eastAsia="it-IT"/>
        </w:rPr>
        <w:t>, New Jersey.</w:t>
      </w:r>
    </w:p>
    <w:p w14:paraId="633460BF"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val="en-US" w:eastAsia="it-IT"/>
        </w:rPr>
      </w:pPr>
      <w:proofErr w:type="spellStart"/>
      <w:r w:rsidRPr="007A2F89">
        <w:rPr>
          <w:rFonts w:ascii="Times New Roman" w:eastAsia="Times New Roman" w:hAnsi="Times New Roman"/>
          <w:color w:val="222222"/>
          <w:sz w:val="24"/>
          <w:szCs w:val="24"/>
          <w:shd w:val="clear" w:color="auto" w:fill="FFFFFF"/>
          <w:lang w:eastAsia="it-IT"/>
        </w:rPr>
        <w:t>Heras-Saizarbitoria</w:t>
      </w:r>
      <w:proofErr w:type="spellEnd"/>
      <w:r w:rsidRPr="007A2F89">
        <w:rPr>
          <w:rFonts w:ascii="Times New Roman" w:eastAsia="Times New Roman" w:hAnsi="Times New Roman"/>
          <w:color w:val="222222"/>
          <w:sz w:val="24"/>
          <w:szCs w:val="24"/>
          <w:shd w:val="clear" w:color="auto" w:fill="FFFFFF"/>
          <w:lang w:eastAsia="it-IT"/>
        </w:rPr>
        <w:t>, I., Molina-</w:t>
      </w:r>
      <w:proofErr w:type="spellStart"/>
      <w:r w:rsidRPr="007A2F89">
        <w:rPr>
          <w:rFonts w:ascii="Times New Roman" w:eastAsia="Times New Roman" w:hAnsi="Times New Roman"/>
          <w:color w:val="222222"/>
          <w:sz w:val="24"/>
          <w:szCs w:val="24"/>
          <w:shd w:val="clear" w:color="auto" w:fill="FFFFFF"/>
          <w:lang w:eastAsia="it-IT"/>
        </w:rPr>
        <w:t>Azorín</w:t>
      </w:r>
      <w:proofErr w:type="spellEnd"/>
      <w:r w:rsidRPr="007A2F89">
        <w:rPr>
          <w:rFonts w:ascii="Times New Roman" w:eastAsia="Times New Roman" w:hAnsi="Times New Roman"/>
          <w:color w:val="222222"/>
          <w:sz w:val="24"/>
          <w:szCs w:val="24"/>
          <w:shd w:val="clear" w:color="auto" w:fill="FFFFFF"/>
          <w:lang w:eastAsia="it-IT"/>
        </w:rPr>
        <w:t xml:space="preserve">, J. F., &amp; Dick, G. P. (2011). </w:t>
      </w:r>
      <w:r w:rsidRPr="007A2F89">
        <w:rPr>
          <w:rFonts w:ascii="Times New Roman" w:eastAsia="Times New Roman" w:hAnsi="Times New Roman"/>
          <w:color w:val="222222"/>
          <w:sz w:val="24"/>
          <w:szCs w:val="24"/>
          <w:shd w:val="clear" w:color="auto" w:fill="FFFFFF"/>
          <w:lang w:val="en-US" w:eastAsia="it-IT"/>
        </w:rPr>
        <w:t>ISO 14001 certification and financial performance: selection-effect versus treatment-effect. </w:t>
      </w:r>
      <w:r w:rsidRPr="007A2F89">
        <w:rPr>
          <w:rFonts w:ascii="Times New Roman" w:eastAsia="Times New Roman" w:hAnsi="Times New Roman"/>
          <w:i/>
          <w:iCs/>
          <w:color w:val="222222"/>
          <w:sz w:val="24"/>
          <w:szCs w:val="24"/>
          <w:shd w:val="clear" w:color="auto" w:fill="FFFFFF"/>
          <w:lang w:val="en-US" w:eastAsia="it-IT"/>
        </w:rPr>
        <w:t>Journal of Cleaner Production</w:t>
      </w:r>
      <w:r w:rsidRPr="007A2F89">
        <w:rPr>
          <w:rFonts w:ascii="Times New Roman" w:eastAsia="Times New Roman" w:hAnsi="Times New Roman"/>
          <w:color w:val="222222"/>
          <w:sz w:val="24"/>
          <w:szCs w:val="24"/>
          <w:shd w:val="clear" w:color="auto" w:fill="FFFFFF"/>
          <w:lang w:val="en-US" w:eastAsia="it-IT"/>
        </w:rPr>
        <w:t>, </w:t>
      </w:r>
      <w:r w:rsidRPr="007A2F89">
        <w:rPr>
          <w:rFonts w:ascii="Times New Roman" w:eastAsia="Times New Roman" w:hAnsi="Times New Roman"/>
          <w:i/>
          <w:iCs/>
          <w:color w:val="222222"/>
          <w:sz w:val="24"/>
          <w:szCs w:val="24"/>
          <w:shd w:val="clear" w:color="auto" w:fill="FFFFFF"/>
          <w:lang w:val="en-US" w:eastAsia="it-IT"/>
        </w:rPr>
        <w:t>19</w:t>
      </w:r>
      <w:r w:rsidRPr="007A2F89">
        <w:rPr>
          <w:rFonts w:ascii="Times New Roman" w:eastAsia="Times New Roman" w:hAnsi="Times New Roman"/>
          <w:color w:val="222222"/>
          <w:sz w:val="24"/>
          <w:szCs w:val="24"/>
          <w:shd w:val="clear" w:color="auto" w:fill="FFFFFF"/>
          <w:lang w:val="en-US" w:eastAsia="it-IT"/>
        </w:rPr>
        <w:t>(1), 1-12.</w:t>
      </w:r>
    </w:p>
    <w:p w14:paraId="6B706E0E"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color w:val="222222"/>
          <w:shd w:val="clear" w:color="auto" w:fill="FFFFFF"/>
          <w:lang w:val="en-US" w:eastAsia="it-IT"/>
        </w:rPr>
      </w:pPr>
      <w:r w:rsidRPr="007A2F89">
        <w:rPr>
          <w:rFonts w:ascii="Times New Roman" w:eastAsia="Times New Roman" w:hAnsi="Times New Roman"/>
          <w:color w:val="222222"/>
          <w:shd w:val="clear" w:color="auto" w:fill="FFFFFF"/>
          <w:lang w:val="en-US" w:eastAsia="it-IT"/>
        </w:rPr>
        <w:t xml:space="preserve">Jamali, D., </w:t>
      </w:r>
      <w:proofErr w:type="spellStart"/>
      <w:r w:rsidRPr="007A2F89">
        <w:rPr>
          <w:rFonts w:ascii="Times New Roman" w:eastAsia="Times New Roman" w:hAnsi="Times New Roman"/>
          <w:color w:val="222222"/>
          <w:shd w:val="clear" w:color="auto" w:fill="FFFFFF"/>
          <w:lang w:val="en-US" w:eastAsia="it-IT"/>
        </w:rPr>
        <w:t>Zanhour</w:t>
      </w:r>
      <w:proofErr w:type="spellEnd"/>
      <w:r w:rsidRPr="007A2F89">
        <w:rPr>
          <w:rFonts w:ascii="Times New Roman" w:eastAsia="Times New Roman" w:hAnsi="Times New Roman"/>
          <w:color w:val="222222"/>
          <w:shd w:val="clear" w:color="auto" w:fill="FFFFFF"/>
          <w:lang w:val="en-US" w:eastAsia="it-IT"/>
        </w:rPr>
        <w:t xml:space="preserve">, M., &amp; </w:t>
      </w:r>
      <w:proofErr w:type="spellStart"/>
      <w:r w:rsidRPr="007A2F89">
        <w:rPr>
          <w:rFonts w:ascii="Times New Roman" w:eastAsia="Times New Roman" w:hAnsi="Times New Roman"/>
          <w:color w:val="222222"/>
          <w:shd w:val="clear" w:color="auto" w:fill="FFFFFF"/>
          <w:lang w:val="en-US" w:eastAsia="it-IT"/>
        </w:rPr>
        <w:t>Keshishian</w:t>
      </w:r>
      <w:proofErr w:type="spellEnd"/>
      <w:r w:rsidRPr="007A2F89">
        <w:rPr>
          <w:rFonts w:ascii="Times New Roman" w:eastAsia="Times New Roman" w:hAnsi="Times New Roman"/>
          <w:color w:val="222222"/>
          <w:shd w:val="clear" w:color="auto" w:fill="FFFFFF"/>
          <w:lang w:val="en-US" w:eastAsia="it-IT"/>
        </w:rPr>
        <w:t>, T. (2009). Peculiar strengths and relational attributes of SMEs in the context of CSR. </w:t>
      </w:r>
      <w:r w:rsidRPr="007A2F89">
        <w:rPr>
          <w:rFonts w:ascii="Times New Roman" w:eastAsia="Times New Roman" w:hAnsi="Times New Roman"/>
          <w:i/>
          <w:iCs/>
          <w:color w:val="222222"/>
          <w:lang w:val="en-US" w:eastAsia="it-IT"/>
        </w:rPr>
        <w:t>Journal of business Ethics</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87</w:t>
      </w:r>
      <w:r w:rsidRPr="007A2F89">
        <w:rPr>
          <w:rFonts w:ascii="Times New Roman" w:eastAsia="Times New Roman" w:hAnsi="Times New Roman"/>
          <w:color w:val="222222"/>
          <w:shd w:val="clear" w:color="auto" w:fill="FFFFFF"/>
          <w:lang w:val="en-US" w:eastAsia="it-IT"/>
        </w:rPr>
        <w:t>(3), 355-377.</w:t>
      </w:r>
    </w:p>
    <w:p w14:paraId="533AF3CA"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val="en-US" w:eastAsia="it-IT"/>
        </w:rPr>
      </w:pPr>
      <w:r w:rsidRPr="007A2F89">
        <w:rPr>
          <w:rFonts w:ascii="Times New Roman" w:eastAsia="Times New Roman" w:hAnsi="Times New Roman"/>
          <w:color w:val="222222"/>
          <w:sz w:val="24"/>
          <w:szCs w:val="24"/>
          <w:shd w:val="clear" w:color="auto" w:fill="FFFFFF"/>
          <w:lang w:val="en-US" w:eastAsia="it-IT"/>
        </w:rPr>
        <w:t xml:space="preserve">Johnson, C. N. (2002). The benefits </w:t>
      </w:r>
      <w:proofErr w:type="spellStart"/>
      <w:r w:rsidRPr="007A2F89">
        <w:rPr>
          <w:rFonts w:ascii="Times New Roman" w:eastAsia="Times New Roman" w:hAnsi="Times New Roman"/>
          <w:color w:val="222222"/>
          <w:sz w:val="24"/>
          <w:szCs w:val="24"/>
          <w:shd w:val="clear" w:color="auto" w:fill="FFFFFF"/>
          <w:lang w:val="en-US" w:eastAsia="it-IT"/>
        </w:rPr>
        <w:t>fo</w:t>
      </w:r>
      <w:proofErr w:type="spellEnd"/>
      <w:r w:rsidRPr="007A2F89">
        <w:rPr>
          <w:rFonts w:ascii="Times New Roman" w:eastAsia="Times New Roman" w:hAnsi="Times New Roman"/>
          <w:color w:val="222222"/>
          <w:sz w:val="24"/>
          <w:szCs w:val="24"/>
          <w:shd w:val="clear" w:color="auto" w:fill="FFFFFF"/>
          <w:lang w:val="en-US" w:eastAsia="it-IT"/>
        </w:rPr>
        <w:t xml:space="preserve"> PDCA. </w:t>
      </w:r>
      <w:r w:rsidRPr="007A2F89">
        <w:rPr>
          <w:rFonts w:ascii="Times New Roman" w:eastAsia="Times New Roman" w:hAnsi="Times New Roman"/>
          <w:i/>
          <w:iCs/>
          <w:color w:val="222222"/>
          <w:sz w:val="24"/>
          <w:szCs w:val="24"/>
          <w:shd w:val="clear" w:color="auto" w:fill="FFFFFF"/>
          <w:lang w:val="en-GB" w:eastAsia="it-IT"/>
        </w:rPr>
        <w:t>Quality Progress</w:t>
      </w:r>
      <w:r w:rsidRPr="007A2F89">
        <w:rPr>
          <w:rFonts w:ascii="Times New Roman" w:eastAsia="Times New Roman" w:hAnsi="Times New Roman"/>
          <w:color w:val="222222"/>
          <w:sz w:val="24"/>
          <w:szCs w:val="24"/>
          <w:shd w:val="clear" w:color="auto" w:fill="FFFFFF"/>
          <w:lang w:val="en-GB" w:eastAsia="it-IT"/>
        </w:rPr>
        <w:t>, </w:t>
      </w:r>
      <w:r w:rsidRPr="007A2F89">
        <w:rPr>
          <w:rFonts w:ascii="Times New Roman" w:eastAsia="Times New Roman" w:hAnsi="Times New Roman"/>
          <w:i/>
          <w:iCs/>
          <w:color w:val="222222"/>
          <w:sz w:val="24"/>
          <w:szCs w:val="24"/>
          <w:shd w:val="clear" w:color="auto" w:fill="FFFFFF"/>
          <w:lang w:val="en-GB" w:eastAsia="it-IT"/>
        </w:rPr>
        <w:t>35</w:t>
      </w:r>
      <w:r w:rsidRPr="007A2F89">
        <w:rPr>
          <w:rFonts w:ascii="Times New Roman" w:eastAsia="Times New Roman" w:hAnsi="Times New Roman"/>
          <w:color w:val="222222"/>
          <w:sz w:val="24"/>
          <w:szCs w:val="24"/>
          <w:shd w:val="clear" w:color="auto" w:fill="FFFFFF"/>
          <w:lang w:val="en-GB" w:eastAsia="it-IT"/>
        </w:rPr>
        <w:t>(5), 120.</w:t>
      </w:r>
    </w:p>
    <w:p w14:paraId="17A76B05"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val="en-US" w:eastAsia="it-IT"/>
        </w:rPr>
      </w:pPr>
      <w:r w:rsidRPr="007A2F89">
        <w:rPr>
          <w:rFonts w:ascii="Times New Roman" w:eastAsia="Times New Roman" w:hAnsi="Times New Roman"/>
          <w:color w:val="222222"/>
          <w:sz w:val="24"/>
          <w:szCs w:val="24"/>
          <w:shd w:val="clear" w:color="auto" w:fill="FFFFFF"/>
          <w:lang w:val="en-US" w:eastAsia="it-IT"/>
        </w:rPr>
        <w:t>Johnstone, L. (2020). The construction of environmental performance in ISO 14001-certified SMEs. </w:t>
      </w:r>
      <w:r w:rsidRPr="007A2F89">
        <w:rPr>
          <w:rFonts w:ascii="Times New Roman" w:eastAsia="Times New Roman" w:hAnsi="Times New Roman"/>
          <w:i/>
          <w:iCs/>
          <w:color w:val="222222"/>
          <w:sz w:val="24"/>
          <w:szCs w:val="24"/>
          <w:shd w:val="clear" w:color="auto" w:fill="FFFFFF"/>
          <w:lang w:val="en-US" w:eastAsia="it-IT"/>
        </w:rPr>
        <w:t>Journal of Cleaner Production</w:t>
      </w:r>
      <w:r w:rsidRPr="007A2F89">
        <w:rPr>
          <w:rFonts w:ascii="Times New Roman" w:eastAsia="Times New Roman" w:hAnsi="Times New Roman"/>
          <w:color w:val="222222"/>
          <w:sz w:val="24"/>
          <w:szCs w:val="24"/>
          <w:shd w:val="clear" w:color="auto" w:fill="FFFFFF"/>
          <w:lang w:val="en-US" w:eastAsia="it-IT"/>
        </w:rPr>
        <w:t>, </w:t>
      </w:r>
      <w:r w:rsidRPr="007A2F89">
        <w:rPr>
          <w:rFonts w:ascii="Times New Roman" w:eastAsia="Times New Roman" w:hAnsi="Times New Roman"/>
          <w:i/>
          <w:iCs/>
          <w:color w:val="222222"/>
          <w:sz w:val="24"/>
          <w:szCs w:val="24"/>
          <w:shd w:val="clear" w:color="auto" w:fill="FFFFFF"/>
          <w:lang w:val="en-US" w:eastAsia="it-IT"/>
        </w:rPr>
        <w:t>263</w:t>
      </w:r>
      <w:r w:rsidRPr="007A2F89">
        <w:rPr>
          <w:rFonts w:ascii="Times New Roman" w:eastAsia="Times New Roman" w:hAnsi="Times New Roman"/>
          <w:color w:val="222222"/>
          <w:sz w:val="24"/>
          <w:szCs w:val="24"/>
          <w:shd w:val="clear" w:color="auto" w:fill="FFFFFF"/>
          <w:lang w:val="en-US" w:eastAsia="it-IT"/>
        </w:rPr>
        <w:t>, 121559.</w:t>
      </w:r>
    </w:p>
    <w:p w14:paraId="0CC1621B"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color w:val="222222"/>
          <w:shd w:val="clear" w:color="auto" w:fill="FFFFFF"/>
          <w:lang w:val="en-US" w:eastAsia="it-IT"/>
        </w:rPr>
      </w:pPr>
      <w:proofErr w:type="spellStart"/>
      <w:r w:rsidRPr="007A2F89">
        <w:rPr>
          <w:rFonts w:ascii="Times New Roman" w:eastAsia="Times New Roman" w:hAnsi="Times New Roman"/>
          <w:color w:val="222222"/>
          <w:shd w:val="clear" w:color="auto" w:fill="FFFFFF"/>
          <w:lang w:eastAsia="it-IT"/>
        </w:rPr>
        <w:t>Kautonen</w:t>
      </w:r>
      <w:proofErr w:type="spellEnd"/>
      <w:r w:rsidRPr="007A2F89">
        <w:rPr>
          <w:rFonts w:ascii="Times New Roman" w:eastAsia="Times New Roman" w:hAnsi="Times New Roman"/>
          <w:color w:val="222222"/>
          <w:shd w:val="clear" w:color="auto" w:fill="FFFFFF"/>
          <w:lang w:eastAsia="it-IT"/>
        </w:rPr>
        <w:t xml:space="preserve">, T., </w:t>
      </w:r>
      <w:proofErr w:type="spellStart"/>
      <w:r w:rsidRPr="007A2F89">
        <w:rPr>
          <w:rFonts w:ascii="Times New Roman" w:eastAsia="Times New Roman" w:hAnsi="Times New Roman"/>
          <w:color w:val="222222"/>
          <w:shd w:val="clear" w:color="auto" w:fill="FFFFFF"/>
          <w:lang w:eastAsia="it-IT"/>
        </w:rPr>
        <w:t>Schillebeeckx</w:t>
      </w:r>
      <w:proofErr w:type="spellEnd"/>
      <w:r w:rsidRPr="007A2F89">
        <w:rPr>
          <w:rFonts w:ascii="Times New Roman" w:eastAsia="Times New Roman" w:hAnsi="Times New Roman"/>
          <w:color w:val="222222"/>
          <w:shd w:val="clear" w:color="auto" w:fill="FFFFFF"/>
          <w:lang w:eastAsia="it-IT"/>
        </w:rPr>
        <w:t xml:space="preserve">, S. J., </w:t>
      </w:r>
      <w:proofErr w:type="spellStart"/>
      <w:r w:rsidRPr="007A2F89">
        <w:rPr>
          <w:rFonts w:ascii="Times New Roman" w:eastAsia="Times New Roman" w:hAnsi="Times New Roman"/>
          <w:color w:val="222222"/>
          <w:shd w:val="clear" w:color="auto" w:fill="FFFFFF"/>
          <w:lang w:eastAsia="it-IT"/>
        </w:rPr>
        <w:t>Gartner</w:t>
      </w:r>
      <w:proofErr w:type="spellEnd"/>
      <w:r w:rsidRPr="007A2F89">
        <w:rPr>
          <w:rFonts w:ascii="Times New Roman" w:eastAsia="Times New Roman" w:hAnsi="Times New Roman"/>
          <w:color w:val="222222"/>
          <w:shd w:val="clear" w:color="auto" w:fill="FFFFFF"/>
          <w:lang w:eastAsia="it-IT"/>
        </w:rPr>
        <w:t xml:space="preserve">, J., </w:t>
      </w:r>
      <w:proofErr w:type="spellStart"/>
      <w:r w:rsidRPr="007A2F89">
        <w:rPr>
          <w:rFonts w:ascii="Times New Roman" w:eastAsia="Times New Roman" w:hAnsi="Times New Roman"/>
          <w:color w:val="222222"/>
          <w:shd w:val="clear" w:color="auto" w:fill="FFFFFF"/>
          <w:lang w:eastAsia="it-IT"/>
        </w:rPr>
        <w:t>Hakala</w:t>
      </w:r>
      <w:proofErr w:type="spellEnd"/>
      <w:r w:rsidRPr="007A2F89">
        <w:rPr>
          <w:rFonts w:ascii="Times New Roman" w:eastAsia="Times New Roman" w:hAnsi="Times New Roman"/>
          <w:color w:val="222222"/>
          <w:shd w:val="clear" w:color="auto" w:fill="FFFFFF"/>
          <w:lang w:eastAsia="it-IT"/>
        </w:rPr>
        <w:t xml:space="preserve">, H., </w:t>
      </w:r>
      <w:proofErr w:type="spellStart"/>
      <w:r w:rsidRPr="007A2F89">
        <w:rPr>
          <w:rFonts w:ascii="Times New Roman" w:eastAsia="Times New Roman" w:hAnsi="Times New Roman"/>
          <w:color w:val="222222"/>
          <w:shd w:val="clear" w:color="auto" w:fill="FFFFFF"/>
          <w:lang w:eastAsia="it-IT"/>
        </w:rPr>
        <w:t>Salmela</w:t>
      </w:r>
      <w:proofErr w:type="spellEnd"/>
      <w:r w:rsidRPr="007A2F89">
        <w:rPr>
          <w:rFonts w:ascii="Times New Roman" w:eastAsia="Times New Roman" w:hAnsi="Times New Roman"/>
          <w:color w:val="222222"/>
          <w:shd w:val="clear" w:color="auto" w:fill="FFFFFF"/>
          <w:lang w:eastAsia="it-IT"/>
        </w:rPr>
        <w:t xml:space="preserve">-Aro, K., &amp; </w:t>
      </w:r>
      <w:proofErr w:type="spellStart"/>
      <w:r w:rsidRPr="007A2F89">
        <w:rPr>
          <w:rFonts w:ascii="Times New Roman" w:eastAsia="Times New Roman" w:hAnsi="Times New Roman"/>
          <w:color w:val="222222"/>
          <w:shd w:val="clear" w:color="auto" w:fill="FFFFFF"/>
          <w:lang w:eastAsia="it-IT"/>
        </w:rPr>
        <w:t>Snellman</w:t>
      </w:r>
      <w:proofErr w:type="spellEnd"/>
      <w:r w:rsidRPr="007A2F89">
        <w:rPr>
          <w:rFonts w:ascii="Times New Roman" w:eastAsia="Times New Roman" w:hAnsi="Times New Roman"/>
          <w:color w:val="222222"/>
          <w:shd w:val="clear" w:color="auto" w:fill="FFFFFF"/>
          <w:lang w:eastAsia="it-IT"/>
        </w:rPr>
        <w:t xml:space="preserve">, K. (2020). </w:t>
      </w:r>
      <w:r w:rsidRPr="007A2F89">
        <w:rPr>
          <w:rFonts w:ascii="Times New Roman" w:eastAsia="Times New Roman" w:hAnsi="Times New Roman"/>
          <w:color w:val="222222"/>
          <w:shd w:val="clear" w:color="auto" w:fill="FFFFFF"/>
          <w:lang w:val="en-US" w:eastAsia="it-IT"/>
        </w:rPr>
        <w:t>The dark side of sustainability orientation for SME performance. </w:t>
      </w:r>
      <w:r w:rsidRPr="007A2F89">
        <w:rPr>
          <w:rFonts w:ascii="Times New Roman" w:eastAsia="Times New Roman" w:hAnsi="Times New Roman"/>
          <w:i/>
          <w:iCs/>
          <w:color w:val="222222"/>
          <w:lang w:val="en-US" w:eastAsia="it-IT"/>
        </w:rPr>
        <w:t>Journal of Business Venturing Insights</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14</w:t>
      </w:r>
      <w:r w:rsidRPr="007A2F89">
        <w:rPr>
          <w:rFonts w:ascii="Times New Roman" w:eastAsia="Times New Roman" w:hAnsi="Times New Roman"/>
          <w:color w:val="222222"/>
          <w:shd w:val="clear" w:color="auto" w:fill="FFFFFF"/>
          <w:lang w:val="en-US" w:eastAsia="it-IT"/>
        </w:rPr>
        <w:t>, e00198.</w:t>
      </w:r>
    </w:p>
    <w:p w14:paraId="0D094FA6" w14:textId="77777777" w:rsidR="003A0013" w:rsidRPr="007A2F89" w:rsidRDefault="003A0013" w:rsidP="007A2F89">
      <w:pPr>
        <w:pStyle w:val="Paragrafoelenco"/>
        <w:numPr>
          <w:ilvl w:val="0"/>
          <w:numId w:val="12"/>
        </w:numPr>
        <w:ind w:left="567" w:hanging="567"/>
        <w:jc w:val="both"/>
        <w:rPr>
          <w:rFonts w:ascii="Times New Roman" w:eastAsia="Times New Roman" w:hAnsi="Times New Roman"/>
          <w:lang w:val="en-GB" w:eastAsia="it-IT"/>
        </w:rPr>
      </w:pPr>
      <w:r w:rsidRPr="007A2F89">
        <w:rPr>
          <w:rFonts w:ascii="Times New Roman" w:eastAsia="Times New Roman" w:hAnsi="Times New Roman"/>
          <w:lang w:val="en-US" w:eastAsia="it-IT"/>
        </w:rPr>
        <w:t xml:space="preserve">Kay, J., &amp; Davis, E. (1990). What makes a company a chart </w:t>
      </w:r>
      <w:proofErr w:type="gramStart"/>
      <w:r w:rsidRPr="007A2F89">
        <w:rPr>
          <w:rFonts w:ascii="Times New Roman" w:eastAsia="Times New Roman" w:hAnsi="Times New Roman"/>
          <w:lang w:val="en-US" w:eastAsia="it-IT"/>
        </w:rPr>
        <w:t>topper.</w:t>
      </w:r>
      <w:proofErr w:type="gramEnd"/>
      <w:r w:rsidRPr="007A2F89">
        <w:rPr>
          <w:rFonts w:ascii="Times New Roman" w:eastAsia="Times New Roman" w:hAnsi="Times New Roman"/>
          <w:lang w:val="en-US" w:eastAsia="it-IT"/>
        </w:rPr>
        <w:t> </w:t>
      </w:r>
      <w:r w:rsidRPr="007A2F89">
        <w:rPr>
          <w:rFonts w:ascii="Times New Roman" w:eastAsia="Times New Roman" w:hAnsi="Times New Roman"/>
          <w:i/>
          <w:iCs/>
          <w:lang w:val="en-GB" w:eastAsia="it-IT"/>
        </w:rPr>
        <w:t>Accountancy, August</w:t>
      </w:r>
      <w:r w:rsidRPr="007A2F89">
        <w:rPr>
          <w:rFonts w:ascii="Times New Roman" w:eastAsia="Times New Roman" w:hAnsi="Times New Roman"/>
          <w:lang w:val="en-GB" w:eastAsia="it-IT"/>
        </w:rPr>
        <w:t>, 98-101.</w:t>
      </w:r>
    </w:p>
    <w:p w14:paraId="545DCFB1" w14:textId="71B61DD5"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lang w:val="en-US" w:eastAsia="it-IT"/>
        </w:rPr>
        <w:t>Kearney, A.T. (2001)</w:t>
      </w:r>
      <w:r w:rsidR="00015BC4" w:rsidRPr="007A2F89">
        <w:rPr>
          <w:rFonts w:ascii="Times New Roman" w:eastAsia="Times New Roman" w:hAnsi="Times New Roman"/>
          <w:lang w:val="en-US" w:eastAsia="it-IT"/>
        </w:rPr>
        <w:t xml:space="preserve">. </w:t>
      </w:r>
      <w:r w:rsidRPr="007A2F89">
        <w:rPr>
          <w:rFonts w:ascii="Times New Roman" w:eastAsia="Times New Roman" w:hAnsi="Times New Roman"/>
          <w:lang w:val="en-US" w:eastAsia="it-IT"/>
        </w:rPr>
        <w:t>Global winners</w:t>
      </w:r>
      <w:r w:rsidR="00015BC4" w:rsidRPr="007A2F89">
        <w:rPr>
          <w:rFonts w:ascii="Times New Roman" w:eastAsia="Times New Roman" w:hAnsi="Times New Roman"/>
          <w:lang w:val="en-US" w:eastAsia="it-IT"/>
        </w:rPr>
        <w:t>.</w:t>
      </w:r>
      <w:r w:rsidRPr="007A2F89">
        <w:rPr>
          <w:rFonts w:ascii="Times New Roman" w:eastAsia="Times New Roman" w:hAnsi="Times New Roman"/>
          <w:lang w:val="en-US" w:eastAsia="it-IT"/>
        </w:rPr>
        <w:t xml:space="preserve"> </w:t>
      </w:r>
      <w:r w:rsidRPr="007A2F89">
        <w:rPr>
          <w:rFonts w:ascii="Times New Roman" w:eastAsia="Times New Roman" w:hAnsi="Times New Roman"/>
          <w:i/>
          <w:iCs/>
          <w:lang w:val="en-US" w:eastAsia="it-IT"/>
        </w:rPr>
        <w:t>Manufacturing Engineering</w:t>
      </w:r>
      <w:r w:rsidR="00015BC4" w:rsidRPr="007A2F89">
        <w:rPr>
          <w:rFonts w:ascii="Times New Roman" w:eastAsia="Times New Roman" w:hAnsi="Times New Roman"/>
          <w:lang w:val="en-US" w:eastAsia="it-IT"/>
        </w:rPr>
        <w:t>.</w:t>
      </w:r>
      <w:r w:rsidRPr="007A2F89">
        <w:rPr>
          <w:rFonts w:ascii="Times New Roman" w:eastAsia="Times New Roman" w:hAnsi="Times New Roman"/>
          <w:lang w:val="en-US" w:eastAsia="it-IT"/>
        </w:rPr>
        <w:t xml:space="preserve"> </w:t>
      </w:r>
      <w:r w:rsidRPr="007A2F89">
        <w:rPr>
          <w:rFonts w:ascii="Times New Roman" w:eastAsia="Times New Roman" w:hAnsi="Times New Roman"/>
          <w:i/>
          <w:iCs/>
          <w:lang w:val="en-US" w:eastAsia="it-IT"/>
        </w:rPr>
        <w:t>126</w:t>
      </w:r>
      <w:r w:rsidR="00015BC4" w:rsidRPr="007A2F89">
        <w:rPr>
          <w:rFonts w:ascii="Times New Roman" w:eastAsia="Times New Roman" w:hAnsi="Times New Roman"/>
          <w:lang w:val="en-US" w:eastAsia="it-IT"/>
        </w:rPr>
        <w:t>(1)</w:t>
      </w:r>
      <w:r w:rsidRPr="007A2F89">
        <w:rPr>
          <w:rFonts w:ascii="Times New Roman" w:eastAsia="Times New Roman" w:hAnsi="Times New Roman"/>
          <w:lang w:val="en-US" w:eastAsia="it-IT"/>
        </w:rPr>
        <w:t xml:space="preserve">, 16. </w:t>
      </w:r>
    </w:p>
    <w:p w14:paraId="2DF589DA" w14:textId="77777777" w:rsidR="001118E5" w:rsidRPr="007A2F89" w:rsidRDefault="001118E5" w:rsidP="007A2F89">
      <w:pPr>
        <w:pStyle w:val="Paragrafoelenco"/>
        <w:numPr>
          <w:ilvl w:val="0"/>
          <w:numId w:val="12"/>
        </w:numPr>
        <w:ind w:left="567" w:hanging="567"/>
        <w:jc w:val="both"/>
        <w:rPr>
          <w:rFonts w:ascii="Times New Roman" w:eastAsiaTheme="minorHAnsi" w:hAnsi="Times New Roman"/>
          <w:lang w:val="en-US"/>
        </w:rPr>
      </w:pPr>
      <w:r w:rsidRPr="007A2F89">
        <w:rPr>
          <w:rFonts w:ascii="Times New Roman" w:eastAsiaTheme="minorHAnsi" w:hAnsi="Times New Roman"/>
          <w:lang w:val="en-US"/>
        </w:rPr>
        <w:t>Kim, M., &amp; Kim, Y. (2014). Corporate social responsibility and shareholder value of restaurant firms. </w:t>
      </w:r>
      <w:r w:rsidRPr="007A2F89">
        <w:rPr>
          <w:rFonts w:ascii="Times New Roman" w:eastAsiaTheme="minorHAnsi" w:hAnsi="Times New Roman"/>
          <w:i/>
          <w:iCs/>
          <w:lang w:val="en-US"/>
        </w:rPr>
        <w:t>International Journal of Hospitality Management</w:t>
      </w:r>
      <w:r w:rsidRPr="007A2F89">
        <w:rPr>
          <w:rFonts w:ascii="Times New Roman" w:eastAsiaTheme="minorHAnsi" w:hAnsi="Times New Roman"/>
          <w:lang w:val="en-US"/>
        </w:rPr>
        <w:t>, </w:t>
      </w:r>
      <w:r w:rsidRPr="007A2F89">
        <w:rPr>
          <w:rFonts w:ascii="Times New Roman" w:eastAsiaTheme="minorHAnsi" w:hAnsi="Times New Roman"/>
          <w:i/>
          <w:iCs/>
          <w:lang w:val="en-US"/>
        </w:rPr>
        <w:t>40</w:t>
      </w:r>
      <w:r w:rsidRPr="007A2F89">
        <w:rPr>
          <w:rFonts w:ascii="Times New Roman" w:eastAsiaTheme="minorHAnsi" w:hAnsi="Times New Roman"/>
          <w:lang w:val="en-US"/>
        </w:rPr>
        <w:t>, 120-129.</w:t>
      </w:r>
    </w:p>
    <w:p w14:paraId="3FB62DC9"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t xml:space="preserve">King, A. A., Lenox, M. J., &amp; </w:t>
      </w:r>
      <w:proofErr w:type="spellStart"/>
      <w:r w:rsidRPr="007A2F89">
        <w:rPr>
          <w:rFonts w:ascii="Times New Roman" w:eastAsia="Times New Roman" w:hAnsi="Times New Roman"/>
          <w:color w:val="222222"/>
          <w:shd w:val="clear" w:color="auto" w:fill="FFFFFF"/>
          <w:lang w:val="en-US" w:eastAsia="it-IT"/>
        </w:rPr>
        <w:t>Terlaak</w:t>
      </w:r>
      <w:proofErr w:type="spellEnd"/>
      <w:r w:rsidRPr="007A2F89">
        <w:rPr>
          <w:rFonts w:ascii="Times New Roman" w:eastAsia="Times New Roman" w:hAnsi="Times New Roman"/>
          <w:color w:val="222222"/>
          <w:shd w:val="clear" w:color="auto" w:fill="FFFFFF"/>
          <w:lang w:val="en-US" w:eastAsia="it-IT"/>
        </w:rPr>
        <w:t>, A. (2005). The strategic use of decentralized institutions: Exploring certification with the ISO 14001 management standard. </w:t>
      </w:r>
      <w:r w:rsidRPr="007A2F89">
        <w:rPr>
          <w:rFonts w:ascii="Times New Roman" w:eastAsia="Times New Roman" w:hAnsi="Times New Roman"/>
          <w:i/>
          <w:iCs/>
          <w:color w:val="222222"/>
          <w:lang w:val="en-US" w:eastAsia="it-IT"/>
        </w:rPr>
        <w:t>Academy of management journal</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48</w:t>
      </w:r>
      <w:r w:rsidRPr="007A2F89">
        <w:rPr>
          <w:rFonts w:ascii="Times New Roman" w:eastAsia="Times New Roman" w:hAnsi="Times New Roman"/>
          <w:color w:val="222222"/>
          <w:shd w:val="clear" w:color="auto" w:fill="FFFFFF"/>
          <w:lang w:val="en-US" w:eastAsia="it-IT"/>
        </w:rPr>
        <w:t>(6), 1091-1106.</w:t>
      </w:r>
    </w:p>
    <w:p w14:paraId="4B075DB2" w14:textId="77777777" w:rsidR="001118E5" w:rsidRPr="007A2F89" w:rsidRDefault="001118E5" w:rsidP="007A2F89">
      <w:pPr>
        <w:pStyle w:val="Paragrafoelenco"/>
        <w:numPr>
          <w:ilvl w:val="0"/>
          <w:numId w:val="12"/>
        </w:numPr>
        <w:ind w:left="567" w:hanging="567"/>
        <w:jc w:val="both"/>
        <w:rPr>
          <w:rFonts w:ascii="Times New Roman" w:eastAsiaTheme="minorHAnsi" w:hAnsi="Times New Roman"/>
          <w:lang w:val="en-US"/>
        </w:rPr>
      </w:pPr>
      <w:r w:rsidRPr="007A2F89">
        <w:rPr>
          <w:rFonts w:ascii="Times New Roman" w:eastAsiaTheme="minorHAnsi" w:hAnsi="Times New Roman"/>
          <w:lang w:val="en-US"/>
        </w:rPr>
        <w:t xml:space="preserve">Kraft, K. L., &amp; </w:t>
      </w:r>
      <w:proofErr w:type="spellStart"/>
      <w:r w:rsidRPr="007A2F89">
        <w:rPr>
          <w:rFonts w:ascii="Times New Roman" w:eastAsiaTheme="minorHAnsi" w:hAnsi="Times New Roman"/>
          <w:lang w:val="en-US"/>
        </w:rPr>
        <w:t>Hage</w:t>
      </w:r>
      <w:proofErr w:type="spellEnd"/>
      <w:r w:rsidRPr="007A2F89">
        <w:rPr>
          <w:rFonts w:ascii="Times New Roman" w:eastAsiaTheme="minorHAnsi" w:hAnsi="Times New Roman"/>
          <w:lang w:val="en-US"/>
        </w:rPr>
        <w:t xml:space="preserve">, J. (1990). Strategy, social </w:t>
      </w:r>
      <w:proofErr w:type="gramStart"/>
      <w:r w:rsidRPr="007A2F89">
        <w:rPr>
          <w:rFonts w:ascii="Times New Roman" w:eastAsiaTheme="minorHAnsi" w:hAnsi="Times New Roman"/>
          <w:lang w:val="en-US"/>
        </w:rPr>
        <w:t>responsibility</w:t>
      </w:r>
      <w:proofErr w:type="gramEnd"/>
      <w:r w:rsidRPr="007A2F89">
        <w:rPr>
          <w:rFonts w:ascii="Times New Roman" w:eastAsiaTheme="minorHAnsi" w:hAnsi="Times New Roman"/>
          <w:lang w:val="en-US"/>
        </w:rPr>
        <w:t xml:space="preserve"> and implementation. </w:t>
      </w:r>
      <w:r w:rsidRPr="007A2F89">
        <w:rPr>
          <w:rFonts w:ascii="Times New Roman" w:eastAsiaTheme="minorHAnsi" w:hAnsi="Times New Roman"/>
          <w:i/>
          <w:iCs/>
          <w:lang w:val="en-US"/>
        </w:rPr>
        <w:t>Journal of Business Ethics</w:t>
      </w:r>
      <w:r w:rsidRPr="007A2F89">
        <w:rPr>
          <w:rFonts w:ascii="Times New Roman" w:eastAsiaTheme="minorHAnsi" w:hAnsi="Times New Roman"/>
          <w:lang w:val="en-US"/>
        </w:rPr>
        <w:t>, </w:t>
      </w:r>
      <w:r w:rsidRPr="007A2F89">
        <w:rPr>
          <w:rFonts w:ascii="Times New Roman" w:eastAsiaTheme="minorHAnsi" w:hAnsi="Times New Roman"/>
          <w:i/>
          <w:iCs/>
          <w:lang w:val="en-US"/>
        </w:rPr>
        <w:t>9</w:t>
      </w:r>
      <w:r w:rsidRPr="007A2F89">
        <w:rPr>
          <w:rFonts w:ascii="Times New Roman" w:eastAsiaTheme="minorHAnsi" w:hAnsi="Times New Roman"/>
          <w:lang w:val="en-US"/>
        </w:rPr>
        <w:t>(1), 11-19.</w:t>
      </w:r>
    </w:p>
    <w:p w14:paraId="74A26228"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eastAsia="it-IT"/>
        </w:rPr>
        <w:t xml:space="preserve">Lassala, C., </w:t>
      </w:r>
      <w:proofErr w:type="spellStart"/>
      <w:r w:rsidRPr="007A2F89">
        <w:rPr>
          <w:rFonts w:ascii="Times New Roman" w:eastAsia="Times New Roman" w:hAnsi="Times New Roman"/>
          <w:color w:val="222222"/>
          <w:shd w:val="clear" w:color="auto" w:fill="FFFFFF"/>
          <w:lang w:eastAsia="it-IT"/>
        </w:rPr>
        <w:t>Apetrei</w:t>
      </w:r>
      <w:proofErr w:type="spellEnd"/>
      <w:r w:rsidRPr="007A2F89">
        <w:rPr>
          <w:rFonts w:ascii="Times New Roman" w:eastAsia="Times New Roman" w:hAnsi="Times New Roman"/>
          <w:color w:val="222222"/>
          <w:shd w:val="clear" w:color="auto" w:fill="FFFFFF"/>
          <w:lang w:eastAsia="it-IT"/>
        </w:rPr>
        <w:t xml:space="preserve">, A., &amp; </w:t>
      </w:r>
      <w:proofErr w:type="spellStart"/>
      <w:r w:rsidRPr="007A2F89">
        <w:rPr>
          <w:rFonts w:ascii="Times New Roman" w:eastAsia="Times New Roman" w:hAnsi="Times New Roman"/>
          <w:color w:val="222222"/>
          <w:shd w:val="clear" w:color="auto" w:fill="FFFFFF"/>
          <w:lang w:eastAsia="it-IT"/>
        </w:rPr>
        <w:t>Sapena</w:t>
      </w:r>
      <w:proofErr w:type="spellEnd"/>
      <w:r w:rsidRPr="007A2F89">
        <w:rPr>
          <w:rFonts w:ascii="Times New Roman" w:eastAsia="Times New Roman" w:hAnsi="Times New Roman"/>
          <w:color w:val="222222"/>
          <w:shd w:val="clear" w:color="auto" w:fill="FFFFFF"/>
          <w:lang w:eastAsia="it-IT"/>
        </w:rPr>
        <w:t xml:space="preserve">, J. (2017). </w:t>
      </w:r>
      <w:r w:rsidRPr="007A2F89">
        <w:rPr>
          <w:rFonts w:ascii="Times New Roman" w:eastAsia="Times New Roman" w:hAnsi="Times New Roman"/>
          <w:color w:val="222222"/>
          <w:shd w:val="clear" w:color="auto" w:fill="FFFFFF"/>
          <w:lang w:val="en-US" w:eastAsia="it-IT"/>
        </w:rPr>
        <w:t>Sustainability matter and financial performance of companies. </w:t>
      </w:r>
      <w:r w:rsidRPr="007A2F89">
        <w:rPr>
          <w:rFonts w:ascii="Times New Roman" w:eastAsia="Times New Roman" w:hAnsi="Times New Roman"/>
          <w:i/>
          <w:iCs/>
          <w:color w:val="222222"/>
          <w:lang w:val="en-US" w:eastAsia="it-IT"/>
        </w:rPr>
        <w:t>Sustainability</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9</w:t>
      </w:r>
      <w:r w:rsidRPr="007A2F89">
        <w:rPr>
          <w:rFonts w:ascii="Times New Roman" w:eastAsia="Times New Roman" w:hAnsi="Times New Roman"/>
          <w:color w:val="222222"/>
          <w:shd w:val="clear" w:color="auto" w:fill="FFFFFF"/>
          <w:lang w:val="en-US" w:eastAsia="it-IT"/>
        </w:rPr>
        <w:t>(9), 1498.</w:t>
      </w:r>
    </w:p>
    <w:p w14:paraId="149C9956" w14:textId="0FEDD9BB" w:rsidR="001118E5" w:rsidRPr="007A2F89" w:rsidRDefault="001118E5" w:rsidP="007A2F89">
      <w:pPr>
        <w:pStyle w:val="Paragrafoelenco"/>
        <w:numPr>
          <w:ilvl w:val="0"/>
          <w:numId w:val="12"/>
        </w:numPr>
        <w:ind w:left="567" w:hanging="567"/>
        <w:jc w:val="both"/>
        <w:rPr>
          <w:rFonts w:ascii="Times New Roman" w:eastAsia="Times New Roman" w:hAnsi="Times New Roman"/>
          <w:color w:val="222222"/>
          <w:shd w:val="clear" w:color="auto" w:fill="FFFFFF"/>
          <w:lang w:val="en-US" w:eastAsia="it-IT"/>
        </w:rPr>
      </w:pPr>
      <w:r w:rsidRPr="007A2F89">
        <w:rPr>
          <w:rFonts w:ascii="Times New Roman" w:eastAsia="Times New Roman" w:hAnsi="Times New Roman"/>
          <w:color w:val="222222"/>
          <w:shd w:val="clear" w:color="auto" w:fill="FFFFFF"/>
          <w:lang w:val="en-US" w:eastAsia="it-IT"/>
        </w:rPr>
        <w:t xml:space="preserve">Lewis, P. V. (1985). Defining </w:t>
      </w:r>
      <w:r w:rsidR="007A2F89" w:rsidRPr="007A2F89">
        <w:rPr>
          <w:rFonts w:ascii="Times New Roman" w:eastAsia="Times New Roman" w:hAnsi="Times New Roman"/>
          <w:color w:val="222222"/>
          <w:shd w:val="clear" w:color="auto" w:fill="FFFFFF"/>
          <w:lang w:val="en-US" w:eastAsia="it-IT"/>
        </w:rPr>
        <w:t>‘</w:t>
      </w:r>
      <w:r w:rsidRPr="007A2F89">
        <w:rPr>
          <w:rFonts w:ascii="Times New Roman" w:eastAsia="Times New Roman" w:hAnsi="Times New Roman"/>
          <w:color w:val="222222"/>
          <w:shd w:val="clear" w:color="auto" w:fill="FFFFFF"/>
          <w:lang w:val="en-US" w:eastAsia="it-IT"/>
        </w:rPr>
        <w:t>business ethics</w:t>
      </w:r>
      <w:r w:rsidR="007A2F89" w:rsidRPr="007A2F89">
        <w:rPr>
          <w:rFonts w:ascii="Times New Roman" w:eastAsia="Times New Roman" w:hAnsi="Times New Roman"/>
          <w:color w:val="222222"/>
          <w:shd w:val="clear" w:color="auto" w:fill="FFFFFF"/>
          <w:lang w:val="en-US" w:eastAsia="it-IT"/>
        </w:rPr>
        <w:t>’</w:t>
      </w:r>
      <w:r w:rsidRPr="007A2F89">
        <w:rPr>
          <w:rFonts w:ascii="Times New Roman" w:eastAsia="Times New Roman" w:hAnsi="Times New Roman"/>
          <w:color w:val="222222"/>
          <w:shd w:val="clear" w:color="auto" w:fill="FFFFFF"/>
          <w:lang w:val="en-US" w:eastAsia="it-IT"/>
        </w:rPr>
        <w:t xml:space="preserve">: Like nailing </w:t>
      </w:r>
      <w:proofErr w:type="spellStart"/>
      <w:r w:rsidRPr="007A2F89">
        <w:rPr>
          <w:rFonts w:ascii="Times New Roman" w:eastAsia="Times New Roman" w:hAnsi="Times New Roman"/>
          <w:color w:val="222222"/>
          <w:shd w:val="clear" w:color="auto" w:fill="FFFFFF"/>
          <w:lang w:val="en-US" w:eastAsia="it-IT"/>
        </w:rPr>
        <w:t>jello</w:t>
      </w:r>
      <w:proofErr w:type="spellEnd"/>
      <w:r w:rsidRPr="007A2F89">
        <w:rPr>
          <w:rFonts w:ascii="Times New Roman" w:eastAsia="Times New Roman" w:hAnsi="Times New Roman"/>
          <w:color w:val="222222"/>
          <w:shd w:val="clear" w:color="auto" w:fill="FFFFFF"/>
          <w:lang w:val="en-US" w:eastAsia="it-IT"/>
        </w:rPr>
        <w:t xml:space="preserve"> to a wall. </w:t>
      </w:r>
      <w:r w:rsidRPr="007A2F89">
        <w:rPr>
          <w:rFonts w:ascii="Times New Roman" w:eastAsia="Times New Roman" w:hAnsi="Times New Roman"/>
          <w:i/>
          <w:iCs/>
          <w:color w:val="222222"/>
          <w:lang w:val="en-US" w:eastAsia="it-IT"/>
        </w:rPr>
        <w:t>Journal of Business ethics</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4</w:t>
      </w:r>
      <w:r w:rsidRPr="007A2F89">
        <w:rPr>
          <w:rFonts w:ascii="Times New Roman" w:eastAsia="Times New Roman" w:hAnsi="Times New Roman"/>
          <w:color w:val="222222"/>
          <w:shd w:val="clear" w:color="auto" w:fill="FFFFFF"/>
          <w:lang w:val="en-US" w:eastAsia="it-IT"/>
        </w:rPr>
        <w:t>(5), 377-383.</w:t>
      </w:r>
    </w:p>
    <w:p w14:paraId="56B33502" w14:textId="0F074D5C" w:rsidR="001118E5" w:rsidRPr="007A2F89" w:rsidRDefault="001118E5" w:rsidP="007A2F89">
      <w:pPr>
        <w:pStyle w:val="Testocommento"/>
        <w:numPr>
          <w:ilvl w:val="0"/>
          <w:numId w:val="12"/>
        </w:numPr>
        <w:ind w:left="567" w:hanging="567"/>
        <w:jc w:val="both"/>
        <w:rPr>
          <w:rFonts w:ascii="Times New Roman" w:hAnsi="Times New Roman"/>
          <w:color w:val="222222"/>
          <w:sz w:val="24"/>
          <w:szCs w:val="24"/>
          <w:shd w:val="clear" w:color="auto" w:fill="FFFFFF"/>
        </w:rPr>
      </w:pPr>
      <w:r w:rsidRPr="007A2F89">
        <w:rPr>
          <w:rFonts w:ascii="Times New Roman" w:hAnsi="Times New Roman"/>
          <w:color w:val="222222"/>
          <w:sz w:val="24"/>
          <w:szCs w:val="24"/>
          <w:shd w:val="clear" w:color="auto" w:fill="FFFFFF"/>
        </w:rPr>
        <w:t xml:space="preserve">López, M. V., Garcia, A., &amp; </w:t>
      </w:r>
      <w:proofErr w:type="spellStart"/>
      <w:r w:rsidRPr="007A2F89">
        <w:rPr>
          <w:rFonts w:ascii="Times New Roman" w:hAnsi="Times New Roman"/>
          <w:color w:val="222222"/>
          <w:sz w:val="24"/>
          <w:szCs w:val="24"/>
          <w:shd w:val="clear" w:color="auto" w:fill="FFFFFF"/>
        </w:rPr>
        <w:t>Rodriguez</w:t>
      </w:r>
      <w:proofErr w:type="spellEnd"/>
      <w:r w:rsidRPr="007A2F89">
        <w:rPr>
          <w:rFonts w:ascii="Times New Roman" w:hAnsi="Times New Roman"/>
          <w:color w:val="222222"/>
          <w:sz w:val="24"/>
          <w:szCs w:val="24"/>
          <w:shd w:val="clear" w:color="auto" w:fill="FFFFFF"/>
        </w:rPr>
        <w:t xml:space="preserve">, L. (2007). </w:t>
      </w:r>
      <w:r w:rsidRPr="007A2F89">
        <w:rPr>
          <w:rFonts w:ascii="Times New Roman" w:hAnsi="Times New Roman"/>
          <w:color w:val="222222"/>
          <w:sz w:val="24"/>
          <w:szCs w:val="24"/>
          <w:shd w:val="clear" w:color="auto" w:fill="FFFFFF"/>
          <w:lang w:val="en-US"/>
        </w:rPr>
        <w:t>Sustainable development and corporate performance: A study based on the Dow Jones sustainability index. </w:t>
      </w:r>
      <w:r w:rsidRPr="007A2F89">
        <w:rPr>
          <w:rFonts w:ascii="Times New Roman" w:hAnsi="Times New Roman"/>
          <w:i/>
          <w:iCs/>
          <w:color w:val="222222"/>
          <w:sz w:val="24"/>
          <w:szCs w:val="24"/>
          <w:shd w:val="clear" w:color="auto" w:fill="FFFFFF"/>
        </w:rPr>
        <w:t>Journal of business ethics</w:t>
      </w:r>
      <w:r w:rsidRPr="007A2F89">
        <w:rPr>
          <w:rFonts w:ascii="Times New Roman" w:hAnsi="Times New Roman"/>
          <w:color w:val="222222"/>
          <w:sz w:val="24"/>
          <w:szCs w:val="24"/>
          <w:shd w:val="clear" w:color="auto" w:fill="FFFFFF"/>
        </w:rPr>
        <w:t>, </w:t>
      </w:r>
      <w:r w:rsidRPr="007A2F89">
        <w:rPr>
          <w:rFonts w:ascii="Times New Roman" w:hAnsi="Times New Roman"/>
          <w:i/>
          <w:iCs/>
          <w:color w:val="222222"/>
          <w:sz w:val="24"/>
          <w:szCs w:val="24"/>
          <w:shd w:val="clear" w:color="auto" w:fill="FFFFFF"/>
        </w:rPr>
        <w:t>75</w:t>
      </w:r>
      <w:r w:rsidRPr="007A2F89">
        <w:rPr>
          <w:rFonts w:ascii="Times New Roman" w:hAnsi="Times New Roman"/>
          <w:color w:val="222222"/>
          <w:sz w:val="24"/>
          <w:szCs w:val="24"/>
          <w:shd w:val="clear" w:color="auto" w:fill="FFFFFF"/>
        </w:rPr>
        <w:t>(3), 285-300.</w:t>
      </w:r>
    </w:p>
    <w:p w14:paraId="262F8077" w14:textId="44CF96B9" w:rsidR="00075E62" w:rsidRPr="007A2F89" w:rsidRDefault="00075E62" w:rsidP="007A2F89">
      <w:pPr>
        <w:pStyle w:val="Testocommento"/>
        <w:numPr>
          <w:ilvl w:val="0"/>
          <w:numId w:val="12"/>
        </w:numPr>
        <w:ind w:left="567" w:hanging="567"/>
        <w:jc w:val="both"/>
        <w:rPr>
          <w:rFonts w:ascii="Times New Roman" w:hAnsi="Times New Roman"/>
          <w:color w:val="222222"/>
          <w:sz w:val="24"/>
          <w:szCs w:val="24"/>
          <w:shd w:val="clear" w:color="auto" w:fill="FFFFFF"/>
          <w:lang w:val="en-US"/>
        </w:rPr>
      </w:pPr>
      <w:r w:rsidRPr="007A2F89">
        <w:rPr>
          <w:rFonts w:ascii="Times New Roman" w:hAnsi="Times New Roman"/>
          <w:color w:val="222222"/>
          <w:sz w:val="24"/>
          <w:szCs w:val="24"/>
          <w:shd w:val="clear" w:color="auto" w:fill="FFFFFF"/>
        </w:rPr>
        <w:t>Mancini, D., Lamboglia, R., Garzella, S., &amp; Fiorentino, R. (2016). Strategie di sostenibilità: dalle motivazioni ai sistemi di misurazione della performance. </w:t>
      </w:r>
      <w:r w:rsidRPr="007A2F89">
        <w:rPr>
          <w:rFonts w:ascii="Times New Roman" w:hAnsi="Times New Roman"/>
          <w:i/>
          <w:iCs/>
          <w:color w:val="222222"/>
          <w:sz w:val="24"/>
          <w:szCs w:val="24"/>
          <w:shd w:val="clear" w:color="auto" w:fill="FFFFFF"/>
          <w:lang w:val="en-US"/>
        </w:rPr>
        <w:t>Management Control</w:t>
      </w:r>
      <w:r w:rsidRPr="007A2F89">
        <w:rPr>
          <w:rFonts w:ascii="Times New Roman" w:hAnsi="Times New Roman"/>
          <w:color w:val="222222"/>
          <w:sz w:val="24"/>
          <w:szCs w:val="24"/>
          <w:shd w:val="clear" w:color="auto" w:fill="FFFFFF"/>
          <w:lang w:val="en-US"/>
        </w:rPr>
        <w:t xml:space="preserve">, </w:t>
      </w:r>
      <w:r w:rsidR="00015BC4" w:rsidRPr="007A2F89">
        <w:rPr>
          <w:rFonts w:ascii="Times New Roman" w:hAnsi="Times New Roman"/>
          <w:i/>
          <w:iCs/>
          <w:color w:val="222222"/>
          <w:sz w:val="24"/>
          <w:szCs w:val="24"/>
          <w:shd w:val="clear" w:color="auto" w:fill="FFFFFF"/>
          <w:lang w:val="en-US"/>
        </w:rPr>
        <w:t>2</w:t>
      </w:r>
      <w:r w:rsidRPr="007A2F89">
        <w:rPr>
          <w:rFonts w:ascii="Times New Roman" w:hAnsi="Times New Roman"/>
          <w:color w:val="222222"/>
          <w:sz w:val="24"/>
          <w:szCs w:val="24"/>
          <w:shd w:val="clear" w:color="auto" w:fill="FFFFFF"/>
          <w:lang w:val="en-US"/>
        </w:rPr>
        <w:t>, 116-142.</w:t>
      </w:r>
    </w:p>
    <w:p w14:paraId="3405737B" w14:textId="77777777" w:rsidR="001118E5" w:rsidRPr="007A2F89" w:rsidRDefault="001118E5" w:rsidP="007A2F89">
      <w:pPr>
        <w:pStyle w:val="Testocommento"/>
        <w:numPr>
          <w:ilvl w:val="0"/>
          <w:numId w:val="12"/>
        </w:numPr>
        <w:ind w:left="567" w:hanging="567"/>
        <w:jc w:val="both"/>
        <w:rPr>
          <w:rFonts w:ascii="Times New Roman" w:eastAsiaTheme="minorHAnsi" w:hAnsi="Times New Roman"/>
          <w:sz w:val="24"/>
          <w:szCs w:val="24"/>
          <w:lang w:val="en-US"/>
        </w:rPr>
      </w:pPr>
      <w:r w:rsidRPr="007A2F89">
        <w:rPr>
          <w:rFonts w:ascii="Times New Roman" w:eastAsiaTheme="minorHAnsi" w:hAnsi="Times New Roman"/>
          <w:sz w:val="24"/>
          <w:szCs w:val="24"/>
          <w:lang w:val="en-US"/>
        </w:rPr>
        <w:t xml:space="preserve">Maqbool, S., &amp; </w:t>
      </w:r>
      <w:proofErr w:type="spellStart"/>
      <w:r w:rsidRPr="007A2F89">
        <w:rPr>
          <w:rFonts w:ascii="Times New Roman" w:eastAsiaTheme="minorHAnsi" w:hAnsi="Times New Roman"/>
          <w:sz w:val="24"/>
          <w:szCs w:val="24"/>
          <w:lang w:val="en-US"/>
        </w:rPr>
        <w:t>Zameer</w:t>
      </w:r>
      <w:proofErr w:type="spellEnd"/>
      <w:r w:rsidRPr="007A2F89">
        <w:rPr>
          <w:rFonts w:ascii="Times New Roman" w:eastAsiaTheme="minorHAnsi" w:hAnsi="Times New Roman"/>
          <w:sz w:val="24"/>
          <w:szCs w:val="24"/>
          <w:lang w:val="en-US"/>
        </w:rPr>
        <w:t>, M. N. (2018). Corporate social responsibility and financial performance: An empirical analysis of Indian banks. </w:t>
      </w:r>
      <w:r w:rsidRPr="007A2F89">
        <w:rPr>
          <w:rFonts w:ascii="Times New Roman" w:eastAsiaTheme="minorHAnsi" w:hAnsi="Times New Roman"/>
          <w:i/>
          <w:iCs/>
          <w:sz w:val="24"/>
          <w:szCs w:val="24"/>
          <w:lang w:val="en-US"/>
        </w:rPr>
        <w:t>Future Business Journal</w:t>
      </w:r>
      <w:r w:rsidRPr="007A2F89">
        <w:rPr>
          <w:rFonts w:ascii="Times New Roman" w:eastAsiaTheme="minorHAnsi" w:hAnsi="Times New Roman"/>
          <w:sz w:val="24"/>
          <w:szCs w:val="24"/>
          <w:lang w:val="en-US"/>
        </w:rPr>
        <w:t>, </w:t>
      </w:r>
      <w:r w:rsidRPr="007A2F89">
        <w:rPr>
          <w:rFonts w:ascii="Times New Roman" w:eastAsiaTheme="minorHAnsi" w:hAnsi="Times New Roman"/>
          <w:i/>
          <w:iCs/>
          <w:sz w:val="24"/>
          <w:szCs w:val="24"/>
          <w:lang w:val="en-US"/>
        </w:rPr>
        <w:t>4</w:t>
      </w:r>
      <w:r w:rsidRPr="007A2F89">
        <w:rPr>
          <w:rFonts w:ascii="Times New Roman" w:eastAsiaTheme="minorHAnsi" w:hAnsi="Times New Roman"/>
          <w:sz w:val="24"/>
          <w:szCs w:val="24"/>
          <w:lang w:val="en-US"/>
        </w:rPr>
        <w:t>(1), 84-93.</w:t>
      </w:r>
    </w:p>
    <w:p w14:paraId="502C02C9" w14:textId="77777777" w:rsidR="001118E5" w:rsidRPr="007A2F89" w:rsidRDefault="001118E5" w:rsidP="007A2F89">
      <w:pPr>
        <w:pStyle w:val="Paragrafoelenco"/>
        <w:numPr>
          <w:ilvl w:val="0"/>
          <w:numId w:val="12"/>
        </w:numPr>
        <w:ind w:left="567" w:hanging="567"/>
        <w:jc w:val="both"/>
        <w:rPr>
          <w:rFonts w:ascii="Times New Roman" w:eastAsiaTheme="minorHAnsi" w:hAnsi="Times New Roman"/>
        </w:rPr>
      </w:pPr>
      <w:r w:rsidRPr="007A2F89">
        <w:rPr>
          <w:rFonts w:ascii="Times New Roman" w:eastAsiaTheme="minorHAnsi" w:hAnsi="Times New Roman"/>
          <w:lang w:val="en-US"/>
        </w:rPr>
        <w:t xml:space="preserve">McWilliams, A., &amp; Siegel, D. (2000). Corporate social responsibility and financial performance: correlation or </w:t>
      </w:r>
      <w:proofErr w:type="gramStart"/>
      <w:r w:rsidRPr="007A2F89">
        <w:rPr>
          <w:rFonts w:ascii="Times New Roman" w:eastAsiaTheme="minorHAnsi" w:hAnsi="Times New Roman"/>
          <w:lang w:val="en-US"/>
        </w:rPr>
        <w:t>misspecification?.</w:t>
      </w:r>
      <w:proofErr w:type="gramEnd"/>
      <w:r w:rsidRPr="007A2F89">
        <w:rPr>
          <w:rFonts w:ascii="Times New Roman" w:eastAsiaTheme="minorHAnsi" w:hAnsi="Times New Roman"/>
          <w:lang w:val="en-US"/>
        </w:rPr>
        <w:t> </w:t>
      </w:r>
      <w:r w:rsidRPr="007A2F89">
        <w:rPr>
          <w:rFonts w:ascii="Times New Roman" w:eastAsiaTheme="minorHAnsi" w:hAnsi="Times New Roman"/>
          <w:i/>
          <w:iCs/>
        </w:rPr>
        <w:t>Strategic management journal</w:t>
      </w:r>
      <w:r w:rsidRPr="007A2F89">
        <w:rPr>
          <w:rFonts w:ascii="Times New Roman" w:eastAsiaTheme="minorHAnsi" w:hAnsi="Times New Roman"/>
        </w:rPr>
        <w:t>, </w:t>
      </w:r>
      <w:r w:rsidRPr="007A2F89">
        <w:rPr>
          <w:rFonts w:ascii="Times New Roman" w:eastAsiaTheme="minorHAnsi" w:hAnsi="Times New Roman"/>
          <w:i/>
          <w:iCs/>
        </w:rPr>
        <w:t>21</w:t>
      </w:r>
      <w:r w:rsidRPr="007A2F89">
        <w:rPr>
          <w:rFonts w:ascii="Times New Roman" w:eastAsiaTheme="minorHAnsi" w:hAnsi="Times New Roman"/>
        </w:rPr>
        <w:t>(5), 603-609.</w:t>
      </w:r>
    </w:p>
    <w:p w14:paraId="4373AF56" w14:textId="08BC2804" w:rsidR="001118E5" w:rsidRPr="007A2F89" w:rsidRDefault="001118E5" w:rsidP="007A2F89">
      <w:pPr>
        <w:pStyle w:val="Paragrafoelenco"/>
        <w:numPr>
          <w:ilvl w:val="0"/>
          <w:numId w:val="12"/>
        </w:numPr>
        <w:ind w:left="567" w:hanging="567"/>
        <w:jc w:val="both"/>
        <w:rPr>
          <w:rFonts w:ascii="Times New Roman" w:hAnsi="Times New Roman"/>
        </w:rPr>
      </w:pPr>
      <w:r w:rsidRPr="007A2F89">
        <w:rPr>
          <w:rFonts w:ascii="Times New Roman" w:eastAsia="Times New Roman" w:hAnsi="Times New Roman"/>
          <w:lang w:eastAsia="it-IT"/>
        </w:rPr>
        <w:lastRenderedPageBreak/>
        <w:t xml:space="preserve">Mio, C. (2014). </w:t>
      </w:r>
      <w:r w:rsidRPr="007A2F89">
        <w:rPr>
          <w:rFonts w:ascii="Times New Roman" w:hAnsi="Times New Roman"/>
          <w:i/>
          <w:iCs/>
        </w:rPr>
        <w:t xml:space="preserve">Imprese artigiane e corporate social </w:t>
      </w:r>
      <w:proofErr w:type="spellStart"/>
      <w:r w:rsidRPr="007A2F89">
        <w:rPr>
          <w:rFonts w:ascii="Times New Roman" w:hAnsi="Times New Roman"/>
          <w:i/>
          <w:iCs/>
        </w:rPr>
        <w:t>responsibility</w:t>
      </w:r>
      <w:proofErr w:type="spellEnd"/>
      <w:r w:rsidRPr="007A2F89">
        <w:rPr>
          <w:rFonts w:ascii="Times New Roman" w:hAnsi="Times New Roman"/>
        </w:rPr>
        <w:t>, in «Quaderni di ricerca sull</w:t>
      </w:r>
      <w:r w:rsidR="007A2F89" w:rsidRPr="007A2F89">
        <w:rPr>
          <w:rFonts w:ascii="Times New Roman" w:hAnsi="Times New Roman"/>
        </w:rPr>
        <w:t>’</w:t>
      </w:r>
      <w:r w:rsidRPr="007A2F89">
        <w:rPr>
          <w:rFonts w:ascii="Times New Roman" w:hAnsi="Times New Roman"/>
        </w:rPr>
        <w:t xml:space="preserve">artigianato», 2, pp. 227-252. </w:t>
      </w:r>
    </w:p>
    <w:p w14:paraId="4959373B" w14:textId="04F26740" w:rsidR="004B3619" w:rsidRPr="007A2F89" w:rsidRDefault="004B3619" w:rsidP="007A2F89">
      <w:pPr>
        <w:pStyle w:val="Paragrafoelenco"/>
        <w:numPr>
          <w:ilvl w:val="0"/>
          <w:numId w:val="12"/>
        </w:numPr>
        <w:ind w:left="567" w:hanging="567"/>
        <w:jc w:val="both"/>
        <w:rPr>
          <w:rFonts w:ascii="Times New Roman" w:hAnsi="Times New Roman"/>
        </w:rPr>
      </w:pPr>
      <w:r w:rsidRPr="007A2F89">
        <w:rPr>
          <w:rFonts w:ascii="Times New Roman" w:hAnsi="Times New Roman"/>
        </w:rPr>
        <w:t>Molteni, M. (2004). Responsabilità sociale e performance d</w:t>
      </w:r>
      <w:r w:rsidR="007A2F89" w:rsidRPr="007A2F89">
        <w:rPr>
          <w:rFonts w:ascii="Times New Roman" w:hAnsi="Times New Roman"/>
        </w:rPr>
        <w:t>’</w:t>
      </w:r>
      <w:r w:rsidRPr="007A2F89">
        <w:rPr>
          <w:rFonts w:ascii="Times New Roman" w:hAnsi="Times New Roman"/>
        </w:rPr>
        <w:t>impresa. Per una sintesi socio-competitiva. Vita e pensiero, Milano.</w:t>
      </w:r>
    </w:p>
    <w:p w14:paraId="481A59AC"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val="en-US" w:eastAsia="it-IT"/>
        </w:rPr>
      </w:pPr>
      <w:r w:rsidRPr="007A2F89">
        <w:rPr>
          <w:rFonts w:ascii="Times New Roman" w:eastAsia="Times New Roman" w:hAnsi="Times New Roman"/>
          <w:color w:val="222222"/>
          <w:sz w:val="24"/>
          <w:szCs w:val="24"/>
          <w:shd w:val="clear" w:color="auto" w:fill="FFFFFF"/>
          <w:lang w:val="en-US" w:eastAsia="it-IT"/>
        </w:rPr>
        <w:t xml:space="preserve">Morrow, D., &amp; </w:t>
      </w:r>
      <w:proofErr w:type="spellStart"/>
      <w:r w:rsidRPr="007A2F89">
        <w:rPr>
          <w:rFonts w:ascii="Times New Roman" w:eastAsia="Times New Roman" w:hAnsi="Times New Roman"/>
          <w:color w:val="222222"/>
          <w:sz w:val="24"/>
          <w:szCs w:val="24"/>
          <w:shd w:val="clear" w:color="auto" w:fill="FFFFFF"/>
          <w:lang w:val="en-US" w:eastAsia="it-IT"/>
        </w:rPr>
        <w:t>Rondinelli</w:t>
      </w:r>
      <w:proofErr w:type="spellEnd"/>
      <w:r w:rsidRPr="007A2F89">
        <w:rPr>
          <w:rFonts w:ascii="Times New Roman" w:eastAsia="Times New Roman" w:hAnsi="Times New Roman"/>
          <w:color w:val="222222"/>
          <w:sz w:val="24"/>
          <w:szCs w:val="24"/>
          <w:shd w:val="clear" w:color="auto" w:fill="FFFFFF"/>
          <w:lang w:val="en-US" w:eastAsia="it-IT"/>
        </w:rPr>
        <w:t>, D. (2002). Adopting corporate environmental management systems: Motivations and results of ISO 14001 and EMAS certification. </w:t>
      </w:r>
      <w:r w:rsidRPr="007A2F89">
        <w:rPr>
          <w:rFonts w:ascii="Times New Roman" w:eastAsia="Times New Roman" w:hAnsi="Times New Roman"/>
          <w:i/>
          <w:iCs/>
          <w:color w:val="222222"/>
          <w:sz w:val="24"/>
          <w:szCs w:val="24"/>
          <w:shd w:val="clear" w:color="auto" w:fill="FFFFFF"/>
          <w:lang w:val="en-US" w:eastAsia="it-IT"/>
        </w:rPr>
        <w:t>European management journal</w:t>
      </w:r>
      <w:r w:rsidRPr="007A2F89">
        <w:rPr>
          <w:rFonts w:ascii="Times New Roman" w:eastAsia="Times New Roman" w:hAnsi="Times New Roman"/>
          <w:color w:val="222222"/>
          <w:sz w:val="24"/>
          <w:szCs w:val="24"/>
          <w:shd w:val="clear" w:color="auto" w:fill="FFFFFF"/>
          <w:lang w:val="en-US" w:eastAsia="it-IT"/>
        </w:rPr>
        <w:t>, </w:t>
      </w:r>
      <w:r w:rsidRPr="007A2F89">
        <w:rPr>
          <w:rFonts w:ascii="Times New Roman" w:eastAsia="Times New Roman" w:hAnsi="Times New Roman"/>
          <w:i/>
          <w:iCs/>
          <w:color w:val="222222"/>
          <w:sz w:val="24"/>
          <w:szCs w:val="24"/>
          <w:shd w:val="clear" w:color="auto" w:fill="FFFFFF"/>
          <w:lang w:val="en-US" w:eastAsia="it-IT"/>
        </w:rPr>
        <w:t>20</w:t>
      </w:r>
      <w:r w:rsidRPr="007A2F89">
        <w:rPr>
          <w:rFonts w:ascii="Times New Roman" w:eastAsia="Times New Roman" w:hAnsi="Times New Roman"/>
          <w:color w:val="222222"/>
          <w:sz w:val="24"/>
          <w:szCs w:val="24"/>
          <w:shd w:val="clear" w:color="auto" w:fill="FFFFFF"/>
          <w:lang w:val="en-US" w:eastAsia="it-IT"/>
        </w:rPr>
        <w:t>(2), 159-171.</w:t>
      </w:r>
    </w:p>
    <w:p w14:paraId="35EEF6BF" w14:textId="794E8D04"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eastAsia="it-IT"/>
        </w:rPr>
      </w:pPr>
      <w:proofErr w:type="spellStart"/>
      <w:r w:rsidRPr="007A2F89">
        <w:rPr>
          <w:rFonts w:ascii="Times New Roman" w:eastAsia="Times New Roman" w:hAnsi="Times New Roman"/>
          <w:color w:val="222222"/>
          <w:sz w:val="24"/>
          <w:szCs w:val="24"/>
          <w:shd w:val="clear" w:color="auto" w:fill="FFFFFF"/>
          <w:lang w:val="en-US" w:eastAsia="it-IT"/>
        </w:rPr>
        <w:t>Newig</w:t>
      </w:r>
      <w:proofErr w:type="spellEnd"/>
      <w:r w:rsidRPr="007A2F89">
        <w:rPr>
          <w:rFonts w:ascii="Times New Roman" w:eastAsia="Times New Roman" w:hAnsi="Times New Roman"/>
          <w:color w:val="222222"/>
          <w:sz w:val="24"/>
          <w:szCs w:val="24"/>
          <w:shd w:val="clear" w:color="auto" w:fill="FFFFFF"/>
          <w:lang w:val="en-US" w:eastAsia="it-IT"/>
        </w:rPr>
        <w:t xml:space="preserve">, J., Schulz, D., Fischer, D., </w:t>
      </w:r>
      <w:proofErr w:type="spellStart"/>
      <w:r w:rsidRPr="007A2F89">
        <w:rPr>
          <w:rFonts w:ascii="Times New Roman" w:eastAsia="Times New Roman" w:hAnsi="Times New Roman"/>
          <w:color w:val="222222"/>
          <w:sz w:val="24"/>
          <w:szCs w:val="24"/>
          <w:shd w:val="clear" w:color="auto" w:fill="FFFFFF"/>
          <w:lang w:val="en-US" w:eastAsia="it-IT"/>
        </w:rPr>
        <w:t>Hetze</w:t>
      </w:r>
      <w:proofErr w:type="spellEnd"/>
      <w:r w:rsidRPr="007A2F89">
        <w:rPr>
          <w:rFonts w:ascii="Times New Roman" w:eastAsia="Times New Roman" w:hAnsi="Times New Roman"/>
          <w:color w:val="222222"/>
          <w:sz w:val="24"/>
          <w:szCs w:val="24"/>
          <w:shd w:val="clear" w:color="auto" w:fill="FFFFFF"/>
          <w:lang w:val="en-US" w:eastAsia="it-IT"/>
        </w:rPr>
        <w:t xml:space="preserve">, K., Laws, N., </w:t>
      </w:r>
      <w:proofErr w:type="spellStart"/>
      <w:r w:rsidRPr="007A2F89">
        <w:rPr>
          <w:rFonts w:ascii="Times New Roman" w:eastAsia="Times New Roman" w:hAnsi="Times New Roman"/>
          <w:color w:val="222222"/>
          <w:sz w:val="24"/>
          <w:szCs w:val="24"/>
          <w:shd w:val="clear" w:color="auto" w:fill="FFFFFF"/>
          <w:lang w:val="en-US" w:eastAsia="it-IT"/>
        </w:rPr>
        <w:t>Lüdecke</w:t>
      </w:r>
      <w:proofErr w:type="spellEnd"/>
      <w:r w:rsidRPr="007A2F89">
        <w:rPr>
          <w:rFonts w:ascii="Times New Roman" w:eastAsia="Times New Roman" w:hAnsi="Times New Roman"/>
          <w:color w:val="222222"/>
          <w:sz w:val="24"/>
          <w:szCs w:val="24"/>
          <w:shd w:val="clear" w:color="auto" w:fill="FFFFFF"/>
          <w:lang w:val="en-US" w:eastAsia="it-IT"/>
        </w:rPr>
        <w:t xml:space="preserve">, G., &amp; </w:t>
      </w:r>
      <w:proofErr w:type="spellStart"/>
      <w:r w:rsidRPr="007A2F89">
        <w:rPr>
          <w:rFonts w:ascii="Times New Roman" w:eastAsia="Times New Roman" w:hAnsi="Times New Roman"/>
          <w:color w:val="222222"/>
          <w:sz w:val="24"/>
          <w:szCs w:val="24"/>
          <w:shd w:val="clear" w:color="auto" w:fill="FFFFFF"/>
          <w:lang w:val="en-US" w:eastAsia="it-IT"/>
        </w:rPr>
        <w:t>Rieckmann</w:t>
      </w:r>
      <w:proofErr w:type="spellEnd"/>
      <w:r w:rsidRPr="007A2F89">
        <w:rPr>
          <w:rFonts w:ascii="Times New Roman" w:eastAsia="Times New Roman" w:hAnsi="Times New Roman"/>
          <w:color w:val="222222"/>
          <w:sz w:val="24"/>
          <w:szCs w:val="24"/>
          <w:shd w:val="clear" w:color="auto" w:fill="FFFFFF"/>
          <w:lang w:val="en-US" w:eastAsia="it-IT"/>
        </w:rPr>
        <w:t>, M. (2013). Communication regarding sustainability: Conceptual perspectives and exploration of societal subsystems. </w:t>
      </w:r>
      <w:proofErr w:type="spellStart"/>
      <w:r w:rsidRPr="007A2F89">
        <w:rPr>
          <w:rFonts w:ascii="Times New Roman" w:eastAsia="Times New Roman" w:hAnsi="Times New Roman"/>
          <w:i/>
          <w:iCs/>
          <w:color w:val="222222"/>
          <w:sz w:val="24"/>
          <w:szCs w:val="24"/>
          <w:shd w:val="clear" w:color="auto" w:fill="FFFFFF"/>
          <w:lang w:eastAsia="it-IT"/>
        </w:rPr>
        <w:t>Sustainability</w:t>
      </w:r>
      <w:proofErr w:type="spellEnd"/>
      <w:r w:rsidRPr="007A2F89">
        <w:rPr>
          <w:rFonts w:ascii="Times New Roman" w:eastAsia="Times New Roman" w:hAnsi="Times New Roman"/>
          <w:color w:val="222222"/>
          <w:sz w:val="24"/>
          <w:szCs w:val="24"/>
          <w:shd w:val="clear" w:color="auto" w:fill="FFFFFF"/>
          <w:lang w:eastAsia="it-IT"/>
        </w:rPr>
        <w:t>, </w:t>
      </w:r>
      <w:r w:rsidRPr="007A2F89">
        <w:rPr>
          <w:rFonts w:ascii="Times New Roman" w:eastAsia="Times New Roman" w:hAnsi="Times New Roman"/>
          <w:i/>
          <w:iCs/>
          <w:color w:val="222222"/>
          <w:sz w:val="24"/>
          <w:szCs w:val="24"/>
          <w:shd w:val="clear" w:color="auto" w:fill="FFFFFF"/>
          <w:lang w:eastAsia="it-IT"/>
        </w:rPr>
        <w:t>5</w:t>
      </w:r>
      <w:r w:rsidRPr="007A2F89">
        <w:rPr>
          <w:rFonts w:ascii="Times New Roman" w:eastAsia="Times New Roman" w:hAnsi="Times New Roman"/>
          <w:color w:val="222222"/>
          <w:sz w:val="24"/>
          <w:szCs w:val="24"/>
          <w:shd w:val="clear" w:color="auto" w:fill="FFFFFF"/>
          <w:lang w:eastAsia="it-IT"/>
        </w:rPr>
        <w:t>(7), 2976-2990.</w:t>
      </w:r>
    </w:p>
    <w:p w14:paraId="5584CFDF" w14:textId="59D67D7C" w:rsidR="000E0A7C" w:rsidRPr="007A2F89" w:rsidRDefault="000E0A7C"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eastAsia="it-IT"/>
        </w:rPr>
      </w:pPr>
      <w:r w:rsidRPr="007A2F89">
        <w:rPr>
          <w:rFonts w:ascii="Times New Roman" w:eastAsia="Times New Roman" w:hAnsi="Times New Roman"/>
          <w:color w:val="222222"/>
          <w:sz w:val="24"/>
          <w:szCs w:val="24"/>
          <w:shd w:val="clear" w:color="auto" w:fill="FFFFFF"/>
          <w:lang w:eastAsia="it-IT"/>
        </w:rPr>
        <w:t>Paolone, G., &amp; D</w:t>
      </w:r>
      <w:r w:rsidR="007A2F89" w:rsidRPr="007A2F89">
        <w:rPr>
          <w:rFonts w:ascii="Times New Roman" w:eastAsia="Times New Roman" w:hAnsi="Times New Roman"/>
          <w:color w:val="222222"/>
          <w:sz w:val="24"/>
          <w:szCs w:val="24"/>
          <w:shd w:val="clear" w:color="auto" w:fill="FFFFFF"/>
          <w:lang w:eastAsia="it-IT"/>
        </w:rPr>
        <w:t>’</w:t>
      </w:r>
      <w:r w:rsidRPr="007A2F89">
        <w:rPr>
          <w:rFonts w:ascii="Times New Roman" w:eastAsia="Times New Roman" w:hAnsi="Times New Roman"/>
          <w:color w:val="222222"/>
          <w:sz w:val="24"/>
          <w:szCs w:val="24"/>
          <w:shd w:val="clear" w:color="auto" w:fill="FFFFFF"/>
          <w:lang w:eastAsia="it-IT"/>
        </w:rPr>
        <w:t>Amico, L. (2017). </w:t>
      </w:r>
      <w:r w:rsidRPr="007A2F89">
        <w:rPr>
          <w:rFonts w:ascii="Times New Roman" w:eastAsia="Times New Roman" w:hAnsi="Times New Roman"/>
          <w:i/>
          <w:iCs/>
          <w:color w:val="222222"/>
          <w:sz w:val="24"/>
          <w:szCs w:val="24"/>
          <w:shd w:val="clear" w:color="auto" w:fill="FFFFFF"/>
          <w:lang w:eastAsia="it-IT"/>
        </w:rPr>
        <w:t>I principi ei modelli de l</w:t>
      </w:r>
      <w:r w:rsidR="007A2F89" w:rsidRPr="007A2F89">
        <w:rPr>
          <w:rFonts w:ascii="Times New Roman" w:eastAsia="Times New Roman" w:hAnsi="Times New Roman"/>
          <w:i/>
          <w:iCs/>
          <w:color w:val="222222"/>
          <w:sz w:val="24"/>
          <w:szCs w:val="24"/>
          <w:shd w:val="clear" w:color="auto" w:fill="FFFFFF"/>
          <w:lang w:eastAsia="it-IT"/>
        </w:rPr>
        <w:t>’</w:t>
      </w:r>
      <w:r w:rsidRPr="007A2F89">
        <w:rPr>
          <w:rFonts w:ascii="Times New Roman" w:eastAsia="Times New Roman" w:hAnsi="Times New Roman"/>
          <w:i/>
          <w:iCs/>
          <w:color w:val="222222"/>
          <w:sz w:val="24"/>
          <w:szCs w:val="24"/>
          <w:shd w:val="clear" w:color="auto" w:fill="FFFFFF"/>
          <w:lang w:eastAsia="it-IT"/>
        </w:rPr>
        <w:t>Economia Aziendale</w:t>
      </w:r>
      <w:r w:rsidRPr="007A2F89">
        <w:rPr>
          <w:rFonts w:ascii="Times New Roman" w:eastAsia="Times New Roman" w:hAnsi="Times New Roman"/>
          <w:color w:val="222222"/>
          <w:sz w:val="24"/>
          <w:szCs w:val="24"/>
          <w:shd w:val="clear" w:color="auto" w:fill="FFFFFF"/>
          <w:lang w:eastAsia="it-IT"/>
        </w:rPr>
        <w:t>. Giappichelli Editore, Torino.</w:t>
      </w:r>
    </w:p>
    <w:p w14:paraId="2B7CE05E" w14:textId="77777777" w:rsidR="001118E5" w:rsidRPr="007A2F89" w:rsidRDefault="001118E5" w:rsidP="007A2F89">
      <w:pPr>
        <w:pStyle w:val="Testocommento"/>
        <w:numPr>
          <w:ilvl w:val="0"/>
          <w:numId w:val="12"/>
        </w:numPr>
        <w:ind w:left="567" w:hanging="567"/>
        <w:jc w:val="both"/>
        <w:rPr>
          <w:rFonts w:ascii="Times New Roman" w:eastAsiaTheme="minorHAnsi" w:hAnsi="Times New Roman"/>
          <w:sz w:val="24"/>
          <w:szCs w:val="24"/>
          <w:lang w:val="en-US"/>
        </w:rPr>
      </w:pPr>
      <w:proofErr w:type="spellStart"/>
      <w:r w:rsidRPr="007A2F89">
        <w:rPr>
          <w:rFonts w:ascii="Times New Roman" w:eastAsiaTheme="minorHAnsi" w:hAnsi="Times New Roman"/>
          <w:sz w:val="24"/>
          <w:szCs w:val="24"/>
        </w:rPr>
        <w:t>Platonova</w:t>
      </w:r>
      <w:proofErr w:type="spellEnd"/>
      <w:r w:rsidRPr="007A2F89">
        <w:rPr>
          <w:rFonts w:ascii="Times New Roman" w:eastAsiaTheme="minorHAnsi" w:hAnsi="Times New Roman"/>
          <w:sz w:val="24"/>
          <w:szCs w:val="24"/>
        </w:rPr>
        <w:t xml:space="preserve">, E., </w:t>
      </w:r>
      <w:proofErr w:type="spellStart"/>
      <w:r w:rsidRPr="007A2F89">
        <w:rPr>
          <w:rFonts w:ascii="Times New Roman" w:eastAsiaTheme="minorHAnsi" w:hAnsi="Times New Roman"/>
          <w:sz w:val="24"/>
          <w:szCs w:val="24"/>
        </w:rPr>
        <w:t>Asutay</w:t>
      </w:r>
      <w:proofErr w:type="spellEnd"/>
      <w:r w:rsidRPr="007A2F89">
        <w:rPr>
          <w:rFonts w:ascii="Times New Roman" w:eastAsiaTheme="minorHAnsi" w:hAnsi="Times New Roman"/>
          <w:sz w:val="24"/>
          <w:szCs w:val="24"/>
        </w:rPr>
        <w:t xml:space="preserve">, M., Dixon, R., &amp; Mohammad, S. (2018). </w:t>
      </w:r>
      <w:r w:rsidRPr="007A2F89">
        <w:rPr>
          <w:rFonts w:ascii="Times New Roman" w:eastAsiaTheme="minorHAnsi" w:hAnsi="Times New Roman"/>
          <w:sz w:val="24"/>
          <w:szCs w:val="24"/>
          <w:lang w:val="en-US"/>
        </w:rPr>
        <w:t>The impact of corporate social responsibility disclosure on financial performance: Evidence from the GCC Islamic banking sector. </w:t>
      </w:r>
      <w:r w:rsidRPr="007A2F89">
        <w:rPr>
          <w:rFonts w:ascii="Times New Roman" w:eastAsiaTheme="minorHAnsi" w:hAnsi="Times New Roman"/>
          <w:i/>
          <w:iCs/>
          <w:sz w:val="24"/>
          <w:szCs w:val="24"/>
          <w:lang w:val="en-US"/>
        </w:rPr>
        <w:t>Journal of Business Ethics</w:t>
      </w:r>
      <w:r w:rsidRPr="007A2F89">
        <w:rPr>
          <w:rFonts w:ascii="Times New Roman" w:eastAsiaTheme="minorHAnsi" w:hAnsi="Times New Roman"/>
          <w:sz w:val="24"/>
          <w:szCs w:val="24"/>
          <w:lang w:val="en-US"/>
        </w:rPr>
        <w:t>, </w:t>
      </w:r>
      <w:r w:rsidRPr="007A2F89">
        <w:rPr>
          <w:rFonts w:ascii="Times New Roman" w:eastAsiaTheme="minorHAnsi" w:hAnsi="Times New Roman"/>
          <w:i/>
          <w:iCs/>
          <w:sz w:val="24"/>
          <w:szCs w:val="24"/>
          <w:lang w:val="en-US"/>
        </w:rPr>
        <w:t>151</w:t>
      </w:r>
      <w:r w:rsidRPr="007A2F89">
        <w:rPr>
          <w:rFonts w:ascii="Times New Roman" w:eastAsiaTheme="minorHAnsi" w:hAnsi="Times New Roman"/>
          <w:sz w:val="24"/>
          <w:szCs w:val="24"/>
          <w:lang w:val="en-US"/>
        </w:rPr>
        <w:t>(2), 451-471.</w:t>
      </w:r>
    </w:p>
    <w:p w14:paraId="70B84DF6"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t xml:space="preserve">Porter, M. E., &amp; Kramer, M. R. (2012). Shared Value: Die Brücke von Corporate Social Responsibility </w:t>
      </w:r>
      <w:proofErr w:type="spellStart"/>
      <w:r w:rsidRPr="007A2F89">
        <w:rPr>
          <w:rFonts w:ascii="Times New Roman" w:eastAsia="Times New Roman" w:hAnsi="Times New Roman"/>
          <w:color w:val="222222"/>
          <w:shd w:val="clear" w:color="auto" w:fill="FFFFFF"/>
          <w:lang w:val="en-US" w:eastAsia="it-IT"/>
        </w:rPr>
        <w:t>zu</w:t>
      </w:r>
      <w:proofErr w:type="spellEnd"/>
      <w:r w:rsidRPr="007A2F89">
        <w:rPr>
          <w:rFonts w:ascii="Times New Roman" w:eastAsia="Times New Roman" w:hAnsi="Times New Roman"/>
          <w:color w:val="222222"/>
          <w:shd w:val="clear" w:color="auto" w:fill="FFFFFF"/>
          <w:lang w:val="en-US" w:eastAsia="it-IT"/>
        </w:rPr>
        <w:t xml:space="preserve"> Corporate Strategy. In </w:t>
      </w:r>
      <w:r w:rsidRPr="007A2F89">
        <w:rPr>
          <w:rFonts w:ascii="Times New Roman" w:eastAsia="Times New Roman" w:hAnsi="Times New Roman"/>
          <w:i/>
          <w:iCs/>
          <w:color w:val="222222"/>
          <w:lang w:val="en-US" w:eastAsia="it-IT"/>
        </w:rPr>
        <w:t>Corporate social responsibility</w:t>
      </w:r>
      <w:r w:rsidRPr="007A2F89">
        <w:rPr>
          <w:rFonts w:ascii="Times New Roman" w:eastAsia="Times New Roman" w:hAnsi="Times New Roman"/>
          <w:color w:val="222222"/>
          <w:shd w:val="clear" w:color="auto" w:fill="FFFFFF"/>
          <w:lang w:val="en-US" w:eastAsia="it-IT"/>
        </w:rPr>
        <w:t> (pp. 137-153). Springer, Berlin, Heidelberg.</w:t>
      </w:r>
    </w:p>
    <w:p w14:paraId="6993D212"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eastAsia="it-IT"/>
        </w:rPr>
      </w:pPr>
      <w:r w:rsidRPr="007A2F89">
        <w:rPr>
          <w:rFonts w:ascii="Times New Roman" w:eastAsia="Times New Roman" w:hAnsi="Times New Roman"/>
          <w:color w:val="222222"/>
          <w:sz w:val="24"/>
          <w:szCs w:val="24"/>
          <w:shd w:val="clear" w:color="auto" w:fill="FFFFFF"/>
          <w:lang w:val="en-US" w:eastAsia="it-IT"/>
        </w:rPr>
        <w:t xml:space="preserve">Reilly, A. H., &amp; </w:t>
      </w:r>
      <w:proofErr w:type="spellStart"/>
      <w:r w:rsidRPr="007A2F89">
        <w:rPr>
          <w:rFonts w:ascii="Times New Roman" w:eastAsia="Times New Roman" w:hAnsi="Times New Roman"/>
          <w:color w:val="222222"/>
          <w:sz w:val="24"/>
          <w:szCs w:val="24"/>
          <w:shd w:val="clear" w:color="auto" w:fill="FFFFFF"/>
          <w:lang w:val="en-US" w:eastAsia="it-IT"/>
        </w:rPr>
        <w:t>Larya</w:t>
      </w:r>
      <w:proofErr w:type="spellEnd"/>
      <w:r w:rsidRPr="007A2F89">
        <w:rPr>
          <w:rFonts w:ascii="Times New Roman" w:eastAsia="Times New Roman" w:hAnsi="Times New Roman"/>
          <w:color w:val="222222"/>
          <w:sz w:val="24"/>
          <w:szCs w:val="24"/>
          <w:shd w:val="clear" w:color="auto" w:fill="FFFFFF"/>
          <w:lang w:val="en-US" w:eastAsia="it-IT"/>
        </w:rPr>
        <w:t>, N. (2018). External communication about sustainability: Corporate social responsibility reports and social media activity. </w:t>
      </w:r>
      <w:proofErr w:type="spellStart"/>
      <w:r w:rsidRPr="007A2F89">
        <w:rPr>
          <w:rFonts w:ascii="Times New Roman" w:eastAsia="Times New Roman" w:hAnsi="Times New Roman"/>
          <w:i/>
          <w:iCs/>
          <w:color w:val="222222"/>
          <w:sz w:val="24"/>
          <w:szCs w:val="24"/>
          <w:shd w:val="clear" w:color="auto" w:fill="FFFFFF"/>
          <w:lang w:eastAsia="it-IT"/>
        </w:rPr>
        <w:t>Environmental</w:t>
      </w:r>
      <w:proofErr w:type="spellEnd"/>
      <w:r w:rsidRPr="007A2F89">
        <w:rPr>
          <w:rFonts w:ascii="Times New Roman" w:eastAsia="Times New Roman" w:hAnsi="Times New Roman"/>
          <w:i/>
          <w:iCs/>
          <w:color w:val="222222"/>
          <w:sz w:val="24"/>
          <w:szCs w:val="24"/>
          <w:shd w:val="clear" w:color="auto" w:fill="FFFFFF"/>
          <w:lang w:eastAsia="it-IT"/>
        </w:rPr>
        <w:t xml:space="preserve"> </w:t>
      </w:r>
      <w:proofErr w:type="spellStart"/>
      <w:r w:rsidRPr="007A2F89">
        <w:rPr>
          <w:rFonts w:ascii="Times New Roman" w:eastAsia="Times New Roman" w:hAnsi="Times New Roman"/>
          <w:i/>
          <w:iCs/>
          <w:color w:val="222222"/>
          <w:sz w:val="24"/>
          <w:szCs w:val="24"/>
          <w:shd w:val="clear" w:color="auto" w:fill="FFFFFF"/>
          <w:lang w:eastAsia="it-IT"/>
        </w:rPr>
        <w:t>Communication</w:t>
      </w:r>
      <w:proofErr w:type="spellEnd"/>
      <w:r w:rsidRPr="007A2F89">
        <w:rPr>
          <w:rFonts w:ascii="Times New Roman" w:eastAsia="Times New Roman" w:hAnsi="Times New Roman"/>
          <w:color w:val="222222"/>
          <w:sz w:val="24"/>
          <w:szCs w:val="24"/>
          <w:shd w:val="clear" w:color="auto" w:fill="FFFFFF"/>
          <w:lang w:eastAsia="it-IT"/>
        </w:rPr>
        <w:t>, </w:t>
      </w:r>
      <w:r w:rsidRPr="007A2F89">
        <w:rPr>
          <w:rFonts w:ascii="Times New Roman" w:eastAsia="Times New Roman" w:hAnsi="Times New Roman"/>
          <w:i/>
          <w:iCs/>
          <w:color w:val="222222"/>
          <w:sz w:val="24"/>
          <w:szCs w:val="24"/>
          <w:shd w:val="clear" w:color="auto" w:fill="FFFFFF"/>
          <w:lang w:eastAsia="it-IT"/>
        </w:rPr>
        <w:t>12</w:t>
      </w:r>
      <w:r w:rsidRPr="007A2F89">
        <w:rPr>
          <w:rFonts w:ascii="Times New Roman" w:eastAsia="Times New Roman" w:hAnsi="Times New Roman"/>
          <w:color w:val="222222"/>
          <w:sz w:val="24"/>
          <w:szCs w:val="24"/>
          <w:shd w:val="clear" w:color="auto" w:fill="FFFFFF"/>
          <w:lang w:eastAsia="it-IT"/>
        </w:rPr>
        <w:t>(5), 621-637.</w:t>
      </w:r>
    </w:p>
    <w:p w14:paraId="66EEF88B" w14:textId="38F63051" w:rsidR="001118E5" w:rsidRPr="007A2F89" w:rsidRDefault="001118E5"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color w:val="222222"/>
          <w:shd w:val="clear" w:color="auto" w:fill="FFFFFF"/>
          <w:lang w:eastAsia="it-IT"/>
        </w:rPr>
        <w:t>Ruisi, M. (2010). </w:t>
      </w:r>
      <w:r w:rsidRPr="007A2F89">
        <w:rPr>
          <w:rFonts w:ascii="Times New Roman" w:eastAsia="Times New Roman" w:hAnsi="Times New Roman"/>
          <w:i/>
          <w:iCs/>
          <w:color w:val="222222"/>
          <w:lang w:eastAsia="it-IT"/>
        </w:rPr>
        <w:t>Antropologia ed etica aziendale. Note in tema di trascendentali e virtù imprenditoriali</w:t>
      </w:r>
      <w:r w:rsidRPr="007A2F89">
        <w:rPr>
          <w:rFonts w:ascii="Times New Roman" w:eastAsia="Times New Roman" w:hAnsi="Times New Roman"/>
          <w:color w:val="222222"/>
          <w:shd w:val="clear" w:color="auto" w:fill="FFFFFF"/>
          <w:lang w:eastAsia="it-IT"/>
        </w:rPr>
        <w:t> (Vol. 48). Giuffrè Editore</w:t>
      </w:r>
      <w:r w:rsidR="003A0013" w:rsidRPr="007A2F89">
        <w:rPr>
          <w:rFonts w:ascii="Times New Roman" w:eastAsia="Times New Roman" w:hAnsi="Times New Roman"/>
          <w:color w:val="222222"/>
          <w:shd w:val="clear" w:color="auto" w:fill="FFFFFF"/>
          <w:lang w:eastAsia="it-IT"/>
        </w:rPr>
        <w:t>, Milano.</w:t>
      </w:r>
    </w:p>
    <w:p w14:paraId="78C1DDEF"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GB" w:eastAsia="it-IT"/>
        </w:rPr>
      </w:pPr>
      <w:r w:rsidRPr="007A2F89">
        <w:rPr>
          <w:rFonts w:ascii="Times New Roman" w:eastAsia="Times New Roman" w:hAnsi="Times New Roman"/>
          <w:color w:val="222222"/>
          <w:shd w:val="clear" w:color="auto" w:fill="FFFFFF"/>
          <w:lang w:eastAsia="it-IT"/>
        </w:rPr>
        <w:t>Rusconi, G. (2018). Business Ethics ed etica aziendale. </w:t>
      </w:r>
      <w:r w:rsidRPr="007A2F89">
        <w:rPr>
          <w:rFonts w:ascii="Times New Roman" w:eastAsia="Times New Roman" w:hAnsi="Times New Roman"/>
          <w:i/>
          <w:iCs/>
          <w:color w:val="222222"/>
          <w:lang w:val="en-GB" w:eastAsia="it-IT"/>
        </w:rPr>
        <w:t>Impresa Progetto-Electronic Journal of Management</w:t>
      </w:r>
      <w:r w:rsidRPr="007A2F89">
        <w:rPr>
          <w:rFonts w:ascii="Times New Roman" w:eastAsia="Times New Roman" w:hAnsi="Times New Roman"/>
          <w:color w:val="222222"/>
          <w:shd w:val="clear" w:color="auto" w:fill="FFFFFF"/>
          <w:lang w:val="en-GB" w:eastAsia="it-IT"/>
        </w:rPr>
        <w:t>, (3).</w:t>
      </w:r>
    </w:p>
    <w:p w14:paraId="406C1A2D" w14:textId="77777777" w:rsidR="001118E5" w:rsidRPr="007A2F89" w:rsidRDefault="001118E5" w:rsidP="007A2F89">
      <w:pPr>
        <w:pStyle w:val="Testocommento"/>
        <w:numPr>
          <w:ilvl w:val="0"/>
          <w:numId w:val="12"/>
        </w:numPr>
        <w:ind w:left="567" w:hanging="567"/>
        <w:jc w:val="both"/>
        <w:rPr>
          <w:rFonts w:ascii="Times New Roman" w:eastAsia="Times New Roman" w:hAnsi="Times New Roman"/>
          <w:color w:val="222222"/>
          <w:sz w:val="24"/>
          <w:szCs w:val="24"/>
          <w:shd w:val="clear" w:color="auto" w:fill="FFFFFF"/>
          <w:lang w:val="en-US" w:eastAsia="it-IT"/>
        </w:rPr>
      </w:pPr>
      <w:r w:rsidRPr="007A2F89">
        <w:rPr>
          <w:rFonts w:ascii="Times New Roman" w:eastAsia="Times New Roman" w:hAnsi="Times New Roman"/>
          <w:color w:val="222222"/>
          <w:sz w:val="24"/>
          <w:szCs w:val="24"/>
          <w:shd w:val="clear" w:color="auto" w:fill="FFFFFF"/>
          <w:lang w:val="en-GB" w:eastAsia="it-IT"/>
        </w:rPr>
        <w:t xml:space="preserve">Shields, J. F., &amp; </w:t>
      </w:r>
      <w:proofErr w:type="spellStart"/>
      <w:r w:rsidRPr="007A2F89">
        <w:rPr>
          <w:rFonts w:ascii="Times New Roman" w:eastAsia="Times New Roman" w:hAnsi="Times New Roman"/>
          <w:color w:val="222222"/>
          <w:sz w:val="24"/>
          <w:szCs w:val="24"/>
          <w:shd w:val="clear" w:color="auto" w:fill="FFFFFF"/>
          <w:lang w:val="en-GB" w:eastAsia="it-IT"/>
        </w:rPr>
        <w:t>Shelleman</w:t>
      </w:r>
      <w:proofErr w:type="spellEnd"/>
      <w:r w:rsidRPr="007A2F89">
        <w:rPr>
          <w:rFonts w:ascii="Times New Roman" w:eastAsia="Times New Roman" w:hAnsi="Times New Roman"/>
          <w:color w:val="222222"/>
          <w:sz w:val="24"/>
          <w:szCs w:val="24"/>
          <w:shd w:val="clear" w:color="auto" w:fill="FFFFFF"/>
          <w:lang w:val="en-GB" w:eastAsia="it-IT"/>
        </w:rPr>
        <w:t xml:space="preserve">, J. M. (2017). </w:t>
      </w:r>
      <w:r w:rsidRPr="007A2F89">
        <w:rPr>
          <w:rFonts w:ascii="Times New Roman" w:eastAsia="Times New Roman" w:hAnsi="Times New Roman"/>
          <w:color w:val="222222"/>
          <w:sz w:val="24"/>
          <w:szCs w:val="24"/>
          <w:shd w:val="clear" w:color="auto" w:fill="FFFFFF"/>
          <w:lang w:val="en-US" w:eastAsia="it-IT"/>
        </w:rPr>
        <w:t>A method to launch sustainability reporting in SMEs: The B Corp Impact Assessment framework. </w:t>
      </w:r>
      <w:r w:rsidRPr="007A2F89">
        <w:rPr>
          <w:rFonts w:ascii="Times New Roman" w:eastAsia="Times New Roman" w:hAnsi="Times New Roman"/>
          <w:i/>
          <w:iCs/>
          <w:color w:val="222222"/>
          <w:sz w:val="24"/>
          <w:szCs w:val="24"/>
          <w:shd w:val="clear" w:color="auto" w:fill="FFFFFF"/>
          <w:lang w:val="en-US" w:eastAsia="it-IT"/>
        </w:rPr>
        <w:t>Journal of Strategic Innovation and Sustainability</w:t>
      </w:r>
      <w:r w:rsidRPr="007A2F89">
        <w:rPr>
          <w:rFonts w:ascii="Times New Roman" w:eastAsia="Times New Roman" w:hAnsi="Times New Roman"/>
          <w:color w:val="222222"/>
          <w:sz w:val="24"/>
          <w:szCs w:val="24"/>
          <w:shd w:val="clear" w:color="auto" w:fill="FFFFFF"/>
          <w:lang w:val="en-US" w:eastAsia="it-IT"/>
        </w:rPr>
        <w:t>, </w:t>
      </w:r>
      <w:r w:rsidRPr="007A2F89">
        <w:rPr>
          <w:rFonts w:ascii="Times New Roman" w:eastAsia="Times New Roman" w:hAnsi="Times New Roman"/>
          <w:i/>
          <w:iCs/>
          <w:color w:val="222222"/>
          <w:sz w:val="24"/>
          <w:szCs w:val="24"/>
          <w:shd w:val="clear" w:color="auto" w:fill="FFFFFF"/>
          <w:lang w:val="en-US" w:eastAsia="it-IT"/>
        </w:rPr>
        <w:t>12</w:t>
      </w:r>
      <w:r w:rsidRPr="007A2F89">
        <w:rPr>
          <w:rFonts w:ascii="Times New Roman" w:eastAsia="Times New Roman" w:hAnsi="Times New Roman"/>
          <w:color w:val="222222"/>
          <w:sz w:val="24"/>
          <w:szCs w:val="24"/>
          <w:shd w:val="clear" w:color="auto" w:fill="FFFFFF"/>
          <w:lang w:val="en-US" w:eastAsia="it-IT"/>
        </w:rPr>
        <w:t>(2), 10-19.</w:t>
      </w:r>
    </w:p>
    <w:p w14:paraId="0E351009"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shd w:val="clear" w:color="auto" w:fill="FFFFFF"/>
          <w:lang w:val="en-US" w:eastAsia="it-IT"/>
        </w:rPr>
      </w:pPr>
      <w:r w:rsidRPr="007A2F89">
        <w:rPr>
          <w:rFonts w:ascii="Times New Roman" w:eastAsia="Times New Roman" w:hAnsi="Times New Roman"/>
          <w:shd w:val="clear" w:color="auto" w:fill="FFFFFF"/>
          <w:lang w:val="en-US" w:eastAsia="it-IT"/>
        </w:rPr>
        <w:t xml:space="preserve">Shields, J., &amp; </w:t>
      </w:r>
      <w:proofErr w:type="spellStart"/>
      <w:r w:rsidRPr="007A2F89">
        <w:rPr>
          <w:rFonts w:ascii="Times New Roman" w:eastAsia="Times New Roman" w:hAnsi="Times New Roman"/>
          <w:shd w:val="clear" w:color="auto" w:fill="FFFFFF"/>
          <w:lang w:val="en-US" w:eastAsia="it-IT"/>
        </w:rPr>
        <w:t>Shelleman</w:t>
      </w:r>
      <w:proofErr w:type="spellEnd"/>
      <w:r w:rsidRPr="007A2F89">
        <w:rPr>
          <w:rFonts w:ascii="Times New Roman" w:eastAsia="Times New Roman" w:hAnsi="Times New Roman"/>
          <w:shd w:val="clear" w:color="auto" w:fill="FFFFFF"/>
          <w:lang w:val="en-US" w:eastAsia="it-IT"/>
        </w:rPr>
        <w:t>, J. M. (2015). Integrating Sustainability into SME Strategy. </w:t>
      </w:r>
      <w:r w:rsidRPr="007A2F89">
        <w:rPr>
          <w:rFonts w:ascii="Times New Roman" w:eastAsia="Times New Roman" w:hAnsi="Times New Roman"/>
          <w:i/>
          <w:iCs/>
          <w:lang w:val="en-US" w:eastAsia="it-IT"/>
        </w:rPr>
        <w:t>Journal of Small Business Strategy</w:t>
      </w:r>
      <w:r w:rsidRPr="007A2F89">
        <w:rPr>
          <w:rFonts w:ascii="Times New Roman" w:eastAsia="Times New Roman" w:hAnsi="Times New Roman"/>
          <w:shd w:val="clear" w:color="auto" w:fill="FFFFFF"/>
          <w:lang w:val="en-US" w:eastAsia="it-IT"/>
        </w:rPr>
        <w:t>, </w:t>
      </w:r>
      <w:r w:rsidRPr="007A2F89">
        <w:rPr>
          <w:rFonts w:ascii="Times New Roman" w:eastAsia="Times New Roman" w:hAnsi="Times New Roman"/>
          <w:i/>
          <w:iCs/>
          <w:lang w:val="en-US" w:eastAsia="it-IT"/>
        </w:rPr>
        <w:t>25</w:t>
      </w:r>
      <w:r w:rsidRPr="007A2F89">
        <w:rPr>
          <w:rFonts w:ascii="Times New Roman" w:eastAsia="Times New Roman" w:hAnsi="Times New Roman"/>
          <w:shd w:val="clear" w:color="auto" w:fill="FFFFFF"/>
          <w:lang w:val="en-US" w:eastAsia="it-IT"/>
        </w:rPr>
        <w:t>(2), 59-78. </w:t>
      </w:r>
    </w:p>
    <w:p w14:paraId="24B4DB06"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lang w:val="en-US" w:eastAsia="it-IT"/>
        </w:rPr>
        <w:t>Spence, M. (2002). Signaling in retrospect and the informational structure of markets. </w:t>
      </w:r>
      <w:r w:rsidRPr="007A2F89">
        <w:rPr>
          <w:rFonts w:ascii="Times New Roman" w:eastAsia="Times New Roman" w:hAnsi="Times New Roman"/>
          <w:i/>
          <w:iCs/>
          <w:lang w:val="en-US" w:eastAsia="it-IT"/>
        </w:rPr>
        <w:t>American Economic Review</w:t>
      </w:r>
      <w:r w:rsidRPr="007A2F89">
        <w:rPr>
          <w:rFonts w:ascii="Times New Roman" w:eastAsia="Times New Roman" w:hAnsi="Times New Roman"/>
          <w:lang w:val="en-US" w:eastAsia="it-IT"/>
        </w:rPr>
        <w:t>, </w:t>
      </w:r>
      <w:r w:rsidRPr="007A2F89">
        <w:rPr>
          <w:rFonts w:ascii="Times New Roman" w:eastAsia="Times New Roman" w:hAnsi="Times New Roman"/>
          <w:i/>
          <w:iCs/>
          <w:lang w:val="en-US" w:eastAsia="it-IT"/>
        </w:rPr>
        <w:t>92</w:t>
      </w:r>
      <w:r w:rsidRPr="007A2F89">
        <w:rPr>
          <w:rFonts w:ascii="Times New Roman" w:eastAsia="Times New Roman" w:hAnsi="Times New Roman"/>
          <w:lang w:val="en-US" w:eastAsia="it-IT"/>
        </w:rPr>
        <w:t>(3), 434-459.</w:t>
      </w:r>
    </w:p>
    <w:p w14:paraId="49434008"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lang w:val="en-US" w:eastAsia="it-IT"/>
        </w:rPr>
        <w:t>Stiglitz, J. E. (2002). Information and the Change in the Paradigm in Economics. </w:t>
      </w:r>
      <w:r w:rsidRPr="007A2F89">
        <w:rPr>
          <w:rFonts w:ascii="Times New Roman" w:eastAsia="Times New Roman" w:hAnsi="Times New Roman"/>
          <w:i/>
          <w:iCs/>
          <w:lang w:val="en-US" w:eastAsia="it-IT"/>
        </w:rPr>
        <w:t>American economic review</w:t>
      </w:r>
      <w:r w:rsidRPr="007A2F89">
        <w:rPr>
          <w:rFonts w:ascii="Times New Roman" w:eastAsia="Times New Roman" w:hAnsi="Times New Roman"/>
          <w:lang w:val="en-US" w:eastAsia="it-IT"/>
        </w:rPr>
        <w:t>, </w:t>
      </w:r>
      <w:r w:rsidRPr="007A2F89">
        <w:rPr>
          <w:rFonts w:ascii="Times New Roman" w:eastAsia="Times New Roman" w:hAnsi="Times New Roman"/>
          <w:i/>
          <w:iCs/>
          <w:lang w:val="en-US" w:eastAsia="it-IT"/>
        </w:rPr>
        <w:t>92</w:t>
      </w:r>
      <w:r w:rsidRPr="007A2F89">
        <w:rPr>
          <w:rFonts w:ascii="Times New Roman" w:eastAsia="Times New Roman" w:hAnsi="Times New Roman"/>
          <w:lang w:val="en-US" w:eastAsia="it-IT"/>
        </w:rPr>
        <w:t>(3), 460-501.</w:t>
      </w:r>
    </w:p>
    <w:p w14:paraId="33FC5E5B"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color w:val="222222"/>
          <w:shd w:val="clear" w:color="auto" w:fill="FFFFFF"/>
          <w:lang w:val="en-US" w:eastAsia="it-IT"/>
        </w:rPr>
      </w:pPr>
      <w:r w:rsidRPr="007A2F89">
        <w:rPr>
          <w:rFonts w:ascii="Times New Roman" w:eastAsia="Times New Roman" w:hAnsi="Times New Roman"/>
          <w:color w:val="222222"/>
          <w:shd w:val="clear" w:color="auto" w:fill="FFFFFF"/>
          <w:lang w:val="en-US" w:eastAsia="it-IT"/>
        </w:rPr>
        <w:t>Taj, S. A. (2016). Application of signaling theory in management research: Addressing major gaps in theory. </w:t>
      </w:r>
      <w:r w:rsidRPr="007A2F89">
        <w:rPr>
          <w:rFonts w:ascii="Times New Roman" w:eastAsia="Times New Roman" w:hAnsi="Times New Roman"/>
          <w:i/>
          <w:iCs/>
          <w:color w:val="222222"/>
          <w:lang w:val="en-US" w:eastAsia="it-IT"/>
        </w:rPr>
        <w:t>European Management Journal</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34</w:t>
      </w:r>
      <w:r w:rsidRPr="007A2F89">
        <w:rPr>
          <w:rFonts w:ascii="Times New Roman" w:eastAsia="Times New Roman" w:hAnsi="Times New Roman"/>
          <w:color w:val="222222"/>
          <w:shd w:val="clear" w:color="auto" w:fill="FFFFFF"/>
          <w:lang w:val="en-US" w:eastAsia="it-IT"/>
        </w:rPr>
        <w:t>(4), 338-348.</w:t>
      </w:r>
    </w:p>
    <w:p w14:paraId="73BC8EAA"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proofErr w:type="spellStart"/>
      <w:r w:rsidRPr="007A2F89">
        <w:rPr>
          <w:rFonts w:ascii="Times New Roman" w:eastAsia="Times New Roman" w:hAnsi="Times New Roman"/>
          <w:color w:val="222222"/>
          <w:shd w:val="clear" w:color="auto" w:fill="FFFFFF"/>
          <w:lang w:eastAsia="it-IT"/>
        </w:rPr>
        <w:t>Tarí</w:t>
      </w:r>
      <w:proofErr w:type="spellEnd"/>
      <w:r w:rsidRPr="007A2F89">
        <w:rPr>
          <w:rFonts w:ascii="Times New Roman" w:eastAsia="Times New Roman" w:hAnsi="Times New Roman"/>
          <w:color w:val="222222"/>
          <w:shd w:val="clear" w:color="auto" w:fill="FFFFFF"/>
          <w:lang w:eastAsia="it-IT"/>
        </w:rPr>
        <w:t>, J. J., Molina-</w:t>
      </w:r>
      <w:proofErr w:type="spellStart"/>
      <w:r w:rsidRPr="007A2F89">
        <w:rPr>
          <w:rFonts w:ascii="Times New Roman" w:eastAsia="Times New Roman" w:hAnsi="Times New Roman"/>
          <w:color w:val="222222"/>
          <w:shd w:val="clear" w:color="auto" w:fill="FFFFFF"/>
          <w:lang w:eastAsia="it-IT"/>
        </w:rPr>
        <w:t>Azorín</w:t>
      </w:r>
      <w:proofErr w:type="spellEnd"/>
      <w:r w:rsidRPr="007A2F89">
        <w:rPr>
          <w:rFonts w:ascii="Times New Roman" w:eastAsia="Times New Roman" w:hAnsi="Times New Roman"/>
          <w:color w:val="222222"/>
          <w:shd w:val="clear" w:color="auto" w:fill="FFFFFF"/>
          <w:lang w:eastAsia="it-IT"/>
        </w:rPr>
        <w:t xml:space="preserve">, J. F., &amp; </w:t>
      </w:r>
      <w:proofErr w:type="spellStart"/>
      <w:r w:rsidRPr="007A2F89">
        <w:rPr>
          <w:rFonts w:ascii="Times New Roman" w:eastAsia="Times New Roman" w:hAnsi="Times New Roman"/>
          <w:color w:val="222222"/>
          <w:shd w:val="clear" w:color="auto" w:fill="FFFFFF"/>
          <w:lang w:eastAsia="it-IT"/>
        </w:rPr>
        <w:t>Heras</w:t>
      </w:r>
      <w:proofErr w:type="spellEnd"/>
      <w:r w:rsidRPr="007A2F89">
        <w:rPr>
          <w:rFonts w:ascii="Times New Roman" w:eastAsia="Times New Roman" w:hAnsi="Times New Roman"/>
          <w:color w:val="222222"/>
          <w:shd w:val="clear" w:color="auto" w:fill="FFFFFF"/>
          <w:lang w:eastAsia="it-IT"/>
        </w:rPr>
        <w:t xml:space="preserve">, I. (2012). </w:t>
      </w:r>
      <w:r w:rsidRPr="007A2F89">
        <w:rPr>
          <w:rFonts w:ascii="Times New Roman" w:eastAsia="Times New Roman" w:hAnsi="Times New Roman"/>
          <w:color w:val="222222"/>
          <w:shd w:val="clear" w:color="auto" w:fill="FFFFFF"/>
          <w:lang w:val="en-US" w:eastAsia="it-IT"/>
        </w:rPr>
        <w:t>Benefits of the ISO 9001 and ISO 14001 standards: A literature review. </w:t>
      </w:r>
      <w:r w:rsidRPr="007A2F89">
        <w:rPr>
          <w:rFonts w:ascii="Times New Roman" w:eastAsia="Times New Roman" w:hAnsi="Times New Roman"/>
          <w:i/>
          <w:iCs/>
          <w:color w:val="222222"/>
          <w:lang w:val="en-US" w:eastAsia="it-IT"/>
        </w:rPr>
        <w:t>Journal of Industrial Engineering and Management (JIEM)</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5</w:t>
      </w:r>
      <w:r w:rsidRPr="007A2F89">
        <w:rPr>
          <w:rFonts w:ascii="Times New Roman" w:eastAsia="Times New Roman" w:hAnsi="Times New Roman"/>
          <w:color w:val="222222"/>
          <w:shd w:val="clear" w:color="auto" w:fill="FFFFFF"/>
          <w:lang w:val="en-US" w:eastAsia="it-IT"/>
        </w:rPr>
        <w:t>(2), 297-322.</w:t>
      </w:r>
    </w:p>
    <w:p w14:paraId="23BA0626" w14:textId="497ED007" w:rsidR="001118E5" w:rsidRPr="007A2F89" w:rsidRDefault="001118E5" w:rsidP="007A2F89">
      <w:pPr>
        <w:pStyle w:val="Paragrafoelenco"/>
        <w:numPr>
          <w:ilvl w:val="0"/>
          <w:numId w:val="12"/>
        </w:numPr>
        <w:ind w:left="567" w:hanging="567"/>
        <w:jc w:val="both"/>
        <w:rPr>
          <w:rFonts w:ascii="Times New Roman" w:eastAsia="Times New Roman" w:hAnsi="Times New Roman"/>
          <w:lang w:eastAsia="it-IT"/>
        </w:rPr>
      </w:pPr>
      <w:r w:rsidRPr="007A2F89">
        <w:rPr>
          <w:rFonts w:ascii="Times New Roman" w:eastAsia="Times New Roman" w:hAnsi="Times New Roman"/>
          <w:color w:val="222222"/>
          <w:shd w:val="clear" w:color="auto" w:fill="FFFFFF"/>
          <w:lang w:eastAsia="it-IT"/>
        </w:rPr>
        <w:t>Tarquinio, L., &amp; Posadas, S. C. (2020). La responsabilità sociale nelle piccole e medie imprese.</w:t>
      </w:r>
      <w:r w:rsidR="0084433D" w:rsidRPr="007A2F89">
        <w:rPr>
          <w:rFonts w:ascii="Times New Roman" w:eastAsia="Times New Roman" w:hAnsi="Times New Roman"/>
          <w:color w:val="222222"/>
          <w:shd w:val="clear" w:color="auto" w:fill="FFFFFF"/>
          <w:lang w:eastAsia="it-IT"/>
        </w:rPr>
        <w:t xml:space="preserve"> </w:t>
      </w:r>
      <w:r w:rsidRPr="007A2F89">
        <w:rPr>
          <w:rFonts w:ascii="Times New Roman" w:eastAsia="Times New Roman" w:hAnsi="Times New Roman"/>
          <w:color w:val="222222"/>
          <w:shd w:val="clear" w:color="auto" w:fill="FFFFFF"/>
          <w:lang w:eastAsia="it-IT"/>
        </w:rPr>
        <w:t>«Conta quello che si fa non quello che si dice». </w:t>
      </w:r>
      <w:r w:rsidRPr="007A2F89">
        <w:rPr>
          <w:rFonts w:ascii="Times New Roman" w:eastAsia="Times New Roman" w:hAnsi="Times New Roman"/>
          <w:i/>
          <w:iCs/>
          <w:color w:val="222222"/>
          <w:lang w:eastAsia="it-IT"/>
        </w:rPr>
        <w:t>Quaderni di ricerca sull</w:t>
      </w:r>
      <w:r w:rsidR="007A2F89" w:rsidRPr="007A2F89">
        <w:rPr>
          <w:rFonts w:ascii="Times New Roman" w:eastAsia="Times New Roman" w:hAnsi="Times New Roman"/>
          <w:i/>
          <w:iCs/>
          <w:color w:val="222222"/>
          <w:lang w:eastAsia="it-IT"/>
        </w:rPr>
        <w:t>’</w:t>
      </w:r>
      <w:r w:rsidRPr="007A2F89">
        <w:rPr>
          <w:rFonts w:ascii="Times New Roman" w:eastAsia="Times New Roman" w:hAnsi="Times New Roman"/>
          <w:i/>
          <w:iCs/>
          <w:color w:val="222222"/>
          <w:lang w:eastAsia="it-IT"/>
        </w:rPr>
        <w:t>artigianato</w:t>
      </w:r>
      <w:r w:rsidRPr="007A2F89">
        <w:rPr>
          <w:rFonts w:ascii="Times New Roman" w:eastAsia="Times New Roman" w:hAnsi="Times New Roman"/>
          <w:color w:val="222222"/>
          <w:shd w:val="clear" w:color="auto" w:fill="FFFFFF"/>
          <w:lang w:eastAsia="it-IT"/>
        </w:rPr>
        <w:t>, </w:t>
      </w:r>
      <w:r w:rsidRPr="007A2F89">
        <w:rPr>
          <w:rFonts w:ascii="Times New Roman" w:eastAsia="Times New Roman" w:hAnsi="Times New Roman"/>
          <w:i/>
          <w:iCs/>
          <w:color w:val="222222"/>
          <w:lang w:eastAsia="it-IT"/>
        </w:rPr>
        <w:t>8</w:t>
      </w:r>
      <w:r w:rsidRPr="007A2F89">
        <w:rPr>
          <w:rFonts w:ascii="Times New Roman" w:eastAsia="Times New Roman" w:hAnsi="Times New Roman"/>
          <w:color w:val="222222"/>
          <w:shd w:val="clear" w:color="auto" w:fill="FFFFFF"/>
          <w:lang w:eastAsia="it-IT"/>
        </w:rPr>
        <w:t>(2), 249-272.</w:t>
      </w:r>
    </w:p>
    <w:p w14:paraId="328A92FB"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eastAsia="it-IT"/>
        </w:rPr>
        <w:t xml:space="preserve">Todaro, N. M., </w:t>
      </w:r>
      <w:proofErr w:type="spellStart"/>
      <w:r w:rsidRPr="007A2F89">
        <w:rPr>
          <w:rFonts w:ascii="Times New Roman" w:eastAsia="Times New Roman" w:hAnsi="Times New Roman"/>
          <w:color w:val="222222"/>
          <w:shd w:val="clear" w:color="auto" w:fill="FFFFFF"/>
          <w:lang w:eastAsia="it-IT"/>
        </w:rPr>
        <w:t>Daddi</w:t>
      </w:r>
      <w:proofErr w:type="spellEnd"/>
      <w:r w:rsidRPr="007A2F89">
        <w:rPr>
          <w:rFonts w:ascii="Times New Roman" w:eastAsia="Times New Roman" w:hAnsi="Times New Roman"/>
          <w:color w:val="222222"/>
          <w:shd w:val="clear" w:color="auto" w:fill="FFFFFF"/>
          <w:lang w:eastAsia="it-IT"/>
        </w:rPr>
        <w:t xml:space="preserve">, T., Testa, F., &amp; </w:t>
      </w:r>
      <w:proofErr w:type="spellStart"/>
      <w:r w:rsidRPr="007A2F89">
        <w:rPr>
          <w:rFonts w:ascii="Times New Roman" w:eastAsia="Times New Roman" w:hAnsi="Times New Roman"/>
          <w:color w:val="222222"/>
          <w:shd w:val="clear" w:color="auto" w:fill="FFFFFF"/>
          <w:lang w:eastAsia="it-IT"/>
        </w:rPr>
        <w:t>Iraldo</w:t>
      </w:r>
      <w:proofErr w:type="spellEnd"/>
      <w:r w:rsidRPr="007A2F89">
        <w:rPr>
          <w:rFonts w:ascii="Times New Roman" w:eastAsia="Times New Roman" w:hAnsi="Times New Roman"/>
          <w:color w:val="222222"/>
          <w:shd w:val="clear" w:color="auto" w:fill="FFFFFF"/>
          <w:lang w:eastAsia="it-IT"/>
        </w:rPr>
        <w:t xml:space="preserve">, F. (2020). </w:t>
      </w:r>
      <w:r w:rsidRPr="007A2F89">
        <w:rPr>
          <w:rFonts w:ascii="Times New Roman" w:eastAsia="Times New Roman" w:hAnsi="Times New Roman"/>
          <w:color w:val="222222"/>
          <w:shd w:val="clear" w:color="auto" w:fill="FFFFFF"/>
          <w:lang w:val="en-US" w:eastAsia="it-IT"/>
        </w:rPr>
        <w:t>Organization and management theories in environmental management systems research: A systematic literature review. </w:t>
      </w:r>
      <w:r w:rsidRPr="007A2F89">
        <w:rPr>
          <w:rFonts w:ascii="Times New Roman" w:eastAsia="Times New Roman" w:hAnsi="Times New Roman"/>
          <w:i/>
          <w:iCs/>
          <w:color w:val="222222"/>
          <w:lang w:val="en-US" w:eastAsia="it-IT"/>
        </w:rPr>
        <w:t>Business Strategy &amp; Development</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3</w:t>
      </w:r>
      <w:r w:rsidRPr="007A2F89">
        <w:rPr>
          <w:rFonts w:ascii="Times New Roman" w:eastAsia="Times New Roman" w:hAnsi="Times New Roman"/>
          <w:color w:val="222222"/>
          <w:shd w:val="clear" w:color="auto" w:fill="FFFFFF"/>
          <w:lang w:val="en-US" w:eastAsia="it-IT"/>
        </w:rPr>
        <w:t>(1), 39-54.</w:t>
      </w:r>
    </w:p>
    <w:p w14:paraId="09358359" w14:textId="77777777" w:rsidR="001118E5" w:rsidRPr="007A2F89" w:rsidRDefault="001118E5" w:rsidP="007A2F89">
      <w:pPr>
        <w:pStyle w:val="Paragrafoelenco"/>
        <w:numPr>
          <w:ilvl w:val="0"/>
          <w:numId w:val="12"/>
        </w:numPr>
        <w:ind w:left="567" w:hanging="567"/>
        <w:jc w:val="both"/>
        <w:rPr>
          <w:rFonts w:ascii="Times New Roman" w:hAnsi="Times New Roman"/>
          <w:lang w:val="en-US"/>
        </w:rPr>
      </w:pPr>
      <w:r w:rsidRPr="007A2F89">
        <w:rPr>
          <w:rFonts w:ascii="Times New Roman" w:hAnsi="Times New Roman"/>
          <w:lang w:val="en-US"/>
        </w:rPr>
        <w:t>Wang, F., Lam, M., &amp; Varshney, S. (2016). Corporate social responsibility: Motivation, pressures, and barriers. </w:t>
      </w:r>
      <w:r w:rsidRPr="007A2F89">
        <w:rPr>
          <w:rFonts w:ascii="Times New Roman" w:hAnsi="Times New Roman"/>
          <w:i/>
          <w:iCs/>
          <w:lang w:val="en-US"/>
        </w:rPr>
        <w:t>Journal of International Business Ethics</w:t>
      </w:r>
      <w:r w:rsidRPr="007A2F89">
        <w:rPr>
          <w:rFonts w:ascii="Times New Roman" w:hAnsi="Times New Roman"/>
          <w:lang w:val="en-US"/>
        </w:rPr>
        <w:t>, </w:t>
      </w:r>
      <w:r w:rsidRPr="007A2F89">
        <w:rPr>
          <w:rFonts w:ascii="Times New Roman" w:hAnsi="Times New Roman"/>
          <w:i/>
          <w:iCs/>
          <w:lang w:val="en-US"/>
        </w:rPr>
        <w:t>9</w:t>
      </w:r>
      <w:r w:rsidRPr="007A2F89">
        <w:rPr>
          <w:rFonts w:ascii="Times New Roman" w:hAnsi="Times New Roman"/>
          <w:lang w:val="en-US"/>
        </w:rPr>
        <w:t>(1/2), 3.</w:t>
      </w:r>
    </w:p>
    <w:p w14:paraId="77A13180" w14:textId="77777777" w:rsidR="003A0013" w:rsidRPr="007A2F89" w:rsidRDefault="003A0013" w:rsidP="007A2F89">
      <w:pPr>
        <w:pStyle w:val="Paragrafoelenco"/>
        <w:numPr>
          <w:ilvl w:val="0"/>
          <w:numId w:val="12"/>
        </w:numPr>
        <w:ind w:left="567" w:hanging="567"/>
        <w:jc w:val="both"/>
        <w:rPr>
          <w:rFonts w:ascii="Times New Roman" w:eastAsia="Times New Roman" w:hAnsi="Times New Roman"/>
          <w:color w:val="222222"/>
          <w:shd w:val="clear" w:color="auto" w:fill="FFFFFF"/>
          <w:lang w:val="en-US" w:eastAsia="it-IT"/>
        </w:rPr>
      </w:pPr>
      <w:r w:rsidRPr="007A2F89">
        <w:rPr>
          <w:rFonts w:ascii="Times New Roman" w:eastAsia="Times New Roman" w:hAnsi="Times New Roman"/>
          <w:color w:val="222222"/>
          <w:shd w:val="clear" w:color="auto" w:fill="FFFFFF"/>
          <w:lang w:val="en-US" w:eastAsia="it-IT"/>
        </w:rPr>
        <w:t>Weber, O. (2017). Corporate Sustainability and Financial Performance of Chinese Banks. </w:t>
      </w:r>
      <w:r w:rsidRPr="007A2F89">
        <w:rPr>
          <w:rFonts w:ascii="Times New Roman" w:eastAsia="Times New Roman" w:hAnsi="Times New Roman"/>
          <w:i/>
          <w:iCs/>
          <w:color w:val="222222"/>
          <w:shd w:val="clear" w:color="auto" w:fill="FFFFFF"/>
          <w:lang w:val="en-US" w:eastAsia="it-IT"/>
        </w:rPr>
        <w:t>Sustainability Accounting, Management and Policy Journal</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shd w:val="clear" w:color="auto" w:fill="FFFFFF"/>
          <w:lang w:val="en-US" w:eastAsia="it-IT"/>
        </w:rPr>
        <w:t>8</w:t>
      </w:r>
      <w:r w:rsidRPr="007A2F89">
        <w:rPr>
          <w:rFonts w:ascii="Times New Roman" w:eastAsia="Times New Roman" w:hAnsi="Times New Roman"/>
          <w:color w:val="222222"/>
          <w:shd w:val="clear" w:color="auto" w:fill="FFFFFF"/>
          <w:lang w:val="en-US" w:eastAsia="it-IT"/>
        </w:rPr>
        <w:t>(3), 358-385.</w:t>
      </w:r>
    </w:p>
    <w:p w14:paraId="4D191B32" w14:textId="77777777" w:rsidR="001118E5" w:rsidRPr="007A2F89" w:rsidRDefault="001118E5" w:rsidP="007A2F89">
      <w:pPr>
        <w:pStyle w:val="Paragrafoelenco"/>
        <w:numPr>
          <w:ilvl w:val="0"/>
          <w:numId w:val="12"/>
        </w:numPr>
        <w:ind w:left="567" w:hanging="567"/>
        <w:jc w:val="both"/>
        <w:rPr>
          <w:rFonts w:ascii="Times New Roman" w:eastAsiaTheme="minorHAnsi" w:hAnsi="Times New Roman"/>
          <w:lang w:val="en-US"/>
        </w:rPr>
      </w:pPr>
      <w:proofErr w:type="spellStart"/>
      <w:r w:rsidRPr="007A2F89">
        <w:rPr>
          <w:rFonts w:ascii="Times New Roman" w:eastAsiaTheme="minorHAnsi" w:hAnsi="Times New Roman"/>
          <w:lang w:val="en-US"/>
        </w:rPr>
        <w:t>Wheelen</w:t>
      </w:r>
      <w:proofErr w:type="spellEnd"/>
      <w:r w:rsidRPr="007A2F89">
        <w:rPr>
          <w:rFonts w:ascii="Times New Roman" w:eastAsiaTheme="minorHAnsi" w:hAnsi="Times New Roman"/>
          <w:lang w:val="en-US"/>
        </w:rPr>
        <w:t>, T. L., &amp; Hunger, J. D. (2011). </w:t>
      </w:r>
      <w:r w:rsidRPr="007A2F89">
        <w:rPr>
          <w:rFonts w:ascii="Times New Roman" w:eastAsiaTheme="minorHAnsi" w:hAnsi="Times New Roman"/>
          <w:i/>
          <w:iCs/>
          <w:lang w:val="en-US"/>
        </w:rPr>
        <w:t>Concepts in strategic management and business policy</w:t>
      </w:r>
      <w:r w:rsidRPr="007A2F89">
        <w:rPr>
          <w:rFonts w:ascii="Times New Roman" w:eastAsiaTheme="minorHAnsi" w:hAnsi="Times New Roman"/>
          <w:lang w:val="en-US"/>
        </w:rPr>
        <w:t>. Pearson Education India.</w:t>
      </w:r>
    </w:p>
    <w:p w14:paraId="2D262309" w14:textId="77777777" w:rsidR="001118E5" w:rsidRPr="007A2F89" w:rsidRDefault="001118E5" w:rsidP="007A2F89">
      <w:pPr>
        <w:pStyle w:val="Paragrafoelenco"/>
        <w:numPr>
          <w:ilvl w:val="0"/>
          <w:numId w:val="12"/>
        </w:numPr>
        <w:ind w:left="567" w:hanging="567"/>
        <w:jc w:val="both"/>
        <w:rPr>
          <w:rFonts w:ascii="Times New Roman" w:eastAsia="Times New Roman" w:hAnsi="Times New Roman"/>
          <w:lang w:val="en-US" w:eastAsia="it-IT"/>
        </w:rPr>
      </w:pPr>
      <w:r w:rsidRPr="007A2F89">
        <w:rPr>
          <w:rFonts w:ascii="Times New Roman" w:eastAsia="Times New Roman" w:hAnsi="Times New Roman"/>
          <w:color w:val="222222"/>
          <w:shd w:val="clear" w:color="auto" w:fill="FFFFFF"/>
          <w:lang w:val="en-US" w:eastAsia="it-IT"/>
        </w:rPr>
        <w:lastRenderedPageBreak/>
        <w:t xml:space="preserve">Wiesner, R., </w:t>
      </w:r>
      <w:proofErr w:type="spellStart"/>
      <w:r w:rsidRPr="007A2F89">
        <w:rPr>
          <w:rFonts w:ascii="Times New Roman" w:eastAsia="Times New Roman" w:hAnsi="Times New Roman"/>
          <w:color w:val="222222"/>
          <w:shd w:val="clear" w:color="auto" w:fill="FFFFFF"/>
          <w:lang w:val="en-US" w:eastAsia="it-IT"/>
        </w:rPr>
        <w:t>Chadee</w:t>
      </w:r>
      <w:proofErr w:type="spellEnd"/>
      <w:r w:rsidRPr="007A2F89">
        <w:rPr>
          <w:rFonts w:ascii="Times New Roman" w:eastAsia="Times New Roman" w:hAnsi="Times New Roman"/>
          <w:color w:val="222222"/>
          <w:shd w:val="clear" w:color="auto" w:fill="FFFFFF"/>
          <w:lang w:val="en-US" w:eastAsia="it-IT"/>
        </w:rPr>
        <w:t>, D., &amp; Best, P. (2018). Managing change toward environmental sustainability: A conceptual model in small and medium enterprises. </w:t>
      </w:r>
      <w:r w:rsidRPr="007A2F89">
        <w:rPr>
          <w:rFonts w:ascii="Times New Roman" w:eastAsia="Times New Roman" w:hAnsi="Times New Roman"/>
          <w:i/>
          <w:iCs/>
          <w:color w:val="222222"/>
          <w:lang w:val="en-US" w:eastAsia="it-IT"/>
        </w:rPr>
        <w:t>Organization &amp; Environment</w:t>
      </w:r>
      <w:r w:rsidRPr="007A2F89">
        <w:rPr>
          <w:rFonts w:ascii="Times New Roman" w:eastAsia="Times New Roman" w:hAnsi="Times New Roman"/>
          <w:color w:val="222222"/>
          <w:shd w:val="clear" w:color="auto" w:fill="FFFFFF"/>
          <w:lang w:val="en-US" w:eastAsia="it-IT"/>
        </w:rPr>
        <w:t>, </w:t>
      </w:r>
      <w:r w:rsidRPr="007A2F89">
        <w:rPr>
          <w:rFonts w:ascii="Times New Roman" w:eastAsia="Times New Roman" w:hAnsi="Times New Roman"/>
          <w:i/>
          <w:iCs/>
          <w:color w:val="222222"/>
          <w:lang w:val="en-US" w:eastAsia="it-IT"/>
        </w:rPr>
        <w:t>31</w:t>
      </w:r>
      <w:r w:rsidRPr="007A2F89">
        <w:rPr>
          <w:rFonts w:ascii="Times New Roman" w:eastAsia="Times New Roman" w:hAnsi="Times New Roman"/>
          <w:color w:val="222222"/>
          <w:shd w:val="clear" w:color="auto" w:fill="FFFFFF"/>
          <w:lang w:val="en-US" w:eastAsia="it-IT"/>
        </w:rPr>
        <w:t>(2), 152-177.</w:t>
      </w:r>
    </w:p>
    <w:p w14:paraId="2B1AE9A9" w14:textId="77777777" w:rsidR="001118E5" w:rsidRPr="007A2F89" w:rsidRDefault="001118E5" w:rsidP="007A2F89">
      <w:pPr>
        <w:pStyle w:val="Testocommento"/>
        <w:numPr>
          <w:ilvl w:val="0"/>
          <w:numId w:val="12"/>
        </w:numPr>
        <w:ind w:left="567" w:hanging="567"/>
        <w:jc w:val="both"/>
        <w:rPr>
          <w:rFonts w:ascii="Times New Roman" w:eastAsiaTheme="minorHAnsi" w:hAnsi="Times New Roman"/>
          <w:sz w:val="24"/>
          <w:szCs w:val="24"/>
          <w:lang w:val="en-US"/>
        </w:rPr>
      </w:pPr>
      <w:r w:rsidRPr="007A2F89">
        <w:rPr>
          <w:rFonts w:ascii="Times New Roman" w:eastAsiaTheme="minorHAnsi" w:hAnsi="Times New Roman"/>
          <w:sz w:val="24"/>
          <w:szCs w:val="24"/>
          <w:lang w:val="en-US"/>
        </w:rPr>
        <w:t>Wright, P., &amp; Ferris, S. P. (1997). Agency conflict and corporate strategy: The effect of divestment on corporate value. </w:t>
      </w:r>
      <w:r w:rsidRPr="007A2F89">
        <w:rPr>
          <w:rFonts w:ascii="Times New Roman" w:eastAsiaTheme="minorHAnsi" w:hAnsi="Times New Roman"/>
          <w:i/>
          <w:iCs/>
          <w:sz w:val="24"/>
          <w:szCs w:val="24"/>
          <w:lang w:val="en-US"/>
        </w:rPr>
        <w:t>Strategic management journal</w:t>
      </w:r>
      <w:r w:rsidRPr="007A2F89">
        <w:rPr>
          <w:rFonts w:ascii="Times New Roman" w:eastAsiaTheme="minorHAnsi" w:hAnsi="Times New Roman"/>
          <w:sz w:val="24"/>
          <w:szCs w:val="24"/>
          <w:lang w:val="en-US"/>
        </w:rPr>
        <w:t>, </w:t>
      </w:r>
      <w:r w:rsidRPr="007A2F89">
        <w:rPr>
          <w:rFonts w:ascii="Times New Roman" w:eastAsiaTheme="minorHAnsi" w:hAnsi="Times New Roman"/>
          <w:i/>
          <w:iCs/>
          <w:sz w:val="24"/>
          <w:szCs w:val="24"/>
          <w:lang w:val="en-US"/>
        </w:rPr>
        <w:t>18</w:t>
      </w:r>
      <w:r w:rsidRPr="007A2F89">
        <w:rPr>
          <w:rFonts w:ascii="Times New Roman" w:eastAsiaTheme="minorHAnsi" w:hAnsi="Times New Roman"/>
          <w:sz w:val="24"/>
          <w:szCs w:val="24"/>
          <w:lang w:val="en-US"/>
        </w:rPr>
        <w:t>(1), 77-83.</w:t>
      </w:r>
    </w:p>
    <w:p w14:paraId="402F3487" w14:textId="3F5ED54A" w:rsidR="00520ED5" w:rsidRPr="007A2F89" w:rsidRDefault="001118E5" w:rsidP="007A2F89">
      <w:pPr>
        <w:pStyle w:val="Paragrafoelenco"/>
        <w:numPr>
          <w:ilvl w:val="0"/>
          <w:numId w:val="12"/>
        </w:numPr>
        <w:ind w:left="567" w:hanging="567"/>
        <w:jc w:val="both"/>
        <w:rPr>
          <w:rFonts w:ascii="Times New Roman" w:hAnsi="Times New Roman"/>
          <w:color w:val="222222"/>
          <w:shd w:val="clear" w:color="auto" w:fill="FFFFFF"/>
          <w:lang w:val="en-US"/>
        </w:rPr>
      </w:pPr>
      <w:r w:rsidRPr="007A2F89">
        <w:rPr>
          <w:rFonts w:ascii="Times New Roman" w:hAnsi="Times New Roman"/>
          <w:color w:val="222222"/>
          <w:shd w:val="clear" w:color="auto" w:fill="FFFFFF"/>
          <w:lang w:val="en-US"/>
        </w:rPr>
        <w:t>Wu, M. L. (2006). Corporate social performance, corporate financial performance, and firm size: A meta-analysis. </w:t>
      </w:r>
      <w:r w:rsidRPr="007A2F89">
        <w:rPr>
          <w:rFonts w:ascii="Times New Roman" w:hAnsi="Times New Roman"/>
          <w:i/>
          <w:iCs/>
          <w:color w:val="222222"/>
          <w:shd w:val="clear" w:color="auto" w:fill="FFFFFF"/>
          <w:lang w:val="en-US"/>
        </w:rPr>
        <w:t>Journal of American Academy of Business</w:t>
      </w:r>
      <w:r w:rsidRPr="007A2F89">
        <w:rPr>
          <w:rFonts w:ascii="Times New Roman" w:hAnsi="Times New Roman"/>
          <w:color w:val="222222"/>
          <w:shd w:val="clear" w:color="auto" w:fill="FFFFFF"/>
          <w:lang w:val="en-US"/>
        </w:rPr>
        <w:t>, </w:t>
      </w:r>
      <w:r w:rsidRPr="007A2F89">
        <w:rPr>
          <w:rFonts w:ascii="Times New Roman" w:hAnsi="Times New Roman"/>
          <w:i/>
          <w:iCs/>
          <w:color w:val="222222"/>
          <w:shd w:val="clear" w:color="auto" w:fill="FFFFFF"/>
          <w:lang w:val="en-US"/>
        </w:rPr>
        <w:t>8</w:t>
      </w:r>
      <w:r w:rsidRPr="007A2F89">
        <w:rPr>
          <w:rFonts w:ascii="Times New Roman" w:hAnsi="Times New Roman"/>
          <w:color w:val="222222"/>
          <w:shd w:val="clear" w:color="auto" w:fill="FFFFFF"/>
          <w:lang w:val="en-US"/>
        </w:rPr>
        <w:t>(1), 163-171.</w:t>
      </w:r>
    </w:p>
    <w:sectPr w:rsidR="00520ED5" w:rsidRPr="007A2F89" w:rsidSect="00DA61B5">
      <w:footerReference w:type="default" r:id="rId8"/>
      <w:pgSz w:w="11906" w:h="16838" w:code="9"/>
      <w:pgMar w:top="1417" w:right="1134" w:bottom="1134" w:left="1134" w:header="170" w:footer="8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F779" w14:textId="77777777" w:rsidR="00B05C23" w:rsidRDefault="00B05C23" w:rsidP="002F3199">
      <w:r>
        <w:separator/>
      </w:r>
    </w:p>
  </w:endnote>
  <w:endnote w:type="continuationSeparator" w:id="0">
    <w:p w14:paraId="4BCBC611" w14:textId="77777777" w:rsidR="00B05C23" w:rsidRDefault="00B05C23" w:rsidP="002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FF8" w14:textId="77777777" w:rsidR="002F3199" w:rsidRPr="004B06A2" w:rsidRDefault="000C612E" w:rsidP="002F3199">
    <w:pPr>
      <w:pStyle w:val="Pidipagina"/>
      <w:jc w:val="center"/>
      <w:rPr>
        <w:rFonts w:ascii="Times New Roman" w:hAnsi="Times New Roman"/>
        <w:iCs/>
        <w:sz w:val="20"/>
        <w:szCs w:val="20"/>
      </w:rPr>
    </w:pPr>
    <w:r w:rsidRPr="004B06A2">
      <w:rPr>
        <w:rFonts w:ascii="Times New Roman" w:hAnsi="Times New Roman"/>
        <w:iCs/>
      </w:rPr>
      <w:fldChar w:fldCharType="begin"/>
    </w:r>
    <w:r w:rsidRPr="004B06A2">
      <w:rPr>
        <w:rFonts w:ascii="Times New Roman" w:hAnsi="Times New Roman"/>
        <w:iCs/>
      </w:rPr>
      <w:instrText>PAGE   \* MERGEFORMAT</w:instrText>
    </w:r>
    <w:r w:rsidRPr="004B06A2">
      <w:rPr>
        <w:rFonts w:ascii="Times New Roman" w:hAnsi="Times New Roman"/>
        <w:iCs/>
      </w:rPr>
      <w:fldChar w:fldCharType="separate"/>
    </w:r>
    <w:r w:rsidR="00B85F65" w:rsidRPr="004B06A2">
      <w:rPr>
        <w:rFonts w:ascii="Times New Roman" w:hAnsi="Times New Roman"/>
        <w:iCs/>
        <w:noProof/>
      </w:rPr>
      <w:t>1</w:t>
    </w:r>
    <w:r w:rsidRPr="004B06A2">
      <w:rPr>
        <w:rFonts w:ascii="Times New Roman" w:hAnsi="Times New Roman"/>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BC9B" w14:textId="77777777" w:rsidR="00B05C23" w:rsidRDefault="00B05C23" w:rsidP="002F3199">
      <w:r>
        <w:separator/>
      </w:r>
    </w:p>
  </w:footnote>
  <w:footnote w:type="continuationSeparator" w:id="0">
    <w:p w14:paraId="384E510B" w14:textId="77777777" w:rsidR="00B05C23" w:rsidRDefault="00B05C23" w:rsidP="002F3199">
      <w:r>
        <w:continuationSeparator/>
      </w:r>
    </w:p>
  </w:footnote>
  <w:footnote w:id="1">
    <w:p w14:paraId="5886C275" w14:textId="28333558" w:rsidR="00480276" w:rsidRPr="000B170D" w:rsidRDefault="00480276" w:rsidP="00B970AC">
      <w:pPr>
        <w:pStyle w:val="Testonotaapidipagina"/>
        <w:ind w:left="0" w:firstLine="284"/>
        <w:rPr>
          <w:lang w:val="en-GB"/>
        </w:rPr>
      </w:pPr>
      <w:r w:rsidRPr="00C27F90">
        <w:rPr>
          <w:rStyle w:val="Rimandonotaapidipagina"/>
        </w:rPr>
        <w:footnoteRef/>
      </w:r>
      <w:r w:rsidRPr="004A5E2E">
        <w:rPr>
          <w:lang w:val="en-GB"/>
        </w:rPr>
        <w:t xml:space="preserve"> </w:t>
      </w:r>
      <w:proofErr w:type="spellStart"/>
      <w:r w:rsidR="004A5E2E" w:rsidRPr="009F2405">
        <w:rPr>
          <w:lang w:val="en-GB"/>
        </w:rPr>
        <w:t>Accredia</w:t>
      </w:r>
      <w:proofErr w:type="spellEnd"/>
      <w:r w:rsidR="004A5E2E" w:rsidRPr="009F2405">
        <w:rPr>
          <w:lang w:val="en-GB"/>
        </w:rPr>
        <w:t xml:space="preserve"> is the Single Accreditation authority designated by the Italian government for the competence verification and attestation, independence and impartiality of the bodies and laboratories that verify the compliance of goods and services with the standards. </w:t>
      </w:r>
      <w:r w:rsidR="000B170D" w:rsidRPr="009F2405">
        <w:rPr>
          <w:lang w:val="en-GB"/>
        </w:rPr>
        <w:t xml:space="preserve">It carries out its function </w:t>
      </w:r>
      <w:r w:rsidR="009F2405" w:rsidRPr="009F2405">
        <w:rPr>
          <w:lang w:val="en-GB"/>
        </w:rPr>
        <w:t xml:space="preserve">according to </w:t>
      </w:r>
      <w:r w:rsidR="000B170D" w:rsidRPr="009F2405">
        <w:rPr>
          <w:lang w:val="en-GB"/>
        </w:rPr>
        <w:t>the EC Regulation 765/2008 and the ISO / IEC 17011 international standard.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5F4"/>
    <w:multiLevelType w:val="multilevel"/>
    <w:tmpl w:val="CAC2EA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451A1C"/>
    <w:multiLevelType w:val="hybridMultilevel"/>
    <w:tmpl w:val="9FFAB6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710F5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27694"/>
    <w:multiLevelType w:val="hybridMultilevel"/>
    <w:tmpl w:val="D568B72C"/>
    <w:lvl w:ilvl="0" w:tplc="3F9497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1B1DE4"/>
    <w:multiLevelType w:val="hybridMultilevel"/>
    <w:tmpl w:val="B492C996"/>
    <w:lvl w:ilvl="0" w:tplc="3F9497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7462AA"/>
    <w:multiLevelType w:val="multilevel"/>
    <w:tmpl w:val="CAC2EA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B62528"/>
    <w:multiLevelType w:val="hybridMultilevel"/>
    <w:tmpl w:val="FDE626D6"/>
    <w:lvl w:ilvl="0" w:tplc="359ABF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E35C4F"/>
    <w:multiLevelType w:val="hybridMultilevel"/>
    <w:tmpl w:val="82825992"/>
    <w:lvl w:ilvl="0" w:tplc="AB985F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381BAA"/>
    <w:multiLevelType w:val="hybridMultilevel"/>
    <w:tmpl w:val="86FCD85E"/>
    <w:lvl w:ilvl="0" w:tplc="4E3252B0">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286CAD"/>
    <w:multiLevelType w:val="hybridMultilevel"/>
    <w:tmpl w:val="FBFA2AF0"/>
    <w:lvl w:ilvl="0" w:tplc="7D465D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6949A9"/>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986349"/>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10"/>
  </w:num>
  <w:num w:numId="8">
    <w:abstractNumId w:val="2"/>
  </w:num>
  <w:num w:numId="9">
    <w:abstractNumId w:val="11"/>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7"/>
    <w:rsid w:val="000046EF"/>
    <w:rsid w:val="0000713A"/>
    <w:rsid w:val="00015BC4"/>
    <w:rsid w:val="00021BDE"/>
    <w:rsid w:val="000302E8"/>
    <w:rsid w:val="00030452"/>
    <w:rsid w:val="00043143"/>
    <w:rsid w:val="00043DA2"/>
    <w:rsid w:val="00044CE9"/>
    <w:rsid w:val="00045B31"/>
    <w:rsid w:val="00046CE7"/>
    <w:rsid w:val="0004775A"/>
    <w:rsid w:val="0005362D"/>
    <w:rsid w:val="00053DA3"/>
    <w:rsid w:val="00056B4E"/>
    <w:rsid w:val="000733B4"/>
    <w:rsid w:val="00075E62"/>
    <w:rsid w:val="000811B2"/>
    <w:rsid w:val="00083EAD"/>
    <w:rsid w:val="00093023"/>
    <w:rsid w:val="000A0051"/>
    <w:rsid w:val="000A75C9"/>
    <w:rsid w:val="000B170D"/>
    <w:rsid w:val="000B2986"/>
    <w:rsid w:val="000C39B9"/>
    <w:rsid w:val="000C612E"/>
    <w:rsid w:val="000E0A7C"/>
    <w:rsid w:val="000F37B0"/>
    <w:rsid w:val="00106B9A"/>
    <w:rsid w:val="001118E5"/>
    <w:rsid w:val="00114711"/>
    <w:rsid w:val="00120B29"/>
    <w:rsid w:val="00125236"/>
    <w:rsid w:val="00132FC0"/>
    <w:rsid w:val="00145853"/>
    <w:rsid w:val="00146B0A"/>
    <w:rsid w:val="00147B7F"/>
    <w:rsid w:val="0015332D"/>
    <w:rsid w:val="0015413C"/>
    <w:rsid w:val="001564A6"/>
    <w:rsid w:val="00161F7E"/>
    <w:rsid w:val="00177374"/>
    <w:rsid w:val="001828D5"/>
    <w:rsid w:val="001846C6"/>
    <w:rsid w:val="00190547"/>
    <w:rsid w:val="0019484B"/>
    <w:rsid w:val="001B624B"/>
    <w:rsid w:val="001C7137"/>
    <w:rsid w:val="001D4488"/>
    <w:rsid w:val="001E380B"/>
    <w:rsid w:val="001F037D"/>
    <w:rsid w:val="00202E1D"/>
    <w:rsid w:val="002176B2"/>
    <w:rsid w:val="002409BC"/>
    <w:rsid w:val="00241002"/>
    <w:rsid w:val="00242128"/>
    <w:rsid w:val="00245665"/>
    <w:rsid w:val="00245901"/>
    <w:rsid w:val="0025167A"/>
    <w:rsid w:val="00261D47"/>
    <w:rsid w:val="00262C0D"/>
    <w:rsid w:val="002716A5"/>
    <w:rsid w:val="00275D4A"/>
    <w:rsid w:val="00287B5F"/>
    <w:rsid w:val="002A3CBC"/>
    <w:rsid w:val="002A5993"/>
    <w:rsid w:val="002B0207"/>
    <w:rsid w:val="002B3CE4"/>
    <w:rsid w:val="002B4C4A"/>
    <w:rsid w:val="002B66FE"/>
    <w:rsid w:val="002C4018"/>
    <w:rsid w:val="002D2C09"/>
    <w:rsid w:val="002D3702"/>
    <w:rsid w:val="002F3199"/>
    <w:rsid w:val="003015F9"/>
    <w:rsid w:val="003042F5"/>
    <w:rsid w:val="00311BEF"/>
    <w:rsid w:val="00322D81"/>
    <w:rsid w:val="00322FEB"/>
    <w:rsid w:val="00326BB3"/>
    <w:rsid w:val="00327A3C"/>
    <w:rsid w:val="00347E4B"/>
    <w:rsid w:val="0036190D"/>
    <w:rsid w:val="00363022"/>
    <w:rsid w:val="00370D09"/>
    <w:rsid w:val="0037419E"/>
    <w:rsid w:val="0038158F"/>
    <w:rsid w:val="00381E5A"/>
    <w:rsid w:val="003A0013"/>
    <w:rsid w:val="003C1609"/>
    <w:rsid w:val="003D643E"/>
    <w:rsid w:val="003E34BD"/>
    <w:rsid w:val="003F49A2"/>
    <w:rsid w:val="003F61D2"/>
    <w:rsid w:val="00401BC5"/>
    <w:rsid w:val="0040286F"/>
    <w:rsid w:val="004067E4"/>
    <w:rsid w:val="00407192"/>
    <w:rsid w:val="00407E65"/>
    <w:rsid w:val="00410BD8"/>
    <w:rsid w:val="00432809"/>
    <w:rsid w:val="00434EA4"/>
    <w:rsid w:val="0046260A"/>
    <w:rsid w:val="0046725A"/>
    <w:rsid w:val="00471ECF"/>
    <w:rsid w:val="00474825"/>
    <w:rsid w:val="00475FC4"/>
    <w:rsid w:val="004774EB"/>
    <w:rsid w:val="00480276"/>
    <w:rsid w:val="004A55E3"/>
    <w:rsid w:val="004A5E2E"/>
    <w:rsid w:val="004B06A2"/>
    <w:rsid w:val="004B3619"/>
    <w:rsid w:val="004B3857"/>
    <w:rsid w:val="004B6875"/>
    <w:rsid w:val="004D1C4D"/>
    <w:rsid w:val="004D75EC"/>
    <w:rsid w:val="004F3051"/>
    <w:rsid w:val="004F59E4"/>
    <w:rsid w:val="00510848"/>
    <w:rsid w:val="005136DB"/>
    <w:rsid w:val="005149D7"/>
    <w:rsid w:val="00516342"/>
    <w:rsid w:val="00520ED5"/>
    <w:rsid w:val="00537458"/>
    <w:rsid w:val="00537A86"/>
    <w:rsid w:val="00551811"/>
    <w:rsid w:val="0055253C"/>
    <w:rsid w:val="00561B6B"/>
    <w:rsid w:val="00570042"/>
    <w:rsid w:val="00596348"/>
    <w:rsid w:val="005A2C39"/>
    <w:rsid w:val="005A52A2"/>
    <w:rsid w:val="005B1F03"/>
    <w:rsid w:val="005C4B97"/>
    <w:rsid w:val="005D073D"/>
    <w:rsid w:val="005E6353"/>
    <w:rsid w:val="005E65F6"/>
    <w:rsid w:val="005E7ADA"/>
    <w:rsid w:val="005F7F66"/>
    <w:rsid w:val="00602F6B"/>
    <w:rsid w:val="00605794"/>
    <w:rsid w:val="006102F4"/>
    <w:rsid w:val="00643CEA"/>
    <w:rsid w:val="00650146"/>
    <w:rsid w:val="0065147F"/>
    <w:rsid w:val="00654B72"/>
    <w:rsid w:val="00660E78"/>
    <w:rsid w:val="006626F5"/>
    <w:rsid w:val="00671122"/>
    <w:rsid w:val="00677249"/>
    <w:rsid w:val="006A4623"/>
    <w:rsid w:val="006B11FF"/>
    <w:rsid w:val="006B5D1F"/>
    <w:rsid w:val="006B7942"/>
    <w:rsid w:val="006C3457"/>
    <w:rsid w:val="006C4ED5"/>
    <w:rsid w:val="006D6BB9"/>
    <w:rsid w:val="006E0E7D"/>
    <w:rsid w:val="006E3588"/>
    <w:rsid w:val="006E53F6"/>
    <w:rsid w:val="007037B5"/>
    <w:rsid w:val="007039AB"/>
    <w:rsid w:val="007044B5"/>
    <w:rsid w:val="007063FA"/>
    <w:rsid w:val="00711E2F"/>
    <w:rsid w:val="00716FA3"/>
    <w:rsid w:val="00722DCD"/>
    <w:rsid w:val="00730A1E"/>
    <w:rsid w:val="00740071"/>
    <w:rsid w:val="00770E48"/>
    <w:rsid w:val="00787F97"/>
    <w:rsid w:val="00792E7D"/>
    <w:rsid w:val="007A2F89"/>
    <w:rsid w:val="007A6DAB"/>
    <w:rsid w:val="007B2AE5"/>
    <w:rsid w:val="007B43E1"/>
    <w:rsid w:val="007D2954"/>
    <w:rsid w:val="007F6A31"/>
    <w:rsid w:val="0080340C"/>
    <w:rsid w:val="00803791"/>
    <w:rsid w:val="0080514E"/>
    <w:rsid w:val="00806C77"/>
    <w:rsid w:val="0081210B"/>
    <w:rsid w:val="00830EB3"/>
    <w:rsid w:val="00834FC0"/>
    <w:rsid w:val="008370FB"/>
    <w:rsid w:val="008418CD"/>
    <w:rsid w:val="0084433D"/>
    <w:rsid w:val="00845C04"/>
    <w:rsid w:val="00846A3E"/>
    <w:rsid w:val="008843DB"/>
    <w:rsid w:val="008901CF"/>
    <w:rsid w:val="00893A17"/>
    <w:rsid w:val="008A20A6"/>
    <w:rsid w:val="008A774F"/>
    <w:rsid w:val="008B7507"/>
    <w:rsid w:val="008C2A15"/>
    <w:rsid w:val="008C3C0E"/>
    <w:rsid w:val="008D52E6"/>
    <w:rsid w:val="008E2565"/>
    <w:rsid w:val="008F4374"/>
    <w:rsid w:val="009175C9"/>
    <w:rsid w:val="0093318D"/>
    <w:rsid w:val="009434C0"/>
    <w:rsid w:val="00960D8A"/>
    <w:rsid w:val="009705BB"/>
    <w:rsid w:val="0097252F"/>
    <w:rsid w:val="009A17D4"/>
    <w:rsid w:val="009B7997"/>
    <w:rsid w:val="009F2405"/>
    <w:rsid w:val="009F6261"/>
    <w:rsid w:val="009F696E"/>
    <w:rsid w:val="00A164A7"/>
    <w:rsid w:val="00A3527C"/>
    <w:rsid w:val="00A629F4"/>
    <w:rsid w:val="00A660FE"/>
    <w:rsid w:val="00A7654C"/>
    <w:rsid w:val="00A84DB0"/>
    <w:rsid w:val="00A85CB2"/>
    <w:rsid w:val="00A86043"/>
    <w:rsid w:val="00A918CB"/>
    <w:rsid w:val="00A94CB4"/>
    <w:rsid w:val="00AC4EBC"/>
    <w:rsid w:val="00AC6FE0"/>
    <w:rsid w:val="00AC7FD7"/>
    <w:rsid w:val="00AD199A"/>
    <w:rsid w:val="00AD2ACF"/>
    <w:rsid w:val="00AD32B0"/>
    <w:rsid w:val="00AE30CA"/>
    <w:rsid w:val="00AE5236"/>
    <w:rsid w:val="00AF3C07"/>
    <w:rsid w:val="00B001F6"/>
    <w:rsid w:val="00B015F2"/>
    <w:rsid w:val="00B043CA"/>
    <w:rsid w:val="00B05C23"/>
    <w:rsid w:val="00B16A36"/>
    <w:rsid w:val="00B2021A"/>
    <w:rsid w:val="00B37387"/>
    <w:rsid w:val="00B5302E"/>
    <w:rsid w:val="00B56BDA"/>
    <w:rsid w:val="00B61E31"/>
    <w:rsid w:val="00B705CC"/>
    <w:rsid w:val="00B77471"/>
    <w:rsid w:val="00B85F65"/>
    <w:rsid w:val="00B95F5C"/>
    <w:rsid w:val="00B970AC"/>
    <w:rsid w:val="00B974E5"/>
    <w:rsid w:val="00BA0154"/>
    <w:rsid w:val="00BB4B66"/>
    <w:rsid w:val="00BC19B8"/>
    <w:rsid w:val="00BC39F2"/>
    <w:rsid w:val="00BC51C8"/>
    <w:rsid w:val="00BC5860"/>
    <w:rsid w:val="00BD0A0C"/>
    <w:rsid w:val="00BD7095"/>
    <w:rsid w:val="00BE1412"/>
    <w:rsid w:val="00C11FE7"/>
    <w:rsid w:val="00C15C72"/>
    <w:rsid w:val="00C251B7"/>
    <w:rsid w:val="00C36368"/>
    <w:rsid w:val="00C3779C"/>
    <w:rsid w:val="00C405C9"/>
    <w:rsid w:val="00C4260D"/>
    <w:rsid w:val="00C61CA3"/>
    <w:rsid w:val="00C630A6"/>
    <w:rsid w:val="00C818C7"/>
    <w:rsid w:val="00C83EC6"/>
    <w:rsid w:val="00C9531C"/>
    <w:rsid w:val="00CB38BA"/>
    <w:rsid w:val="00CF7723"/>
    <w:rsid w:val="00D04E48"/>
    <w:rsid w:val="00D04F2B"/>
    <w:rsid w:val="00D120A0"/>
    <w:rsid w:val="00D241A0"/>
    <w:rsid w:val="00D24699"/>
    <w:rsid w:val="00D37F52"/>
    <w:rsid w:val="00D849ED"/>
    <w:rsid w:val="00D8621E"/>
    <w:rsid w:val="00D87B2E"/>
    <w:rsid w:val="00DA61B5"/>
    <w:rsid w:val="00DD2D9B"/>
    <w:rsid w:val="00DE2D1F"/>
    <w:rsid w:val="00DF299D"/>
    <w:rsid w:val="00DF6D9B"/>
    <w:rsid w:val="00E02775"/>
    <w:rsid w:val="00E0633A"/>
    <w:rsid w:val="00E160D5"/>
    <w:rsid w:val="00E23A3E"/>
    <w:rsid w:val="00E26EC5"/>
    <w:rsid w:val="00E3045C"/>
    <w:rsid w:val="00E43AC6"/>
    <w:rsid w:val="00E55E93"/>
    <w:rsid w:val="00E72B05"/>
    <w:rsid w:val="00E7431C"/>
    <w:rsid w:val="00E7688B"/>
    <w:rsid w:val="00E7759B"/>
    <w:rsid w:val="00E778B9"/>
    <w:rsid w:val="00E813AF"/>
    <w:rsid w:val="00E84C5E"/>
    <w:rsid w:val="00E913A1"/>
    <w:rsid w:val="00E969CC"/>
    <w:rsid w:val="00EA59A9"/>
    <w:rsid w:val="00EC6690"/>
    <w:rsid w:val="00ED17A1"/>
    <w:rsid w:val="00ED1AA2"/>
    <w:rsid w:val="00EE7CCF"/>
    <w:rsid w:val="00EF7631"/>
    <w:rsid w:val="00F00C41"/>
    <w:rsid w:val="00F01AF6"/>
    <w:rsid w:val="00F108A6"/>
    <w:rsid w:val="00F131F6"/>
    <w:rsid w:val="00F15875"/>
    <w:rsid w:val="00F16011"/>
    <w:rsid w:val="00F4578D"/>
    <w:rsid w:val="00F46E0C"/>
    <w:rsid w:val="00F5653E"/>
    <w:rsid w:val="00F65372"/>
    <w:rsid w:val="00F74CD7"/>
    <w:rsid w:val="00F9536A"/>
    <w:rsid w:val="00FA7977"/>
    <w:rsid w:val="00FB1D79"/>
    <w:rsid w:val="00FE405A"/>
    <w:rsid w:val="00FF3DCB"/>
    <w:rsid w:val="00FF7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61227"/>
  <w15:chartTrackingRefBased/>
  <w15:docId w15:val="{D8BF57FA-9E0E-3D4D-87BC-B5E4725B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29F4"/>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3199"/>
    <w:pPr>
      <w:tabs>
        <w:tab w:val="center" w:pos="4819"/>
        <w:tab w:val="right" w:pos="9638"/>
      </w:tabs>
    </w:pPr>
  </w:style>
  <w:style w:type="character" w:customStyle="1" w:styleId="IntestazioneCarattere">
    <w:name w:val="Intestazione Carattere"/>
    <w:link w:val="Intestazione"/>
    <w:uiPriority w:val="99"/>
    <w:rsid w:val="002F3199"/>
    <w:rPr>
      <w:sz w:val="22"/>
      <w:szCs w:val="22"/>
      <w:lang w:eastAsia="en-US"/>
    </w:rPr>
  </w:style>
  <w:style w:type="paragraph" w:styleId="Pidipagina">
    <w:name w:val="footer"/>
    <w:basedOn w:val="Normale"/>
    <w:link w:val="PidipaginaCarattere"/>
    <w:uiPriority w:val="99"/>
    <w:unhideWhenUsed/>
    <w:rsid w:val="002F3199"/>
    <w:pPr>
      <w:tabs>
        <w:tab w:val="center" w:pos="4819"/>
        <w:tab w:val="right" w:pos="9638"/>
      </w:tabs>
    </w:pPr>
  </w:style>
  <w:style w:type="character" w:customStyle="1" w:styleId="PidipaginaCarattere">
    <w:name w:val="Piè di pagina Carattere"/>
    <w:link w:val="Pidipagina"/>
    <w:uiPriority w:val="99"/>
    <w:rsid w:val="002F3199"/>
    <w:rPr>
      <w:sz w:val="22"/>
      <w:szCs w:val="22"/>
      <w:lang w:eastAsia="en-US"/>
    </w:rPr>
  </w:style>
  <w:style w:type="character" w:customStyle="1" w:styleId="apple-converted-space">
    <w:name w:val="apple-converted-space"/>
    <w:basedOn w:val="Carpredefinitoparagrafo"/>
    <w:rsid w:val="0015332D"/>
  </w:style>
  <w:style w:type="paragraph" w:styleId="Paragrafoelenco">
    <w:name w:val="List Paragraph"/>
    <w:basedOn w:val="Normale"/>
    <w:uiPriority w:val="34"/>
    <w:qFormat/>
    <w:rsid w:val="0015332D"/>
    <w:pPr>
      <w:ind w:left="720"/>
      <w:contextualSpacing/>
      <w:jc w:val="left"/>
    </w:pPr>
    <w:rPr>
      <w:sz w:val="24"/>
      <w:szCs w:val="24"/>
    </w:rPr>
  </w:style>
  <w:style w:type="paragraph" w:customStyle="1" w:styleId="Paragraph">
    <w:name w:val="Paragraph"/>
    <w:basedOn w:val="Normale"/>
    <w:next w:val="Normale"/>
    <w:qFormat/>
    <w:rsid w:val="0015332D"/>
    <w:pPr>
      <w:widowControl w:val="0"/>
      <w:spacing w:before="240" w:line="480" w:lineRule="auto"/>
      <w:jc w:val="left"/>
    </w:pPr>
    <w:rPr>
      <w:rFonts w:ascii="Times New Roman" w:eastAsia="Times New Roman" w:hAnsi="Times New Roman"/>
      <w:sz w:val="24"/>
      <w:szCs w:val="24"/>
      <w:lang w:val="en-GB" w:eastAsia="en-GB"/>
    </w:rPr>
  </w:style>
  <w:style w:type="paragraph" w:customStyle="1" w:styleId="Tabletitle">
    <w:name w:val="Table title"/>
    <w:basedOn w:val="Normale"/>
    <w:next w:val="Normale"/>
    <w:qFormat/>
    <w:rsid w:val="002C4018"/>
    <w:pPr>
      <w:spacing w:before="240" w:line="360" w:lineRule="auto"/>
      <w:jc w:val="left"/>
    </w:pPr>
    <w:rPr>
      <w:rFonts w:ascii="Times New Roman" w:eastAsia="Times New Roman" w:hAnsi="Times New Roman"/>
      <w:sz w:val="24"/>
      <w:szCs w:val="24"/>
      <w:lang w:val="en-GB" w:eastAsia="en-GB"/>
    </w:rPr>
  </w:style>
  <w:style w:type="paragraph" w:styleId="Testocommento">
    <w:name w:val="annotation text"/>
    <w:basedOn w:val="Normale"/>
    <w:link w:val="TestocommentoCarattere"/>
    <w:uiPriority w:val="99"/>
    <w:unhideWhenUsed/>
    <w:rsid w:val="00ED1AA2"/>
    <w:pPr>
      <w:jc w:val="left"/>
    </w:pPr>
    <w:rPr>
      <w:sz w:val="20"/>
      <w:szCs w:val="20"/>
    </w:rPr>
  </w:style>
  <w:style w:type="character" w:customStyle="1" w:styleId="TestocommentoCarattere">
    <w:name w:val="Testo commento Carattere"/>
    <w:basedOn w:val="Carpredefinitoparagrafo"/>
    <w:link w:val="Testocommento"/>
    <w:uiPriority w:val="99"/>
    <w:rsid w:val="00ED1AA2"/>
    <w:rPr>
      <w:lang w:eastAsia="en-US"/>
    </w:rPr>
  </w:style>
  <w:style w:type="paragraph" w:styleId="Soggettocommento">
    <w:name w:val="annotation subject"/>
    <w:basedOn w:val="Testocommento"/>
    <w:next w:val="Testocommento"/>
    <w:link w:val="SoggettocommentoCarattere"/>
    <w:uiPriority w:val="99"/>
    <w:semiHidden/>
    <w:unhideWhenUsed/>
    <w:rsid w:val="00ED1AA2"/>
    <w:rPr>
      <w:b/>
      <w:bCs/>
    </w:rPr>
  </w:style>
  <w:style w:type="character" w:customStyle="1" w:styleId="SoggettocommentoCarattere">
    <w:name w:val="Soggetto commento Carattere"/>
    <w:basedOn w:val="TestocommentoCarattere"/>
    <w:link w:val="Soggettocommento"/>
    <w:uiPriority w:val="99"/>
    <w:semiHidden/>
    <w:rsid w:val="00ED1AA2"/>
    <w:rPr>
      <w:b/>
      <w:bCs/>
      <w:lang w:eastAsia="en-US"/>
    </w:rPr>
  </w:style>
  <w:style w:type="table" w:styleId="Grigliatabella">
    <w:name w:val="Table Grid"/>
    <w:basedOn w:val="Tabellanormale"/>
    <w:rsid w:val="00ED1AA2"/>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e"/>
    <w:next w:val="Normale"/>
    <w:qFormat/>
    <w:rsid w:val="00ED1AA2"/>
    <w:pPr>
      <w:spacing w:before="240" w:line="360" w:lineRule="auto"/>
      <w:jc w:val="left"/>
    </w:pPr>
    <w:rPr>
      <w:rFonts w:ascii="Times New Roman" w:eastAsia="Times New Roman" w:hAnsi="Times New Roman"/>
      <w:sz w:val="24"/>
      <w:szCs w:val="24"/>
      <w:lang w:val="en-GB" w:eastAsia="en-GB"/>
    </w:rPr>
  </w:style>
  <w:style w:type="paragraph" w:customStyle="1" w:styleId="Newparagraph">
    <w:name w:val="New paragraph"/>
    <w:basedOn w:val="Normale"/>
    <w:qFormat/>
    <w:rsid w:val="00ED1AA2"/>
    <w:pPr>
      <w:spacing w:line="480" w:lineRule="auto"/>
      <w:ind w:firstLine="720"/>
      <w:jc w:val="left"/>
    </w:pPr>
    <w:rPr>
      <w:rFonts w:ascii="Times New Roman" w:eastAsia="Times New Roman" w:hAnsi="Times New Roman"/>
      <w:sz w:val="24"/>
      <w:szCs w:val="24"/>
      <w:lang w:val="en-GB" w:eastAsia="en-GB"/>
    </w:rPr>
  </w:style>
  <w:style w:type="paragraph" w:styleId="Testonormale">
    <w:name w:val="Plain Text"/>
    <w:basedOn w:val="Normale"/>
    <w:link w:val="TestonormaleCarattere"/>
    <w:uiPriority w:val="99"/>
    <w:unhideWhenUsed/>
    <w:rsid w:val="00ED1AA2"/>
    <w:pPr>
      <w:jc w:val="left"/>
    </w:pPr>
    <w:rPr>
      <w:rFonts w:ascii="Consolas" w:hAnsi="Consolas"/>
      <w:sz w:val="21"/>
      <w:szCs w:val="21"/>
    </w:rPr>
  </w:style>
  <w:style w:type="character" w:customStyle="1" w:styleId="TestonormaleCarattere">
    <w:name w:val="Testo normale Carattere"/>
    <w:basedOn w:val="Carpredefinitoparagrafo"/>
    <w:link w:val="Testonormale"/>
    <w:uiPriority w:val="99"/>
    <w:rsid w:val="00ED1AA2"/>
    <w:rPr>
      <w:rFonts w:ascii="Consolas" w:hAnsi="Consolas"/>
      <w:sz w:val="21"/>
      <w:szCs w:val="21"/>
      <w:lang w:eastAsia="en-US"/>
    </w:rPr>
  </w:style>
  <w:style w:type="character" w:styleId="Collegamentoipertestuale">
    <w:name w:val="Hyperlink"/>
    <w:uiPriority w:val="99"/>
    <w:unhideWhenUsed/>
    <w:rsid w:val="00ED1AA2"/>
    <w:rPr>
      <w:color w:val="0563C1"/>
      <w:u w:val="single"/>
    </w:rPr>
  </w:style>
  <w:style w:type="paragraph" w:styleId="Testonotaapidipagina">
    <w:name w:val="footnote text"/>
    <w:basedOn w:val="Normale"/>
    <w:link w:val="TestonotaapidipaginaCarattere"/>
    <w:uiPriority w:val="99"/>
    <w:semiHidden/>
    <w:unhideWhenUsed/>
    <w:rsid w:val="00480276"/>
    <w:pPr>
      <w:ind w:left="720" w:firstLine="709"/>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80276"/>
    <w:rPr>
      <w:rFonts w:ascii="Times New Roman" w:eastAsia="Times New Roman" w:hAnsi="Times New Roman"/>
    </w:rPr>
  </w:style>
  <w:style w:type="character" w:styleId="Rimandonotaapidipagina">
    <w:name w:val="footnote reference"/>
    <w:basedOn w:val="Carpredefinitoparagrafo"/>
    <w:uiPriority w:val="99"/>
    <w:semiHidden/>
    <w:unhideWhenUsed/>
    <w:rsid w:val="00480276"/>
    <w:rPr>
      <w:vertAlign w:val="superscript"/>
    </w:rPr>
  </w:style>
  <w:style w:type="paragraph" w:styleId="NormaleWeb">
    <w:name w:val="Normal (Web)"/>
    <w:basedOn w:val="Normale"/>
    <w:uiPriority w:val="99"/>
    <w:unhideWhenUsed/>
    <w:rsid w:val="00520ED5"/>
    <w:pPr>
      <w:jc w:val="left"/>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C61C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32">
      <w:bodyDiv w:val="1"/>
      <w:marLeft w:val="0"/>
      <w:marRight w:val="0"/>
      <w:marTop w:val="0"/>
      <w:marBottom w:val="0"/>
      <w:divBdr>
        <w:top w:val="none" w:sz="0" w:space="0" w:color="auto"/>
        <w:left w:val="none" w:sz="0" w:space="0" w:color="auto"/>
        <w:bottom w:val="none" w:sz="0" w:space="0" w:color="auto"/>
        <w:right w:val="none" w:sz="0" w:space="0" w:color="auto"/>
      </w:divBdr>
    </w:div>
    <w:div w:id="167646193">
      <w:bodyDiv w:val="1"/>
      <w:marLeft w:val="0"/>
      <w:marRight w:val="0"/>
      <w:marTop w:val="0"/>
      <w:marBottom w:val="0"/>
      <w:divBdr>
        <w:top w:val="none" w:sz="0" w:space="0" w:color="auto"/>
        <w:left w:val="none" w:sz="0" w:space="0" w:color="auto"/>
        <w:bottom w:val="none" w:sz="0" w:space="0" w:color="auto"/>
        <w:right w:val="none" w:sz="0" w:space="0" w:color="auto"/>
      </w:divBdr>
    </w:div>
    <w:div w:id="189683521">
      <w:bodyDiv w:val="1"/>
      <w:marLeft w:val="0"/>
      <w:marRight w:val="0"/>
      <w:marTop w:val="0"/>
      <w:marBottom w:val="0"/>
      <w:divBdr>
        <w:top w:val="none" w:sz="0" w:space="0" w:color="auto"/>
        <w:left w:val="none" w:sz="0" w:space="0" w:color="auto"/>
        <w:bottom w:val="none" w:sz="0" w:space="0" w:color="auto"/>
        <w:right w:val="none" w:sz="0" w:space="0" w:color="auto"/>
      </w:divBdr>
    </w:div>
    <w:div w:id="325596477">
      <w:bodyDiv w:val="1"/>
      <w:marLeft w:val="0"/>
      <w:marRight w:val="0"/>
      <w:marTop w:val="0"/>
      <w:marBottom w:val="0"/>
      <w:divBdr>
        <w:top w:val="none" w:sz="0" w:space="0" w:color="auto"/>
        <w:left w:val="none" w:sz="0" w:space="0" w:color="auto"/>
        <w:bottom w:val="none" w:sz="0" w:space="0" w:color="auto"/>
        <w:right w:val="none" w:sz="0" w:space="0" w:color="auto"/>
      </w:divBdr>
    </w:div>
    <w:div w:id="330720464">
      <w:bodyDiv w:val="1"/>
      <w:marLeft w:val="0"/>
      <w:marRight w:val="0"/>
      <w:marTop w:val="0"/>
      <w:marBottom w:val="0"/>
      <w:divBdr>
        <w:top w:val="none" w:sz="0" w:space="0" w:color="auto"/>
        <w:left w:val="none" w:sz="0" w:space="0" w:color="auto"/>
        <w:bottom w:val="none" w:sz="0" w:space="0" w:color="auto"/>
        <w:right w:val="none" w:sz="0" w:space="0" w:color="auto"/>
      </w:divBdr>
    </w:div>
    <w:div w:id="486214245">
      <w:bodyDiv w:val="1"/>
      <w:marLeft w:val="0"/>
      <w:marRight w:val="0"/>
      <w:marTop w:val="0"/>
      <w:marBottom w:val="0"/>
      <w:divBdr>
        <w:top w:val="none" w:sz="0" w:space="0" w:color="auto"/>
        <w:left w:val="none" w:sz="0" w:space="0" w:color="auto"/>
        <w:bottom w:val="none" w:sz="0" w:space="0" w:color="auto"/>
        <w:right w:val="none" w:sz="0" w:space="0" w:color="auto"/>
      </w:divBdr>
    </w:div>
    <w:div w:id="798034639">
      <w:bodyDiv w:val="1"/>
      <w:marLeft w:val="0"/>
      <w:marRight w:val="0"/>
      <w:marTop w:val="0"/>
      <w:marBottom w:val="0"/>
      <w:divBdr>
        <w:top w:val="none" w:sz="0" w:space="0" w:color="auto"/>
        <w:left w:val="none" w:sz="0" w:space="0" w:color="auto"/>
        <w:bottom w:val="none" w:sz="0" w:space="0" w:color="auto"/>
        <w:right w:val="none" w:sz="0" w:space="0" w:color="auto"/>
      </w:divBdr>
    </w:div>
    <w:div w:id="844169509">
      <w:bodyDiv w:val="1"/>
      <w:marLeft w:val="0"/>
      <w:marRight w:val="0"/>
      <w:marTop w:val="0"/>
      <w:marBottom w:val="0"/>
      <w:divBdr>
        <w:top w:val="none" w:sz="0" w:space="0" w:color="auto"/>
        <w:left w:val="none" w:sz="0" w:space="0" w:color="auto"/>
        <w:bottom w:val="none" w:sz="0" w:space="0" w:color="auto"/>
        <w:right w:val="none" w:sz="0" w:space="0" w:color="auto"/>
      </w:divBdr>
      <w:divsChild>
        <w:div w:id="268511877">
          <w:marLeft w:val="0"/>
          <w:marRight w:val="0"/>
          <w:marTop w:val="0"/>
          <w:marBottom w:val="0"/>
          <w:divBdr>
            <w:top w:val="none" w:sz="0" w:space="0" w:color="auto"/>
            <w:left w:val="none" w:sz="0" w:space="0" w:color="auto"/>
            <w:bottom w:val="none" w:sz="0" w:space="0" w:color="auto"/>
            <w:right w:val="none" w:sz="0" w:space="0" w:color="auto"/>
          </w:divBdr>
        </w:div>
      </w:divsChild>
    </w:div>
    <w:div w:id="847596284">
      <w:bodyDiv w:val="1"/>
      <w:marLeft w:val="0"/>
      <w:marRight w:val="0"/>
      <w:marTop w:val="0"/>
      <w:marBottom w:val="0"/>
      <w:divBdr>
        <w:top w:val="none" w:sz="0" w:space="0" w:color="auto"/>
        <w:left w:val="none" w:sz="0" w:space="0" w:color="auto"/>
        <w:bottom w:val="none" w:sz="0" w:space="0" w:color="auto"/>
        <w:right w:val="none" w:sz="0" w:space="0" w:color="auto"/>
      </w:divBdr>
    </w:div>
    <w:div w:id="918909411">
      <w:bodyDiv w:val="1"/>
      <w:marLeft w:val="0"/>
      <w:marRight w:val="0"/>
      <w:marTop w:val="0"/>
      <w:marBottom w:val="0"/>
      <w:divBdr>
        <w:top w:val="none" w:sz="0" w:space="0" w:color="auto"/>
        <w:left w:val="none" w:sz="0" w:space="0" w:color="auto"/>
        <w:bottom w:val="none" w:sz="0" w:space="0" w:color="auto"/>
        <w:right w:val="none" w:sz="0" w:space="0" w:color="auto"/>
      </w:divBdr>
    </w:div>
    <w:div w:id="952517318">
      <w:bodyDiv w:val="1"/>
      <w:marLeft w:val="0"/>
      <w:marRight w:val="0"/>
      <w:marTop w:val="0"/>
      <w:marBottom w:val="0"/>
      <w:divBdr>
        <w:top w:val="none" w:sz="0" w:space="0" w:color="auto"/>
        <w:left w:val="none" w:sz="0" w:space="0" w:color="auto"/>
        <w:bottom w:val="none" w:sz="0" w:space="0" w:color="auto"/>
        <w:right w:val="none" w:sz="0" w:space="0" w:color="auto"/>
      </w:divBdr>
    </w:div>
    <w:div w:id="1046489604">
      <w:bodyDiv w:val="1"/>
      <w:marLeft w:val="0"/>
      <w:marRight w:val="0"/>
      <w:marTop w:val="0"/>
      <w:marBottom w:val="0"/>
      <w:divBdr>
        <w:top w:val="none" w:sz="0" w:space="0" w:color="auto"/>
        <w:left w:val="none" w:sz="0" w:space="0" w:color="auto"/>
        <w:bottom w:val="none" w:sz="0" w:space="0" w:color="auto"/>
        <w:right w:val="none" w:sz="0" w:space="0" w:color="auto"/>
      </w:divBdr>
    </w:div>
    <w:div w:id="1060593202">
      <w:bodyDiv w:val="1"/>
      <w:marLeft w:val="0"/>
      <w:marRight w:val="0"/>
      <w:marTop w:val="0"/>
      <w:marBottom w:val="0"/>
      <w:divBdr>
        <w:top w:val="none" w:sz="0" w:space="0" w:color="auto"/>
        <w:left w:val="none" w:sz="0" w:space="0" w:color="auto"/>
        <w:bottom w:val="none" w:sz="0" w:space="0" w:color="auto"/>
        <w:right w:val="none" w:sz="0" w:space="0" w:color="auto"/>
      </w:divBdr>
    </w:div>
    <w:div w:id="1091272154">
      <w:bodyDiv w:val="1"/>
      <w:marLeft w:val="0"/>
      <w:marRight w:val="0"/>
      <w:marTop w:val="0"/>
      <w:marBottom w:val="0"/>
      <w:divBdr>
        <w:top w:val="none" w:sz="0" w:space="0" w:color="auto"/>
        <w:left w:val="none" w:sz="0" w:space="0" w:color="auto"/>
        <w:bottom w:val="none" w:sz="0" w:space="0" w:color="auto"/>
        <w:right w:val="none" w:sz="0" w:space="0" w:color="auto"/>
      </w:divBdr>
    </w:div>
    <w:div w:id="1166555772">
      <w:bodyDiv w:val="1"/>
      <w:marLeft w:val="0"/>
      <w:marRight w:val="0"/>
      <w:marTop w:val="0"/>
      <w:marBottom w:val="0"/>
      <w:divBdr>
        <w:top w:val="none" w:sz="0" w:space="0" w:color="auto"/>
        <w:left w:val="none" w:sz="0" w:space="0" w:color="auto"/>
        <w:bottom w:val="none" w:sz="0" w:space="0" w:color="auto"/>
        <w:right w:val="none" w:sz="0" w:space="0" w:color="auto"/>
      </w:divBdr>
    </w:div>
    <w:div w:id="1174954740">
      <w:bodyDiv w:val="1"/>
      <w:marLeft w:val="0"/>
      <w:marRight w:val="0"/>
      <w:marTop w:val="0"/>
      <w:marBottom w:val="0"/>
      <w:divBdr>
        <w:top w:val="none" w:sz="0" w:space="0" w:color="auto"/>
        <w:left w:val="none" w:sz="0" w:space="0" w:color="auto"/>
        <w:bottom w:val="none" w:sz="0" w:space="0" w:color="auto"/>
        <w:right w:val="none" w:sz="0" w:space="0" w:color="auto"/>
      </w:divBdr>
    </w:div>
    <w:div w:id="1227835410">
      <w:bodyDiv w:val="1"/>
      <w:marLeft w:val="0"/>
      <w:marRight w:val="0"/>
      <w:marTop w:val="0"/>
      <w:marBottom w:val="0"/>
      <w:divBdr>
        <w:top w:val="none" w:sz="0" w:space="0" w:color="auto"/>
        <w:left w:val="none" w:sz="0" w:space="0" w:color="auto"/>
        <w:bottom w:val="none" w:sz="0" w:space="0" w:color="auto"/>
        <w:right w:val="none" w:sz="0" w:space="0" w:color="auto"/>
      </w:divBdr>
    </w:div>
    <w:div w:id="1263804358">
      <w:bodyDiv w:val="1"/>
      <w:marLeft w:val="0"/>
      <w:marRight w:val="0"/>
      <w:marTop w:val="0"/>
      <w:marBottom w:val="0"/>
      <w:divBdr>
        <w:top w:val="none" w:sz="0" w:space="0" w:color="auto"/>
        <w:left w:val="none" w:sz="0" w:space="0" w:color="auto"/>
        <w:bottom w:val="none" w:sz="0" w:space="0" w:color="auto"/>
        <w:right w:val="none" w:sz="0" w:space="0" w:color="auto"/>
      </w:divBdr>
    </w:div>
    <w:div w:id="1382900201">
      <w:bodyDiv w:val="1"/>
      <w:marLeft w:val="0"/>
      <w:marRight w:val="0"/>
      <w:marTop w:val="0"/>
      <w:marBottom w:val="0"/>
      <w:divBdr>
        <w:top w:val="none" w:sz="0" w:space="0" w:color="auto"/>
        <w:left w:val="none" w:sz="0" w:space="0" w:color="auto"/>
        <w:bottom w:val="none" w:sz="0" w:space="0" w:color="auto"/>
        <w:right w:val="none" w:sz="0" w:space="0" w:color="auto"/>
      </w:divBdr>
    </w:div>
    <w:div w:id="1402757127">
      <w:bodyDiv w:val="1"/>
      <w:marLeft w:val="0"/>
      <w:marRight w:val="0"/>
      <w:marTop w:val="0"/>
      <w:marBottom w:val="0"/>
      <w:divBdr>
        <w:top w:val="none" w:sz="0" w:space="0" w:color="auto"/>
        <w:left w:val="none" w:sz="0" w:space="0" w:color="auto"/>
        <w:bottom w:val="none" w:sz="0" w:space="0" w:color="auto"/>
        <w:right w:val="none" w:sz="0" w:space="0" w:color="auto"/>
      </w:divBdr>
    </w:div>
    <w:div w:id="1410613168">
      <w:bodyDiv w:val="1"/>
      <w:marLeft w:val="0"/>
      <w:marRight w:val="0"/>
      <w:marTop w:val="0"/>
      <w:marBottom w:val="0"/>
      <w:divBdr>
        <w:top w:val="none" w:sz="0" w:space="0" w:color="auto"/>
        <w:left w:val="none" w:sz="0" w:space="0" w:color="auto"/>
        <w:bottom w:val="none" w:sz="0" w:space="0" w:color="auto"/>
        <w:right w:val="none" w:sz="0" w:space="0" w:color="auto"/>
      </w:divBdr>
    </w:div>
    <w:div w:id="1586450312">
      <w:bodyDiv w:val="1"/>
      <w:marLeft w:val="0"/>
      <w:marRight w:val="0"/>
      <w:marTop w:val="0"/>
      <w:marBottom w:val="0"/>
      <w:divBdr>
        <w:top w:val="none" w:sz="0" w:space="0" w:color="auto"/>
        <w:left w:val="none" w:sz="0" w:space="0" w:color="auto"/>
        <w:bottom w:val="none" w:sz="0" w:space="0" w:color="auto"/>
        <w:right w:val="none" w:sz="0" w:space="0" w:color="auto"/>
      </w:divBdr>
    </w:div>
    <w:div w:id="1749231915">
      <w:bodyDiv w:val="1"/>
      <w:marLeft w:val="0"/>
      <w:marRight w:val="0"/>
      <w:marTop w:val="0"/>
      <w:marBottom w:val="0"/>
      <w:divBdr>
        <w:top w:val="none" w:sz="0" w:space="0" w:color="auto"/>
        <w:left w:val="none" w:sz="0" w:space="0" w:color="auto"/>
        <w:bottom w:val="none" w:sz="0" w:space="0" w:color="auto"/>
        <w:right w:val="none" w:sz="0" w:space="0" w:color="auto"/>
      </w:divBdr>
    </w:div>
    <w:div w:id="1859079130">
      <w:bodyDiv w:val="1"/>
      <w:marLeft w:val="0"/>
      <w:marRight w:val="0"/>
      <w:marTop w:val="0"/>
      <w:marBottom w:val="0"/>
      <w:divBdr>
        <w:top w:val="none" w:sz="0" w:space="0" w:color="auto"/>
        <w:left w:val="none" w:sz="0" w:space="0" w:color="auto"/>
        <w:bottom w:val="none" w:sz="0" w:space="0" w:color="auto"/>
        <w:right w:val="none" w:sz="0" w:space="0" w:color="auto"/>
      </w:divBdr>
    </w:div>
    <w:div w:id="1888368145">
      <w:bodyDiv w:val="1"/>
      <w:marLeft w:val="0"/>
      <w:marRight w:val="0"/>
      <w:marTop w:val="0"/>
      <w:marBottom w:val="0"/>
      <w:divBdr>
        <w:top w:val="none" w:sz="0" w:space="0" w:color="auto"/>
        <w:left w:val="none" w:sz="0" w:space="0" w:color="auto"/>
        <w:bottom w:val="none" w:sz="0" w:space="0" w:color="auto"/>
        <w:right w:val="none" w:sz="0" w:space="0" w:color="auto"/>
      </w:divBdr>
    </w:div>
    <w:div w:id="20841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C742-E1BA-E641-BD9F-04F3E6D8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2552</TotalTime>
  <Pages>14</Pages>
  <Words>6113</Words>
  <Characters>36558</Characters>
  <Application>Microsoft Office Word</Application>
  <DocSecurity>0</DocSecurity>
  <Lines>1305</Lines>
  <Paragraphs>775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claudia.camerini</dc:creator>
  <cp:keywords/>
  <cp:lastModifiedBy>Danilo Boffa</cp:lastModifiedBy>
  <cp:revision>277</cp:revision>
  <dcterms:created xsi:type="dcterms:W3CDTF">2021-08-04T10:03:00Z</dcterms:created>
  <dcterms:modified xsi:type="dcterms:W3CDTF">2021-09-21T10:03:00Z</dcterms:modified>
</cp:coreProperties>
</file>