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3A2" w:rsidRPr="00743AC4" w:rsidRDefault="009973A2" w:rsidP="009973A2">
      <w:pPr>
        <w:ind w:firstLine="0"/>
        <w:jc w:val="center"/>
        <w:rPr>
          <w:rFonts w:cs="Times New Roman"/>
          <w:b/>
          <w:sz w:val="28"/>
          <w:szCs w:val="28"/>
        </w:rPr>
      </w:pPr>
      <w:proofErr w:type="spellStart"/>
      <w:r w:rsidRPr="00743AC4">
        <w:rPr>
          <w:rFonts w:eastAsia="Calibri" w:cs="Times New Roman"/>
          <w:b/>
          <w:bCs/>
          <w:color w:val="000000" w:themeColor="text1"/>
          <w:sz w:val="28"/>
          <w:szCs w:val="28"/>
          <w:lang w:val="fr-FR"/>
        </w:rPr>
        <w:t>Determinants</w:t>
      </w:r>
      <w:proofErr w:type="spellEnd"/>
      <w:r w:rsidRPr="00743AC4">
        <w:rPr>
          <w:rFonts w:eastAsia="Calibri" w:cs="Times New Roman"/>
          <w:b/>
          <w:bCs/>
          <w:color w:val="000000" w:themeColor="text1"/>
          <w:sz w:val="28"/>
          <w:szCs w:val="28"/>
          <w:lang w:val="fr-FR"/>
        </w:rPr>
        <w:t xml:space="preserve"> of </w:t>
      </w:r>
      <w:proofErr w:type="spellStart"/>
      <w:r w:rsidRPr="00743AC4">
        <w:rPr>
          <w:rFonts w:eastAsia="Calibri" w:cs="Times New Roman"/>
          <w:b/>
          <w:bCs/>
          <w:color w:val="000000" w:themeColor="text1"/>
          <w:sz w:val="28"/>
          <w:szCs w:val="28"/>
          <w:lang w:val="fr-FR"/>
        </w:rPr>
        <w:t>Foreign</w:t>
      </w:r>
      <w:proofErr w:type="spellEnd"/>
      <w:r w:rsidRPr="00743AC4">
        <w:rPr>
          <w:rFonts w:eastAsia="Calibri" w:cs="Times New Roman"/>
          <w:b/>
          <w:bCs/>
          <w:color w:val="000000" w:themeColor="text1"/>
          <w:sz w:val="28"/>
          <w:szCs w:val="28"/>
          <w:lang w:val="fr-FR"/>
        </w:rPr>
        <w:t xml:space="preserve"> Direct </w:t>
      </w:r>
      <w:proofErr w:type="gramStart"/>
      <w:r w:rsidRPr="00743AC4">
        <w:rPr>
          <w:rFonts w:eastAsia="Calibri" w:cs="Times New Roman"/>
          <w:b/>
          <w:bCs/>
          <w:color w:val="000000" w:themeColor="text1"/>
          <w:sz w:val="28"/>
          <w:szCs w:val="28"/>
          <w:lang w:val="fr-FR"/>
        </w:rPr>
        <w:t>Investment:</w:t>
      </w:r>
      <w:proofErr w:type="gramEnd"/>
      <w:r w:rsidRPr="00743AC4">
        <w:rPr>
          <w:rFonts w:eastAsia="Calibri" w:cs="Times New Roman"/>
          <w:b/>
          <w:bCs/>
          <w:color w:val="000000" w:themeColor="text1"/>
          <w:sz w:val="28"/>
          <w:szCs w:val="28"/>
          <w:lang w:val="fr-FR"/>
        </w:rPr>
        <w:t xml:space="preserve"> </w:t>
      </w:r>
      <w:r w:rsidRPr="00743AC4">
        <w:rPr>
          <w:rFonts w:eastAsia="Calibri" w:cs="Times New Roman"/>
          <w:b/>
          <w:bCs/>
          <w:color w:val="000000" w:themeColor="text1"/>
          <w:sz w:val="28"/>
          <w:szCs w:val="28"/>
          <w:lang w:val="pt-BR"/>
        </w:rPr>
        <w:t>Empirical Evidence for Subsaharan Africa Countries</w:t>
      </w:r>
    </w:p>
    <w:p w:rsidR="009973A2" w:rsidRPr="00743AC4" w:rsidRDefault="009973A2" w:rsidP="009973A2">
      <w:pPr>
        <w:rPr>
          <w:rFonts w:cs="Times New Roman"/>
          <w:b/>
          <w:szCs w:val="24"/>
        </w:rPr>
      </w:pPr>
    </w:p>
    <w:p w:rsidR="009973A2" w:rsidRPr="00743AC4" w:rsidRDefault="009973A2" w:rsidP="009973A2">
      <w:pPr>
        <w:rPr>
          <w:rFonts w:cs="Times New Roman"/>
          <w:b/>
          <w:szCs w:val="24"/>
        </w:rPr>
      </w:pPr>
    </w:p>
    <w:p w:rsidR="009973A2" w:rsidRPr="00743AC4" w:rsidRDefault="009973A2" w:rsidP="009973A2">
      <w:pPr>
        <w:ind w:firstLine="0"/>
        <w:rPr>
          <w:rFonts w:cs="Times New Roman"/>
          <w:lang w:val="fr-FR"/>
        </w:rPr>
      </w:pPr>
      <w:proofErr w:type="spellStart"/>
      <w:r w:rsidRPr="00743AC4">
        <w:rPr>
          <w:rFonts w:cs="Times New Roman"/>
          <w:b/>
        </w:rPr>
        <w:t>Abstrat</w:t>
      </w:r>
      <w:proofErr w:type="spellEnd"/>
      <w:r w:rsidRPr="00743AC4">
        <w:rPr>
          <w:rFonts w:cs="Times New Roman"/>
          <w:b/>
        </w:rPr>
        <w:t>:</w:t>
      </w:r>
      <w:r w:rsidRPr="00743AC4">
        <w:rPr>
          <w:rFonts w:cs="Times New Roman"/>
        </w:rPr>
        <w:t xml:space="preserve"> </w:t>
      </w:r>
      <w:proofErr w:type="spellStart"/>
      <w:r w:rsidRPr="00743AC4">
        <w:rPr>
          <w:rFonts w:cs="Times New Roman"/>
        </w:rPr>
        <w:t>This</w:t>
      </w:r>
      <w:proofErr w:type="spellEnd"/>
      <w:r w:rsidRPr="00743AC4">
        <w:rPr>
          <w:rFonts w:cs="Times New Roman"/>
        </w:rPr>
        <w:t xml:space="preserve"> </w:t>
      </w:r>
      <w:proofErr w:type="spellStart"/>
      <w:r w:rsidRPr="00743AC4">
        <w:rPr>
          <w:rFonts w:cs="Times New Roman"/>
        </w:rPr>
        <w:t>article</w:t>
      </w:r>
      <w:proofErr w:type="spellEnd"/>
      <w:r w:rsidRPr="00743AC4">
        <w:rPr>
          <w:rFonts w:cs="Times New Roman"/>
        </w:rPr>
        <w:t xml:space="preserve"> </w:t>
      </w:r>
      <w:proofErr w:type="spellStart"/>
      <w:r w:rsidRPr="00743AC4">
        <w:rPr>
          <w:rFonts w:cs="Times New Roman"/>
        </w:rPr>
        <w:t>seeks</w:t>
      </w:r>
      <w:proofErr w:type="spellEnd"/>
      <w:r w:rsidRPr="00743AC4">
        <w:rPr>
          <w:rFonts w:cs="Times New Roman"/>
        </w:rPr>
        <w:t xml:space="preserve"> to </w:t>
      </w:r>
      <w:proofErr w:type="spellStart"/>
      <w:r w:rsidRPr="00743AC4">
        <w:rPr>
          <w:rFonts w:cs="Times New Roman"/>
        </w:rPr>
        <w:t>strengthen</w:t>
      </w:r>
      <w:proofErr w:type="spellEnd"/>
      <w:r w:rsidRPr="00743AC4">
        <w:rPr>
          <w:rFonts w:cs="Times New Roman"/>
        </w:rPr>
        <w:t xml:space="preserve"> </w:t>
      </w:r>
      <w:proofErr w:type="spellStart"/>
      <w:r w:rsidRPr="00743AC4">
        <w:rPr>
          <w:rFonts w:cs="Times New Roman"/>
        </w:rPr>
        <w:t>the</w:t>
      </w:r>
      <w:proofErr w:type="spellEnd"/>
      <w:r w:rsidRPr="00743AC4">
        <w:rPr>
          <w:rFonts w:cs="Times New Roman"/>
        </w:rPr>
        <w:t xml:space="preserve"> FDI </w:t>
      </w:r>
      <w:proofErr w:type="spellStart"/>
      <w:r w:rsidRPr="00743AC4">
        <w:rPr>
          <w:rFonts w:cs="Times New Roman"/>
        </w:rPr>
        <w:t>literature</w:t>
      </w:r>
      <w:proofErr w:type="spellEnd"/>
      <w:r w:rsidRPr="00743AC4">
        <w:rPr>
          <w:rFonts w:cs="Times New Roman"/>
        </w:rPr>
        <w:t xml:space="preserve"> in </w:t>
      </w:r>
      <w:proofErr w:type="spellStart"/>
      <w:r w:rsidRPr="00743AC4">
        <w:rPr>
          <w:rFonts w:cs="Times New Roman"/>
        </w:rPr>
        <w:t>the</w:t>
      </w:r>
      <w:proofErr w:type="spellEnd"/>
      <w:r w:rsidRPr="00743AC4">
        <w:rPr>
          <w:rFonts w:cs="Times New Roman"/>
        </w:rPr>
        <w:t xml:space="preserve"> </w:t>
      </w:r>
      <w:proofErr w:type="spellStart"/>
      <w:r w:rsidRPr="00743AC4">
        <w:rPr>
          <w:rFonts w:cs="Times New Roman"/>
        </w:rPr>
        <w:t>context</w:t>
      </w:r>
      <w:proofErr w:type="spellEnd"/>
      <w:r w:rsidRPr="00743AC4">
        <w:rPr>
          <w:rFonts w:cs="Times New Roman"/>
        </w:rPr>
        <w:t xml:space="preserve"> </w:t>
      </w:r>
      <w:proofErr w:type="spellStart"/>
      <w:r w:rsidRPr="00743AC4">
        <w:rPr>
          <w:rFonts w:cs="Times New Roman"/>
        </w:rPr>
        <w:t>of</w:t>
      </w:r>
      <w:proofErr w:type="spellEnd"/>
      <w:r w:rsidRPr="00743AC4">
        <w:rPr>
          <w:rFonts w:cs="Times New Roman"/>
        </w:rPr>
        <w:t xml:space="preserve"> </w:t>
      </w:r>
      <w:proofErr w:type="spellStart"/>
      <w:r w:rsidRPr="00743AC4">
        <w:rPr>
          <w:rFonts w:cs="Times New Roman"/>
        </w:rPr>
        <w:t>sub-Saharan</w:t>
      </w:r>
      <w:proofErr w:type="spellEnd"/>
      <w:r w:rsidRPr="00743AC4">
        <w:rPr>
          <w:rFonts w:cs="Times New Roman"/>
        </w:rPr>
        <w:t xml:space="preserve"> </w:t>
      </w:r>
      <w:proofErr w:type="spellStart"/>
      <w:r w:rsidRPr="00743AC4">
        <w:rPr>
          <w:rFonts w:cs="Times New Roman"/>
        </w:rPr>
        <w:t>African</w:t>
      </w:r>
      <w:proofErr w:type="spellEnd"/>
      <w:r w:rsidRPr="00743AC4">
        <w:rPr>
          <w:rFonts w:cs="Times New Roman"/>
        </w:rPr>
        <w:t xml:space="preserve"> countries </w:t>
      </w:r>
      <w:proofErr w:type="spellStart"/>
      <w:r w:rsidRPr="00743AC4">
        <w:rPr>
          <w:rFonts w:cs="Times New Roman"/>
        </w:rPr>
        <w:t>by</w:t>
      </w:r>
      <w:proofErr w:type="spellEnd"/>
      <w:r w:rsidRPr="00743AC4">
        <w:rPr>
          <w:rFonts w:cs="Times New Roman"/>
        </w:rPr>
        <w:t xml:space="preserve"> </w:t>
      </w:r>
      <w:proofErr w:type="spellStart"/>
      <w:r w:rsidRPr="00743AC4">
        <w:rPr>
          <w:rFonts w:cs="Times New Roman"/>
        </w:rPr>
        <w:t>analyzing</w:t>
      </w:r>
      <w:proofErr w:type="spellEnd"/>
      <w:r w:rsidRPr="00743AC4">
        <w:rPr>
          <w:rFonts w:cs="Times New Roman"/>
        </w:rPr>
        <w:t xml:space="preserve"> </w:t>
      </w:r>
      <w:proofErr w:type="spellStart"/>
      <w:r w:rsidRPr="00743AC4">
        <w:rPr>
          <w:rFonts w:cs="Times New Roman"/>
        </w:rPr>
        <w:t>the</w:t>
      </w:r>
      <w:proofErr w:type="spellEnd"/>
      <w:r w:rsidRPr="00743AC4">
        <w:rPr>
          <w:rFonts w:cs="Times New Roman"/>
        </w:rPr>
        <w:t xml:space="preserve"> </w:t>
      </w:r>
      <w:proofErr w:type="spellStart"/>
      <w:r w:rsidRPr="00743AC4">
        <w:rPr>
          <w:rFonts w:cs="Times New Roman"/>
        </w:rPr>
        <w:t>factors</w:t>
      </w:r>
      <w:proofErr w:type="spellEnd"/>
      <w:r w:rsidRPr="00743AC4">
        <w:rPr>
          <w:rFonts w:cs="Times New Roman"/>
        </w:rPr>
        <w:t xml:space="preserve"> </w:t>
      </w:r>
      <w:proofErr w:type="spellStart"/>
      <w:r w:rsidRPr="00743AC4">
        <w:rPr>
          <w:rFonts w:cs="Times New Roman"/>
        </w:rPr>
        <w:t>that</w:t>
      </w:r>
      <w:proofErr w:type="spellEnd"/>
      <w:r w:rsidRPr="00743AC4">
        <w:rPr>
          <w:rFonts w:cs="Times New Roman"/>
        </w:rPr>
        <w:t xml:space="preserve"> drive </w:t>
      </w:r>
      <w:proofErr w:type="spellStart"/>
      <w:r w:rsidRPr="00743AC4">
        <w:rPr>
          <w:rFonts w:cs="Times New Roman"/>
        </w:rPr>
        <w:t>this</w:t>
      </w:r>
      <w:proofErr w:type="spellEnd"/>
      <w:r w:rsidRPr="00743AC4">
        <w:rPr>
          <w:rFonts w:cs="Times New Roman"/>
        </w:rPr>
        <w:t xml:space="preserve"> </w:t>
      </w:r>
      <w:proofErr w:type="spellStart"/>
      <w:r w:rsidRPr="00743AC4">
        <w:rPr>
          <w:rFonts w:cs="Times New Roman"/>
        </w:rPr>
        <w:t>type</w:t>
      </w:r>
      <w:proofErr w:type="spellEnd"/>
      <w:r w:rsidRPr="00743AC4">
        <w:rPr>
          <w:rFonts w:cs="Times New Roman"/>
        </w:rPr>
        <w:t xml:space="preserve"> </w:t>
      </w:r>
      <w:proofErr w:type="spellStart"/>
      <w:r w:rsidRPr="00743AC4">
        <w:rPr>
          <w:rFonts w:cs="Times New Roman"/>
        </w:rPr>
        <w:t>of</w:t>
      </w:r>
      <w:proofErr w:type="spellEnd"/>
      <w:r w:rsidRPr="00743AC4">
        <w:rPr>
          <w:rFonts w:cs="Times New Roman"/>
        </w:rPr>
        <w:t xml:space="preserve"> </w:t>
      </w:r>
      <w:proofErr w:type="spellStart"/>
      <w:r w:rsidRPr="00743AC4">
        <w:rPr>
          <w:rFonts w:cs="Times New Roman"/>
        </w:rPr>
        <w:t>investment</w:t>
      </w:r>
      <w:proofErr w:type="spellEnd"/>
      <w:r w:rsidRPr="00743AC4">
        <w:rPr>
          <w:rFonts w:cs="Times New Roman"/>
        </w:rPr>
        <w:t xml:space="preserve"> for </w:t>
      </w:r>
      <w:proofErr w:type="spellStart"/>
      <w:r w:rsidRPr="00743AC4">
        <w:rPr>
          <w:rFonts w:cs="Times New Roman"/>
        </w:rPr>
        <w:t>twenty-eight</w:t>
      </w:r>
      <w:proofErr w:type="spellEnd"/>
      <w:r w:rsidRPr="00743AC4">
        <w:rPr>
          <w:rFonts w:cs="Times New Roman"/>
        </w:rPr>
        <w:t xml:space="preserve"> countries in </w:t>
      </w:r>
      <w:proofErr w:type="spellStart"/>
      <w:r w:rsidRPr="00743AC4">
        <w:rPr>
          <w:rFonts w:cs="Times New Roman"/>
        </w:rPr>
        <w:t>the</w:t>
      </w:r>
      <w:proofErr w:type="spellEnd"/>
      <w:r w:rsidRPr="00743AC4">
        <w:rPr>
          <w:rFonts w:cs="Times New Roman"/>
        </w:rPr>
        <w:t xml:space="preserve"> </w:t>
      </w:r>
      <w:proofErr w:type="spellStart"/>
      <w:r w:rsidRPr="00743AC4">
        <w:rPr>
          <w:rFonts w:cs="Times New Roman"/>
        </w:rPr>
        <w:t>region</w:t>
      </w:r>
      <w:proofErr w:type="spellEnd"/>
      <w:r w:rsidRPr="00743AC4">
        <w:rPr>
          <w:rFonts w:cs="Times New Roman"/>
        </w:rPr>
        <w:t xml:space="preserve"> </w:t>
      </w:r>
      <w:proofErr w:type="spellStart"/>
      <w:r w:rsidRPr="00743AC4">
        <w:rPr>
          <w:rFonts w:cs="Times New Roman"/>
        </w:rPr>
        <w:t>between</w:t>
      </w:r>
      <w:proofErr w:type="spellEnd"/>
      <w:r w:rsidRPr="00743AC4">
        <w:rPr>
          <w:rFonts w:cs="Times New Roman"/>
        </w:rPr>
        <w:t xml:space="preserve"> 2002 </w:t>
      </w:r>
      <w:proofErr w:type="spellStart"/>
      <w:r w:rsidRPr="00743AC4">
        <w:rPr>
          <w:rFonts w:cs="Times New Roman"/>
        </w:rPr>
        <w:t>and</w:t>
      </w:r>
      <w:proofErr w:type="spellEnd"/>
      <w:r w:rsidRPr="00743AC4">
        <w:rPr>
          <w:rFonts w:cs="Times New Roman"/>
        </w:rPr>
        <w:t xml:space="preserve"> 2017. </w:t>
      </w:r>
      <w:proofErr w:type="spellStart"/>
      <w:r w:rsidRPr="00743AC4">
        <w:rPr>
          <w:rFonts w:cs="Times New Roman"/>
        </w:rPr>
        <w:t>Given</w:t>
      </w:r>
      <w:proofErr w:type="spellEnd"/>
      <w:r w:rsidRPr="00743AC4">
        <w:rPr>
          <w:rFonts w:cs="Times New Roman"/>
        </w:rPr>
        <w:t xml:space="preserve"> </w:t>
      </w:r>
      <w:proofErr w:type="spellStart"/>
      <w:r w:rsidRPr="00743AC4">
        <w:rPr>
          <w:rFonts w:cs="Times New Roman"/>
        </w:rPr>
        <w:t>that</w:t>
      </w:r>
      <w:proofErr w:type="spellEnd"/>
      <w:r w:rsidRPr="00743AC4">
        <w:rPr>
          <w:rFonts w:cs="Times New Roman"/>
        </w:rPr>
        <w:t xml:space="preserve"> FDI </w:t>
      </w:r>
      <w:proofErr w:type="spellStart"/>
      <w:r w:rsidRPr="00743AC4">
        <w:rPr>
          <w:rFonts w:cs="Times New Roman"/>
        </w:rPr>
        <w:t>is</w:t>
      </w:r>
      <w:proofErr w:type="spellEnd"/>
      <w:r w:rsidRPr="00743AC4">
        <w:rPr>
          <w:rFonts w:cs="Times New Roman"/>
        </w:rPr>
        <w:t xml:space="preserve"> </w:t>
      </w:r>
      <w:proofErr w:type="spellStart"/>
      <w:r w:rsidRPr="00743AC4">
        <w:rPr>
          <w:rFonts w:cs="Times New Roman"/>
        </w:rPr>
        <w:t>related</w:t>
      </w:r>
      <w:proofErr w:type="spellEnd"/>
      <w:r w:rsidRPr="00743AC4">
        <w:rPr>
          <w:rFonts w:cs="Times New Roman"/>
        </w:rPr>
        <w:t xml:space="preserve"> to </w:t>
      </w:r>
      <w:proofErr w:type="spellStart"/>
      <w:r w:rsidRPr="00743AC4">
        <w:rPr>
          <w:rFonts w:cs="Times New Roman"/>
        </w:rPr>
        <w:t>its</w:t>
      </w:r>
      <w:proofErr w:type="spellEnd"/>
      <w:r w:rsidRPr="00743AC4">
        <w:rPr>
          <w:rFonts w:cs="Times New Roman"/>
        </w:rPr>
        <w:t xml:space="preserve"> </w:t>
      </w:r>
      <w:proofErr w:type="spellStart"/>
      <w:r w:rsidRPr="00743AC4">
        <w:rPr>
          <w:rFonts w:cs="Times New Roman"/>
        </w:rPr>
        <w:t>past</w:t>
      </w:r>
      <w:proofErr w:type="spellEnd"/>
      <w:r w:rsidRPr="00743AC4">
        <w:rPr>
          <w:rFonts w:cs="Times New Roman"/>
        </w:rPr>
        <w:t xml:space="preserve"> </w:t>
      </w:r>
      <w:proofErr w:type="spellStart"/>
      <w:r w:rsidRPr="00743AC4">
        <w:rPr>
          <w:rFonts w:cs="Times New Roman"/>
        </w:rPr>
        <w:t>value</w:t>
      </w:r>
      <w:proofErr w:type="spellEnd"/>
      <w:r w:rsidRPr="00743AC4">
        <w:rPr>
          <w:rFonts w:cs="Times New Roman"/>
        </w:rPr>
        <w:t xml:space="preserve"> as </w:t>
      </w:r>
      <w:proofErr w:type="spellStart"/>
      <w:r w:rsidRPr="00743AC4">
        <w:rPr>
          <w:rFonts w:cs="Times New Roman"/>
        </w:rPr>
        <w:t>well</w:t>
      </w:r>
      <w:proofErr w:type="spellEnd"/>
      <w:r w:rsidRPr="00743AC4">
        <w:rPr>
          <w:rFonts w:cs="Times New Roman"/>
        </w:rPr>
        <w:t xml:space="preserve"> as to </w:t>
      </w:r>
      <w:proofErr w:type="spellStart"/>
      <w:r w:rsidRPr="00743AC4">
        <w:rPr>
          <w:rFonts w:cs="Times New Roman"/>
        </w:rPr>
        <w:t>other</w:t>
      </w:r>
      <w:proofErr w:type="spellEnd"/>
      <w:r w:rsidRPr="00743AC4">
        <w:rPr>
          <w:rFonts w:cs="Times New Roman"/>
        </w:rPr>
        <w:t xml:space="preserve"> </w:t>
      </w:r>
      <w:proofErr w:type="spellStart"/>
      <w:r w:rsidRPr="00743AC4">
        <w:rPr>
          <w:rFonts w:cs="Times New Roman"/>
        </w:rPr>
        <w:t>economic</w:t>
      </w:r>
      <w:proofErr w:type="spellEnd"/>
      <w:r w:rsidRPr="00743AC4">
        <w:rPr>
          <w:rFonts w:cs="Times New Roman"/>
        </w:rPr>
        <w:t xml:space="preserve"> series </w:t>
      </w:r>
      <w:proofErr w:type="spellStart"/>
      <w:r w:rsidRPr="00743AC4">
        <w:rPr>
          <w:rFonts w:cs="Times New Roman"/>
        </w:rPr>
        <w:t>used</w:t>
      </w:r>
      <w:proofErr w:type="spellEnd"/>
      <w:r w:rsidRPr="00743AC4">
        <w:rPr>
          <w:rFonts w:cs="Times New Roman"/>
        </w:rPr>
        <w:t xml:space="preserve"> in </w:t>
      </w:r>
      <w:proofErr w:type="spellStart"/>
      <w:r w:rsidRPr="00743AC4">
        <w:rPr>
          <w:rFonts w:cs="Times New Roman"/>
        </w:rPr>
        <w:t>this</w:t>
      </w:r>
      <w:proofErr w:type="spellEnd"/>
      <w:r w:rsidRPr="00743AC4">
        <w:rPr>
          <w:rFonts w:cs="Times New Roman"/>
        </w:rPr>
        <w:t xml:space="preserve"> </w:t>
      </w:r>
      <w:proofErr w:type="spellStart"/>
      <w:r w:rsidRPr="00743AC4">
        <w:rPr>
          <w:rFonts w:cs="Times New Roman"/>
        </w:rPr>
        <w:t>study</w:t>
      </w:r>
      <w:proofErr w:type="spellEnd"/>
      <w:r w:rsidRPr="00743AC4">
        <w:rPr>
          <w:rFonts w:cs="Times New Roman"/>
        </w:rPr>
        <w:t xml:space="preserve">, </w:t>
      </w:r>
      <w:proofErr w:type="spellStart"/>
      <w:r w:rsidRPr="00743AC4">
        <w:rPr>
          <w:rFonts w:cs="Times New Roman"/>
        </w:rPr>
        <w:t>the</w:t>
      </w:r>
      <w:proofErr w:type="spellEnd"/>
      <w:r w:rsidRPr="00743AC4">
        <w:rPr>
          <w:rFonts w:cs="Times New Roman"/>
        </w:rPr>
        <w:t xml:space="preserve"> use </w:t>
      </w:r>
      <w:proofErr w:type="spellStart"/>
      <w:r w:rsidRPr="00743AC4">
        <w:rPr>
          <w:rFonts w:cs="Times New Roman"/>
        </w:rPr>
        <w:t>of</w:t>
      </w:r>
      <w:proofErr w:type="spellEnd"/>
      <w:r w:rsidRPr="00743AC4">
        <w:rPr>
          <w:rFonts w:cs="Times New Roman"/>
        </w:rPr>
        <w:t xml:space="preserve"> </w:t>
      </w:r>
      <w:proofErr w:type="spellStart"/>
      <w:r w:rsidRPr="00743AC4">
        <w:rPr>
          <w:rFonts w:cs="Times New Roman"/>
        </w:rPr>
        <w:t>the</w:t>
      </w:r>
      <w:proofErr w:type="spellEnd"/>
      <w:r w:rsidRPr="00743AC4">
        <w:rPr>
          <w:rFonts w:cs="Times New Roman"/>
        </w:rPr>
        <w:t xml:space="preserve"> </w:t>
      </w:r>
      <w:proofErr w:type="spellStart"/>
      <w:r w:rsidRPr="00743AC4">
        <w:rPr>
          <w:rFonts w:cs="Times New Roman"/>
        </w:rPr>
        <w:t>static</w:t>
      </w:r>
      <w:proofErr w:type="spellEnd"/>
      <w:r w:rsidRPr="00743AC4">
        <w:rPr>
          <w:rFonts w:cs="Times New Roman"/>
        </w:rPr>
        <w:t xml:space="preserve"> </w:t>
      </w:r>
      <w:proofErr w:type="spellStart"/>
      <w:r w:rsidRPr="00743AC4">
        <w:rPr>
          <w:rFonts w:cs="Times New Roman"/>
        </w:rPr>
        <w:t>panel</w:t>
      </w:r>
      <w:proofErr w:type="spellEnd"/>
      <w:r w:rsidRPr="00743AC4">
        <w:rPr>
          <w:rFonts w:cs="Times New Roman"/>
        </w:rPr>
        <w:t xml:space="preserve"> </w:t>
      </w:r>
      <w:proofErr w:type="spellStart"/>
      <w:r w:rsidRPr="00743AC4">
        <w:rPr>
          <w:rFonts w:cs="Times New Roman"/>
        </w:rPr>
        <w:t>is</w:t>
      </w:r>
      <w:proofErr w:type="spellEnd"/>
      <w:r w:rsidRPr="00743AC4">
        <w:rPr>
          <w:rFonts w:cs="Times New Roman"/>
        </w:rPr>
        <w:t xml:space="preserve"> </w:t>
      </w:r>
      <w:proofErr w:type="spellStart"/>
      <w:r w:rsidRPr="00743AC4">
        <w:rPr>
          <w:rFonts w:cs="Times New Roman"/>
        </w:rPr>
        <w:t>prone</w:t>
      </w:r>
      <w:proofErr w:type="spellEnd"/>
      <w:r w:rsidRPr="00743AC4">
        <w:rPr>
          <w:rFonts w:cs="Times New Roman"/>
        </w:rPr>
        <w:t xml:space="preserve"> to some </w:t>
      </w:r>
      <w:proofErr w:type="spellStart"/>
      <w:r w:rsidRPr="00743AC4">
        <w:rPr>
          <w:rFonts w:cs="Times New Roman"/>
        </w:rPr>
        <w:t>problems</w:t>
      </w:r>
      <w:proofErr w:type="spellEnd"/>
      <w:r w:rsidRPr="00743AC4">
        <w:rPr>
          <w:rFonts w:cs="Times New Roman"/>
        </w:rPr>
        <w:t xml:space="preserve">, </w:t>
      </w:r>
      <w:proofErr w:type="spellStart"/>
      <w:r w:rsidRPr="00743AC4">
        <w:rPr>
          <w:rFonts w:cs="Times New Roman"/>
        </w:rPr>
        <w:t>especially</w:t>
      </w:r>
      <w:proofErr w:type="spellEnd"/>
      <w:r w:rsidRPr="00743AC4">
        <w:rPr>
          <w:rFonts w:cs="Times New Roman"/>
        </w:rPr>
        <w:t xml:space="preserve"> </w:t>
      </w:r>
      <w:proofErr w:type="spellStart"/>
      <w:r w:rsidRPr="00743AC4">
        <w:rPr>
          <w:rFonts w:cs="Times New Roman"/>
        </w:rPr>
        <w:t>endogeneity</w:t>
      </w:r>
      <w:proofErr w:type="spellEnd"/>
      <w:r w:rsidRPr="00743AC4">
        <w:rPr>
          <w:rFonts w:cs="Times New Roman"/>
        </w:rPr>
        <w:t xml:space="preserve">. </w:t>
      </w:r>
      <w:proofErr w:type="spellStart"/>
      <w:r w:rsidRPr="00743AC4">
        <w:rPr>
          <w:rFonts w:cs="Times New Roman"/>
        </w:rPr>
        <w:t>Therefore</w:t>
      </w:r>
      <w:proofErr w:type="spellEnd"/>
      <w:r w:rsidRPr="00743AC4">
        <w:rPr>
          <w:rFonts w:cs="Times New Roman"/>
        </w:rPr>
        <w:t xml:space="preserve">, </w:t>
      </w:r>
      <w:proofErr w:type="spellStart"/>
      <w:r w:rsidRPr="00743AC4">
        <w:rPr>
          <w:rFonts w:cs="Times New Roman"/>
        </w:rPr>
        <w:t>the</w:t>
      </w:r>
      <w:proofErr w:type="spellEnd"/>
      <w:r w:rsidRPr="00743AC4">
        <w:rPr>
          <w:rFonts w:cs="Times New Roman"/>
        </w:rPr>
        <w:t xml:space="preserve"> </w:t>
      </w:r>
      <w:proofErr w:type="spellStart"/>
      <w:r w:rsidRPr="00743AC4">
        <w:rPr>
          <w:rFonts w:cs="Times New Roman"/>
        </w:rPr>
        <w:t>empirical</w:t>
      </w:r>
      <w:proofErr w:type="spellEnd"/>
      <w:r w:rsidRPr="00743AC4">
        <w:rPr>
          <w:rFonts w:cs="Times New Roman"/>
        </w:rPr>
        <w:t xml:space="preserve"> </w:t>
      </w:r>
      <w:proofErr w:type="spellStart"/>
      <w:r w:rsidRPr="00743AC4">
        <w:rPr>
          <w:rFonts w:cs="Times New Roman"/>
        </w:rPr>
        <w:t>strategy</w:t>
      </w:r>
      <w:proofErr w:type="spellEnd"/>
      <w:r w:rsidRPr="00743AC4">
        <w:rPr>
          <w:rFonts w:cs="Times New Roman"/>
        </w:rPr>
        <w:t xml:space="preserve"> </w:t>
      </w:r>
      <w:proofErr w:type="spellStart"/>
      <w:r w:rsidRPr="00743AC4">
        <w:rPr>
          <w:rFonts w:cs="Times New Roman"/>
        </w:rPr>
        <w:t>adopted</w:t>
      </w:r>
      <w:proofErr w:type="spellEnd"/>
      <w:r w:rsidRPr="00743AC4">
        <w:rPr>
          <w:rFonts w:cs="Times New Roman"/>
        </w:rPr>
        <w:t xml:space="preserve"> </w:t>
      </w:r>
      <w:proofErr w:type="spellStart"/>
      <w:r w:rsidRPr="00743AC4">
        <w:rPr>
          <w:rFonts w:cs="Times New Roman"/>
        </w:rPr>
        <w:t>was</w:t>
      </w:r>
      <w:proofErr w:type="spellEnd"/>
      <w:r w:rsidRPr="00743AC4">
        <w:rPr>
          <w:rFonts w:cs="Times New Roman"/>
        </w:rPr>
        <w:t xml:space="preserve"> </w:t>
      </w:r>
      <w:proofErr w:type="spellStart"/>
      <w:r w:rsidRPr="00743AC4">
        <w:rPr>
          <w:rFonts w:cs="Times New Roman"/>
        </w:rPr>
        <w:t>the</w:t>
      </w:r>
      <w:proofErr w:type="spellEnd"/>
      <w:r w:rsidRPr="00743AC4">
        <w:rPr>
          <w:rFonts w:cs="Times New Roman"/>
        </w:rPr>
        <w:t xml:space="preserve"> </w:t>
      </w:r>
      <w:proofErr w:type="spellStart"/>
      <w:r w:rsidRPr="00743AC4">
        <w:rPr>
          <w:rFonts w:cs="Times New Roman"/>
        </w:rPr>
        <w:t>dynamic</w:t>
      </w:r>
      <w:proofErr w:type="spellEnd"/>
      <w:r w:rsidRPr="00743AC4">
        <w:rPr>
          <w:rFonts w:cs="Times New Roman"/>
        </w:rPr>
        <w:t xml:space="preserve"> </w:t>
      </w:r>
      <w:proofErr w:type="spellStart"/>
      <w:r w:rsidRPr="00743AC4">
        <w:rPr>
          <w:rFonts w:cs="Times New Roman"/>
        </w:rPr>
        <w:t>panel</w:t>
      </w:r>
      <w:proofErr w:type="spellEnd"/>
      <w:r w:rsidRPr="00743AC4">
        <w:rPr>
          <w:rFonts w:cs="Times New Roman"/>
        </w:rPr>
        <w:t xml:space="preserve"> </w:t>
      </w:r>
      <w:proofErr w:type="spellStart"/>
      <w:r w:rsidRPr="00743AC4">
        <w:rPr>
          <w:rFonts w:cs="Times New Roman"/>
        </w:rPr>
        <w:t>model</w:t>
      </w:r>
      <w:proofErr w:type="spellEnd"/>
      <w:r w:rsidRPr="00743AC4">
        <w:rPr>
          <w:rFonts w:cs="Times New Roman"/>
        </w:rPr>
        <w:t xml:space="preserve"> </w:t>
      </w:r>
      <w:proofErr w:type="spellStart"/>
      <w:r w:rsidRPr="00743AC4">
        <w:rPr>
          <w:rFonts w:cs="Times New Roman"/>
        </w:rPr>
        <w:t>using</w:t>
      </w:r>
      <w:proofErr w:type="spellEnd"/>
      <w:r w:rsidRPr="00743AC4">
        <w:rPr>
          <w:rFonts w:cs="Times New Roman"/>
        </w:rPr>
        <w:t xml:space="preserve"> </w:t>
      </w:r>
      <w:proofErr w:type="spellStart"/>
      <w:r w:rsidRPr="00743AC4">
        <w:rPr>
          <w:rFonts w:cs="Times New Roman"/>
        </w:rPr>
        <w:t>the</w:t>
      </w:r>
      <w:proofErr w:type="spellEnd"/>
      <w:r w:rsidRPr="00743AC4">
        <w:rPr>
          <w:rFonts w:cs="Times New Roman"/>
        </w:rPr>
        <w:t xml:space="preserve"> </w:t>
      </w:r>
      <w:proofErr w:type="spellStart"/>
      <w:r w:rsidRPr="00743AC4">
        <w:rPr>
          <w:rFonts w:cs="Times New Roman"/>
        </w:rPr>
        <w:t>Generalized</w:t>
      </w:r>
      <w:proofErr w:type="spellEnd"/>
      <w:r w:rsidRPr="00743AC4">
        <w:rPr>
          <w:rFonts w:cs="Times New Roman"/>
        </w:rPr>
        <w:t xml:space="preserve"> </w:t>
      </w:r>
      <w:proofErr w:type="spellStart"/>
      <w:r w:rsidRPr="00743AC4">
        <w:rPr>
          <w:rFonts w:cs="Times New Roman"/>
        </w:rPr>
        <w:t>Moments</w:t>
      </w:r>
      <w:proofErr w:type="spellEnd"/>
      <w:r w:rsidRPr="00743AC4">
        <w:rPr>
          <w:rFonts w:cs="Times New Roman"/>
        </w:rPr>
        <w:t xml:space="preserve"> </w:t>
      </w:r>
      <w:proofErr w:type="spellStart"/>
      <w:r w:rsidRPr="00743AC4">
        <w:rPr>
          <w:rFonts w:cs="Times New Roman"/>
        </w:rPr>
        <w:t>Method</w:t>
      </w:r>
      <w:proofErr w:type="spellEnd"/>
      <w:r w:rsidRPr="00743AC4">
        <w:rPr>
          <w:rFonts w:cs="Times New Roman"/>
        </w:rPr>
        <w:t xml:space="preserve"> (GMM), </w:t>
      </w:r>
      <w:proofErr w:type="spellStart"/>
      <w:r w:rsidRPr="00743AC4">
        <w:rPr>
          <w:rFonts w:cs="Times New Roman"/>
        </w:rPr>
        <w:t>proposed</w:t>
      </w:r>
      <w:proofErr w:type="spellEnd"/>
      <w:r w:rsidRPr="00743AC4">
        <w:rPr>
          <w:rFonts w:cs="Times New Roman"/>
        </w:rPr>
        <w:t xml:space="preserve"> </w:t>
      </w:r>
      <w:proofErr w:type="spellStart"/>
      <w:r w:rsidRPr="00743AC4">
        <w:rPr>
          <w:rFonts w:cs="Times New Roman"/>
        </w:rPr>
        <w:t>by</w:t>
      </w:r>
      <w:proofErr w:type="spellEnd"/>
      <w:r w:rsidRPr="00743AC4">
        <w:rPr>
          <w:rFonts w:cs="Times New Roman"/>
        </w:rPr>
        <w:t xml:space="preserve"> </w:t>
      </w:r>
      <w:proofErr w:type="spellStart"/>
      <w:r w:rsidRPr="00743AC4">
        <w:rPr>
          <w:rFonts w:cs="Times New Roman"/>
        </w:rPr>
        <w:t>Arrelano</w:t>
      </w:r>
      <w:proofErr w:type="spellEnd"/>
      <w:r w:rsidRPr="00743AC4">
        <w:rPr>
          <w:rFonts w:cs="Times New Roman"/>
        </w:rPr>
        <w:t xml:space="preserve"> </w:t>
      </w:r>
      <w:proofErr w:type="spellStart"/>
      <w:r w:rsidRPr="00743AC4">
        <w:rPr>
          <w:rFonts w:cs="Times New Roman"/>
        </w:rPr>
        <w:t>and</w:t>
      </w:r>
      <w:proofErr w:type="spellEnd"/>
      <w:r w:rsidRPr="00743AC4">
        <w:rPr>
          <w:rFonts w:cs="Times New Roman"/>
        </w:rPr>
        <w:t xml:space="preserve"> </w:t>
      </w:r>
      <w:proofErr w:type="spellStart"/>
      <w:r w:rsidRPr="00743AC4">
        <w:rPr>
          <w:rFonts w:cs="Times New Roman"/>
        </w:rPr>
        <w:t>Bond</w:t>
      </w:r>
      <w:proofErr w:type="spellEnd"/>
      <w:r w:rsidRPr="00743AC4">
        <w:rPr>
          <w:rFonts w:cs="Times New Roman"/>
        </w:rPr>
        <w:t xml:space="preserve"> (1991), </w:t>
      </w:r>
      <w:proofErr w:type="spellStart"/>
      <w:r w:rsidRPr="00743AC4">
        <w:rPr>
          <w:rFonts w:cs="Times New Roman"/>
        </w:rPr>
        <w:t>Arrelano</w:t>
      </w:r>
      <w:proofErr w:type="spellEnd"/>
      <w:r w:rsidRPr="00743AC4">
        <w:rPr>
          <w:rFonts w:cs="Times New Roman"/>
        </w:rPr>
        <w:t xml:space="preserve"> </w:t>
      </w:r>
      <w:proofErr w:type="spellStart"/>
      <w:r w:rsidRPr="00743AC4">
        <w:rPr>
          <w:rFonts w:cs="Times New Roman"/>
        </w:rPr>
        <w:t>and</w:t>
      </w:r>
      <w:proofErr w:type="spellEnd"/>
      <w:r w:rsidRPr="00743AC4">
        <w:rPr>
          <w:rFonts w:cs="Times New Roman"/>
        </w:rPr>
        <w:t xml:space="preserve"> </w:t>
      </w:r>
      <w:proofErr w:type="spellStart"/>
      <w:r w:rsidRPr="00743AC4">
        <w:rPr>
          <w:rFonts w:cs="Times New Roman"/>
        </w:rPr>
        <w:t>Bover</w:t>
      </w:r>
      <w:proofErr w:type="spellEnd"/>
      <w:r w:rsidRPr="00743AC4">
        <w:rPr>
          <w:rFonts w:cs="Times New Roman"/>
        </w:rPr>
        <w:t xml:space="preserve"> (1995) </w:t>
      </w:r>
      <w:proofErr w:type="spellStart"/>
      <w:r w:rsidRPr="00743AC4">
        <w:rPr>
          <w:rFonts w:cs="Times New Roman"/>
        </w:rPr>
        <w:t>and</w:t>
      </w:r>
      <w:proofErr w:type="spellEnd"/>
      <w:r w:rsidRPr="00743AC4">
        <w:rPr>
          <w:rFonts w:cs="Times New Roman"/>
        </w:rPr>
        <w:t xml:space="preserve"> </w:t>
      </w:r>
      <w:proofErr w:type="spellStart"/>
      <w:r w:rsidRPr="00743AC4">
        <w:rPr>
          <w:rFonts w:cs="Times New Roman"/>
        </w:rPr>
        <w:t>Blundell</w:t>
      </w:r>
      <w:proofErr w:type="spellEnd"/>
      <w:r w:rsidRPr="00743AC4">
        <w:rPr>
          <w:rFonts w:cs="Times New Roman"/>
        </w:rPr>
        <w:t xml:space="preserve"> </w:t>
      </w:r>
      <w:proofErr w:type="spellStart"/>
      <w:r w:rsidRPr="00743AC4">
        <w:rPr>
          <w:rFonts w:cs="Times New Roman"/>
        </w:rPr>
        <w:t>and</w:t>
      </w:r>
      <w:proofErr w:type="spellEnd"/>
      <w:r w:rsidRPr="00743AC4">
        <w:rPr>
          <w:rFonts w:cs="Times New Roman"/>
        </w:rPr>
        <w:t xml:space="preserve"> </w:t>
      </w:r>
      <w:proofErr w:type="spellStart"/>
      <w:r w:rsidRPr="00743AC4">
        <w:rPr>
          <w:rFonts w:cs="Times New Roman"/>
        </w:rPr>
        <w:t>Bover</w:t>
      </w:r>
      <w:proofErr w:type="spellEnd"/>
      <w:r w:rsidRPr="00743AC4">
        <w:rPr>
          <w:rFonts w:cs="Times New Roman"/>
        </w:rPr>
        <w:t xml:space="preserve"> (1998), for </w:t>
      </w:r>
      <w:proofErr w:type="spellStart"/>
      <w:r w:rsidRPr="00743AC4">
        <w:rPr>
          <w:rFonts w:cs="Times New Roman"/>
        </w:rPr>
        <w:t>generating</w:t>
      </w:r>
      <w:proofErr w:type="spellEnd"/>
      <w:r w:rsidRPr="00743AC4">
        <w:rPr>
          <w:rFonts w:cs="Times New Roman"/>
        </w:rPr>
        <w:t xml:space="preserve"> more </w:t>
      </w:r>
      <w:proofErr w:type="spellStart"/>
      <w:r w:rsidRPr="00743AC4">
        <w:rPr>
          <w:rFonts w:cs="Times New Roman"/>
        </w:rPr>
        <w:t>consistent</w:t>
      </w:r>
      <w:proofErr w:type="spellEnd"/>
      <w:r w:rsidRPr="00743AC4">
        <w:rPr>
          <w:rFonts w:cs="Times New Roman"/>
        </w:rPr>
        <w:t xml:space="preserve"> </w:t>
      </w:r>
      <w:proofErr w:type="spellStart"/>
      <w:r w:rsidRPr="00743AC4">
        <w:rPr>
          <w:rFonts w:cs="Times New Roman"/>
        </w:rPr>
        <w:t>estimators</w:t>
      </w:r>
      <w:proofErr w:type="spellEnd"/>
      <w:r w:rsidRPr="00743AC4">
        <w:rPr>
          <w:rFonts w:cs="Times New Roman"/>
        </w:rPr>
        <w:t xml:space="preserve">. </w:t>
      </w:r>
      <w:r w:rsidRPr="00743AC4">
        <w:rPr>
          <w:rFonts w:cs="Times New Roman"/>
          <w:lang w:val="fr-FR"/>
        </w:rPr>
        <w:t xml:space="preserve">The </w:t>
      </w:r>
      <w:proofErr w:type="spellStart"/>
      <w:r w:rsidRPr="00743AC4">
        <w:rPr>
          <w:rFonts w:cs="Times New Roman"/>
          <w:lang w:val="fr-FR"/>
        </w:rPr>
        <w:t>results</w:t>
      </w:r>
      <w:proofErr w:type="spellEnd"/>
      <w:r w:rsidRPr="00743AC4">
        <w:rPr>
          <w:rFonts w:cs="Times New Roman"/>
          <w:lang w:val="fr-FR"/>
        </w:rPr>
        <w:t xml:space="preserve"> </w:t>
      </w:r>
      <w:proofErr w:type="spellStart"/>
      <w:r w:rsidRPr="00743AC4">
        <w:rPr>
          <w:rFonts w:cs="Times New Roman"/>
          <w:lang w:val="fr-FR"/>
        </w:rPr>
        <w:t>suggest</w:t>
      </w:r>
      <w:proofErr w:type="spellEnd"/>
      <w:r w:rsidRPr="00743AC4">
        <w:rPr>
          <w:rFonts w:cs="Times New Roman"/>
          <w:lang w:val="fr-FR"/>
        </w:rPr>
        <w:t xml:space="preserve"> </w:t>
      </w:r>
      <w:proofErr w:type="spellStart"/>
      <w:r w:rsidRPr="00743AC4">
        <w:rPr>
          <w:rFonts w:cs="Times New Roman"/>
          <w:lang w:val="fr-FR"/>
        </w:rPr>
        <w:t>that</w:t>
      </w:r>
      <w:proofErr w:type="spellEnd"/>
      <w:r w:rsidRPr="00743AC4">
        <w:rPr>
          <w:rFonts w:cs="Times New Roman"/>
          <w:lang w:val="fr-FR"/>
        </w:rPr>
        <w:t xml:space="preserve"> FDI </w:t>
      </w:r>
      <w:proofErr w:type="spellStart"/>
      <w:r w:rsidRPr="00743AC4">
        <w:rPr>
          <w:rFonts w:cs="Times New Roman"/>
          <w:lang w:val="fr-FR"/>
        </w:rPr>
        <w:t>inflows</w:t>
      </w:r>
      <w:proofErr w:type="spellEnd"/>
      <w:r w:rsidRPr="00743AC4">
        <w:rPr>
          <w:rFonts w:cs="Times New Roman"/>
          <w:lang w:val="fr-FR"/>
        </w:rPr>
        <w:t xml:space="preserve"> </w:t>
      </w:r>
      <w:proofErr w:type="spellStart"/>
      <w:r w:rsidRPr="00743AC4">
        <w:rPr>
          <w:rFonts w:cs="Times New Roman"/>
          <w:lang w:val="fr-FR"/>
        </w:rPr>
        <w:t>into</w:t>
      </w:r>
      <w:proofErr w:type="spellEnd"/>
      <w:r w:rsidRPr="00743AC4">
        <w:rPr>
          <w:rFonts w:cs="Times New Roman"/>
          <w:lang w:val="fr-FR"/>
        </w:rPr>
        <w:t xml:space="preserve"> SSA </w:t>
      </w:r>
      <w:proofErr w:type="spellStart"/>
      <w:r w:rsidRPr="00743AC4">
        <w:rPr>
          <w:rFonts w:cs="Times New Roman"/>
          <w:lang w:val="fr-FR"/>
        </w:rPr>
        <w:t>during</w:t>
      </w:r>
      <w:proofErr w:type="spellEnd"/>
      <w:r w:rsidRPr="00743AC4">
        <w:rPr>
          <w:rFonts w:cs="Times New Roman"/>
          <w:lang w:val="fr-FR"/>
        </w:rPr>
        <w:t xml:space="preserve"> the </w:t>
      </w:r>
      <w:proofErr w:type="spellStart"/>
      <w:r w:rsidRPr="00743AC4">
        <w:rPr>
          <w:rFonts w:cs="Times New Roman"/>
          <w:lang w:val="fr-FR"/>
        </w:rPr>
        <w:t>observed</w:t>
      </w:r>
      <w:proofErr w:type="spellEnd"/>
      <w:r w:rsidRPr="00743AC4">
        <w:rPr>
          <w:rFonts w:cs="Times New Roman"/>
          <w:lang w:val="fr-FR"/>
        </w:rPr>
        <w:t xml:space="preserve"> </w:t>
      </w:r>
      <w:proofErr w:type="spellStart"/>
      <w:r w:rsidRPr="00743AC4">
        <w:rPr>
          <w:rFonts w:cs="Times New Roman"/>
          <w:lang w:val="fr-FR"/>
        </w:rPr>
        <w:t>period</w:t>
      </w:r>
      <w:proofErr w:type="spellEnd"/>
      <w:r w:rsidRPr="00743AC4">
        <w:rPr>
          <w:rFonts w:cs="Times New Roman"/>
          <w:lang w:val="fr-FR"/>
        </w:rPr>
        <w:t xml:space="preserve"> </w:t>
      </w:r>
      <w:proofErr w:type="spellStart"/>
      <w:r w:rsidRPr="00743AC4">
        <w:rPr>
          <w:rFonts w:cs="Times New Roman"/>
          <w:lang w:val="fr-FR"/>
        </w:rPr>
        <w:t>were</w:t>
      </w:r>
      <w:proofErr w:type="spellEnd"/>
      <w:r w:rsidRPr="00743AC4">
        <w:rPr>
          <w:rFonts w:cs="Times New Roman"/>
          <w:lang w:val="fr-FR"/>
        </w:rPr>
        <w:t xml:space="preserve"> </w:t>
      </w:r>
      <w:proofErr w:type="spellStart"/>
      <w:r w:rsidRPr="00743AC4">
        <w:rPr>
          <w:rFonts w:cs="Times New Roman"/>
          <w:lang w:val="fr-FR"/>
        </w:rPr>
        <w:t>mainly</w:t>
      </w:r>
      <w:proofErr w:type="spellEnd"/>
      <w:r w:rsidRPr="00743AC4">
        <w:rPr>
          <w:rFonts w:cs="Times New Roman"/>
          <w:lang w:val="fr-FR"/>
        </w:rPr>
        <w:t xml:space="preserve"> in </w:t>
      </w:r>
      <w:proofErr w:type="spellStart"/>
      <w:r w:rsidRPr="00743AC4">
        <w:rPr>
          <w:rFonts w:cs="Times New Roman"/>
          <w:lang w:val="fr-FR"/>
        </w:rPr>
        <w:t>search</w:t>
      </w:r>
      <w:proofErr w:type="spellEnd"/>
      <w:r w:rsidRPr="00743AC4">
        <w:rPr>
          <w:rFonts w:cs="Times New Roman"/>
          <w:lang w:val="fr-FR"/>
        </w:rPr>
        <w:t xml:space="preserve"> of </w:t>
      </w:r>
      <w:proofErr w:type="spellStart"/>
      <w:r w:rsidRPr="00743AC4">
        <w:rPr>
          <w:rFonts w:cs="Times New Roman"/>
          <w:lang w:val="fr-FR"/>
        </w:rPr>
        <w:t>market</w:t>
      </w:r>
      <w:proofErr w:type="spellEnd"/>
      <w:r w:rsidRPr="00743AC4">
        <w:rPr>
          <w:rFonts w:cs="Times New Roman"/>
          <w:lang w:val="fr-FR"/>
        </w:rPr>
        <w:t xml:space="preserve"> and </w:t>
      </w:r>
      <w:proofErr w:type="spellStart"/>
      <w:r w:rsidRPr="00743AC4">
        <w:rPr>
          <w:rFonts w:cs="Times New Roman"/>
          <w:lang w:val="fr-FR"/>
        </w:rPr>
        <w:t>natural</w:t>
      </w:r>
      <w:proofErr w:type="spellEnd"/>
      <w:r w:rsidRPr="00743AC4">
        <w:rPr>
          <w:rFonts w:cs="Times New Roman"/>
          <w:lang w:val="fr-FR"/>
        </w:rPr>
        <w:t xml:space="preserve"> </w:t>
      </w:r>
      <w:proofErr w:type="spellStart"/>
      <w:r w:rsidRPr="00743AC4">
        <w:rPr>
          <w:rFonts w:cs="Times New Roman"/>
          <w:lang w:val="fr-FR"/>
        </w:rPr>
        <w:t>resources</w:t>
      </w:r>
      <w:proofErr w:type="spellEnd"/>
      <w:r w:rsidRPr="00743AC4">
        <w:rPr>
          <w:rFonts w:cs="Times New Roman"/>
          <w:lang w:val="fr-FR"/>
        </w:rPr>
        <w:t xml:space="preserve">. </w:t>
      </w:r>
      <w:proofErr w:type="spellStart"/>
      <w:r w:rsidRPr="00743AC4">
        <w:rPr>
          <w:rFonts w:cs="Times New Roman"/>
          <w:lang w:val="fr-FR"/>
        </w:rPr>
        <w:t>Since</w:t>
      </w:r>
      <w:proofErr w:type="spellEnd"/>
      <w:r w:rsidRPr="00743AC4">
        <w:rPr>
          <w:rFonts w:cs="Times New Roman"/>
          <w:lang w:val="fr-FR"/>
        </w:rPr>
        <w:t xml:space="preserve"> the </w:t>
      </w:r>
      <w:proofErr w:type="spellStart"/>
      <w:r w:rsidRPr="00743AC4">
        <w:rPr>
          <w:rFonts w:cs="Times New Roman"/>
          <w:lang w:val="fr-FR"/>
        </w:rPr>
        <w:t>level</w:t>
      </w:r>
      <w:proofErr w:type="spellEnd"/>
      <w:r w:rsidRPr="00743AC4">
        <w:rPr>
          <w:rFonts w:cs="Times New Roman"/>
          <w:lang w:val="fr-FR"/>
        </w:rPr>
        <w:t xml:space="preserve"> of </w:t>
      </w:r>
      <w:proofErr w:type="spellStart"/>
      <w:r w:rsidRPr="00743AC4">
        <w:rPr>
          <w:rFonts w:cs="Times New Roman"/>
          <w:lang w:val="fr-FR"/>
        </w:rPr>
        <w:t>domestic</w:t>
      </w:r>
      <w:proofErr w:type="spellEnd"/>
      <w:r w:rsidRPr="00743AC4">
        <w:rPr>
          <w:rFonts w:cs="Times New Roman"/>
          <w:lang w:val="fr-FR"/>
        </w:rPr>
        <w:t xml:space="preserve"> </w:t>
      </w:r>
      <w:proofErr w:type="spellStart"/>
      <w:r w:rsidRPr="00743AC4">
        <w:rPr>
          <w:rFonts w:cs="Times New Roman"/>
          <w:lang w:val="fr-FR"/>
        </w:rPr>
        <w:t>savings</w:t>
      </w:r>
      <w:proofErr w:type="spellEnd"/>
      <w:r w:rsidRPr="00743AC4">
        <w:rPr>
          <w:rFonts w:cs="Times New Roman"/>
          <w:lang w:val="fr-FR"/>
        </w:rPr>
        <w:t xml:space="preserve"> in the </w:t>
      </w:r>
      <w:proofErr w:type="spellStart"/>
      <w:r w:rsidRPr="00743AC4">
        <w:rPr>
          <w:rFonts w:cs="Times New Roman"/>
          <w:lang w:val="fr-FR"/>
        </w:rPr>
        <w:t>region</w:t>
      </w:r>
      <w:proofErr w:type="spellEnd"/>
      <w:r w:rsidRPr="00743AC4">
        <w:rPr>
          <w:rFonts w:cs="Times New Roman"/>
          <w:lang w:val="fr-FR"/>
        </w:rPr>
        <w:t xml:space="preserve"> </w:t>
      </w:r>
      <w:proofErr w:type="spellStart"/>
      <w:r w:rsidRPr="00743AC4">
        <w:rPr>
          <w:rFonts w:cs="Times New Roman"/>
          <w:lang w:val="fr-FR"/>
        </w:rPr>
        <w:t>is</w:t>
      </w:r>
      <w:proofErr w:type="spellEnd"/>
      <w:r w:rsidRPr="00743AC4">
        <w:rPr>
          <w:rFonts w:cs="Times New Roman"/>
          <w:lang w:val="fr-FR"/>
        </w:rPr>
        <w:t xml:space="preserve"> </w:t>
      </w:r>
      <w:proofErr w:type="spellStart"/>
      <w:r w:rsidRPr="00743AC4">
        <w:rPr>
          <w:rFonts w:cs="Times New Roman"/>
          <w:lang w:val="fr-FR"/>
        </w:rPr>
        <w:t>low</w:t>
      </w:r>
      <w:proofErr w:type="spellEnd"/>
      <w:r w:rsidRPr="00743AC4">
        <w:rPr>
          <w:rFonts w:cs="Times New Roman"/>
          <w:lang w:val="fr-FR"/>
        </w:rPr>
        <w:t xml:space="preserve">, FDI </w:t>
      </w:r>
      <w:proofErr w:type="spellStart"/>
      <w:r w:rsidRPr="00743AC4">
        <w:rPr>
          <w:rFonts w:cs="Times New Roman"/>
          <w:lang w:val="fr-FR"/>
        </w:rPr>
        <w:t>flows</w:t>
      </w:r>
      <w:proofErr w:type="spellEnd"/>
      <w:r w:rsidRPr="00743AC4">
        <w:rPr>
          <w:rFonts w:cs="Times New Roman"/>
          <w:lang w:val="fr-FR"/>
        </w:rPr>
        <w:t xml:space="preserve"> </w:t>
      </w:r>
      <w:proofErr w:type="spellStart"/>
      <w:r w:rsidRPr="00743AC4">
        <w:rPr>
          <w:rFonts w:cs="Times New Roman"/>
          <w:lang w:val="fr-FR"/>
        </w:rPr>
        <w:t>constitute</w:t>
      </w:r>
      <w:proofErr w:type="spellEnd"/>
      <w:r w:rsidRPr="00743AC4">
        <w:rPr>
          <w:rFonts w:cs="Times New Roman"/>
          <w:lang w:val="fr-FR"/>
        </w:rPr>
        <w:t xml:space="preserve"> an important </w:t>
      </w:r>
      <w:proofErr w:type="spellStart"/>
      <w:r w:rsidRPr="00743AC4">
        <w:rPr>
          <w:rFonts w:cs="Times New Roman"/>
          <w:lang w:val="fr-FR"/>
        </w:rPr>
        <w:t>mechanism</w:t>
      </w:r>
      <w:proofErr w:type="spellEnd"/>
      <w:r w:rsidRPr="00743AC4">
        <w:rPr>
          <w:rFonts w:cs="Times New Roman"/>
          <w:lang w:val="fr-FR"/>
        </w:rPr>
        <w:t xml:space="preserve">. </w:t>
      </w:r>
      <w:proofErr w:type="spellStart"/>
      <w:r w:rsidRPr="00743AC4">
        <w:rPr>
          <w:rFonts w:cs="Times New Roman"/>
          <w:lang w:val="fr-FR"/>
        </w:rPr>
        <w:t>Therefore</w:t>
      </w:r>
      <w:proofErr w:type="spellEnd"/>
      <w:r w:rsidRPr="00743AC4">
        <w:rPr>
          <w:rFonts w:cs="Times New Roman"/>
          <w:lang w:val="fr-FR"/>
        </w:rPr>
        <w:t xml:space="preserve">, </w:t>
      </w:r>
      <w:proofErr w:type="spellStart"/>
      <w:r w:rsidRPr="00743AC4">
        <w:rPr>
          <w:rFonts w:cs="Times New Roman"/>
          <w:lang w:val="fr-FR"/>
        </w:rPr>
        <w:t>measures</w:t>
      </w:r>
      <w:proofErr w:type="spellEnd"/>
      <w:r w:rsidRPr="00743AC4">
        <w:rPr>
          <w:rFonts w:cs="Times New Roman"/>
          <w:lang w:val="fr-FR"/>
        </w:rPr>
        <w:t xml:space="preserve"> </w:t>
      </w:r>
      <w:proofErr w:type="spellStart"/>
      <w:r w:rsidRPr="00743AC4">
        <w:rPr>
          <w:rFonts w:cs="Times New Roman"/>
          <w:lang w:val="fr-FR"/>
        </w:rPr>
        <w:t>that</w:t>
      </w:r>
      <w:proofErr w:type="spellEnd"/>
      <w:r w:rsidRPr="00743AC4">
        <w:rPr>
          <w:rFonts w:cs="Times New Roman"/>
          <w:lang w:val="fr-FR"/>
        </w:rPr>
        <w:t xml:space="preserve"> </w:t>
      </w:r>
      <w:proofErr w:type="spellStart"/>
      <w:r w:rsidRPr="00743AC4">
        <w:rPr>
          <w:rFonts w:cs="Times New Roman"/>
          <w:lang w:val="fr-FR"/>
        </w:rPr>
        <w:t>enhance</w:t>
      </w:r>
      <w:proofErr w:type="spellEnd"/>
      <w:r w:rsidRPr="00743AC4">
        <w:rPr>
          <w:rFonts w:cs="Times New Roman"/>
          <w:lang w:val="fr-FR"/>
        </w:rPr>
        <w:t xml:space="preserve"> </w:t>
      </w:r>
      <w:proofErr w:type="spellStart"/>
      <w:r w:rsidRPr="00743AC4">
        <w:rPr>
          <w:rFonts w:cs="Times New Roman"/>
          <w:lang w:val="fr-FR"/>
        </w:rPr>
        <w:t>macroeconomic</w:t>
      </w:r>
      <w:proofErr w:type="spellEnd"/>
      <w:r w:rsidRPr="00743AC4">
        <w:rPr>
          <w:rFonts w:cs="Times New Roman"/>
          <w:lang w:val="fr-FR"/>
        </w:rPr>
        <w:t xml:space="preserve"> </w:t>
      </w:r>
      <w:proofErr w:type="spellStart"/>
      <w:r w:rsidRPr="00743AC4">
        <w:rPr>
          <w:rFonts w:cs="Times New Roman"/>
          <w:lang w:val="fr-FR"/>
        </w:rPr>
        <w:t>stability</w:t>
      </w:r>
      <w:proofErr w:type="spellEnd"/>
      <w:r w:rsidRPr="00743AC4">
        <w:rPr>
          <w:rFonts w:cs="Times New Roman"/>
          <w:lang w:val="fr-FR"/>
        </w:rPr>
        <w:t xml:space="preserve">, </w:t>
      </w:r>
      <w:proofErr w:type="spellStart"/>
      <w:r w:rsidRPr="00743AC4">
        <w:rPr>
          <w:rFonts w:cs="Times New Roman"/>
          <w:lang w:val="fr-FR"/>
        </w:rPr>
        <w:t>induce</w:t>
      </w:r>
      <w:proofErr w:type="spellEnd"/>
      <w:r w:rsidRPr="00743AC4">
        <w:rPr>
          <w:rFonts w:cs="Times New Roman"/>
          <w:lang w:val="fr-FR"/>
        </w:rPr>
        <w:t xml:space="preserve"> </w:t>
      </w:r>
      <w:proofErr w:type="spellStart"/>
      <w:r w:rsidRPr="00743AC4">
        <w:rPr>
          <w:rFonts w:cs="Times New Roman"/>
          <w:lang w:val="fr-FR"/>
        </w:rPr>
        <w:t>economic</w:t>
      </w:r>
      <w:proofErr w:type="spellEnd"/>
      <w:r w:rsidRPr="00743AC4">
        <w:rPr>
          <w:rFonts w:cs="Times New Roman"/>
          <w:lang w:val="fr-FR"/>
        </w:rPr>
        <w:t xml:space="preserve"> </w:t>
      </w:r>
      <w:proofErr w:type="spellStart"/>
      <w:r w:rsidRPr="00743AC4">
        <w:rPr>
          <w:rFonts w:cs="Times New Roman"/>
          <w:lang w:val="fr-FR"/>
        </w:rPr>
        <w:t>growth</w:t>
      </w:r>
      <w:proofErr w:type="spellEnd"/>
      <w:r w:rsidRPr="00743AC4">
        <w:rPr>
          <w:rFonts w:cs="Times New Roman"/>
          <w:lang w:val="fr-FR"/>
        </w:rPr>
        <w:t xml:space="preserve"> and control of the inflation rate, </w:t>
      </w:r>
      <w:proofErr w:type="spellStart"/>
      <w:r w:rsidRPr="00743AC4">
        <w:rPr>
          <w:rFonts w:cs="Times New Roman"/>
          <w:lang w:val="fr-FR"/>
        </w:rPr>
        <w:t>generating</w:t>
      </w:r>
      <w:proofErr w:type="spellEnd"/>
      <w:r w:rsidRPr="00743AC4">
        <w:rPr>
          <w:rFonts w:cs="Times New Roman"/>
          <w:lang w:val="fr-FR"/>
        </w:rPr>
        <w:t xml:space="preserve"> </w:t>
      </w:r>
      <w:proofErr w:type="spellStart"/>
      <w:r w:rsidRPr="00743AC4">
        <w:rPr>
          <w:rFonts w:cs="Times New Roman"/>
          <w:lang w:val="fr-FR"/>
        </w:rPr>
        <w:t>greater</w:t>
      </w:r>
      <w:proofErr w:type="spellEnd"/>
      <w:r w:rsidRPr="00743AC4">
        <w:rPr>
          <w:rFonts w:cs="Times New Roman"/>
          <w:lang w:val="fr-FR"/>
        </w:rPr>
        <w:t xml:space="preserve"> </w:t>
      </w:r>
      <w:proofErr w:type="spellStart"/>
      <w:r w:rsidRPr="00743AC4">
        <w:rPr>
          <w:rFonts w:cs="Times New Roman"/>
          <w:lang w:val="fr-FR"/>
        </w:rPr>
        <w:t>predictability</w:t>
      </w:r>
      <w:proofErr w:type="spellEnd"/>
      <w:r w:rsidRPr="00743AC4">
        <w:rPr>
          <w:rFonts w:cs="Times New Roman"/>
          <w:lang w:val="fr-FR"/>
        </w:rPr>
        <w:t xml:space="preserve"> of the </w:t>
      </w:r>
      <w:proofErr w:type="spellStart"/>
      <w:r w:rsidRPr="00743AC4">
        <w:rPr>
          <w:rFonts w:cs="Times New Roman"/>
          <w:lang w:val="fr-FR"/>
        </w:rPr>
        <w:t>economy</w:t>
      </w:r>
      <w:proofErr w:type="spellEnd"/>
      <w:r w:rsidRPr="00743AC4">
        <w:rPr>
          <w:rFonts w:cs="Times New Roman"/>
          <w:lang w:val="fr-FR"/>
        </w:rPr>
        <w:t xml:space="preserve">, </w:t>
      </w:r>
      <w:proofErr w:type="spellStart"/>
      <w:r w:rsidRPr="00743AC4">
        <w:rPr>
          <w:rFonts w:cs="Times New Roman"/>
          <w:lang w:val="fr-FR"/>
        </w:rPr>
        <w:t>coupled</w:t>
      </w:r>
      <w:proofErr w:type="spellEnd"/>
      <w:r w:rsidRPr="00743AC4">
        <w:rPr>
          <w:rFonts w:cs="Times New Roman"/>
          <w:lang w:val="fr-FR"/>
        </w:rPr>
        <w:t xml:space="preserve"> </w:t>
      </w:r>
      <w:proofErr w:type="spellStart"/>
      <w:r w:rsidRPr="00743AC4">
        <w:rPr>
          <w:rFonts w:cs="Times New Roman"/>
          <w:lang w:val="fr-FR"/>
        </w:rPr>
        <w:t>with</w:t>
      </w:r>
      <w:proofErr w:type="spellEnd"/>
      <w:r w:rsidRPr="00743AC4">
        <w:rPr>
          <w:rFonts w:cs="Times New Roman"/>
          <w:lang w:val="fr-FR"/>
        </w:rPr>
        <w:t xml:space="preserve"> a </w:t>
      </w:r>
      <w:proofErr w:type="spellStart"/>
      <w:r w:rsidRPr="00743AC4">
        <w:rPr>
          <w:rFonts w:cs="Times New Roman"/>
          <w:lang w:val="fr-FR"/>
        </w:rPr>
        <w:t>genuine</w:t>
      </w:r>
      <w:proofErr w:type="spellEnd"/>
      <w:r w:rsidRPr="00743AC4">
        <w:rPr>
          <w:rFonts w:cs="Times New Roman"/>
          <w:lang w:val="fr-FR"/>
        </w:rPr>
        <w:t xml:space="preserve"> </w:t>
      </w:r>
      <w:proofErr w:type="spellStart"/>
      <w:r w:rsidRPr="00743AC4">
        <w:rPr>
          <w:rFonts w:cs="Times New Roman"/>
          <w:lang w:val="fr-FR"/>
        </w:rPr>
        <w:t>operationalization</w:t>
      </w:r>
      <w:proofErr w:type="spellEnd"/>
      <w:r w:rsidRPr="00743AC4">
        <w:rPr>
          <w:rFonts w:cs="Times New Roman"/>
          <w:lang w:val="fr-FR"/>
        </w:rPr>
        <w:t xml:space="preserve"> of </w:t>
      </w:r>
      <w:proofErr w:type="spellStart"/>
      <w:r w:rsidRPr="00743AC4">
        <w:rPr>
          <w:rFonts w:cs="Times New Roman"/>
          <w:lang w:val="fr-FR"/>
        </w:rPr>
        <w:t>existing</w:t>
      </w:r>
      <w:proofErr w:type="spellEnd"/>
      <w:r w:rsidRPr="00743AC4">
        <w:rPr>
          <w:rFonts w:cs="Times New Roman"/>
          <w:lang w:val="fr-FR"/>
        </w:rPr>
        <w:t xml:space="preserve"> </w:t>
      </w:r>
      <w:proofErr w:type="spellStart"/>
      <w:r w:rsidRPr="00743AC4">
        <w:rPr>
          <w:rFonts w:cs="Times New Roman"/>
          <w:lang w:val="fr-FR"/>
        </w:rPr>
        <w:t>regional</w:t>
      </w:r>
      <w:proofErr w:type="spellEnd"/>
      <w:r w:rsidRPr="00743AC4">
        <w:rPr>
          <w:rFonts w:cs="Times New Roman"/>
          <w:lang w:val="fr-FR"/>
        </w:rPr>
        <w:t xml:space="preserve"> </w:t>
      </w:r>
      <w:proofErr w:type="spellStart"/>
      <w:r w:rsidRPr="00743AC4">
        <w:rPr>
          <w:rFonts w:cs="Times New Roman"/>
          <w:lang w:val="fr-FR"/>
        </w:rPr>
        <w:t>trade</w:t>
      </w:r>
      <w:proofErr w:type="spellEnd"/>
      <w:r w:rsidRPr="00743AC4">
        <w:rPr>
          <w:rFonts w:cs="Times New Roman"/>
          <w:lang w:val="fr-FR"/>
        </w:rPr>
        <w:t xml:space="preserve"> blocs, as </w:t>
      </w:r>
      <w:proofErr w:type="spellStart"/>
      <w:r w:rsidRPr="00743AC4">
        <w:rPr>
          <w:rFonts w:cs="Times New Roman"/>
          <w:lang w:val="fr-FR"/>
        </w:rPr>
        <w:t>well</w:t>
      </w:r>
      <w:proofErr w:type="spellEnd"/>
      <w:r w:rsidRPr="00743AC4">
        <w:rPr>
          <w:rFonts w:cs="Times New Roman"/>
          <w:lang w:val="fr-FR"/>
        </w:rPr>
        <w:t xml:space="preserve"> as an </w:t>
      </w:r>
      <w:proofErr w:type="spellStart"/>
      <w:r w:rsidRPr="00743AC4">
        <w:rPr>
          <w:rFonts w:cs="Times New Roman"/>
          <w:lang w:val="fr-FR"/>
        </w:rPr>
        <w:t>institutional</w:t>
      </w:r>
      <w:proofErr w:type="spellEnd"/>
      <w:r w:rsidRPr="00743AC4">
        <w:rPr>
          <w:rFonts w:cs="Times New Roman"/>
          <w:lang w:val="fr-FR"/>
        </w:rPr>
        <w:t xml:space="preserve"> </w:t>
      </w:r>
      <w:proofErr w:type="spellStart"/>
      <w:r w:rsidRPr="00743AC4">
        <w:rPr>
          <w:rFonts w:cs="Times New Roman"/>
          <w:lang w:val="fr-FR"/>
        </w:rPr>
        <w:t>reform</w:t>
      </w:r>
      <w:proofErr w:type="spellEnd"/>
      <w:r w:rsidRPr="00743AC4">
        <w:rPr>
          <w:rFonts w:cs="Times New Roman"/>
          <w:lang w:val="fr-FR"/>
        </w:rPr>
        <w:t xml:space="preserve"> agenda </w:t>
      </w:r>
      <w:proofErr w:type="spellStart"/>
      <w:r w:rsidRPr="00743AC4">
        <w:rPr>
          <w:rFonts w:cs="Times New Roman"/>
          <w:lang w:val="fr-FR"/>
        </w:rPr>
        <w:t>towards</w:t>
      </w:r>
      <w:proofErr w:type="spellEnd"/>
      <w:r w:rsidRPr="00743AC4">
        <w:rPr>
          <w:rFonts w:cs="Times New Roman"/>
          <w:lang w:val="fr-FR"/>
        </w:rPr>
        <w:t xml:space="preserve"> </w:t>
      </w:r>
      <w:proofErr w:type="spellStart"/>
      <w:r w:rsidRPr="00743AC4">
        <w:rPr>
          <w:rFonts w:cs="Times New Roman"/>
          <w:lang w:val="fr-FR"/>
        </w:rPr>
        <w:t>institutional</w:t>
      </w:r>
      <w:proofErr w:type="spellEnd"/>
      <w:r w:rsidRPr="00743AC4">
        <w:rPr>
          <w:rFonts w:cs="Times New Roman"/>
          <w:lang w:val="fr-FR"/>
        </w:rPr>
        <w:t xml:space="preserve"> </w:t>
      </w:r>
      <w:proofErr w:type="spellStart"/>
      <w:r w:rsidRPr="00743AC4">
        <w:rPr>
          <w:rFonts w:cs="Times New Roman"/>
          <w:lang w:val="fr-FR"/>
        </w:rPr>
        <w:t>stability</w:t>
      </w:r>
      <w:proofErr w:type="spellEnd"/>
      <w:r w:rsidRPr="00743AC4">
        <w:rPr>
          <w:rFonts w:cs="Times New Roman"/>
          <w:lang w:val="fr-FR"/>
        </w:rPr>
        <w:t xml:space="preserve">, </w:t>
      </w:r>
      <w:proofErr w:type="spellStart"/>
      <w:r w:rsidRPr="00743AC4">
        <w:rPr>
          <w:rFonts w:cs="Times New Roman"/>
          <w:lang w:val="fr-FR"/>
        </w:rPr>
        <w:t>should</w:t>
      </w:r>
      <w:proofErr w:type="spellEnd"/>
      <w:r w:rsidRPr="00743AC4">
        <w:rPr>
          <w:rFonts w:cs="Times New Roman"/>
          <w:lang w:val="fr-FR"/>
        </w:rPr>
        <w:t xml:space="preserve"> </w:t>
      </w:r>
      <w:proofErr w:type="spellStart"/>
      <w:r w:rsidRPr="00743AC4">
        <w:rPr>
          <w:rFonts w:cs="Times New Roman"/>
          <w:lang w:val="fr-FR"/>
        </w:rPr>
        <w:t>be</w:t>
      </w:r>
      <w:proofErr w:type="spellEnd"/>
      <w:r w:rsidRPr="00743AC4">
        <w:rPr>
          <w:rFonts w:cs="Times New Roman"/>
          <w:lang w:val="fr-FR"/>
        </w:rPr>
        <w:t xml:space="preserve"> </w:t>
      </w:r>
      <w:proofErr w:type="spellStart"/>
      <w:r w:rsidRPr="00743AC4">
        <w:rPr>
          <w:rFonts w:cs="Times New Roman"/>
          <w:lang w:val="fr-FR"/>
        </w:rPr>
        <w:t>encouraged</w:t>
      </w:r>
      <w:proofErr w:type="spellEnd"/>
      <w:r w:rsidRPr="00743AC4">
        <w:rPr>
          <w:rFonts w:cs="Times New Roman"/>
          <w:lang w:val="fr-FR"/>
        </w:rPr>
        <w:t>.</w:t>
      </w:r>
    </w:p>
    <w:p w:rsidR="009973A2" w:rsidRPr="00743AC4" w:rsidRDefault="009973A2" w:rsidP="009973A2">
      <w:pPr>
        <w:ind w:firstLine="0"/>
        <w:jc w:val="left"/>
        <w:rPr>
          <w:rFonts w:cs="Times New Roman"/>
          <w:lang w:val="fr-FR"/>
        </w:rPr>
      </w:pPr>
    </w:p>
    <w:p w:rsidR="009973A2" w:rsidRPr="00743AC4" w:rsidRDefault="009973A2" w:rsidP="009973A2">
      <w:pPr>
        <w:ind w:firstLine="0"/>
        <w:jc w:val="left"/>
        <w:rPr>
          <w:rFonts w:cs="Times New Roman"/>
          <w:noProof/>
          <w:color w:val="000000" w:themeColor="text1"/>
          <w:lang w:val="en-GB"/>
        </w:rPr>
      </w:pPr>
      <w:r w:rsidRPr="00743AC4">
        <w:rPr>
          <w:rFonts w:cs="Times New Roman"/>
          <w:b/>
          <w:noProof/>
          <w:color w:val="000000" w:themeColor="text1"/>
          <w:lang w:val="en-GB"/>
        </w:rPr>
        <w:t xml:space="preserve">Keywords: </w:t>
      </w:r>
      <w:r w:rsidRPr="00743AC4">
        <w:rPr>
          <w:rFonts w:cs="Times New Roman"/>
          <w:noProof/>
          <w:color w:val="000000" w:themeColor="text1"/>
          <w:lang w:val="en-GB"/>
        </w:rPr>
        <w:t>Foreign Direct Investment (FDI); GMM system; Sub-Saharan Africa (SSA).</w:t>
      </w:r>
    </w:p>
    <w:p w:rsidR="009973A2" w:rsidRPr="00743AC4" w:rsidRDefault="009973A2" w:rsidP="009973A2">
      <w:pPr>
        <w:pStyle w:val="Cabealho1"/>
        <w:numPr>
          <w:ilvl w:val="0"/>
          <w:numId w:val="5"/>
        </w:numPr>
        <w:jc w:val="center"/>
        <w:rPr>
          <w:rFonts w:ascii="Times New Roman" w:hAnsi="Times New Roman" w:cs="Times New Roman"/>
          <w:b/>
          <w:noProof/>
          <w:color w:val="000000" w:themeColor="text1"/>
          <w:lang w:val="en-GB"/>
        </w:rPr>
      </w:pPr>
      <w:r w:rsidRPr="00743AC4">
        <w:rPr>
          <w:rFonts w:ascii="Times New Roman" w:hAnsi="Times New Roman" w:cs="Times New Roman"/>
          <w:b/>
          <w:noProof/>
          <w:color w:val="000000" w:themeColor="text1"/>
          <w:lang w:val="en-GB"/>
        </w:rPr>
        <w:t>Introduction</w:t>
      </w:r>
    </w:p>
    <w:p w:rsidR="009973A2" w:rsidRPr="00743AC4" w:rsidRDefault="009973A2" w:rsidP="009973A2">
      <w:pPr>
        <w:ind w:firstLine="0"/>
        <w:rPr>
          <w:rFonts w:cs="Times New Roman"/>
          <w:noProof/>
          <w:lang w:val="en-GB"/>
        </w:rPr>
      </w:pPr>
      <w:r w:rsidRPr="00743AC4">
        <w:rPr>
          <w:rFonts w:cs="Times New Roman"/>
          <w:noProof/>
          <w:lang w:val="en-GB"/>
        </w:rPr>
        <w:t xml:space="preserve">For decades, the behavior of multinational companies (EMNs) and foreign investment have been the main focus of international business research </w:t>
      </w:r>
      <w:r w:rsidRPr="00743AC4">
        <w:rPr>
          <w:rFonts w:cs="Times New Roman"/>
          <w:noProof/>
          <w:lang w:val="en-GB"/>
        </w:rPr>
        <w:fldChar w:fldCharType="begin" w:fldLock="1"/>
      </w:r>
      <w:r w:rsidRPr="00743AC4">
        <w:rPr>
          <w:rFonts w:cs="Times New Roman"/>
          <w:noProof/>
          <w:lang w:val="en-GB"/>
        </w:rPr>
        <w:instrText>ADDIN CSL_CITATION {"citationItems":[{"id":"ITEM-1","itemData":{"DOI":"10.4337/9781786431332","ISBN":"9781786431325","author":[{"dropping-particle":"","family":"Buckley","given":"Peter J.","non-dropping-particle":"","parse-names":false,"suffix":""}],"container-title":"The Global Factory","id":"ITEM-1","issued":{"date-parts":[["2018"]]},"title":"The Global Factory","type":"book"},"uris":["http://www.mendeley.com/documents/?uuid=c6e37cec-2cb9-4d3f-b078-dc32049e8f88"]}],"mendeley":{"formattedCitation":"(Buckley, 2018)","plainTextFormattedCitation":"(Buckley, 2018)","previouslyFormattedCitation":"(Buckley, 2018)"},"properties":{"noteIndex":0},"schema":"https://github.com/citation-style-language/schema/raw/master/csl-citation.json"}</w:instrText>
      </w:r>
      <w:r w:rsidRPr="00743AC4">
        <w:rPr>
          <w:rFonts w:cs="Times New Roman"/>
          <w:noProof/>
          <w:lang w:val="en-GB"/>
        </w:rPr>
        <w:fldChar w:fldCharType="separate"/>
      </w:r>
      <w:r w:rsidRPr="00743AC4">
        <w:rPr>
          <w:rFonts w:cs="Times New Roman"/>
          <w:noProof/>
          <w:lang w:val="en-GB"/>
        </w:rPr>
        <w:t>(Buckley, 2018)</w:t>
      </w:r>
      <w:r w:rsidRPr="00743AC4">
        <w:rPr>
          <w:rFonts w:cs="Times New Roman"/>
          <w:noProof/>
          <w:lang w:val="en-GB"/>
        </w:rPr>
        <w:fldChar w:fldCharType="end"/>
      </w:r>
      <w:r w:rsidRPr="00743AC4">
        <w:rPr>
          <w:rFonts w:cs="Times New Roman"/>
          <w:b/>
          <w:noProof/>
          <w:lang w:val="en-GB"/>
        </w:rPr>
        <w:t xml:space="preserve">, </w:t>
      </w:r>
      <w:r w:rsidRPr="00743AC4">
        <w:rPr>
          <w:rFonts w:cs="Times New Roman"/>
          <w:noProof/>
          <w:lang w:val="en-GB"/>
        </w:rPr>
        <w:t xml:space="preserve">giving rise to several theoretical trends, among which are the internalization </w:t>
      </w:r>
      <w:r w:rsidRPr="00743AC4">
        <w:rPr>
          <w:rFonts w:cs="Times New Roman"/>
          <w:noProof/>
          <w:lang w:val="en-GB"/>
        </w:rPr>
        <w:fldChar w:fldCharType="begin" w:fldLock="1"/>
      </w:r>
      <w:r w:rsidRPr="00743AC4">
        <w:rPr>
          <w:rFonts w:cs="Times New Roman"/>
          <w:noProof/>
          <w:lang w:val="en-GB"/>
        </w:rPr>
        <w:instrText>ADDIN CSL_CITATION {"citationItems":[{"id":"ITEM-1","itemData":{"author":[{"dropping-particle":"","family":"Coase","given":"","non-dropping-particle":"","parse-names":false,"suffix":""}],"container-title":"Economica","id":"ITEM-1","issued":{"date-parts":[["1937"]]},"number-of-pages":"386-405","title":"The Nature of the Firm","type":"book"},"uris":["http://www.mendeley.com/documents/?uuid=2d2ab735-2109-4e6e-bd8c-d0dd569ecc9c"]}],"mendeley":{"formattedCitation":"(Coase, 1937)","plainTextFormattedCitation":"(Coase, 1937)","previouslyFormattedCitation":"(Coase, 1937)"},"properties":{"noteIndex":0},"schema":"https://github.com/citation-style-language/schema/raw/master/csl-citation.json"}</w:instrText>
      </w:r>
      <w:r w:rsidRPr="00743AC4">
        <w:rPr>
          <w:rFonts w:cs="Times New Roman"/>
          <w:noProof/>
          <w:lang w:val="en-GB"/>
        </w:rPr>
        <w:fldChar w:fldCharType="separate"/>
      </w:r>
      <w:r w:rsidRPr="00743AC4">
        <w:rPr>
          <w:rFonts w:cs="Times New Roman"/>
          <w:noProof/>
          <w:lang w:val="en-GB"/>
        </w:rPr>
        <w:t>(Coase, 1937)</w:t>
      </w:r>
      <w:r w:rsidRPr="00743AC4">
        <w:rPr>
          <w:rFonts w:cs="Times New Roman"/>
          <w:noProof/>
          <w:lang w:val="en-GB"/>
        </w:rPr>
        <w:fldChar w:fldCharType="end"/>
      </w:r>
      <w:r w:rsidRPr="00743AC4">
        <w:rPr>
          <w:rFonts w:cs="Times New Roman"/>
          <w:noProof/>
          <w:lang w:val="en-GB"/>
        </w:rPr>
        <w:t xml:space="preserve">, the industrial organization </w:t>
      </w:r>
      <w:r w:rsidRPr="00743AC4">
        <w:rPr>
          <w:rFonts w:cs="Times New Roman"/>
          <w:noProof/>
          <w:lang w:val="en-GB"/>
        </w:rPr>
        <w:fldChar w:fldCharType="begin" w:fldLock="1"/>
      </w:r>
      <w:r w:rsidRPr="00743AC4">
        <w:rPr>
          <w:rFonts w:cs="Times New Roman"/>
          <w:noProof/>
          <w:lang w:val="en-GB"/>
        </w:rPr>
        <w:instrText>ADDIN CSL_CITATION {"citationItems":[{"id":"ITEM-1","itemData":{"abstract":"Thesis (Ph. D.)--Massachusetts Institute of Technology, Dept. of Economics, 1960.","author":[{"dropping-particle":"","family":"Hymer","given":"Stephen H","non-dropping-particle":"","parse-names":false,"suffix":""}],"id":"ITEM-1","issued":{"date-parts":[["1960"]]},"publisher":"Massachusetts Institute of Technology","title":"The international operations of national firms, a study of direct foreign investment","type":"article-journal"},"uris":["http://www.mendeley.com/documents/?uuid=5864da35-c729-3b38-8785-2fb56f5b39a6"]}],"mendeley":{"formattedCitation":"(Hymer, 1960)","plainTextFormattedCitation":"(Hymer, 1960)","previouslyFormattedCitation":"(Hymer, 1960)"},"properties":{"noteIndex":0},"schema":"https://github.com/citation-style-language/schema/raw/master/csl-citation.json"}</w:instrText>
      </w:r>
      <w:r w:rsidRPr="00743AC4">
        <w:rPr>
          <w:rFonts w:cs="Times New Roman"/>
          <w:noProof/>
          <w:lang w:val="en-GB"/>
        </w:rPr>
        <w:fldChar w:fldCharType="separate"/>
      </w:r>
      <w:r w:rsidRPr="00743AC4">
        <w:rPr>
          <w:rFonts w:cs="Times New Roman"/>
          <w:noProof/>
          <w:lang w:val="en-GB"/>
        </w:rPr>
        <w:t>(Hymer, 1960)</w:t>
      </w:r>
      <w:r w:rsidRPr="00743AC4">
        <w:rPr>
          <w:rFonts w:cs="Times New Roman"/>
          <w:noProof/>
          <w:lang w:val="en-GB"/>
        </w:rPr>
        <w:fldChar w:fldCharType="end"/>
      </w:r>
      <w:r w:rsidRPr="00743AC4">
        <w:rPr>
          <w:rFonts w:cs="Times New Roman"/>
          <w:noProof/>
          <w:lang w:val="en-GB"/>
        </w:rPr>
        <w:t xml:space="preserve">, the life cycle of  product </w:t>
      </w:r>
      <w:r w:rsidRPr="00743AC4">
        <w:rPr>
          <w:rFonts w:cs="Times New Roman"/>
          <w:noProof/>
          <w:lang w:val="en-GB"/>
        </w:rPr>
        <w:fldChar w:fldCharType="begin" w:fldLock="1"/>
      </w:r>
      <w:r w:rsidRPr="00743AC4">
        <w:rPr>
          <w:rFonts w:cs="Times New Roman"/>
          <w:noProof/>
          <w:lang w:val="en-GB"/>
        </w:rPr>
        <w:instrText>ADDIN CSL_CITATION {"citationItems":[{"id":"ITEM-1","itemData":{"DOI":"10.2307/1880689","author":[{"dropping-particle":"","family":"Vernon","given":"Raymond","non-dropping-particle":"","parse-names":false,"suffix":""}],"container-title":"Journal of Economics","id":"ITEM-1","issue":"2","issued":{"date-parts":[["1966"]]},"page":"190-207","title":"International investment and international trade in the product cycle","type":"article-journal","volume":"80"},"uris":["http://www.mendeley.com/documents/?uuid=c6fa52e4-8eef-4e5b-b534-c207e5c72665"]}],"mendeley":{"formattedCitation":"(Vernon, 1966)","plainTextFormattedCitation":"(Vernon, 1966)","previouslyFormattedCitation":"(Vernon, 1966)"},"properties":{"noteIndex":0},"schema":"https://github.com/citation-style-language/schema/raw/master/csl-citation.json"}</w:instrText>
      </w:r>
      <w:r w:rsidRPr="00743AC4">
        <w:rPr>
          <w:rFonts w:cs="Times New Roman"/>
          <w:noProof/>
          <w:lang w:val="en-GB"/>
        </w:rPr>
        <w:fldChar w:fldCharType="separate"/>
      </w:r>
      <w:r w:rsidRPr="00743AC4">
        <w:rPr>
          <w:rFonts w:cs="Times New Roman"/>
          <w:noProof/>
          <w:lang w:val="en-GB"/>
        </w:rPr>
        <w:t>(Vernon, 1966)</w:t>
      </w:r>
      <w:r w:rsidRPr="00743AC4">
        <w:rPr>
          <w:rFonts w:cs="Times New Roman"/>
          <w:noProof/>
          <w:lang w:val="en-GB"/>
        </w:rPr>
        <w:fldChar w:fldCharType="end"/>
      </w:r>
      <w:r w:rsidRPr="00743AC4">
        <w:rPr>
          <w:rFonts w:cs="Times New Roman"/>
          <w:noProof/>
          <w:lang w:val="en-GB"/>
        </w:rPr>
        <w:t xml:space="preserve"> and the eclectic paradigm </w:t>
      </w:r>
      <w:r w:rsidRPr="00743AC4">
        <w:rPr>
          <w:rFonts w:cs="Times New Roman"/>
          <w:noProof/>
          <w:lang w:val="en-GB"/>
        </w:rPr>
        <w:fldChar w:fldCharType="begin" w:fldLock="1"/>
      </w:r>
      <w:r w:rsidRPr="00743AC4">
        <w:rPr>
          <w:rFonts w:cs="Times New Roman"/>
          <w:noProof/>
          <w:lang w:val="en-GB"/>
        </w:rPr>
        <w:instrText>ADDIN CSL_CITATION {"citationItems":[{"id":"ITEM-1","itemData":{"DOI":"10.4337/9781843767053.00007","abstract":"Dunning, J H (1977) In: (eds) The International Allocation of Economic Activity. London: Macmillan","author":[{"dropping-particle":"","family":"Dunning","given":"John. H","non-dropping-particle":"","parse-names":false,"suffix":""}],"container-title":"Theories and Paradigms of International Business Activity","id":"ITEM-1","issued":{"date-parts":[["1977"]]},"title":"Trade, Location of Economic Activity and the Multinational Enterprise: A Search for an Eclectic Approach","type":"article-journal"},"uris":["http://www.mendeley.com/documents/?uuid=99a058ef-29f9-4339-9775-9d727e199999"]}],"mendeley":{"formattedCitation":"(Dunning, 1977)","plainTextFormattedCitation":"(Dunning, 1977)","previouslyFormattedCitation":"(Dunning, 1977)"},"properties":{"noteIndex":0},"schema":"https://github.com/citation-style-language/schema/raw/master/csl-citation.json"}</w:instrText>
      </w:r>
      <w:r w:rsidRPr="00743AC4">
        <w:rPr>
          <w:rFonts w:cs="Times New Roman"/>
          <w:noProof/>
          <w:lang w:val="en-GB"/>
        </w:rPr>
        <w:fldChar w:fldCharType="separate"/>
      </w:r>
      <w:r w:rsidRPr="00743AC4">
        <w:rPr>
          <w:rFonts w:cs="Times New Roman"/>
          <w:noProof/>
          <w:lang w:val="en-GB"/>
        </w:rPr>
        <w:t>(Dunning, 1977)</w:t>
      </w:r>
      <w:r w:rsidRPr="00743AC4">
        <w:rPr>
          <w:rFonts w:cs="Times New Roman"/>
          <w:noProof/>
          <w:lang w:val="en-GB"/>
        </w:rPr>
        <w:fldChar w:fldCharType="end"/>
      </w:r>
      <w:r w:rsidRPr="00743AC4">
        <w:rPr>
          <w:rFonts w:cs="Times New Roman"/>
          <w:noProof/>
          <w:lang w:val="en-GB"/>
        </w:rPr>
        <w:t xml:space="preserve">. FDI patterns lack analysis over time, since the factors that favor the initial investment of an EMN in a country may change, forcing the transfer of new investments to other places </w:t>
      </w:r>
      <w:r w:rsidRPr="00743AC4">
        <w:rPr>
          <w:rFonts w:cs="Times New Roman"/>
          <w:noProof/>
          <w:lang w:val="en-GB"/>
        </w:rPr>
        <w:fldChar w:fldCharType="begin" w:fldLock="1"/>
      </w:r>
      <w:r w:rsidRPr="00743AC4">
        <w:rPr>
          <w:rFonts w:cs="Times New Roman"/>
          <w:noProof/>
          <w:lang w:val="en-GB"/>
        </w:rPr>
        <w:instrText>ADDIN CSL_CITATION {"citationItems":[{"id":"ITEM-1","itemData":{"DOI":"10.1057/palgrave.jibs.8400034","author":[{"dropping-particle":"","family":"Phelan","given":"Steven E","non-dropping-particle":"","parse-names":false,"suffix":""}],"container-title":"Journal of International Business Studies","id":"ITEM-1","issued":{"date-parts":[["2003"]]},"title":"Trends in foreign direct investment flows: A theoretical and empirical analysis","type":"article-journal"},"uris":["http://www.mendeley.com/documents/?uuid=115784e3-75ba-32cd-b95a-4c984041c0b5"]}],"mendeley":{"formattedCitation":"(Phelan, 2003)","plainTextFormattedCitation":"(Phelan, 2003)","previouslyFormattedCitation":"(Phelan, 2003)"},"properties":{"noteIndex":0},"schema":"https://github.com/citation-style-language/schema/raw/master/csl-citation.json"}</w:instrText>
      </w:r>
      <w:r w:rsidRPr="00743AC4">
        <w:rPr>
          <w:rFonts w:cs="Times New Roman"/>
          <w:noProof/>
          <w:lang w:val="en-GB"/>
        </w:rPr>
        <w:fldChar w:fldCharType="separate"/>
      </w:r>
      <w:r w:rsidRPr="00743AC4">
        <w:rPr>
          <w:rFonts w:cs="Times New Roman"/>
          <w:noProof/>
          <w:lang w:val="en-GB"/>
        </w:rPr>
        <w:t>(Phelan, 2003)</w:t>
      </w:r>
      <w:r w:rsidRPr="00743AC4">
        <w:rPr>
          <w:rFonts w:cs="Times New Roman"/>
          <w:noProof/>
          <w:lang w:val="en-GB"/>
        </w:rPr>
        <w:fldChar w:fldCharType="end"/>
      </w:r>
      <w:r w:rsidRPr="00743AC4">
        <w:rPr>
          <w:rFonts w:cs="Times New Roman"/>
          <w:noProof/>
          <w:lang w:val="en-GB"/>
        </w:rPr>
        <w:t>.</w:t>
      </w:r>
    </w:p>
    <w:p w:rsidR="009973A2" w:rsidRPr="00743AC4" w:rsidRDefault="009973A2" w:rsidP="009973A2">
      <w:pPr>
        <w:ind w:firstLine="0"/>
        <w:rPr>
          <w:rFonts w:cs="Times New Roman"/>
          <w:noProof/>
          <w:lang w:val="en-GB"/>
        </w:rPr>
      </w:pPr>
    </w:p>
    <w:p w:rsidR="009973A2" w:rsidRPr="00743AC4" w:rsidRDefault="009973A2" w:rsidP="009973A2">
      <w:pPr>
        <w:ind w:firstLine="0"/>
        <w:rPr>
          <w:rFonts w:cs="Times New Roman"/>
          <w:noProof/>
          <w:lang w:val="en-GB"/>
        </w:rPr>
      </w:pPr>
      <w:r w:rsidRPr="00743AC4">
        <w:rPr>
          <w:rFonts w:cs="Times New Roman"/>
          <w:noProof/>
          <w:lang w:val="en-GB"/>
        </w:rPr>
        <w:t xml:space="preserve">Sub-Saharan Africa (SSA), the focus of this study, presents fragility in public sector balance sheets, low level of reserves and financial systems under pressure due to high default rate (IMF, 2019). In view of this, FDI funding in strategic sectors and implemented in a sustainable manner can benefit the dynamics of economic growth and development. However, this region has attracted a residual share of global flows of this type of investment, and the positive trends that have been seen substantially involve a small group of countries. However, it is understood that the continent has the potential to receive a higher volume of FDI, and that it needs to be exploited </w:t>
      </w:r>
      <w:r w:rsidRPr="00743AC4">
        <w:rPr>
          <w:rFonts w:cs="Times New Roman"/>
          <w:noProof/>
          <w:lang w:val="en-GB"/>
        </w:rPr>
        <w:fldChar w:fldCharType="begin" w:fldLock="1"/>
      </w:r>
      <w:r w:rsidRPr="00743AC4">
        <w:rPr>
          <w:rFonts w:cs="Times New Roman"/>
          <w:noProof/>
          <w:lang w:val="en-GB"/>
        </w:rPr>
        <w:instrText>ADDIN CSL_CITATION {"citationItems":[{"id":"ITEM-1","itemData":{"DOI":"10.1111/1467-8268.12298","ISSN":"14678268","abstract":"© 2017 The Authors. African Development Review © 2017 African Development Bank This paper explores the determinants of foreign direct investment (FDI) into FDI least recipient regions. Panel data for 20 sub-Saharan Africa (SSA) and 11 Middle East and North Africa (MENA) countries are used for the period 2000–12. Findings of the fixed effects estimations suggest that FDI inflows into these regions are influenced by GDP per capita, infrastructure development, trade openness, and control of corruption. Conversely, inflation negatively affects FDI inflows, and rents from natural resources do not significantly influence FDI. Furthermore, the findings show that marginal benefits from any increase in the quantity of FDI determinants (with the exception of control of corruption) will be less for SSA countries. The paper concludes with important policy implications deduced from the findings.","author":[{"dropping-particle":"","family":"Okafor","given":"Godwin","non-dropping-particle":"","parse-names":false,"suffix":""},{"dropping-particle":"","family":"Piesse","given":"Jenifer","non-dropping-particle":"","parse-names":false,"suffix":""},{"dropping-particle":"","family":"Webster","given":"Allan","non-dropping-particle":"","parse-names":false,"suffix":""}],"container-title":"African Development Review","id":"ITEM-1","issue":"4","issued":{"date-parts":[["2017"]]},"number-of-pages":"589-600","title":"FDI determinants in least recipient regions: The case of Sub-Saharan Africa and MENA","type":"book","volume":"29"},"uris":["http://www.mendeley.com/documents/?uuid=1bd07f21-448a-4c4e-ac3e-ab0bbe91b494"]}],"mendeley":{"formattedCitation":"(Okafor, Piesse, &amp; Webster, 2017)","manualFormatting":"(Okafor, Piesse, &amp; Webster, 2017). ","plainTextFormattedCitation":"(Okafor, Piesse, &amp; Webster, 2017)","previouslyFormattedCitation":"(Okafor, Piesse, &amp; Webster, 2017)"},"properties":{"noteIndex":0},"schema":"https://github.com/citation-style-language/schema/raw/master/csl-citation.json"}</w:instrText>
      </w:r>
      <w:r w:rsidRPr="00743AC4">
        <w:rPr>
          <w:rFonts w:cs="Times New Roman"/>
          <w:noProof/>
          <w:lang w:val="en-GB"/>
        </w:rPr>
        <w:fldChar w:fldCharType="separate"/>
      </w:r>
      <w:r w:rsidRPr="00743AC4">
        <w:rPr>
          <w:rFonts w:cs="Times New Roman"/>
          <w:noProof/>
          <w:lang w:val="en-GB"/>
        </w:rPr>
        <w:t xml:space="preserve">(Okafor, Piesse, and Webster, 2017). </w:t>
      </w:r>
      <w:r w:rsidRPr="00743AC4">
        <w:rPr>
          <w:rFonts w:cs="Times New Roman"/>
          <w:noProof/>
          <w:lang w:val="en-GB"/>
        </w:rPr>
        <w:fldChar w:fldCharType="end"/>
      </w:r>
    </w:p>
    <w:p w:rsidR="009973A2" w:rsidRPr="00743AC4" w:rsidRDefault="009973A2" w:rsidP="009973A2">
      <w:pPr>
        <w:ind w:firstLine="0"/>
        <w:rPr>
          <w:rFonts w:cs="Times New Roman"/>
          <w:noProof/>
          <w:lang w:val="en-GB"/>
        </w:rPr>
      </w:pPr>
    </w:p>
    <w:p w:rsidR="009973A2" w:rsidRPr="00743AC4" w:rsidRDefault="009973A2" w:rsidP="009973A2">
      <w:pPr>
        <w:ind w:firstLine="0"/>
        <w:rPr>
          <w:rFonts w:cs="Times New Roman"/>
          <w:noProof/>
          <w:shd w:val="clear" w:color="auto" w:fill="FFFFFF"/>
          <w:lang w:val="en-GB"/>
        </w:rPr>
      </w:pPr>
      <w:r w:rsidRPr="00743AC4">
        <w:rPr>
          <w:rFonts w:cs="Times New Roman"/>
          <w:noProof/>
          <w:lang w:val="en-GB"/>
        </w:rPr>
        <w:t xml:space="preserve">This research seeks to contribute to the enrichment of the FDI economic literature, especially in the context of the sub-Saharan region, standing out for working with more recent data, which cover the post-international financial crisis period, having significantly affected the flow of FDI in the world and in the region in particular. It is also distinguished by the use of the dynamic panel model through the Generalized Moments Method (GMM), proposed by Arellano and Bond </w:t>
      </w:r>
      <w:r w:rsidRPr="00743AC4">
        <w:rPr>
          <w:rFonts w:cs="Times New Roman"/>
          <w:noProof/>
          <w:lang w:val="en-GB"/>
        </w:rPr>
        <w:fldChar w:fldCharType="begin" w:fldLock="1"/>
      </w:r>
      <w:r w:rsidRPr="00743AC4">
        <w:rPr>
          <w:rFonts w:cs="Times New Roman"/>
          <w:noProof/>
          <w:lang w:val="en-GB"/>
        </w:rPr>
        <w:instrText>ADDIN CSL_CITATION {"citationItems":[{"id":"ITEM-1","itemData":{"author":[{"dropping-particle":"","family":"Arellano","given":"M.","non-dropping-particle":"","parse-names":false,"suffix":""},{"dropping-particle":"","family":"Bond","given":"S.","non-dropping-particle":"","parse-names":false,"suffix":""}],"container-title":"Review of Economic Studies","id":"ITEM-1","issued":{"date-parts":[["1991"]]},"page":"277–97","title":"Some tests of specification for panel data: Monte Carlo evidence and an application to employment equations.","type":"article-journal","volume":"58"},"suppress-author":1,"uris":["http://www.mendeley.com/documents/?uuid=ad12d1ee-f554-4a0d-a7ab-1a7042373d72"]}],"mendeley":{"formattedCitation":"(1991)","plainTextFormattedCitation":"(1991)","previouslyFormattedCitation":"(1991)"},"properties":{"noteIndex":0},"schema":"https://github.com/citation-style-language/schema/raw/master/csl-citation.json"}</w:instrText>
      </w:r>
      <w:r w:rsidRPr="00743AC4">
        <w:rPr>
          <w:rFonts w:cs="Times New Roman"/>
          <w:noProof/>
          <w:lang w:val="en-GB"/>
        </w:rPr>
        <w:fldChar w:fldCharType="separate"/>
      </w:r>
      <w:r w:rsidRPr="00743AC4">
        <w:rPr>
          <w:rFonts w:cs="Times New Roman"/>
          <w:noProof/>
          <w:lang w:val="en-GB"/>
        </w:rPr>
        <w:t>(1991)</w:t>
      </w:r>
      <w:r w:rsidRPr="00743AC4">
        <w:rPr>
          <w:rFonts w:cs="Times New Roman"/>
          <w:noProof/>
          <w:lang w:val="en-GB"/>
        </w:rPr>
        <w:fldChar w:fldCharType="end"/>
      </w:r>
      <w:r w:rsidRPr="00743AC4">
        <w:rPr>
          <w:rFonts w:cs="Times New Roman"/>
          <w:noProof/>
          <w:lang w:val="en-GB"/>
        </w:rPr>
        <w:t xml:space="preserve">, Arellano and Bover (1995), and </w:t>
      </w:r>
      <w:r w:rsidRPr="00743AC4">
        <w:rPr>
          <w:rFonts w:cs="Times New Roman"/>
          <w:noProof/>
          <w:lang w:val="en-GB"/>
        </w:rPr>
        <w:fldChar w:fldCharType="begin" w:fldLock="1"/>
      </w:r>
      <w:r w:rsidRPr="00743AC4">
        <w:rPr>
          <w:rFonts w:cs="Times New Roman"/>
          <w:noProof/>
          <w:lang w:val="en-GB"/>
        </w:rPr>
        <w:instrText>ADDIN CSL_CITATION {"citationItems":[{"id":"ITEM-1","itemData":{"author":[{"dropping-particle":"","family":"Arellano","given":"M.","non-dropping-particle":"","parse-names":false,"suffix":""},{"dropping-particle":"","family":"Bover","given":"O.","non-dropping-particle":"","parse-names":false,"suffix":""}],"container-title":"Journal of Econometrics","id":"ITEM-1","issued":{"date-parts":[["1995"]]},"page":"29–51","title":"Another look at the instrumental-variable estimation of error-components models","type":"article-journal","volume":"68"},"suppress-author":1,"uris":["http://www.mendeley.com/documents/?uuid=f3d78530-9af9-4bb0-923a-fb4c372f97a9"]}],"mendeley":{"formattedCitation":"(1995)","manualFormatting":"Blundell","plainTextFormattedCitation":"(1995)","previouslyFormattedCitation":"(1995)"},"properties":{"noteIndex":0},"schema":"https://github.com/citation-style-language/schema/raw/master/csl-citation.json"}</w:instrText>
      </w:r>
      <w:r w:rsidRPr="00743AC4">
        <w:rPr>
          <w:rFonts w:cs="Times New Roman"/>
          <w:noProof/>
          <w:lang w:val="en-GB"/>
        </w:rPr>
        <w:fldChar w:fldCharType="separate"/>
      </w:r>
      <w:r w:rsidRPr="00743AC4">
        <w:rPr>
          <w:rFonts w:cs="Times New Roman"/>
          <w:noProof/>
          <w:lang w:val="en-GB"/>
        </w:rPr>
        <w:t>Blundell</w:t>
      </w:r>
      <w:r w:rsidRPr="00743AC4">
        <w:rPr>
          <w:rFonts w:cs="Times New Roman"/>
          <w:noProof/>
          <w:lang w:val="en-GB"/>
        </w:rPr>
        <w:fldChar w:fldCharType="end"/>
      </w:r>
      <w:r w:rsidRPr="00743AC4">
        <w:rPr>
          <w:rFonts w:cs="Times New Roman"/>
          <w:noProof/>
          <w:shd w:val="clear" w:color="auto" w:fill="FFFFFF"/>
          <w:lang w:val="en-GB"/>
        </w:rPr>
        <w:t xml:space="preserve"> and Bover</w:t>
      </w:r>
      <w:r w:rsidRPr="00743AC4">
        <w:rPr>
          <w:rFonts w:cs="Times New Roman"/>
          <w:noProof/>
          <w:lang w:val="en-GB"/>
        </w:rPr>
        <w:t xml:space="preserve"> </w:t>
      </w:r>
      <w:r w:rsidRPr="00743AC4">
        <w:rPr>
          <w:rFonts w:cs="Times New Roman"/>
          <w:noProof/>
          <w:shd w:val="clear" w:color="auto" w:fill="FFFFFF"/>
          <w:lang w:val="en-GB"/>
        </w:rPr>
        <w:t xml:space="preserve">(1998), for </w:t>
      </w:r>
      <w:r w:rsidRPr="00743AC4">
        <w:rPr>
          <w:rFonts w:cs="Times New Roman"/>
          <w:noProof/>
          <w:shd w:val="clear" w:color="auto" w:fill="FFFFFF"/>
          <w:lang w:val="en-GB"/>
        </w:rPr>
        <w:lastRenderedPageBreak/>
        <w:t xml:space="preserve">generating more consistent estimators, given the </w:t>
      </w:r>
      <w:r w:rsidRPr="00743AC4">
        <w:rPr>
          <w:rFonts w:cs="Times New Roman"/>
          <w:noProof/>
          <w:lang w:val="en-GB"/>
        </w:rPr>
        <w:t>endogeneity</w:t>
      </w:r>
      <w:r w:rsidRPr="00743AC4">
        <w:rPr>
          <w:rFonts w:cs="Times New Roman"/>
          <w:noProof/>
          <w:shd w:val="clear" w:color="auto" w:fill="FFFFFF"/>
          <w:lang w:val="en-GB"/>
        </w:rPr>
        <w:t xml:space="preserve"> problem, which </w:t>
      </w:r>
      <w:r w:rsidRPr="00743AC4">
        <w:rPr>
          <w:rFonts w:cs="Times New Roman"/>
          <w:noProof/>
          <w:lang w:val="en-GB"/>
        </w:rPr>
        <w:t>may</w:t>
      </w:r>
      <w:r w:rsidRPr="00743AC4">
        <w:rPr>
          <w:rFonts w:cs="Times New Roman"/>
          <w:noProof/>
          <w:shd w:val="clear" w:color="auto" w:fill="FFFFFF"/>
          <w:lang w:val="en-GB"/>
        </w:rPr>
        <w:t xml:space="preserve"> assist </w:t>
      </w:r>
      <w:r w:rsidRPr="00743AC4">
        <w:rPr>
          <w:rFonts w:cs="Times New Roman"/>
          <w:i/>
          <w:noProof/>
          <w:shd w:val="clear" w:color="auto" w:fill="FFFFFF"/>
          <w:lang w:val="en-GB"/>
        </w:rPr>
        <w:t>policy-makers and</w:t>
      </w:r>
      <w:r w:rsidRPr="00743AC4">
        <w:rPr>
          <w:rFonts w:cs="Times New Roman"/>
          <w:noProof/>
          <w:shd w:val="clear" w:color="auto" w:fill="FFFFFF"/>
          <w:lang w:val="en-GB"/>
        </w:rPr>
        <w:t xml:space="preserve"> investors in making decisions on the matter.</w:t>
      </w:r>
    </w:p>
    <w:p w:rsidR="009973A2" w:rsidRPr="00743AC4" w:rsidRDefault="009973A2" w:rsidP="009973A2">
      <w:pPr>
        <w:ind w:firstLine="0"/>
        <w:rPr>
          <w:rFonts w:cs="Times New Roman"/>
          <w:noProof/>
          <w:shd w:val="clear" w:color="auto" w:fill="FFFFFF"/>
          <w:lang w:val="en-GB"/>
        </w:rPr>
      </w:pPr>
    </w:p>
    <w:p w:rsidR="009973A2" w:rsidRPr="00743AC4" w:rsidRDefault="009973A2" w:rsidP="009973A2">
      <w:pPr>
        <w:ind w:firstLine="0"/>
        <w:rPr>
          <w:rFonts w:cs="Times New Roman"/>
          <w:noProof/>
          <w:lang w:val="en-GB"/>
        </w:rPr>
      </w:pPr>
      <w:r w:rsidRPr="00743AC4">
        <w:rPr>
          <w:rFonts w:cs="Times New Roman"/>
          <w:noProof/>
          <w:lang w:val="en-GB"/>
        </w:rPr>
        <w:t xml:space="preserve">In addition to this brief introduction, this article includes five more sections. The second section presents a theoretical and empirical review on FDI, with special focus on the empirical contributions available for SSA. The empirical methodology is described in the third section. The fourth section presents the data sample and its treatment. In the fifth section the results are presented and finally in the sixth section the final considerations are presented. </w:t>
      </w:r>
    </w:p>
    <w:p w:rsidR="009973A2" w:rsidRPr="00743AC4" w:rsidRDefault="009973A2" w:rsidP="009973A2">
      <w:pPr>
        <w:pStyle w:val="Cabealho1"/>
        <w:numPr>
          <w:ilvl w:val="0"/>
          <w:numId w:val="5"/>
        </w:numPr>
        <w:jc w:val="center"/>
        <w:rPr>
          <w:rFonts w:ascii="Times New Roman" w:hAnsi="Times New Roman" w:cs="Times New Roman"/>
          <w:b/>
          <w:noProof/>
          <w:color w:val="000000" w:themeColor="text1"/>
          <w:lang w:val="en-GB"/>
        </w:rPr>
      </w:pPr>
      <w:r w:rsidRPr="00743AC4">
        <w:rPr>
          <w:rFonts w:ascii="Times New Roman" w:hAnsi="Times New Roman" w:cs="Times New Roman"/>
          <w:b/>
          <w:noProof/>
          <w:color w:val="000000" w:themeColor="text1"/>
          <w:lang w:val="en-GB"/>
        </w:rPr>
        <w:t>Literature Review</w:t>
      </w:r>
    </w:p>
    <w:p w:rsidR="009973A2" w:rsidRPr="00743AC4" w:rsidRDefault="009973A2" w:rsidP="009973A2">
      <w:pPr>
        <w:ind w:firstLine="0"/>
        <w:rPr>
          <w:rFonts w:cs="Times New Roman"/>
          <w:noProof/>
          <w:lang w:val="en-GB" w:eastAsia="ja-JP"/>
        </w:rPr>
      </w:pPr>
      <w:r w:rsidRPr="00743AC4">
        <w:rPr>
          <w:rFonts w:cs="Times New Roman"/>
          <w:noProof/>
          <w:lang w:val="en-GB" w:eastAsia="ja-JP"/>
        </w:rPr>
        <w:t xml:space="preserve">There are several theories explaining the behaviour of Multinational Enterprises (EMNs) and FDI, among which the contributions of Ohlin </w:t>
      </w:r>
      <w:r w:rsidRPr="00743AC4">
        <w:rPr>
          <w:rFonts w:cs="Times New Roman"/>
          <w:noProof/>
          <w:lang w:val="en-GB" w:eastAsia="ja-JP"/>
        </w:rPr>
        <w:fldChar w:fldCharType="begin" w:fldLock="1"/>
      </w:r>
      <w:r w:rsidRPr="00743AC4">
        <w:rPr>
          <w:rFonts w:cs="Times New Roman"/>
          <w:noProof/>
          <w:lang w:val="en-GB" w:eastAsia="ja-JP"/>
        </w:rPr>
        <w:instrText>ADDIN CSL_CITATION {"citationItems":[{"id":"ITEM-1","itemData":{"author":[{"dropping-particle":"","family":"Ohlin","given":"B","non-dropping-particle":"","parse-names":false,"suffix":""}],"editor":[{"dropping-particle":"","family":"University","given":"MA:Harvard Press. Revised version published in 1968","non-dropping-particle":"","parse-names":false,"suffix":""}],"id":"ITEM-1","issued":{"date-parts":[["1933"]]},"publisher-place":"Cambridge","title":"Interregional and International Trade","type":"book"},"suppress-author":1,"uris":["http://www.mendeley.com/documents/?uuid=5118f0fc-8987-4e81-a404-b47a17a5c33b"]}],"mendeley":{"formattedCitation":"(1933)","plainTextFormattedCitation":"(1933)","previouslyFormattedCitation":"(1933)"},"properties":{"noteIndex":0},"schema":"https://github.com/citation-style-language/schema/raw/master/csl-citation.json"}</w:instrText>
      </w:r>
      <w:r w:rsidRPr="00743AC4">
        <w:rPr>
          <w:rFonts w:cs="Times New Roman"/>
          <w:noProof/>
          <w:lang w:val="en-GB" w:eastAsia="ja-JP"/>
        </w:rPr>
        <w:fldChar w:fldCharType="separate"/>
      </w:r>
      <w:r w:rsidRPr="00743AC4">
        <w:rPr>
          <w:rFonts w:cs="Times New Roman"/>
          <w:noProof/>
          <w:lang w:val="en-GB" w:eastAsia="ja-JP"/>
        </w:rPr>
        <w:t>(1933)</w:t>
      </w:r>
      <w:r w:rsidRPr="00743AC4">
        <w:rPr>
          <w:rFonts w:cs="Times New Roman"/>
          <w:noProof/>
          <w:lang w:val="en-GB" w:eastAsia="ja-JP"/>
        </w:rPr>
        <w:fldChar w:fldCharType="end"/>
      </w:r>
      <w:r w:rsidRPr="00743AC4">
        <w:rPr>
          <w:rFonts w:cs="Times New Roman"/>
          <w:noProof/>
          <w:lang w:val="en-GB" w:eastAsia="ja-JP"/>
        </w:rPr>
        <w:t xml:space="preserve"> Coase </w:t>
      </w:r>
      <w:r w:rsidRPr="00743AC4">
        <w:rPr>
          <w:rFonts w:cs="Times New Roman"/>
          <w:noProof/>
          <w:lang w:val="en-GB" w:eastAsia="ja-JP"/>
        </w:rPr>
        <w:fldChar w:fldCharType="begin" w:fldLock="1"/>
      </w:r>
      <w:r w:rsidRPr="00743AC4">
        <w:rPr>
          <w:rFonts w:cs="Times New Roman"/>
          <w:noProof/>
          <w:lang w:val="en-GB" w:eastAsia="ja-JP"/>
        </w:rPr>
        <w:instrText>ADDIN CSL_CITATION {"citationItems":[{"id":"ITEM-1","itemData":{"author":[{"dropping-particle":"","family":"Coase","given":"","non-dropping-particle":"","parse-names":false,"suffix":""}],"container-title":"Economica","id":"ITEM-1","issued":{"date-parts":[["1937"]]},"number-of-pages":"386-405","title":"The Nature of the Firm","type":"book"},"suppress-author":1,"uris":["http://www.mendeley.com/documents/?uuid=2d2ab735-2109-4e6e-bd8c-d0dd569ecc9c"]}],"mendeley":{"formattedCitation":"(1937)","plainTextFormattedCitation":"(1937)","previouslyFormattedCitation":"(1937)"},"properties":{"noteIndex":0},"schema":"https://github.com/citation-style-language/schema/raw/master/csl-citation.json"}</w:instrText>
      </w:r>
      <w:r w:rsidRPr="00743AC4">
        <w:rPr>
          <w:rFonts w:cs="Times New Roman"/>
          <w:noProof/>
          <w:lang w:val="en-GB" w:eastAsia="ja-JP"/>
        </w:rPr>
        <w:fldChar w:fldCharType="separate"/>
      </w:r>
      <w:r w:rsidRPr="00743AC4">
        <w:rPr>
          <w:rFonts w:cs="Times New Roman"/>
          <w:noProof/>
          <w:lang w:val="en-GB" w:eastAsia="ja-JP"/>
        </w:rPr>
        <w:t>(1937)</w:t>
      </w:r>
      <w:r w:rsidRPr="00743AC4">
        <w:rPr>
          <w:rFonts w:cs="Times New Roman"/>
          <w:noProof/>
          <w:lang w:val="en-GB" w:eastAsia="ja-JP"/>
        </w:rPr>
        <w:fldChar w:fldCharType="end"/>
      </w:r>
      <w:r w:rsidRPr="00743AC4">
        <w:rPr>
          <w:rFonts w:cs="Times New Roman"/>
          <w:noProof/>
          <w:lang w:val="en-GB" w:eastAsia="ja-JP"/>
        </w:rPr>
        <w:t xml:space="preserve">, Hymer </w:t>
      </w:r>
      <w:r w:rsidRPr="00743AC4">
        <w:rPr>
          <w:rFonts w:cs="Times New Roman"/>
          <w:noProof/>
          <w:lang w:val="en-GB" w:eastAsia="ja-JP"/>
        </w:rPr>
        <w:fldChar w:fldCharType="begin" w:fldLock="1"/>
      </w:r>
      <w:r w:rsidRPr="00743AC4">
        <w:rPr>
          <w:rFonts w:cs="Times New Roman"/>
          <w:noProof/>
          <w:lang w:val="en-GB" w:eastAsia="ja-JP"/>
        </w:rPr>
        <w:instrText>ADDIN CSL_CITATION {"citationItems":[{"id":"ITEM-1","itemData":{"abstract":"Thesis (Ph. D.)--Massachusetts Institute of Technology, Dept. of Economics, 1960.","author":[{"dropping-particle":"","family":"Hymer","given":"Stephen H","non-dropping-particle":"","parse-names":false,"suffix":""}],"id":"ITEM-1","issued":{"date-parts":[["1960"]]},"publisher":"Massachusetts Institute of Technology","title":"The international operations of national firms, a study of direct foreign investment","type":"article-journal"},"suppress-author":1,"uris":["http://www.mendeley.com/documents/?uuid=5864da35-c729-3b38-8785-2fb56f5b39a6"]}],"mendeley":{"formattedCitation":"(1960)","plainTextFormattedCitation":"(1960)","previouslyFormattedCitation":"(1960)"},"properties":{"noteIndex":0},"schema":"https://github.com/citation-style-language/schema/raw/master/csl-citation.json"}</w:instrText>
      </w:r>
      <w:r w:rsidRPr="00743AC4">
        <w:rPr>
          <w:rFonts w:cs="Times New Roman"/>
          <w:noProof/>
          <w:lang w:val="en-GB" w:eastAsia="ja-JP"/>
        </w:rPr>
        <w:fldChar w:fldCharType="separate"/>
      </w:r>
      <w:r w:rsidRPr="00743AC4">
        <w:rPr>
          <w:rFonts w:cs="Times New Roman"/>
          <w:noProof/>
          <w:lang w:val="en-GB" w:eastAsia="ja-JP"/>
        </w:rPr>
        <w:t>(1960)</w:t>
      </w:r>
      <w:r w:rsidRPr="00743AC4">
        <w:rPr>
          <w:rFonts w:cs="Times New Roman"/>
          <w:noProof/>
          <w:lang w:val="en-GB" w:eastAsia="ja-JP"/>
        </w:rPr>
        <w:fldChar w:fldCharType="end"/>
      </w:r>
      <w:r w:rsidRPr="00743AC4">
        <w:rPr>
          <w:rFonts w:cs="Times New Roman"/>
          <w:noProof/>
          <w:lang w:val="en-GB" w:eastAsia="ja-JP"/>
        </w:rPr>
        <w:t xml:space="preserve">, Vernon </w:t>
      </w:r>
      <w:r w:rsidRPr="00743AC4">
        <w:rPr>
          <w:rFonts w:cs="Times New Roman"/>
          <w:noProof/>
          <w:lang w:val="en-GB" w:eastAsia="ja-JP"/>
        </w:rPr>
        <w:fldChar w:fldCharType="begin" w:fldLock="1"/>
      </w:r>
      <w:r w:rsidRPr="00743AC4">
        <w:rPr>
          <w:rFonts w:cs="Times New Roman"/>
          <w:noProof/>
          <w:lang w:val="en-GB" w:eastAsia="ja-JP"/>
        </w:rPr>
        <w:instrText>ADDIN CSL_CITATION {"citationItems":[{"id":"ITEM-1","itemData":{"DOI":"10.2307/1880689","author":[{"dropping-particle":"","family":"Vernon","given":"Raymond","non-dropping-particle":"","parse-names":false,"suffix":""}],"container-title":"Journal of Economics","id":"ITEM-1","issue":"2","issued":{"date-parts":[["1966"]]},"page":"190-207","title":"International investment and international trade in the product cycle","type":"article-journal","volume":"80"},"suppress-author":1,"uris":["http://www.mendeley.com/documents/?uuid=c6fa52e4-8eef-4e5b-b534-c207e5c72665"]}],"mendeley":{"formattedCitation":"(1966)","plainTextFormattedCitation":"(1966)","previouslyFormattedCitation":"(1966)"},"properties":{"noteIndex":0},"schema":"https://github.com/citation-style-language/schema/raw/master/csl-citation.json"}</w:instrText>
      </w:r>
      <w:r w:rsidRPr="00743AC4">
        <w:rPr>
          <w:rFonts w:cs="Times New Roman"/>
          <w:noProof/>
          <w:lang w:val="en-GB" w:eastAsia="ja-JP"/>
        </w:rPr>
        <w:fldChar w:fldCharType="separate"/>
      </w:r>
      <w:r w:rsidRPr="00743AC4">
        <w:rPr>
          <w:rFonts w:cs="Times New Roman"/>
          <w:noProof/>
          <w:lang w:val="en-GB" w:eastAsia="ja-JP"/>
        </w:rPr>
        <w:t>(1966)</w:t>
      </w:r>
      <w:r w:rsidRPr="00743AC4">
        <w:rPr>
          <w:rFonts w:cs="Times New Roman"/>
          <w:noProof/>
          <w:lang w:val="en-GB" w:eastAsia="ja-JP"/>
        </w:rPr>
        <w:fldChar w:fldCharType="end"/>
      </w:r>
      <w:r w:rsidRPr="00743AC4">
        <w:rPr>
          <w:rFonts w:cs="Times New Roman"/>
          <w:noProof/>
          <w:lang w:val="en-GB" w:eastAsia="ja-JP"/>
        </w:rPr>
        <w:t xml:space="preserve">, Buckley and Casson </w:t>
      </w:r>
      <w:r w:rsidRPr="00743AC4">
        <w:rPr>
          <w:rFonts w:cs="Times New Roman"/>
          <w:noProof/>
          <w:lang w:val="en-GB" w:eastAsia="ja-JP"/>
        </w:rPr>
        <w:fldChar w:fldCharType="begin" w:fldLock="1"/>
      </w:r>
      <w:r w:rsidRPr="00743AC4">
        <w:rPr>
          <w:rFonts w:cs="Times New Roman"/>
          <w:noProof/>
          <w:lang w:val="en-GB" w:eastAsia="ja-JP"/>
        </w:rPr>
        <w:instrText>ADDIN CSL_CITATION {"citationItems":[{"id":"ITEM-1","itemData":{"author":[{"dropping-particle":"","family":"Buckley","given":"Peter.J.","non-dropping-particle":"","parse-names":false,"suffix":""},{"dropping-particle":"","family":"Casson","given":"M.C.","non-dropping-particle":"","parse-names":false,"suffix":""}],"id":"ITEM-1","issued":{"date-parts":[["1976"]]},"number-of-pages":"32-65","publisher":"in P.J. Buckley and M.C. Casson, The Future of the Multinational Enterprrise","publisher-place":"London","title":"A long-run theory of the multinational enterprise","type":"book"},"suppress-author":1,"uris":["http://www.mendeley.com/documents/?uuid=fb2ec490-72a6-42e0-8a4c-4804c98083f8"]}],"mendeley":{"formattedCitation":"(1976)","plainTextFormattedCitation":"(1976)","previouslyFormattedCitation":"(1976)"},"properties":{"noteIndex":0},"schema":"https://github.com/citation-style-language/schema/raw/master/csl-citation.json"}</w:instrText>
      </w:r>
      <w:r w:rsidRPr="00743AC4">
        <w:rPr>
          <w:rFonts w:cs="Times New Roman"/>
          <w:noProof/>
          <w:lang w:val="en-GB" w:eastAsia="ja-JP"/>
        </w:rPr>
        <w:fldChar w:fldCharType="separate"/>
      </w:r>
      <w:r w:rsidRPr="00743AC4">
        <w:rPr>
          <w:rFonts w:cs="Times New Roman"/>
          <w:noProof/>
          <w:lang w:val="en-GB" w:eastAsia="ja-JP"/>
        </w:rPr>
        <w:t>(1976)</w:t>
      </w:r>
      <w:r w:rsidRPr="00743AC4">
        <w:rPr>
          <w:rFonts w:cs="Times New Roman"/>
          <w:noProof/>
          <w:lang w:val="en-GB" w:eastAsia="ja-JP"/>
        </w:rPr>
        <w:fldChar w:fldCharType="end"/>
      </w:r>
      <w:r w:rsidRPr="00743AC4">
        <w:rPr>
          <w:rFonts w:cs="Times New Roman"/>
          <w:noProof/>
          <w:lang w:val="en-GB" w:eastAsia="ja-JP"/>
        </w:rPr>
        <w:t>, and Dunning</w:t>
      </w:r>
      <w:r w:rsidRPr="00743AC4">
        <w:rPr>
          <w:rFonts w:cs="Times New Roman"/>
          <w:noProof/>
          <w:lang w:val="en-GB" w:eastAsia="ja-JP"/>
        </w:rPr>
        <w:fldChar w:fldCharType="begin" w:fldLock="1"/>
      </w:r>
      <w:r w:rsidRPr="00743AC4">
        <w:rPr>
          <w:rFonts w:cs="Times New Roman"/>
          <w:noProof/>
          <w:lang w:val="en-GB" w:eastAsia="ja-JP"/>
        </w:rPr>
        <w:instrText>ADDIN CSL_CITATION {"citationItems":[{"id":"ITEM-1","itemData":{"DOI":"10.4337/9781843767053.00007","abstract":"Dunning, J H (1977) In: (eds) The International Allocation of Economic Activity. London: Macmillan","author":[{"dropping-particle":"","family":"Dunning","given":"John. H","non-dropping-particle":"","parse-names":false,"suffix":""}],"container-title":"Theories and Paradigms of International Business Activity","id":"ITEM-1","issued":{"date-parts":[["1977"]]},"title":"Trade, Location of Economic Activity and the Multinational Enterprise: A Search for an Eclectic Approach","type":"article-journal"},"suppress-author":1,"uris":["http://www.mendeley.com/documents/?uuid=99a058ef-29f9-4339-9775-9d727e199999"]}],"mendeley":{"formattedCitation":"(1977)","plainTextFormattedCitation":"(1977)","previouslyFormattedCitation":"(Dunning, 1977)"},"properties":{"noteIndex":0},"schema":"https://github.com/citation-style-language/schema/raw/master/csl-citation.json"}</w:instrText>
      </w:r>
      <w:r w:rsidRPr="00743AC4">
        <w:rPr>
          <w:rFonts w:cs="Times New Roman"/>
          <w:noProof/>
          <w:lang w:val="en-GB" w:eastAsia="ja-JP"/>
        </w:rPr>
        <w:fldChar w:fldCharType="separate"/>
      </w:r>
      <w:r w:rsidRPr="00743AC4">
        <w:rPr>
          <w:rFonts w:cs="Times New Roman"/>
          <w:noProof/>
          <w:lang w:val="en-GB" w:eastAsia="ja-JP"/>
        </w:rPr>
        <w:t>(1977)</w:t>
      </w:r>
      <w:r w:rsidRPr="00743AC4">
        <w:rPr>
          <w:rFonts w:cs="Times New Roman"/>
          <w:noProof/>
          <w:lang w:val="en-GB" w:eastAsia="ja-JP"/>
        </w:rPr>
        <w:fldChar w:fldCharType="end"/>
      </w:r>
      <w:r w:rsidRPr="00743AC4">
        <w:rPr>
          <w:rFonts w:cs="Times New Roman"/>
          <w:noProof/>
          <w:lang w:val="en-GB" w:eastAsia="ja-JP"/>
        </w:rPr>
        <w:t xml:space="preserve"> stand out, most of which were based on the neoclassical assumptions of trade </w:t>
      </w:r>
      <w:r w:rsidRPr="00743AC4">
        <w:rPr>
          <w:rFonts w:cs="Times New Roman"/>
          <w:noProof/>
          <w:lang w:val="en-GB" w:eastAsia="ja-JP"/>
        </w:rPr>
        <w:fldChar w:fldCharType="begin" w:fldLock="1"/>
      </w:r>
      <w:r w:rsidRPr="00743AC4">
        <w:rPr>
          <w:rFonts w:cs="Times New Roman"/>
          <w:noProof/>
          <w:lang w:val="en-GB" w:eastAsia="ja-JP"/>
        </w:rPr>
        <w:instrText>ADDIN CSL_CITATION {"citationItems":[{"id":"ITEM-1","itemData":{"author":[{"dropping-particle":"","family":"Letto-Gillies","given":"Grazia","non-dropping-particle":"","parse-names":false,"suffix":""}],"id":"ITEM-1","issued":{"date-parts":[["2004"]]},"number-of-pages":"1-252","title":"Transnational corporations and international production: conceps, theories and effects","type":"book"},"uris":["http://www.mendeley.com/documents/?uuid=5ac8443e-9ddb-40c5-85a9-e61b20dfea5c"]}],"mendeley":{"formattedCitation":"(Letto-Gillies, 2004)","plainTextFormattedCitation":"(Letto-Gillies, 2004)","previouslyFormattedCitation":"(Letto-Gillies, 2004)"},"properties":{"noteIndex":0},"schema":"https://github.com/citation-style-language/schema/raw/master/csl-citation.json"}</w:instrText>
      </w:r>
      <w:r w:rsidRPr="00743AC4">
        <w:rPr>
          <w:rFonts w:cs="Times New Roman"/>
          <w:noProof/>
          <w:lang w:val="en-GB" w:eastAsia="ja-JP"/>
        </w:rPr>
        <w:fldChar w:fldCharType="separate"/>
      </w:r>
      <w:r w:rsidRPr="00743AC4">
        <w:rPr>
          <w:rFonts w:cs="Times New Roman"/>
          <w:noProof/>
          <w:lang w:val="en-GB" w:eastAsia="ja-JP"/>
        </w:rPr>
        <w:t>(Letto-Gillies, 2004)</w:t>
      </w:r>
      <w:r w:rsidRPr="00743AC4">
        <w:rPr>
          <w:rFonts w:cs="Times New Roman"/>
          <w:noProof/>
          <w:lang w:val="en-GB" w:eastAsia="ja-JP"/>
        </w:rPr>
        <w:fldChar w:fldCharType="end"/>
      </w:r>
      <w:r w:rsidRPr="00743AC4">
        <w:rPr>
          <w:rFonts w:cs="Times New Roman"/>
          <w:noProof/>
          <w:lang w:val="en-GB" w:eastAsia="ja-JP"/>
        </w:rPr>
        <w:t>.</w:t>
      </w:r>
    </w:p>
    <w:p w:rsidR="009973A2" w:rsidRPr="00743AC4" w:rsidRDefault="009973A2" w:rsidP="009973A2">
      <w:pPr>
        <w:ind w:firstLine="0"/>
        <w:rPr>
          <w:rFonts w:cs="Times New Roman"/>
          <w:noProof/>
          <w:lang w:val="en-GB" w:eastAsia="ja-JP"/>
        </w:rPr>
      </w:pPr>
      <w:r w:rsidRPr="00743AC4">
        <w:rPr>
          <w:rFonts w:cs="Times New Roman"/>
          <w:noProof/>
          <w:lang w:val="en-GB" w:eastAsia="ja-JP"/>
        </w:rPr>
        <w:t xml:space="preserve">Ohlin </w:t>
      </w:r>
      <w:r w:rsidRPr="00743AC4">
        <w:rPr>
          <w:rFonts w:cs="Times New Roman"/>
          <w:noProof/>
          <w:lang w:val="en-GB" w:eastAsia="ja-JP"/>
        </w:rPr>
        <w:fldChar w:fldCharType="begin" w:fldLock="1"/>
      </w:r>
      <w:r w:rsidRPr="00743AC4">
        <w:rPr>
          <w:rFonts w:cs="Times New Roman"/>
          <w:noProof/>
          <w:lang w:val="en-GB" w:eastAsia="ja-JP"/>
        </w:rPr>
        <w:instrText>ADDIN CSL_CITATION {"citationItems":[{"id":"ITEM-1","itemData":{"author":[{"dropping-particle":"","family":"Ohlin","given":"B","non-dropping-particle":"","parse-names":false,"suffix":""}],"editor":[{"dropping-particle":"","family":"University","given":"MA:Harvard Press. Revised version published in 1968","non-dropping-particle":"","parse-names":false,"suffix":""}],"id":"ITEM-1","issued":{"date-parts":[["1933"]]},"publisher-place":"Cambridge","title":"Interregional and International Trade","type":"book"},"suppress-author":1,"uris":["http://www.mendeley.com/documents/?uuid=5118f0fc-8987-4e81-a404-b47a17a5c33b"]}],"mendeley":{"formattedCitation":"(1933)","plainTextFormattedCitation":"(1933)","previouslyFormattedCitation":"(1933)"},"properties":{"noteIndex":0},"schema":"https://github.com/citation-style-language/schema/raw/master/csl-citation.json"}</w:instrText>
      </w:r>
      <w:r w:rsidRPr="00743AC4">
        <w:rPr>
          <w:rFonts w:cs="Times New Roman"/>
          <w:noProof/>
          <w:lang w:val="en-GB" w:eastAsia="ja-JP"/>
        </w:rPr>
        <w:fldChar w:fldCharType="separate"/>
      </w:r>
      <w:r w:rsidRPr="00743AC4">
        <w:rPr>
          <w:rFonts w:cs="Times New Roman"/>
          <w:noProof/>
          <w:lang w:val="en-GB" w:eastAsia="ja-JP"/>
        </w:rPr>
        <w:t>(1933)</w:t>
      </w:r>
      <w:r w:rsidRPr="00743AC4">
        <w:rPr>
          <w:rFonts w:cs="Times New Roman"/>
          <w:noProof/>
          <w:lang w:val="en-GB" w:eastAsia="ja-JP"/>
        </w:rPr>
        <w:fldChar w:fldCharType="end"/>
      </w:r>
      <w:r w:rsidRPr="00743AC4">
        <w:rPr>
          <w:rFonts w:cs="Times New Roman"/>
          <w:noProof/>
          <w:lang w:val="en-GB" w:eastAsia="ja-JP"/>
        </w:rPr>
        <w:t xml:space="preserve"> argued that the main incentives for FDI are the ability to access raw materials, and the possibility of obtaining greater profit, due to the relatively high interest rate on financing practiced in the host country. </w:t>
      </w:r>
    </w:p>
    <w:p w:rsidR="009973A2" w:rsidRPr="00743AC4" w:rsidRDefault="009973A2" w:rsidP="009973A2">
      <w:pPr>
        <w:ind w:firstLine="0"/>
        <w:rPr>
          <w:rFonts w:cs="Times New Roman"/>
          <w:noProof/>
          <w:lang w:val="en-GB" w:eastAsia="ja-JP"/>
        </w:rPr>
      </w:pPr>
    </w:p>
    <w:p w:rsidR="009973A2" w:rsidRPr="00743AC4" w:rsidRDefault="009973A2" w:rsidP="009973A2">
      <w:pPr>
        <w:ind w:firstLine="0"/>
        <w:rPr>
          <w:rFonts w:cs="Times New Roman"/>
          <w:noProof/>
          <w:lang w:val="en-GB"/>
        </w:rPr>
      </w:pPr>
      <w:r w:rsidRPr="00743AC4">
        <w:rPr>
          <w:rFonts w:cs="Times New Roman"/>
          <w:noProof/>
          <w:lang w:val="en-GB"/>
        </w:rPr>
        <w:t>Coase</w:t>
      </w:r>
      <w:r w:rsidRPr="00743AC4">
        <w:rPr>
          <w:rFonts w:cs="Times New Roman"/>
          <w:noProof/>
          <w:lang w:val="en-GB"/>
        </w:rPr>
        <w:fldChar w:fldCharType="begin" w:fldLock="1"/>
      </w:r>
      <w:r w:rsidRPr="00743AC4">
        <w:rPr>
          <w:rFonts w:cs="Times New Roman"/>
          <w:noProof/>
          <w:lang w:val="en-GB"/>
        </w:rPr>
        <w:instrText>ADDIN CSL_CITATION {"citationItems":[{"id":"ITEM-1","itemData":{"author":[{"dropping-particle":"","family":"Coase","given":"","non-dropping-particle":"","parse-names":false,"suffix":""}],"container-title":"Economica","id":"ITEM-1","issued":{"date-parts":[["1937"]]},"number-of-pages":"386-405","title":"The Nature of the Firm","type":"book"},"suppress-author":1,"uris":["http://www.mendeley.com/documents/?uuid=2d2ab735-2109-4e6e-bd8c-d0dd569ecc9c"]}],"mendeley":{"formattedCitation":"(1937)","plainTextFormattedCitation":"(1937)","previouslyFormattedCitation":"(1937)"},"properties":{"noteIndex":0},"schema":"https://github.com/citation-style-language/schema/raw/master/csl-citation.json"}</w:instrText>
      </w:r>
      <w:r w:rsidRPr="00743AC4">
        <w:rPr>
          <w:rFonts w:cs="Times New Roman"/>
          <w:noProof/>
          <w:lang w:val="en-GB"/>
        </w:rPr>
        <w:fldChar w:fldCharType="separate"/>
      </w:r>
      <w:r w:rsidRPr="00743AC4">
        <w:rPr>
          <w:rFonts w:cs="Times New Roman"/>
          <w:noProof/>
          <w:lang w:val="en-GB"/>
        </w:rPr>
        <w:t>(1937)</w:t>
      </w:r>
      <w:r w:rsidRPr="00743AC4">
        <w:rPr>
          <w:rFonts w:cs="Times New Roman"/>
          <w:noProof/>
          <w:lang w:val="en-GB"/>
        </w:rPr>
        <w:fldChar w:fldCharType="end"/>
      </w:r>
      <w:r w:rsidRPr="00743AC4">
        <w:rPr>
          <w:rFonts w:cs="Times New Roman"/>
          <w:noProof/>
          <w:lang w:val="en-GB"/>
        </w:rPr>
        <w:t xml:space="preserve"> focused on the internal organization of production of firms, and based on the circumstances of the functioning of imperfect markets, to develop its theory which serves as a basis for the theory of market imperfections. Firms only grow when they organize their production process internally, through planning and direction, and not through the price mechanism. Thus, a company will tend to expand as long as the costs inherent in its organization do not equal the costs of carrying out the same transaction.</w:t>
      </w:r>
    </w:p>
    <w:p w:rsidR="009973A2" w:rsidRPr="00743AC4" w:rsidRDefault="009973A2" w:rsidP="009973A2">
      <w:pPr>
        <w:rPr>
          <w:rFonts w:cs="Times New Roman"/>
          <w:noProof/>
          <w:lang w:val="en-GB" w:eastAsia="ja-JP"/>
        </w:rPr>
      </w:pPr>
      <w:r w:rsidRPr="00743AC4">
        <w:rPr>
          <w:rFonts w:cs="Times New Roman"/>
          <w:noProof/>
          <w:lang w:val="en-GB"/>
        </w:rPr>
        <w:t xml:space="preserve"> </w:t>
      </w:r>
    </w:p>
    <w:p w:rsidR="009973A2" w:rsidRPr="00743AC4" w:rsidRDefault="009973A2" w:rsidP="009973A2">
      <w:pPr>
        <w:ind w:firstLine="0"/>
        <w:rPr>
          <w:rFonts w:cs="Times New Roman"/>
          <w:noProof/>
          <w:lang w:val="en-GB"/>
        </w:rPr>
      </w:pPr>
      <w:r w:rsidRPr="00743AC4">
        <w:rPr>
          <w:rFonts w:cs="Times New Roman"/>
          <w:noProof/>
          <w:color w:val="000000"/>
          <w:lang w:val="en-GB"/>
        </w:rPr>
        <w:t xml:space="preserve">Hymer </w:t>
      </w:r>
      <w:r w:rsidRPr="00743AC4">
        <w:rPr>
          <w:rFonts w:cs="Times New Roman"/>
          <w:noProof/>
          <w:color w:val="000000"/>
          <w:lang w:val="en-GB"/>
        </w:rPr>
        <w:fldChar w:fldCharType="begin" w:fldLock="1"/>
      </w:r>
      <w:r w:rsidRPr="00743AC4">
        <w:rPr>
          <w:rFonts w:cs="Times New Roman"/>
          <w:noProof/>
          <w:color w:val="000000"/>
          <w:lang w:val="en-GB"/>
        </w:rPr>
        <w:instrText>ADDIN CSL_CITATION {"citationItems":[{"id":"ITEM-1","itemData":{"abstract":"Thesis (Ph. D.)--Massachusetts Institute of Technology, Dept. of Economics, 1960.","author":[{"dropping-particle":"","family":"Hymer","given":"Stephen H","non-dropping-particle":"","parse-names":false,"suffix":""}],"id":"ITEM-1","issued":{"date-parts":[["1960"]]},"publisher":"Massachusetts Institute of Technology","title":"The international operations of national firms, a study of direct foreign investment","type":"article-journal"},"suppress-author":1,"uris":["http://www.mendeley.com/documents/?uuid=5864da35-c729-3b38-8785-2fb56f5b39a6"]}],"mendeley":{"formattedCitation":"(1960)","plainTextFormattedCitation":"(1960)","previouslyFormattedCitation":"(1960)"},"properties":{"noteIndex":0},"schema":"https://github.com/citation-style-language/schema/raw/master/csl-citation.json"}</w:instrText>
      </w:r>
      <w:r w:rsidRPr="00743AC4">
        <w:rPr>
          <w:rFonts w:cs="Times New Roman"/>
          <w:noProof/>
          <w:color w:val="000000"/>
          <w:lang w:val="en-GB"/>
        </w:rPr>
        <w:fldChar w:fldCharType="separate"/>
      </w:r>
      <w:r w:rsidRPr="00743AC4">
        <w:rPr>
          <w:rFonts w:cs="Times New Roman"/>
          <w:noProof/>
          <w:color w:val="000000"/>
          <w:lang w:val="en-GB"/>
        </w:rPr>
        <w:t>(1960)</w:t>
      </w:r>
      <w:r w:rsidRPr="00743AC4">
        <w:rPr>
          <w:rFonts w:cs="Times New Roman"/>
          <w:noProof/>
          <w:color w:val="000000"/>
          <w:lang w:val="en-GB"/>
        </w:rPr>
        <w:fldChar w:fldCharType="end"/>
      </w:r>
      <w:r w:rsidRPr="00743AC4">
        <w:rPr>
          <w:rFonts w:cs="Times New Roman"/>
          <w:noProof/>
          <w:color w:val="000000"/>
          <w:lang w:val="en-GB"/>
        </w:rPr>
        <w:t xml:space="preserve"> based himself on the forms of organization of industrial production postulating that a company only invests abroad when it has specific advantages over local companies, and where the market is imperfect, allowing the exploitation of these advantages. </w:t>
      </w:r>
      <w:r w:rsidRPr="00743AC4">
        <w:rPr>
          <w:rFonts w:cs="Times New Roman"/>
          <w:noProof/>
          <w:lang w:val="en-GB"/>
        </w:rPr>
        <w:t xml:space="preserve">Investors are motivated to seek control of the enterprise abroad for two reasons: to protect their investments from threats from competing investors and to eliminate competition from companies from other countries in the same sector, gaining market power. </w:t>
      </w:r>
    </w:p>
    <w:p w:rsidR="009973A2" w:rsidRPr="00743AC4" w:rsidRDefault="009973A2" w:rsidP="009973A2">
      <w:pPr>
        <w:ind w:firstLine="0"/>
        <w:rPr>
          <w:rFonts w:cs="Times New Roman"/>
          <w:noProof/>
          <w:lang w:val="en-GB"/>
        </w:rPr>
      </w:pPr>
    </w:p>
    <w:p w:rsidR="009973A2" w:rsidRPr="00743AC4" w:rsidRDefault="009973A2" w:rsidP="009973A2">
      <w:pPr>
        <w:ind w:firstLine="0"/>
        <w:rPr>
          <w:rFonts w:cs="Times New Roman"/>
          <w:noProof/>
          <w:sz w:val="23"/>
          <w:szCs w:val="23"/>
          <w:lang w:val="en-GB"/>
        </w:rPr>
      </w:pPr>
      <w:r w:rsidRPr="00743AC4">
        <w:rPr>
          <w:rFonts w:cs="Times New Roman"/>
          <w:noProof/>
          <w:color w:val="000000" w:themeColor="text1"/>
          <w:sz w:val="23"/>
          <w:szCs w:val="23"/>
          <w:lang w:val="en-GB"/>
        </w:rPr>
        <w:t xml:space="preserve">Vernon </w:t>
      </w:r>
      <w:r w:rsidRPr="00743AC4">
        <w:rPr>
          <w:rFonts w:cs="Times New Roman"/>
          <w:noProof/>
          <w:color w:val="000000" w:themeColor="text1"/>
          <w:sz w:val="23"/>
          <w:szCs w:val="23"/>
          <w:lang w:val="en-GB"/>
        </w:rPr>
        <w:fldChar w:fldCharType="begin" w:fldLock="1"/>
      </w:r>
      <w:r w:rsidRPr="00743AC4">
        <w:rPr>
          <w:rFonts w:cs="Times New Roman"/>
          <w:noProof/>
          <w:color w:val="000000" w:themeColor="text1"/>
          <w:sz w:val="23"/>
          <w:szCs w:val="23"/>
          <w:lang w:val="en-GB"/>
        </w:rPr>
        <w:instrText>ADDIN CSL_CITATION {"citationItems":[{"id":"ITEM-1","itemData":{"DOI":"10.2307/1880689","author":[{"dropping-particle":"","family":"Vernon","given":"Raymond","non-dropping-particle":"","parse-names":false,"suffix":""}],"container-title":"Journal of Economics","id":"ITEM-1","issue":"2","issued":{"date-parts":[["1966"]]},"page":"190-207","title":"International investment and international trade in the product cycle","type":"article-journal","volume":"80"},"suppress-author":1,"uris":["http://www.mendeley.com/documents/?uuid=c6fa52e4-8eef-4e5b-b534-c207e5c72665"]}],"mendeley":{"formattedCitation":"(1966)","plainTextFormattedCitation":"(1966)","previouslyFormattedCitation":"(1966)"},"properties":{"noteIndex":0},"schema":"https://github.com/citation-style-language/schema/raw/master/csl-citation.json"}</w:instrText>
      </w:r>
      <w:r w:rsidRPr="00743AC4">
        <w:rPr>
          <w:rFonts w:cs="Times New Roman"/>
          <w:noProof/>
          <w:color w:val="000000" w:themeColor="text1"/>
          <w:sz w:val="23"/>
          <w:szCs w:val="23"/>
          <w:lang w:val="en-GB"/>
        </w:rPr>
        <w:fldChar w:fldCharType="separate"/>
      </w:r>
      <w:r w:rsidRPr="00743AC4">
        <w:rPr>
          <w:rFonts w:cs="Times New Roman"/>
          <w:noProof/>
          <w:color w:val="000000" w:themeColor="text1"/>
          <w:sz w:val="23"/>
          <w:szCs w:val="23"/>
          <w:lang w:val="en-GB"/>
        </w:rPr>
        <w:t>(1966)</w:t>
      </w:r>
      <w:r w:rsidRPr="00743AC4">
        <w:rPr>
          <w:rFonts w:cs="Times New Roman"/>
          <w:noProof/>
          <w:color w:val="000000" w:themeColor="text1"/>
          <w:sz w:val="23"/>
          <w:szCs w:val="23"/>
          <w:lang w:val="en-GB"/>
        </w:rPr>
        <w:fldChar w:fldCharType="end"/>
      </w:r>
      <w:r w:rsidRPr="00743AC4">
        <w:rPr>
          <w:rFonts w:cs="Times New Roman"/>
          <w:noProof/>
          <w:sz w:val="23"/>
          <w:szCs w:val="23"/>
          <w:lang w:val="en-GB"/>
        </w:rPr>
        <w:t xml:space="preserve"> proposed the Product Life Cycle Theory, according to which there are three distinct phases in the life of a product, to be indicated: new product, product in maturation and standardized product, so that on the basis of the production decision abroad this is the prolongation of the production life cycle, minimizing variable costs through fiscal optimization and reduction of customs barriers. </w:t>
      </w:r>
    </w:p>
    <w:p w:rsidR="009973A2" w:rsidRPr="00743AC4" w:rsidRDefault="009973A2" w:rsidP="009973A2">
      <w:pPr>
        <w:ind w:firstLine="0"/>
        <w:rPr>
          <w:rFonts w:cs="Times New Roman"/>
          <w:noProof/>
          <w:sz w:val="23"/>
          <w:szCs w:val="23"/>
          <w:lang w:val="en-GB"/>
        </w:rPr>
      </w:pPr>
    </w:p>
    <w:p w:rsidR="009973A2" w:rsidRPr="00743AC4" w:rsidRDefault="009973A2" w:rsidP="009973A2">
      <w:pPr>
        <w:ind w:firstLine="0"/>
        <w:rPr>
          <w:rFonts w:cs="Times New Roman"/>
          <w:noProof/>
          <w:lang w:val="en-GB"/>
        </w:rPr>
      </w:pPr>
      <w:r w:rsidRPr="00743AC4">
        <w:rPr>
          <w:rFonts w:cs="Times New Roman"/>
          <w:noProof/>
          <w:lang w:val="en-GB"/>
        </w:rPr>
        <w:t xml:space="preserve">Dunning </w:t>
      </w:r>
      <w:r w:rsidRPr="00743AC4">
        <w:rPr>
          <w:rFonts w:cs="Times New Roman"/>
          <w:noProof/>
          <w:lang w:val="en-GB"/>
        </w:rPr>
        <w:fldChar w:fldCharType="begin" w:fldLock="1"/>
      </w:r>
      <w:r w:rsidRPr="00743AC4">
        <w:rPr>
          <w:rFonts w:cs="Times New Roman"/>
          <w:noProof/>
          <w:lang w:val="en-GB"/>
        </w:rPr>
        <w:instrText>ADDIN CSL_CITATION {"citationItems":[{"id":"ITEM-1","itemData":{"DOI":"10.1057/palgrave.jibs.8490372","abstract":"This article reviews some of the criticisms directed towards the eclectic paradigm of international production over the past decade, and restates its main tenets. The second part of the article considers a number of possible extensions of the paradigm and concludes by asserting that it remains \"a robust general framework for explaining and analysing not only the economic rationale of economic production but many organisational and impact issues in relation to MNE activity as well.\"","author":[{"dropping-particle":"","family":"Dunning","given":"John H.","non-dropping-particle":"","parse-names":false,"suffix":""}],"container-title":"Journal of International Business Studies","id":"ITEM-1","issue":"1","issued":{"date-parts":[["1988","3","1"]]},"page":"1-31","title":"The ecletic paradigm of international production: a restatement and some possible extensions","type":"article-journal","volume":"19"},"suppress-author":1,"uris":["http://www.mendeley.com/documents/?uuid=978d9a1d-fe1d-4fbb-bc67-63a4e5397313"]}],"mendeley":{"formattedCitation":"(1988)","plainTextFormattedCitation":"(1988)","previouslyFormattedCitation":"(1988)"},"properties":{"noteIndex":0},"schema":"https://github.com/citation-style-language/schema/raw/master/csl-citation.json"}</w:instrText>
      </w:r>
      <w:r w:rsidRPr="00743AC4">
        <w:rPr>
          <w:rFonts w:cs="Times New Roman"/>
          <w:noProof/>
          <w:lang w:val="en-GB"/>
        </w:rPr>
        <w:fldChar w:fldCharType="separate"/>
      </w:r>
      <w:r w:rsidRPr="00743AC4">
        <w:rPr>
          <w:rFonts w:cs="Times New Roman"/>
          <w:noProof/>
          <w:lang w:val="en-GB"/>
        </w:rPr>
        <w:t>(1988)</w:t>
      </w:r>
      <w:r w:rsidRPr="00743AC4">
        <w:rPr>
          <w:rFonts w:cs="Times New Roman"/>
          <w:noProof/>
          <w:lang w:val="en-GB"/>
        </w:rPr>
        <w:fldChar w:fldCharType="end"/>
      </w:r>
      <w:r w:rsidRPr="00743AC4">
        <w:rPr>
          <w:rFonts w:cs="Times New Roman"/>
          <w:noProof/>
          <w:lang w:val="en-GB"/>
        </w:rPr>
        <w:t xml:space="preserve">, inspired by the works of Coase </w:t>
      </w:r>
      <w:r w:rsidRPr="00743AC4">
        <w:rPr>
          <w:rFonts w:cs="Times New Roman"/>
          <w:noProof/>
          <w:lang w:val="en-GB"/>
        </w:rPr>
        <w:fldChar w:fldCharType="begin" w:fldLock="1"/>
      </w:r>
      <w:r w:rsidRPr="00743AC4">
        <w:rPr>
          <w:rFonts w:cs="Times New Roman"/>
          <w:noProof/>
          <w:lang w:val="en-GB"/>
        </w:rPr>
        <w:instrText>ADDIN CSL_CITATION {"citationItems":[{"id":"ITEM-1","itemData":{"author":[{"dropping-particle":"","family":"Coase","given":"","non-dropping-particle":"","parse-names":false,"suffix":""}],"container-title":"Economica","id":"ITEM-1","issued":{"date-parts":[["1937"]]},"number-of-pages":"386-405","title":"The Nature of the Firm","type":"book"},"suppress-author":1,"uris":["http://www.mendeley.com/documents/?uuid=2d2ab735-2109-4e6e-bd8c-d0dd569ecc9c"]}],"mendeley":{"formattedCitation":"(1937)","plainTextFormattedCitation":"(1937)","previouslyFormattedCitation":"(1937)"},"properties":{"noteIndex":0},"schema":"https://github.com/citation-style-language/schema/raw/master/csl-citation.json"}</w:instrText>
      </w:r>
      <w:r w:rsidRPr="00743AC4">
        <w:rPr>
          <w:rFonts w:cs="Times New Roman"/>
          <w:noProof/>
          <w:lang w:val="en-GB"/>
        </w:rPr>
        <w:fldChar w:fldCharType="separate"/>
      </w:r>
      <w:r w:rsidRPr="00743AC4">
        <w:rPr>
          <w:rFonts w:cs="Times New Roman"/>
          <w:noProof/>
          <w:lang w:val="en-GB"/>
        </w:rPr>
        <w:t>(1937)</w:t>
      </w:r>
      <w:r w:rsidRPr="00743AC4">
        <w:rPr>
          <w:rFonts w:cs="Times New Roman"/>
          <w:noProof/>
          <w:lang w:val="en-GB"/>
        </w:rPr>
        <w:fldChar w:fldCharType="end"/>
      </w:r>
      <w:r w:rsidRPr="00743AC4">
        <w:rPr>
          <w:rFonts w:cs="Times New Roman"/>
          <w:noProof/>
          <w:lang w:val="en-GB"/>
        </w:rPr>
        <w:t xml:space="preserve">, Hymer </w:t>
      </w:r>
      <w:r w:rsidRPr="00743AC4">
        <w:rPr>
          <w:rFonts w:cs="Times New Roman"/>
          <w:noProof/>
          <w:lang w:val="en-GB"/>
        </w:rPr>
        <w:fldChar w:fldCharType="begin" w:fldLock="1"/>
      </w:r>
      <w:r w:rsidRPr="00743AC4">
        <w:rPr>
          <w:rFonts w:cs="Times New Roman"/>
          <w:noProof/>
          <w:lang w:val="en-GB"/>
        </w:rPr>
        <w:instrText>ADDIN CSL_CITATION {"citationItems":[{"id":"ITEM-1","itemData":{"abstract":"Thesis (Ph. D.)--Massachusetts Institute of Technology, Dept. of Economics, 1960.","author":[{"dropping-particle":"","family":"Hymer","given":"Stephen H","non-dropping-particle":"","parse-names":false,"suffix":""}],"id":"ITEM-1","issued":{"date-parts":[["1960"]]},"publisher":"Massachusetts Institute of Technology","title":"The international operations of national firms, a study of direct foreign investment","type":"article-journal"},"suppress-author":1,"uris":["http://www.mendeley.com/documents/?uuid=5864da35-c729-3b38-8785-2fb56f5b39a6"]}],"mendeley":{"formattedCitation":"(1960)","plainTextFormattedCitation":"(1960)","previouslyFormattedCitation":"(1960)"},"properties":{"noteIndex":0},"schema":"https://github.com/citation-style-language/schema/raw/master/csl-citation.json"}</w:instrText>
      </w:r>
      <w:r w:rsidRPr="00743AC4">
        <w:rPr>
          <w:rFonts w:cs="Times New Roman"/>
          <w:noProof/>
          <w:lang w:val="en-GB"/>
        </w:rPr>
        <w:fldChar w:fldCharType="separate"/>
      </w:r>
      <w:r w:rsidRPr="00743AC4">
        <w:rPr>
          <w:rFonts w:cs="Times New Roman"/>
          <w:noProof/>
          <w:lang w:val="en-GB"/>
        </w:rPr>
        <w:t>(1960)</w:t>
      </w:r>
      <w:r w:rsidRPr="00743AC4">
        <w:rPr>
          <w:rFonts w:cs="Times New Roman"/>
          <w:noProof/>
          <w:lang w:val="en-GB"/>
        </w:rPr>
        <w:fldChar w:fldCharType="end"/>
      </w:r>
      <w:r w:rsidRPr="00743AC4">
        <w:rPr>
          <w:rFonts w:cs="Times New Roman"/>
          <w:noProof/>
          <w:lang w:val="en-GB"/>
        </w:rPr>
        <w:t xml:space="preserve">, Buckley and Casson </w:t>
      </w:r>
      <w:r w:rsidRPr="00743AC4">
        <w:rPr>
          <w:rFonts w:cs="Times New Roman"/>
          <w:noProof/>
          <w:lang w:val="en-GB"/>
        </w:rPr>
        <w:fldChar w:fldCharType="begin" w:fldLock="1"/>
      </w:r>
      <w:r w:rsidRPr="00743AC4">
        <w:rPr>
          <w:rFonts w:cs="Times New Roman"/>
          <w:noProof/>
          <w:lang w:val="en-GB"/>
        </w:rPr>
        <w:instrText>ADDIN CSL_CITATION {"citationItems":[{"id":"ITEM-1","itemData":{"author":[{"dropping-particle":"","family":"Buckley","given":"Peter.J.","non-dropping-particle":"","parse-names":false,"suffix":""},{"dropping-particle":"","family":"Casson","given":"M.C.","non-dropping-particle":"","parse-names":false,"suffix":""}],"id":"ITEM-1","issued":{"date-parts":[["1976"]]},"number-of-pages":"32-65","publisher":"in P.J. Buckley and M.C. Casson, The Future of the Multinational Enterprrise","publisher-place":"London","title":"A long-run theory of the multinational enterprise","type":"book"},"suppress-author":1,"uris":["http://www.mendeley.com/documents/?uuid=fb2ec490-72a6-42e0-8a4c-4804c98083f8"]}],"mendeley":{"formattedCitation":"(1976)","plainTextFormattedCitation":"(1976)","previouslyFormattedCitation":"(1976)"},"properties":{"noteIndex":0},"schema":"https://github.com/citation-style-language/schema/raw/master/csl-citation.json"}</w:instrText>
      </w:r>
      <w:r w:rsidRPr="00743AC4">
        <w:rPr>
          <w:rFonts w:cs="Times New Roman"/>
          <w:noProof/>
          <w:lang w:val="en-GB"/>
        </w:rPr>
        <w:fldChar w:fldCharType="separate"/>
      </w:r>
      <w:r w:rsidRPr="00743AC4">
        <w:rPr>
          <w:rFonts w:cs="Times New Roman"/>
          <w:noProof/>
          <w:lang w:val="en-GB"/>
        </w:rPr>
        <w:t>(1976)</w:t>
      </w:r>
      <w:r w:rsidRPr="00743AC4">
        <w:rPr>
          <w:rFonts w:cs="Times New Roman"/>
          <w:noProof/>
          <w:lang w:val="en-GB"/>
        </w:rPr>
        <w:fldChar w:fldCharType="end"/>
      </w:r>
      <w:r w:rsidRPr="00743AC4">
        <w:rPr>
          <w:rFonts w:cs="Times New Roman"/>
          <w:noProof/>
          <w:lang w:val="en-GB"/>
        </w:rPr>
        <w:t xml:space="preserve"> a theory called Eclectic Paradigm or simply OLI, in order to encompass the previous theories, under the pretext that many of them did not present a full explanation of the process of internationalization of production. The key idea is that the EMN strategy depends on the combination of three essential factors: (i) Ownership advantages (O) refer to the specific characteristics of the firm, which may grant it superiority over its competitors. (ii) Location advantages (L) refer to a country's relative capacity to attract FDI. (iii) Internalization </w:t>
      </w:r>
      <w:r w:rsidRPr="00743AC4">
        <w:rPr>
          <w:rFonts w:cs="Times New Roman"/>
          <w:noProof/>
          <w:lang w:val="en-GB"/>
        </w:rPr>
        <w:lastRenderedPageBreak/>
        <w:t>advantages (I), benefits that derive from internal production for the firm, which allows the multinational to bypass external markets and their associated transaction costs.</w:t>
      </w:r>
    </w:p>
    <w:p w:rsidR="009973A2" w:rsidRPr="00743AC4" w:rsidRDefault="009973A2" w:rsidP="009973A2">
      <w:pPr>
        <w:ind w:firstLine="0"/>
        <w:rPr>
          <w:rFonts w:cs="Times New Roman"/>
          <w:noProof/>
          <w:lang w:val="en-GB"/>
        </w:rPr>
      </w:pPr>
    </w:p>
    <w:p w:rsidR="009973A2" w:rsidRPr="00743AC4" w:rsidRDefault="009973A2" w:rsidP="009973A2">
      <w:pPr>
        <w:ind w:firstLine="0"/>
        <w:rPr>
          <w:rFonts w:cs="Times New Roman"/>
          <w:noProof/>
          <w:lang w:val="en-GB"/>
        </w:rPr>
      </w:pPr>
      <w:r w:rsidRPr="00743AC4">
        <w:rPr>
          <w:rFonts w:cs="Times New Roman"/>
          <w:noProof/>
          <w:lang w:val="en-GB"/>
        </w:rPr>
        <w:t xml:space="preserve">Later, Dunning </w:t>
      </w:r>
      <w:r w:rsidRPr="00743AC4">
        <w:rPr>
          <w:rFonts w:cs="Times New Roman"/>
          <w:noProof/>
          <w:lang w:val="en-GB"/>
        </w:rPr>
        <w:fldChar w:fldCharType="begin" w:fldLock="1"/>
      </w:r>
      <w:r w:rsidRPr="00743AC4">
        <w:rPr>
          <w:rFonts w:cs="Times New Roman"/>
          <w:noProof/>
          <w:lang w:val="en-GB"/>
        </w:rPr>
        <w:instrText>ADDIN CSL_CITATION {"citationItems":[{"id":"ITEM-1","itemData":{"author":[{"dropping-particle":"","family":"Dunning","given":"John.H.","non-dropping-particle":"","parse-names":false,"suffix":""}],"editor":[{"dropping-particle":"","family":"Addison-Wesley.","given":"","non-dropping-particle":"","parse-names":false,"suffix":""}],"id":"ITEM-1","issued":{"date-parts":[["1993"]]},"title":"Multinational Enterprises and the Global Economy","type":"book"},"suppress-author":1,"uris":["http://www.mendeley.com/documents/?uuid=e85bfb7c-98fb-48d7-a610-ba25dc8f269d"]}],"mendeley":{"formattedCitation":"(1993)","plainTextFormattedCitation":"(1993)","previouslyFormattedCitation":"(1993)"},"properties":{"noteIndex":0},"schema":"https://github.com/citation-style-language/schema/raw/master/csl-citation.json"}</w:instrText>
      </w:r>
      <w:r w:rsidRPr="00743AC4">
        <w:rPr>
          <w:rFonts w:cs="Times New Roman"/>
          <w:noProof/>
          <w:lang w:val="en-GB"/>
        </w:rPr>
        <w:fldChar w:fldCharType="separate"/>
      </w:r>
      <w:r w:rsidRPr="00743AC4">
        <w:rPr>
          <w:rFonts w:cs="Times New Roman"/>
          <w:noProof/>
          <w:lang w:val="en-GB"/>
        </w:rPr>
        <w:t>(1993)</w:t>
      </w:r>
      <w:r w:rsidRPr="00743AC4">
        <w:rPr>
          <w:rFonts w:cs="Times New Roman"/>
          <w:noProof/>
          <w:lang w:val="en-GB"/>
        </w:rPr>
        <w:fldChar w:fldCharType="end"/>
      </w:r>
      <w:r w:rsidRPr="00743AC4">
        <w:rPr>
          <w:rFonts w:cs="Times New Roman"/>
          <w:noProof/>
          <w:lang w:val="en-GB"/>
        </w:rPr>
        <w:t xml:space="preserve"> classified firms according to the reasons for conducting FDI as follows: (i) market seekers, destined to serve the domestic market of FDI host countries; (ii) efficiency seekers, directed to the search for lower production costs; (iii) natural resource seekers, attracted by countries with the availability of production inputs, at relatively low prices; and, (iv) partner seekers, in order to obtain assets through mergers, acquisitions, </w:t>
      </w:r>
      <w:r w:rsidRPr="00743AC4">
        <w:rPr>
          <w:rFonts w:cs="Times New Roman"/>
          <w:i/>
          <w:noProof/>
          <w:lang w:val="en-GB"/>
        </w:rPr>
        <w:t>joint ventures</w:t>
      </w:r>
      <w:r w:rsidRPr="00743AC4">
        <w:rPr>
          <w:rFonts w:cs="Times New Roman"/>
          <w:noProof/>
          <w:lang w:val="en-GB"/>
        </w:rPr>
        <w:t>, among others.</w:t>
      </w:r>
    </w:p>
    <w:p w:rsidR="009973A2" w:rsidRPr="00743AC4" w:rsidRDefault="009973A2" w:rsidP="009973A2">
      <w:pPr>
        <w:pStyle w:val="Cabealho2"/>
        <w:jc w:val="center"/>
        <w:rPr>
          <w:rFonts w:ascii="Times New Roman" w:hAnsi="Times New Roman" w:cs="Times New Roman"/>
          <w:b/>
          <w:noProof/>
          <w:color w:val="000000" w:themeColor="text1"/>
          <w:lang w:val="en-GB"/>
        </w:rPr>
      </w:pPr>
      <w:r w:rsidRPr="00743AC4">
        <w:rPr>
          <w:rStyle w:val="Cabealho1Carter"/>
          <w:rFonts w:ascii="Times New Roman" w:hAnsi="Times New Roman" w:cs="Times New Roman"/>
          <w:b/>
          <w:noProof/>
          <w:color w:val="000000" w:themeColor="text1"/>
          <w:lang w:val="en-GB"/>
        </w:rPr>
        <w:t>2.1</w:t>
      </w:r>
      <w:r w:rsidRPr="00743AC4">
        <w:rPr>
          <w:rStyle w:val="Cabealho1Carter"/>
          <w:rFonts w:ascii="Times New Roman" w:hAnsi="Times New Roman" w:cs="Times New Roman"/>
          <w:noProof/>
          <w:color w:val="000000" w:themeColor="text1"/>
          <w:lang w:val="en-GB"/>
        </w:rPr>
        <w:t xml:space="preserve"> </w:t>
      </w:r>
      <w:r w:rsidRPr="00743AC4">
        <w:rPr>
          <w:rStyle w:val="Cabealho1Carter"/>
          <w:rFonts w:ascii="Times New Roman" w:hAnsi="Times New Roman" w:cs="Times New Roman"/>
          <w:b/>
          <w:noProof/>
          <w:color w:val="000000" w:themeColor="text1"/>
          <w:lang w:val="en-GB"/>
        </w:rPr>
        <w:t>Review of Empirical Literature on Determinants of FDI</w:t>
      </w:r>
    </w:p>
    <w:p w:rsidR="009973A2" w:rsidRPr="00743AC4" w:rsidRDefault="009973A2" w:rsidP="009973A2">
      <w:pPr>
        <w:ind w:firstLine="0"/>
        <w:rPr>
          <w:rFonts w:cs="Times New Roman"/>
          <w:noProof/>
          <w:lang w:val="en-GB"/>
        </w:rPr>
      </w:pPr>
      <w:r w:rsidRPr="00743AC4">
        <w:rPr>
          <w:rFonts w:cs="Times New Roman"/>
          <w:noProof/>
          <w:lang w:val="en-GB"/>
        </w:rPr>
        <w:t xml:space="preserve">Empirical studies on FDI have highlighted market size and growth, availability of natural resources, quality of infrastructure, openness to trade, human capital, fiscal incentives, macroeconomic and political stability, and quality of institutions, as main determinants of attracting FDI to an economy. Table 1 summarizes empirical studies conducted for Africa.  </w:t>
      </w:r>
    </w:p>
    <w:p w:rsidR="009973A2" w:rsidRPr="00743AC4" w:rsidRDefault="009973A2" w:rsidP="009973A2">
      <w:pPr>
        <w:ind w:firstLine="0"/>
        <w:rPr>
          <w:rFonts w:cs="Times New Roman"/>
          <w:noProof/>
          <w:lang w:val="en-GB"/>
        </w:rPr>
      </w:pPr>
      <w:r w:rsidRPr="00743AC4">
        <w:rPr>
          <w:rFonts w:cs="Times New Roman"/>
          <w:noProof/>
          <w:lang w:val="en-GB"/>
        </w:rPr>
        <w:t xml:space="preserve">It should be noted that most of the revised work has addressed the empirical static panel strategy, which may not be the most appropriate given that economic series such as FDI present endogeneity problems. This may explain why in most of the papers variables with signs contrary to those expected by the literature were found </w:t>
      </w:r>
      <w:r w:rsidRPr="00743AC4">
        <w:rPr>
          <w:rFonts w:cs="Times New Roman"/>
          <w:noProof/>
          <w:lang w:val="en-GB"/>
        </w:rPr>
        <w:fldChar w:fldCharType="begin" w:fldLock="1"/>
      </w:r>
      <w:r w:rsidRPr="00743AC4">
        <w:rPr>
          <w:rFonts w:cs="Times New Roman"/>
          <w:noProof/>
          <w:lang w:val="en-GB"/>
        </w:rPr>
        <w:instrText>ADDIN CSL_CITATION {"citationItems":[{"id":"ITEM-1","itemData":{"DOI":"https://doi.org/10.1111/1467-8268.12155","abstract":"This paper analyses factors that drive Foreign Direct Investments (FDI) in Africa. To do so, for the first time in the literature, the paper uses five-year panel data with the system-GMM technique, over the period 1970-2009 including 53 African countries. The main results are as follows: (a) Larger countries attract more FDI. (b) However, regardless of their size, more open countries, politically stable countries and countries offering higher return to investment also attract FDI. (c) FDI inflows are persistent in Africa. This suggests that countries that manage to attract FDI today are likely to attract more FDI in the future.","author":[{"dropping-particle":"","family":"Mijiyawa","given":"Abdoul’ Ganiou","non-dropping-particle":"","parse-names":false,"suffix":""}],"container-title":"African Development Review","id":"ITEM-1","issue":"4","issued":{"date-parts":[["2015"]]},"page":"392-402","title":"What drives foreign direct investment in Africa? An empirical investigation with panel data","type":"article-journal","volume":"27"},"uris":["http://www.mendeley.com/documents/?uuid=e2af367f-3034-49a9-ae7c-315e480d4ee1"]},{"id":"ITEM-2","itemData":{"DOI":"10.1111/1467-8268.12161","author":[{"dropping-particle":"","family":"Ezeoha","given":"Abel Ebeh","non-dropping-particle":"","parse-names":false,"suffix":""},{"dropping-particle":"","family":"Ugwu","given":"John Okereke","non-dropping-particle":"","parse-names":false,"suffix":""}],"container-title":"African Development Reviw","id":"ITEM-2","issue":"4","issued":{"date-parts":[["2015"]]},"page":"456-468","title":"Interactive impact of armed conflicts on foreign direct investments in Africa","type":"article-journal","volume":"27"},"uris":["http://www.mendeley.com/documents/?uuid=ad2272bb-8bb7-4b3b-ad61-4784b6ceb6b9"]}],"mendeley":{"formattedCitation":"(Ezeoha &amp; Ugwu, 2015; Mijiyawa, 2015)","plainTextFormattedCitation":"(Ezeoha &amp; Ugwu, 2015; Mijiyawa, 2015)","previouslyFormattedCitation":"(Ezeoha &amp; Ugwu, 2015; Mijiyawa, 2015)"},"properties":{"noteIndex":0},"schema":"https://github.com/citation-style-language/schema/raw/master/csl-citation.json"}</w:instrText>
      </w:r>
      <w:r w:rsidRPr="00743AC4">
        <w:rPr>
          <w:rFonts w:cs="Times New Roman"/>
          <w:noProof/>
          <w:lang w:val="en-GB"/>
        </w:rPr>
        <w:fldChar w:fldCharType="separate"/>
      </w:r>
      <w:r w:rsidRPr="00743AC4">
        <w:rPr>
          <w:rFonts w:cs="Times New Roman"/>
          <w:noProof/>
          <w:lang w:val="en-GB"/>
        </w:rPr>
        <w:t>(Ezeoha and Ugwu, 2015; Mijiyawa, 2015)</w:t>
      </w:r>
      <w:r w:rsidRPr="00743AC4">
        <w:rPr>
          <w:rFonts w:cs="Times New Roman"/>
          <w:noProof/>
          <w:lang w:val="en-GB"/>
        </w:rPr>
        <w:fldChar w:fldCharType="end"/>
      </w:r>
      <w:r w:rsidRPr="00743AC4">
        <w:rPr>
          <w:rFonts w:cs="Times New Roman"/>
          <w:noProof/>
          <w:lang w:val="en-GB"/>
        </w:rPr>
        <w:t>.</w:t>
      </w:r>
    </w:p>
    <w:p w:rsidR="009973A2" w:rsidRPr="00743AC4" w:rsidRDefault="009973A2" w:rsidP="009973A2">
      <w:pPr>
        <w:rPr>
          <w:rFonts w:cs="Times New Roman"/>
          <w:noProof/>
          <w:lang w:val="en-GB"/>
        </w:rPr>
      </w:pPr>
    </w:p>
    <w:p w:rsidR="009973A2" w:rsidRPr="00743AC4" w:rsidRDefault="009973A2" w:rsidP="009973A2">
      <w:pPr>
        <w:jc w:val="center"/>
        <w:rPr>
          <w:rFonts w:cs="Times New Roman"/>
          <w:noProof/>
          <w:szCs w:val="24"/>
          <w:lang w:val="en-GB"/>
        </w:rPr>
      </w:pPr>
      <w:r w:rsidRPr="00743AC4">
        <w:rPr>
          <w:rFonts w:cs="Times New Roman"/>
          <w:noProof/>
          <w:szCs w:val="24"/>
          <w:lang w:val="en-GB"/>
        </w:rPr>
        <w:t xml:space="preserve">Table </w:t>
      </w:r>
      <w:r w:rsidRPr="00743AC4">
        <w:rPr>
          <w:rFonts w:cs="Times New Roman"/>
          <w:noProof/>
          <w:szCs w:val="24"/>
          <w:lang w:val="en-GB"/>
        </w:rPr>
        <w:fldChar w:fldCharType="begin"/>
      </w:r>
      <w:r w:rsidRPr="00743AC4">
        <w:rPr>
          <w:rFonts w:cs="Times New Roman"/>
          <w:noProof/>
          <w:szCs w:val="24"/>
          <w:lang w:val="en-GB"/>
        </w:rPr>
        <w:instrText xml:space="preserve"> SEQ Tabela \* ARABIC </w:instrText>
      </w:r>
      <w:r w:rsidRPr="00743AC4">
        <w:rPr>
          <w:rFonts w:cs="Times New Roman"/>
          <w:noProof/>
          <w:szCs w:val="24"/>
          <w:lang w:val="en-GB"/>
        </w:rPr>
        <w:fldChar w:fldCharType="separate"/>
      </w:r>
      <w:r w:rsidRPr="00743AC4">
        <w:rPr>
          <w:rFonts w:cs="Times New Roman"/>
          <w:noProof/>
          <w:szCs w:val="24"/>
          <w:lang w:val="en-GB"/>
        </w:rPr>
        <w:t>1</w:t>
      </w:r>
      <w:r w:rsidRPr="00743AC4">
        <w:rPr>
          <w:rFonts w:cs="Times New Roman"/>
          <w:noProof/>
          <w:szCs w:val="24"/>
          <w:lang w:val="en-GB"/>
        </w:rPr>
        <w:fldChar w:fldCharType="end"/>
      </w:r>
      <w:r w:rsidRPr="00743AC4">
        <w:rPr>
          <w:rFonts w:cs="Times New Roman"/>
          <w:noProof/>
          <w:szCs w:val="24"/>
          <w:lang w:val="en-GB"/>
        </w:rPr>
        <w:t>. Summary of literature review</w:t>
      </w:r>
    </w:p>
    <w:tbl>
      <w:tblPr>
        <w:tblW w:w="0" w:type="auto"/>
        <w:jc w:val="center"/>
        <w:tblBorders>
          <w:top w:val="single" w:sz="12" w:space="0" w:color="auto"/>
        </w:tblBorders>
        <w:tblLook w:val="04A0" w:firstRow="1" w:lastRow="0" w:firstColumn="1" w:lastColumn="0" w:noHBand="0" w:noVBand="1"/>
      </w:tblPr>
      <w:tblGrid>
        <w:gridCol w:w="1538"/>
        <w:gridCol w:w="2549"/>
        <w:gridCol w:w="2954"/>
        <w:gridCol w:w="1797"/>
      </w:tblGrid>
      <w:tr w:rsidR="009973A2" w:rsidRPr="00743AC4" w:rsidTr="00C96CD3">
        <w:trPr>
          <w:jc w:val="center"/>
        </w:trPr>
        <w:tc>
          <w:tcPr>
            <w:tcW w:w="0" w:type="auto"/>
            <w:tcBorders>
              <w:top w:val="single" w:sz="12" w:space="0" w:color="auto"/>
              <w:bottom w:val="single" w:sz="12" w:space="0" w:color="auto"/>
            </w:tcBorders>
            <w:vAlign w:val="center"/>
          </w:tcPr>
          <w:p w:rsidR="009973A2" w:rsidRPr="00743AC4" w:rsidRDefault="009973A2" w:rsidP="00C96CD3">
            <w:pPr>
              <w:ind w:firstLine="0"/>
              <w:jc w:val="center"/>
              <w:rPr>
                <w:rFonts w:cs="Times New Roman"/>
                <w:b/>
                <w:noProof/>
                <w:sz w:val="20"/>
                <w:lang w:val="en-GB"/>
              </w:rPr>
            </w:pPr>
            <w:r w:rsidRPr="00743AC4">
              <w:rPr>
                <w:rFonts w:cs="Times New Roman"/>
                <w:b/>
                <w:noProof/>
                <w:sz w:val="20"/>
                <w:lang w:val="en-GB"/>
              </w:rPr>
              <w:t>Determinants of FDI</w:t>
            </w:r>
          </w:p>
        </w:tc>
        <w:tc>
          <w:tcPr>
            <w:tcW w:w="0" w:type="auto"/>
            <w:tcBorders>
              <w:top w:val="single" w:sz="12" w:space="0" w:color="auto"/>
              <w:bottom w:val="single" w:sz="12" w:space="0" w:color="auto"/>
            </w:tcBorders>
            <w:vAlign w:val="center"/>
          </w:tcPr>
          <w:p w:rsidR="009973A2" w:rsidRPr="00743AC4" w:rsidRDefault="009973A2" w:rsidP="00C96CD3">
            <w:pPr>
              <w:tabs>
                <w:tab w:val="left" w:pos="720"/>
                <w:tab w:val="center" w:pos="1460"/>
              </w:tabs>
              <w:ind w:firstLine="0"/>
              <w:jc w:val="center"/>
              <w:rPr>
                <w:rFonts w:cs="Times New Roman"/>
                <w:b/>
                <w:noProof/>
                <w:sz w:val="20"/>
                <w:lang w:val="en-GB"/>
              </w:rPr>
            </w:pPr>
            <w:r w:rsidRPr="00743AC4">
              <w:rPr>
                <w:rFonts w:cs="Times New Roman"/>
                <w:b/>
                <w:noProof/>
                <w:sz w:val="20"/>
                <w:lang w:val="en-GB"/>
              </w:rPr>
              <w:t>Positive effects</w:t>
            </w:r>
          </w:p>
        </w:tc>
        <w:tc>
          <w:tcPr>
            <w:tcW w:w="0" w:type="auto"/>
            <w:tcBorders>
              <w:top w:val="single" w:sz="12" w:space="0" w:color="auto"/>
              <w:bottom w:val="single" w:sz="12" w:space="0" w:color="auto"/>
            </w:tcBorders>
            <w:vAlign w:val="center"/>
          </w:tcPr>
          <w:p w:rsidR="009973A2" w:rsidRPr="00743AC4" w:rsidRDefault="009973A2" w:rsidP="00C96CD3">
            <w:pPr>
              <w:ind w:firstLine="0"/>
              <w:jc w:val="center"/>
              <w:rPr>
                <w:rFonts w:cs="Times New Roman"/>
                <w:b/>
                <w:noProof/>
                <w:sz w:val="20"/>
                <w:lang w:val="en-GB"/>
              </w:rPr>
            </w:pPr>
            <w:r w:rsidRPr="00743AC4">
              <w:rPr>
                <w:rFonts w:cs="Times New Roman"/>
                <w:b/>
                <w:noProof/>
                <w:sz w:val="20"/>
                <w:lang w:val="en-GB"/>
              </w:rPr>
              <w:t>Negative effects</w:t>
            </w:r>
          </w:p>
        </w:tc>
        <w:tc>
          <w:tcPr>
            <w:tcW w:w="0" w:type="auto"/>
            <w:tcBorders>
              <w:top w:val="single" w:sz="12" w:space="0" w:color="auto"/>
              <w:bottom w:val="single" w:sz="12" w:space="0" w:color="auto"/>
            </w:tcBorders>
            <w:vAlign w:val="center"/>
          </w:tcPr>
          <w:p w:rsidR="009973A2" w:rsidRPr="00743AC4" w:rsidRDefault="009973A2" w:rsidP="00C96CD3">
            <w:pPr>
              <w:ind w:firstLine="0"/>
              <w:jc w:val="center"/>
              <w:rPr>
                <w:rFonts w:cs="Times New Roman"/>
                <w:b/>
                <w:noProof/>
                <w:sz w:val="20"/>
                <w:lang w:val="en-GB"/>
              </w:rPr>
            </w:pPr>
            <w:r w:rsidRPr="00743AC4">
              <w:rPr>
                <w:rFonts w:cs="Times New Roman"/>
                <w:b/>
                <w:noProof/>
                <w:sz w:val="20"/>
                <w:lang w:val="en-GB"/>
              </w:rPr>
              <w:t>Non effects</w:t>
            </w:r>
          </w:p>
        </w:tc>
      </w:tr>
      <w:tr w:rsidR="009973A2" w:rsidRPr="00743AC4" w:rsidTr="00C96CD3">
        <w:trPr>
          <w:jc w:val="center"/>
        </w:trPr>
        <w:tc>
          <w:tcPr>
            <w:tcW w:w="0" w:type="auto"/>
            <w:tcBorders>
              <w:top w:val="single" w:sz="12" w:space="0" w:color="auto"/>
            </w:tcBorders>
            <w:vAlign w:val="center"/>
          </w:tcPr>
          <w:p w:rsidR="009973A2" w:rsidRPr="00743AC4" w:rsidRDefault="009973A2" w:rsidP="00C96CD3">
            <w:pPr>
              <w:spacing w:before="240" w:after="240"/>
              <w:ind w:firstLine="0"/>
              <w:jc w:val="left"/>
              <w:rPr>
                <w:rFonts w:cs="Times New Roman"/>
                <w:noProof/>
                <w:sz w:val="20"/>
                <w:lang w:val="en-GB"/>
              </w:rPr>
            </w:pPr>
            <w:r w:rsidRPr="00743AC4">
              <w:rPr>
                <w:rFonts w:cs="Times New Roman"/>
                <w:noProof/>
                <w:sz w:val="20"/>
                <w:lang w:val="en-GB"/>
              </w:rPr>
              <w:t>Market size</w:t>
            </w:r>
          </w:p>
        </w:tc>
        <w:tc>
          <w:tcPr>
            <w:tcW w:w="0" w:type="auto"/>
            <w:tcBorders>
              <w:top w:val="single" w:sz="12" w:space="0" w:color="auto"/>
            </w:tcBorders>
            <w:vAlign w:val="center"/>
          </w:tcPr>
          <w:p w:rsidR="009973A2" w:rsidRPr="00743AC4" w:rsidRDefault="009973A2" w:rsidP="00C96CD3">
            <w:pPr>
              <w:ind w:firstLine="0"/>
              <w:jc w:val="center"/>
              <w:rPr>
                <w:rFonts w:cs="Times New Roman"/>
                <w:noProof/>
                <w:sz w:val="20"/>
                <w:lang w:val="en-GB"/>
              </w:rPr>
            </w:pPr>
            <w:r w:rsidRPr="00743AC4">
              <w:rPr>
                <w:rFonts w:cs="Times New Roman"/>
                <w:noProof/>
                <w:sz w:val="20"/>
                <w:lang w:val="en-GB"/>
              </w:rPr>
              <w:t xml:space="preserve">Krugell </w:t>
            </w:r>
            <w:r w:rsidRPr="00743AC4">
              <w:rPr>
                <w:rFonts w:cs="Times New Roman"/>
                <w:noProof/>
                <w:sz w:val="20"/>
                <w:lang w:val="en-GB"/>
              </w:rPr>
              <w:fldChar w:fldCharType="begin" w:fldLock="1"/>
            </w:r>
            <w:r w:rsidRPr="00743AC4">
              <w:rPr>
                <w:rFonts w:cs="Times New Roman"/>
                <w:noProof/>
                <w:sz w:val="20"/>
                <w:lang w:val="en-GB"/>
              </w:rPr>
              <w:instrText>ADDIN CSL_CITATION {"citationItems":[{"id":"ITEM-1","itemData":{"DOI":"10.1007/3-7908-1610-8_4","ISSN":"1431-1933","abstract":"This chapter provides a theoretical and empirical analysis of the determinants of FDI in sub-Saharan Africa. Theories of the internationalisation of production are used to outline the reasons why multinational enterprises (MNEs) undertake FDI. These reasons help to identify the conditions and policies that might draw FDI to Africa. The empirical analysis tests for the significance of a number of hypothesised determinants of FDI, in sub-Saharan Africa. The pooled cross-country and time series estimation covers the period 1980 to 1999 for 17 countries. The results show the importance of economic growth, domestic investment and macroeconomic stability, for attracting FDI. Section 2 introduces the challenges facing African countries and presents FDI as a possible solution. The case is made for the significance of identifying the determinants of FDI in African. In section 3 the theory and evidence of the determinants of FDI are examined. Dunning's (1993) OLI-theory serves as the basis for current thinking on the determinants of FDI. The overview of recent empirical findings shows the importance of economic variables such as market size and wage costs as determinants of FDI. The empirical analysis for sub-Saharan African countries is presented in section 4. Section 5 provides some conclusions and recommendations.","author":[{"dropping-particle":"","family":"Krugell","given":"W.","non-dropping-particle":"","parse-names":false,"suffix":""}],"container-title":"Springer","id":"ITEM-1","issue":"3","issued":{"date-parts":[["2005"]]},"page":"49-71","title":"The determinants of foreign direct investment in Africa","type":"article-journal"},"suppress-author":1,"uris":["http://www.mendeley.com/documents/?uuid=1aa1ad2b-1664-3cff-8824-c6d868b1c914"]}],"mendeley":{"formattedCitation":"(2005)","plainTextFormattedCitation":"(2005)","previouslyFormattedCitation":"(2005)"},"properties":{"noteIndex":0},"schema":"https://github.com/citation-style-language/schema/raw/master/csl-citation.json"}</w:instrText>
            </w:r>
            <w:r w:rsidRPr="00743AC4">
              <w:rPr>
                <w:rFonts w:cs="Times New Roman"/>
                <w:noProof/>
                <w:sz w:val="20"/>
                <w:lang w:val="en-GB"/>
              </w:rPr>
              <w:fldChar w:fldCharType="separate"/>
            </w:r>
            <w:r w:rsidRPr="00743AC4">
              <w:rPr>
                <w:rFonts w:cs="Times New Roman"/>
                <w:noProof/>
                <w:sz w:val="20"/>
                <w:lang w:val="en-GB"/>
              </w:rPr>
              <w:t>(2005)</w:t>
            </w:r>
            <w:r w:rsidRPr="00743AC4">
              <w:rPr>
                <w:rFonts w:cs="Times New Roman"/>
                <w:noProof/>
                <w:sz w:val="20"/>
                <w:lang w:val="en-GB"/>
              </w:rPr>
              <w:fldChar w:fldCharType="end"/>
            </w:r>
            <w:r w:rsidRPr="00743AC4">
              <w:rPr>
                <w:rFonts w:cs="Times New Roman"/>
                <w:noProof/>
                <w:sz w:val="20"/>
                <w:lang w:val="en-GB"/>
              </w:rPr>
              <w:t xml:space="preserve">, Asiedu </w:t>
            </w:r>
            <w:r w:rsidRPr="00743AC4">
              <w:rPr>
                <w:rFonts w:cs="Times New Roman"/>
                <w:noProof/>
                <w:sz w:val="20"/>
                <w:lang w:val="en-GB"/>
              </w:rPr>
              <w:fldChar w:fldCharType="begin" w:fldLock="1"/>
            </w:r>
            <w:r w:rsidRPr="00743AC4">
              <w:rPr>
                <w:rFonts w:cs="Times New Roman"/>
                <w:noProof/>
                <w:sz w:val="20"/>
                <w:lang w:val="en-GB"/>
              </w:rPr>
              <w:instrText>ADDIN CSL_CITATION {"citationItems":[{"id":"ITEM-1","itemData":{"DOI":"10.2139/ssrn.717361","ISSN":"1556-5068","author":[{"dropping-particle":"","family":"Asiedu","given":"Elizabeth","non-dropping-particle":"","parse-names":false,"suffix":""}],"container-title":"The World Economy","id":"ITEM-1","issue":"1","issued":{"date-parts":[["2006"]]},"page":"63-77","title":"Foreign direct investment in Africa: The role of natural resources, market size, government policy, institutions and political instability","type":"article-journal","volume":"29"},"suppress-author":1,"uris":["http://www.mendeley.com/documents/?uuid=e676ec88-1d9d-4db2-9e71-c8fb574b7b03"]}],"mendeley":{"formattedCitation":"(2006)","plainTextFormattedCitation":"(2006)","previouslyFormattedCitation":"(2006)"},"properties":{"noteIndex":0},"schema":"https://github.com/citation-style-language/schema/raw/master/csl-citation.json"}</w:instrText>
            </w:r>
            <w:r w:rsidRPr="00743AC4">
              <w:rPr>
                <w:rFonts w:cs="Times New Roman"/>
                <w:noProof/>
                <w:sz w:val="20"/>
                <w:lang w:val="en-GB"/>
              </w:rPr>
              <w:fldChar w:fldCharType="separate"/>
            </w:r>
            <w:r w:rsidRPr="00743AC4">
              <w:rPr>
                <w:rFonts w:cs="Times New Roman"/>
                <w:noProof/>
                <w:sz w:val="20"/>
                <w:lang w:val="en-GB"/>
              </w:rPr>
              <w:t>(2006)</w:t>
            </w:r>
            <w:r w:rsidRPr="00743AC4">
              <w:rPr>
                <w:rFonts w:cs="Times New Roman"/>
                <w:noProof/>
                <w:sz w:val="20"/>
                <w:lang w:val="en-GB"/>
              </w:rPr>
              <w:fldChar w:fldCharType="end"/>
            </w:r>
            <w:r w:rsidRPr="00743AC4">
              <w:rPr>
                <w:rFonts w:cs="Times New Roman"/>
                <w:noProof/>
                <w:sz w:val="20"/>
                <w:lang w:val="en-GB"/>
              </w:rPr>
              <w:t xml:space="preserve">, Helmy </w:t>
            </w:r>
            <w:r w:rsidRPr="00743AC4">
              <w:rPr>
                <w:rFonts w:cs="Times New Roman"/>
                <w:noProof/>
                <w:sz w:val="20"/>
                <w:lang w:val="en-GB"/>
              </w:rPr>
              <w:fldChar w:fldCharType="begin" w:fldLock="1"/>
            </w:r>
            <w:r w:rsidRPr="00743AC4">
              <w:rPr>
                <w:rFonts w:cs="Times New Roman"/>
                <w:noProof/>
                <w:sz w:val="20"/>
                <w:lang w:val="en-GB"/>
              </w:rPr>
              <w:instrText>ADDIN CSL_CITATION {"citationItems":[{"id":"ITEM-1","itemData":{"DOI":"http://dx.doi.org/10.1080/02692171.2012.752445 The","abstract":"The eruption of the Arab Spring in Tunisia and Egypt was ensued by deteriora- tion in FDI inflows. Whether a new Middle East free of corruption accompany- ing previous dictatorships will offset the negative ramifications of the uprisings and enhance FDI in the long run remains debatable. Since the evidence on the causal relationship between corruption and FDI is inconclusive, this study attempts to take another step. The paper investigates the link between corruption and FDI flows to the Middle East and North Africa (MENA) and assesses whether or not corruption has more importance than other FDI determinants. By employing several panel settings with various econometric specifications on 21 MENA countries over the period 2003 to 2009, it is demonstrated that FDI varies positively with corruption. Additionally, FDI in MENA was found to vary positively with per capita income, openness, freedom and security of invest- ments and negatively with the tax and homicide rates. Since corruption was not found to hinder FDI inflows, treating corruption should be based on sound legal procedures that infringe neither on the rights, freedom and security of FDI nor on the degree of openness and freedom of the economy, which are the real stimulants of FDI in MENA.","author":[{"dropping-particle":"","family":"Helmy","given":"Heba E.","non-dropping-particle":"","parse-names":false,"suffix":""}],"container-title":"International Review of Applied Economics","id":"ITEM-1","issue":"4","issued":{"date-parts":[["2013"]]},"page":"491-514","title":"The impact of corruption on FDI: is MENA an exception?","type":"article-journal","volume":"27"},"suppress-author":1,"uris":["http://www.mendeley.com/documents/?uuid=fe56cec3-a2d8-41f7-b52c-a00ed3e605c3"]}],"mendeley":{"formattedCitation":"(2013)","plainTextFormattedCitation":"(2013)","previouslyFormattedCitation":"(2013)"},"properties":{"noteIndex":0},"schema":"https://github.com/citation-style-language/schema/raw/master/csl-citation.json"}</w:instrText>
            </w:r>
            <w:r w:rsidRPr="00743AC4">
              <w:rPr>
                <w:rFonts w:cs="Times New Roman"/>
                <w:noProof/>
                <w:sz w:val="20"/>
                <w:lang w:val="en-GB"/>
              </w:rPr>
              <w:fldChar w:fldCharType="separate"/>
            </w:r>
            <w:r w:rsidRPr="00743AC4">
              <w:rPr>
                <w:rFonts w:cs="Times New Roman"/>
                <w:noProof/>
                <w:sz w:val="20"/>
                <w:lang w:val="en-GB"/>
              </w:rPr>
              <w:t>(2013)</w:t>
            </w:r>
            <w:r w:rsidRPr="00743AC4">
              <w:rPr>
                <w:rFonts w:cs="Times New Roman"/>
                <w:noProof/>
                <w:sz w:val="20"/>
                <w:lang w:val="en-GB"/>
              </w:rPr>
              <w:fldChar w:fldCharType="end"/>
            </w:r>
            <w:r w:rsidRPr="00743AC4">
              <w:rPr>
                <w:rFonts w:cs="Times New Roman"/>
                <w:noProof/>
                <w:sz w:val="20"/>
                <w:lang w:val="en-GB"/>
              </w:rPr>
              <w:t xml:space="preserve">, Okafor et al., </w:t>
            </w:r>
            <w:r w:rsidRPr="00743AC4">
              <w:rPr>
                <w:rFonts w:cs="Times New Roman"/>
                <w:noProof/>
                <w:sz w:val="20"/>
                <w:lang w:val="en-GB"/>
              </w:rPr>
              <w:fldChar w:fldCharType="begin" w:fldLock="1"/>
            </w:r>
            <w:r w:rsidRPr="00743AC4">
              <w:rPr>
                <w:rFonts w:cs="Times New Roman"/>
                <w:noProof/>
                <w:sz w:val="20"/>
                <w:lang w:val="en-GB"/>
              </w:rPr>
              <w:instrText>ADDIN CSL_CITATION {"citationItems":[{"id":"ITEM-1","itemData":{"DOI":"10.1016/j.jpolmod.2015.07.003","ISSN":"01618938","abstract":"This study contributes to the FDI literature by investigating the impact of all four locational motives of FDI in Sub-Saharan African (SSA) countries for the period 1996-2010. To achieve this aim, panel data techniques (pooled OLS, fixed effects and GMM) were employed on a sample of SSA countries. The empirical results showed that efficiency and strategic asset seeking factors influenced FDI activities in SSA for the period investigated. Market size also influenced FDI however this was less robust to specifications. Surprisingly, FDI in SSA was not resource seeking. Furthermore, a statistical test confirmed structural and behavioural differences in FDI determinants between SSA sub-regional groups and when analysed separately, FDI in West and Central SSA was market and efficiency seeking while FDI in South and East Africa was best explained by efficiency seeking factors. Based on the empirical findings, a number of policy implications were derived. These policy implications include further implementation of policies targeted at increasing and sustaining trade liberalisation and trade diversification, control of corruption, credible upgrades and productive investments in infrastructure, and support for human capital accumulation as FDI is increasingly directed towards R&amp;D, innovation and strategic asset activities.","author":[{"dropping-particle":"","family":"Okafor","given":"Godwin","non-dropping-particle":"","parse-names":false,"suffix":""},{"dropping-particle":"","family":"Piesse","given":"Jenifer","non-dropping-particle":"","parse-names":false,"suffix":""},{"dropping-particle":"","family":"Webster","given":"Allan","non-dropping-particle":"","parse-names":false,"suffix":""}],"container-title":"Journal of Policy Modeling","id":"ITEM-1","issue":"5","issued":{"date-parts":[["2015"]]},"page":"875-890","publisher":"The Society for Policy Modeling","title":"The motives for inward FDI into Sub-Saharan African countries","type":"article-journal","volume":"37"},"suppress-author":1,"uris":["http://www.mendeley.com/documents/?uuid=87f01f67-c6ba-4652-87ac-84a3758b18a7"]}],"mendeley":{"formattedCitation":"(2015)","plainTextFormattedCitation":"(2015)","previouslyFormattedCitation":"(2015)"},"properties":{"noteIndex":0},"schema":"https://github.com/citation-style-language/schema/raw/master/csl-citation.json"}</w:instrText>
            </w:r>
            <w:r w:rsidRPr="00743AC4">
              <w:rPr>
                <w:rFonts w:cs="Times New Roman"/>
                <w:noProof/>
                <w:sz w:val="20"/>
                <w:lang w:val="en-GB"/>
              </w:rPr>
              <w:fldChar w:fldCharType="separate"/>
            </w:r>
            <w:r w:rsidRPr="00743AC4">
              <w:rPr>
                <w:rFonts w:cs="Times New Roman"/>
                <w:noProof/>
                <w:sz w:val="20"/>
                <w:lang w:val="en-GB"/>
              </w:rPr>
              <w:t>(2015)</w:t>
            </w:r>
            <w:r w:rsidRPr="00743AC4">
              <w:rPr>
                <w:rFonts w:cs="Times New Roman"/>
                <w:noProof/>
                <w:sz w:val="20"/>
                <w:lang w:val="en-GB"/>
              </w:rPr>
              <w:fldChar w:fldCharType="end"/>
            </w:r>
            <w:r w:rsidRPr="00743AC4">
              <w:rPr>
                <w:rFonts w:cs="Times New Roman"/>
                <w:noProof/>
                <w:sz w:val="20"/>
                <w:lang w:val="en-GB"/>
              </w:rPr>
              <w:t xml:space="preserve">, Suleinman et al. </w:t>
            </w:r>
            <w:r w:rsidRPr="00743AC4">
              <w:rPr>
                <w:rFonts w:cs="Times New Roman"/>
                <w:noProof/>
                <w:sz w:val="20"/>
                <w:lang w:val="en-GB"/>
              </w:rPr>
              <w:fldChar w:fldCharType="begin" w:fldLock="1"/>
            </w:r>
            <w:r w:rsidRPr="00743AC4">
              <w:rPr>
                <w:rFonts w:cs="Times New Roman"/>
                <w:noProof/>
                <w:sz w:val="20"/>
                <w:lang w:val="en-GB"/>
              </w:rPr>
              <w:instrText>ADDIN CSL_CITATION {"citationItems":[{"id":"ITEM-1","itemData":{"abstract":"this study examines the determinants of Foreign direct Investment (FdI) in southern africa Custom union (saCu) countries. the study employed panel data from the period 1990-2010 and used pooled OLS as the main estimation method. The findings reveal that market size, natural resource availability and trade openness are positive and significant determinants of FDI for the SACU member countries. Therefore, these countries should undertake more agreements in trade partnership and should reform investment policy to attract more foreign inflow into SACU countries in the long run.","author":[{"dropping-particle":"","family":"Suleinman","given":"NaJat Nassor","non-dropping-particle":"","parse-names":false,"suffix":""},{"dropping-particle":"","family":"Kaliappa","given":"shivee ranjanee","non-dropping-particle":"","parse-names":false,"suffix":""},{"dropping-particle":"","family":"Ismail","given":"Normaz Wana","non-dropping-particle":"","parse-names":false,"suffix":""}],"container-title":"Journal of Economics and Management","id":"ITEM-1","issue":"1","issued":{"date-parts":[["2015"]]},"number-of-pages":"1-24","title":"Determinants of foreign direct investment: Empirical evidence from Southern Africa Customs Union (SACU) countries","type":"report","volume":"9"},"suppress-author":1,"uris":["http://www.mendeley.com/documents/?uuid=637b9119-8a2a-3821-956e-c67d34e703d6"]}],"mendeley":{"formattedCitation":"(2015)","plainTextFormattedCitation":"(2015)","previouslyFormattedCitation":"(2015)"},"properties":{"noteIndex":0},"schema":"https://github.com/citation-style-language/schema/raw/master/csl-citation.json"}</w:instrText>
            </w:r>
            <w:r w:rsidRPr="00743AC4">
              <w:rPr>
                <w:rFonts w:cs="Times New Roman"/>
                <w:noProof/>
                <w:sz w:val="20"/>
                <w:lang w:val="en-GB"/>
              </w:rPr>
              <w:fldChar w:fldCharType="separate"/>
            </w:r>
            <w:r w:rsidRPr="00743AC4">
              <w:rPr>
                <w:rFonts w:cs="Times New Roman"/>
                <w:noProof/>
                <w:sz w:val="20"/>
                <w:lang w:val="en-GB"/>
              </w:rPr>
              <w:t>(2015)</w:t>
            </w:r>
            <w:r w:rsidRPr="00743AC4">
              <w:rPr>
                <w:rFonts w:cs="Times New Roman"/>
                <w:noProof/>
                <w:sz w:val="20"/>
                <w:lang w:val="en-GB"/>
              </w:rPr>
              <w:fldChar w:fldCharType="end"/>
            </w:r>
            <w:r w:rsidRPr="00743AC4">
              <w:rPr>
                <w:rFonts w:cs="Times New Roman"/>
                <w:noProof/>
                <w:sz w:val="20"/>
                <w:lang w:val="en-GB"/>
              </w:rPr>
              <w:t xml:space="preserve">, Khalil </w:t>
            </w:r>
            <w:r w:rsidRPr="00743AC4">
              <w:rPr>
                <w:rFonts w:cs="Times New Roman"/>
                <w:noProof/>
                <w:sz w:val="20"/>
                <w:lang w:val="en-GB"/>
              </w:rPr>
              <w:fldChar w:fldCharType="begin" w:fldLock="1"/>
            </w:r>
            <w:r w:rsidRPr="00743AC4">
              <w:rPr>
                <w:rFonts w:cs="Times New Roman"/>
                <w:noProof/>
                <w:sz w:val="20"/>
                <w:lang w:val="en-GB"/>
              </w:rPr>
              <w:instrText>ADDIN CSL_CITATION {"citationItems":[{"id":"ITEM-1","itemData":{"DOI":"10.19044/esj.2015","ISSN":"1857-7881","author":[{"dropping-particle":"","family":"Khalil","given":"Emam","non-dropping-particle":"","parse-names":false,"suffix":""}],"container-title":"European Scientific Journal","id":"ITEM-1","issued":{"date-parts":[["2015"]]},"page":"329-361","title":"Analysis of determinants of foreign direct investment in Egypt (1970-2013)","type":"article-journal","volume":"2"},"suppress-author":1,"uris":["http://www.mendeley.com/documents/?uuid=439a70e2-a049-4a37-bb4b-33392d85070f"]}],"mendeley":{"formattedCitation":"(2015)","plainTextFormattedCitation":"(2015)","previouslyFormattedCitation":"(2015)"},"properties":{"noteIndex":0},"schema":"https://github.com/citation-style-language/schema/raw/master/csl-citation.json"}</w:instrText>
            </w:r>
            <w:r w:rsidRPr="00743AC4">
              <w:rPr>
                <w:rFonts w:cs="Times New Roman"/>
                <w:noProof/>
                <w:sz w:val="20"/>
                <w:lang w:val="en-GB"/>
              </w:rPr>
              <w:fldChar w:fldCharType="separate"/>
            </w:r>
            <w:r w:rsidRPr="00743AC4">
              <w:rPr>
                <w:rFonts w:cs="Times New Roman"/>
                <w:noProof/>
                <w:sz w:val="20"/>
                <w:lang w:val="en-GB"/>
              </w:rPr>
              <w:t>(2015)</w:t>
            </w:r>
            <w:r w:rsidRPr="00743AC4">
              <w:rPr>
                <w:rFonts w:cs="Times New Roman"/>
                <w:noProof/>
                <w:sz w:val="20"/>
                <w:lang w:val="en-GB"/>
              </w:rPr>
              <w:fldChar w:fldCharType="end"/>
            </w:r>
            <w:r w:rsidRPr="00743AC4">
              <w:rPr>
                <w:rFonts w:cs="Times New Roman"/>
                <w:noProof/>
                <w:sz w:val="20"/>
                <w:lang w:val="en-GB"/>
              </w:rPr>
              <w:t xml:space="preserve">, Mijiyawa </w:t>
            </w:r>
            <w:r w:rsidRPr="00743AC4">
              <w:rPr>
                <w:rFonts w:cs="Times New Roman"/>
                <w:noProof/>
                <w:sz w:val="20"/>
                <w:lang w:val="en-GB"/>
              </w:rPr>
              <w:fldChar w:fldCharType="begin" w:fldLock="1"/>
            </w:r>
            <w:r w:rsidRPr="00743AC4">
              <w:rPr>
                <w:rFonts w:cs="Times New Roman"/>
                <w:noProof/>
                <w:sz w:val="20"/>
                <w:lang w:val="en-GB"/>
              </w:rPr>
              <w:instrText>ADDIN CSL_CITATION {"citationItems":[{"id":"ITEM-1","itemData":{"DOI":"https://doi.org/10.1111/1467-8268.12155","abstract":"This paper analyses factors that drive Foreign Direct Investments (FDI) in Africa. To do so, for the first time in the literature, the paper uses five-year panel data with the system-GMM technique, over the period 1970-2009 including 53 African countries. The main results are as follows: (a) Larger countries attract more FDI. (b) However, regardless of their size, more open countries, politically stable countries and countries offering higher return to investment also attract FDI. (c) FDI inflows are persistent in Africa. This suggests that countries that manage to attract FDI today are likely to attract more FDI in the future.","author":[{"dropping-particle":"","family":"Mijiyawa","given":"Abdoul’ Ganiou","non-dropping-particle":"","parse-names":false,"suffix":""}],"container-title":"African Development Review","id":"ITEM-1","issue":"4","issued":{"date-parts":[["2015"]]},"page":"392-402","title":"What drives foreign direct investment in Africa? An empirical investigation with panel data","type":"article-journal","volume":"27"},"suppress-author":1,"uris":["http://www.mendeley.com/documents/?uuid=e2af367f-3034-49a9-ae7c-315e480d4ee1"]}],"mendeley":{"formattedCitation":"(2015)","plainTextFormattedCitation":"(2015)","previouslyFormattedCitation":"(2015)"},"properties":{"noteIndex":0},"schema":"https://github.com/citation-style-language/schema/raw/master/csl-citation.json"}</w:instrText>
            </w:r>
            <w:r w:rsidRPr="00743AC4">
              <w:rPr>
                <w:rFonts w:cs="Times New Roman"/>
                <w:noProof/>
                <w:sz w:val="20"/>
                <w:lang w:val="en-GB"/>
              </w:rPr>
              <w:fldChar w:fldCharType="separate"/>
            </w:r>
            <w:r w:rsidRPr="00743AC4">
              <w:rPr>
                <w:rFonts w:cs="Times New Roman"/>
                <w:noProof/>
                <w:sz w:val="20"/>
                <w:lang w:val="en-GB"/>
              </w:rPr>
              <w:t>(2015)</w:t>
            </w:r>
            <w:r w:rsidRPr="00743AC4">
              <w:rPr>
                <w:rFonts w:cs="Times New Roman"/>
                <w:noProof/>
                <w:sz w:val="20"/>
                <w:lang w:val="en-GB"/>
              </w:rPr>
              <w:fldChar w:fldCharType="end"/>
            </w:r>
            <w:r w:rsidRPr="00743AC4">
              <w:rPr>
                <w:rFonts w:cs="Times New Roman"/>
                <w:noProof/>
                <w:sz w:val="20"/>
                <w:lang w:val="en-GB"/>
              </w:rPr>
              <w:t xml:space="preserve">, Bekana </w:t>
            </w:r>
            <w:r w:rsidRPr="00743AC4">
              <w:rPr>
                <w:rFonts w:cs="Times New Roman"/>
                <w:noProof/>
                <w:sz w:val="20"/>
                <w:lang w:val="en-GB"/>
              </w:rPr>
              <w:fldChar w:fldCharType="begin" w:fldLock="1"/>
            </w:r>
            <w:r w:rsidRPr="00743AC4">
              <w:rPr>
                <w:rFonts w:cs="Times New Roman"/>
                <w:noProof/>
                <w:sz w:val="20"/>
                <w:lang w:val="en-GB"/>
              </w:rPr>
              <w:instrText>ADDIN CSL_CITATION {"citationItems":[{"id":"ITEM-1","itemData":{"DOI":"10.1353/jda.2016.0002","abstract":"The hub of this study is investigating the forces behind the foreign direct investment inflow to Ethiopian economy in the long run as well as in the short run. To this end, the researcher has reviewed theoretical explanations relating to the determinants of foreign direct investment. The investigator has also reviewed relevant empirical literature pertaining to the determinants of foreign direct investment in the context of developing and developed countries and Ethiopia in particular. The review of the literature and the context analysis has culminated with a fundamental question what are the major determinants of foreign direct investment inflows in Ethiopia in both the long run and the short run? Methodologically, the researcher adopted empirical and quantitative analysis. To this end, a time series model was developed based on the critical synthesis of theoretical and empirical literature on foreign direct investment. The model is estimated using error correction model(ECM) formulation for the period 1991 to 2013 using annual data from World Bank world development indicators report after co-integrating relationship is proved with the Dickey Fuller residual based unit root tests. The tests for stationarity before the model developed was estimated proved that the variables in the model suffer from mixed order of co-integration at levels and hence the variables were differenced so as to alleviate that problem of mixed order cointegration. The result revealed that the determinants of foreign direct investment inflow are found to be consistent in the short and long run models. The most important forces behind foreign direct investment are found to be the GDP per capital, GDP growth rate, real interest rates, inflation rate, gross capital formation, adult literacy rate, Labor force growth rate, telephone lines per 1000 people and official exchange rate. In both models, Export of goods and services, and energy consumption per capita in transport sector are found to have insignificant impact on foreign direct investment inflow to Ethiopia. The policy implication of the result is that policy makers need to put in place policies congenial to pursue economic growth, macro-economic stability, human capital formation and fixed capital formation for attraction of foreign direct investment. [ABSTRACT FROM AUTHOR]","author":[{"dropping-particle":"","family":"Bekana","given":"Dejene Mamo","non-dropping-particle":"","parse-names":false,"suffix":""}],"container-title":"The Journal of Developing Areas","id":"ITEM-1","issue":"1","issued":{"date-parts":[["2016"]]},"page":"141-155","title":"Determinants of foreign direct investment in Ethiopia; time series evidence from 1991-2013","type":"article-journal","volume":"50"},"suppress-author":1,"uris":["http://www.mendeley.com/documents/?uuid=42bdd09c-6de8-4f02-9ed3-962c661c6d44"]}],"mendeley":{"formattedCitation":"(2016)","plainTextFormattedCitation":"(2016)","previouslyFormattedCitation":"(2016)"},"properties":{"noteIndex":0},"schema":"https://github.com/citation-style-language/schema/raw/master/csl-citation.json"}</w:instrText>
            </w:r>
            <w:r w:rsidRPr="00743AC4">
              <w:rPr>
                <w:rFonts w:cs="Times New Roman"/>
                <w:noProof/>
                <w:sz w:val="20"/>
                <w:lang w:val="en-GB"/>
              </w:rPr>
              <w:fldChar w:fldCharType="separate"/>
            </w:r>
            <w:r w:rsidRPr="00743AC4">
              <w:rPr>
                <w:rFonts w:cs="Times New Roman"/>
                <w:noProof/>
                <w:sz w:val="20"/>
                <w:lang w:val="en-GB"/>
              </w:rPr>
              <w:t>(2016)</w:t>
            </w:r>
            <w:r w:rsidRPr="00743AC4">
              <w:rPr>
                <w:rFonts w:cs="Times New Roman"/>
                <w:noProof/>
                <w:sz w:val="20"/>
                <w:lang w:val="en-GB"/>
              </w:rPr>
              <w:fldChar w:fldCharType="end"/>
            </w:r>
            <w:r w:rsidRPr="00743AC4">
              <w:rPr>
                <w:rFonts w:cs="Times New Roman"/>
                <w:noProof/>
                <w:sz w:val="20"/>
                <w:lang w:val="en-GB"/>
              </w:rPr>
              <w:t>.</w:t>
            </w:r>
          </w:p>
        </w:tc>
        <w:tc>
          <w:tcPr>
            <w:tcW w:w="0" w:type="auto"/>
            <w:tcBorders>
              <w:top w:val="single" w:sz="12" w:space="0" w:color="auto"/>
            </w:tcBorders>
            <w:vAlign w:val="center"/>
          </w:tcPr>
          <w:p w:rsidR="009973A2" w:rsidRPr="00743AC4" w:rsidRDefault="009973A2" w:rsidP="00C96CD3">
            <w:pPr>
              <w:ind w:firstLine="0"/>
              <w:jc w:val="center"/>
              <w:rPr>
                <w:rFonts w:cs="Times New Roman"/>
                <w:noProof/>
                <w:sz w:val="20"/>
                <w:lang w:val="en-GB"/>
              </w:rPr>
            </w:pPr>
            <w:r w:rsidRPr="00743AC4">
              <w:rPr>
                <w:rFonts w:cs="Times New Roman"/>
                <w:noProof/>
                <w:sz w:val="20"/>
                <w:lang w:val="en-GB"/>
              </w:rPr>
              <w:t xml:space="preserve">Chiatchoua and Pegou </w:t>
            </w:r>
            <w:r w:rsidRPr="00743AC4">
              <w:rPr>
                <w:rFonts w:cs="Times New Roman"/>
                <w:noProof/>
                <w:sz w:val="20"/>
                <w:lang w:val="en-GB"/>
              </w:rPr>
              <w:fldChar w:fldCharType="begin" w:fldLock="1"/>
            </w:r>
            <w:r w:rsidRPr="00743AC4">
              <w:rPr>
                <w:rFonts w:cs="Times New Roman"/>
                <w:noProof/>
                <w:sz w:val="20"/>
                <w:lang w:val="en-GB"/>
              </w:rPr>
              <w:instrText>ADDIN CSL_CITATION {"citationItems":[{"id":"ITEM-1","itemData":{"author":[{"dropping-particle":"","family":"Chiatchoua","given":"Cesaire","non-dropping-particle":"","parse-names":false,"suffix":""},{"dropping-particle":"","family":"Pegou","given":"Sibe Jacob","non-dropping-particle":"","parse-names":false,"suffix":""}],"container-title":"Análisis Económico","id":"ITEM-1","issue":"73","issued":{"date-parts":[["2015"]]},"page":"89-109","title":"Foreing direct investment in Sub- Saharan Africa ( SSA): An opportunity for New Developed Countries ( NDC )","type":"article-journal","volume":"30"},"suppress-author":1,"uris":["http://www.mendeley.com/documents/?uuid=fa68247d-e908-4fb6-8ad4-b08af487cf3d"]}],"mendeley":{"formattedCitation":"(2015)","plainTextFormattedCitation":"(2015)","previouslyFormattedCitation":"(2015)"},"properties":{"noteIndex":0},"schema":"https://github.com/citation-style-language/schema/raw/master/csl-citation.json"}</w:instrText>
            </w:r>
            <w:r w:rsidRPr="00743AC4">
              <w:rPr>
                <w:rFonts w:cs="Times New Roman"/>
                <w:noProof/>
                <w:sz w:val="20"/>
                <w:lang w:val="en-GB"/>
              </w:rPr>
              <w:fldChar w:fldCharType="separate"/>
            </w:r>
            <w:r w:rsidRPr="00743AC4">
              <w:rPr>
                <w:rFonts w:cs="Times New Roman"/>
                <w:noProof/>
                <w:sz w:val="20"/>
                <w:lang w:val="en-GB"/>
              </w:rPr>
              <w:t>(2015)</w:t>
            </w:r>
            <w:r w:rsidRPr="00743AC4">
              <w:rPr>
                <w:rFonts w:cs="Times New Roman"/>
                <w:noProof/>
                <w:sz w:val="20"/>
                <w:lang w:val="en-GB"/>
              </w:rPr>
              <w:fldChar w:fldCharType="end"/>
            </w:r>
          </w:p>
        </w:tc>
        <w:tc>
          <w:tcPr>
            <w:tcW w:w="0" w:type="auto"/>
            <w:tcBorders>
              <w:top w:val="single" w:sz="12" w:space="0" w:color="auto"/>
            </w:tcBorders>
            <w:vAlign w:val="center"/>
          </w:tcPr>
          <w:p w:rsidR="009973A2" w:rsidRPr="00743AC4" w:rsidRDefault="009973A2" w:rsidP="00C96CD3">
            <w:pPr>
              <w:ind w:firstLine="0"/>
              <w:jc w:val="center"/>
              <w:rPr>
                <w:rFonts w:cs="Times New Roman"/>
                <w:noProof/>
                <w:sz w:val="20"/>
                <w:lang w:val="en-GB"/>
              </w:rPr>
            </w:pPr>
            <w:r w:rsidRPr="00743AC4">
              <w:rPr>
                <w:rFonts w:cs="Times New Roman"/>
                <w:noProof/>
                <w:sz w:val="20"/>
                <w:lang w:val="en-GB"/>
              </w:rPr>
              <w:t xml:space="preserve">Rodríguez-Pose and Cols </w:t>
            </w:r>
            <w:r w:rsidRPr="00743AC4">
              <w:rPr>
                <w:rFonts w:cs="Times New Roman"/>
                <w:noProof/>
                <w:sz w:val="20"/>
                <w:lang w:val="en-GB"/>
              </w:rPr>
              <w:fldChar w:fldCharType="begin" w:fldLock="1"/>
            </w:r>
            <w:r w:rsidRPr="00743AC4">
              <w:rPr>
                <w:rFonts w:cs="Times New Roman"/>
                <w:noProof/>
                <w:sz w:val="20"/>
                <w:lang w:val="en-GB"/>
              </w:rPr>
              <w:instrText>ADDIN CSL_CITATION {"citationItems":[{"id":"ITEM-1","itemData":{"DOI":"10.1111/rsp3.12093","ISSN":"17577802","abstract":"Computer tomography (CT) perfusion imaging is widely used to calculate brain hemodynamic quantities such as Cerebral Blood Flow (CBF), Cerebral Blood Volume (CBV) and Mean Transit Time (MTT) that aid the diagnosis of acute stroke. Since perfusion source images contain more information than hemodynamic maps, good utilisation of the source images can lead to better understanding than the hemodynamic maps alone. Correlation-coefficient tests are used in our approach to measure the similarity between healthy tissue time-concentration curves and unknown curves. This information is then used to differentiate penumbra and dead tissues from healthy tissues. The goal of the segmentation is to fully utilize information in the perfusion source images. Our method directly identifies suspected abnormal areas from perfusion source images and then delivers a suggested segmentation of healthy, penumbra and dead tissue. This approach is designed to handle CT perfusion images, but it can also be used to detect lesion areas in MR perfusion images.","author":[{"dropping-particle":"","family":"Rodríguez-Pose","given":"Andrés","non-dropping-particle":"","parse-names":false,"suffix":""},{"dropping-particle":"","family":"Cols","given":"Gilles","non-dropping-particle":"","parse-names":false,"suffix":""}],"container-title":"Regional Science Policy and Practice","id":"ITEM-1","issue":"2","issued":{"date-parts":[["2017"]]},"page":"63-81","title":"The determinants of foreign direct investment in sub-Saharan Africa: What role for governance?","type":"article-journal","volume":"9"},"suppress-author":1,"uris":["http://www.mendeley.com/documents/?uuid=17e8fb9a-c3d6-4c0d-b6cf-6eb4fa5e55f5"]}],"mendeley":{"formattedCitation":"(2017)","plainTextFormattedCitation":"(2017)","previouslyFormattedCitation":"(2017)"},"properties":{"noteIndex":0},"schema":"https://github.com/citation-style-language/schema/raw/master/csl-citation.json"}</w:instrText>
            </w:r>
            <w:r w:rsidRPr="00743AC4">
              <w:rPr>
                <w:rFonts w:cs="Times New Roman"/>
                <w:noProof/>
                <w:sz w:val="20"/>
                <w:lang w:val="en-GB"/>
              </w:rPr>
              <w:fldChar w:fldCharType="separate"/>
            </w:r>
            <w:r w:rsidRPr="00743AC4">
              <w:rPr>
                <w:rFonts w:cs="Times New Roman"/>
                <w:noProof/>
                <w:sz w:val="20"/>
                <w:lang w:val="en-GB"/>
              </w:rPr>
              <w:t>(2017)</w:t>
            </w:r>
            <w:r w:rsidRPr="00743AC4">
              <w:rPr>
                <w:rFonts w:cs="Times New Roman"/>
                <w:noProof/>
                <w:sz w:val="20"/>
                <w:lang w:val="en-GB"/>
              </w:rPr>
              <w:fldChar w:fldCharType="end"/>
            </w:r>
            <w:r w:rsidRPr="00743AC4">
              <w:rPr>
                <w:rFonts w:cs="Times New Roman"/>
                <w:noProof/>
                <w:sz w:val="20"/>
                <w:lang w:val="en-GB"/>
              </w:rPr>
              <w:t>.</w:t>
            </w:r>
          </w:p>
        </w:tc>
      </w:tr>
      <w:tr w:rsidR="009973A2" w:rsidRPr="00743AC4" w:rsidTr="00C96CD3">
        <w:trPr>
          <w:jc w:val="center"/>
        </w:trPr>
        <w:tc>
          <w:tcPr>
            <w:tcW w:w="0" w:type="auto"/>
            <w:vAlign w:val="center"/>
          </w:tcPr>
          <w:p w:rsidR="009973A2" w:rsidRPr="00743AC4" w:rsidRDefault="009973A2" w:rsidP="00C96CD3">
            <w:pPr>
              <w:ind w:firstLine="0"/>
              <w:jc w:val="left"/>
              <w:rPr>
                <w:rFonts w:cs="Times New Roman"/>
                <w:noProof/>
                <w:sz w:val="20"/>
                <w:lang w:val="en-GB"/>
              </w:rPr>
            </w:pPr>
            <w:r w:rsidRPr="00743AC4">
              <w:rPr>
                <w:rFonts w:cs="Times New Roman"/>
                <w:noProof/>
                <w:sz w:val="20"/>
                <w:lang w:val="en-GB"/>
              </w:rPr>
              <w:t>Inflation rate</w:t>
            </w:r>
          </w:p>
        </w:tc>
        <w:tc>
          <w:tcPr>
            <w:tcW w:w="0" w:type="auto"/>
            <w:vAlign w:val="center"/>
          </w:tcPr>
          <w:p w:rsidR="009973A2" w:rsidRPr="00743AC4" w:rsidRDefault="009973A2" w:rsidP="00C96CD3">
            <w:pPr>
              <w:ind w:firstLine="0"/>
              <w:jc w:val="center"/>
              <w:rPr>
                <w:rFonts w:cs="Times New Roman"/>
                <w:noProof/>
                <w:sz w:val="20"/>
                <w:lang w:val="en-GB"/>
              </w:rPr>
            </w:pPr>
            <w:r w:rsidRPr="00743AC4">
              <w:rPr>
                <w:rFonts w:cs="Times New Roman"/>
                <w:noProof/>
                <w:sz w:val="20"/>
                <w:lang w:val="en-GB"/>
              </w:rPr>
              <w:t xml:space="preserve">Chiatchoua and Pegou </w:t>
            </w:r>
            <w:r w:rsidRPr="00743AC4">
              <w:rPr>
                <w:rFonts w:cs="Times New Roman"/>
                <w:noProof/>
                <w:sz w:val="20"/>
                <w:lang w:val="en-GB"/>
              </w:rPr>
              <w:fldChar w:fldCharType="begin" w:fldLock="1"/>
            </w:r>
            <w:r w:rsidRPr="00743AC4">
              <w:rPr>
                <w:rFonts w:cs="Times New Roman"/>
                <w:noProof/>
                <w:sz w:val="20"/>
                <w:lang w:val="en-GB"/>
              </w:rPr>
              <w:instrText>ADDIN CSL_CITATION {"citationItems":[{"id":"ITEM-1","itemData":{"author":[{"dropping-particle":"","family":"Chiatchoua","given":"Cesaire","non-dropping-particle":"","parse-names":false,"suffix":""},{"dropping-particle":"","family":"Pegou","given":"Sibe Jacob","non-dropping-particle":"","parse-names":false,"suffix":""}],"container-title":"Análisis Económico","id":"ITEM-1","issue":"73","issued":{"date-parts":[["2015"]]},"page":"89-109","title":"Foreing direct investment in Sub- Saharan Africa ( SSA): An opportunity for New Developed Countries ( NDC )","type":"article-journal","volume":"30"},"suppress-author":1,"uris":["http://www.mendeley.com/documents/?uuid=fa68247d-e908-4fb6-8ad4-b08af487cf3d"]}],"mendeley":{"formattedCitation":"(2015)","plainTextFormattedCitation":"(2015)","previouslyFormattedCitation":"(2015)"},"properties":{"noteIndex":0},"schema":"https://github.com/citation-style-language/schema/raw/master/csl-citation.json"}</w:instrText>
            </w:r>
            <w:r w:rsidRPr="00743AC4">
              <w:rPr>
                <w:rFonts w:cs="Times New Roman"/>
                <w:noProof/>
                <w:sz w:val="20"/>
                <w:lang w:val="en-GB"/>
              </w:rPr>
              <w:fldChar w:fldCharType="separate"/>
            </w:r>
            <w:r w:rsidRPr="00743AC4">
              <w:rPr>
                <w:rFonts w:cs="Times New Roman"/>
                <w:noProof/>
                <w:sz w:val="20"/>
                <w:lang w:val="en-GB"/>
              </w:rPr>
              <w:t>(2015)</w:t>
            </w:r>
            <w:r w:rsidRPr="00743AC4">
              <w:rPr>
                <w:rFonts w:cs="Times New Roman"/>
                <w:noProof/>
                <w:sz w:val="20"/>
                <w:lang w:val="en-GB"/>
              </w:rPr>
              <w:fldChar w:fldCharType="end"/>
            </w:r>
            <w:r w:rsidRPr="00743AC4">
              <w:rPr>
                <w:rFonts w:cs="Times New Roman"/>
                <w:noProof/>
                <w:sz w:val="20"/>
                <w:lang w:val="en-GB"/>
              </w:rPr>
              <w:t xml:space="preserve">, Bekana </w:t>
            </w:r>
            <w:r w:rsidRPr="00743AC4">
              <w:rPr>
                <w:rFonts w:cs="Times New Roman"/>
                <w:noProof/>
                <w:sz w:val="20"/>
                <w:lang w:val="en-GB"/>
              </w:rPr>
              <w:fldChar w:fldCharType="begin" w:fldLock="1"/>
            </w:r>
            <w:r w:rsidRPr="00743AC4">
              <w:rPr>
                <w:rFonts w:cs="Times New Roman"/>
                <w:noProof/>
                <w:sz w:val="20"/>
                <w:lang w:val="en-GB"/>
              </w:rPr>
              <w:instrText>ADDIN CSL_CITATION {"citationItems":[{"id":"ITEM-1","itemData":{"DOI":"10.1353/jda.2016.0002","abstract":"The hub of this study is investigating the forces behind the foreign direct investment inflow to Ethiopian economy in the long run as well as in the short run. To this end, the researcher has reviewed theoretical explanations relating to the determinants of foreign direct investment. The investigator has also reviewed relevant empirical literature pertaining to the determinants of foreign direct investment in the context of developing and developed countries and Ethiopia in particular. The review of the literature and the context analysis has culminated with a fundamental question what are the major determinants of foreign direct investment inflows in Ethiopia in both the long run and the short run? Methodologically, the researcher adopted empirical and quantitative analysis. To this end, a time series model was developed based on the critical synthesis of theoretical and empirical literature on foreign direct investment. The model is estimated using error correction model(ECM) formulation for the period 1991 to 2013 using annual data from World Bank world development indicators report after co-integrating relationship is proved with the Dickey Fuller residual based unit root tests. The tests for stationarity before the model developed was estimated proved that the variables in the model suffer from mixed order of co-integration at levels and hence the variables were differenced so as to alleviate that problem of mixed order cointegration. The result revealed that the determinants of foreign direct investment inflow are found to be consistent in the short and long run models. The most important forces behind foreign direct investment are found to be the GDP per capital, GDP growth rate, real interest rates, inflation rate, gross capital formation, adult literacy rate, Labor force growth rate, telephone lines per 1000 people and official exchange rate. In both models, Export of goods and services, and energy consumption per capita in transport sector are found to have insignificant impact on foreign direct investment inflow to Ethiopia. The policy implication of the result is that policy makers need to put in place policies congenial to pursue economic growth, macro-economic stability, human capital formation and fixed capital formation for attraction of foreign direct investment. [ABSTRACT FROM AUTHOR]","author":[{"dropping-particle":"","family":"Bekana","given":"Dejene Mamo","non-dropping-particle":"","parse-names":false,"suffix":""}],"container-title":"The Journal of Developing Areas","id":"ITEM-1","issue":"1","issued":{"date-parts":[["2016"]]},"page":"141-155","title":"Determinants of foreign direct investment in Ethiopia; time series evidence from 1991-2013","type":"article-journal","volume":"50"},"suppress-author":1,"uris":["http://www.mendeley.com/documents/?uuid=42bdd09c-6de8-4f02-9ed3-962c661c6d44"]}],"mendeley":{"formattedCitation":"(2016)","plainTextFormattedCitation":"(2016)","previouslyFormattedCitation":"(2016)"},"properties":{"noteIndex":0},"schema":"https://github.com/citation-style-language/schema/raw/master/csl-citation.json"}</w:instrText>
            </w:r>
            <w:r w:rsidRPr="00743AC4">
              <w:rPr>
                <w:rFonts w:cs="Times New Roman"/>
                <w:noProof/>
                <w:sz w:val="20"/>
                <w:lang w:val="en-GB"/>
              </w:rPr>
              <w:fldChar w:fldCharType="separate"/>
            </w:r>
            <w:r w:rsidRPr="00743AC4">
              <w:rPr>
                <w:rFonts w:cs="Times New Roman"/>
                <w:noProof/>
                <w:sz w:val="20"/>
                <w:lang w:val="en-GB"/>
              </w:rPr>
              <w:t>(2016)</w:t>
            </w:r>
            <w:r w:rsidRPr="00743AC4">
              <w:rPr>
                <w:rFonts w:cs="Times New Roman"/>
                <w:noProof/>
                <w:sz w:val="20"/>
                <w:lang w:val="en-GB"/>
              </w:rPr>
              <w:fldChar w:fldCharType="end"/>
            </w:r>
            <w:r w:rsidRPr="00743AC4">
              <w:rPr>
                <w:rFonts w:cs="Times New Roman"/>
                <w:noProof/>
                <w:sz w:val="20"/>
                <w:lang w:val="en-GB"/>
              </w:rPr>
              <w:t>.</w:t>
            </w:r>
          </w:p>
        </w:tc>
        <w:tc>
          <w:tcPr>
            <w:tcW w:w="0" w:type="auto"/>
            <w:vAlign w:val="center"/>
          </w:tcPr>
          <w:p w:rsidR="009973A2" w:rsidRPr="00743AC4" w:rsidRDefault="009973A2" w:rsidP="00C96CD3">
            <w:pPr>
              <w:pStyle w:val="Textodecomentrio"/>
              <w:ind w:firstLine="0"/>
              <w:jc w:val="center"/>
              <w:rPr>
                <w:noProof/>
                <w:sz w:val="20"/>
                <w:lang w:val="en-GB"/>
              </w:rPr>
            </w:pPr>
            <w:r w:rsidRPr="00743AC4">
              <w:rPr>
                <w:noProof/>
                <w:sz w:val="20"/>
                <w:lang w:val="en-GB"/>
              </w:rPr>
              <w:t xml:space="preserve">Onyeiwu and Shrestha </w:t>
            </w:r>
            <w:r w:rsidRPr="00743AC4">
              <w:rPr>
                <w:noProof/>
                <w:sz w:val="20"/>
                <w:lang w:val="en-GB"/>
              </w:rPr>
              <w:fldChar w:fldCharType="begin" w:fldLock="1"/>
            </w:r>
            <w:r w:rsidRPr="00743AC4">
              <w:rPr>
                <w:noProof/>
                <w:sz w:val="20"/>
                <w:lang w:val="en-GB"/>
              </w:rPr>
              <w:instrText>ADDIN CSL_CITATION {"citationItems":[{"id":"ITEM-1","itemData":{"DOI":"10.1177/0169796X04048305","ISSN":"0169796X","abstract":"Despite economic and institutional reform in Africa during the past decade, the flow of Foreign Direct Investment (FDI) to the region continues to be disappointing and uneven. In this study we use the fixed and random effects models to explore whether the stylized determinants of FDI affect FDI flows to Africa in conventional ways. Based on a panel dataset for 29 African countries over the period 1975 to 1999, the paper identifies the following factors as significant for FDI flows to Africa: economic growth, inflation, openness of the economy, international reserves, and natural resource availability. Contrary to conventional wisdom, political rights and infrastructures were found to be unimportant for FDI flows to Africa. The significance of a variable for FDI flows to Africa was found to be dependent on whether country- and time-specific effects are fixed or stochastic.","author":[{"dropping-particle":"","family":"Onyeiwu","given":"Steve","non-dropping-particle":"","parse-names":false,"suffix":""},{"dropping-particle":"","family":"Shrestha","given":"Hemanta","non-dropping-particle":"","parse-names":false,"suffix":""}],"container-title":"Journal of Developing Societies","id":"ITEM-1","issue":"1-2","issued":{"date-parts":[["2004"]]},"page":"89-106","title":"Determinants of foreign direct investment in Africa","type":"article-journal","volume":"20"},"suppress-author":1,"uris":["http://www.mendeley.com/documents/?uuid=6573d757-ebbc-4754-879a-420cdb8392cf"]}],"mendeley":{"formattedCitation":"(2004)","plainTextFormattedCitation":"(2004)","previouslyFormattedCitation":"(2004)"},"properties":{"noteIndex":0},"schema":"https://github.com/citation-style-language/schema/raw/master/csl-citation.json"}</w:instrText>
            </w:r>
            <w:r w:rsidRPr="00743AC4">
              <w:rPr>
                <w:noProof/>
                <w:sz w:val="20"/>
                <w:lang w:val="en-GB"/>
              </w:rPr>
              <w:fldChar w:fldCharType="separate"/>
            </w:r>
            <w:r w:rsidRPr="00743AC4">
              <w:rPr>
                <w:noProof/>
                <w:sz w:val="20"/>
                <w:lang w:val="en-GB"/>
              </w:rPr>
              <w:t>(2004)</w:t>
            </w:r>
            <w:r w:rsidRPr="00743AC4">
              <w:rPr>
                <w:noProof/>
                <w:sz w:val="20"/>
                <w:lang w:val="en-GB"/>
              </w:rPr>
              <w:fldChar w:fldCharType="end"/>
            </w:r>
            <w:r w:rsidRPr="00743AC4">
              <w:rPr>
                <w:noProof/>
                <w:sz w:val="20"/>
                <w:lang w:val="en-GB"/>
              </w:rPr>
              <w:t xml:space="preserve">, Krugell </w:t>
            </w:r>
            <w:r w:rsidRPr="00743AC4">
              <w:rPr>
                <w:noProof/>
                <w:sz w:val="20"/>
                <w:lang w:val="en-GB"/>
              </w:rPr>
              <w:fldChar w:fldCharType="begin" w:fldLock="1"/>
            </w:r>
            <w:r w:rsidRPr="00743AC4">
              <w:rPr>
                <w:noProof/>
                <w:sz w:val="20"/>
                <w:lang w:val="en-GB"/>
              </w:rPr>
              <w:instrText>ADDIN CSL_CITATION {"citationItems":[{"id":"ITEM-1","itemData":{"DOI":"10.1007/3-7908-1610-8_4","ISSN":"1431-1933","abstract":"This chapter provides a theoretical and empirical analysis of the determinants of FDI in sub-Saharan Africa. Theories of the internationalisation of production are used to outline the reasons why multinational enterprises (MNEs) undertake FDI. These reasons help to identify the conditions and policies that might draw FDI to Africa. The empirical analysis tests for the significance of a number of hypothesised determinants of FDI, in sub-Saharan Africa. The pooled cross-country and time series estimation covers the period 1980 to 1999 for 17 countries. The results show the importance of economic growth, domestic investment and macroeconomic stability, for attracting FDI. Section 2 introduces the challenges facing African countries and presents FDI as a possible solution. The case is made for the significance of identifying the determinants of FDI in African. In section 3 the theory and evidence of the determinants of FDI are examined. Dunning's (1993) OLI-theory serves as the basis for current thinking on the determinants of FDI. The overview of recent empirical findings shows the importance of economic variables such as market size and wage costs as determinants of FDI. The empirical analysis for sub-Saharan African countries is presented in section 4. Section 5 provides some conclusions and recommendations.","author":[{"dropping-particle":"","family":"Krugell","given":"W.","non-dropping-particle":"","parse-names":false,"suffix":""}],"container-title":"Springer","id":"ITEM-1","issue":"3","issued":{"date-parts":[["2005"]]},"page":"49-71","title":"The determinants of foreign direct investment in Africa","type":"article-journal"},"suppress-author":1,"uris":["http://www.mendeley.com/documents/?uuid=1aa1ad2b-1664-3cff-8824-c6d868b1c914"]}],"mendeley":{"formattedCitation":"(2005)","plainTextFormattedCitation":"(2005)","previouslyFormattedCitation":"(2005)"},"properties":{"noteIndex":0},"schema":"https://github.com/citation-style-language/schema/raw/master/csl-citation.json"}</w:instrText>
            </w:r>
            <w:r w:rsidRPr="00743AC4">
              <w:rPr>
                <w:noProof/>
                <w:sz w:val="20"/>
                <w:lang w:val="en-GB"/>
              </w:rPr>
              <w:fldChar w:fldCharType="separate"/>
            </w:r>
            <w:r w:rsidRPr="00743AC4">
              <w:rPr>
                <w:noProof/>
                <w:sz w:val="20"/>
                <w:lang w:val="en-GB"/>
              </w:rPr>
              <w:t>(2005)</w:t>
            </w:r>
            <w:r w:rsidRPr="00743AC4">
              <w:rPr>
                <w:noProof/>
                <w:sz w:val="20"/>
                <w:lang w:val="en-GB"/>
              </w:rPr>
              <w:fldChar w:fldCharType="end"/>
            </w:r>
            <w:r w:rsidRPr="00743AC4">
              <w:rPr>
                <w:noProof/>
                <w:sz w:val="20"/>
                <w:lang w:val="en-GB"/>
              </w:rPr>
              <w:t xml:space="preserve">, Asiedu </w:t>
            </w:r>
            <w:r w:rsidRPr="00743AC4">
              <w:rPr>
                <w:noProof/>
                <w:sz w:val="20"/>
                <w:lang w:val="en-GB"/>
              </w:rPr>
              <w:fldChar w:fldCharType="begin" w:fldLock="1"/>
            </w:r>
            <w:r w:rsidRPr="00743AC4">
              <w:rPr>
                <w:noProof/>
                <w:sz w:val="20"/>
                <w:lang w:val="en-GB"/>
              </w:rPr>
              <w:instrText>ADDIN CSL_CITATION {"citationItems":[{"id":"ITEM-1","itemData":{"DOI":"10.2139/ssrn.717361","ISSN":"1556-5068","author":[{"dropping-particle":"","family":"Asiedu","given":"Elizabeth","non-dropping-particle":"","parse-names":false,"suffix":""}],"container-title":"The World Economy","id":"ITEM-1","issue":"1","issued":{"date-parts":[["2006"]]},"page":"63-77","title":"Foreign direct investment in Africa: The role of natural resources, market size, government policy, institutions and political instability","type":"article-journal","volume":"29"},"suppress-author":1,"uris":["http://www.mendeley.com/documents/?uuid=e676ec88-1d9d-4db2-9e71-c8fb574b7b03"]}],"mendeley":{"formattedCitation":"(2006)","plainTextFormattedCitation":"(2006)","previouslyFormattedCitation":"(2006)"},"properties":{"noteIndex":0},"schema":"https://github.com/citation-style-language/schema/raw/master/csl-citation.json"}</w:instrText>
            </w:r>
            <w:r w:rsidRPr="00743AC4">
              <w:rPr>
                <w:noProof/>
                <w:sz w:val="20"/>
                <w:lang w:val="en-GB"/>
              </w:rPr>
              <w:fldChar w:fldCharType="separate"/>
            </w:r>
            <w:r w:rsidRPr="00743AC4">
              <w:rPr>
                <w:noProof/>
                <w:sz w:val="20"/>
                <w:lang w:val="en-GB"/>
              </w:rPr>
              <w:t>(2006)</w:t>
            </w:r>
            <w:r w:rsidRPr="00743AC4">
              <w:rPr>
                <w:noProof/>
                <w:sz w:val="20"/>
                <w:lang w:val="en-GB"/>
              </w:rPr>
              <w:fldChar w:fldCharType="end"/>
            </w:r>
            <w:r w:rsidRPr="00743AC4">
              <w:rPr>
                <w:noProof/>
                <w:sz w:val="20"/>
                <w:lang w:val="en-GB"/>
              </w:rPr>
              <w:t>, Okurut, Narayana, and</w:t>
            </w:r>
          </w:p>
          <w:p w:rsidR="009973A2" w:rsidRPr="00743AC4" w:rsidRDefault="009973A2" w:rsidP="00C96CD3">
            <w:pPr>
              <w:ind w:firstLine="0"/>
              <w:jc w:val="center"/>
              <w:rPr>
                <w:rFonts w:cs="Times New Roman"/>
                <w:noProof/>
                <w:sz w:val="20"/>
                <w:lang w:val="en-GB"/>
              </w:rPr>
            </w:pPr>
            <w:r w:rsidRPr="00743AC4">
              <w:rPr>
                <w:rFonts w:cs="Times New Roman"/>
                <w:noProof/>
                <w:sz w:val="20"/>
                <w:lang w:val="en-GB"/>
              </w:rPr>
              <w:t xml:space="preserve">Chidozie </w:t>
            </w:r>
            <w:r w:rsidRPr="00743AC4">
              <w:rPr>
                <w:rFonts w:cs="Times New Roman"/>
                <w:noProof/>
                <w:sz w:val="20"/>
                <w:lang w:val="en-GB"/>
              </w:rPr>
              <w:fldChar w:fldCharType="begin" w:fldLock="1"/>
            </w:r>
            <w:r w:rsidRPr="00743AC4">
              <w:rPr>
                <w:rFonts w:cs="Times New Roman"/>
                <w:noProof/>
                <w:sz w:val="20"/>
                <w:lang w:val="en-GB"/>
              </w:rPr>
              <w:instrText>ADDIN CSL_CITATION {"citationItems":[{"id":"ITEM-1","itemData":{"abstract":"This paper investigates the determinants of Foreign Direct Investment (FDI) inflows in Economic Com- munity of West African States (ECOWAS) using panel data for ECOWAS member states for the period 1975 to 2007 and dynamic ordinary least squares model. The results suggest that FDI inflows in ECOWAS are positively and significantly influenced by financial sector development, openness of the economy, return on investment and infrastructural development. However inflation and economic growth have negative and significant effects on FDI inflows in ECOWAS. The general conclusion is that most FDI investors in ECOWAS countries are natural-resource seeking investors.","author":[{"dropping-particle":"","family":"Okurut","given":"F.N.","non-dropping-particle":"","parse-names":false,"suffix":""},{"dropping-particle":"","family":"Narayana","given":"N.","non-dropping-particle":"","parse-names":false,"suffix":""},{"dropping-particle":"","family":"Chidozie","given":"N.","non-dropping-particle":"","parse-names":false,"suffix":""}],"container-title":"International Journal of Economics and Business Studies","id":"ITEM-1","issue":"1","issued":{"date-parts":[["2012"]]},"page":"26-35","title":"Determinants of foreign direct investment in Economic Community of West African States","type":"article-journal","volume":"2"},"suppress-author":1,"uris":["http://www.mendeley.com/documents/?uuid=089d8bf6-5f4f-4a2b-8f18-14c62a64e986"]}],"mendeley":{"formattedCitation":"(2012)","plainTextFormattedCitation":"(2012)","previouslyFormattedCitation":"(2012)"},"properties":{"noteIndex":0},"schema":"https://github.com/citation-style-language/schema/raw/master/csl-citation.json"}</w:instrText>
            </w:r>
            <w:r w:rsidRPr="00743AC4">
              <w:rPr>
                <w:rFonts w:cs="Times New Roman"/>
                <w:noProof/>
                <w:sz w:val="20"/>
                <w:lang w:val="en-GB"/>
              </w:rPr>
              <w:fldChar w:fldCharType="separate"/>
            </w:r>
            <w:r w:rsidRPr="00743AC4">
              <w:rPr>
                <w:rFonts w:cs="Times New Roman"/>
                <w:noProof/>
                <w:sz w:val="20"/>
                <w:lang w:val="en-GB"/>
              </w:rPr>
              <w:t>(2012)</w:t>
            </w:r>
            <w:r w:rsidRPr="00743AC4">
              <w:rPr>
                <w:rFonts w:cs="Times New Roman"/>
                <w:noProof/>
                <w:sz w:val="20"/>
                <w:lang w:val="en-GB"/>
              </w:rPr>
              <w:fldChar w:fldCharType="end"/>
            </w:r>
            <w:r w:rsidRPr="00743AC4">
              <w:rPr>
                <w:rFonts w:cs="Times New Roman"/>
                <w:noProof/>
                <w:sz w:val="20"/>
                <w:lang w:val="en-GB"/>
              </w:rPr>
              <w:t xml:space="preserve">,   Khalil </w:t>
            </w:r>
            <w:r w:rsidRPr="00743AC4">
              <w:rPr>
                <w:rFonts w:cs="Times New Roman"/>
                <w:noProof/>
                <w:sz w:val="20"/>
                <w:lang w:val="en-GB"/>
              </w:rPr>
              <w:fldChar w:fldCharType="begin" w:fldLock="1"/>
            </w:r>
            <w:r w:rsidRPr="00743AC4">
              <w:rPr>
                <w:rFonts w:cs="Times New Roman"/>
                <w:noProof/>
                <w:sz w:val="20"/>
                <w:lang w:val="en-GB"/>
              </w:rPr>
              <w:instrText>ADDIN CSL_CITATION {"citationItems":[{"id":"ITEM-1","itemData":{"DOI":"10.19044/esj.2015","ISSN":"1857-7881","author":[{"dropping-particle":"","family":"Khalil","given":"Emam","non-dropping-particle":"","parse-names":false,"suffix":""}],"container-title":"European Scientific Journal","id":"ITEM-1","issued":{"date-parts":[["2015"]]},"page":"329-361","title":"Analysis of determinants of foreign direct investment in Egypt (1970-2013)","type":"article-journal","volume":"2"},"suppress-author":1,"uris":["http://www.mendeley.com/documents/?uuid=439a70e2-a049-4a37-bb4b-33392d85070f"]}],"mendeley":{"formattedCitation":"(2015)","plainTextFormattedCitation":"(2015)","previouslyFormattedCitation":"(2015)"},"properties":{"noteIndex":0},"schema":"https://github.com/citation-style-language/schema/raw/master/csl-citation.json"}</w:instrText>
            </w:r>
            <w:r w:rsidRPr="00743AC4">
              <w:rPr>
                <w:rFonts w:cs="Times New Roman"/>
                <w:noProof/>
                <w:sz w:val="20"/>
                <w:lang w:val="en-GB"/>
              </w:rPr>
              <w:fldChar w:fldCharType="separate"/>
            </w:r>
            <w:r w:rsidRPr="00743AC4">
              <w:rPr>
                <w:rFonts w:cs="Times New Roman"/>
                <w:noProof/>
                <w:sz w:val="20"/>
                <w:lang w:val="en-GB"/>
              </w:rPr>
              <w:t>(2015)</w:t>
            </w:r>
            <w:r w:rsidRPr="00743AC4">
              <w:rPr>
                <w:rFonts w:cs="Times New Roman"/>
                <w:noProof/>
                <w:sz w:val="20"/>
                <w:lang w:val="en-GB"/>
              </w:rPr>
              <w:fldChar w:fldCharType="end"/>
            </w:r>
            <w:r w:rsidRPr="00743AC4">
              <w:rPr>
                <w:rFonts w:cs="Times New Roman"/>
                <w:noProof/>
                <w:sz w:val="20"/>
                <w:lang w:val="en-GB"/>
              </w:rPr>
              <w:t xml:space="preserve">, Okafor et al. </w:t>
            </w:r>
            <w:r w:rsidRPr="00743AC4">
              <w:rPr>
                <w:rFonts w:cs="Times New Roman"/>
                <w:noProof/>
                <w:sz w:val="20"/>
                <w:lang w:val="en-GB"/>
              </w:rPr>
              <w:fldChar w:fldCharType="begin" w:fldLock="1"/>
            </w:r>
            <w:r w:rsidRPr="00743AC4">
              <w:rPr>
                <w:rFonts w:cs="Times New Roman"/>
                <w:noProof/>
                <w:sz w:val="20"/>
                <w:lang w:val="en-GB"/>
              </w:rPr>
              <w:instrText>ADDIN CSL_CITATION {"citationItems":[{"id":"ITEM-1","itemData":{"DOI":"10.1016/j.jpolmod.2015.07.003","ISSN":"01618938","abstract":"This study contributes to the FDI literature by investigating the impact of all four locational motives of FDI in Sub-Saharan African (SSA) countries for the period 1996-2010. To achieve this aim, panel data techniques (pooled OLS, fixed effects and GMM) were employed on a sample of SSA countries. The empirical results showed that efficiency and strategic asset seeking factors influenced FDI activities in SSA for the period investigated. Market size also influenced FDI however this was less robust to specifications. Surprisingly, FDI in SSA was not resource seeking. Furthermore, a statistical test confirmed structural and behavioural differences in FDI determinants between SSA sub-regional groups and when analysed separately, FDI in West and Central SSA was market and efficiency seeking while FDI in South and East Africa was best explained by efficiency seeking factors. Based on the empirical findings, a number of policy implications were derived. These policy implications include further implementation of policies targeted at increasing and sustaining trade liberalisation and trade diversification, control of corruption, credible upgrades and productive investments in infrastructure, and support for human capital accumulation as FDI is increasingly directed towards R&amp;D, innovation and strategic asset activities.","author":[{"dropping-particle":"","family":"Okafor","given":"Godwin","non-dropping-particle":"","parse-names":false,"suffix":""},{"dropping-particle":"","family":"Piesse","given":"Jenifer","non-dropping-particle":"","parse-names":false,"suffix":""},{"dropping-particle":"","family":"Webster","given":"Allan","non-dropping-particle":"","parse-names":false,"suffix":""}],"container-title":"Journal of Policy Modeling","id":"ITEM-1","issue":"5","issued":{"date-parts":[["2015"]]},"page":"875-890","publisher":"The Society for Policy Modeling","title":"The motives for inward FDI into Sub-Saharan African countries","type":"article-journal","volume":"37"},"suppress-author":1,"uris":["http://www.mendeley.com/documents/?uuid=87f01f67-c6ba-4652-87ac-84a3758b18a7"]}],"mendeley":{"formattedCitation":"(2015)","plainTextFormattedCitation":"(2015)","previouslyFormattedCitation":"(2015)"},"properties":{"noteIndex":0},"schema":"https://github.com/citation-style-language/schema/raw/master/csl-citation.json"}</w:instrText>
            </w:r>
            <w:r w:rsidRPr="00743AC4">
              <w:rPr>
                <w:rFonts w:cs="Times New Roman"/>
                <w:noProof/>
                <w:sz w:val="20"/>
                <w:lang w:val="en-GB"/>
              </w:rPr>
              <w:fldChar w:fldCharType="separate"/>
            </w:r>
            <w:r w:rsidRPr="00743AC4">
              <w:rPr>
                <w:rFonts w:cs="Times New Roman"/>
                <w:noProof/>
                <w:sz w:val="20"/>
                <w:lang w:val="en-GB"/>
              </w:rPr>
              <w:t>(2015)</w:t>
            </w:r>
            <w:r w:rsidRPr="00743AC4">
              <w:rPr>
                <w:rFonts w:cs="Times New Roman"/>
                <w:noProof/>
                <w:sz w:val="20"/>
                <w:lang w:val="en-GB"/>
              </w:rPr>
              <w:fldChar w:fldCharType="end"/>
            </w:r>
            <w:r w:rsidRPr="00743AC4">
              <w:rPr>
                <w:rFonts w:cs="Times New Roman"/>
                <w:noProof/>
                <w:sz w:val="20"/>
                <w:lang w:val="en-GB"/>
              </w:rPr>
              <w:t xml:space="preserve">,  Rodríguez-Pose and Cols </w:t>
            </w:r>
            <w:r w:rsidRPr="00743AC4">
              <w:rPr>
                <w:rFonts w:cs="Times New Roman"/>
                <w:noProof/>
                <w:sz w:val="20"/>
                <w:lang w:val="en-GB"/>
              </w:rPr>
              <w:fldChar w:fldCharType="begin" w:fldLock="1"/>
            </w:r>
            <w:r w:rsidRPr="00743AC4">
              <w:rPr>
                <w:rFonts w:cs="Times New Roman"/>
                <w:noProof/>
                <w:sz w:val="20"/>
                <w:lang w:val="en-GB"/>
              </w:rPr>
              <w:instrText>ADDIN CSL_CITATION {"citationItems":[{"id":"ITEM-1","itemData":{"DOI":"10.1111/rsp3.12093","ISSN":"17577802","abstract":"Computer tomography (CT) perfusion imaging is widely used to calculate brain hemodynamic quantities such as Cerebral Blood Flow (CBF), Cerebral Blood Volume (CBV) and Mean Transit Time (MTT) that aid the diagnosis of acute stroke. Since perfusion source images contain more information than hemodynamic maps, good utilisation of the source images can lead to better understanding than the hemodynamic maps alone. Correlation-coefficient tests are used in our approach to measure the similarity between healthy tissue time-concentration curves and unknown curves. This information is then used to differentiate penumbra and dead tissues from healthy tissues. The goal of the segmentation is to fully utilize information in the perfusion source images. Our method directly identifies suspected abnormal areas from perfusion source images and then delivers a suggested segmentation of healthy, penumbra and dead tissue. This approach is designed to handle CT perfusion images, but it can also be used to detect lesion areas in MR perfusion images.","author":[{"dropping-particle":"","family":"Rodríguez-Pose","given":"Andrés","non-dropping-particle":"","parse-names":false,"suffix":""},{"dropping-particle":"","family":"Cols","given":"Gilles","non-dropping-particle":"","parse-names":false,"suffix":""}],"container-title":"Regional Science Policy and Practice","id":"ITEM-1","issue":"2","issued":{"date-parts":[["2017"]]},"page":"63-81","title":"The determinants of foreign direct investment in sub-Saharan Africa: What role for governance?","type":"article-journal","volume":"9"},"suppress-author":1,"uris":["http://www.mendeley.com/documents/?uuid=17e8fb9a-c3d6-4c0d-b6cf-6eb4fa5e55f5"]}],"mendeley":{"formattedCitation":"(2017)","plainTextFormattedCitation":"(2017)","previouslyFormattedCitation":"(2017)"},"properties":{"noteIndex":0},"schema":"https://github.com/citation-style-language/schema/raw/master/csl-citation.json"}</w:instrText>
            </w:r>
            <w:r w:rsidRPr="00743AC4">
              <w:rPr>
                <w:rFonts w:cs="Times New Roman"/>
                <w:noProof/>
                <w:sz w:val="20"/>
                <w:lang w:val="en-GB"/>
              </w:rPr>
              <w:fldChar w:fldCharType="separate"/>
            </w:r>
            <w:r w:rsidRPr="00743AC4">
              <w:rPr>
                <w:rFonts w:cs="Times New Roman"/>
                <w:noProof/>
                <w:sz w:val="20"/>
                <w:lang w:val="en-GB"/>
              </w:rPr>
              <w:t>(2017)</w:t>
            </w:r>
            <w:r w:rsidRPr="00743AC4">
              <w:rPr>
                <w:rFonts w:cs="Times New Roman"/>
                <w:noProof/>
                <w:sz w:val="20"/>
                <w:lang w:val="en-GB"/>
              </w:rPr>
              <w:fldChar w:fldCharType="end"/>
            </w:r>
            <w:r w:rsidRPr="00743AC4">
              <w:rPr>
                <w:rFonts w:cs="Times New Roman"/>
                <w:noProof/>
                <w:sz w:val="20"/>
                <w:lang w:val="en-GB"/>
              </w:rPr>
              <w:t xml:space="preserve">, Abimbola and Oludiran </w:t>
            </w:r>
            <w:r w:rsidRPr="00743AC4">
              <w:rPr>
                <w:rFonts w:cs="Times New Roman"/>
                <w:noProof/>
                <w:sz w:val="20"/>
                <w:lang w:val="en-GB"/>
              </w:rPr>
              <w:fldChar w:fldCharType="begin" w:fldLock="1"/>
            </w:r>
            <w:r w:rsidRPr="00743AC4">
              <w:rPr>
                <w:rFonts w:cs="Times New Roman"/>
                <w:noProof/>
                <w:sz w:val="20"/>
                <w:lang w:val="en-GB"/>
              </w:rPr>
              <w:instrText>ADDIN CSL_CITATION {"citationItems":[{"id":"ITEM-1","itemData":{"DOI":"10.22059/ier.2018.65354","ISSN":"10266542","abstract":"The main concern of this paper is to answer the question of the determinants of FDI inflows to West African Economic and Monetary Union (WAEMU). The literature on FDI recognizes not only the existence of gaps between domestic savings and investment in most developing countries but also that FDI constitutes a cure capable to bring the latest technology and management know-how into these countries. The aim of this paper is to find the macroeconomic determinants of FDI in WAEMU (constituted of 8 countries namely: Benin, Burkina Faso, Cote d’Ivoire, Guinea Bissau, Mali, Niger, Senegal and Togo). To this end, an econometric model based on panel cointegration analysis for the period 1980-2010 was estimated. The results show that countries with high potential market size (GDP per capita), large trade openness and with more business friendly environment (low political risk) attract more FDI. The findings further show that: (i) infrastructure development is one of the most important determinants that attract FDI to the region; alongside the human capital, financial development, macroeconomic stability, exchange rate and political stability; (ii) not all the variables affect FDI the same way in the WAEMU region; (iii) there is a positive relationship between FDI and economic growth which implies that FDI stimulates economic growth; (iv) this study finds a positive relationship between FDI and macroeconomic stability (inflation) in WAEMU; (v) financial development needs to be improved to enable more gain from FDI. This suggests that the impact of FDI can be enhanced through financial development under a good environment that has to be provided in WAEMU. © 2018, University of Teheran. All rights reserved.","author":[{"dropping-particle":"","family":"Abimbola","given":"Laleye Nicaise","non-dropping-particle":"","parse-names":false,"suffix":""},{"dropping-particle":"","family":"Oludiran","given":"Akinleye Simeon","non-dropping-particle":"","parse-names":false,"suffix":""}],"container-title":"Iranian Economic Review","id":"ITEM-1","issue":"1","issued":{"date-parts":[["2018"]]},"page":"121-162","title":"Major determinants of foreign direct investment in the West African Economic and Monetary Region","type":"article-journal","volume":"22"},"suppress-author":1,"uris":["http://www.mendeley.com/documents/?uuid=2da317e1-d59c-4334-964a-8ee359f8c911"]}],"mendeley":{"formattedCitation":"(2018)","plainTextFormattedCitation":"(2018)","previouslyFormattedCitation":"(2018)"},"properties":{"noteIndex":0},"schema":"https://github.com/citation-style-language/schema/raw/master/csl-citation.json"}</w:instrText>
            </w:r>
            <w:r w:rsidRPr="00743AC4">
              <w:rPr>
                <w:rFonts w:cs="Times New Roman"/>
                <w:noProof/>
                <w:sz w:val="20"/>
                <w:lang w:val="en-GB"/>
              </w:rPr>
              <w:fldChar w:fldCharType="separate"/>
            </w:r>
            <w:r w:rsidRPr="00743AC4">
              <w:rPr>
                <w:rFonts w:cs="Times New Roman"/>
                <w:noProof/>
                <w:sz w:val="20"/>
                <w:lang w:val="en-GB"/>
              </w:rPr>
              <w:t>(2018)</w:t>
            </w:r>
            <w:r w:rsidRPr="00743AC4">
              <w:rPr>
                <w:rFonts w:cs="Times New Roman"/>
                <w:noProof/>
                <w:sz w:val="20"/>
                <w:lang w:val="en-GB"/>
              </w:rPr>
              <w:fldChar w:fldCharType="end"/>
            </w:r>
            <w:r w:rsidRPr="00743AC4">
              <w:rPr>
                <w:rFonts w:cs="Times New Roman"/>
                <w:noProof/>
                <w:sz w:val="20"/>
                <w:lang w:val="en-GB"/>
              </w:rPr>
              <w:t xml:space="preserve">, Woldemichael, Githui, and Ngui </w:t>
            </w:r>
            <w:r w:rsidRPr="00743AC4">
              <w:rPr>
                <w:rFonts w:cs="Times New Roman"/>
                <w:noProof/>
                <w:sz w:val="20"/>
                <w:lang w:val="en-GB"/>
              </w:rPr>
              <w:fldChar w:fldCharType="begin" w:fldLock="1"/>
            </w:r>
            <w:r w:rsidRPr="00743AC4">
              <w:rPr>
                <w:rFonts w:cs="Times New Roman"/>
                <w:noProof/>
                <w:sz w:val="20"/>
                <w:lang w:val="en-GB"/>
              </w:rPr>
              <w:instrText>ADDIN CSL_CITATION {"citationItems":[{"id":"ITEM-1","itemData":{"DOI":"10.7176/ejbm/11-3-06","author":[{"dropping-particle":"","family":"Woldemichael","given":"Elleni Haile","non-dropping-particle":"","parse-names":false,"suffix":""},{"dropping-particle":"","family":"Githui","given":"Thomas","non-dropping-particle":"","parse-names":false,"suffix":""},{"dropping-particle":"","family":"Ngui","given":"Thomas","non-dropping-particle":"","parse-names":false,"suffix":""}],"container-title":"European Journal of Business and Management","id":"ITEM-1","issue":"9","issued":{"date-parts":[["2019"]]},"page":"36-44","title":"Influence of selected macro-economic factors on foreign direct investment in Kenya","type":"article-journal","volume":"09"},"suppress-author":1,"uris":["http://www.mendeley.com/documents/?uuid=1e99e695-2bde-4a1b-9ccb-0e8de62997bf"]}],"mendeley":{"formattedCitation":"(2019)","plainTextFormattedCitation":"(2019)","previouslyFormattedCitation":"(2019)"},"properties":{"noteIndex":0},"schema":"https://github.com/citation-style-language/schema/raw/master/csl-citation.json"}</w:instrText>
            </w:r>
            <w:r w:rsidRPr="00743AC4">
              <w:rPr>
                <w:rFonts w:cs="Times New Roman"/>
                <w:noProof/>
                <w:sz w:val="20"/>
                <w:lang w:val="en-GB"/>
              </w:rPr>
              <w:fldChar w:fldCharType="separate"/>
            </w:r>
            <w:r w:rsidRPr="00743AC4">
              <w:rPr>
                <w:rFonts w:cs="Times New Roman"/>
                <w:noProof/>
                <w:sz w:val="20"/>
                <w:lang w:val="en-GB"/>
              </w:rPr>
              <w:t>(2019)</w:t>
            </w:r>
            <w:r w:rsidRPr="00743AC4">
              <w:rPr>
                <w:rFonts w:cs="Times New Roman"/>
                <w:noProof/>
                <w:sz w:val="20"/>
                <w:lang w:val="en-GB"/>
              </w:rPr>
              <w:fldChar w:fldCharType="end"/>
            </w:r>
            <w:r w:rsidRPr="00743AC4">
              <w:rPr>
                <w:rFonts w:cs="Times New Roman"/>
                <w:noProof/>
                <w:sz w:val="20"/>
                <w:lang w:val="en-GB"/>
              </w:rPr>
              <w:t>.</w:t>
            </w:r>
          </w:p>
        </w:tc>
        <w:tc>
          <w:tcPr>
            <w:tcW w:w="0" w:type="auto"/>
            <w:vAlign w:val="center"/>
          </w:tcPr>
          <w:p w:rsidR="009973A2" w:rsidRPr="00743AC4" w:rsidRDefault="009973A2" w:rsidP="00C96CD3">
            <w:pPr>
              <w:ind w:firstLine="0"/>
              <w:jc w:val="center"/>
              <w:rPr>
                <w:rFonts w:cs="Times New Roman"/>
                <w:noProof/>
                <w:sz w:val="20"/>
                <w:lang w:val="en-GB"/>
              </w:rPr>
            </w:pPr>
          </w:p>
        </w:tc>
      </w:tr>
      <w:tr w:rsidR="009973A2" w:rsidRPr="00743AC4" w:rsidTr="00C96CD3">
        <w:trPr>
          <w:jc w:val="center"/>
        </w:trPr>
        <w:tc>
          <w:tcPr>
            <w:tcW w:w="0" w:type="auto"/>
            <w:vAlign w:val="center"/>
          </w:tcPr>
          <w:p w:rsidR="009973A2" w:rsidRPr="00743AC4" w:rsidRDefault="009973A2" w:rsidP="00C96CD3">
            <w:pPr>
              <w:ind w:firstLine="0"/>
              <w:jc w:val="left"/>
              <w:rPr>
                <w:rFonts w:cs="Times New Roman"/>
                <w:noProof/>
                <w:sz w:val="20"/>
                <w:lang w:val="en-GB"/>
              </w:rPr>
            </w:pPr>
            <w:r w:rsidRPr="00743AC4">
              <w:rPr>
                <w:rFonts w:cs="Times New Roman"/>
                <w:noProof/>
                <w:sz w:val="20"/>
                <w:lang w:val="en-GB"/>
              </w:rPr>
              <w:t>Trade opennes</w:t>
            </w:r>
          </w:p>
        </w:tc>
        <w:tc>
          <w:tcPr>
            <w:tcW w:w="0" w:type="auto"/>
            <w:vAlign w:val="center"/>
          </w:tcPr>
          <w:p w:rsidR="009973A2" w:rsidRPr="00743AC4" w:rsidRDefault="009973A2" w:rsidP="00C96CD3">
            <w:pPr>
              <w:ind w:firstLine="0"/>
              <w:jc w:val="center"/>
              <w:rPr>
                <w:rFonts w:cs="Times New Roman"/>
                <w:noProof/>
                <w:sz w:val="20"/>
                <w:lang w:val="en-GB"/>
              </w:rPr>
            </w:pPr>
            <w:r w:rsidRPr="00743AC4">
              <w:rPr>
                <w:rFonts w:cs="Times New Roman"/>
                <w:noProof/>
                <w:sz w:val="20"/>
                <w:lang w:val="en-GB"/>
              </w:rPr>
              <w:t xml:space="preserve">Helmy </w:t>
            </w:r>
            <w:r w:rsidRPr="00743AC4">
              <w:rPr>
                <w:rFonts w:cs="Times New Roman"/>
                <w:noProof/>
                <w:sz w:val="20"/>
                <w:lang w:val="en-GB"/>
              </w:rPr>
              <w:fldChar w:fldCharType="begin" w:fldLock="1"/>
            </w:r>
            <w:r w:rsidRPr="00743AC4">
              <w:rPr>
                <w:rFonts w:cs="Times New Roman"/>
                <w:noProof/>
                <w:sz w:val="20"/>
                <w:lang w:val="en-GB"/>
              </w:rPr>
              <w:instrText>ADDIN CSL_CITATION {"citationItems":[{"id":"ITEM-1","itemData":{"DOI":"http://dx.doi.org/10.1080/02692171.2012.752445 The","abstract":"The eruption of the Arab Spring in Tunisia and Egypt was ensued by deteriora- tion in FDI inflows. Whether a new Middle East free of corruption accompany- ing previous dictatorships will offset the negative ramifications of the uprisings and enhance FDI in the long run remains debatable. Since the evidence on the causal relationship between corruption and FDI is inconclusive, this study attempts to take another step. The paper investigates the link between corruption and FDI flows to the Middle East and North Africa (MENA) and assesses whether or not corruption has more importance than other FDI determinants. By employing several panel settings with various econometric specifications on 21 MENA countries over the period 2003 to 2009, it is demonstrated that FDI varies positively with corruption. Additionally, FDI in MENA was found to vary positively with per capita income, openness, freedom and security of invest- ments and negatively with the tax and homicide rates. Since corruption was not found to hinder FDI inflows, treating corruption should be based on sound legal procedures that infringe neither on the rights, freedom and security of FDI nor on the degree of openness and freedom of the economy, which are the real stimulants of FDI in MENA.","author":[{"dropping-particle":"","family":"Helmy","given":"Heba E.","non-dropping-particle":"","parse-names":false,"suffix":""}],"container-title":"International Review of Applied Economics","id":"ITEM-1","issue":"4","issued":{"date-parts":[["2013"]]},"page":"491-514","title":"The impact of corruption on FDI: is MENA an exception?","type":"article-journal","volume":"27"},"suppress-author":1,"uris":["http://www.mendeley.com/documents/?uuid=fe56cec3-a2d8-41f7-b52c-a00ed3e605c3"]}],"mendeley":{"formattedCitation":"(2013)","plainTextFormattedCitation":"(2013)","previouslyFormattedCitation":"(2013)"},"properties":{"noteIndex":0},"schema":"https://github.com/citation-style-language/schema/raw/master/csl-citation.json"}</w:instrText>
            </w:r>
            <w:r w:rsidRPr="00743AC4">
              <w:rPr>
                <w:rFonts w:cs="Times New Roman"/>
                <w:noProof/>
                <w:sz w:val="20"/>
                <w:lang w:val="en-GB"/>
              </w:rPr>
              <w:fldChar w:fldCharType="separate"/>
            </w:r>
            <w:r w:rsidRPr="00743AC4">
              <w:rPr>
                <w:rFonts w:cs="Times New Roman"/>
                <w:noProof/>
                <w:sz w:val="20"/>
                <w:lang w:val="en-GB"/>
              </w:rPr>
              <w:t>(2013)</w:t>
            </w:r>
            <w:r w:rsidRPr="00743AC4">
              <w:rPr>
                <w:rFonts w:cs="Times New Roman"/>
                <w:noProof/>
                <w:sz w:val="20"/>
                <w:lang w:val="en-GB"/>
              </w:rPr>
              <w:fldChar w:fldCharType="end"/>
            </w:r>
            <w:r w:rsidRPr="00743AC4">
              <w:rPr>
                <w:rFonts w:cs="Times New Roman"/>
                <w:noProof/>
                <w:sz w:val="20"/>
                <w:lang w:val="en-GB"/>
              </w:rPr>
              <w:t xml:space="preserve">, Ezeoha and Ugwu </w:t>
            </w:r>
            <w:r w:rsidRPr="00743AC4">
              <w:rPr>
                <w:rFonts w:cs="Times New Roman"/>
                <w:noProof/>
                <w:sz w:val="20"/>
                <w:lang w:val="en-GB"/>
              </w:rPr>
              <w:fldChar w:fldCharType="begin" w:fldLock="1"/>
            </w:r>
            <w:r w:rsidRPr="00743AC4">
              <w:rPr>
                <w:rFonts w:cs="Times New Roman"/>
                <w:noProof/>
                <w:sz w:val="20"/>
                <w:lang w:val="en-GB"/>
              </w:rPr>
              <w:instrText>ADDIN CSL_CITATION {"citationItems":[{"id":"ITEM-1","itemData":{"DOI":"10.1111/1467-8268.12161","author":[{"dropping-particle":"","family":"Ezeoha","given":"Abel Ebeh","non-dropping-particle":"","parse-names":false,"suffix":""},{"dropping-particle":"","family":"Ugwu","given":"John Okereke","non-dropping-particle":"","parse-names":false,"suffix":""}],"container-title":"African Development Reviw","id":"ITEM-1","issue":"4","issued":{"date-parts":[["2015"]]},"page":"456-468","title":"Interactive impact of armed conflicts on foreign direct investments in Africa","type":"article-journal","volume":"27"},"suppress-author":1,"uris":["http://www.mendeley.com/documents/?uuid=ad2272bb-8bb7-4b3b-ad61-4784b6ceb6b9"]}],"mendeley":{"formattedCitation":"(2015)","plainTextFormattedCitation":"(2015)","previouslyFormattedCitation":"(2015)"},"properties":{"noteIndex":0},"schema":"https://github.com/citation-style-language/schema/raw/master/csl-citation.json"}</w:instrText>
            </w:r>
            <w:r w:rsidRPr="00743AC4">
              <w:rPr>
                <w:rFonts w:cs="Times New Roman"/>
                <w:noProof/>
                <w:sz w:val="20"/>
                <w:lang w:val="en-GB"/>
              </w:rPr>
              <w:fldChar w:fldCharType="separate"/>
            </w:r>
            <w:r w:rsidRPr="00743AC4">
              <w:rPr>
                <w:rFonts w:cs="Times New Roman"/>
                <w:noProof/>
                <w:sz w:val="20"/>
                <w:lang w:val="en-GB"/>
              </w:rPr>
              <w:t>(2015)</w:t>
            </w:r>
            <w:r w:rsidRPr="00743AC4">
              <w:rPr>
                <w:rFonts w:cs="Times New Roman"/>
                <w:noProof/>
                <w:sz w:val="20"/>
                <w:lang w:val="en-GB"/>
              </w:rPr>
              <w:fldChar w:fldCharType="end"/>
            </w:r>
            <w:r w:rsidRPr="00743AC4">
              <w:rPr>
                <w:rFonts w:cs="Times New Roman"/>
                <w:noProof/>
                <w:sz w:val="20"/>
                <w:lang w:val="en-GB"/>
              </w:rPr>
              <w:t xml:space="preserve">, Mijiyawa </w:t>
            </w:r>
            <w:r w:rsidRPr="00743AC4">
              <w:rPr>
                <w:rFonts w:cs="Times New Roman"/>
                <w:noProof/>
                <w:sz w:val="20"/>
                <w:lang w:val="en-GB"/>
              </w:rPr>
              <w:fldChar w:fldCharType="begin" w:fldLock="1"/>
            </w:r>
            <w:r w:rsidRPr="00743AC4">
              <w:rPr>
                <w:rFonts w:cs="Times New Roman"/>
                <w:noProof/>
                <w:sz w:val="20"/>
                <w:lang w:val="en-GB"/>
              </w:rPr>
              <w:instrText>ADDIN CSL_CITATION {"citationItems":[{"id":"ITEM-1","itemData":{"DOI":"https://doi.org/10.1111/1467-8268.12155","abstract":"This paper analyses factors that drive Foreign Direct Investments (FDI) in Africa. To do so, for the first time in the literature, the paper uses five-year panel data with the system-GMM technique, over the period 1970-2009 including 53 African countries. The main results are as follows: (a) Larger countries attract more FDI. (b) However, regardless of their size, more open countries, politically stable countries and countries offering higher return to investment also attract FDI. (c) FDI inflows are persistent in Africa. This suggests that countries that manage to attract FDI today are likely to attract more FDI in the future.","author":[{"dropping-particle":"","family":"Mijiyawa","given":"Abdoul’ Ganiou","non-dropping-particle":"","parse-names":false,"suffix":""}],"container-title":"African Development Review","id":"ITEM-1","issue":"4","issued":{"date-parts":[["2015"]]},"page":"392-402","title":"What drives foreign direct investment in Africa? An empirical investigation with panel data","type":"article-journal","volume":"27"},"suppress-author":1,"uris":["http://www.mendeley.com/documents/?uuid=e2af367f-3034-49a9-ae7c-315e480d4ee1"]}],"mendeley":{"formattedCitation":"(2015)","plainTextFormattedCitation":"(2015)","previouslyFormattedCitation":"(2015)"},"properties":{"noteIndex":0},"schema":"https://github.com/citation-style-language/schema/raw/master/csl-citation.json"}</w:instrText>
            </w:r>
            <w:r w:rsidRPr="00743AC4">
              <w:rPr>
                <w:rFonts w:cs="Times New Roman"/>
                <w:noProof/>
                <w:sz w:val="20"/>
                <w:lang w:val="en-GB"/>
              </w:rPr>
              <w:fldChar w:fldCharType="separate"/>
            </w:r>
            <w:r w:rsidRPr="00743AC4">
              <w:rPr>
                <w:rFonts w:cs="Times New Roman"/>
                <w:noProof/>
                <w:sz w:val="20"/>
                <w:lang w:val="en-GB"/>
              </w:rPr>
              <w:t>(2015)</w:t>
            </w:r>
            <w:r w:rsidRPr="00743AC4">
              <w:rPr>
                <w:rFonts w:cs="Times New Roman"/>
                <w:noProof/>
                <w:sz w:val="20"/>
                <w:lang w:val="en-GB"/>
              </w:rPr>
              <w:fldChar w:fldCharType="end"/>
            </w:r>
            <w:r w:rsidRPr="00743AC4">
              <w:rPr>
                <w:rFonts w:cs="Times New Roman"/>
                <w:noProof/>
                <w:sz w:val="20"/>
                <w:lang w:val="en-GB"/>
              </w:rPr>
              <w:t>, Asamoah et al.</w:t>
            </w:r>
            <w:r w:rsidRPr="00743AC4">
              <w:rPr>
                <w:rFonts w:cs="Times New Roman"/>
                <w:noProof/>
                <w:sz w:val="20"/>
                <w:lang w:val="en-GB"/>
              </w:rPr>
              <w:fldChar w:fldCharType="begin" w:fldLock="1"/>
            </w:r>
            <w:r w:rsidRPr="00743AC4">
              <w:rPr>
                <w:rFonts w:cs="Times New Roman"/>
                <w:noProof/>
                <w:sz w:val="20"/>
                <w:lang w:val="en-GB"/>
              </w:rPr>
              <w:instrText>ADDIN CSL_CITATION {"citationItems":[{"id":"ITEM-1","itemData":{"DOI":"http://dx.doi.org/10.1016/j.ecosys.2016.02.010","ISSN":"09393625","abstract":"This study examines how institutional quality moderates the relationship between macroeconomic volatility and foreign direct investment (FDI) in 40 countries in the Sub-Saharan African region over the period from 1996 to 2011. The GARCH models of Engle (1982) and Bollerslev (1986) are employed to model the volatility of macroeconomic uncertainty. The dynamic panel model estimation of Arellano and Bond (1991) and Blundell and Bond (1998) is used to analyze the relationship between foreign direct investment and the volatility of the macroeconomic variables. We find that macroeconomic uncertainty adversely affects the flow of FDI, while institutional quality also increases the flow of FDI in the presence of other control variables. The interaction between institutional quality and macroeconomic uncertainty reduces the initial negative effect exerted on the flow of FDI by economic uncertainty. Policy implications are drawn from the findings.","author":[{"dropping-particle":"","family":"Asamoah","given":"Michael Effah","non-dropping-particle":"","parse-names":false,"suffix":""},{"dropping-particle":"","family":"Adjasi","given":"Charles K.D.","non-dropping-particle":"","parse-names":false,"suffix":""},{"dropping-particle":"","family":"Alhassan","given":"Abdul Latif","non-dropping-particle":"","parse-names":false,"suffix":""}],"container-title":"Economic Systems","id":"ITEM-1","issue":"4","issued":{"date-parts":[["2016"]]},"page":"612-621","publisher":"Elsevier B.V.","title":"Macroeconomic uncertainty, foreign direct investment and institutional quality: Evidence from Sub-Saharan Africa","type":"article-journal","volume":"40"},"suppress-author":1,"uris":["http://www.mendeley.com/documents/?uuid=591c875a-5e4b-4f1f-9dd4-9396b6c6de80"]}],"mendeley":{"formattedCitation":"(2016)","plainTextFormattedCitation":"(2016)","previouslyFormattedCitation":"(2016)"},"properties":{"noteIndex":0},"schema":"https://github.com/citation-style-language/schema/raw/master/csl-citation.json"}</w:instrText>
            </w:r>
            <w:r w:rsidRPr="00743AC4">
              <w:rPr>
                <w:rFonts w:cs="Times New Roman"/>
                <w:noProof/>
                <w:sz w:val="20"/>
                <w:lang w:val="en-GB"/>
              </w:rPr>
              <w:fldChar w:fldCharType="separate"/>
            </w:r>
            <w:r w:rsidRPr="00743AC4">
              <w:rPr>
                <w:rFonts w:cs="Times New Roman"/>
                <w:noProof/>
                <w:sz w:val="20"/>
                <w:lang w:val="en-GB"/>
              </w:rPr>
              <w:t>(2016)</w:t>
            </w:r>
            <w:r w:rsidRPr="00743AC4">
              <w:rPr>
                <w:rFonts w:cs="Times New Roman"/>
                <w:noProof/>
                <w:sz w:val="20"/>
                <w:lang w:val="en-GB"/>
              </w:rPr>
              <w:fldChar w:fldCharType="end"/>
            </w:r>
            <w:r w:rsidRPr="00743AC4">
              <w:rPr>
                <w:rFonts w:cs="Times New Roman"/>
                <w:noProof/>
                <w:sz w:val="20"/>
                <w:lang w:val="en-GB"/>
              </w:rPr>
              <w:t xml:space="preserve">, Rodríguez-Pose and Cols </w:t>
            </w:r>
            <w:r w:rsidRPr="00743AC4">
              <w:rPr>
                <w:rFonts w:cs="Times New Roman"/>
                <w:noProof/>
                <w:sz w:val="20"/>
                <w:lang w:val="en-GB"/>
              </w:rPr>
              <w:fldChar w:fldCharType="begin" w:fldLock="1"/>
            </w:r>
            <w:r w:rsidRPr="00743AC4">
              <w:rPr>
                <w:rFonts w:cs="Times New Roman"/>
                <w:noProof/>
                <w:sz w:val="20"/>
                <w:lang w:val="en-GB"/>
              </w:rPr>
              <w:instrText>ADDIN CSL_CITATION {"citationItems":[{"id":"ITEM-1","itemData":{"DOI":"10.1111/rsp3.12093","ISSN":"17577802","abstract":"Computer tomography (CT) perfusion imaging is widely used to calculate brain hemodynamic quantities such as Cerebral Blood Flow (CBF), Cerebral Blood Volume (CBV) and Mean Transit Time (MTT) that aid the diagnosis of acute stroke. Since perfusion source images contain more information than hemodynamic maps, good utilisation of the source images can lead to better understanding than the hemodynamic maps alone. Correlation-coefficient tests are used in our approach to measure the similarity between healthy tissue time-concentration curves and unknown curves. This information is then used to differentiate penumbra and dead tissues from healthy tissues. The goal of the segmentation is to fully utilize information in the perfusion source images. Our method directly identifies suspected abnormal areas from perfusion source images and then delivers a suggested segmentation of healthy, penumbra and dead tissue. This approach is designed to handle CT perfusion images, but it can also be used to detect lesion areas in MR perfusion images.","author":[{"dropping-particle":"","family":"Rodríguez-Pose","given":"Andrés","non-dropping-particle":"","parse-names":false,"suffix":""},{"dropping-particle":"","family":"Cols","given":"Gilles","non-dropping-particle":"","parse-names":false,"suffix":""}],"container-title":"Regional Science Policy and Practice","id":"ITEM-1","issue":"2","issued":{"date-parts":[["2017"]]},"page":"63-81","title":"The determinants of foreign direct investment in sub-Saharan Africa: What role for governance?","type":"article-journal","volume":"9"},"suppress-author":1,"uris":["http://www.mendeley.com/documents/?uuid=17e8fb9a-c3d6-4c0d-b6cf-6eb4fa5e55f5"]}],"mendeley":{"formattedCitation":"(2017)","plainTextFormattedCitation":"(2017)","previouslyFormattedCitation":"(2017)"},"properties":{"noteIndex":0},"schema":"https://github.com/citation-style-language/schema/raw/master/csl-citation.json"}</w:instrText>
            </w:r>
            <w:r w:rsidRPr="00743AC4">
              <w:rPr>
                <w:rFonts w:cs="Times New Roman"/>
                <w:noProof/>
                <w:sz w:val="20"/>
                <w:lang w:val="en-GB"/>
              </w:rPr>
              <w:fldChar w:fldCharType="separate"/>
            </w:r>
            <w:r w:rsidRPr="00743AC4">
              <w:rPr>
                <w:rFonts w:cs="Times New Roman"/>
                <w:noProof/>
                <w:sz w:val="20"/>
                <w:lang w:val="en-GB"/>
              </w:rPr>
              <w:t>(2017)</w:t>
            </w:r>
            <w:r w:rsidRPr="00743AC4">
              <w:rPr>
                <w:rFonts w:cs="Times New Roman"/>
                <w:noProof/>
                <w:sz w:val="20"/>
                <w:lang w:val="en-GB"/>
              </w:rPr>
              <w:fldChar w:fldCharType="end"/>
            </w:r>
            <w:r w:rsidRPr="00743AC4">
              <w:rPr>
                <w:rFonts w:cs="Times New Roman"/>
                <w:noProof/>
                <w:sz w:val="20"/>
                <w:lang w:val="en-GB"/>
              </w:rPr>
              <w:t xml:space="preserve">, Abimbola and Oludiran </w:t>
            </w:r>
            <w:r w:rsidRPr="00743AC4">
              <w:rPr>
                <w:rFonts w:cs="Times New Roman"/>
                <w:noProof/>
                <w:sz w:val="20"/>
                <w:lang w:val="en-GB"/>
              </w:rPr>
              <w:fldChar w:fldCharType="begin" w:fldLock="1"/>
            </w:r>
            <w:r w:rsidRPr="00743AC4">
              <w:rPr>
                <w:rFonts w:cs="Times New Roman"/>
                <w:noProof/>
                <w:sz w:val="20"/>
                <w:lang w:val="en-GB"/>
              </w:rPr>
              <w:instrText>ADDIN CSL_CITATION {"citationItems":[{"id":"ITEM-1","itemData":{"DOI":"10.22059/ier.2018.65354","ISSN":"10266542","abstract":"The main concern of this paper is to answer the question of the determinants of FDI inflows to West African Economic and Monetary Union (WAEMU). The literature on FDI recognizes not only the existence of gaps between domestic savings and investment in most developing countries but also that FDI constitutes a cure capable to bring the latest technology and management know-how into these countries. The aim of this paper is to find the macroeconomic determinants of FDI in WAEMU (constituted of 8 countries namely: Benin, Burkina Faso, Cote d’Ivoire, Guinea Bissau, Mali, Niger, Senegal and Togo). To this end, an econometric model based on panel cointegration analysis for the period 1980-2010 was estimated. The results show that countries with high potential market size (GDP per capita), large trade openness and with more business friendly environment (low political risk) attract more FDI. The findings further show that: (i) infrastructure development is one of the most important determinants that attract FDI to the region; alongside the human capital, financial development, macroeconomic stability, exchange rate and political stability; (ii) not all the variables affect FDI the same way in the WAEMU region; (iii) there is a positive relationship between FDI and economic growth which implies that FDI stimulates economic growth; (iv) this study finds a positive relationship between FDI and macroeconomic stability (inflation) in WAEMU; (v) financial development needs to be improved to enable more gain from FDI. This suggests that the impact of FDI can be enhanced through financial development under a good environment that has to be provided in WAEMU. © 2018, University of Teheran. All rights reserved.","author":[{"dropping-particle":"","family":"Abimbola","given":"Laleye Nicaise","non-dropping-particle":"","parse-names":false,"suffix":""},{"dropping-particle":"","family":"Oludiran","given":"Akinleye Simeon","non-dropping-particle":"","parse-names":false,"suffix":""}],"container-title":"Iranian Economic Review","id":"ITEM-1","issue":"1","issued":{"date-parts":[["2018"]]},"page":"121-162","title":"Major determinants of foreign direct investment in the West African Economic and Monetary Region","type":"article-journal","volume":"22"},"suppress-author":1,"uris":["http://www.mendeley.com/documents/?uuid=2da317e1-d59c-4334-964a-8ee359f8c911"]}],"mendeley":{"formattedCitation":"(2018)","plainTextFormattedCitation":"(2018)","previouslyFormattedCitation":"(2018)"},"properties":{"noteIndex":0},"schema":"https://github.com/citation-style-language/schema/raw/master/csl-citation.json"}</w:instrText>
            </w:r>
            <w:r w:rsidRPr="00743AC4">
              <w:rPr>
                <w:rFonts w:cs="Times New Roman"/>
                <w:noProof/>
                <w:sz w:val="20"/>
                <w:lang w:val="en-GB"/>
              </w:rPr>
              <w:fldChar w:fldCharType="separate"/>
            </w:r>
            <w:r w:rsidRPr="00743AC4">
              <w:rPr>
                <w:rFonts w:cs="Times New Roman"/>
                <w:noProof/>
                <w:sz w:val="20"/>
                <w:lang w:val="en-GB"/>
              </w:rPr>
              <w:t>(2018)</w:t>
            </w:r>
            <w:r w:rsidRPr="00743AC4">
              <w:rPr>
                <w:rFonts w:cs="Times New Roman"/>
                <w:noProof/>
                <w:sz w:val="20"/>
                <w:lang w:val="en-GB"/>
              </w:rPr>
              <w:fldChar w:fldCharType="end"/>
            </w:r>
            <w:r w:rsidRPr="00743AC4">
              <w:rPr>
                <w:rFonts w:cs="Times New Roman"/>
                <w:noProof/>
                <w:sz w:val="20"/>
                <w:lang w:val="en-GB"/>
              </w:rPr>
              <w:t>.</w:t>
            </w:r>
          </w:p>
        </w:tc>
        <w:tc>
          <w:tcPr>
            <w:tcW w:w="0" w:type="auto"/>
            <w:vAlign w:val="center"/>
          </w:tcPr>
          <w:p w:rsidR="009973A2" w:rsidRPr="00743AC4" w:rsidRDefault="009973A2" w:rsidP="00C96CD3">
            <w:pPr>
              <w:ind w:firstLine="0"/>
              <w:jc w:val="center"/>
              <w:rPr>
                <w:rFonts w:cs="Times New Roman"/>
                <w:noProof/>
                <w:sz w:val="20"/>
                <w:lang w:val="en-GB"/>
              </w:rPr>
            </w:pPr>
            <w:r w:rsidRPr="00743AC4">
              <w:rPr>
                <w:rFonts w:cs="Times New Roman"/>
                <w:noProof/>
                <w:sz w:val="20"/>
                <w:lang w:val="en-GB"/>
              </w:rPr>
              <w:t xml:space="preserve">Rodríguez-Pose and Cols </w:t>
            </w:r>
            <w:r w:rsidRPr="00743AC4">
              <w:rPr>
                <w:rFonts w:cs="Times New Roman"/>
                <w:noProof/>
                <w:sz w:val="20"/>
                <w:lang w:val="en-GB"/>
              </w:rPr>
              <w:fldChar w:fldCharType="begin" w:fldLock="1"/>
            </w:r>
            <w:r w:rsidRPr="00743AC4">
              <w:rPr>
                <w:rFonts w:cs="Times New Roman"/>
                <w:noProof/>
                <w:sz w:val="20"/>
                <w:lang w:val="en-GB"/>
              </w:rPr>
              <w:instrText>ADDIN CSL_CITATION {"citationItems":[{"id":"ITEM-1","itemData":{"DOI":"10.1111/rsp3.12093","ISSN":"17577802","abstract":"Computer tomography (CT) perfusion imaging is widely used to calculate brain hemodynamic quantities such as Cerebral Blood Flow (CBF), Cerebral Blood Volume (CBV) and Mean Transit Time (MTT) that aid the diagnosis of acute stroke. Since perfusion source images contain more information than hemodynamic maps, good utilisation of the source images can lead to better understanding than the hemodynamic maps alone. Correlation-coefficient tests are used in our approach to measure the similarity between healthy tissue time-concentration curves and unknown curves. This information is then used to differentiate penumbra and dead tissues from healthy tissues. The goal of the segmentation is to fully utilize information in the perfusion source images. Our method directly identifies suspected abnormal areas from perfusion source images and then delivers a suggested segmentation of healthy, penumbra and dead tissue. This approach is designed to handle CT perfusion images, but it can also be used to detect lesion areas in MR perfusion images.","author":[{"dropping-particle":"","family":"Rodríguez-Pose","given":"Andrés","non-dropping-particle":"","parse-names":false,"suffix":""},{"dropping-particle":"","family":"Cols","given":"Gilles","non-dropping-particle":"","parse-names":false,"suffix":""}],"container-title":"Regional Science Policy and Practice","id":"ITEM-1","issue":"2","issued":{"date-parts":[["2017"]]},"page":"63-81","title":"The determinants of foreign direct investment in sub-Saharan Africa: What role for governance?","type":"article-journal","volume":"9"},"suppress-author":1,"uris":["http://www.mendeley.com/documents/?uuid=17e8fb9a-c3d6-4c0d-b6cf-6eb4fa5e55f5"]}],"mendeley":{"formattedCitation":"(2017)","plainTextFormattedCitation":"(2017)","previouslyFormattedCitation":"(2017)"},"properties":{"noteIndex":0},"schema":"https://github.com/citation-style-language/schema/raw/master/csl-citation.json"}</w:instrText>
            </w:r>
            <w:r w:rsidRPr="00743AC4">
              <w:rPr>
                <w:rFonts w:cs="Times New Roman"/>
                <w:noProof/>
                <w:sz w:val="20"/>
                <w:lang w:val="en-GB"/>
              </w:rPr>
              <w:fldChar w:fldCharType="separate"/>
            </w:r>
            <w:r w:rsidRPr="00743AC4">
              <w:rPr>
                <w:rFonts w:cs="Times New Roman"/>
                <w:noProof/>
                <w:sz w:val="20"/>
                <w:lang w:val="en-GB"/>
              </w:rPr>
              <w:t>(2017)</w:t>
            </w:r>
            <w:r w:rsidRPr="00743AC4">
              <w:rPr>
                <w:rFonts w:cs="Times New Roman"/>
                <w:noProof/>
                <w:sz w:val="20"/>
                <w:lang w:val="en-GB"/>
              </w:rPr>
              <w:fldChar w:fldCharType="end"/>
            </w:r>
          </w:p>
        </w:tc>
        <w:tc>
          <w:tcPr>
            <w:tcW w:w="0" w:type="auto"/>
            <w:vAlign w:val="center"/>
          </w:tcPr>
          <w:p w:rsidR="009973A2" w:rsidRPr="00743AC4" w:rsidRDefault="009973A2" w:rsidP="00C96CD3">
            <w:pPr>
              <w:ind w:firstLine="0"/>
              <w:jc w:val="center"/>
              <w:rPr>
                <w:rFonts w:cs="Times New Roman"/>
                <w:noProof/>
                <w:sz w:val="20"/>
                <w:lang w:val="en-GB"/>
              </w:rPr>
            </w:pPr>
            <w:r w:rsidRPr="00743AC4">
              <w:rPr>
                <w:rFonts w:cs="Times New Roman"/>
                <w:noProof/>
                <w:sz w:val="20"/>
                <w:lang w:val="en-GB"/>
              </w:rPr>
              <w:t xml:space="preserve">Sichei and Kinyondo </w:t>
            </w:r>
            <w:r w:rsidRPr="00743AC4">
              <w:rPr>
                <w:rFonts w:cs="Times New Roman"/>
                <w:noProof/>
                <w:sz w:val="20"/>
                <w:lang w:val="en-GB"/>
              </w:rPr>
              <w:fldChar w:fldCharType="begin" w:fldLock="1"/>
            </w:r>
            <w:r w:rsidRPr="00743AC4">
              <w:rPr>
                <w:rFonts w:cs="Times New Roman"/>
                <w:noProof/>
                <w:sz w:val="20"/>
                <w:lang w:val="en-GB"/>
              </w:rPr>
              <w:instrText>ADDIN CSL_CITATION {"citationItems":[{"id":"ITEM-1","itemData":{"ISSN":"0975-5853","abstract":"This study provides panel data evidence on the determinants of foreign direct investment (FDI) for a sample of 45 African countries over the period 1980 to 2009. Using dynamic panel data estimation techniques, the study identifies a number of factors that affect FDI flows in Africa, including, agglomeration economies, natural resources, real GDP growth, and international investment agreements. The study also shows that the Africa-wide environment has become more conducive to FDI since the year 2000. Abstract-This study provides panel data evidence on the determinants of foreign direct investment (FDI) for a sample of 45 African countries over the period 1980 to 2009. Using dynamic panel data estimation techniques, the study identifies a number of factors that affect FDI flows in Africa, including, agglomeration economies, natural resources, real GDP growth, and international investment agreements. The study also shows that the Africa-wide environment has become more conducive to FDI since the year 2000.","author":[{"dropping-particle":"","family":"Sichei","given":"Moses Muse","non-dropping-particle":"","parse-names":false,"suffix":""},{"dropping-particle":"","family":"Kinyondo","given":"Godbertha","non-dropping-particle":"","parse-names":false,"suffix":""}],"container-title":"Global Journals Inc","id":"ITEM-1","issue":"18","issued":{"date-parts":[["2012"]]},"title":"Determinants of foreign direct investment in Africa: A panel data analysis","type":"article-journal","volume":"12"},"suppress-author":1,"uris":["http://www.mendeley.com/documents/?uuid=69db71c2-1e19-33b0-9d44-86f54210d566"]}],"mendeley":{"formattedCitation":"(2012)","plainTextFormattedCitation":"(2012)","previouslyFormattedCitation":"(2012)"},"properties":{"noteIndex":0},"schema":"https://github.com/citation-style-language/schema/raw/master/csl-citation.json"}</w:instrText>
            </w:r>
            <w:r w:rsidRPr="00743AC4">
              <w:rPr>
                <w:rFonts w:cs="Times New Roman"/>
                <w:noProof/>
                <w:sz w:val="20"/>
                <w:lang w:val="en-GB"/>
              </w:rPr>
              <w:fldChar w:fldCharType="separate"/>
            </w:r>
            <w:r w:rsidRPr="00743AC4">
              <w:rPr>
                <w:rFonts w:cs="Times New Roman"/>
                <w:noProof/>
                <w:sz w:val="20"/>
                <w:lang w:val="en-GB"/>
              </w:rPr>
              <w:t>(2012)</w:t>
            </w:r>
            <w:r w:rsidRPr="00743AC4">
              <w:rPr>
                <w:rFonts w:cs="Times New Roman"/>
                <w:noProof/>
                <w:sz w:val="20"/>
                <w:lang w:val="en-GB"/>
              </w:rPr>
              <w:fldChar w:fldCharType="end"/>
            </w:r>
            <w:r w:rsidRPr="00743AC4">
              <w:rPr>
                <w:rFonts w:cs="Times New Roman"/>
                <w:noProof/>
                <w:sz w:val="20"/>
                <w:lang w:val="en-GB"/>
              </w:rPr>
              <w:t xml:space="preserve">, Chiatchoua and Pegou </w:t>
            </w:r>
            <w:r w:rsidRPr="00743AC4">
              <w:rPr>
                <w:rFonts w:cs="Times New Roman"/>
                <w:noProof/>
                <w:sz w:val="20"/>
                <w:lang w:val="en-GB"/>
              </w:rPr>
              <w:fldChar w:fldCharType="begin" w:fldLock="1"/>
            </w:r>
            <w:r w:rsidRPr="00743AC4">
              <w:rPr>
                <w:rFonts w:cs="Times New Roman"/>
                <w:noProof/>
                <w:sz w:val="20"/>
                <w:lang w:val="en-GB"/>
              </w:rPr>
              <w:instrText>ADDIN CSL_CITATION {"citationItems":[{"id":"ITEM-1","itemData":{"author":[{"dropping-particle":"","family":"Chiatchoua","given":"Cesaire","non-dropping-particle":"","parse-names":false,"suffix":""},{"dropping-particle":"","family":"Pegou","given":"Sibe Jacob","non-dropping-particle":"","parse-names":false,"suffix":""}],"container-title":"Análisis Económico","id":"ITEM-1","issue":"73","issued":{"date-parts":[["2015"]]},"page":"89-109","title":"Foreing direct investment in Sub- Saharan Africa ( SSA): An opportunity for New Developed Countries ( NDC )","type":"article-journal","volume":"30"},"suppress-author":1,"uris":["http://www.mendeley.com/documents/?uuid=fa68247d-e908-4fb6-8ad4-b08af487cf3d"]}],"mendeley":{"formattedCitation":"(2015)","plainTextFormattedCitation":"(2015)","previouslyFormattedCitation":"(2015)"},"properties":{"noteIndex":0},"schema":"https://github.com/citation-style-language/schema/raw/master/csl-citation.json"}</w:instrText>
            </w:r>
            <w:r w:rsidRPr="00743AC4">
              <w:rPr>
                <w:rFonts w:cs="Times New Roman"/>
                <w:noProof/>
                <w:sz w:val="20"/>
                <w:lang w:val="en-GB"/>
              </w:rPr>
              <w:fldChar w:fldCharType="separate"/>
            </w:r>
            <w:r w:rsidRPr="00743AC4">
              <w:rPr>
                <w:rFonts w:cs="Times New Roman"/>
                <w:noProof/>
                <w:sz w:val="20"/>
                <w:lang w:val="en-GB"/>
              </w:rPr>
              <w:t>(2015)</w:t>
            </w:r>
            <w:r w:rsidRPr="00743AC4">
              <w:rPr>
                <w:rFonts w:cs="Times New Roman"/>
                <w:noProof/>
                <w:sz w:val="20"/>
                <w:lang w:val="en-GB"/>
              </w:rPr>
              <w:fldChar w:fldCharType="end"/>
            </w:r>
            <w:r w:rsidRPr="00743AC4">
              <w:rPr>
                <w:rFonts w:cs="Times New Roman"/>
                <w:noProof/>
                <w:sz w:val="20"/>
                <w:lang w:val="en-GB"/>
              </w:rPr>
              <w:t xml:space="preserve">, Bekana </w:t>
            </w:r>
            <w:r w:rsidRPr="00743AC4">
              <w:rPr>
                <w:rFonts w:cs="Times New Roman"/>
                <w:noProof/>
                <w:sz w:val="20"/>
                <w:lang w:val="en-GB"/>
              </w:rPr>
              <w:fldChar w:fldCharType="begin" w:fldLock="1"/>
            </w:r>
            <w:r w:rsidRPr="00743AC4">
              <w:rPr>
                <w:rFonts w:cs="Times New Roman"/>
                <w:noProof/>
                <w:sz w:val="20"/>
                <w:lang w:val="en-GB"/>
              </w:rPr>
              <w:instrText>ADDIN CSL_CITATION {"citationItems":[{"id":"ITEM-1","itemData":{"DOI":"10.1353/jda.2016.0002","abstract":"The hub of this study is investigating the forces behind the foreign direct investment inflow to Ethiopian economy in the long run as well as in the short run. To this end, the researcher has reviewed theoretical explanations relating to the determinants of foreign direct investment. The investigator has also reviewed relevant empirical literature pertaining to the determinants of foreign direct investment in the context of developing and developed countries and Ethiopia in particular. The review of the literature and the context analysis has culminated with a fundamental question what are the major determinants of foreign direct investment inflows in Ethiopia in both the long run and the short run? Methodologically, the researcher adopted empirical and quantitative analysis. To this end, a time series model was developed based on the critical synthesis of theoretical and empirical literature on foreign direct investment. The model is estimated using error correction model(ECM) formulation for the period 1991 to 2013 using annual data from World Bank world development indicators report after co-integrating relationship is proved with the Dickey Fuller residual based unit root tests. The tests for stationarity before the model developed was estimated proved that the variables in the model suffer from mixed order of co-integration at levels and hence the variables were differenced so as to alleviate that problem of mixed order cointegration. The result revealed that the determinants of foreign direct investment inflow are found to be consistent in the short and long run models. The most important forces behind foreign direct investment are found to be the GDP per capital, GDP growth rate, real interest rates, inflation rate, gross capital formation, adult literacy rate, Labor force growth rate, telephone lines per 1000 people and official exchange rate. In both models, Export of goods and services, and energy consumption per capita in transport sector are found to have insignificant impact on foreign direct investment inflow to Ethiopia. The policy implication of the result is that policy makers need to put in place policies congenial to pursue economic growth, macro-economic stability, human capital formation and fixed capital formation for attraction of foreign direct investment. [ABSTRACT FROM AUTHOR]","author":[{"dropping-particle":"","family":"Bekana","given":"Dejene Mamo","non-dropping-particle":"","parse-names":false,"suffix":""}],"container-title":"The Journal of Developing Areas","id":"ITEM-1","issue":"1","issued":{"date-parts":[["2016"]]},"page":"141-155","title":"Determinants of foreign direct investment in Ethiopia; time series evidence from 1991-2013","type":"article-journal","volume":"50"},"suppress-author":1,"uris":["http://www.mendeley.com/documents/?uuid=42bdd09c-6de8-4f02-9ed3-962c661c6d44"]}],"mendeley":{"formattedCitation":"(2016)","plainTextFormattedCitation":"(2016)","previouslyFormattedCitation":"(2016)"},"properties":{"noteIndex":0},"schema":"https://github.com/citation-style-language/schema/raw/master/csl-citation.json"}</w:instrText>
            </w:r>
            <w:r w:rsidRPr="00743AC4">
              <w:rPr>
                <w:rFonts w:cs="Times New Roman"/>
                <w:noProof/>
                <w:sz w:val="20"/>
                <w:lang w:val="en-GB"/>
              </w:rPr>
              <w:fldChar w:fldCharType="separate"/>
            </w:r>
            <w:r w:rsidRPr="00743AC4">
              <w:rPr>
                <w:rFonts w:cs="Times New Roman"/>
                <w:noProof/>
                <w:sz w:val="20"/>
                <w:lang w:val="en-GB"/>
              </w:rPr>
              <w:t>(2016)</w:t>
            </w:r>
            <w:r w:rsidRPr="00743AC4">
              <w:rPr>
                <w:rFonts w:cs="Times New Roman"/>
                <w:noProof/>
                <w:sz w:val="20"/>
                <w:lang w:val="en-GB"/>
              </w:rPr>
              <w:fldChar w:fldCharType="end"/>
            </w:r>
            <w:r w:rsidRPr="00743AC4">
              <w:rPr>
                <w:rFonts w:cs="Times New Roman"/>
                <w:noProof/>
                <w:sz w:val="20"/>
                <w:lang w:val="en-GB"/>
              </w:rPr>
              <w:t>.</w:t>
            </w:r>
          </w:p>
        </w:tc>
      </w:tr>
      <w:tr w:rsidR="009973A2" w:rsidRPr="00743AC4" w:rsidTr="00C96CD3">
        <w:trPr>
          <w:jc w:val="center"/>
        </w:trPr>
        <w:tc>
          <w:tcPr>
            <w:tcW w:w="0" w:type="auto"/>
            <w:vAlign w:val="center"/>
          </w:tcPr>
          <w:p w:rsidR="009973A2" w:rsidRPr="00743AC4" w:rsidRDefault="009973A2" w:rsidP="00C96CD3">
            <w:pPr>
              <w:ind w:firstLine="0"/>
              <w:jc w:val="left"/>
              <w:rPr>
                <w:rFonts w:cs="Times New Roman"/>
                <w:noProof/>
                <w:sz w:val="20"/>
                <w:lang w:val="en-GB"/>
              </w:rPr>
            </w:pPr>
            <w:r w:rsidRPr="00743AC4">
              <w:rPr>
                <w:rFonts w:cs="Times New Roman"/>
                <w:noProof/>
                <w:sz w:val="20"/>
                <w:lang w:val="en-GB"/>
              </w:rPr>
              <w:t>Natural resources</w:t>
            </w:r>
          </w:p>
        </w:tc>
        <w:tc>
          <w:tcPr>
            <w:tcW w:w="0" w:type="auto"/>
            <w:vAlign w:val="center"/>
          </w:tcPr>
          <w:p w:rsidR="009973A2" w:rsidRPr="00743AC4" w:rsidRDefault="009973A2" w:rsidP="00C96CD3">
            <w:pPr>
              <w:ind w:firstLine="0"/>
              <w:jc w:val="center"/>
              <w:rPr>
                <w:rFonts w:cs="Times New Roman"/>
                <w:noProof/>
                <w:sz w:val="20"/>
                <w:lang w:val="en-GB"/>
              </w:rPr>
            </w:pPr>
            <w:r w:rsidRPr="00743AC4">
              <w:rPr>
                <w:rFonts w:cs="Times New Roman"/>
                <w:noProof/>
                <w:sz w:val="20"/>
                <w:lang w:val="en-GB"/>
              </w:rPr>
              <w:t xml:space="preserve">Asiedu </w:t>
            </w:r>
            <w:r w:rsidRPr="00743AC4">
              <w:rPr>
                <w:rFonts w:cs="Times New Roman"/>
                <w:noProof/>
                <w:sz w:val="20"/>
                <w:lang w:val="en-GB"/>
              </w:rPr>
              <w:fldChar w:fldCharType="begin" w:fldLock="1"/>
            </w:r>
            <w:r w:rsidRPr="00743AC4">
              <w:rPr>
                <w:rFonts w:cs="Times New Roman"/>
                <w:noProof/>
                <w:sz w:val="20"/>
                <w:lang w:val="en-GB"/>
              </w:rPr>
              <w:instrText>ADDIN CSL_CITATION {"citationItems":[{"id":"ITEM-1","itemData":{"DOI":"10.1016/S0305-750X(01)00100-0","author":[{"dropping-particle":"","family":"Asiedu","given":"Elizabeth","non-dropping-particle":"","parse-names":false,"suffix":""}],"container-title":"World Development","id":"ITEM-1","issue":"1","issued":{"date-parts":[["2002"]]},"page":"107-119","title":"On the determinants of foreign direct investments to developing countries: Is Africa different?","type":"article-journal","volume":"30"},"suppress-author":1,"uris":["http://www.mendeley.com/documents/?uuid=fe8feb33-4e14-4f4c-a867-5c72920b9233"]}],"mendeley":{"formattedCitation":"(2002)","plainTextFormattedCitation":"(2002)","previouslyFormattedCitation":"(2002)"},"properties":{"noteIndex":0},"schema":"https://github.com/citation-style-language/schema/raw/master/csl-citation.json"}</w:instrText>
            </w:r>
            <w:r w:rsidRPr="00743AC4">
              <w:rPr>
                <w:rFonts w:cs="Times New Roman"/>
                <w:noProof/>
                <w:sz w:val="20"/>
                <w:lang w:val="en-GB"/>
              </w:rPr>
              <w:fldChar w:fldCharType="separate"/>
            </w:r>
            <w:r w:rsidRPr="00743AC4">
              <w:rPr>
                <w:rFonts w:cs="Times New Roman"/>
                <w:noProof/>
                <w:sz w:val="20"/>
                <w:lang w:val="en-GB"/>
              </w:rPr>
              <w:t>(2002)</w:t>
            </w:r>
            <w:r w:rsidRPr="00743AC4">
              <w:rPr>
                <w:rFonts w:cs="Times New Roman"/>
                <w:noProof/>
                <w:sz w:val="20"/>
                <w:lang w:val="en-GB"/>
              </w:rPr>
              <w:fldChar w:fldCharType="end"/>
            </w:r>
            <w:r w:rsidRPr="00743AC4">
              <w:rPr>
                <w:rFonts w:cs="Times New Roman"/>
                <w:noProof/>
                <w:sz w:val="20"/>
                <w:lang w:val="en-GB"/>
              </w:rPr>
              <w:t xml:space="preserve">, Asiedu </w:t>
            </w:r>
            <w:r w:rsidRPr="00743AC4">
              <w:rPr>
                <w:rFonts w:cs="Times New Roman"/>
                <w:noProof/>
                <w:sz w:val="20"/>
                <w:lang w:val="en-GB"/>
              </w:rPr>
              <w:fldChar w:fldCharType="begin" w:fldLock="1"/>
            </w:r>
            <w:r w:rsidRPr="00743AC4">
              <w:rPr>
                <w:rFonts w:cs="Times New Roman"/>
                <w:noProof/>
                <w:sz w:val="20"/>
                <w:lang w:val="en-GB"/>
              </w:rPr>
              <w:instrText>ADDIN CSL_CITATION {"citationItems":[{"id":"ITEM-1","itemData":{"DOI":"10.2139/ssrn.717361","ISSN":"1556-5068","author":[{"dropping-particle":"","family":"Asiedu","given":"Elizabeth","non-dropping-particle":"","parse-names":false,"suffix":""}],"container-title":"The World Economy","id":"ITEM-1","issue":"1","issued":{"date-parts":[["2006"]]},"page":"63-77","title":"Foreign direct investment in Africa: The role of natural resources, market size, government policy, institutions and political instability","type":"article-journal","volume":"29"},"suppress-author":1,"uris":["http://www.mendeley.com/documents/?uuid=e676ec88-1d9d-4db2-9e71-c8fb574b7b03"]}],"mendeley":{"formattedCitation":"(2006)","plainTextFormattedCitation":"(2006)","previouslyFormattedCitation":"(2006)"},"properties":{"noteIndex":0},"schema":"https://github.com/citation-style-language/schema/raw/master/csl-citation.json"}</w:instrText>
            </w:r>
            <w:r w:rsidRPr="00743AC4">
              <w:rPr>
                <w:rFonts w:cs="Times New Roman"/>
                <w:noProof/>
                <w:sz w:val="20"/>
                <w:lang w:val="en-GB"/>
              </w:rPr>
              <w:fldChar w:fldCharType="separate"/>
            </w:r>
            <w:r w:rsidRPr="00743AC4">
              <w:rPr>
                <w:rFonts w:cs="Times New Roman"/>
                <w:noProof/>
                <w:sz w:val="20"/>
                <w:lang w:val="en-GB"/>
              </w:rPr>
              <w:t>(2006)</w:t>
            </w:r>
            <w:r w:rsidRPr="00743AC4">
              <w:rPr>
                <w:rFonts w:cs="Times New Roman"/>
                <w:noProof/>
                <w:sz w:val="20"/>
                <w:lang w:val="en-GB"/>
              </w:rPr>
              <w:fldChar w:fldCharType="end"/>
            </w:r>
            <w:r w:rsidRPr="00743AC4">
              <w:rPr>
                <w:rFonts w:cs="Times New Roman"/>
                <w:noProof/>
                <w:sz w:val="20"/>
                <w:lang w:val="en-GB"/>
              </w:rPr>
              <w:t xml:space="preserve">, Suleinman et al. </w:t>
            </w:r>
            <w:r w:rsidRPr="00743AC4">
              <w:rPr>
                <w:rFonts w:cs="Times New Roman"/>
                <w:noProof/>
                <w:sz w:val="20"/>
                <w:lang w:val="en-GB"/>
              </w:rPr>
              <w:fldChar w:fldCharType="begin" w:fldLock="1"/>
            </w:r>
            <w:r w:rsidRPr="00743AC4">
              <w:rPr>
                <w:rFonts w:cs="Times New Roman"/>
                <w:noProof/>
                <w:sz w:val="20"/>
                <w:lang w:val="en-GB"/>
              </w:rPr>
              <w:instrText>ADDIN CSL_CITATION {"citationItems":[{"id":"ITEM-1","itemData":{"abstract":"this study examines the determinants of Foreign direct Investment (FdI) in southern africa Custom union (saCu) countries. the study employed panel data from the period 1990-2010 and used pooled OLS as the main estimation method. The findings reveal that market size, natural resource availability and trade openness are positive and significant determinants of FDI for the SACU member countries. Therefore, these countries should undertake more agreements in trade partnership and should reform investment policy to attract more foreign inflow into SACU countries in the long run.","author":[{"dropping-particle":"","family":"Suleinman","given":"NaJat Nassor","non-dropping-particle":"","parse-names":false,"suffix":""},{"dropping-particle":"","family":"Kaliappa","given":"shivee ranjanee","non-dropping-particle":"","parse-names":false,"suffix":""},{"dropping-particle":"","family":"Ismail","given":"Normaz Wana","non-dropping-particle":"","parse-names":false,"suffix":""}],"container-title":"Journal of Economics and Management","id":"ITEM-1","issue":"1","issued":{"date-parts":[["2015"]]},"number-of-pages":"1-24","title":"Determinants of foreign direct investment: Empirical evidence from Southern Africa Customs Union (SACU) countries","type":"report","volume":"9"},"suppress-author":1,"uris":["http://www.mendeley.com/documents/?uuid=637b9119-8a2a-3821-956e-c67d34e703d6"]}],"mendeley":{"formattedCitation":"(2015)","plainTextFormattedCitation":"(2015)","previouslyFormattedCitation":"(2015)"},"properties":{"noteIndex":0},"schema":"https://github.com/citation-style-language/schema/raw/master/csl-citation.json"}</w:instrText>
            </w:r>
            <w:r w:rsidRPr="00743AC4">
              <w:rPr>
                <w:rFonts w:cs="Times New Roman"/>
                <w:noProof/>
                <w:sz w:val="20"/>
                <w:lang w:val="en-GB"/>
              </w:rPr>
              <w:fldChar w:fldCharType="separate"/>
            </w:r>
            <w:r w:rsidRPr="00743AC4">
              <w:rPr>
                <w:rFonts w:cs="Times New Roman"/>
                <w:noProof/>
                <w:sz w:val="20"/>
                <w:lang w:val="en-GB"/>
              </w:rPr>
              <w:t>(2015)</w:t>
            </w:r>
            <w:r w:rsidRPr="00743AC4">
              <w:rPr>
                <w:rFonts w:cs="Times New Roman"/>
                <w:noProof/>
                <w:sz w:val="20"/>
                <w:lang w:val="en-GB"/>
              </w:rPr>
              <w:fldChar w:fldCharType="end"/>
            </w:r>
            <w:r w:rsidRPr="00743AC4">
              <w:rPr>
                <w:rFonts w:cs="Times New Roman"/>
                <w:noProof/>
                <w:sz w:val="20"/>
                <w:lang w:val="en-GB"/>
              </w:rPr>
              <w:t xml:space="preserve">, Rodríguez-Pose and Cols </w:t>
            </w:r>
            <w:r w:rsidRPr="00743AC4">
              <w:rPr>
                <w:rFonts w:cs="Times New Roman"/>
                <w:noProof/>
                <w:sz w:val="20"/>
                <w:lang w:val="en-GB"/>
              </w:rPr>
              <w:fldChar w:fldCharType="begin" w:fldLock="1"/>
            </w:r>
            <w:r w:rsidRPr="00743AC4">
              <w:rPr>
                <w:rFonts w:cs="Times New Roman"/>
                <w:noProof/>
                <w:sz w:val="20"/>
                <w:lang w:val="en-GB"/>
              </w:rPr>
              <w:instrText>ADDIN CSL_CITATION {"citationItems":[{"id":"ITEM-1","itemData":{"DOI":"10.1111/rsp3.12093","ISSN":"17577802","abstract":"Computer tomography (CT) perfusion imaging is widely used to calculate brain hemodynamic quantities such as Cerebral Blood Flow (CBF), Cerebral Blood Volume (CBV) and Mean Transit Time (MTT) that aid the diagnosis of acute stroke. Since perfusion source images contain more information than hemodynamic maps, good utilisation of the source images can lead to better understanding than the hemodynamic maps alone. Correlation-coefficient tests are used in our approach to measure the similarity between healthy tissue time-concentration curves and unknown curves. This information is then used to differentiate penumbra and dead tissues from healthy tissues. The goal of the segmentation is to fully utilize information in the perfusion source images. Our method directly identifies suspected abnormal areas from perfusion source images and then delivers a suggested segmentation of healthy, penumbra and dead tissue. This approach is designed to handle CT perfusion images, but it can also be used to detect lesion areas in MR perfusion images.","author":[{"dropping-particle":"","family":"Rodríguez-Pose","given":"Andrés","non-dropping-particle":"","parse-names":false,"suffix":""},{"dropping-particle":"","family":"Cols","given":"Gilles","non-dropping-particle":"","parse-names":false,"suffix":""}],"container-title":"Regional Science Policy and Practice","id":"ITEM-1","issue":"2","issued":{"date-parts":[["2017"]]},"page":"63-81","title":"The determinants of foreign direct investment in sub-Saharan Africa: What role for governance?","type":"article-journal","volume":"9"},"suppress-author":1,"uris":["http://www.mendeley.com/documents/?uuid=17e8fb9a-c3d6-4c0d-b6cf-6eb4fa5e55f5"]}],"mendeley":{"formattedCitation":"(2017)","plainTextFormattedCitation":"(2017)","previouslyFormattedCitation":"(2017)"},"properties":{"noteIndex":0},"schema":"https://github.com/citation-style-language/schema/raw/master/csl-citation.json"}</w:instrText>
            </w:r>
            <w:r w:rsidRPr="00743AC4">
              <w:rPr>
                <w:rFonts w:cs="Times New Roman"/>
                <w:noProof/>
                <w:sz w:val="20"/>
                <w:lang w:val="en-GB"/>
              </w:rPr>
              <w:fldChar w:fldCharType="separate"/>
            </w:r>
            <w:r w:rsidRPr="00743AC4">
              <w:rPr>
                <w:rFonts w:cs="Times New Roman"/>
                <w:noProof/>
                <w:sz w:val="20"/>
                <w:lang w:val="en-GB"/>
              </w:rPr>
              <w:t>(2017)</w:t>
            </w:r>
            <w:r w:rsidRPr="00743AC4">
              <w:rPr>
                <w:rFonts w:cs="Times New Roman"/>
                <w:noProof/>
                <w:sz w:val="20"/>
                <w:lang w:val="en-GB"/>
              </w:rPr>
              <w:fldChar w:fldCharType="end"/>
            </w:r>
            <w:r w:rsidRPr="00743AC4">
              <w:rPr>
                <w:rFonts w:cs="Times New Roman"/>
                <w:noProof/>
                <w:sz w:val="20"/>
                <w:lang w:val="en-GB"/>
              </w:rPr>
              <w:t>.</w:t>
            </w:r>
          </w:p>
        </w:tc>
        <w:tc>
          <w:tcPr>
            <w:tcW w:w="0" w:type="auto"/>
            <w:vAlign w:val="center"/>
          </w:tcPr>
          <w:p w:rsidR="009973A2" w:rsidRPr="00743AC4" w:rsidRDefault="009973A2" w:rsidP="00C96CD3">
            <w:pPr>
              <w:ind w:firstLine="0"/>
              <w:jc w:val="center"/>
              <w:rPr>
                <w:rFonts w:cs="Times New Roman"/>
                <w:noProof/>
                <w:sz w:val="20"/>
                <w:lang w:val="en-GB"/>
              </w:rPr>
            </w:pPr>
            <w:r w:rsidRPr="00743AC4">
              <w:rPr>
                <w:rFonts w:cs="Times New Roman"/>
                <w:noProof/>
                <w:sz w:val="20"/>
                <w:lang w:val="en-GB"/>
              </w:rPr>
              <w:t xml:space="preserve">Okafor et al. </w:t>
            </w:r>
            <w:r w:rsidRPr="00743AC4">
              <w:rPr>
                <w:rFonts w:cs="Times New Roman"/>
                <w:noProof/>
                <w:sz w:val="20"/>
                <w:lang w:val="en-GB"/>
              </w:rPr>
              <w:fldChar w:fldCharType="begin" w:fldLock="1"/>
            </w:r>
            <w:r w:rsidRPr="00743AC4">
              <w:rPr>
                <w:rFonts w:cs="Times New Roman"/>
                <w:noProof/>
                <w:sz w:val="20"/>
                <w:lang w:val="en-GB"/>
              </w:rPr>
              <w:instrText>ADDIN CSL_CITATION {"citationItems":[{"id":"ITEM-1","itemData":{"DOI":"10.1016/j.jpolmod.2015.07.003","ISSN":"01618938","abstract":"This study contributes to the FDI literature by investigating the impact of all four locational motives of FDI in Sub-Saharan African (SSA) countries for the period 1996-2010. To achieve this aim, panel data techniques (pooled OLS, fixed effects and GMM) were employed on a sample of SSA countries. The empirical results showed that efficiency and strategic asset seeking factors influenced FDI activities in SSA for the period investigated. Market size also influenced FDI however this was less robust to specifications. Surprisingly, FDI in SSA was not resource seeking. Furthermore, a statistical test confirmed structural and behavioural differences in FDI determinants between SSA sub-regional groups and when analysed separately, FDI in West and Central SSA was market and efficiency seeking while FDI in South and East Africa was best explained by efficiency seeking factors. Based on the empirical findings, a number of policy implications were derived. These policy implications include further implementation of policies targeted at increasing and sustaining trade liberalisation and trade diversification, control of corruption, credible upgrades and productive investments in infrastructure, and support for human capital accumulation as FDI is increasingly directed towards R&amp;D, innovation and strategic asset activities.","author":[{"dropping-particle":"","family":"Okafor","given":"Godwin","non-dropping-particle":"","parse-names":false,"suffix":""},{"dropping-particle":"","family":"Piesse","given":"Jenifer","non-dropping-particle":"","parse-names":false,"suffix":""},{"dropping-particle":"","family":"Webster","given":"Allan","non-dropping-particle":"","parse-names":false,"suffix":""}],"container-title":"Journal of Policy Modeling","id":"ITEM-1","issue":"5","issued":{"date-parts":[["2015"]]},"page":"875-890","publisher":"The Society for Policy Modeling","title":"The motives for inward FDI into Sub-Saharan African countries","type":"article-journal","volume":"37"},"suppress-author":1,"uris":["http://www.mendeley.com/documents/?uuid=87f01f67-c6ba-4652-87ac-84a3758b18a7"]}],"mendeley":{"formattedCitation":"(2015)","plainTextFormattedCitation":"(2015)","previouslyFormattedCitation":"(2015)"},"properties":{"noteIndex":0},"schema":"https://github.com/citation-style-language/schema/raw/master/csl-citation.json"}</w:instrText>
            </w:r>
            <w:r w:rsidRPr="00743AC4">
              <w:rPr>
                <w:rFonts w:cs="Times New Roman"/>
                <w:noProof/>
                <w:sz w:val="20"/>
                <w:lang w:val="en-GB"/>
              </w:rPr>
              <w:fldChar w:fldCharType="separate"/>
            </w:r>
            <w:r w:rsidRPr="00743AC4">
              <w:rPr>
                <w:rFonts w:cs="Times New Roman"/>
                <w:noProof/>
                <w:sz w:val="20"/>
                <w:lang w:val="en-GB"/>
              </w:rPr>
              <w:t>(2015)</w:t>
            </w:r>
            <w:r w:rsidRPr="00743AC4">
              <w:rPr>
                <w:rFonts w:cs="Times New Roman"/>
                <w:noProof/>
                <w:sz w:val="20"/>
                <w:lang w:val="en-GB"/>
              </w:rPr>
              <w:fldChar w:fldCharType="end"/>
            </w:r>
          </w:p>
        </w:tc>
        <w:tc>
          <w:tcPr>
            <w:tcW w:w="0" w:type="auto"/>
            <w:vAlign w:val="center"/>
          </w:tcPr>
          <w:p w:rsidR="009973A2" w:rsidRPr="00743AC4" w:rsidRDefault="009973A2" w:rsidP="00C96CD3">
            <w:pPr>
              <w:ind w:firstLine="0"/>
              <w:jc w:val="center"/>
              <w:rPr>
                <w:rFonts w:cs="Times New Roman"/>
                <w:noProof/>
                <w:sz w:val="20"/>
                <w:lang w:val="en-GB"/>
              </w:rPr>
            </w:pPr>
            <w:r w:rsidRPr="00743AC4">
              <w:rPr>
                <w:rFonts w:cs="Times New Roman"/>
                <w:noProof/>
                <w:sz w:val="20"/>
                <w:lang w:val="en-GB"/>
              </w:rPr>
              <w:t xml:space="preserve">Ezeoha and Ugwu </w:t>
            </w:r>
            <w:r w:rsidRPr="00743AC4">
              <w:rPr>
                <w:rFonts w:cs="Times New Roman"/>
                <w:noProof/>
                <w:sz w:val="20"/>
                <w:lang w:val="en-GB"/>
              </w:rPr>
              <w:fldChar w:fldCharType="begin" w:fldLock="1"/>
            </w:r>
            <w:r w:rsidRPr="00743AC4">
              <w:rPr>
                <w:rFonts w:cs="Times New Roman"/>
                <w:noProof/>
                <w:sz w:val="20"/>
                <w:lang w:val="en-GB"/>
              </w:rPr>
              <w:instrText>ADDIN CSL_CITATION {"citationItems":[{"id":"ITEM-1","itemData":{"DOI":"10.1111/1467-8268.12161","author":[{"dropping-particle":"","family":"Ezeoha","given":"Abel Ebeh","non-dropping-particle":"","parse-names":false,"suffix":""},{"dropping-particle":"","family":"Ugwu","given":"John Okereke","non-dropping-particle":"","parse-names":false,"suffix":""}],"container-title":"African Development Reviw","id":"ITEM-1","issue":"4","issued":{"date-parts":[["2015"]]},"page":"456-468","title":"Interactive impact of armed conflicts on foreign direct investments in Africa","type":"article-journal","volume":"27"},"suppress-author":1,"uris":["http://www.mendeley.com/documents/?uuid=ad2272bb-8bb7-4b3b-ad61-4784b6ceb6b9"]}],"mendeley":{"formattedCitation":"(2015)","plainTextFormattedCitation":"(2015)","previouslyFormattedCitation":"(2015)"},"properties":{"noteIndex":0},"schema":"https://github.com/citation-style-language/schema/raw/master/csl-citation.json"}</w:instrText>
            </w:r>
            <w:r w:rsidRPr="00743AC4">
              <w:rPr>
                <w:rFonts w:cs="Times New Roman"/>
                <w:noProof/>
                <w:sz w:val="20"/>
                <w:lang w:val="en-GB"/>
              </w:rPr>
              <w:fldChar w:fldCharType="separate"/>
            </w:r>
            <w:r w:rsidRPr="00743AC4">
              <w:rPr>
                <w:rFonts w:cs="Times New Roman"/>
                <w:noProof/>
                <w:sz w:val="20"/>
                <w:lang w:val="en-GB"/>
              </w:rPr>
              <w:t>(2015)</w:t>
            </w:r>
            <w:r w:rsidRPr="00743AC4">
              <w:rPr>
                <w:rFonts w:cs="Times New Roman"/>
                <w:noProof/>
                <w:sz w:val="20"/>
                <w:lang w:val="en-GB"/>
              </w:rPr>
              <w:fldChar w:fldCharType="end"/>
            </w:r>
          </w:p>
        </w:tc>
      </w:tr>
      <w:tr w:rsidR="009973A2" w:rsidRPr="00743AC4" w:rsidTr="00C96CD3">
        <w:trPr>
          <w:jc w:val="center"/>
        </w:trPr>
        <w:tc>
          <w:tcPr>
            <w:tcW w:w="0" w:type="auto"/>
            <w:vAlign w:val="center"/>
          </w:tcPr>
          <w:p w:rsidR="009973A2" w:rsidRPr="00743AC4" w:rsidRDefault="009973A2" w:rsidP="00C96CD3">
            <w:pPr>
              <w:ind w:firstLine="0"/>
              <w:jc w:val="left"/>
              <w:rPr>
                <w:rFonts w:cs="Times New Roman"/>
                <w:noProof/>
                <w:sz w:val="20"/>
                <w:lang w:val="en-GB"/>
              </w:rPr>
            </w:pPr>
            <w:r w:rsidRPr="00743AC4">
              <w:rPr>
                <w:rFonts w:cs="Times New Roman"/>
                <w:noProof/>
                <w:sz w:val="20"/>
                <w:lang w:val="en-GB"/>
              </w:rPr>
              <w:lastRenderedPageBreak/>
              <w:t>Human capital</w:t>
            </w:r>
          </w:p>
        </w:tc>
        <w:tc>
          <w:tcPr>
            <w:tcW w:w="0" w:type="auto"/>
            <w:vAlign w:val="center"/>
          </w:tcPr>
          <w:p w:rsidR="009973A2" w:rsidRPr="00743AC4" w:rsidRDefault="009973A2" w:rsidP="00C96CD3">
            <w:pPr>
              <w:ind w:firstLine="0"/>
              <w:jc w:val="center"/>
              <w:rPr>
                <w:rFonts w:cs="Times New Roman"/>
                <w:noProof/>
                <w:sz w:val="20"/>
                <w:lang w:val="en-GB"/>
              </w:rPr>
            </w:pPr>
            <w:r w:rsidRPr="00743AC4">
              <w:rPr>
                <w:rFonts w:cs="Times New Roman"/>
                <w:noProof/>
                <w:sz w:val="20"/>
                <w:lang w:val="en-GB"/>
              </w:rPr>
              <w:t xml:space="preserve">Asiedu </w:t>
            </w:r>
            <w:r w:rsidRPr="00743AC4">
              <w:rPr>
                <w:rFonts w:cs="Times New Roman"/>
                <w:noProof/>
                <w:sz w:val="20"/>
                <w:lang w:val="en-GB"/>
              </w:rPr>
              <w:fldChar w:fldCharType="begin" w:fldLock="1"/>
            </w:r>
            <w:r w:rsidRPr="00743AC4">
              <w:rPr>
                <w:rFonts w:cs="Times New Roman"/>
                <w:noProof/>
                <w:sz w:val="20"/>
                <w:lang w:val="en-GB"/>
              </w:rPr>
              <w:instrText>ADDIN CSL_CITATION {"citationItems":[{"id":"ITEM-1","itemData":{"DOI":"10.2139/ssrn.717361","ISSN":"1556-5068","author":[{"dropping-particle":"","family":"Asiedu","given":"Elizabeth","non-dropping-particle":"","parse-names":false,"suffix":""}],"container-title":"The World Economy","id":"ITEM-1","issue":"1","issued":{"date-parts":[["2006"]]},"page":"63-77","title":"Foreign direct investment in Africa: The role of natural resources, market size, government policy, institutions and political instability","type":"article-journal","volume":"29"},"suppress-author":1,"uris":["http://www.mendeley.com/documents/?uuid=e676ec88-1d9d-4db2-9e71-c8fb574b7b03"]}],"mendeley":{"formattedCitation":"(2006)","plainTextFormattedCitation":"(2006)","previouslyFormattedCitation":"(2006)"},"properties":{"noteIndex":0},"schema":"https://github.com/citation-style-language/schema/raw/master/csl-citation.json"}</w:instrText>
            </w:r>
            <w:r w:rsidRPr="00743AC4">
              <w:rPr>
                <w:rFonts w:cs="Times New Roman"/>
                <w:noProof/>
                <w:sz w:val="20"/>
                <w:lang w:val="en-GB"/>
              </w:rPr>
              <w:fldChar w:fldCharType="separate"/>
            </w:r>
            <w:r w:rsidRPr="00743AC4">
              <w:rPr>
                <w:rFonts w:cs="Times New Roman"/>
                <w:noProof/>
                <w:sz w:val="20"/>
                <w:lang w:val="en-GB"/>
              </w:rPr>
              <w:t>(2006)</w:t>
            </w:r>
            <w:r w:rsidRPr="00743AC4">
              <w:rPr>
                <w:rFonts w:cs="Times New Roman"/>
                <w:noProof/>
                <w:sz w:val="20"/>
                <w:lang w:val="en-GB"/>
              </w:rPr>
              <w:fldChar w:fldCharType="end"/>
            </w:r>
            <w:r w:rsidRPr="00743AC4">
              <w:rPr>
                <w:rFonts w:cs="Times New Roman"/>
                <w:noProof/>
                <w:sz w:val="20"/>
                <w:lang w:val="en-GB"/>
              </w:rPr>
              <w:t xml:space="preserve">, Okafor et al. </w:t>
            </w:r>
            <w:r w:rsidRPr="00743AC4">
              <w:rPr>
                <w:rFonts w:cs="Times New Roman"/>
                <w:noProof/>
                <w:sz w:val="20"/>
                <w:lang w:val="en-GB"/>
              </w:rPr>
              <w:fldChar w:fldCharType="begin" w:fldLock="1"/>
            </w:r>
            <w:r w:rsidRPr="00743AC4">
              <w:rPr>
                <w:rFonts w:cs="Times New Roman"/>
                <w:noProof/>
                <w:sz w:val="20"/>
                <w:lang w:val="en-GB"/>
              </w:rPr>
              <w:instrText>ADDIN CSL_CITATION {"citationItems":[{"id":"ITEM-1","itemData":{"DOI":"10.1016/j.jpolmod.2015.07.003","ISSN":"01618938","abstract":"This study contributes to the FDI literature by investigating the impact of all four locational motives of FDI in Sub-Saharan African (SSA) countries for the period 1996-2010. To achieve this aim, panel data techniques (pooled OLS, fixed effects and GMM) were employed on a sample of SSA countries. The empirical results showed that efficiency and strategic asset seeking factors influenced FDI activities in SSA for the period investigated. Market size also influenced FDI however this was less robust to specifications. Surprisingly, FDI in SSA was not resource seeking. Furthermore, a statistical test confirmed structural and behavioural differences in FDI determinants between SSA sub-regional groups and when analysed separately, FDI in West and Central SSA was market and efficiency seeking while FDI in South and East Africa was best explained by efficiency seeking factors. Based on the empirical findings, a number of policy implications were derived. These policy implications include further implementation of policies targeted at increasing and sustaining trade liberalisation and trade diversification, control of corruption, credible upgrades and productive investments in infrastructure, and support for human capital accumulation as FDI is increasingly directed towards R&amp;D, innovation and strategic asset activities.","author":[{"dropping-particle":"","family":"Okafor","given":"Godwin","non-dropping-particle":"","parse-names":false,"suffix":""},{"dropping-particle":"","family":"Piesse","given":"Jenifer","non-dropping-particle":"","parse-names":false,"suffix":""},{"dropping-particle":"","family":"Webster","given":"Allan","non-dropping-particle":"","parse-names":false,"suffix":""}],"container-title":"Journal of Policy Modeling","id":"ITEM-1","issue":"5","issued":{"date-parts":[["2015"]]},"page":"875-890","publisher":"The Society for Policy Modeling","title":"The motives for inward FDI into Sub-Saharan African countries","type":"article-journal","volume":"37"},"suppress-author":1,"uris":["http://www.mendeley.com/documents/?uuid=87f01f67-c6ba-4652-87ac-84a3758b18a7"]}],"mendeley":{"formattedCitation":"(2015)","plainTextFormattedCitation":"(2015)","previouslyFormattedCitation":"(2015)"},"properties":{"noteIndex":0},"schema":"https://github.com/citation-style-language/schema/raw/master/csl-citation.json"}</w:instrText>
            </w:r>
            <w:r w:rsidRPr="00743AC4">
              <w:rPr>
                <w:rFonts w:cs="Times New Roman"/>
                <w:noProof/>
                <w:sz w:val="20"/>
                <w:lang w:val="en-GB"/>
              </w:rPr>
              <w:fldChar w:fldCharType="separate"/>
            </w:r>
            <w:r w:rsidRPr="00743AC4">
              <w:rPr>
                <w:rFonts w:cs="Times New Roman"/>
                <w:noProof/>
                <w:sz w:val="20"/>
                <w:lang w:val="en-GB"/>
              </w:rPr>
              <w:t>(2015)</w:t>
            </w:r>
            <w:r w:rsidRPr="00743AC4">
              <w:rPr>
                <w:rFonts w:cs="Times New Roman"/>
                <w:noProof/>
                <w:sz w:val="20"/>
                <w:lang w:val="en-GB"/>
              </w:rPr>
              <w:fldChar w:fldCharType="end"/>
            </w:r>
            <w:r w:rsidRPr="00743AC4">
              <w:rPr>
                <w:rFonts w:cs="Times New Roman"/>
                <w:noProof/>
                <w:sz w:val="20"/>
                <w:lang w:val="en-GB"/>
              </w:rPr>
              <w:t>, Cleeve et al.</w:t>
            </w:r>
            <w:r w:rsidRPr="00743AC4">
              <w:rPr>
                <w:rFonts w:cs="Times New Roman"/>
                <w:noProof/>
                <w:sz w:val="20"/>
                <w:lang w:val="en-GB"/>
              </w:rPr>
              <w:fldChar w:fldCharType="begin" w:fldLock="1"/>
            </w:r>
            <w:r w:rsidRPr="00743AC4">
              <w:rPr>
                <w:rFonts w:cs="Times New Roman"/>
                <w:noProof/>
                <w:sz w:val="20"/>
                <w:lang w:val="en-GB"/>
              </w:rPr>
              <w:instrText>ADDIN CSL_CITATION {"citationItems":[{"id":"ITEM-1","itemData":{"DOI":"10.1016/j.worlddev.2015.04.003","ISSN":"18735991","abstract":"This study assesses the role of human capital (HK) on FDI inflows to sub-Saharan Africa. It uses panel data for the period 1980-2012 to asses if changing skill needs influence FDI inflows. Several measures of HK are used to assess whether the quality of labor explains FDI flows over the study period. Various versions of an FDI model were estimated and the results show that all measures of HK have a significant influence on FDI, as are the traditional variables. There is no evidence of the increasing importance of HK on FDI over time, probably reflecting the type of FDI flowing into SSA.","author":[{"dropping-particle":"","family":"Cleeve","given":"Emmanuel A.","non-dropping-particle":"","parse-names":false,"suffix":""},{"dropping-particle":"","family":"Debrah","given":"Yaw","non-dropping-particle":"","parse-names":false,"suffix":""},{"dropping-particle":"","family":"Yiheyis","given":"Zelealem","non-dropping-particle":"","parse-names":false,"suffix":""}],"container-title":"World Development","id":"ITEM-1","issued":{"date-parts":[["2015"]]},"page":"1-14","publisher":"Elsevier Ltd","title":"Human capital and FDI inflow: An assessment of the african case","type":"article-journal","volume":"74"},"suppress-author":1,"uris":["http://www.mendeley.com/documents/?uuid=5824f7c5-6e45-42bc-8f8d-740a3a3a1e9c"]}],"mendeley":{"formattedCitation":"(2015)","plainTextFormattedCitation":"(2015)","previouslyFormattedCitation":"(2015)"},"properties":{"noteIndex":0},"schema":"https://github.com/citation-style-language/schema/raw/master/csl-citation.json"}</w:instrText>
            </w:r>
            <w:r w:rsidRPr="00743AC4">
              <w:rPr>
                <w:rFonts w:cs="Times New Roman"/>
                <w:noProof/>
                <w:sz w:val="20"/>
                <w:lang w:val="en-GB"/>
              </w:rPr>
              <w:fldChar w:fldCharType="separate"/>
            </w:r>
            <w:r w:rsidRPr="00743AC4">
              <w:rPr>
                <w:rFonts w:cs="Times New Roman"/>
                <w:noProof/>
                <w:sz w:val="20"/>
                <w:lang w:val="en-GB"/>
              </w:rPr>
              <w:t>(2015)</w:t>
            </w:r>
            <w:r w:rsidRPr="00743AC4">
              <w:rPr>
                <w:rFonts w:cs="Times New Roman"/>
                <w:noProof/>
                <w:sz w:val="20"/>
                <w:lang w:val="en-GB"/>
              </w:rPr>
              <w:fldChar w:fldCharType="end"/>
            </w:r>
            <w:r w:rsidRPr="00743AC4">
              <w:rPr>
                <w:rFonts w:cs="Times New Roman"/>
                <w:noProof/>
                <w:sz w:val="20"/>
                <w:lang w:val="en-GB"/>
              </w:rPr>
              <w:t xml:space="preserve">, Bekana </w:t>
            </w:r>
            <w:r w:rsidRPr="00743AC4">
              <w:rPr>
                <w:rFonts w:cs="Times New Roman"/>
                <w:noProof/>
                <w:sz w:val="20"/>
                <w:lang w:val="en-GB"/>
              </w:rPr>
              <w:fldChar w:fldCharType="begin" w:fldLock="1"/>
            </w:r>
            <w:r w:rsidRPr="00743AC4">
              <w:rPr>
                <w:rFonts w:cs="Times New Roman"/>
                <w:noProof/>
                <w:sz w:val="20"/>
                <w:lang w:val="en-GB"/>
              </w:rPr>
              <w:instrText>ADDIN CSL_CITATION {"citationItems":[{"id":"ITEM-1","itemData":{"DOI":"10.1353/jda.2016.0002","abstract":"The hub of this study is investigating the forces behind the foreign direct investment inflow to Ethiopian economy in the long run as well as in the short run. To this end, the researcher has reviewed theoretical explanations relating to the determinants of foreign direct investment. The investigator has also reviewed relevant empirical literature pertaining to the determinants of foreign direct investment in the context of developing and developed countries and Ethiopia in particular. The review of the literature and the context analysis has culminated with a fundamental question what are the major determinants of foreign direct investment inflows in Ethiopia in both the long run and the short run? Methodologically, the researcher adopted empirical and quantitative analysis. To this end, a time series model was developed based on the critical synthesis of theoretical and empirical literature on foreign direct investment. The model is estimated using error correction model(ECM) formulation for the period 1991 to 2013 using annual data from World Bank world development indicators report after co-integrating relationship is proved with the Dickey Fuller residual based unit root tests. The tests for stationarity before the model developed was estimated proved that the variables in the model suffer from mixed order of co-integration at levels and hence the variables were differenced so as to alleviate that problem of mixed order cointegration. The result revealed that the determinants of foreign direct investment inflow are found to be consistent in the short and long run models. The most important forces behind foreign direct investment are found to be the GDP per capital, GDP growth rate, real interest rates, inflation rate, gross capital formation, adult literacy rate, Labor force growth rate, telephone lines per 1000 people and official exchange rate. In both models, Export of goods and services, and energy consumption per capita in transport sector are found to have insignificant impact on foreign direct investment inflow to Ethiopia. The policy implication of the result is that policy makers need to put in place policies congenial to pursue economic growth, macro-economic stability, human capital formation and fixed capital formation for attraction of foreign direct investment. [ABSTRACT FROM AUTHOR]","author":[{"dropping-particle":"","family":"Bekana","given":"Dejene Mamo","non-dropping-particle":"","parse-names":false,"suffix":""}],"container-title":"The Journal of Developing Areas","id":"ITEM-1","issue":"1","issued":{"date-parts":[["2016"]]},"page":"141-155","title":"Determinants of foreign direct investment in Ethiopia; time series evidence from 1991-2013","type":"article-journal","volume":"50"},"suppress-author":1,"uris":["http://www.mendeley.com/documents/?uuid=42bdd09c-6de8-4f02-9ed3-962c661c6d44"]}],"mendeley":{"formattedCitation":"(2016)","plainTextFormattedCitation":"(2016)","previouslyFormattedCitation":"(2016)"},"properties":{"noteIndex":0},"schema":"https://github.com/citation-style-language/schema/raw/master/csl-citation.json"}</w:instrText>
            </w:r>
            <w:r w:rsidRPr="00743AC4">
              <w:rPr>
                <w:rFonts w:cs="Times New Roman"/>
                <w:noProof/>
                <w:sz w:val="20"/>
                <w:lang w:val="en-GB"/>
              </w:rPr>
              <w:fldChar w:fldCharType="separate"/>
            </w:r>
            <w:r w:rsidRPr="00743AC4">
              <w:rPr>
                <w:rFonts w:cs="Times New Roman"/>
                <w:noProof/>
                <w:sz w:val="20"/>
                <w:lang w:val="en-GB"/>
              </w:rPr>
              <w:t>(2016)</w:t>
            </w:r>
            <w:r w:rsidRPr="00743AC4">
              <w:rPr>
                <w:rFonts w:cs="Times New Roman"/>
                <w:noProof/>
                <w:sz w:val="20"/>
                <w:lang w:val="en-GB"/>
              </w:rPr>
              <w:fldChar w:fldCharType="end"/>
            </w:r>
            <w:r w:rsidRPr="00743AC4">
              <w:rPr>
                <w:rFonts w:cs="Times New Roman"/>
                <w:noProof/>
                <w:sz w:val="20"/>
                <w:lang w:val="en-GB"/>
              </w:rPr>
              <w:t>.</w:t>
            </w:r>
          </w:p>
        </w:tc>
        <w:tc>
          <w:tcPr>
            <w:tcW w:w="0" w:type="auto"/>
            <w:vAlign w:val="center"/>
          </w:tcPr>
          <w:p w:rsidR="009973A2" w:rsidRPr="00743AC4" w:rsidRDefault="009973A2" w:rsidP="00C96CD3">
            <w:pPr>
              <w:ind w:firstLine="0"/>
              <w:jc w:val="center"/>
              <w:rPr>
                <w:rFonts w:cs="Times New Roman"/>
                <w:noProof/>
                <w:sz w:val="20"/>
                <w:lang w:val="en-GB"/>
              </w:rPr>
            </w:pPr>
          </w:p>
        </w:tc>
        <w:tc>
          <w:tcPr>
            <w:tcW w:w="0" w:type="auto"/>
            <w:vAlign w:val="center"/>
          </w:tcPr>
          <w:p w:rsidR="009973A2" w:rsidRPr="00743AC4" w:rsidRDefault="009973A2" w:rsidP="00C96CD3">
            <w:pPr>
              <w:ind w:firstLine="0"/>
              <w:jc w:val="center"/>
              <w:rPr>
                <w:rFonts w:cs="Times New Roman"/>
                <w:noProof/>
                <w:sz w:val="20"/>
                <w:lang w:val="en-GB"/>
              </w:rPr>
            </w:pPr>
          </w:p>
        </w:tc>
      </w:tr>
      <w:tr w:rsidR="009973A2" w:rsidRPr="00743AC4" w:rsidTr="00C96CD3">
        <w:trPr>
          <w:jc w:val="center"/>
        </w:trPr>
        <w:tc>
          <w:tcPr>
            <w:tcW w:w="0" w:type="auto"/>
            <w:vAlign w:val="center"/>
          </w:tcPr>
          <w:p w:rsidR="009973A2" w:rsidRPr="00743AC4" w:rsidRDefault="009973A2" w:rsidP="00C96CD3">
            <w:pPr>
              <w:ind w:firstLine="0"/>
              <w:jc w:val="left"/>
              <w:rPr>
                <w:rFonts w:cs="Times New Roman"/>
                <w:noProof/>
                <w:sz w:val="20"/>
                <w:lang w:val="en-GB"/>
              </w:rPr>
            </w:pPr>
            <w:r w:rsidRPr="00743AC4">
              <w:rPr>
                <w:rFonts w:cs="Times New Roman"/>
                <w:noProof/>
                <w:sz w:val="20"/>
                <w:lang w:val="en-GB"/>
              </w:rPr>
              <w:t>Corruption Perceptions Index</w:t>
            </w:r>
          </w:p>
        </w:tc>
        <w:tc>
          <w:tcPr>
            <w:tcW w:w="0" w:type="auto"/>
            <w:vAlign w:val="center"/>
          </w:tcPr>
          <w:p w:rsidR="009973A2" w:rsidRPr="00743AC4" w:rsidRDefault="009973A2" w:rsidP="00C96CD3">
            <w:pPr>
              <w:ind w:firstLine="0"/>
              <w:jc w:val="center"/>
              <w:rPr>
                <w:rFonts w:cs="Times New Roman"/>
                <w:noProof/>
                <w:sz w:val="20"/>
                <w:lang w:val="en-GB"/>
              </w:rPr>
            </w:pPr>
            <w:r w:rsidRPr="00743AC4">
              <w:rPr>
                <w:rFonts w:cs="Times New Roman"/>
                <w:noProof/>
                <w:sz w:val="20"/>
                <w:lang w:val="en-GB"/>
              </w:rPr>
              <w:t xml:space="preserve">Helmy </w:t>
            </w:r>
            <w:r w:rsidRPr="00743AC4">
              <w:rPr>
                <w:rFonts w:cs="Times New Roman"/>
                <w:noProof/>
                <w:sz w:val="20"/>
                <w:lang w:val="en-GB"/>
              </w:rPr>
              <w:fldChar w:fldCharType="begin" w:fldLock="1"/>
            </w:r>
            <w:r w:rsidRPr="00743AC4">
              <w:rPr>
                <w:rFonts w:cs="Times New Roman"/>
                <w:noProof/>
                <w:sz w:val="20"/>
                <w:lang w:val="en-GB"/>
              </w:rPr>
              <w:instrText>ADDIN CSL_CITATION {"citationItems":[{"id":"ITEM-1","itemData":{"DOI":"http://dx.doi.org/10.1080/02692171.2012.752445 The","abstract":"The eruption of the Arab Spring in Tunisia and Egypt was ensued by deteriora- tion in FDI inflows. Whether a new Middle East free of corruption accompany- ing previous dictatorships will offset the negative ramifications of the uprisings and enhance FDI in the long run remains debatable. Since the evidence on the causal relationship between corruption and FDI is inconclusive, this study attempts to take another step. The paper investigates the link between corruption and FDI flows to the Middle East and North Africa (MENA) and assesses whether or not corruption has more importance than other FDI determinants. By employing several panel settings with various econometric specifications on 21 MENA countries over the period 2003 to 2009, it is demonstrated that FDI varies positively with corruption. Additionally, FDI in MENA was found to vary positively with per capita income, openness, freedom and security of invest- ments and negatively with the tax and homicide rates. Since corruption was not found to hinder FDI inflows, treating corruption should be based on sound legal procedures that infringe neither on the rights, freedom and security of FDI nor on the degree of openness and freedom of the economy, which are the real stimulants of FDI in MENA.","author":[{"dropping-particle":"","family":"Helmy","given":"Heba E.","non-dropping-particle":"","parse-names":false,"suffix":""}],"container-title":"International Review of Applied Economics","id":"ITEM-1","issue":"4","issued":{"date-parts":[["2013"]]},"page":"491-514","title":"The impact of corruption on FDI: is MENA an exception?","type":"article-journal","volume":"27"},"suppress-author":1,"uris":["http://www.mendeley.com/documents/?uuid=fe56cec3-a2d8-41f7-b52c-a00ed3e605c3"]}],"mendeley":{"formattedCitation":"(2013)","plainTextFormattedCitation":"(2013)","previouslyFormattedCitation":"(2013)"},"properties":{"noteIndex":0},"schema":"https://github.com/citation-style-language/schema/raw/master/csl-citation.json"}</w:instrText>
            </w:r>
            <w:r w:rsidRPr="00743AC4">
              <w:rPr>
                <w:rFonts w:cs="Times New Roman"/>
                <w:noProof/>
                <w:sz w:val="20"/>
                <w:lang w:val="en-GB"/>
              </w:rPr>
              <w:fldChar w:fldCharType="separate"/>
            </w:r>
            <w:r w:rsidRPr="00743AC4">
              <w:rPr>
                <w:rFonts w:cs="Times New Roman"/>
                <w:noProof/>
                <w:sz w:val="20"/>
                <w:lang w:val="en-GB"/>
              </w:rPr>
              <w:t>(2013)</w:t>
            </w:r>
            <w:r w:rsidRPr="00743AC4">
              <w:rPr>
                <w:rFonts w:cs="Times New Roman"/>
                <w:noProof/>
                <w:sz w:val="20"/>
                <w:lang w:val="en-GB"/>
              </w:rPr>
              <w:fldChar w:fldCharType="end"/>
            </w:r>
          </w:p>
        </w:tc>
        <w:tc>
          <w:tcPr>
            <w:tcW w:w="0" w:type="auto"/>
            <w:vAlign w:val="center"/>
          </w:tcPr>
          <w:p w:rsidR="009973A2" w:rsidRPr="00743AC4" w:rsidRDefault="009973A2" w:rsidP="00C96CD3">
            <w:pPr>
              <w:pStyle w:val="Textodecomentrio"/>
              <w:ind w:firstLine="0"/>
              <w:jc w:val="center"/>
              <w:rPr>
                <w:noProof/>
                <w:sz w:val="20"/>
                <w:lang w:val="en-GB"/>
              </w:rPr>
            </w:pPr>
            <w:r w:rsidRPr="00743AC4">
              <w:rPr>
                <w:noProof/>
                <w:sz w:val="20"/>
                <w:lang w:val="en-GB"/>
              </w:rPr>
              <w:t xml:space="preserve">Asiedu </w:t>
            </w:r>
            <w:r w:rsidRPr="00743AC4">
              <w:rPr>
                <w:noProof/>
                <w:sz w:val="20"/>
                <w:lang w:val="en-GB"/>
              </w:rPr>
              <w:fldChar w:fldCharType="begin" w:fldLock="1"/>
            </w:r>
            <w:r w:rsidRPr="00743AC4">
              <w:rPr>
                <w:noProof/>
                <w:sz w:val="20"/>
                <w:lang w:val="en-GB"/>
              </w:rPr>
              <w:instrText>ADDIN CSL_CITATION {"citationItems":[{"id":"ITEM-1","itemData":{"DOI":"10.2139/ssrn.717361","ISSN":"1556-5068","author":[{"dropping-particle":"","family":"Asiedu","given":"Elizabeth","non-dropping-particle":"","parse-names":false,"suffix":""}],"container-title":"The World Economy","id":"ITEM-1","issue":"1","issued":{"date-parts":[["2006"]]},"page":"63-77","title":"Foreign direct investment in Africa: The role of natural resources, market size, government policy, institutions and political instability","type":"article-journal","volume":"29"},"suppress-author":1,"uris":["http://www.mendeley.com/documents/?uuid=e676ec88-1d9d-4db2-9e71-c8fb574b7b03"]}],"mendeley":{"formattedCitation":"(2006)","plainTextFormattedCitation":"(2006)","previouslyFormattedCitation":"(2006)"},"properties":{"noteIndex":0},"schema":"https://github.com/citation-style-language/schema/raw/master/csl-citation.json"}</w:instrText>
            </w:r>
            <w:r w:rsidRPr="00743AC4">
              <w:rPr>
                <w:noProof/>
                <w:sz w:val="20"/>
                <w:lang w:val="en-GB"/>
              </w:rPr>
              <w:fldChar w:fldCharType="separate"/>
            </w:r>
            <w:r w:rsidRPr="00743AC4">
              <w:rPr>
                <w:noProof/>
                <w:sz w:val="20"/>
                <w:lang w:val="en-GB"/>
              </w:rPr>
              <w:t>(2006)</w:t>
            </w:r>
            <w:r w:rsidRPr="00743AC4">
              <w:rPr>
                <w:noProof/>
                <w:sz w:val="20"/>
                <w:lang w:val="en-GB"/>
              </w:rPr>
              <w:fldChar w:fldCharType="end"/>
            </w:r>
            <w:r w:rsidRPr="00743AC4">
              <w:rPr>
                <w:noProof/>
                <w:sz w:val="20"/>
                <w:lang w:val="en-GB"/>
              </w:rPr>
              <w:t xml:space="preserve">, </w:t>
            </w:r>
          </w:p>
          <w:p w:rsidR="009973A2" w:rsidRPr="00743AC4" w:rsidRDefault="009973A2" w:rsidP="00C96CD3">
            <w:pPr>
              <w:pStyle w:val="Textodecomentrio"/>
              <w:ind w:firstLine="0"/>
              <w:jc w:val="center"/>
              <w:rPr>
                <w:noProof/>
                <w:sz w:val="20"/>
                <w:lang w:val="en-GB"/>
              </w:rPr>
            </w:pPr>
            <w:r w:rsidRPr="00743AC4">
              <w:rPr>
                <w:noProof/>
                <w:sz w:val="20"/>
                <w:lang w:val="en-GB"/>
              </w:rPr>
              <w:t xml:space="preserve">Okafor et al. </w:t>
            </w:r>
            <w:r w:rsidRPr="00743AC4">
              <w:rPr>
                <w:noProof/>
                <w:sz w:val="20"/>
                <w:lang w:val="en-GB"/>
              </w:rPr>
              <w:fldChar w:fldCharType="begin" w:fldLock="1"/>
            </w:r>
            <w:r w:rsidRPr="00743AC4">
              <w:rPr>
                <w:noProof/>
                <w:sz w:val="20"/>
                <w:lang w:val="en-GB"/>
              </w:rPr>
              <w:instrText>ADDIN CSL_CITATION {"citationItems":[{"id":"ITEM-1","itemData":{"DOI":"10.1016/j.jpolmod.2015.07.003","ISSN":"01618938","abstract":"This study contributes to the FDI literature by investigating the impact of all four locational motives of FDI in Sub-Saharan African (SSA) countries for the period 1996-2010. To achieve this aim, panel data techniques (pooled OLS, fixed effects and GMM) were employed on a sample of SSA countries. The empirical results showed that efficiency and strategic asset seeking factors influenced FDI activities in SSA for the period investigated. Market size also influenced FDI however this was less robust to specifications. Surprisingly, FDI in SSA was not resource seeking. Furthermore, a statistical test confirmed structural and behavioural differences in FDI determinants between SSA sub-regional groups and when analysed separately, FDI in West and Central SSA was market and efficiency seeking while FDI in South and East Africa was best explained by efficiency seeking factors. Based on the empirical findings, a number of policy implications were derived. These policy implications include further implementation of policies targeted at increasing and sustaining trade liberalisation and trade diversification, control of corruption, credible upgrades and productive investments in infrastructure, and support for human capital accumulation as FDI is increasingly directed towards R&amp;D, innovation and strategic asset activities.","author":[{"dropping-particle":"","family":"Okafor","given":"Godwin","non-dropping-particle":"","parse-names":false,"suffix":""},{"dropping-particle":"","family":"Piesse","given":"Jenifer","non-dropping-particle":"","parse-names":false,"suffix":""},{"dropping-particle":"","family":"Webster","given":"Allan","non-dropping-particle":"","parse-names":false,"suffix":""}],"container-title":"Journal of Policy Modeling","id":"ITEM-1","issue":"5","issued":{"date-parts":[["2015"]]},"page":"875-890","publisher":"The Society for Policy Modeling","title":"The motives for inward FDI into Sub-Saharan African countries","type":"article-journal","volume":"37"},"suppress-author":1,"uris":["http://www.mendeley.com/documents/?uuid=87f01f67-c6ba-4652-87ac-84a3758b18a7"]}],"mendeley":{"formattedCitation":"(2015)","plainTextFormattedCitation":"(2015)","previouslyFormattedCitation":"(2015)"},"properties":{"noteIndex":0},"schema":"https://github.com/citation-style-language/schema/raw/master/csl-citation.json"}</w:instrText>
            </w:r>
            <w:r w:rsidRPr="00743AC4">
              <w:rPr>
                <w:noProof/>
                <w:sz w:val="20"/>
                <w:lang w:val="en-GB"/>
              </w:rPr>
              <w:fldChar w:fldCharType="separate"/>
            </w:r>
            <w:r w:rsidRPr="00743AC4">
              <w:rPr>
                <w:noProof/>
                <w:sz w:val="20"/>
                <w:lang w:val="en-GB"/>
              </w:rPr>
              <w:t>(2015)</w:t>
            </w:r>
            <w:r w:rsidRPr="00743AC4">
              <w:rPr>
                <w:noProof/>
                <w:sz w:val="20"/>
                <w:lang w:val="en-GB"/>
              </w:rPr>
              <w:fldChar w:fldCharType="end"/>
            </w:r>
            <w:r w:rsidRPr="00743AC4">
              <w:rPr>
                <w:noProof/>
                <w:sz w:val="20"/>
                <w:lang w:val="en-GB"/>
              </w:rPr>
              <w:t>.</w:t>
            </w:r>
          </w:p>
        </w:tc>
        <w:tc>
          <w:tcPr>
            <w:tcW w:w="0" w:type="auto"/>
            <w:vAlign w:val="center"/>
          </w:tcPr>
          <w:p w:rsidR="009973A2" w:rsidRPr="00743AC4" w:rsidRDefault="009973A2" w:rsidP="00C96CD3">
            <w:pPr>
              <w:ind w:firstLine="0"/>
              <w:jc w:val="center"/>
              <w:rPr>
                <w:rFonts w:cs="Times New Roman"/>
                <w:noProof/>
                <w:sz w:val="20"/>
                <w:lang w:val="en-GB"/>
              </w:rPr>
            </w:pPr>
            <w:r w:rsidRPr="00743AC4">
              <w:rPr>
                <w:rFonts w:cs="Times New Roman"/>
                <w:noProof/>
                <w:sz w:val="20"/>
                <w:lang w:val="en-GB"/>
              </w:rPr>
              <w:t xml:space="preserve">Chiatchoua and Pegou </w:t>
            </w:r>
            <w:r w:rsidRPr="00743AC4">
              <w:rPr>
                <w:rFonts w:cs="Times New Roman"/>
                <w:noProof/>
                <w:sz w:val="20"/>
                <w:lang w:val="en-GB"/>
              </w:rPr>
              <w:fldChar w:fldCharType="begin" w:fldLock="1"/>
            </w:r>
            <w:r w:rsidRPr="00743AC4">
              <w:rPr>
                <w:rFonts w:cs="Times New Roman"/>
                <w:noProof/>
                <w:sz w:val="20"/>
                <w:lang w:val="en-GB"/>
              </w:rPr>
              <w:instrText>ADDIN CSL_CITATION {"citationItems":[{"id":"ITEM-1","itemData":{"author":[{"dropping-particle":"","family":"Chiatchoua","given":"Cesaire","non-dropping-particle":"","parse-names":false,"suffix":""},{"dropping-particle":"","family":"Pegou","given":"Sibe Jacob","non-dropping-particle":"","parse-names":false,"suffix":""}],"container-title":"Análisis Económico","id":"ITEM-1","issue":"73","issued":{"date-parts":[["2015"]]},"page":"89-109","title":"Foreing direct investment in Sub- Saharan Africa ( SSA): An opportunity for New Developed Countries ( NDC )","type":"article-journal","volume":"30"},"suppress-author":1,"uris":["http://www.mendeley.com/documents/?uuid=fa68247d-e908-4fb6-8ad4-b08af487cf3d"]}],"mendeley":{"formattedCitation":"(2015)","plainTextFormattedCitation":"(2015)","previouslyFormattedCitation":"(2015)"},"properties":{"noteIndex":0},"schema":"https://github.com/citation-style-language/schema/raw/master/csl-citation.json"}</w:instrText>
            </w:r>
            <w:r w:rsidRPr="00743AC4">
              <w:rPr>
                <w:rFonts w:cs="Times New Roman"/>
                <w:noProof/>
                <w:sz w:val="20"/>
                <w:lang w:val="en-GB"/>
              </w:rPr>
              <w:fldChar w:fldCharType="separate"/>
            </w:r>
            <w:r w:rsidRPr="00743AC4">
              <w:rPr>
                <w:rFonts w:cs="Times New Roman"/>
                <w:noProof/>
                <w:sz w:val="20"/>
                <w:lang w:val="en-GB"/>
              </w:rPr>
              <w:t>(2015)</w:t>
            </w:r>
            <w:r w:rsidRPr="00743AC4">
              <w:rPr>
                <w:rFonts w:cs="Times New Roman"/>
                <w:noProof/>
                <w:sz w:val="20"/>
                <w:lang w:val="en-GB"/>
              </w:rPr>
              <w:fldChar w:fldCharType="end"/>
            </w:r>
          </w:p>
        </w:tc>
      </w:tr>
      <w:tr w:rsidR="009973A2" w:rsidRPr="00743AC4" w:rsidTr="00C96CD3">
        <w:trPr>
          <w:jc w:val="center"/>
        </w:trPr>
        <w:tc>
          <w:tcPr>
            <w:tcW w:w="0" w:type="auto"/>
            <w:tcBorders>
              <w:bottom w:val="nil"/>
            </w:tcBorders>
            <w:vAlign w:val="center"/>
          </w:tcPr>
          <w:p w:rsidR="009973A2" w:rsidRPr="00743AC4" w:rsidRDefault="009973A2" w:rsidP="00C96CD3">
            <w:pPr>
              <w:ind w:firstLine="0"/>
              <w:jc w:val="left"/>
              <w:rPr>
                <w:rFonts w:cs="Times New Roman"/>
                <w:noProof/>
                <w:sz w:val="20"/>
                <w:lang w:val="en-GB"/>
              </w:rPr>
            </w:pPr>
            <w:r w:rsidRPr="00743AC4">
              <w:rPr>
                <w:rFonts w:cs="Times New Roman"/>
                <w:noProof/>
                <w:sz w:val="20"/>
                <w:lang w:val="en-GB"/>
              </w:rPr>
              <w:t>Quality of governance</w:t>
            </w:r>
          </w:p>
        </w:tc>
        <w:tc>
          <w:tcPr>
            <w:tcW w:w="0" w:type="auto"/>
            <w:tcBorders>
              <w:bottom w:val="nil"/>
            </w:tcBorders>
            <w:vAlign w:val="center"/>
          </w:tcPr>
          <w:p w:rsidR="009973A2" w:rsidRPr="00743AC4" w:rsidRDefault="009973A2" w:rsidP="00C96CD3">
            <w:pPr>
              <w:ind w:firstLine="0"/>
              <w:jc w:val="center"/>
              <w:rPr>
                <w:rFonts w:cs="Times New Roman"/>
                <w:noProof/>
                <w:sz w:val="20"/>
                <w:lang w:val="en-GB"/>
              </w:rPr>
            </w:pPr>
            <w:r w:rsidRPr="00743AC4">
              <w:rPr>
                <w:rFonts w:cs="Times New Roman"/>
                <w:noProof/>
                <w:sz w:val="20"/>
                <w:lang w:val="en-GB"/>
              </w:rPr>
              <w:t xml:space="preserve">Ezeoha and Ugwu </w:t>
            </w:r>
            <w:r w:rsidRPr="00743AC4">
              <w:rPr>
                <w:rFonts w:cs="Times New Roman"/>
                <w:noProof/>
                <w:sz w:val="20"/>
                <w:lang w:val="en-GB"/>
              </w:rPr>
              <w:fldChar w:fldCharType="begin" w:fldLock="1"/>
            </w:r>
            <w:r w:rsidRPr="00743AC4">
              <w:rPr>
                <w:rFonts w:cs="Times New Roman"/>
                <w:noProof/>
                <w:sz w:val="20"/>
                <w:lang w:val="en-GB"/>
              </w:rPr>
              <w:instrText>ADDIN CSL_CITATION {"citationItems":[{"id":"ITEM-1","itemData":{"DOI":"10.1111/1467-8268.12161","author":[{"dropping-particle":"","family":"Ezeoha","given":"Abel Ebeh","non-dropping-particle":"","parse-names":false,"suffix":""},{"dropping-particle":"","family":"Ugwu","given":"John Okereke","non-dropping-particle":"","parse-names":false,"suffix":""}],"container-title":"African Development Reviw","id":"ITEM-1","issue":"4","issued":{"date-parts":[["2015"]]},"page":"456-468","title":"Interactive impact of armed conflicts on foreign direct investments in Africa","type":"article-journal","volume":"27"},"suppress-author":1,"uris":["http://www.mendeley.com/documents/?uuid=ad2272bb-8bb7-4b3b-ad61-4784b6ceb6b9"]}],"mendeley":{"formattedCitation":"(2015)","plainTextFormattedCitation":"(2015)","previouslyFormattedCitation":"(2015)"},"properties":{"noteIndex":0},"schema":"https://github.com/citation-style-language/schema/raw/master/csl-citation.json"}</w:instrText>
            </w:r>
            <w:r w:rsidRPr="00743AC4">
              <w:rPr>
                <w:rFonts w:cs="Times New Roman"/>
                <w:noProof/>
                <w:sz w:val="20"/>
                <w:lang w:val="en-GB"/>
              </w:rPr>
              <w:fldChar w:fldCharType="separate"/>
            </w:r>
            <w:r w:rsidRPr="00743AC4">
              <w:rPr>
                <w:rFonts w:cs="Times New Roman"/>
                <w:noProof/>
                <w:sz w:val="20"/>
                <w:lang w:val="en-GB"/>
              </w:rPr>
              <w:t>(2015)</w:t>
            </w:r>
            <w:r w:rsidRPr="00743AC4">
              <w:rPr>
                <w:rFonts w:cs="Times New Roman"/>
                <w:noProof/>
                <w:sz w:val="20"/>
                <w:lang w:val="en-GB"/>
              </w:rPr>
              <w:fldChar w:fldCharType="end"/>
            </w:r>
            <w:r w:rsidRPr="00743AC4">
              <w:rPr>
                <w:rFonts w:cs="Times New Roman"/>
                <w:noProof/>
                <w:sz w:val="20"/>
                <w:lang w:val="en-GB"/>
              </w:rPr>
              <w:t>, Asamoah et al.</w:t>
            </w:r>
            <w:r w:rsidRPr="00743AC4">
              <w:rPr>
                <w:rFonts w:cs="Times New Roman"/>
                <w:noProof/>
                <w:sz w:val="20"/>
                <w:lang w:val="en-GB"/>
              </w:rPr>
              <w:fldChar w:fldCharType="begin" w:fldLock="1"/>
            </w:r>
            <w:r w:rsidRPr="00743AC4">
              <w:rPr>
                <w:rFonts w:cs="Times New Roman"/>
                <w:noProof/>
                <w:sz w:val="20"/>
                <w:lang w:val="en-GB"/>
              </w:rPr>
              <w:instrText>ADDIN CSL_CITATION {"citationItems":[{"id":"ITEM-1","itemData":{"DOI":"http://dx.doi.org/10.1016/j.ecosys.2016.02.010","ISSN":"09393625","abstract":"This study examines how institutional quality moderates the relationship between macroeconomic volatility and foreign direct investment (FDI) in 40 countries in the Sub-Saharan African region over the period from 1996 to 2011. The GARCH models of Engle (1982) and Bollerslev (1986) are employed to model the volatility of macroeconomic uncertainty. The dynamic panel model estimation of Arellano and Bond (1991) and Blundell and Bond (1998) is used to analyze the relationship between foreign direct investment and the volatility of the macroeconomic variables. We find that macroeconomic uncertainty adversely affects the flow of FDI, while institutional quality also increases the flow of FDI in the presence of other control variables. The interaction between institutional quality and macroeconomic uncertainty reduces the initial negative effect exerted on the flow of FDI by economic uncertainty. Policy implications are drawn from the findings.","author":[{"dropping-particle":"","family":"Asamoah","given":"Michael Effah","non-dropping-particle":"","parse-names":false,"suffix":""},{"dropping-particle":"","family":"Adjasi","given":"Charles K.D.","non-dropping-particle":"","parse-names":false,"suffix":""},{"dropping-particle":"","family":"Alhassan","given":"Abdul Latif","non-dropping-particle":"","parse-names":false,"suffix":""}],"container-title":"Economic Systems","id":"ITEM-1","issue":"4","issued":{"date-parts":[["2016"]]},"page":"612-621","publisher":"Elsevier B.V.","title":"Macroeconomic uncertainty, foreign direct investment and institutional quality: Evidence from Sub-Saharan Africa","type":"article-journal","volume":"40"},"suppress-author":1,"uris":["http://www.mendeley.com/documents/?uuid=591c875a-5e4b-4f1f-9dd4-9396b6c6de80"]}],"mendeley":{"formattedCitation":"(2016)","plainTextFormattedCitation":"(2016)","previouslyFormattedCitation":"(2016)"},"properties":{"noteIndex":0},"schema":"https://github.com/citation-style-language/schema/raw/master/csl-citation.json"}</w:instrText>
            </w:r>
            <w:r w:rsidRPr="00743AC4">
              <w:rPr>
                <w:rFonts w:cs="Times New Roman"/>
                <w:noProof/>
                <w:sz w:val="20"/>
                <w:lang w:val="en-GB"/>
              </w:rPr>
              <w:fldChar w:fldCharType="separate"/>
            </w:r>
            <w:r w:rsidRPr="00743AC4">
              <w:rPr>
                <w:rFonts w:cs="Times New Roman"/>
                <w:noProof/>
                <w:sz w:val="20"/>
                <w:lang w:val="en-GB"/>
              </w:rPr>
              <w:t>(2016)</w:t>
            </w:r>
            <w:r w:rsidRPr="00743AC4">
              <w:rPr>
                <w:rFonts w:cs="Times New Roman"/>
                <w:noProof/>
                <w:sz w:val="20"/>
                <w:lang w:val="en-GB"/>
              </w:rPr>
              <w:fldChar w:fldCharType="end"/>
            </w:r>
            <w:r w:rsidRPr="00743AC4">
              <w:rPr>
                <w:rFonts w:cs="Times New Roman"/>
                <w:noProof/>
                <w:sz w:val="20"/>
                <w:lang w:val="en-GB"/>
              </w:rPr>
              <w:t xml:space="preserve">, Rodríguez-Pose and Cols </w:t>
            </w:r>
            <w:r w:rsidRPr="00743AC4">
              <w:rPr>
                <w:rFonts w:cs="Times New Roman"/>
                <w:noProof/>
                <w:sz w:val="20"/>
                <w:lang w:val="en-GB"/>
              </w:rPr>
              <w:fldChar w:fldCharType="begin" w:fldLock="1"/>
            </w:r>
            <w:r w:rsidRPr="00743AC4">
              <w:rPr>
                <w:rFonts w:cs="Times New Roman"/>
                <w:noProof/>
                <w:sz w:val="20"/>
                <w:lang w:val="en-GB"/>
              </w:rPr>
              <w:instrText>ADDIN CSL_CITATION {"citationItems":[{"id":"ITEM-1","itemData":{"DOI":"10.1111/rsp3.12093","ISSN":"17577802","abstract":"Computer tomography (CT) perfusion imaging is widely used to calculate brain hemodynamic quantities such as Cerebral Blood Flow (CBF), Cerebral Blood Volume (CBV) and Mean Transit Time (MTT) that aid the diagnosis of acute stroke. Since perfusion source images contain more information than hemodynamic maps, good utilisation of the source images can lead to better understanding than the hemodynamic maps alone. Correlation-coefficient tests are used in our approach to measure the similarity between healthy tissue time-concentration curves and unknown curves. This information is then used to differentiate penumbra and dead tissues from healthy tissues. The goal of the segmentation is to fully utilize information in the perfusion source images. Our method directly identifies suspected abnormal areas from perfusion source images and then delivers a suggested segmentation of healthy, penumbra and dead tissue. This approach is designed to handle CT perfusion images, but it can also be used to detect lesion areas in MR perfusion images.","author":[{"dropping-particle":"","family":"Rodríguez-Pose","given":"Andrés","non-dropping-particle":"","parse-names":false,"suffix":""},{"dropping-particle":"","family":"Cols","given":"Gilles","non-dropping-particle":"","parse-names":false,"suffix":""}],"container-title":"Regional Science Policy and Practice","id":"ITEM-1","issue":"2","issued":{"date-parts":[["2017"]]},"page":"63-81","title":"The determinants of foreign direct investment in sub-Saharan Africa: What role for governance?","type":"article-journal","volume":"9"},"suppress-author":1,"uris":["http://www.mendeley.com/documents/?uuid=17e8fb9a-c3d6-4c0d-b6cf-6eb4fa5e55f5"]}],"mendeley":{"formattedCitation":"(2017)","plainTextFormattedCitation":"(2017)","previouslyFormattedCitation":"(2017)"},"properties":{"noteIndex":0},"schema":"https://github.com/citation-style-language/schema/raw/master/csl-citation.json"}</w:instrText>
            </w:r>
            <w:r w:rsidRPr="00743AC4">
              <w:rPr>
                <w:rFonts w:cs="Times New Roman"/>
                <w:noProof/>
                <w:sz w:val="20"/>
                <w:lang w:val="en-GB"/>
              </w:rPr>
              <w:fldChar w:fldCharType="separate"/>
            </w:r>
            <w:r w:rsidRPr="00743AC4">
              <w:rPr>
                <w:rFonts w:cs="Times New Roman"/>
                <w:noProof/>
                <w:sz w:val="20"/>
                <w:lang w:val="en-GB"/>
              </w:rPr>
              <w:t>(2017)</w:t>
            </w:r>
            <w:r w:rsidRPr="00743AC4">
              <w:rPr>
                <w:rFonts w:cs="Times New Roman"/>
                <w:noProof/>
                <w:sz w:val="20"/>
                <w:lang w:val="en-GB"/>
              </w:rPr>
              <w:fldChar w:fldCharType="end"/>
            </w:r>
            <w:r w:rsidRPr="00743AC4">
              <w:rPr>
                <w:rFonts w:cs="Times New Roman"/>
                <w:noProof/>
                <w:sz w:val="20"/>
                <w:lang w:val="en-GB"/>
              </w:rPr>
              <w:t>.</w:t>
            </w:r>
          </w:p>
        </w:tc>
        <w:tc>
          <w:tcPr>
            <w:tcW w:w="0" w:type="auto"/>
            <w:tcBorders>
              <w:bottom w:val="nil"/>
            </w:tcBorders>
            <w:vAlign w:val="center"/>
          </w:tcPr>
          <w:p w:rsidR="009973A2" w:rsidRPr="00743AC4" w:rsidRDefault="009973A2" w:rsidP="00C96CD3">
            <w:pPr>
              <w:pStyle w:val="Textodecomentrio"/>
              <w:ind w:firstLine="0"/>
              <w:jc w:val="center"/>
              <w:rPr>
                <w:noProof/>
                <w:sz w:val="20"/>
                <w:lang w:val="en-GB"/>
              </w:rPr>
            </w:pPr>
          </w:p>
        </w:tc>
        <w:tc>
          <w:tcPr>
            <w:tcW w:w="0" w:type="auto"/>
            <w:tcBorders>
              <w:bottom w:val="nil"/>
            </w:tcBorders>
            <w:vAlign w:val="center"/>
          </w:tcPr>
          <w:p w:rsidR="009973A2" w:rsidRPr="00743AC4" w:rsidRDefault="009973A2" w:rsidP="00C96CD3">
            <w:pPr>
              <w:ind w:firstLine="0"/>
              <w:jc w:val="center"/>
              <w:rPr>
                <w:rFonts w:cs="Times New Roman"/>
                <w:noProof/>
                <w:sz w:val="20"/>
                <w:lang w:val="en-GB"/>
              </w:rPr>
            </w:pPr>
          </w:p>
        </w:tc>
      </w:tr>
      <w:tr w:rsidR="009973A2" w:rsidRPr="00743AC4" w:rsidTr="00C96CD3">
        <w:trPr>
          <w:jc w:val="center"/>
        </w:trPr>
        <w:tc>
          <w:tcPr>
            <w:tcW w:w="0" w:type="auto"/>
            <w:tcBorders>
              <w:top w:val="nil"/>
              <w:bottom w:val="single" w:sz="12" w:space="0" w:color="auto"/>
            </w:tcBorders>
            <w:vAlign w:val="center"/>
          </w:tcPr>
          <w:p w:rsidR="009973A2" w:rsidRPr="00743AC4" w:rsidRDefault="009973A2" w:rsidP="00C96CD3">
            <w:pPr>
              <w:ind w:firstLine="0"/>
              <w:jc w:val="left"/>
              <w:rPr>
                <w:rFonts w:cs="Times New Roman"/>
                <w:noProof/>
                <w:sz w:val="20"/>
                <w:lang w:val="en-GB"/>
              </w:rPr>
            </w:pPr>
            <w:r w:rsidRPr="00743AC4">
              <w:rPr>
                <w:rFonts w:cs="Times New Roman"/>
                <w:noProof/>
                <w:sz w:val="20"/>
                <w:lang w:val="en-GB"/>
              </w:rPr>
              <w:t>Institutional quality</w:t>
            </w:r>
          </w:p>
        </w:tc>
        <w:tc>
          <w:tcPr>
            <w:tcW w:w="0" w:type="auto"/>
            <w:tcBorders>
              <w:top w:val="nil"/>
              <w:bottom w:val="single" w:sz="12" w:space="0" w:color="auto"/>
            </w:tcBorders>
            <w:vAlign w:val="center"/>
          </w:tcPr>
          <w:p w:rsidR="009973A2" w:rsidRPr="00743AC4" w:rsidRDefault="009973A2" w:rsidP="00C96CD3">
            <w:pPr>
              <w:ind w:firstLine="0"/>
              <w:rPr>
                <w:rFonts w:cs="Times New Roman"/>
                <w:noProof/>
                <w:sz w:val="20"/>
                <w:lang w:val="en-GB"/>
              </w:rPr>
            </w:pPr>
            <w:r w:rsidRPr="00743AC4">
              <w:rPr>
                <w:rFonts w:cs="Times New Roman"/>
                <w:noProof/>
                <w:sz w:val="20"/>
                <w:lang w:val="en-GB"/>
              </w:rPr>
              <w:t>Asiedu</w:t>
            </w:r>
            <w:r w:rsidRPr="00743AC4">
              <w:rPr>
                <w:rFonts w:cs="Times New Roman"/>
                <w:noProof/>
                <w:lang w:val="en-GB"/>
              </w:rPr>
              <w:t xml:space="preserve"> </w:t>
            </w:r>
            <w:r w:rsidRPr="00743AC4">
              <w:rPr>
                <w:rFonts w:cs="Times New Roman"/>
                <w:noProof/>
                <w:sz w:val="20"/>
                <w:lang w:val="en-GB"/>
              </w:rPr>
              <w:fldChar w:fldCharType="begin" w:fldLock="1"/>
            </w:r>
            <w:r w:rsidRPr="00743AC4">
              <w:rPr>
                <w:rFonts w:cs="Times New Roman"/>
                <w:noProof/>
                <w:sz w:val="20"/>
                <w:lang w:val="en-GB"/>
              </w:rPr>
              <w:instrText>ADDIN CSL_CITATION {"citationItems":[{"id":"ITEM-1","itemData":{"DOI":"10.2139/ssrn.717361","ISSN":"1556-5068","author":[{"dropping-particle":"","family":"Asiedu","given":"Elizabeth","non-dropping-particle":"","parse-names":false,"suffix":""}],"container-title":"The World Economy","id":"ITEM-1","issue":"1","issued":{"date-parts":[["2006"]]},"page":"63-77","title":"Foreign direct investment in Africa: The role of natural resources, market size, government policy, institutions and political instability","type":"article-journal","volume":"29"},"suppress-author":1,"uris":["http://www.mendeley.com/documents/?uuid=e676ec88-1d9d-4db2-9e71-c8fb574b7b03"]}],"mendeley":{"formattedCitation":"(2006)","plainTextFormattedCitation":"(2006)","previouslyFormattedCitation":"(2006)"},"properties":{"noteIndex":0},"schema":"https://github.com/citation-style-language/schema/raw/master/csl-citation.json"}</w:instrText>
            </w:r>
            <w:r w:rsidRPr="00743AC4">
              <w:rPr>
                <w:rFonts w:cs="Times New Roman"/>
                <w:noProof/>
                <w:sz w:val="20"/>
                <w:lang w:val="en-GB"/>
              </w:rPr>
              <w:fldChar w:fldCharType="separate"/>
            </w:r>
            <w:r w:rsidRPr="00743AC4">
              <w:rPr>
                <w:rFonts w:cs="Times New Roman"/>
                <w:noProof/>
                <w:sz w:val="20"/>
                <w:lang w:val="en-GB"/>
              </w:rPr>
              <w:t>(2006)</w:t>
            </w:r>
            <w:r w:rsidRPr="00743AC4">
              <w:rPr>
                <w:rFonts w:cs="Times New Roman"/>
                <w:noProof/>
                <w:sz w:val="20"/>
                <w:lang w:val="en-GB"/>
              </w:rPr>
              <w:fldChar w:fldCharType="end"/>
            </w:r>
            <w:r w:rsidRPr="00743AC4">
              <w:rPr>
                <w:rFonts w:cs="Times New Roman"/>
                <w:noProof/>
                <w:sz w:val="20"/>
                <w:lang w:val="en-GB"/>
              </w:rPr>
              <w:t xml:space="preserve">, Asamoah et al. </w:t>
            </w:r>
            <w:r w:rsidRPr="00743AC4">
              <w:rPr>
                <w:rFonts w:cs="Times New Roman"/>
                <w:noProof/>
                <w:sz w:val="20"/>
                <w:lang w:val="en-GB"/>
              </w:rPr>
              <w:fldChar w:fldCharType="begin" w:fldLock="1"/>
            </w:r>
            <w:r w:rsidRPr="00743AC4">
              <w:rPr>
                <w:rFonts w:cs="Times New Roman"/>
                <w:noProof/>
                <w:sz w:val="20"/>
                <w:lang w:val="en-GB"/>
              </w:rPr>
              <w:instrText>ADDIN CSL_CITATION {"citationItems":[{"id":"ITEM-1","itemData":{"DOI":"http://dx.doi.org/10.1016/j.ecosys.2016.02.010","ISSN":"09393625","abstract":"This study examines how institutional quality moderates the relationship between macroeconomic volatility and foreign direct investment (FDI) in 40 countries in the Sub-Saharan African region over the period from 1996 to 2011. The GARCH models of Engle (1982) and Bollerslev (1986) are employed to model the volatility of macroeconomic uncertainty. The dynamic panel model estimation of Arellano and Bond (1991) and Blundell and Bond (1998) is used to analyze the relationship between foreign direct investment and the volatility of the macroeconomic variables. We find that macroeconomic uncertainty adversely affects the flow of FDI, while institutional quality also increases the flow of FDI in the presence of other control variables. The interaction between institutional quality and macroeconomic uncertainty reduces the initial negative effect exerted on the flow of FDI by economic uncertainty. Policy implications are drawn from the findings.","author":[{"dropping-particle":"","family":"Asamoah","given":"Michael Effah","non-dropping-particle":"","parse-names":false,"suffix":""},{"dropping-particle":"","family":"Adjasi","given":"Charles K.D.","non-dropping-particle":"","parse-names":false,"suffix":""},{"dropping-particle":"","family":"Alhassan","given":"Abdul Latif","non-dropping-particle":"","parse-names":false,"suffix":""}],"container-title":"Economic Systems","id":"ITEM-1","issue":"4","issued":{"date-parts":[["2016"]]},"page":"612-621","publisher":"Elsevier B.V.","title":"Macroeconomic uncertainty, foreign direct investment and institutional quality: Evidence from Sub-Saharan Africa","type":"article-journal","volume":"40"},"suppress-author":1,"uris":["http://www.mendeley.com/documents/?uuid=591c875a-5e4b-4f1f-9dd4-9396b6c6de80"]}],"mendeley":{"formattedCitation":"(2016)","plainTextFormattedCitation":"(2016)","previouslyFormattedCitation":"(2016)"},"properties":{"noteIndex":0},"schema":"https://github.com/citation-style-language/schema/raw/master/csl-citation.json"}</w:instrText>
            </w:r>
            <w:r w:rsidRPr="00743AC4">
              <w:rPr>
                <w:rFonts w:cs="Times New Roman"/>
                <w:noProof/>
                <w:sz w:val="20"/>
                <w:lang w:val="en-GB"/>
              </w:rPr>
              <w:fldChar w:fldCharType="separate"/>
            </w:r>
            <w:r w:rsidRPr="00743AC4">
              <w:rPr>
                <w:rFonts w:cs="Times New Roman"/>
                <w:noProof/>
                <w:sz w:val="20"/>
                <w:lang w:val="en-GB"/>
              </w:rPr>
              <w:t>(2016)</w:t>
            </w:r>
            <w:r w:rsidRPr="00743AC4">
              <w:rPr>
                <w:rFonts w:cs="Times New Roman"/>
                <w:noProof/>
                <w:sz w:val="20"/>
                <w:lang w:val="en-GB"/>
              </w:rPr>
              <w:fldChar w:fldCharType="end"/>
            </w:r>
            <w:r w:rsidRPr="00743AC4">
              <w:rPr>
                <w:rFonts w:cs="Times New Roman"/>
                <w:noProof/>
                <w:sz w:val="20"/>
                <w:lang w:val="en-GB"/>
              </w:rPr>
              <w:t xml:space="preserve">, Rodríguez-Pose and Cols </w:t>
            </w:r>
            <w:r w:rsidRPr="00743AC4">
              <w:rPr>
                <w:rFonts w:cs="Times New Roman"/>
                <w:noProof/>
                <w:sz w:val="20"/>
                <w:lang w:val="en-GB"/>
              </w:rPr>
              <w:fldChar w:fldCharType="begin" w:fldLock="1"/>
            </w:r>
            <w:r w:rsidRPr="00743AC4">
              <w:rPr>
                <w:rFonts w:cs="Times New Roman"/>
                <w:noProof/>
                <w:sz w:val="20"/>
                <w:lang w:val="en-GB"/>
              </w:rPr>
              <w:instrText>ADDIN CSL_CITATION {"citationItems":[{"id":"ITEM-1","itemData":{"DOI":"10.1111/rsp3.12093","ISSN":"17577802","abstract":"Computer tomography (CT) perfusion imaging is widely used to calculate brain hemodynamic quantities such as Cerebral Blood Flow (CBF), Cerebral Blood Volume (CBV) and Mean Transit Time (MTT) that aid the diagnosis of acute stroke. Since perfusion source images contain more information than hemodynamic maps, good utilisation of the source images can lead to better understanding than the hemodynamic maps alone. Correlation-coefficient tests are used in our approach to measure the similarity between healthy tissue time-concentration curves and unknown curves. This information is then used to differentiate penumbra and dead tissues from healthy tissues. The goal of the segmentation is to fully utilize information in the perfusion source images. Our method directly identifies suspected abnormal areas from perfusion source images and then delivers a suggested segmentation of healthy, penumbra and dead tissue. This approach is designed to handle CT perfusion images, but it can also be used to detect lesion areas in MR perfusion images.","author":[{"dropping-particle":"","family":"Rodríguez-Pose","given":"Andrés","non-dropping-particle":"","parse-names":false,"suffix":""},{"dropping-particle":"","family":"Cols","given":"Gilles","non-dropping-particle":"","parse-names":false,"suffix":""}],"container-title":"Regional Science Policy and Practice","id":"ITEM-1","issue":"2","issued":{"date-parts":[["2017"]]},"page":"63-81","title":"The determinants of foreign direct investment in sub-Saharan Africa: What role for governance?","type":"article-journal","volume":"9"},"suppress-author":1,"uris":["http://www.mendeley.com/documents/?uuid=17e8fb9a-c3d6-4c0d-b6cf-6eb4fa5e55f5"]}],"mendeley":{"formattedCitation":"(2017)","plainTextFormattedCitation":"(2017)","previouslyFormattedCitation":"(2017)"},"properties":{"noteIndex":0},"schema":"https://github.com/citation-style-language/schema/raw/master/csl-citation.json"}</w:instrText>
            </w:r>
            <w:r w:rsidRPr="00743AC4">
              <w:rPr>
                <w:rFonts w:cs="Times New Roman"/>
                <w:noProof/>
                <w:sz w:val="20"/>
                <w:lang w:val="en-GB"/>
              </w:rPr>
              <w:fldChar w:fldCharType="separate"/>
            </w:r>
            <w:r w:rsidRPr="00743AC4">
              <w:rPr>
                <w:rFonts w:cs="Times New Roman"/>
                <w:noProof/>
                <w:sz w:val="20"/>
                <w:lang w:val="en-GB"/>
              </w:rPr>
              <w:t>(2017)</w:t>
            </w:r>
            <w:r w:rsidRPr="00743AC4">
              <w:rPr>
                <w:rFonts w:cs="Times New Roman"/>
                <w:noProof/>
                <w:sz w:val="20"/>
                <w:lang w:val="en-GB"/>
              </w:rPr>
              <w:fldChar w:fldCharType="end"/>
            </w:r>
          </w:p>
        </w:tc>
        <w:tc>
          <w:tcPr>
            <w:tcW w:w="0" w:type="auto"/>
            <w:tcBorders>
              <w:top w:val="nil"/>
              <w:bottom w:val="single" w:sz="12" w:space="0" w:color="auto"/>
            </w:tcBorders>
            <w:vAlign w:val="center"/>
          </w:tcPr>
          <w:p w:rsidR="009973A2" w:rsidRPr="00743AC4" w:rsidRDefault="009973A2" w:rsidP="00C96CD3">
            <w:pPr>
              <w:pStyle w:val="Textodecomentrio"/>
              <w:ind w:firstLine="0"/>
              <w:rPr>
                <w:noProof/>
                <w:sz w:val="20"/>
                <w:lang w:val="en-GB"/>
              </w:rPr>
            </w:pPr>
          </w:p>
        </w:tc>
        <w:tc>
          <w:tcPr>
            <w:tcW w:w="0" w:type="auto"/>
            <w:tcBorders>
              <w:top w:val="nil"/>
              <w:bottom w:val="single" w:sz="12" w:space="0" w:color="auto"/>
            </w:tcBorders>
            <w:vAlign w:val="center"/>
          </w:tcPr>
          <w:p w:rsidR="009973A2" w:rsidRPr="00743AC4" w:rsidRDefault="009973A2" w:rsidP="00C96CD3">
            <w:pPr>
              <w:ind w:firstLine="0"/>
              <w:jc w:val="center"/>
              <w:rPr>
                <w:rFonts w:cs="Times New Roman"/>
                <w:noProof/>
                <w:sz w:val="20"/>
                <w:lang w:val="en-GB"/>
              </w:rPr>
            </w:pPr>
          </w:p>
        </w:tc>
      </w:tr>
      <w:tr w:rsidR="009973A2" w:rsidRPr="00743AC4" w:rsidTr="00C96CD3">
        <w:trPr>
          <w:jc w:val="center"/>
        </w:trPr>
        <w:tc>
          <w:tcPr>
            <w:tcW w:w="0" w:type="auto"/>
            <w:gridSpan w:val="4"/>
            <w:tcBorders>
              <w:top w:val="single" w:sz="12" w:space="0" w:color="auto"/>
            </w:tcBorders>
            <w:vAlign w:val="center"/>
          </w:tcPr>
          <w:p w:rsidR="009973A2" w:rsidRPr="00743AC4" w:rsidRDefault="009973A2" w:rsidP="00C96CD3">
            <w:pPr>
              <w:ind w:firstLine="0"/>
              <w:jc w:val="center"/>
              <w:rPr>
                <w:rFonts w:cs="Times New Roman"/>
                <w:noProof/>
                <w:color w:val="000000"/>
                <w:sz w:val="20"/>
                <w:lang w:val="en-GB"/>
              </w:rPr>
            </w:pPr>
          </w:p>
        </w:tc>
      </w:tr>
    </w:tbl>
    <w:p w:rsidR="009973A2" w:rsidRPr="00743AC4" w:rsidRDefault="009973A2" w:rsidP="009973A2">
      <w:pPr>
        <w:tabs>
          <w:tab w:val="left" w:pos="7416"/>
        </w:tabs>
        <w:rPr>
          <w:rFonts w:cs="Times New Roman"/>
          <w:noProof/>
          <w:lang w:val="en-GB"/>
        </w:rPr>
      </w:pPr>
    </w:p>
    <w:p w:rsidR="009973A2" w:rsidRPr="00743AC4" w:rsidRDefault="009973A2" w:rsidP="009973A2">
      <w:pPr>
        <w:pStyle w:val="Cabealho1"/>
        <w:numPr>
          <w:ilvl w:val="0"/>
          <w:numId w:val="5"/>
        </w:numPr>
        <w:jc w:val="center"/>
        <w:rPr>
          <w:rFonts w:ascii="Times New Roman" w:hAnsi="Times New Roman" w:cs="Times New Roman"/>
          <w:b/>
          <w:noProof/>
          <w:color w:val="000000" w:themeColor="text1"/>
          <w:lang w:val="en-GB"/>
        </w:rPr>
      </w:pPr>
      <w:r w:rsidRPr="00743AC4">
        <w:rPr>
          <w:rFonts w:ascii="Times New Roman" w:hAnsi="Times New Roman" w:cs="Times New Roman"/>
          <w:b/>
          <w:noProof/>
          <w:color w:val="000000" w:themeColor="text1"/>
          <w:lang w:val="en-GB"/>
        </w:rPr>
        <w:t>Panel Data Methodology and Estimated Models</w:t>
      </w:r>
    </w:p>
    <w:p w:rsidR="009973A2" w:rsidRPr="00743AC4" w:rsidRDefault="009973A2" w:rsidP="009973A2">
      <w:pPr>
        <w:tabs>
          <w:tab w:val="left" w:pos="720"/>
          <w:tab w:val="num" w:pos="1440"/>
        </w:tabs>
        <w:ind w:firstLine="0"/>
        <w:rPr>
          <w:rFonts w:cs="Times New Roman"/>
          <w:noProof/>
          <w:lang w:val="en-GB"/>
        </w:rPr>
      </w:pPr>
      <w:r w:rsidRPr="00743AC4">
        <w:rPr>
          <w:rFonts w:cs="Times New Roman"/>
          <w:noProof/>
          <w:lang w:val="en-GB"/>
        </w:rPr>
        <w:t xml:space="preserve">The basic equation translating the theoretical discussions on FDI determinants is formulated according to equation (1): </w:t>
      </w:r>
    </w:p>
    <w:tbl>
      <w:tblPr>
        <w:tblW w:w="0" w:type="auto"/>
        <w:tblLook w:val="04A0" w:firstRow="1" w:lastRow="0" w:firstColumn="1" w:lastColumn="0" w:noHBand="0" w:noVBand="1"/>
      </w:tblPr>
      <w:tblGrid>
        <w:gridCol w:w="7334"/>
        <w:gridCol w:w="1170"/>
      </w:tblGrid>
      <w:tr w:rsidR="009973A2" w:rsidRPr="00743AC4" w:rsidTr="00C96CD3">
        <w:tc>
          <w:tcPr>
            <w:tcW w:w="7334" w:type="dxa"/>
            <w:shd w:val="clear" w:color="auto" w:fill="auto"/>
          </w:tcPr>
          <w:p w:rsidR="009973A2" w:rsidRPr="00743AC4" w:rsidRDefault="009973A2" w:rsidP="00C96CD3">
            <w:pPr>
              <w:pStyle w:val="Default"/>
              <w:spacing w:before="120" w:after="120"/>
              <w:ind w:left="720"/>
              <w:jc w:val="both"/>
              <w:rPr>
                <w:bCs/>
                <w:noProof/>
                <w:color w:val="auto"/>
                <w:lang w:val="en-GB"/>
              </w:rPr>
            </w:pPr>
            <m:oMathPara>
              <m:oMathParaPr>
                <m:jc m:val="left"/>
              </m:oMathParaPr>
              <m:oMath>
                <m:sSub>
                  <m:sSubPr>
                    <m:ctrlPr>
                      <w:rPr>
                        <w:rFonts w:ascii="Cambria Math" w:hAnsi="Cambria Math"/>
                        <w:bCs/>
                        <w:noProof/>
                        <w:lang w:val="en-GB"/>
                      </w:rPr>
                    </m:ctrlPr>
                  </m:sSubPr>
                  <m:e>
                    <m:r>
                      <w:rPr>
                        <w:rFonts w:ascii="Cambria Math" w:hAnsi="Cambria Math"/>
                        <w:noProof/>
                        <w:lang w:val="en-GB"/>
                      </w:rPr>
                      <m:t>FDI</m:t>
                    </m:r>
                  </m:e>
                  <m:sub>
                    <m:r>
                      <w:rPr>
                        <w:rFonts w:ascii="Cambria Math" w:hAnsi="Cambria Math"/>
                        <w:noProof/>
                        <w:lang w:val="en-GB"/>
                      </w:rPr>
                      <m:t>it</m:t>
                    </m:r>
                  </m:sub>
                </m:sSub>
                <m:r>
                  <w:rPr>
                    <w:rFonts w:ascii="Cambria Math" w:hAnsi="Cambria Math"/>
                    <w:noProof/>
                    <w:lang w:val="en-GB"/>
                  </w:rPr>
                  <m:t>=</m:t>
                </m:r>
                <m:sSub>
                  <m:sSubPr>
                    <m:ctrlPr>
                      <w:rPr>
                        <w:rFonts w:ascii="Cambria Math" w:hAnsi="Cambria Math"/>
                        <w:bCs/>
                        <w:i/>
                        <w:noProof/>
                        <w:lang w:val="en-GB"/>
                      </w:rPr>
                    </m:ctrlPr>
                  </m:sSubPr>
                  <m:e>
                    <m:r>
                      <w:rPr>
                        <w:rFonts w:ascii="Cambria Math" w:hAnsi="Cambria Math"/>
                        <w:noProof/>
                        <w:lang w:val="en-GB"/>
                      </w:rPr>
                      <m:t>α</m:t>
                    </m:r>
                  </m:e>
                  <m:sub>
                    <m:r>
                      <w:rPr>
                        <w:rFonts w:ascii="Cambria Math" w:hAnsi="Cambria Math"/>
                        <w:noProof/>
                        <w:lang w:val="en-GB"/>
                      </w:rPr>
                      <m:t>it</m:t>
                    </m:r>
                  </m:sub>
                </m:sSub>
                <m:r>
                  <w:rPr>
                    <w:rFonts w:ascii="Cambria Math" w:hAnsi="Cambria Math"/>
                    <w:noProof/>
                    <w:lang w:val="en-GB"/>
                  </w:rPr>
                  <m:t>+β</m:t>
                </m:r>
                <m:sSub>
                  <m:sSubPr>
                    <m:ctrlPr>
                      <w:rPr>
                        <w:rFonts w:ascii="Cambria Math" w:hAnsi="Cambria Math"/>
                        <w:bCs/>
                        <w:i/>
                        <w:noProof/>
                        <w:lang w:val="en-GB"/>
                      </w:rPr>
                    </m:ctrlPr>
                  </m:sSubPr>
                  <m:e>
                    <m:r>
                      <w:rPr>
                        <w:rFonts w:ascii="Cambria Math" w:hAnsi="Cambria Math"/>
                        <w:noProof/>
                        <w:lang w:val="en-GB"/>
                      </w:rPr>
                      <m:t>x</m:t>
                    </m:r>
                  </m:e>
                  <m:sub>
                    <m:r>
                      <w:rPr>
                        <w:rFonts w:ascii="Cambria Math" w:hAnsi="Cambria Math"/>
                        <w:noProof/>
                        <w:lang w:val="en-GB"/>
                      </w:rPr>
                      <m:t>it</m:t>
                    </m:r>
                  </m:sub>
                </m:sSub>
                <m:r>
                  <w:rPr>
                    <w:rFonts w:ascii="Cambria Math" w:hAnsi="Cambria Math"/>
                    <w:noProof/>
                    <w:lang w:val="en-GB"/>
                  </w:rPr>
                  <m:t>+</m:t>
                </m:r>
                <m:sSub>
                  <m:sSubPr>
                    <m:ctrlPr>
                      <w:rPr>
                        <w:rFonts w:ascii="Cambria Math" w:hAnsi="Cambria Math"/>
                        <w:bCs/>
                        <w:i/>
                        <w:noProof/>
                        <w:lang w:val="en-GB"/>
                      </w:rPr>
                    </m:ctrlPr>
                  </m:sSubPr>
                  <m:e>
                    <m:r>
                      <w:rPr>
                        <w:rFonts w:ascii="Cambria Math" w:hAnsi="Cambria Math"/>
                        <w:noProof/>
                        <w:lang w:val="en-GB"/>
                      </w:rPr>
                      <m:t>ℇ</m:t>
                    </m:r>
                  </m:e>
                  <m:sub>
                    <m:r>
                      <w:rPr>
                        <w:rFonts w:ascii="Cambria Math" w:hAnsi="Cambria Math"/>
                        <w:noProof/>
                        <w:lang w:val="en-GB"/>
                      </w:rPr>
                      <m:t>it</m:t>
                    </m:r>
                  </m:sub>
                </m:sSub>
              </m:oMath>
            </m:oMathPara>
          </w:p>
        </w:tc>
        <w:tc>
          <w:tcPr>
            <w:tcW w:w="1170" w:type="dxa"/>
            <w:shd w:val="clear" w:color="auto" w:fill="auto"/>
            <w:vAlign w:val="center"/>
          </w:tcPr>
          <w:p w:rsidR="009973A2" w:rsidRPr="00743AC4" w:rsidRDefault="009973A2" w:rsidP="00C96CD3">
            <w:pPr>
              <w:pStyle w:val="Legenda"/>
              <w:rPr>
                <w:bCs/>
                <w:noProof/>
                <w:color w:val="auto"/>
                <w:lang w:val="en-GB"/>
              </w:rPr>
            </w:pPr>
            <w:bookmarkStart w:id="0" w:name="_Ref13679655"/>
            <w:r w:rsidRPr="00743AC4">
              <w:rPr>
                <w:bCs/>
                <w:noProof/>
                <w:color w:val="auto"/>
                <w:lang w:val="en-GB"/>
              </w:rPr>
              <w:t>(</w:t>
            </w:r>
            <w:r w:rsidRPr="00743AC4">
              <w:rPr>
                <w:noProof/>
                <w:lang w:val="en-GB"/>
              </w:rPr>
              <w:fldChar w:fldCharType="begin"/>
            </w:r>
            <w:r w:rsidRPr="00743AC4">
              <w:rPr>
                <w:noProof/>
                <w:lang w:val="en-GB"/>
              </w:rPr>
              <w:instrText xml:space="preserve"> SEQ Equação \* ARABIC </w:instrText>
            </w:r>
            <w:r w:rsidRPr="00743AC4">
              <w:rPr>
                <w:noProof/>
                <w:lang w:val="en-GB"/>
              </w:rPr>
              <w:fldChar w:fldCharType="separate"/>
            </w:r>
            <w:r w:rsidRPr="00743AC4">
              <w:rPr>
                <w:noProof/>
                <w:lang w:val="en-GB"/>
              </w:rPr>
              <w:t>1</w:t>
            </w:r>
            <w:r w:rsidRPr="00743AC4">
              <w:rPr>
                <w:noProof/>
                <w:lang w:val="en-GB"/>
              </w:rPr>
              <w:fldChar w:fldCharType="end"/>
            </w:r>
            <w:r w:rsidRPr="00743AC4">
              <w:rPr>
                <w:bCs/>
                <w:noProof/>
                <w:color w:val="auto"/>
                <w:lang w:val="en-GB"/>
              </w:rPr>
              <w:t>)</w:t>
            </w:r>
            <w:bookmarkEnd w:id="0"/>
          </w:p>
          <w:p w:rsidR="009973A2" w:rsidRPr="00743AC4" w:rsidRDefault="009973A2" w:rsidP="00C96CD3">
            <w:pPr>
              <w:rPr>
                <w:rFonts w:cs="Times New Roman"/>
                <w:lang w:val="en-GB" w:eastAsia="pt-PT"/>
              </w:rPr>
            </w:pPr>
          </w:p>
        </w:tc>
      </w:tr>
    </w:tbl>
    <w:p w:rsidR="009973A2" w:rsidRPr="00743AC4" w:rsidRDefault="009973A2" w:rsidP="009973A2">
      <w:pPr>
        <w:tabs>
          <w:tab w:val="left" w:pos="720"/>
          <w:tab w:val="num" w:pos="1440"/>
        </w:tabs>
        <w:ind w:firstLine="0"/>
        <w:rPr>
          <w:rFonts w:eastAsiaTheme="minorEastAsia" w:cs="Times New Roman"/>
          <w:noProof/>
          <w:lang w:val="en-GB"/>
        </w:rPr>
      </w:pPr>
      <w:r w:rsidRPr="00743AC4">
        <w:rPr>
          <w:rFonts w:cs="Times New Roman"/>
          <w:noProof/>
          <w:lang w:val="en-GB"/>
        </w:rPr>
        <w:t>of which</w:t>
      </w:r>
      <m:oMath>
        <m:r>
          <m:rPr>
            <m:sty m:val="p"/>
          </m:rPr>
          <w:rPr>
            <w:rFonts w:ascii="Cambria Math" w:hAnsi="Cambria Math" w:cs="Times New Roman"/>
            <w:noProof/>
            <w:lang w:val="en-GB"/>
          </w:rPr>
          <m:t xml:space="preserve"> FDI</m:t>
        </m:r>
      </m:oMath>
      <w:r w:rsidRPr="00743AC4">
        <w:rPr>
          <w:rFonts w:cs="Times New Roman"/>
          <w:noProof/>
          <w:lang w:val="en-GB"/>
        </w:rPr>
        <w:t xml:space="preserve"> the flow of FDI, </w:t>
      </w:r>
      <m:oMath>
        <m:sSub>
          <m:sSubPr>
            <m:ctrlPr>
              <w:rPr>
                <w:rFonts w:ascii="Cambria Math" w:hAnsi="Cambria Math" w:cs="Times New Roman"/>
                <w:i/>
                <w:noProof/>
                <w:lang w:val="en-GB"/>
              </w:rPr>
            </m:ctrlPr>
          </m:sSubPr>
          <m:e>
            <m:r>
              <w:rPr>
                <w:rFonts w:ascii="Cambria Math" w:hAnsi="Cambria Math" w:cs="Times New Roman"/>
                <w:noProof/>
                <w:lang w:val="en-GB"/>
              </w:rPr>
              <m:t>x</m:t>
            </m:r>
          </m:e>
          <m:sub>
            <m:r>
              <w:rPr>
                <w:rFonts w:ascii="Cambria Math" w:hAnsi="Cambria Math" w:cs="Times New Roman"/>
                <w:noProof/>
                <w:lang w:val="en-GB"/>
              </w:rPr>
              <m:t>it</m:t>
            </m:r>
          </m:sub>
        </m:sSub>
        <m:r>
          <w:rPr>
            <w:rFonts w:ascii="Cambria Math" w:hAnsi="Cambria Math" w:cs="Times New Roman"/>
            <w:noProof/>
            <w:lang w:val="en-GB"/>
          </w:rPr>
          <m:t xml:space="preserve"> </m:t>
        </m:r>
      </m:oMath>
      <w:r w:rsidRPr="00743AC4">
        <w:rPr>
          <w:rFonts w:cs="Times New Roman"/>
          <w:noProof/>
          <w:lang w:val="en-GB"/>
        </w:rPr>
        <w:t xml:space="preserve"> is the matrix of explanatory variables with </w:t>
      </w:r>
      <m:oMath>
        <m:r>
          <m:rPr>
            <m:sty m:val="p"/>
          </m:rPr>
          <w:rPr>
            <w:rFonts w:ascii="Cambria Math" w:hAnsi="Cambria Math" w:cs="Times New Roman"/>
            <w:noProof/>
            <w:lang w:val="en-GB"/>
          </w:rPr>
          <m:t xml:space="preserve">k </m:t>
        </m:r>
      </m:oMath>
      <w:r w:rsidRPr="00743AC4">
        <w:rPr>
          <w:rFonts w:cs="Times New Roman"/>
          <w:noProof/>
          <w:lang w:val="en-GB"/>
        </w:rPr>
        <w:t xml:space="preserve">regressors without the constant, </w:t>
      </w:r>
      <m:oMath>
        <m:r>
          <m:rPr>
            <m:sty m:val="p"/>
          </m:rPr>
          <w:rPr>
            <w:rFonts w:ascii="Cambria Math" w:hAnsi="Cambria Math" w:cs="Times New Roman"/>
            <w:noProof/>
            <w:lang w:val="en-GB"/>
          </w:rPr>
          <m:t>i=1,...N</m:t>
        </m:r>
      </m:oMath>
      <w:r w:rsidRPr="00743AC4">
        <w:rPr>
          <w:rFonts w:cs="Times New Roman"/>
          <w:noProof/>
          <w:lang w:val="en-GB"/>
        </w:rPr>
        <w:t xml:space="preserve">, refers to the </w:t>
      </w:r>
      <w:r w:rsidRPr="00743AC4">
        <w:rPr>
          <w:rFonts w:cs="Times New Roman"/>
          <w:i/>
          <w:noProof/>
          <w:lang w:val="en-GB"/>
        </w:rPr>
        <w:t>cross-section</w:t>
      </w:r>
      <w:r w:rsidRPr="00743AC4">
        <w:rPr>
          <w:rFonts w:cs="Times New Roman"/>
          <w:noProof/>
          <w:lang w:val="en-GB"/>
        </w:rPr>
        <w:t xml:space="preserve"> unit (country</w:t>
      </w:r>
      <w:r w:rsidRPr="00743AC4">
        <w:rPr>
          <w:rFonts w:cs="Times New Roman"/>
          <w:i/>
          <w:noProof/>
          <w:lang w:val="en-GB"/>
        </w:rPr>
        <w:t>)</w:t>
      </w:r>
      <w:r w:rsidRPr="00743AC4">
        <w:rPr>
          <w:rFonts w:cs="Times New Roman"/>
          <w:noProof/>
          <w:lang w:val="en-GB"/>
        </w:rPr>
        <w:t xml:space="preserve"> and </w:t>
      </w:r>
      <m:oMath>
        <m:r>
          <m:rPr>
            <m:sty m:val="p"/>
          </m:rPr>
          <w:rPr>
            <w:rFonts w:ascii="Cambria Math" w:hAnsi="Cambria Math" w:cs="Times New Roman"/>
            <w:noProof/>
            <w:lang w:val="en-GB"/>
          </w:rPr>
          <m:t>t=1,...T</m:t>
        </m:r>
      </m:oMath>
      <w:r w:rsidRPr="00743AC4">
        <w:rPr>
          <w:rFonts w:cs="Times New Roman"/>
          <w:noProof/>
          <w:lang w:val="en-GB"/>
        </w:rPr>
        <w:t xml:space="preserve">, denotes the year and </w:t>
      </w:r>
      <w:r w:rsidRPr="00743AC4">
        <w:rPr>
          <w:rFonts w:cs="Times New Roman"/>
          <w:noProof/>
          <w:lang w:eastAsia="pt-PT"/>
        </w:rPr>
        <w:drawing>
          <wp:inline distT="0" distB="0" distL="0" distR="0" wp14:anchorId="0B76C9A7" wp14:editId="6722B10E">
            <wp:extent cx="183727" cy="236220"/>
            <wp:effectExtent l="0" t="0" r="0" b="0"/>
            <wp:docPr id="100007" name="Imagem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
                    <pic:cNvPicPr>
                      <a:picLocks noChangeAspect="1"/>
                    </pic:cNvPicPr>
                  </pic:nvPicPr>
                  <pic:blipFill>
                    <a:blip r:embed="rId5"/>
                    <a:stretch>
                      <a:fillRect/>
                    </a:stretch>
                  </pic:blipFill>
                  <pic:spPr>
                    <a:xfrm>
                      <a:off x="0" y="0"/>
                      <a:ext cx="183727" cy="236220"/>
                    </a:xfrm>
                    <a:prstGeom prst="rect">
                      <a:avLst/>
                    </a:prstGeom>
                  </pic:spPr>
                </pic:pic>
              </a:graphicData>
            </a:graphic>
          </wp:inline>
        </w:drawing>
      </w:r>
      <w:r w:rsidRPr="00743AC4">
        <w:rPr>
          <w:rFonts w:cs="Times New Roman"/>
          <w:noProof/>
          <w:lang w:val="en-GB"/>
        </w:rPr>
        <w:t xml:space="preserve">is the error term with no autocorrelation of </w:t>
      </w:r>
      <w:r w:rsidRPr="00743AC4">
        <w:rPr>
          <w:rFonts w:cs="Times New Roman"/>
          <w:i/>
          <w:noProof/>
          <w:lang w:val="en-GB"/>
        </w:rPr>
        <w:t>IID</w:t>
      </w:r>
      <w:r w:rsidRPr="00743AC4">
        <w:rPr>
          <w:rFonts w:cs="Times New Roman"/>
          <w:noProof/>
          <w:lang w:val="en-GB"/>
        </w:rPr>
        <w:t xml:space="preserve"> waste (independently and identically distributed), the parameter </w:t>
      </w:r>
      <m:oMath>
        <m:sSub>
          <m:sSubPr>
            <m:ctrlPr>
              <w:rPr>
                <w:rFonts w:ascii="Cambria Math" w:hAnsi="Cambria Math" w:cs="Times New Roman"/>
                <w:i/>
                <w:noProof/>
                <w:lang w:val="en-GB"/>
              </w:rPr>
            </m:ctrlPr>
          </m:sSubPr>
          <m:e>
            <m:r>
              <m:rPr>
                <m:sty m:val="p"/>
              </m:rPr>
              <w:rPr>
                <w:rFonts w:ascii="Cambria Math" w:hAnsi="Cambria Math" w:cs="Times New Roman"/>
                <w:noProof/>
                <w:lang w:val="en-GB"/>
              </w:rPr>
              <m:t>α</m:t>
            </m:r>
          </m:e>
          <m:sub>
            <m:r>
              <m:rPr>
                <m:sty m:val="p"/>
              </m:rPr>
              <w:rPr>
                <w:rFonts w:ascii="Cambria Math" w:hAnsi="Cambria Math" w:cs="Times New Roman"/>
                <w:noProof/>
                <w:lang w:val="en-GB"/>
              </w:rPr>
              <m:t>it</m:t>
            </m:r>
          </m:sub>
        </m:sSub>
      </m:oMath>
      <w:r w:rsidRPr="00743AC4">
        <w:rPr>
          <w:rFonts w:cs="Times New Roman"/>
          <w:noProof/>
          <w:lang w:val="en-GB"/>
        </w:rPr>
        <w:t xml:space="preserve"> is a stochastic term inherent to individual units, which captures individual effects and may or may not be correlated with the vector of explanatory variables. It is assumed that </w:t>
      </w:r>
      <m:oMath>
        <m:sSub>
          <m:sSubPr>
            <m:ctrlPr>
              <w:rPr>
                <w:rFonts w:ascii="Cambria Math" w:hAnsi="Cambria Math" w:cs="Times New Roman"/>
                <w:i/>
                <w:noProof/>
                <w:lang w:val="en-GB"/>
              </w:rPr>
            </m:ctrlPr>
          </m:sSubPr>
          <m:e>
            <m:r>
              <m:rPr>
                <m:sty m:val="p"/>
              </m:rPr>
              <w:rPr>
                <w:rFonts w:ascii="Cambria Math" w:hAnsi="Cambria Math" w:cs="Times New Roman"/>
                <w:noProof/>
                <w:lang w:val="en-GB"/>
              </w:rPr>
              <m:t>α</m:t>
            </m:r>
          </m:e>
          <m:sub>
            <m:r>
              <m:rPr>
                <m:sty m:val="p"/>
              </m:rPr>
              <w:rPr>
                <w:rFonts w:ascii="Cambria Math" w:hAnsi="Cambria Math" w:cs="Times New Roman"/>
                <w:noProof/>
                <w:lang w:val="en-GB"/>
              </w:rPr>
              <m:t>it</m:t>
            </m:r>
          </m:sub>
        </m:sSub>
        <m:r>
          <m:rPr>
            <m:sty m:val="p"/>
          </m:rPr>
          <w:rPr>
            <w:rFonts w:ascii="Cambria Math" w:hAnsi="Cambria Math" w:cs="Times New Roman"/>
            <w:noProof/>
            <w:lang w:val="en-GB"/>
          </w:rPr>
          <m:t>~N(0,</m:t>
        </m:r>
        <m:sSup>
          <m:sSupPr>
            <m:ctrlPr>
              <w:rPr>
                <w:rFonts w:ascii="Cambria Math" w:hAnsi="Cambria Math" w:cs="Times New Roman"/>
                <w:i/>
                <w:noProof/>
                <w:lang w:val="en-GB"/>
              </w:rPr>
            </m:ctrlPr>
          </m:sSupPr>
          <m:e>
            <m:r>
              <m:rPr>
                <m:sty m:val="p"/>
              </m:rPr>
              <w:rPr>
                <w:rFonts w:ascii="Cambria Math" w:hAnsi="Cambria Math" w:cs="Times New Roman"/>
                <w:noProof/>
                <w:lang w:val="en-GB"/>
              </w:rPr>
              <m:t>σ</m:t>
            </m:r>
          </m:e>
          <m:sup>
            <m:r>
              <m:rPr>
                <m:sty m:val="p"/>
              </m:rPr>
              <w:rPr>
                <w:rFonts w:ascii="Cambria Math" w:hAnsi="Cambria Math" w:cs="Times New Roman"/>
                <w:noProof/>
                <w:lang w:val="en-GB"/>
              </w:rPr>
              <m:t>2</m:t>
            </m:r>
          </m:sup>
        </m:sSup>
        <m:r>
          <m:rPr>
            <m:sty m:val="p"/>
          </m:rPr>
          <w:rPr>
            <w:rFonts w:ascii="Cambria Math" w:hAnsi="Cambria Math" w:cs="Times New Roman"/>
            <w:noProof/>
            <w:lang w:val="en-GB"/>
          </w:rPr>
          <m:t>)</m:t>
        </m:r>
      </m:oMath>
      <w:r w:rsidRPr="00743AC4">
        <w:rPr>
          <w:rFonts w:cs="Times New Roman"/>
          <w:noProof/>
          <w:lang w:val="en-GB"/>
        </w:rPr>
        <w:t xml:space="preserve">and that </w:t>
      </w:r>
      <m:oMath>
        <m:sSub>
          <m:sSubPr>
            <m:ctrlPr>
              <w:rPr>
                <w:rFonts w:ascii="Cambria Math" w:hAnsi="Cambria Math" w:cs="Times New Roman"/>
                <w:bCs/>
                <w:i/>
                <w:noProof/>
                <w:lang w:val="en-GB"/>
              </w:rPr>
            </m:ctrlPr>
          </m:sSubPr>
          <m:e>
            <m:r>
              <m:rPr>
                <m:sty m:val="p"/>
              </m:rPr>
              <w:rPr>
                <w:rFonts w:ascii="Cambria Math" w:hAnsi="Cambria Math" w:cs="Times New Roman"/>
                <w:noProof/>
                <w:lang w:val="en-GB"/>
              </w:rPr>
              <m:t>ε</m:t>
            </m:r>
          </m:e>
          <m:sub>
            <m:r>
              <m:rPr>
                <m:sty m:val="p"/>
              </m:rPr>
              <w:rPr>
                <w:rFonts w:ascii="Cambria Math" w:hAnsi="Cambria Math" w:cs="Times New Roman"/>
                <w:noProof/>
                <w:lang w:val="en-GB"/>
              </w:rPr>
              <m:t>it</m:t>
            </m:r>
          </m:sub>
        </m:sSub>
        <m:r>
          <m:rPr>
            <m:sty m:val="p"/>
          </m:rPr>
          <w:rPr>
            <w:rFonts w:ascii="Cambria Math" w:hAnsi="Cambria Math" w:cs="Times New Roman"/>
            <w:noProof/>
            <w:lang w:val="en-GB"/>
          </w:rPr>
          <m:t>~N(0,</m:t>
        </m:r>
      </m:oMath>
      <w:r w:rsidRPr="00743AC4">
        <w:rPr>
          <w:rFonts w:cs="Times New Roman"/>
          <w:bCs/>
          <w:noProof/>
          <w:lang w:val="en-GB"/>
        </w:rPr>
        <w:t xml:space="preserve"> </w:t>
      </w:r>
      <m:oMath>
        <m:sSup>
          <m:sSupPr>
            <m:ctrlPr>
              <w:rPr>
                <w:rFonts w:ascii="Cambria Math" w:hAnsi="Cambria Math" w:cs="Times New Roman"/>
                <w:i/>
                <w:noProof/>
                <w:lang w:val="en-GB"/>
              </w:rPr>
            </m:ctrlPr>
          </m:sSupPr>
          <m:e>
            <m:r>
              <m:rPr>
                <m:sty m:val="p"/>
              </m:rPr>
              <w:rPr>
                <w:rFonts w:ascii="Cambria Math" w:hAnsi="Cambria Math" w:cs="Times New Roman"/>
                <w:noProof/>
                <w:lang w:val="en-GB"/>
              </w:rPr>
              <m:t>σ</m:t>
            </m:r>
          </m:e>
          <m:sup>
            <m:r>
              <m:rPr>
                <m:sty m:val="p"/>
              </m:rPr>
              <w:rPr>
                <w:rFonts w:ascii="Cambria Math" w:hAnsi="Cambria Math" w:cs="Times New Roman"/>
                <w:noProof/>
                <w:lang w:val="en-GB"/>
              </w:rPr>
              <m:t>2</m:t>
            </m:r>
          </m:sup>
        </m:sSup>
        <m:r>
          <m:rPr>
            <m:sty m:val="p"/>
          </m:rPr>
          <w:rPr>
            <w:rFonts w:ascii="Cambria Math" w:hAnsi="Cambria Math" w:cs="Times New Roman"/>
            <w:noProof/>
            <w:lang w:val="en-GB"/>
          </w:rPr>
          <m:t>)</m:t>
        </m:r>
      </m:oMath>
      <w:r w:rsidRPr="00743AC4">
        <w:rPr>
          <w:rFonts w:eastAsiaTheme="minorEastAsia" w:cs="Times New Roman"/>
          <w:noProof/>
          <w:lang w:val="en-GB"/>
        </w:rPr>
        <w:t xml:space="preserve">, with </w:t>
      </w:r>
      <m:oMath>
        <m:sSup>
          <m:sSupPr>
            <m:ctrlPr>
              <w:rPr>
                <w:rFonts w:ascii="Cambria Math" w:hAnsi="Cambria Math" w:cs="Times New Roman"/>
                <w:i/>
                <w:noProof/>
                <w:lang w:val="en-GB"/>
              </w:rPr>
            </m:ctrlPr>
          </m:sSupPr>
          <m:e>
            <m:r>
              <m:rPr>
                <m:sty m:val="p"/>
              </m:rPr>
              <w:rPr>
                <w:rFonts w:ascii="Cambria Math" w:hAnsi="Cambria Math" w:cs="Times New Roman"/>
                <w:noProof/>
                <w:lang w:val="en-GB"/>
              </w:rPr>
              <m:t>σ</m:t>
            </m:r>
          </m:e>
          <m:sup>
            <m:r>
              <m:rPr>
                <m:sty m:val="p"/>
              </m:rPr>
              <w:rPr>
                <w:rFonts w:ascii="Cambria Math" w:hAnsi="Cambria Math" w:cs="Times New Roman"/>
                <w:noProof/>
                <w:lang w:val="en-GB"/>
              </w:rPr>
              <m:t>2</m:t>
            </m:r>
          </m:sup>
        </m:sSup>
        <m:r>
          <m:rPr>
            <m:sty m:val="p"/>
          </m:rPr>
          <w:rPr>
            <w:rFonts w:ascii="Cambria Math" w:hAnsi="Cambria Math" w:cs="Times New Roman"/>
            <w:noProof/>
            <w:lang w:val="en-GB"/>
          </w:rPr>
          <m:t>&gt;0</m:t>
        </m:r>
      </m:oMath>
      <w:r w:rsidRPr="00743AC4">
        <w:rPr>
          <w:rFonts w:eastAsiaTheme="minorEastAsia" w:cs="Times New Roman"/>
          <w:noProof/>
          <w:lang w:val="en-GB"/>
        </w:rPr>
        <w:t>.</w:t>
      </w:r>
    </w:p>
    <w:p w:rsidR="009973A2" w:rsidRPr="00743AC4" w:rsidRDefault="009973A2" w:rsidP="009973A2">
      <w:pPr>
        <w:tabs>
          <w:tab w:val="left" w:pos="720"/>
          <w:tab w:val="num" w:pos="1440"/>
        </w:tabs>
        <w:ind w:firstLine="0"/>
        <w:rPr>
          <w:rFonts w:cs="Times New Roman"/>
          <w:noProof/>
          <w:lang w:val="en-GB"/>
        </w:rPr>
      </w:pPr>
      <w:r w:rsidRPr="00743AC4">
        <w:rPr>
          <w:rFonts w:cs="Times New Roman"/>
          <w:noProof/>
          <w:lang w:val="en-GB"/>
        </w:rPr>
        <w:t>In this work, it sought to estimate the model via fixed effect and dynamic model, The estimation by means of a model with fixed effects should be made assuming the existence of correlation between the unobserved fixed effect and the explanatory variables, that is, if the c</w:t>
      </w:r>
      <m:oMath>
        <m:r>
          <m:rPr>
            <m:sty m:val="p"/>
          </m:rPr>
          <w:rPr>
            <w:rFonts w:ascii="Cambria Math" w:hAnsi="Cambria Math" w:cs="Times New Roman"/>
            <w:noProof/>
            <w:lang w:val="en-GB"/>
          </w:rPr>
          <m:t>ov (</m:t>
        </m:r>
        <m:sSub>
          <m:sSubPr>
            <m:ctrlPr>
              <w:rPr>
                <w:rFonts w:ascii="Cambria Math" w:hAnsi="Cambria Math" w:cs="Times New Roman"/>
                <w:i/>
                <w:noProof/>
                <w:lang w:val="en-GB"/>
              </w:rPr>
            </m:ctrlPr>
          </m:sSubPr>
          <m:e>
            <m:r>
              <m:rPr>
                <m:sty m:val="p"/>
              </m:rPr>
              <w:rPr>
                <w:rFonts w:ascii="Cambria Math" w:hAnsi="Cambria Math" w:cs="Times New Roman"/>
                <w:noProof/>
                <w:lang w:val="en-GB"/>
              </w:rPr>
              <m:t>α</m:t>
            </m:r>
          </m:e>
          <m:sub>
            <m:r>
              <m:rPr>
                <m:sty m:val="p"/>
              </m:rPr>
              <w:rPr>
                <w:rFonts w:ascii="Cambria Math" w:hAnsi="Cambria Math" w:cs="Times New Roman"/>
                <w:noProof/>
                <w:lang w:val="en-GB"/>
              </w:rPr>
              <m:t>i</m:t>
            </m:r>
          </m:sub>
        </m:sSub>
        <m:r>
          <m:rPr>
            <m:sty m:val="p"/>
          </m:rPr>
          <w:rPr>
            <w:rFonts w:ascii="Cambria Math" w:hAnsi="Cambria Math" w:cs="Times New Roman"/>
            <w:noProof/>
            <w:lang w:val="en-GB"/>
          </w:rPr>
          <m:t>,</m:t>
        </m:r>
        <m:sSub>
          <m:sSubPr>
            <m:ctrlPr>
              <w:rPr>
                <w:rFonts w:ascii="Cambria Math" w:hAnsi="Cambria Math" w:cs="Times New Roman"/>
                <w:i/>
                <w:noProof/>
                <w:lang w:val="en-GB"/>
              </w:rPr>
            </m:ctrlPr>
          </m:sSubPr>
          <m:e>
            <m:r>
              <m:rPr>
                <m:sty m:val="p"/>
              </m:rPr>
              <w:rPr>
                <w:rFonts w:ascii="Cambria Math" w:hAnsi="Cambria Math" w:cs="Times New Roman"/>
                <w:noProof/>
                <w:lang w:val="en-GB"/>
              </w:rPr>
              <m:t>x</m:t>
            </m:r>
          </m:e>
          <m:sub>
            <m:r>
              <m:rPr>
                <m:sty m:val="p"/>
              </m:rPr>
              <w:rPr>
                <w:rFonts w:ascii="Cambria Math" w:hAnsi="Cambria Math" w:cs="Times New Roman"/>
                <w:noProof/>
                <w:lang w:val="en-GB"/>
              </w:rPr>
              <m:t>ij</m:t>
            </m:r>
          </m:sub>
        </m:sSub>
        <m:r>
          <m:rPr>
            <m:sty m:val="p"/>
          </m:rPr>
          <w:rPr>
            <w:rFonts w:ascii="Cambria Math" w:hAnsi="Cambria Math" w:cs="Times New Roman"/>
            <w:noProof/>
            <w:lang w:val="en-GB"/>
          </w:rPr>
          <m:t>)≠0</m:t>
        </m:r>
      </m:oMath>
      <w:r w:rsidRPr="00743AC4">
        <w:rPr>
          <w:rFonts w:cs="Times New Roman"/>
          <w:noProof/>
          <w:lang w:val="en-GB"/>
        </w:rPr>
        <w:t xml:space="preserve">. For this purpose, for each i, the average of equation (1) is calculated over time: </w:t>
      </w:r>
    </w:p>
    <w:tbl>
      <w:tblPr>
        <w:tblW w:w="0" w:type="auto"/>
        <w:tblLook w:val="04A0" w:firstRow="1" w:lastRow="0" w:firstColumn="1" w:lastColumn="0" w:noHBand="0" w:noVBand="1"/>
      </w:tblPr>
      <w:tblGrid>
        <w:gridCol w:w="7334"/>
        <w:gridCol w:w="1170"/>
      </w:tblGrid>
      <w:tr w:rsidR="009973A2" w:rsidRPr="00743AC4" w:rsidTr="00C96CD3">
        <w:tc>
          <w:tcPr>
            <w:tcW w:w="7334" w:type="dxa"/>
            <w:shd w:val="clear" w:color="auto" w:fill="auto"/>
          </w:tcPr>
          <w:p w:rsidR="009973A2" w:rsidRPr="00743AC4" w:rsidRDefault="009973A2" w:rsidP="00C96CD3">
            <w:pPr>
              <w:pStyle w:val="Default"/>
              <w:spacing w:before="120" w:after="120"/>
              <w:ind w:left="720"/>
              <w:jc w:val="both"/>
              <w:rPr>
                <w:bCs/>
                <w:noProof/>
                <w:color w:val="auto"/>
                <w:lang w:val="en-GB"/>
              </w:rPr>
            </w:pPr>
            <m:oMathPara>
              <m:oMath>
                <m:sSub>
                  <m:sSubPr>
                    <m:ctrlPr>
                      <w:rPr>
                        <w:rFonts w:ascii="Cambria Math" w:hAnsi="Cambria Math"/>
                        <w:bCs/>
                        <w:noProof/>
                        <w:lang w:val="en-GB"/>
                      </w:rPr>
                    </m:ctrlPr>
                  </m:sSubPr>
                  <m:e>
                    <m:acc>
                      <m:accPr>
                        <m:chr m:val="̅"/>
                        <m:ctrlPr>
                          <w:rPr>
                            <w:rFonts w:ascii="Cambria Math" w:hAnsi="Cambria Math"/>
                            <w:i/>
                            <w:noProof/>
                            <w:lang w:val="en-GB"/>
                          </w:rPr>
                        </m:ctrlPr>
                      </m:accPr>
                      <m:e>
                        <m:r>
                          <w:rPr>
                            <w:rFonts w:ascii="Cambria Math" w:hAnsi="Cambria Math"/>
                            <w:noProof/>
                            <w:lang w:val="en-GB"/>
                          </w:rPr>
                          <m:t>FDI</m:t>
                        </m:r>
                      </m:e>
                    </m:acc>
                  </m:e>
                  <m:sub>
                    <m:r>
                      <w:rPr>
                        <w:rFonts w:ascii="Cambria Math" w:hAnsi="Cambria Math"/>
                        <w:noProof/>
                        <w:lang w:val="en-GB"/>
                      </w:rPr>
                      <m:t>i</m:t>
                    </m:r>
                  </m:sub>
                </m:sSub>
                <m:r>
                  <w:rPr>
                    <w:rFonts w:ascii="Cambria Math" w:hAnsi="Cambria Math"/>
                    <w:noProof/>
                    <w:lang w:val="en-GB"/>
                  </w:rPr>
                  <m:t>=</m:t>
                </m:r>
                <m:sSub>
                  <m:sSubPr>
                    <m:ctrlPr>
                      <w:rPr>
                        <w:rFonts w:ascii="Cambria Math" w:hAnsi="Cambria Math"/>
                        <w:bCs/>
                        <w:i/>
                        <w:noProof/>
                        <w:lang w:val="en-GB"/>
                      </w:rPr>
                    </m:ctrlPr>
                  </m:sSubPr>
                  <m:e>
                    <m:r>
                      <w:rPr>
                        <w:rFonts w:ascii="Cambria Math" w:hAnsi="Cambria Math"/>
                        <w:noProof/>
                        <w:lang w:val="en-GB"/>
                      </w:rPr>
                      <m:t>α</m:t>
                    </m:r>
                  </m:e>
                  <m:sub>
                    <m:r>
                      <w:rPr>
                        <w:rFonts w:ascii="Cambria Math" w:hAnsi="Cambria Math"/>
                        <w:noProof/>
                        <w:lang w:val="en-GB"/>
                      </w:rPr>
                      <m:t>i</m:t>
                    </m:r>
                  </m:sub>
                </m:sSub>
                <m:r>
                  <w:rPr>
                    <w:rFonts w:ascii="Cambria Math" w:hAnsi="Cambria Math"/>
                    <w:noProof/>
                    <w:lang w:val="en-GB"/>
                  </w:rPr>
                  <m:t>+β</m:t>
                </m:r>
                <m:sSub>
                  <m:sSubPr>
                    <m:ctrlPr>
                      <w:rPr>
                        <w:rFonts w:ascii="Cambria Math" w:hAnsi="Cambria Math"/>
                        <w:bCs/>
                        <w:i/>
                        <w:noProof/>
                        <w:lang w:val="en-GB"/>
                      </w:rPr>
                    </m:ctrlPr>
                  </m:sSubPr>
                  <m:e>
                    <m:acc>
                      <m:accPr>
                        <m:chr m:val="̅"/>
                        <m:ctrlPr>
                          <w:rPr>
                            <w:rFonts w:ascii="Cambria Math" w:hAnsi="Cambria Math"/>
                            <w:bCs/>
                            <w:i/>
                            <w:noProof/>
                            <w:lang w:val="en-GB"/>
                          </w:rPr>
                        </m:ctrlPr>
                      </m:accPr>
                      <m:e>
                        <m:r>
                          <w:rPr>
                            <w:rFonts w:ascii="Cambria Math" w:hAnsi="Cambria Math"/>
                            <w:noProof/>
                            <w:lang w:val="en-GB"/>
                          </w:rPr>
                          <m:t>x</m:t>
                        </m:r>
                      </m:e>
                    </m:acc>
                  </m:e>
                  <m:sub>
                    <m:r>
                      <w:rPr>
                        <w:rFonts w:ascii="Cambria Math" w:hAnsi="Cambria Math"/>
                        <w:noProof/>
                        <w:lang w:val="en-GB"/>
                      </w:rPr>
                      <m:t>i</m:t>
                    </m:r>
                  </m:sub>
                </m:sSub>
                <m:r>
                  <w:rPr>
                    <w:rFonts w:ascii="Cambria Math" w:hAnsi="Cambria Math"/>
                    <w:noProof/>
                    <w:lang w:val="en-GB"/>
                  </w:rPr>
                  <m:t>+</m:t>
                </m:r>
                <m:sSub>
                  <m:sSubPr>
                    <m:ctrlPr>
                      <w:rPr>
                        <w:rFonts w:ascii="Cambria Math" w:hAnsi="Cambria Math"/>
                        <w:bCs/>
                        <w:i/>
                        <w:noProof/>
                        <w:lang w:val="en-GB"/>
                      </w:rPr>
                    </m:ctrlPr>
                  </m:sSubPr>
                  <m:e>
                    <m:acc>
                      <m:accPr>
                        <m:chr m:val="̅"/>
                        <m:ctrlPr>
                          <w:rPr>
                            <w:rFonts w:ascii="Cambria Math" w:hAnsi="Cambria Math"/>
                            <w:bCs/>
                            <w:i/>
                            <w:noProof/>
                            <w:lang w:val="en-GB"/>
                          </w:rPr>
                        </m:ctrlPr>
                      </m:accPr>
                      <m:e>
                        <m:r>
                          <w:rPr>
                            <w:rFonts w:ascii="Cambria Math" w:hAnsi="Cambria Math"/>
                            <w:noProof/>
                            <w:lang w:val="en-GB"/>
                          </w:rPr>
                          <m:t>ε</m:t>
                        </m:r>
                      </m:e>
                    </m:acc>
                  </m:e>
                  <m:sub>
                    <m:r>
                      <w:rPr>
                        <w:rFonts w:ascii="Cambria Math" w:hAnsi="Cambria Math"/>
                        <w:noProof/>
                        <w:lang w:val="en-GB"/>
                      </w:rPr>
                      <m:t>i</m:t>
                    </m:r>
                  </m:sub>
                </m:sSub>
              </m:oMath>
            </m:oMathPara>
          </w:p>
        </w:tc>
        <w:tc>
          <w:tcPr>
            <w:tcW w:w="1170" w:type="dxa"/>
            <w:shd w:val="clear" w:color="auto" w:fill="auto"/>
            <w:vAlign w:val="center"/>
          </w:tcPr>
          <w:p w:rsidR="009973A2" w:rsidRPr="00743AC4" w:rsidRDefault="009973A2" w:rsidP="00C96CD3">
            <w:pPr>
              <w:pStyle w:val="Legenda"/>
              <w:rPr>
                <w:noProof/>
                <w:lang w:val="en-GB"/>
              </w:rPr>
            </w:pPr>
            <w:r w:rsidRPr="00743AC4">
              <w:rPr>
                <w:noProof/>
                <w:lang w:val="en-GB"/>
              </w:rPr>
              <w:t>(2)</w:t>
            </w:r>
          </w:p>
          <w:p w:rsidR="009973A2" w:rsidRPr="00743AC4" w:rsidRDefault="009973A2" w:rsidP="00C96CD3">
            <w:pPr>
              <w:rPr>
                <w:rFonts w:cs="Times New Roman"/>
                <w:lang w:val="en-GB" w:eastAsia="pt-PT"/>
              </w:rPr>
            </w:pPr>
          </w:p>
        </w:tc>
      </w:tr>
    </w:tbl>
    <w:p w:rsidR="009973A2" w:rsidRPr="00743AC4" w:rsidRDefault="009973A2" w:rsidP="009973A2">
      <w:pPr>
        <w:tabs>
          <w:tab w:val="left" w:pos="720"/>
          <w:tab w:val="num" w:pos="1440"/>
        </w:tabs>
        <w:ind w:firstLine="0"/>
        <w:rPr>
          <w:rFonts w:cs="Times New Roman"/>
          <w:noProof/>
          <w:lang w:val="en-GB"/>
        </w:rPr>
      </w:pPr>
      <w:r w:rsidRPr="00743AC4">
        <w:rPr>
          <w:rFonts w:cs="Times New Roman"/>
          <w:noProof/>
          <w:lang w:val="en-GB"/>
        </w:rPr>
        <w:t xml:space="preserve">Where </w:t>
      </w:r>
      <w:r w:rsidRPr="00743AC4">
        <w:rPr>
          <w:rFonts w:cs="Times New Roman"/>
          <w:noProof/>
          <w:lang w:eastAsia="pt-PT"/>
        </w:rPr>
        <w:drawing>
          <wp:inline distT="0" distB="0" distL="0" distR="0" wp14:anchorId="38EF586D" wp14:editId="51202E7B">
            <wp:extent cx="170603" cy="236220"/>
            <wp:effectExtent l="0" t="0" r="0" b="0"/>
            <wp:docPr id="100009" name="Imagem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
                    <pic:cNvPicPr>
                      <a:picLocks noChangeAspect="1"/>
                    </pic:cNvPicPr>
                  </pic:nvPicPr>
                  <pic:blipFill>
                    <a:blip r:embed="rId6"/>
                    <a:stretch>
                      <a:fillRect/>
                    </a:stretch>
                  </pic:blipFill>
                  <pic:spPr>
                    <a:xfrm>
                      <a:off x="0" y="0"/>
                      <a:ext cx="170603" cy="236220"/>
                    </a:xfrm>
                    <a:prstGeom prst="rect">
                      <a:avLst/>
                    </a:prstGeom>
                  </pic:spPr>
                </pic:pic>
              </a:graphicData>
            </a:graphic>
          </wp:inline>
        </w:drawing>
      </w:r>
      <w:r w:rsidRPr="00743AC4">
        <w:rPr>
          <w:rFonts w:cs="Times New Roman"/>
          <w:noProof/>
          <w:lang w:val="en-GB"/>
        </w:rPr>
        <w:t>it is fixed in time, it appears in both equation (1) and equation (2). However, the fixed effect estimator has implicitly the idea of eliminating the unobserved fixed effect</w:t>
      </w:r>
      <w:r w:rsidRPr="00743AC4">
        <w:rPr>
          <w:rFonts w:cs="Times New Roman"/>
          <w:noProof/>
          <w:lang w:eastAsia="pt-PT"/>
        </w:rPr>
        <w:drawing>
          <wp:inline distT="0" distB="0" distL="0" distR="0" wp14:anchorId="5AA3F934" wp14:editId="5F9C1588">
            <wp:extent cx="170603" cy="236220"/>
            <wp:effectExtent l="0" t="0" r="0" b="0"/>
            <wp:docPr id="100011" name="Imagem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
                    <pic:cNvPicPr>
                      <a:picLocks noChangeAspect="1"/>
                    </pic:cNvPicPr>
                  </pic:nvPicPr>
                  <pic:blipFill>
                    <a:blip r:embed="rId6"/>
                    <a:stretch>
                      <a:fillRect/>
                    </a:stretch>
                  </pic:blipFill>
                  <pic:spPr>
                    <a:xfrm>
                      <a:off x="0" y="0"/>
                      <a:ext cx="170603" cy="236220"/>
                    </a:xfrm>
                    <a:prstGeom prst="rect">
                      <a:avLst/>
                    </a:prstGeom>
                  </pic:spPr>
                </pic:pic>
              </a:graphicData>
            </a:graphic>
          </wp:inline>
        </w:drawing>
      </w:r>
      <w:r w:rsidRPr="00743AC4">
        <w:rPr>
          <w:rFonts w:cs="Times New Roman"/>
          <w:noProof/>
          <w:lang w:val="en-GB"/>
        </w:rPr>
        <w:t xml:space="preserve"> before the estimation, based on the hypothesis of strict exogeneity, that is, </w:t>
      </w:r>
      <m:oMath>
        <m:r>
          <m:rPr>
            <m:sty m:val="p"/>
          </m:rPr>
          <w:rPr>
            <w:rFonts w:ascii="Cambria Math" w:hAnsi="Cambria Math" w:cs="Times New Roman"/>
            <w:noProof/>
            <w:lang w:val="en-GB"/>
          </w:rPr>
          <m:t>E</m:t>
        </m:r>
        <m:d>
          <m:dPr>
            <m:ctrlPr>
              <w:rPr>
                <w:rFonts w:ascii="Cambria Math" w:hAnsi="Cambria Math" w:cs="Times New Roman"/>
                <w:i/>
                <w:noProof/>
                <w:lang w:val="en-GB"/>
              </w:rPr>
            </m:ctrlPr>
          </m:dPr>
          <m:e>
            <m:sSub>
              <m:sSubPr>
                <m:ctrlPr>
                  <w:rPr>
                    <w:rFonts w:ascii="Cambria Math" w:hAnsi="Cambria Math" w:cs="Times New Roman"/>
                    <w:i/>
                    <w:noProof/>
                    <w:lang w:val="en-GB"/>
                  </w:rPr>
                </m:ctrlPr>
              </m:sSubPr>
              <m:e>
                <m:r>
                  <m:rPr>
                    <m:sty m:val="p"/>
                  </m:rPr>
                  <w:rPr>
                    <w:rFonts w:ascii="Cambria Math" w:hAnsi="Cambria Math" w:cs="Times New Roman"/>
                    <w:noProof/>
                    <w:lang w:val="en-GB"/>
                  </w:rPr>
                  <m:t>ε</m:t>
                </m:r>
              </m:e>
              <m:sub>
                <m:r>
                  <m:rPr>
                    <m:sty m:val="p"/>
                  </m:rPr>
                  <w:rPr>
                    <w:rFonts w:ascii="Cambria Math" w:hAnsi="Cambria Math" w:cs="Times New Roman"/>
                    <w:noProof/>
                    <w:lang w:val="en-GB"/>
                  </w:rPr>
                  <m:t>it</m:t>
                </m:r>
              </m:sub>
            </m:sSub>
          </m:e>
          <m:e>
            <m:sSub>
              <m:sSubPr>
                <m:ctrlPr>
                  <w:rPr>
                    <w:rFonts w:ascii="Cambria Math" w:hAnsi="Cambria Math" w:cs="Times New Roman"/>
                    <w:i/>
                    <w:noProof/>
                    <w:lang w:val="en-GB"/>
                  </w:rPr>
                </m:ctrlPr>
              </m:sSubPr>
              <m:e>
                <m:r>
                  <m:rPr>
                    <m:sty m:val="p"/>
                  </m:rPr>
                  <w:rPr>
                    <w:rFonts w:ascii="Cambria Math" w:hAnsi="Cambria Math" w:cs="Times New Roman"/>
                    <w:noProof/>
                    <w:lang w:val="en-GB"/>
                  </w:rPr>
                  <m:t>x</m:t>
                </m:r>
              </m:e>
              <m:sub>
                <m:r>
                  <m:rPr>
                    <m:sty m:val="p"/>
                  </m:rPr>
                  <w:rPr>
                    <w:rFonts w:ascii="Cambria Math" w:hAnsi="Cambria Math" w:cs="Times New Roman"/>
                    <w:noProof/>
                    <w:lang w:val="en-GB"/>
                  </w:rPr>
                  <m:t>i</m:t>
                </m:r>
              </m:sub>
            </m:sSub>
            <m:r>
              <m:rPr>
                <m:sty m:val="p"/>
              </m:rPr>
              <w:rPr>
                <w:rFonts w:ascii="Cambria Math" w:hAnsi="Cambria Math" w:cs="Times New Roman"/>
                <w:noProof/>
                <w:lang w:val="en-GB"/>
              </w:rPr>
              <m:t xml:space="preserve">, </m:t>
            </m:r>
            <m:sSub>
              <m:sSubPr>
                <m:ctrlPr>
                  <w:rPr>
                    <w:rFonts w:ascii="Cambria Math" w:hAnsi="Cambria Math" w:cs="Times New Roman"/>
                    <w:i/>
                    <w:noProof/>
                    <w:lang w:val="en-GB"/>
                  </w:rPr>
                </m:ctrlPr>
              </m:sSubPr>
              <m:e>
                <m:r>
                  <m:rPr>
                    <m:sty m:val="p"/>
                  </m:rPr>
                  <w:rPr>
                    <w:rFonts w:ascii="Cambria Math" w:hAnsi="Cambria Math" w:cs="Times New Roman"/>
                    <w:noProof/>
                    <w:lang w:val="en-GB"/>
                  </w:rPr>
                  <m:t>α</m:t>
                </m:r>
              </m:e>
              <m:sub>
                <m:r>
                  <m:rPr>
                    <m:sty m:val="p"/>
                  </m:rPr>
                  <w:rPr>
                    <w:rFonts w:ascii="Cambria Math" w:hAnsi="Cambria Math" w:cs="Times New Roman"/>
                    <w:noProof/>
                    <w:lang w:val="en-GB"/>
                  </w:rPr>
                  <m:t>i</m:t>
                </m:r>
              </m:sub>
            </m:sSub>
          </m:e>
        </m:d>
        <m:r>
          <m:rPr>
            <m:sty m:val="p"/>
          </m:rPr>
          <w:rPr>
            <w:rFonts w:ascii="Cambria Math" w:hAnsi="Cambria Math" w:cs="Times New Roman"/>
            <w:noProof/>
            <w:lang w:val="en-GB"/>
          </w:rPr>
          <m:t>=0</m:t>
        </m:r>
      </m:oMath>
      <w:r w:rsidRPr="00743AC4">
        <w:rPr>
          <w:rFonts w:cs="Times New Roman"/>
          <w:noProof/>
          <w:lang w:val="en-GB"/>
        </w:rPr>
        <w:t xml:space="preserve">. For this, fixed effects transformation is used, which is also called intra-group transformation, consisting of the subtraction of (2) from (1), resulting in data centered on the average of </w:t>
      </w:r>
      <m:oMath>
        <m:r>
          <m:rPr>
            <m:sty m:val="p"/>
          </m:rPr>
          <w:rPr>
            <w:rFonts w:ascii="Cambria Math" w:hAnsi="Cambria Math" w:cs="Times New Roman"/>
            <w:noProof/>
            <w:lang w:val="en-GB"/>
          </w:rPr>
          <m:t>FDI, x and ε</m:t>
        </m:r>
      </m:oMath>
      <w:r w:rsidRPr="00743AC4">
        <w:rPr>
          <w:rFonts w:cs="Times New Roman"/>
          <w:noProof/>
          <w:lang w:val="en-GB"/>
        </w:rPr>
        <w:t xml:space="preserve"> in time.</w:t>
      </w:r>
    </w:p>
    <w:p w:rsidR="009973A2" w:rsidRPr="00743AC4" w:rsidRDefault="009973A2" w:rsidP="009973A2">
      <w:pPr>
        <w:tabs>
          <w:tab w:val="left" w:pos="720"/>
          <w:tab w:val="num" w:pos="1440"/>
        </w:tabs>
        <w:ind w:firstLine="0"/>
        <w:rPr>
          <w:rFonts w:cs="Times New Roman"/>
          <w:noProof/>
          <w:lang w:val="en-GB"/>
        </w:rPr>
      </w:pPr>
    </w:p>
    <w:p w:rsidR="009973A2" w:rsidRPr="00743AC4" w:rsidRDefault="009973A2" w:rsidP="009973A2">
      <w:pPr>
        <w:tabs>
          <w:tab w:val="left" w:pos="720"/>
          <w:tab w:val="num" w:pos="1440"/>
        </w:tabs>
        <w:ind w:firstLine="0"/>
        <w:rPr>
          <w:rFonts w:cs="Times New Roman"/>
          <w:noProof/>
          <w:lang w:val="en-GB"/>
        </w:rPr>
      </w:pPr>
      <w:r w:rsidRPr="00743AC4">
        <w:rPr>
          <w:rFonts w:cs="Times New Roman"/>
          <w:noProof/>
          <w:lang w:val="en-GB"/>
        </w:rPr>
        <w:t xml:space="preserve">It is worth noting that the static panel is susceptible to some problems with endogeneity, resulting from </w:t>
      </w:r>
      <w:r w:rsidRPr="00743AC4">
        <w:rPr>
          <w:rFonts w:cs="Times New Roman"/>
          <w:noProof/>
          <w:color w:val="000000"/>
          <w:lang w:val="en-GB"/>
        </w:rPr>
        <w:t>the correlation between some explanatory variable and the error term. Furthermore, certain</w:t>
      </w:r>
      <w:r w:rsidRPr="00743AC4">
        <w:rPr>
          <w:rFonts w:cs="Times New Roman"/>
          <w:noProof/>
          <w:lang w:val="en-GB"/>
        </w:rPr>
        <w:t xml:space="preserve"> economic series may relate not only to each other but also to their past </w:t>
      </w:r>
      <w:r w:rsidRPr="00743AC4">
        <w:rPr>
          <w:rFonts w:cs="Times New Roman"/>
          <w:noProof/>
          <w:lang w:val="en-GB"/>
        </w:rPr>
        <w:lastRenderedPageBreak/>
        <w:t>values (Frascarolli and Oliveira, 2017). Therefore, we resort to the dynamic panel model using the Generalized Moments Method (GMM) proposed by Arellano and Bond (1991)</w:t>
      </w:r>
      <w:r w:rsidRPr="00743AC4">
        <w:rPr>
          <w:rFonts w:cs="Times New Roman"/>
          <w:noProof/>
          <w:lang w:val="en-GB"/>
        </w:rPr>
        <w:fldChar w:fldCharType="begin" w:fldLock="1"/>
      </w:r>
      <w:r w:rsidRPr="00743AC4">
        <w:rPr>
          <w:rFonts w:cs="Times New Roman"/>
          <w:noProof/>
          <w:lang w:val="en-GB"/>
        </w:rPr>
        <w:instrText>ADDIN CSL_CITATION {"citationItems":[{"id":"ITEM-1","itemData":{"author":[{"dropping-particle":"","family":"Arellano","given":"M.","non-dropping-particle":"","parse-names":false,"suffix":""},{"dropping-particle":"","family":"Bond","given":"S.","non-dropping-particle":"","parse-names":false,"suffix":""}],"container-title":"Review of Economic Studies","id":"ITEM-1","issued":{"date-parts":[["1991"]]},"page":"277–97","title":"Some tests of specification for panel data: Monte Carlo evidence and an application to employment equations.","type":"article-journal","volume":"58"},"suppress-author":1,"uris":["http://www.mendeley.com/documents/?uuid=ad12d1ee-f554-4a0d-a7ab-1a7042373d72"]}],"mendeley":{"formattedCitation":"(1991)","plainTextFormattedCitation":"(1991)","previouslyFormattedCitation":"(1991)"},"properties":{"noteIndex":0},"schema":"https://github.com/citation-style-language/schema/raw/master/csl-citation.json"}</w:instrText>
      </w:r>
      <w:r w:rsidRPr="00743AC4">
        <w:rPr>
          <w:rFonts w:cs="Times New Roman"/>
          <w:noProof/>
          <w:lang w:val="en-GB"/>
        </w:rPr>
        <w:fldChar w:fldCharType="separate"/>
      </w:r>
      <w:r w:rsidRPr="00743AC4">
        <w:rPr>
          <w:rFonts w:cs="Times New Roman"/>
          <w:noProof/>
          <w:lang w:val="en-GB"/>
        </w:rPr>
        <w:t>(1991)</w:t>
      </w:r>
      <w:r w:rsidRPr="00743AC4">
        <w:rPr>
          <w:rFonts w:cs="Times New Roman"/>
          <w:noProof/>
          <w:lang w:val="en-GB"/>
        </w:rPr>
        <w:fldChar w:fldCharType="end"/>
      </w:r>
      <w:r w:rsidRPr="00743AC4">
        <w:rPr>
          <w:rFonts w:cs="Times New Roman"/>
          <w:noProof/>
          <w:lang w:val="en-GB"/>
        </w:rPr>
        <w:t xml:space="preserve"> and Bover (1995), and </w:t>
      </w:r>
      <w:r w:rsidRPr="00743AC4">
        <w:rPr>
          <w:rFonts w:cs="Times New Roman"/>
          <w:noProof/>
          <w:lang w:val="en-GB"/>
        </w:rPr>
        <w:fldChar w:fldCharType="begin" w:fldLock="1"/>
      </w:r>
      <w:r w:rsidRPr="00743AC4">
        <w:rPr>
          <w:rFonts w:cs="Times New Roman"/>
          <w:noProof/>
          <w:lang w:val="en-GB"/>
        </w:rPr>
        <w:instrText>ADDIN CSL_CITATION {"citationItems":[{"id":"ITEM-1","itemData":{"author":[{"dropping-particle":"","family":"Arellano","given":"M.","non-dropping-particle":"","parse-names":false,"suffix":""},{"dropping-particle":"","family":"Bover","given":"O.","non-dropping-particle":"","parse-names":false,"suffix":""}],"container-title":"Journal of Econometrics","id":"ITEM-1","issued":{"date-parts":[["1995"]]},"page":"29–51","title":"Another look at the instrumental-variable estimation of error-components models","type":"article-journal","volume":"68"},"suppress-author":1,"uris":["http://www.mendeley.com/documents/?uuid=f3d78530-9af9-4bb0-923a-fb4c372f97a9"]}],"mendeley":{"formattedCitation":"(1995)","plainTextFormattedCitation":"(1995)","previouslyFormattedCitation":"(1995)"},"properties":{"noteIndex":0},"schema":"https://github.com/citation-style-language/schema/raw/master/csl-citation.json"}</w:instrText>
      </w:r>
      <w:r w:rsidRPr="00743AC4">
        <w:rPr>
          <w:rFonts w:cs="Times New Roman"/>
          <w:noProof/>
          <w:lang w:val="en-GB"/>
        </w:rPr>
        <w:fldChar w:fldCharType="separate"/>
      </w:r>
      <w:r w:rsidRPr="00743AC4">
        <w:rPr>
          <w:rFonts w:cs="Times New Roman"/>
          <w:noProof/>
          <w:lang w:val="en-GB"/>
        </w:rPr>
        <w:t>(1995)</w:t>
      </w:r>
      <w:r w:rsidRPr="00743AC4">
        <w:rPr>
          <w:rFonts w:cs="Times New Roman"/>
          <w:noProof/>
          <w:lang w:val="en-GB"/>
        </w:rPr>
        <w:fldChar w:fldCharType="end"/>
      </w:r>
      <w:r w:rsidRPr="00743AC4">
        <w:rPr>
          <w:rFonts w:cs="Times New Roman"/>
          <w:noProof/>
          <w:lang w:val="en-GB"/>
        </w:rPr>
        <w:t xml:space="preserve"> and Bover (1998), for generating more consistent estimators. </w:t>
      </w:r>
    </w:p>
    <w:p w:rsidR="009973A2" w:rsidRPr="00743AC4" w:rsidRDefault="009973A2" w:rsidP="009973A2">
      <w:pPr>
        <w:tabs>
          <w:tab w:val="left" w:pos="720"/>
          <w:tab w:val="num" w:pos="1440"/>
        </w:tabs>
        <w:ind w:firstLine="0"/>
        <w:rPr>
          <w:rFonts w:cs="Times New Roman"/>
          <w:noProof/>
          <w:lang w:val="en-GB"/>
        </w:rPr>
      </w:pPr>
    </w:p>
    <w:p w:rsidR="009973A2" w:rsidRPr="00743AC4" w:rsidRDefault="009973A2" w:rsidP="009973A2">
      <w:pPr>
        <w:tabs>
          <w:tab w:val="left" w:pos="720"/>
          <w:tab w:val="num" w:pos="1440"/>
        </w:tabs>
        <w:ind w:firstLine="0"/>
        <w:rPr>
          <w:rFonts w:cs="Times New Roman"/>
          <w:noProof/>
          <w:lang w:val="en-GB"/>
        </w:rPr>
      </w:pPr>
      <w:r w:rsidRPr="00743AC4">
        <w:rPr>
          <w:rFonts w:cs="Times New Roman"/>
          <w:noProof/>
          <w:lang w:val="en-GB"/>
        </w:rPr>
        <w:t>The dynamic model portrays the time path of the dependent variable in relation to its past values. That is, according to Greene</w:t>
      </w:r>
      <w:r w:rsidRPr="00743AC4">
        <w:rPr>
          <w:rFonts w:cs="Times New Roman"/>
          <w:noProof/>
          <w:lang w:val="en-GB"/>
        </w:rPr>
        <w:fldChar w:fldCharType="begin" w:fldLock="1"/>
      </w:r>
      <w:r w:rsidRPr="00743AC4">
        <w:rPr>
          <w:rFonts w:cs="Times New Roman"/>
          <w:noProof/>
          <w:lang w:val="en-GB"/>
        </w:rPr>
        <w:instrText>ADDIN CSL_CITATION {"citationItems":[{"id":"ITEM-1","itemData":{"ISBN":"0130661899","author":[{"dropping-particle":"","family":"Greene","given":"William H.","non-dropping-particle":"","parse-names":false,"suffix":""}],"id":"ITEM-1","issued":{"date-parts":[["2002"]]},"title":"Econometric Analysis","type":"book"},"suppress-author":1,"uris":["http://www.mendeley.com/documents/?uuid=a503114d-5fff-4ae2-ba07-365a74ee49db"]}],"mendeley":{"formattedCitation":"(2002)","plainTextFormattedCitation":"(2002)","previouslyFormattedCitation":"(2002)"},"properties":{"noteIndex":0},"schema":"https://github.com/citation-style-language/schema/raw/master/csl-citation.json"}</w:instrText>
      </w:r>
      <w:r w:rsidRPr="00743AC4">
        <w:rPr>
          <w:rFonts w:cs="Times New Roman"/>
          <w:noProof/>
          <w:lang w:val="en-GB"/>
        </w:rPr>
        <w:fldChar w:fldCharType="separate"/>
      </w:r>
      <w:r w:rsidRPr="00743AC4">
        <w:rPr>
          <w:rFonts w:cs="Times New Roman"/>
          <w:noProof/>
          <w:lang w:val="en-GB"/>
        </w:rPr>
        <w:t>(2002)</w:t>
      </w:r>
      <w:r w:rsidRPr="00743AC4">
        <w:rPr>
          <w:rFonts w:cs="Times New Roman"/>
          <w:noProof/>
          <w:lang w:val="en-GB"/>
        </w:rPr>
        <w:fldChar w:fldCharType="end"/>
      </w:r>
      <w:r w:rsidRPr="00743AC4">
        <w:rPr>
          <w:rFonts w:cs="Times New Roman"/>
          <w:noProof/>
          <w:lang w:val="en-GB"/>
        </w:rPr>
        <w:t xml:space="preserve">, in models with lagged endogenous variables, both the current values of the variables and exogenous disturbances, and their previous time path, determine the current value of endogenous variables. Therefore, in order to test the effects of macroeconomic variables on the FDI inflow, we estimate the dynamic model, specified as follows: </w:t>
      </w:r>
    </w:p>
    <w:p w:rsidR="009973A2" w:rsidRPr="00743AC4" w:rsidRDefault="009973A2" w:rsidP="009973A2">
      <w:pPr>
        <w:tabs>
          <w:tab w:val="left" w:pos="720"/>
          <w:tab w:val="num" w:pos="1440"/>
        </w:tabs>
        <w:rPr>
          <w:rFonts w:cs="Times New Roman"/>
          <w:noProof/>
          <w:lang w:val="en-GB"/>
        </w:rPr>
      </w:pPr>
    </w:p>
    <w:tbl>
      <w:tblPr>
        <w:tblW w:w="8563" w:type="dxa"/>
        <w:tblLook w:val="04A0" w:firstRow="1" w:lastRow="0" w:firstColumn="1" w:lastColumn="0" w:noHBand="0" w:noVBand="1"/>
      </w:tblPr>
      <w:tblGrid>
        <w:gridCol w:w="7385"/>
        <w:gridCol w:w="1178"/>
      </w:tblGrid>
      <w:tr w:rsidR="009973A2" w:rsidRPr="00743AC4" w:rsidTr="00C96CD3">
        <w:trPr>
          <w:trHeight w:val="399"/>
        </w:trPr>
        <w:tc>
          <w:tcPr>
            <w:tcW w:w="7385" w:type="dxa"/>
            <w:shd w:val="clear" w:color="auto" w:fill="auto"/>
          </w:tcPr>
          <w:p w:rsidR="009973A2" w:rsidRPr="00743AC4" w:rsidRDefault="009973A2" w:rsidP="00C96CD3">
            <w:pPr>
              <w:rPr>
                <w:rFonts w:cs="Times New Roman"/>
                <w:noProof/>
                <w:szCs w:val="24"/>
                <w:lang w:val="en-GB"/>
              </w:rPr>
            </w:pPr>
            <m:oMathPara>
              <m:oMathParaPr>
                <m:jc m:val="center"/>
              </m:oMathParaPr>
              <m:oMath>
                <m:sSub>
                  <m:sSubPr>
                    <m:ctrlPr>
                      <w:rPr>
                        <w:rFonts w:ascii="Cambria Math" w:hAnsi="Cambria Math" w:cs="Times New Roman"/>
                        <w:bCs/>
                        <w:i/>
                        <w:noProof/>
                        <w:lang w:val="en-GB"/>
                      </w:rPr>
                    </m:ctrlPr>
                  </m:sSubPr>
                  <m:e>
                    <m:r>
                      <w:rPr>
                        <w:rFonts w:ascii="Cambria Math" w:hAnsi="Cambria Math" w:cs="Times New Roman"/>
                        <w:noProof/>
                        <w:lang w:val="en-GB"/>
                      </w:rPr>
                      <m:t>FDI</m:t>
                    </m:r>
                  </m:e>
                  <m:sub>
                    <m:r>
                      <w:rPr>
                        <w:rFonts w:ascii="Cambria Math" w:hAnsi="Cambria Math" w:cs="Times New Roman"/>
                        <w:noProof/>
                        <w:lang w:val="en-GB"/>
                      </w:rPr>
                      <m:t>it</m:t>
                    </m:r>
                  </m:sub>
                </m:sSub>
                <m:r>
                  <w:rPr>
                    <w:rFonts w:ascii="Cambria Math" w:hAnsi="Cambria Math" w:cs="Times New Roman"/>
                    <w:noProof/>
                    <w:lang w:val="en-GB"/>
                  </w:rPr>
                  <m:t>=γ</m:t>
                </m:r>
                <m:sSub>
                  <m:sSubPr>
                    <m:ctrlPr>
                      <w:rPr>
                        <w:rFonts w:ascii="Cambria Math" w:hAnsi="Cambria Math" w:cs="Times New Roman"/>
                        <w:bCs/>
                        <w:i/>
                        <w:noProof/>
                        <w:lang w:val="en-GB"/>
                      </w:rPr>
                    </m:ctrlPr>
                  </m:sSubPr>
                  <m:e>
                    <m:r>
                      <w:rPr>
                        <w:rFonts w:ascii="Cambria Math" w:hAnsi="Cambria Math" w:cs="Times New Roman"/>
                        <w:noProof/>
                        <w:lang w:val="en-GB"/>
                      </w:rPr>
                      <m:t>FDI</m:t>
                    </m:r>
                  </m:e>
                  <m:sub>
                    <m:r>
                      <w:rPr>
                        <w:rFonts w:ascii="Cambria Math" w:hAnsi="Cambria Math" w:cs="Times New Roman"/>
                        <w:noProof/>
                        <w:lang w:val="en-GB"/>
                      </w:rPr>
                      <m:t>it-1</m:t>
                    </m:r>
                  </m:sub>
                </m:sSub>
                <m:r>
                  <w:rPr>
                    <w:rFonts w:ascii="Cambria Math" w:hAnsi="Cambria Math" w:cs="Times New Roman"/>
                    <w:noProof/>
                    <w:lang w:val="en-GB"/>
                  </w:rPr>
                  <m:t>+β</m:t>
                </m:r>
                <m:sSubSup>
                  <m:sSubSupPr>
                    <m:ctrlPr>
                      <w:rPr>
                        <w:rFonts w:ascii="Cambria Math" w:hAnsi="Cambria Math" w:cs="Times New Roman"/>
                        <w:i/>
                        <w:noProof/>
                        <w:lang w:val="en-GB"/>
                      </w:rPr>
                    </m:ctrlPr>
                  </m:sSubSupPr>
                  <m:e>
                    <m:r>
                      <w:rPr>
                        <w:rFonts w:ascii="Cambria Math" w:hAnsi="Cambria Math" w:cs="Times New Roman"/>
                        <w:noProof/>
                        <w:lang w:val="en-GB"/>
                      </w:rPr>
                      <m:t>x</m:t>
                    </m:r>
                  </m:e>
                  <m:sub>
                    <m:r>
                      <w:rPr>
                        <w:rFonts w:ascii="Cambria Math" w:hAnsi="Cambria Math" w:cs="Times New Roman"/>
                        <w:noProof/>
                        <w:lang w:val="en-GB"/>
                      </w:rPr>
                      <m:t>it</m:t>
                    </m:r>
                  </m:sub>
                  <m:sup>
                    <m:r>
                      <w:rPr>
                        <w:rFonts w:ascii="Cambria Math" w:hAnsi="Cambria Math" w:cs="Times New Roman"/>
                        <w:noProof/>
                        <w:lang w:val="en-GB"/>
                      </w:rPr>
                      <m:t>´</m:t>
                    </m:r>
                  </m:sup>
                </m:sSubSup>
                <m:r>
                  <w:rPr>
                    <w:rFonts w:ascii="Cambria Math" w:hAnsi="Cambria Math" w:cs="Times New Roman"/>
                    <w:noProof/>
                    <w:lang w:val="en-GB"/>
                  </w:rPr>
                  <m:t>+</m:t>
                </m:r>
                <m:sSub>
                  <m:sSubPr>
                    <m:ctrlPr>
                      <w:rPr>
                        <w:rFonts w:ascii="Cambria Math" w:hAnsi="Cambria Math" w:cs="Times New Roman"/>
                        <w:bCs/>
                        <w:i/>
                        <w:noProof/>
                        <w:lang w:val="en-GB"/>
                      </w:rPr>
                    </m:ctrlPr>
                  </m:sSubPr>
                  <m:e>
                    <m:r>
                      <w:rPr>
                        <w:rFonts w:ascii="Cambria Math" w:hAnsi="Cambria Math" w:cs="Times New Roman"/>
                        <w:noProof/>
                        <w:lang w:val="en-GB"/>
                      </w:rPr>
                      <m:t>α</m:t>
                    </m:r>
                  </m:e>
                  <m:sub>
                    <m:r>
                      <w:rPr>
                        <w:rFonts w:ascii="Cambria Math" w:hAnsi="Cambria Math" w:cs="Times New Roman"/>
                        <w:noProof/>
                        <w:lang w:val="en-GB"/>
                      </w:rPr>
                      <m:t>i</m:t>
                    </m:r>
                  </m:sub>
                </m:sSub>
                <m:r>
                  <w:rPr>
                    <w:rFonts w:ascii="Cambria Math" w:hAnsi="Cambria Math" w:cs="Times New Roman"/>
                    <w:noProof/>
                    <w:lang w:val="en-GB"/>
                  </w:rPr>
                  <m:t>+</m:t>
                </m:r>
                <m:sSub>
                  <m:sSubPr>
                    <m:ctrlPr>
                      <w:rPr>
                        <w:rFonts w:ascii="Cambria Math" w:hAnsi="Cambria Math" w:cs="Times New Roman"/>
                        <w:i/>
                        <w:noProof/>
                        <w:lang w:val="en-GB"/>
                      </w:rPr>
                    </m:ctrlPr>
                  </m:sSubPr>
                  <m:e>
                    <m:r>
                      <w:rPr>
                        <w:rFonts w:ascii="Cambria Math" w:hAnsi="Cambria Math" w:cs="Times New Roman"/>
                        <w:noProof/>
                        <w:lang w:val="en-GB"/>
                      </w:rPr>
                      <m:t>ε</m:t>
                    </m:r>
                  </m:e>
                  <m:sub>
                    <m:r>
                      <w:rPr>
                        <w:rFonts w:ascii="Cambria Math" w:hAnsi="Cambria Math" w:cs="Times New Roman"/>
                        <w:noProof/>
                        <w:lang w:val="en-GB"/>
                      </w:rPr>
                      <m:t>it</m:t>
                    </m:r>
                  </m:sub>
                </m:sSub>
                <m:r>
                  <w:rPr>
                    <w:rFonts w:ascii="Cambria Math" w:hAnsi="Cambria Math" w:cs="Times New Roman"/>
                    <w:noProof/>
                    <w:lang w:val="en-GB"/>
                  </w:rPr>
                  <m:t>,   i=1,…,N,    t=1,….,T</m:t>
                </m:r>
              </m:oMath>
            </m:oMathPara>
          </w:p>
        </w:tc>
        <w:tc>
          <w:tcPr>
            <w:tcW w:w="1178" w:type="dxa"/>
            <w:shd w:val="clear" w:color="auto" w:fill="auto"/>
            <w:vAlign w:val="center"/>
          </w:tcPr>
          <w:p w:rsidR="009973A2" w:rsidRPr="00743AC4" w:rsidRDefault="009973A2" w:rsidP="00C96CD3">
            <w:pPr>
              <w:ind w:firstLine="0"/>
              <w:jc w:val="right"/>
              <w:rPr>
                <w:rFonts w:cs="Times New Roman"/>
                <w:noProof/>
                <w:szCs w:val="24"/>
                <w:lang w:val="en-GB"/>
              </w:rPr>
            </w:pPr>
            <w:r w:rsidRPr="00743AC4">
              <w:rPr>
                <w:rFonts w:cs="Times New Roman"/>
                <w:noProof/>
                <w:szCs w:val="24"/>
                <w:lang w:val="en-GB"/>
              </w:rPr>
              <w:t>(3)</w:t>
            </w:r>
          </w:p>
        </w:tc>
      </w:tr>
    </w:tbl>
    <w:p w:rsidR="009973A2" w:rsidRPr="00743AC4" w:rsidRDefault="009973A2" w:rsidP="009973A2">
      <w:pPr>
        <w:ind w:firstLine="0"/>
        <w:rPr>
          <w:rFonts w:cs="Times New Roman"/>
          <w:noProof/>
          <w:lang w:val="en-GB"/>
        </w:rPr>
      </w:pPr>
      <w:r w:rsidRPr="00743AC4">
        <w:rPr>
          <w:rFonts w:cs="Times New Roman"/>
          <w:noProof/>
          <w:lang w:val="en-GB"/>
        </w:rPr>
        <w:t xml:space="preserve">of which </w:t>
      </w:r>
      <m:oMath>
        <m:r>
          <m:rPr>
            <m:sty m:val="p"/>
          </m:rPr>
          <w:rPr>
            <w:rFonts w:ascii="Cambria Math" w:hAnsi="Cambria Math" w:cs="Times New Roman"/>
            <w:noProof/>
            <w:lang w:val="en-GB"/>
          </w:rPr>
          <m:t>γ</m:t>
        </m:r>
      </m:oMath>
      <w:r w:rsidRPr="00743AC4">
        <w:rPr>
          <w:rFonts w:cs="Times New Roman"/>
          <w:noProof/>
          <w:lang w:val="en-GB"/>
        </w:rPr>
        <w:t xml:space="preserve"> is a climb, </w:t>
      </w:r>
      <m:oMath>
        <m:sSub>
          <m:sSubPr>
            <m:ctrlPr>
              <w:rPr>
                <w:rFonts w:ascii="Cambria Math" w:hAnsi="Cambria Math" w:cs="Times New Roman"/>
                <w:i/>
                <w:noProof/>
                <w:lang w:val="en-GB"/>
              </w:rPr>
            </m:ctrlPr>
          </m:sSubPr>
          <m:e>
            <m:r>
              <m:rPr>
                <m:sty m:val="p"/>
              </m:rPr>
              <w:rPr>
                <w:rFonts w:ascii="Cambria Math" w:hAnsi="Cambria Math" w:cs="Times New Roman"/>
                <w:noProof/>
                <w:lang w:val="en-GB"/>
              </w:rPr>
              <m:t>α</m:t>
            </m:r>
          </m:e>
          <m:sub>
            <m:r>
              <m:rPr>
                <m:sty m:val="p"/>
              </m:rPr>
              <w:rPr>
                <w:rFonts w:ascii="Cambria Math" w:hAnsi="Cambria Math" w:cs="Times New Roman"/>
                <w:noProof/>
                <w:lang w:val="en-GB"/>
              </w:rPr>
              <m:t>i</m:t>
            </m:r>
          </m:sub>
        </m:sSub>
      </m:oMath>
      <w:r w:rsidRPr="00743AC4">
        <w:rPr>
          <w:rFonts w:cs="Times New Roman"/>
          <w:noProof/>
          <w:lang w:val="en-GB"/>
        </w:rPr>
        <w:t xml:space="preserve"> denotes the individual effect associated with each country and invariant in time (or unobserved heterogeneity), </w:t>
      </w:r>
      <m:oMath>
        <m:sSub>
          <m:sSubPr>
            <m:ctrlPr>
              <w:rPr>
                <w:rFonts w:ascii="Cambria Math" w:hAnsi="Cambria Math" w:cs="Times New Roman"/>
                <w:i/>
                <w:noProof/>
                <w:szCs w:val="24"/>
                <w:lang w:val="en-GB"/>
              </w:rPr>
            </m:ctrlPr>
          </m:sSubPr>
          <m:e>
            <m:r>
              <m:rPr>
                <m:sty m:val="p"/>
              </m:rPr>
              <w:rPr>
                <w:rFonts w:ascii="Cambria Math" w:hAnsi="Cambria Math" w:cs="Times New Roman"/>
                <w:noProof/>
                <w:szCs w:val="24"/>
                <w:lang w:val="en-GB"/>
              </w:rPr>
              <m:t>ε</m:t>
            </m:r>
          </m:e>
          <m:sub>
            <m:r>
              <m:rPr>
                <m:sty m:val="p"/>
              </m:rPr>
              <w:rPr>
                <w:rFonts w:ascii="Cambria Math" w:hAnsi="Cambria Math" w:cs="Times New Roman"/>
                <w:noProof/>
                <w:szCs w:val="24"/>
                <w:lang w:val="en-GB"/>
              </w:rPr>
              <m:t>it</m:t>
            </m:r>
          </m:sub>
        </m:sSub>
      </m:oMath>
      <w:r w:rsidRPr="00743AC4">
        <w:rPr>
          <w:rFonts w:cs="Times New Roman"/>
          <w:noProof/>
          <w:szCs w:val="24"/>
          <w:lang w:val="en-GB"/>
        </w:rPr>
        <w:t xml:space="preserve"> is the</w:t>
      </w:r>
      <w:r w:rsidRPr="00743AC4">
        <w:rPr>
          <w:rFonts w:cs="Times New Roman"/>
          <w:noProof/>
          <w:lang w:val="en-GB"/>
        </w:rPr>
        <w:t xml:space="preserve"> term for unobserved disturbance, and portrays country-specific shocks, variants in time. </w:t>
      </w:r>
    </w:p>
    <w:p w:rsidR="009973A2" w:rsidRPr="00743AC4" w:rsidRDefault="009973A2" w:rsidP="009973A2">
      <w:pPr>
        <w:ind w:firstLine="0"/>
        <w:rPr>
          <w:rFonts w:cs="Times New Roman"/>
          <w:noProof/>
          <w:lang w:val="en-GB"/>
        </w:rPr>
      </w:pPr>
    </w:p>
    <w:p w:rsidR="009973A2" w:rsidRPr="00743AC4" w:rsidRDefault="009973A2" w:rsidP="009973A2">
      <w:pPr>
        <w:ind w:firstLine="0"/>
        <w:rPr>
          <w:rFonts w:cs="Times New Roman"/>
          <w:noProof/>
          <w:lang w:val="en-GB"/>
        </w:rPr>
      </w:pPr>
      <w:r w:rsidRPr="00743AC4">
        <w:rPr>
          <w:rFonts w:cs="Times New Roman"/>
          <w:noProof/>
          <w:lang w:val="en-GB"/>
        </w:rPr>
        <w:t xml:space="preserve">The model is dynamic because of the presence of the lagged explanatory variable </w:t>
      </w:r>
      <m:oMath>
        <m:sSub>
          <m:sSubPr>
            <m:ctrlPr>
              <w:rPr>
                <w:rFonts w:ascii="Cambria Math" w:hAnsi="Cambria Math" w:cs="Times New Roman"/>
                <w:bCs/>
                <w:i/>
                <w:noProof/>
                <w:sz w:val="20"/>
                <w:lang w:val="en-GB"/>
              </w:rPr>
            </m:ctrlPr>
          </m:sSubPr>
          <m:e>
            <m:r>
              <m:rPr>
                <m:sty m:val="p"/>
              </m:rPr>
              <w:rPr>
                <w:rFonts w:ascii="Cambria Math" w:hAnsi="Cambria Math" w:cs="Times New Roman"/>
                <w:noProof/>
                <w:sz w:val="20"/>
                <w:lang w:val="en-GB"/>
              </w:rPr>
              <m:t>FDI</m:t>
            </m:r>
          </m:e>
          <m:sub>
            <m:r>
              <m:rPr>
                <m:sty m:val="p"/>
              </m:rPr>
              <w:rPr>
                <w:rFonts w:ascii="Cambria Math" w:hAnsi="Cambria Math" w:cs="Times New Roman"/>
                <w:noProof/>
                <w:sz w:val="20"/>
                <w:lang w:val="en-GB"/>
              </w:rPr>
              <m:t>it-1</m:t>
            </m:r>
          </m:sub>
        </m:sSub>
      </m:oMath>
      <w:r w:rsidRPr="00743AC4">
        <w:rPr>
          <w:rFonts w:cs="Times New Roman"/>
          <w:noProof/>
          <w:lang w:val="en-GB"/>
        </w:rPr>
        <w:t xml:space="preserve">. Possibly, the vector of explanatory variables, </w:t>
      </w:r>
      <m:oMath>
        <m:sSub>
          <m:sSubPr>
            <m:ctrlPr>
              <w:rPr>
                <w:rFonts w:ascii="Cambria Math" w:hAnsi="Cambria Math" w:cs="Times New Roman"/>
                <w:i/>
                <w:noProof/>
                <w:lang w:val="en-GB"/>
              </w:rPr>
            </m:ctrlPr>
          </m:sSubPr>
          <m:e>
            <m:r>
              <m:rPr>
                <m:sty m:val="p"/>
              </m:rPr>
              <w:rPr>
                <w:rFonts w:ascii="Cambria Math" w:hAnsi="Cambria Math" w:cs="Times New Roman"/>
                <w:noProof/>
                <w:lang w:val="en-GB"/>
              </w:rPr>
              <m:t>x</m:t>
            </m:r>
          </m:e>
          <m:sub>
            <m:r>
              <m:rPr>
                <m:sty m:val="p"/>
              </m:rPr>
              <w:rPr>
                <w:rFonts w:ascii="Cambria Math" w:hAnsi="Cambria Math" w:cs="Times New Roman"/>
                <w:noProof/>
                <w:lang w:val="en-GB"/>
              </w:rPr>
              <m:t>it</m:t>
            </m:r>
          </m:sub>
        </m:sSub>
      </m:oMath>
      <w:r w:rsidRPr="00743AC4">
        <w:rPr>
          <w:rFonts w:cs="Times New Roman"/>
          <w:noProof/>
          <w:lang w:val="en-GB"/>
        </w:rPr>
        <w:t>The finite distributed delay dynamic is not likely to generate any problem of inference</w:t>
      </w:r>
      <w:r w:rsidRPr="00743AC4">
        <w:rPr>
          <w:rFonts w:cs="Times New Roman"/>
          <w:noProof/>
          <w:lang w:val="en-GB"/>
        </w:rPr>
        <w:fldChar w:fldCharType="begin" w:fldLock="1"/>
      </w:r>
      <w:r w:rsidRPr="00743AC4">
        <w:rPr>
          <w:rFonts w:cs="Times New Roman"/>
          <w:noProof/>
          <w:lang w:val="en-GB"/>
        </w:rPr>
        <w:instrText>ADDIN CSL_CITATION {"citationItems":[{"id":"ITEM-1","itemData":{"ISBN":"0304407694016","author":[{"dropping-particle":"","family":"Kiviet","given":"Jan F","non-dropping-particle":"","parse-names":false,"suffix":""}],"container-title":"Journal of Econometrics","id":"ITEM-1","issued":{"date-parts":[["1995"]]},"page":"53-78","title":"Econometrics various estimators in dynamic panel data models","type":"article-journal","volume":"68"},"uris":["http://www.mendeley.com/documents/?uuid=cd629d13-58d1-4302-aa3d-9f09bc7641ff"]}],"mendeley":{"formattedCitation":"(Kiviet, 1995)","plainTextFormattedCitation":"(Kiviet, 1995)","previouslyFormattedCitation":"(Kiviet, 1995)"},"properties":{"noteIndex":0},"schema":"https://github.com/citation-style-language/schema/raw/master/csl-citation.json"}</w:instrText>
      </w:r>
      <w:r w:rsidRPr="00743AC4">
        <w:rPr>
          <w:rFonts w:cs="Times New Roman"/>
          <w:noProof/>
          <w:lang w:val="en-GB"/>
        </w:rPr>
        <w:fldChar w:fldCharType="separate"/>
      </w:r>
      <w:r w:rsidRPr="00743AC4">
        <w:rPr>
          <w:rFonts w:cs="Times New Roman"/>
          <w:noProof/>
          <w:lang w:val="en-GB"/>
        </w:rPr>
        <w:t>(Kiviet, 1995)</w:t>
      </w:r>
      <w:r w:rsidRPr="00743AC4">
        <w:rPr>
          <w:rFonts w:cs="Times New Roman"/>
          <w:noProof/>
          <w:lang w:val="en-GB"/>
        </w:rPr>
        <w:fldChar w:fldCharType="end"/>
      </w:r>
      <w:r w:rsidRPr="00743AC4">
        <w:rPr>
          <w:rFonts w:cs="Times New Roman"/>
          <w:noProof/>
          <w:lang w:val="en-GB"/>
        </w:rPr>
        <w:t xml:space="preserve">. The model assumes that it </w:t>
      </w:r>
      <w:r w:rsidRPr="00743AC4">
        <w:rPr>
          <w:rFonts w:cs="Times New Roman"/>
          <w:noProof/>
          <w:lang w:eastAsia="pt-PT"/>
        </w:rPr>
        <w:drawing>
          <wp:inline distT="0" distB="0" distL="0" distR="0" wp14:anchorId="01F2F3DA" wp14:editId="6081A5D2">
            <wp:extent cx="1863513" cy="236220"/>
            <wp:effectExtent l="0" t="0" r="0" b="0"/>
            <wp:docPr id="100013" name="Imagem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
                    <pic:cNvPicPr>
                      <a:picLocks noChangeAspect="1"/>
                    </pic:cNvPicPr>
                  </pic:nvPicPr>
                  <pic:blipFill>
                    <a:blip r:embed="rId7"/>
                    <a:stretch>
                      <a:fillRect/>
                    </a:stretch>
                  </pic:blipFill>
                  <pic:spPr>
                    <a:xfrm>
                      <a:off x="0" y="0"/>
                      <a:ext cx="1863513" cy="236220"/>
                    </a:xfrm>
                    <a:prstGeom prst="rect">
                      <a:avLst/>
                    </a:prstGeom>
                  </pic:spPr>
                </pic:pic>
              </a:graphicData>
            </a:graphic>
          </wp:inline>
        </w:drawing>
      </w:r>
      <w:r w:rsidRPr="00743AC4">
        <w:rPr>
          <w:rFonts w:cs="Times New Roman"/>
          <w:noProof/>
          <w:lang w:val="en-GB"/>
        </w:rPr>
        <w:t xml:space="preserve">is </w:t>
      </w:r>
      <m:oMath>
        <m:r>
          <m:rPr>
            <m:sty m:val="p"/>
          </m:rPr>
          <w:rPr>
            <w:rFonts w:ascii="Cambria Math" w:hAnsi="Cambria Math" w:cs="Times New Roman"/>
            <w:noProof/>
            <w:lang w:val="en-GB"/>
          </w:rPr>
          <m:t>E</m:t>
        </m:r>
        <m:d>
          <m:dPr>
            <m:ctrlPr>
              <w:rPr>
                <w:rFonts w:ascii="Cambria Math" w:hAnsi="Cambria Math" w:cs="Times New Roman"/>
                <w:bCs/>
                <w:i/>
                <w:noProof/>
                <w:lang w:val="en-GB"/>
              </w:rPr>
            </m:ctrlPr>
          </m:dPr>
          <m:e>
            <m:sSub>
              <m:sSubPr>
                <m:ctrlPr>
                  <w:rPr>
                    <w:rFonts w:ascii="Cambria Math" w:hAnsi="Cambria Math" w:cs="Times New Roman"/>
                    <w:bCs/>
                    <w:i/>
                    <w:noProof/>
                    <w:lang w:val="en-GB"/>
                  </w:rPr>
                </m:ctrlPr>
              </m:sSubPr>
              <m:e>
                <m:r>
                  <m:rPr>
                    <m:sty m:val="p"/>
                  </m:rPr>
                  <w:rPr>
                    <w:rFonts w:ascii="Cambria Math" w:hAnsi="Cambria Math" w:cs="Times New Roman"/>
                    <w:noProof/>
                    <w:lang w:val="en-GB"/>
                  </w:rPr>
                  <m:t>ε</m:t>
                </m:r>
              </m:e>
              <m:sub>
                <m:r>
                  <m:rPr>
                    <m:sty m:val="p"/>
                  </m:rPr>
                  <w:rPr>
                    <w:rFonts w:ascii="Cambria Math" w:hAnsi="Cambria Math" w:cs="Times New Roman"/>
                    <w:noProof/>
                    <w:lang w:val="en-GB"/>
                  </w:rPr>
                  <m:t>it</m:t>
                </m:r>
              </m:sub>
            </m:sSub>
            <m:sSub>
              <m:sSubPr>
                <m:ctrlPr>
                  <w:rPr>
                    <w:rFonts w:ascii="Cambria Math" w:hAnsi="Cambria Math" w:cs="Times New Roman"/>
                    <w:bCs/>
                    <w:i/>
                    <w:noProof/>
                    <w:lang w:val="en-GB"/>
                  </w:rPr>
                </m:ctrlPr>
              </m:sSubPr>
              <m:e>
                <m:r>
                  <m:rPr>
                    <m:sty m:val="p"/>
                  </m:rPr>
                  <w:rPr>
                    <w:rFonts w:ascii="Cambria Math" w:hAnsi="Cambria Math" w:cs="Times New Roman"/>
                    <w:noProof/>
                    <w:lang w:val="en-GB"/>
                  </w:rPr>
                  <m:t>ε</m:t>
                </m:r>
              </m:e>
              <m:sub>
                <m:r>
                  <m:rPr>
                    <m:sty m:val="p"/>
                  </m:rPr>
                  <w:rPr>
                    <w:rFonts w:ascii="Cambria Math" w:hAnsi="Cambria Math" w:cs="Times New Roman"/>
                    <w:noProof/>
                    <w:lang w:val="en-GB"/>
                  </w:rPr>
                  <m:t>js</m:t>
                </m:r>
              </m:sub>
            </m:sSub>
          </m:e>
        </m:d>
        <m:r>
          <m:rPr>
            <m:sty m:val="p"/>
          </m:rPr>
          <w:rPr>
            <w:rFonts w:ascii="Cambria Math" w:hAnsi="Cambria Math" w:cs="Times New Roman"/>
            <w:noProof/>
            <w:lang w:val="en-GB"/>
          </w:rPr>
          <m:t xml:space="preserve">=0, </m:t>
        </m:r>
      </m:oMath>
      <w:r w:rsidRPr="00743AC4">
        <w:rPr>
          <w:rFonts w:eastAsiaTheme="minorEastAsia" w:cs="Times New Roman"/>
          <w:noProof/>
          <w:lang w:val="en-GB"/>
        </w:rPr>
        <w:t xml:space="preserve">for each </w:t>
      </w:r>
      <w:r w:rsidRPr="00743AC4">
        <w:rPr>
          <w:rFonts w:cs="Times New Roman"/>
          <w:i/>
          <w:noProof/>
          <w:lang w:val="en-GB"/>
        </w:rPr>
        <w:t>i, j, t, s</w:t>
      </w:r>
      <w:r w:rsidRPr="00743AC4">
        <w:rPr>
          <w:rFonts w:cs="Times New Roman"/>
          <w:noProof/>
          <w:lang w:val="en-GB"/>
        </w:rPr>
        <w:t xml:space="preserve">, with </w:t>
      </w:r>
      <w:r w:rsidRPr="00743AC4">
        <w:rPr>
          <w:rFonts w:cs="Times New Roman"/>
          <w:noProof/>
          <w:lang w:eastAsia="pt-PT"/>
        </w:rPr>
        <w:drawing>
          <wp:inline distT="0" distB="0" distL="0" distR="0" wp14:anchorId="68C348E6" wp14:editId="26D087B5">
            <wp:extent cx="317500" cy="190500"/>
            <wp:effectExtent l="0" t="0" r="0" b="0"/>
            <wp:docPr id="100015" name="Imagem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
                    <pic:cNvPicPr>
                      <a:picLocks noChangeAspect="1"/>
                    </pic:cNvPicPr>
                  </pic:nvPicPr>
                  <pic:blipFill>
                    <a:blip r:embed="rId8"/>
                    <a:stretch>
                      <a:fillRect/>
                    </a:stretch>
                  </pic:blipFill>
                  <pic:spPr>
                    <a:xfrm>
                      <a:off x="0" y="0"/>
                      <a:ext cx="317500" cy="190500"/>
                    </a:xfrm>
                    <a:prstGeom prst="rect">
                      <a:avLst/>
                    </a:prstGeom>
                  </pic:spPr>
                </pic:pic>
              </a:graphicData>
            </a:graphic>
          </wp:inline>
        </w:drawing>
      </w:r>
      <w:r w:rsidRPr="00743AC4">
        <w:rPr>
          <w:rFonts w:cs="Times New Roman"/>
          <w:noProof/>
          <w:lang w:val="en-GB"/>
        </w:rPr>
        <w:t>.</w:t>
      </w:r>
    </w:p>
    <w:p w:rsidR="009973A2" w:rsidRPr="00743AC4" w:rsidRDefault="009973A2" w:rsidP="009973A2">
      <w:pPr>
        <w:ind w:firstLine="0"/>
        <w:rPr>
          <w:rFonts w:cs="Times New Roman"/>
          <w:noProof/>
          <w:lang w:val="en-GB"/>
        </w:rPr>
      </w:pPr>
    </w:p>
    <w:p w:rsidR="009973A2" w:rsidRPr="00743AC4" w:rsidRDefault="009973A2" w:rsidP="009973A2">
      <w:pPr>
        <w:ind w:firstLine="0"/>
        <w:rPr>
          <w:rFonts w:cs="Times New Roman"/>
          <w:noProof/>
          <w:lang w:val="en-GB"/>
        </w:rPr>
      </w:pPr>
      <w:r w:rsidRPr="00743AC4">
        <w:rPr>
          <w:rFonts w:cs="Times New Roman"/>
          <w:noProof/>
          <w:lang w:val="en-GB"/>
        </w:rPr>
        <w:t xml:space="preserve">The robustness of the estimated model is analysed using the first and second order autocorrelation tests of Arellano and Bond </w:t>
      </w:r>
      <w:r w:rsidRPr="00743AC4">
        <w:rPr>
          <w:rFonts w:cs="Times New Roman"/>
          <w:noProof/>
          <w:lang w:val="en-GB"/>
        </w:rPr>
        <w:fldChar w:fldCharType="begin" w:fldLock="1"/>
      </w:r>
      <w:r w:rsidRPr="00743AC4">
        <w:rPr>
          <w:rFonts w:cs="Times New Roman"/>
          <w:noProof/>
          <w:lang w:val="en-GB"/>
        </w:rPr>
        <w:instrText>ADDIN CSL_CITATION {"citationItems":[{"id":"ITEM-1","itemData":{"author":[{"dropping-particle":"","family":"Arellano","given":"M.","non-dropping-particle":"","parse-names":false,"suffix":""},{"dropping-particle":"","family":"Bond","given":"S.","non-dropping-particle":"","parse-names":false,"suffix":""}],"container-title":"Review of Economic Studies","id":"ITEM-1","issued":{"date-parts":[["1991"]]},"page":"277–97","title":"Some tests of specification for panel data: Monte Carlo evidence and an application to employment equations.","type":"article-journal","volume":"58"},"suppress-author":1,"uris":["http://www.mendeley.com/documents/?uuid=ad12d1ee-f554-4a0d-a7ab-1a7042373d72"]}],"mendeley":{"formattedCitation":"(1991)","plainTextFormattedCitation":"(1991)","previouslyFormattedCitation":"(1991)"},"properties":{"noteIndex":0},"schema":"https://github.com/citation-style-language/schema/raw/master/csl-citation.json"}</w:instrText>
      </w:r>
      <w:r w:rsidRPr="00743AC4">
        <w:rPr>
          <w:rFonts w:cs="Times New Roman"/>
          <w:noProof/>
          <w:lang w:val="en-GB"/>
        </w:rPr>
        <w:fldChar w:fldCharType="separate"/>
      </w:r>
      <w:r w:rsidRPr="00743AC4">
        <w:rPr>
          <w:rFonts w:cs="Times New Roman"/>
          <w:noProof/>
          <w:lang w:val="en-GB"/>
        </w:rPr>
        <w:t>(1991)</w:t>
      </w:r>
      <w:r w:rsidRPr="00743AC4">
        <w:rPr>
          <w:rFonts w:cs="Times New Roman"/>
          <w:noProof/>
          <w:lang w:val="en-GB"/>
        </w:rPr>
        <w:fldChar w:fldCharType="end"/>
      </w:r>
      <w:r w:rsidRPr="00743AC4">
        <w:rPr>
          <w:rFonts w:cs="Times New Roman"/>
          <w:noProof/>
          <w:lang w:val="en-GB"/>
        </w:rPr>
        <w:t xml:space="preserve"> overidentification tests of Sargan (1958) and Hansen (1982), in order to check the validity of the instruments, i.e. whether the instruments chosen are independent of the error term. To check whether the estimator is consistent the Arellano and Bond tests of first and second order apply. In the case of the first-order autocorrelation test, it is expected to present serial correction, while in the second order the autocorrelation is eliminated, that is, without statistical significance.</w:t>
      </w:r>
    </w:p>
    <w:p w:rsidR="009973A2" w:rsidRPr="00743AC4" w:rsidRDefault="009973A2" w:rsidP="009973A2">
      <w:pPr>
        <w:ind w:firstLine="0"/>
        <w:rPr>
          <w:rFonts w:cs="Times New Roman"/>
          <w:noProof/>
          <w:lang w:val="en-GB"/>
        </w:rPr>
      </w:pPr>
    </w:p>
    <w:p w:rsidR="009973A2" w:rsidRPr="00743AC4" w:rsidRDefault="009973A2" w:rsidP="009973A2">
      <w:pPr>
        <w:tabs>
          <w:tab w:val="left" w:pos="720"/>
          <w:tab w:val="num" w:pos="1440"/>
        </w:tabs>
        <w:ind w:firstLine="0"/>
        <w:rPr>
          <w:rFonts w:cs="Times New Roman"/>
          <w:noProof/>
          <w:lang w:val="en-GB"/>
        </w:rPr>
      </w:pPr>
      <w:r w:rsidRPr="00743AC4">
        <w:rPr>
          <w:rFonts w:cs="Times New Roman"/>
          <w:noProof/>
          <w:lang w:val="en-GB"/>
        </w:rPr>
        <w:t>In the case of overidentification tests, the main objective is to check whether the instruments are valid. The null hypothesis of the test is that the instruments are not correlated with the error term. Through the estimation proced</w:t>
      </w:r>
      <w:bookmarkStart w:id="1" w:name="_GoBack"/>
      <w:bookmarkEnd w:id="1"/>
      <w:r w:rsidRPr="00743AC4">
        <w:rPr>
          <w:rFonts w:cs="Times New Roman"/>
          <w:noProof/>
          <w:lang w:val="en-GB"/>
        </w:rPr>
        <w:t>ure, the most appropriate test should be chosen. If the homoscedastic (one-step) matrix of variance-covariance is used, the Sargan test should be chosen, but if the estimation procedure is with the heteroscedastic (Two-Step) matrix of variance-covariance, the most appropriate test is the Hansen test.</w:t>
      </w:r>
    </w:p>
    <w:p w:rsidR="009973A2" w:rsidRPr="00743AC4" w:rsidRDefault="009973A2" w:rsidP="009973A2">
      <w:pPr>
        <w:pStyle w:val="Cabealho1"/>
        <w:numPr>
          <w:ilvl w:val="0"/>
          <w:numId w:val="5"/>
        </w:numPr>
        <w:jc w:val="center"/>
        <w:rPr>
          <w:rFonts w:ascii="Times New Roman" w:hAnsi="Times New Roman" w:cs="Times New Roman"/>
          <w:b/>
          <w:noProof/>
          <w:color w:val="000000" w:themeColor="text1"/>
          <w:lang w:val="en-GB"/>
        </w:rPr>
      </w:pPr>
      <w:r w:rsidRPr="00743AC4">
        <w:rPr>
          <w:rFonts w:ascii="Times New Roman" w:hAnsi="Times New Roman" w:cs="Times New Roman"/>
          <w:b/>
          <w:noProof/>
          <w:color w:val="000000" w:themeColor="text1"/>
          <w:lang w:val="en-GB"/>
        </w:rPr>
        <w:t>Data Processing and Analysis</w:t>
      </w:r>
    </w:p>
    <w:p w:rsidR="009973A2" w:rsidRPr="00743AC4" w:rsidRDefault="009973A2" w:rsidP="009973A2">
      <w:pPr>
        <w:ind w:firstLine="0"/>
        <w:rPr>
          <w:rFonts w:cs="Times New Roman"/>
          <w:noProof/>
          <w:lang w:val="en-GB"/>
        </w:rPr>
      </w:pPr>
      <w:r w:rsidRPr="00743AC4">
        <w:rPr>
          <w:rFonts w:cs="Times New Roman"/>
          <w:noProof/>
          <w:lang w:val="en-GB"/>
        </w:rPr>
        <w:t xml:space="preserve">The study used panel data from a sample of twenty-eight SSA countries (Table 2), covering the annual period from 2002 to 2017, given the availability of data, as information on institutional variables is available from 2002 onwards. </w:t>
      </w:r>
    </w:p>
    <w:p w:rsidR="009973A2" w:rsidRPr="00743AC4" w:rsidRDefault="009973A2" w:rsidP="009973A2">
      <w:pPr>
        <w:pStyle w:val="Legenda"/>
        <w:rPr>
          <w:lang w:val="fr-FR"/>
        </w:rPr>
      </w:pPr>
      <w:r w:rsidRPr="00743AC4">
        <w:rPr>
          <w:lang w:val="fr-FR"/>
        </w:rPr>
        <w:t xml:space="preserve">Table </w:t>
      </w:r>
      <w:r w:rsidRPr="00743AC4">
        <w:rPr>
          <w:noProof/>
        </w:rPr>
        <w:fldChar w:fldCharType="begin"/>
      </w:r>
      <w:r w:rsidRPr="00743AC4">
        <w:rPr>
          <w:noProof/>
          <w:lang w:val="fr-FR"/>
        </w:rPr>
        <w:instrText xml:space="preserve"> SEQ Tabela \* ARABIC </w:instrText>
      </w:r>
      <w:r w:rsidRPr="00743AC4">
        <w:rPr>
          <w:noProof/>
        </w:rPr>
        <w:fldChar w:fldCharType="separate"/>
      </w:r>
      <w:r w:rsidRPr="00743AC4">
        <w:rPr>
          <w:noProof/>
          <w:lang w:val="fr-FR"/>
        </w:rPr>
        <w:t>2</w:t>
      </w:r>
      <w:r w:rsidRPr="00743AC4">
        <w:rPr>
          <w:noProof/>
        </w:rPr>
        <w:fldChar w:fldCharType="end"/>
      </w:r>
      <w:r w:rsidRPr="00743AC4">
        <w:rPr>
          <w:lang w:val="fr-FR"/>
        </w:rPr>
        <w:t xml:space="preserve">. List of countries in the </w:t>
      </w:r>
      <w:proofErr w:type="spellStart"/>
      <w:r w:rsidRPr="00743AC4">
        <w:rPr>
          <w:lang w:val="fr-FR"/>
        </w:rPr>
        <w:t>study</w:t>
      </w:r>
      <w:proofErr w:type="spellEnd"/>
      <w:r w:rsidRPr="00743AC4">
        <w:rPr>
          <w:lang w:val="fr-FR"/>
        </w:rPr>
        <w:t xml:space="preserve"> </w:t>
      </w:r>
      <w:proofErr w:type="spellStart"/>
      <w:r w:rsidRPr="00743AC4">
        <w:rPr>
          <w:lang w:val="fr-FR"/>
        </w:rPr>
        <w:t>sample</w:t>
      </w:r>
      <w:proofErr w:type="spellEnd"/>
    </w:p>
    <w:tbl>
      <w:tblPr>
        <w:tblW w:w="0" w:type="auto"/>
        <w:tblBorders>
          <w:top w:val="single" w:sz="12" w:space="0" w:color="auto"/>
          <w:bottom w:val="single" w:sz="12" w:space="0" w:color="auto"/>
          <w:insideH w:val="single" w:sz="12" w:space="0" w:color="auto"/>
        </w:tblBorders>
        <w:tblLook w:val="04A0" w:firstRow="1" w:lastRow="0" w:firstColumn="1" w:lastColumn="0" w:noHBand="0" w:noVBand="1"/>
      </w:tblPr>
      <w:tblGrid>
        <w:gridCol w:w="1701"/>
        <w:gridCol w:w="6793"/>
      </w:tblGrid>
      <w:tr w:rsidR="009973A2" w:rsidRPr="00743AC4" w:rsidTr="00C96CD3">
        <w:tc>
          <w:tcPr>
            <w:tcW w:w="1701" w:type="dxa"/>
            <w:vAlign w:val="center"/>
          </w:tcPr>
          <w:p w:rsidR="009973A2" w:rsidRPr="00743AC4" w:rsidRDefault="009973A2" w:rsidP="00C96CD3">
            <w:pPr>
              <w:ind w:firstLine="0"/>
              <w:jc w:val="left"/>
              <w:rPr>
                <w:rFonts w:cs="Times New Roman"/>
                <w:sz w:val="20"/>
                <w:lang w:val="en-GB"/>
              </w:rPr>
            </w:pPr>
            <w:r w:rsidRPr="00743AC4">
              <w:rPr>
                <w:rFonts w:cs="Times New Roman"/>
                <w:sz w:val="20"/>
                <w:lang w:val="en-GB"/>
              </w:rPr>
              <w:t>SSA region</w:t>
            </w:r>
          </w:p>
        </w:tc>
        <w:tc>
          <w:tcPr>
            <w:tcW w:w="6793" w:type="dxa"/>
            <w:vAlign w:val="center"/>
          </w:tcPr>
          <w:p w:rsidR="009973A2" w:rsidRPr="00743AC4" w:rsidRDefault="009973A2" w:rsidP="00C96CD3">
            <w:pPr>
              <w:ind w:firstLine="0"/>
              <w:jc w:val="left"/>
              <w:rPr>
                <w:rFonts w:cs="Times New Roman"/>
                <w:sz w:val="20"/>
                <w:lang w:val="en-GB"/>
              </w:rPr>
            </w:pPr>
            <w:r w:rsidRPr="00743AC4">
              <w:rPr>
                <w:rFonts w:cs="Times New Roman"/>
                <w:sz w:val="20"/>
                <w:lang w:val="en-GB"/>
              </w:rPr>
              <w:t xml:space="preserve">Angola, Benin, Burkina Faso, Burundi, Cabo Verde, Cameroon, Congo, Dem. Rep, Cote </w:t>
            </w:r>
            <w:proofErr w:type="spellStart"/>
            <w:r w:rsidRPr="00743AC4">
              <w:rPr>
                <w:rFonts w:cs="Times New Roman"/>
                <w:sz w:val="20"/>
                <w:lang w:val="en-GB"/>
              </w:rPr>
              <w:t>D´ívoire</w:t>
            </w:r>
            <w:proofErr w:type="spellEnd"/>
            <w:r w:rsidRPr="00743AC4">
              <w:rPr>
                <w:rFonts w:cs="Times New Roman"/>
                <w:sz w:val="20"/>
                <w:lang w:val="en-GB"/>
              </w:rPr>
              <w:t xml:space="preserve">, </w:t>
            </w:r>
            <w:proofErr w:type="spellStart"/>
            <w:r w:rsidRPr="00743AC4">
              <w:rPr>
                <w:rFonts w:cs="Times New Roman"/>
                <w:sz w:val="20"/>
                <w:lang w:val="en-GB"/>
              </w:rPr>
              <w:t>Suazilandia</w:t>
            </w:r>
            <w:proofErr w:type="spellEnd"/>
            <w:r w:rsidRPr="00743AC4">
              <w:rPr>
                <w:rFonts w:cs="Times New Roman"/>
                <w:sz w:val="20"/>
                <w:lang w:val="en-GB"/>
              </w:rPr>
              <w:t xml:space="preserve">, Guinea Bissau, Kenya, Liberia, Madagascar, </w:t>
            </w:r>
            <w:r w:rsidRPr="00743AC4">
              <w:rPr>
                <w:rFonts w:cs="Times New Roman"/>
                <w:sz w:val="20"/>
                <w:lang w:val="en-GB"/>
              </w:rPr>
              <w:lastRenderedPageBreak/>
              <w:t>Malawi, Mali, Mauritius, Mozambique, Niger, Nigeria, Rwanda, Senegal, Sierra Leone, South Africa, Tanzania, Togo, Uganda, Zambia and Zimbabwe.</w:t>
            </w:r>
          </w:p>
        </w:tc>
      </w:tr>
    </w:tbl>
    <w:p w:rsidR="009973A2" w:rsidRPr="00743AC4" w:rsidRDefault="009973A2" w:rsidP="009973A2">
      <w:pPr>
        <w:ind w:firstLine="0"/>
        <w:jc w:val="center"/>
        <w:rPr>
          <w:rFonts w:cs="Times New Roman"/>
          <w:noProof/>
          <w:lang w:val="en-GB"/>
        </w:rPr>
      </w:pPr>
    </w:p>
    <w:p w:rsidR="009973A2" w:rsidRPr="00743AC4" w:rsidRDefault="009973A2" w:rsidP="009973A2">
      <w:pPr>
        <w:tabs>
          <w:tab w:val="left" w:pos="720"/>
          <w:tab w:val="num" w:pos="1440"/>
        </w:tabs>
        <w:ind w:firstLine="0"/>
        <w:rPr>
          <w:rFonts w:cs="Times New Roman"/>
          <w:noProof/>
          <w:lang w:val="en-GB"/>
        </w:rPr>
      </w:pPr>
      <w:r w:rsidRPr="00743AC4">
        <w:rPr>
          <w:rFonts w:cs="Times New Roman"/>
          <w:noProof/>
          <w:lang w:val="en-GB"/>
        </w:rPr>
        <w:t>The dependent variable is the FDI flow as a proportion of GDP. The explanatory variables, presented in Table 3, are macroeconomic, political and institutional, selected according to the literature review and data availability, collected at the World Bank. Assuming that the investor in decision making tends to opt for a more structural analysis, we have chosen to work with an average of some explanatory variables in the last five years.</w:t>
      </w:r>
    </w:p>
    <w:p w:rsidR="009973A2" w:rsidRPr="00743AC4" w:rsidRDefault="009973A2" w:rsidP="009973A2">
      <w:pPr>
        <w:pStyle w:val="Legenda"/>
        <w:rPr>
          <w:noProof/>
          <w:lang w:val="en-GB"/>
        </w:rPr>
      </w:pPr>
      <w:r w:rsidRPr="00743AC4">
        <w:rPr>
          <w:noProof/>
          <w:lang w:val="en-GB"/>
        </w:rPr>
        <w:t xml:space="preserve">Table </w:t>
      </w:r>
      <w:r w:rsidRPr="00743AC4">
        <w:rPr>
          <w:noProof/>
          <w:lang w:val="en-GB"/>
        </w:rPr>
        <w:fldChar w:fldCharType="begin"/>
      </w:r>
      <w:r w:rsidRPr="00743AC4">
        <w:rPr>
          <w:noProof/>
          <w:lang w:val="en-GB"/>
        </w:rPr>
        <w:instrText xml:space="preserve"> SEQ Tabela \* ARABIC </w:instrText>
      </w:r>
      <w:r w:rsidRPr="00743AC4">
        <w:rPr>
          <w:noProof/>
          <w:lang w:val="en-GB"/>
        </w:rPr>
        <w:fldChar w:fldCharType="separate"/>
      </w:r>
      <w:r w:rsidRPr="00743AC4">
        <w:rPr>
          <w:noProof/>
          <w:lang w:val="en-GB"/>
        </w:rPr>
        <w:t>3</w:t>
      </w:r>
      <w:r w:rsidRPr="00743AC4">
        <w:rPr>
          <w:noProof/>
          <w:lang w:val="en-GB"/>
        </w:rPr>
        <w:fldChar w:fldCharType="end"/>
      </w:r>
      <w:r w:rsidRPr="00743AC4">
        <w:rPr>
          <w:noProof/>
          <w:lang w:val="en-GB"/>
        </w:rPr>
        <w:t>. List of variables</w:t>
      </w:r>
    </w:p>
    <w:tbl>
      <w:tblPr>
        <w:tblpPr w:leftFromText="141" w:rightFromText="141" w:vertAnchor="text" w:horzAnchor="margin" w:tblpY="70"/>
        <w:tblW w:w="5168" w:type="pct"/>
        <w:tblCellMar>
          <w:left w:w="70" w:type="dxa"/>
          <w:right w:w="70" w:type="dxa"/>
        </w:tblCellMar>
        <w:tblLook w:val="04A0" w:firstRow="1" w:lastRow="0" w:firstColumn="1" w:lastColumn="0" w:noHBand="0" w:noVBand="1"/>
      </w:tblPr>
      <w:tblGrid>
        <w:gridCol w:w="2459"/>
        <w:gridCol w:w="1076"/>
        <w:gridCol w:w="4215"/>
        <w:gridCol w:w="1385"/>
      </w:tblGrid>
      <w:tr w:rsidR="009973A2" w:rsidRPr="00743AC4" w:rsidTr="00C96CD3">
        <w:trPr>
          <w:trHeight w:val="172"/>
        </w:trPr>
        <w:tc>
          <w:tcPr>
            <w:tcW w:w="1346" w:type="pct"/>
            <w:tcBorders>
              <w:top w:val="single" w:sz="12" w:space="0" w:color="000000"/>
              <w:bottom w:val="single" w:sz="12" w:space="0" w:color="000000"/>
            </w:tcBorders>
            <w:shd w:val="clear" w:color="auto" w:fill="FFFFFF"/>
            <w:noWrap/>
            <w:vAlign w:val="center"/>
            <w:hideMark/>
          </w:tcPr>
          <w:p w:rsidR="009973A2" w:rsidRPr="00743AC4" w:rsidRDefault="009973A2" w:rsidP="00C96CD3">
            <w:pPr>
              <w:ind w:firstLine="0"/>
              <w:jc w:val="center"/>
              <w:rPr>
                <w:rFonts w:cs="Times New Roman"/>
                <w:b/>
                <w:bCs/>
                <w:noProof/>
                <w:color w:val="000000"/>
                <w:sz w:val="20"/>
                <w:szCs w:val="20"/>
                <w:lang w:val="en-GB"/>
              </w:rPr>
            </w:pPr>
            <w:r w:rsidRPr="00743AC4">
              <w:rPr>
                <w:rFonts w:cs="Times New Roman"/>
                <w:b/>
                <w:bCs/>
                <w:noProof/>
                <w:color w:val="000000"/>
                <w:sz w:val="20"/>
                <w:szCs w:val="20"/>
                <w:lang w:val="en-GB"/>
              </w:rPr>
              <w:t>Explanatory Variables</w:t>
            </w:r>
          </w:p>
        </w:tc>
        <w:tc>
          <w:tcPr>
            <w:tcW w:w="589" w:type="pct"/>
            <w:tcBorders>
              <w:top w:val="single" w:sz="12" w:space="0" w:color="000000"/>
              <w:bottom w:val="single" w:sz="12" w:space="0" w:color="000000"/>
            </w:tcBorders>
            <w:shd w:val="clear" w:color="auto" w:fill="FFFFFF"/>
            <w:noWrap/>
            <w:vAlign w:val="center"/>
            <w:hideMark/>
          </w:tcPr>
          <w:p w:rsidR="009973A2" w:rsidRPr="00743AC4" w:rsidRDefault="009973A2" w:rsidP="00C96CD3">
            <w:pPr>
              <w:ind w:firstLine="0"/>
              <w:jc w:val="center"/>
              <w:rPr>
                <w:rFonts w:cs="Times New Roman"/>
                <w:b/>
                <w:bCs/>
                <w:noProof/>
                <w:color w:val="000000"/>
                <w:sz w:val="20"/>
                <w:szCs w:val="20"/>
                <w:lang w:val="en-GB"/>
              </w:rPr>
            </w:pPr>
            <w:r w:rsidRPr="00743AC4">
              <w:rPr>
                <w:rFonts w:cs="Times New Roman"/>
                <w:b/>
                <w:bCs/>
                <w:noProof/>
                <w:color w:val="000000"/>
                <w:sz w:val="20"/>
                <w:szCs w:val="20"/>
                <w:lang w:val="en-GB"/>
              </w:rPr>
              <w:t>Symbol</w:t>
            </w:r>
          </w:p>
        </w:tc>
        <w:tc>
          <w:tcPr>
            <w:tcW w:w="2307" w:type="pct"/>
            <w:tcBorders>
              <w:top w:val="single" w:sz="12" w:space="0" w:color="000000"/>
              <w:bottom w:val="single" w:sz="12" w:space="0" w:color="000000"/>
            </w:tcBorders>
            <w:shd w:val="clear" w:color="auto" w:fill="FFFFFF"/>
            <w:noWrap/>
            <w:vAlign w:val="center"/>
            <w:hideMark/>
          </w:tcPr>
          <w:p w:rsidR="009973A2" w:rsidRPr="00743AC4" w:rsidRDefault="009973A2" w:rsidP="00C96CD3">
            <w:pPr>
              <w:ind w:firstLine="0"/>
              <w:jc w:val="center"/>
              <w:rPr>
                <w:rFonts w:cs="Times New Roman"/>
                <w:b/>
                <w:bCs/>
                <w:noProof/>
                <w:color w:val="000000"/>
                <w:sz w:val="20"/>
                <w:szCs w:val="20"/>
                <w:lang w:val="en-GB"/>
              </w:rPr>
            </w:pPr>
            <w:r w:rsidRPr="00743AC4">
              <w:rPr>
                <w:rFonts w:cs="Times New Roman"/>
                <w:b/>
                <w:bCs/>
                <w:noProof/>
                <w:color w:val="000000"/>
                <w:sz w:val="20"/>
                <w:szCs w:val="20"/>
                <w:lang w:val="en-GB"/>
              </w:rPr>
              <w:t>Description</w:t>
            </w:r>
          </w:p>
        </w:tc>
        <w:tc>
          <w:tcPr>
            <w:tcW w:w="758" w:type="pct"/>
            <w:tcBorders>
              <w:top w:val="single" w:sz="12" w:space="0" w:color="000000"/>
              <w:bottom w:val="single" w:sz="12" w:space="0" w:color="000000"/>
            </w:tcBorders>
            <w:shd w:val="clear" w:color="auto" w:fill="FFFFFF"/>
            <w:vAlign w:val="center"/>
          </w:tcPr>
          <w:p w:rsidR="009973A2" w:rsidRPr="00743AC4" w:rsidRDefault="009973A2" w:rsidP="00C96CD3">
            <w:pPr>
              <w:ind w:firstLine="0"/>
              <w:jc w:val="center"/>
              <w:rPr>
                <w:rFonts w:cs="Times New Roman"/>
                <w:b/>
                <w:bCs/>
                <w:noProof/>
                <w:color w:val="000000"/>
                <w:sz w:val="20"/>
                <w:szCs w:val="20"/>
                <w:lang w:val="en-GB"/>
              </w:rPr>
            </w:pPr>
            <w:r w:rsidRPr="00743AC4">
              <w:rPr>
                <w:rFonts w:cs="Times New Roman"/>
                <w:b/>
                <w:bCs/>
                <w:noProof/>
                <w:color w:val="000000"/>
                <w:sz w:val="20"/>
                <w:szCs w:val="20"/>
                <w:lang w:val="en-GB"/>
              </w:rPr>
              <w:t>Expected signal</w:t>
            </w:r>
          </w:p>
        </w:tc>
      </w:tr>
      <w:tr w:rsidR="009973A2" w:rsidRPr="00743AC4" w:rsidTr="00C96CD3">
        <w:trPr>
          <w:trHeight w:val="428"/>
        </w:trPr>
        <w:tc>
          <w:tcPr>
            <w:tcW w:w="1346" w:type="pct"/>
            <w:tcBorders>
              <w:top w:val="single" w:sz="12" w:space="0" w:color="000000"/>
            </w:tcBorders>
            <w:shd w:val="clear" w:color="auto" w:fill="auto"/>
            <w:noWrap/>
            <w:vAlign w:val="center"/>
            <w:hideMark/>
          </w:tcPr>
          <w:p w:rsidR="009973A2" w:rsidRPr="00743AC4" w:rsidRDefault="009973A2" w:rsidP="00C96CD3">
            <w:pPr>
              <w:ind w:firstLine="0"/>
              <w:jc w:val="left"/>
              <w:rPr>
                <w:rFonts w:cs="Times New Roman"/>
                <w:noProof/>
                <w:color w:val="000000"/>
                <w:sz w:val="20"/>
                <w:szCs w:val="20"/>
                <w:lang w:val="en-GB"/>
              </w:rPr>
            </w:pPr>
            <w:r w:rsidRPr="00743AC4">
              <w:rPr>
                <w:rFonts w:cs="Times New Roman"/>
                <w:noProof/>
                <w:color w:val="000000"/>
                <w:sz w:val="20"/>
                <w:szCs w:val="20"/>
                <w:lang w:val="en-GB"/>
              </w:rPr>
              <w:t>Economic growth</w:t>
            </w:r>
          </w:p>
        </w:tc>
        <w:tc>
          <w:tcPr>
            <w:tcW w:w="589" w:type="pct"/>
            <w:tcBorders>
              <w:top w:val="single" w:sz="12" w:space="0" w:color="000000"/>
            </w:tcBorders>
            <w:shd w:val="clear" w:color="auto" w:fill="auto"/>
            <w:noWrap/>
            <w:vAlign w:val="center"/>
            <w:hideMark/>
          </w:tcPr>
          <w:p w:rsidR="009973A2" w:rsidRPr="00743AC4" w:rsidRDefault="009973A2" w:rsidP="00C96CD3">
            <w:pPr>
              <w:ind w:firstLine="0"/>
              <w:jc w:val="right"/>
              <w:rPr>
                <w:rFonts w:cs="Times New Roman"/>
                <w:noProof/>
                <w:color w:val="000000"/>
                <w:sz w:val="20"/>
                <w:szCs w:val="20"/>
                <w:lang w:val="en-GB"/>
              </w:rPr>
            </w:pPr>
            <w:r w:rsidRPr="00743AC4">
              <w:rPr>
                <w:rFonts w:cs="Times New Roman"/>
                <w:noProof/>
                <w:color w:val="000000"/>
                <w:sz w:val="20"/>
                <w:szCs w:val="20"/>
                <w:lang w:val="en-GB"/>
              </w:rPr>
              <w:t>GDP</w:t>
            </w:r>
          </w:p>
        </w:tc>
        <w:tc>
          <w:tcPr>
            <w:tcW w:w="2307" w:type="pct"/>
            <w:tcBorders>
              <w:top w:val="single" w:sz="12" w:space="0" w:color="000000"/>
            </w:tcBorders>
            <w:shd w:val="clear" w:color="000000" w:fill="FFFFFF"/>
            <w:vAlign w:val="center"/>
            <w:hideMark/>
          </w:tcPr>
          <w:p w:rsidR="009973A2" w:rsidRPr="00743AC4" w:rsidRDefault="009973A2" w:rsidP="00C96CD3">
            <w:pPr>
              <w:ind w:firstLine="0"/>
              <w:jc w:val="center"/>
              <w:rPr>
                <w:rFonts w:cs="Times New Roman"/>
                <w:noProof/>
                <w:sz w:val="20"/>
                <w:szCs w:val="20"/>
                <w:lang w:val="en-GB"/>
              </w:rPr>
            </w:pPr>
            <w:r w:rsidRPr="00743AC4">
              <w:rPr>
                <w:rFonts w:cs="Times New Roman"/>
                <w:noProof/>
                <w:sz w:val="20"/>
                <w:szCs w:val="20"/>
                <w:lang w:val="en-GB"/>
              </w:rPr>
              <w:t>Average GDP growth rate over the past five years.</w:t>
            </w:r>
          </w:p>
        </w:tc>
        <w:tc>
          <w:tcPr>
            <w:tcW w:w="758" w:type="pct"/>
            <w:tcBorders>
              <w:top w:val="single" w:sz="12" w:space="0" w:color="000000"/>
            </w:tcBorders>
            <w:vAlign w:val="center"/>
          </w:tcPr>
          <w:p w:rsidR="009973A2" w:rsidRPr="00743AC4" w:rsidRDefault="009973A2" w:rsidP="00C96CD3">
            <w:pPr>
              <w:ind w:firstLine="0"/>
              <w:jc w:val="center"/>
              <w:rPr>
                <w:rFonts w:cs="Times New Roman"/>
                <w:noProof/>
                <w:color w:val="000000"/>
                <w:sz w:val="20"/>
                <w:szCs w:val="20"/>
                <w:lang w:val="en-GB"/>
              </w:rPr>
            </w:pPr>
            <w:r w:rsidRPr="00743AC4">
              <w:rPr>
                <w:rFonts w:cs="Times New Roman"/>
                <w:noProof/>
                <w:color w:val="000000"/>
                <w:sz w:val="20"/>
                <w:szCs w:val="20"/>
                <w:lang w:val="en-GB"/>
              </w:rPr>
              <w:t>+</w:t>
            </w:r>
          </w:p>
        </w:tc>
      </w:tr>
      <w:tr w:rsidR="009973A2" w:rsidRPr="00743AC4" w:rsidTr="00C96CD3">
        <w:trPr>
          <w:trHeight w:val="212"/>
        </w:trPr>
        <w:tc>
          <w:tcPr>
            <w:tcW w:w="1346" w:type="pct"/>
            <w:shd w:val="clear" w:color="auto" w:fill="auto"/>
            <w:noWrap/>
            <w:vAlign w:val="center"/>
            <w:hideMark/>
          </w:tcPr>
          <w:p w:rsidR="009973A2" w:rsidRPr="00743AC4" w:rsidRDefault="009973A2" w:rsidP="00C96CD3">
            <w:pPr>
              <w:ind w:firstLine="0"/>
              <w:jc w:val="left"/>
              <w:rPr>
                <w:rFonts w:cs="Times New Roman"/>
                <w:noProof/>
                <w:color w:val="000000"/>
                <w:sz w:val="20"/>
                <w:szCs w:val="20"/>
                <w:lang w:val="en-GB"/>
              </w:rPr>
            </w:pPr>
            <w:r w:rsidRPr="00743AC4">
              <w:rPr>
                <w:rFonts w:cs="Times New Roman"/>
                <w:noProof/>
                <w:color w:val="000000"/>
                <w:sz w:val="20"/>
                <w:szCs w:val="20"/>
                <w:lang w:val="en-GB"/>
              </w:rPr>
              <w:t>Market size</w:t>
            </w:r>
          </w:p>
        </w:tc>
        <w:tc>
          <w:tcPr>
            <w:tcW w:w="589" w:type="pct"/>
            <w:shd w:val="clear" w:color="auto" w:fill="auto"/>
            <w:noWrap/>
            <w:vAlign w:val="center"/>
            <w:hideMark/>
          </w:tcPr>
          <w:p w:rsidR="009973A2" w:rsidRPr="00743AC4" w:rsidRDefault="009973A2" w:rsidP="00C96CD3">
            <w:pPr>
              <w:ind w:firstLine="0"/>
              <w:jc w:val="right"/>
              <w:rPr>
                <w:rFonts w:cs="Times New Roman"/>
                <w:noProof/>
                <w:color w:val="000000"/>
                <w:sz w:val="20"/>
                <w:szCs w:val="20"/>
                <w:lang w:val="en-GB"/>
              </w:rPr>
            </w:pPr>
            <w:r w:rsidRPr="00743AC4">
              <w:rPr>
                <w:rFonts w:cs="Times New Roman"/>
                <w:noProof/>
                <w:color w:val="000000"/>
                <w:sz w:val="20"/>
                <w:szCs w:val="20"/>
                <w:lang w:val="en-GB"/>
              </w:rPr>
              <w:t>POP</w:t>
            </w:r>
          </w:p>
        </w:tc>
        <w:tc>
          <w:tcPr>
            <w:tcW w:w="2307" w:type="pct"/>
            <w:shd w:val="clear" w:color="000000" w:fill="FFFFFF"/>
            <w:noWrap/>
            <w:vAlign w:val="center"/>
            <w:hideMark/>
          </w:tcPr>
          <w:p w:rsidR="009973A2" w:rsidRPr="00743AC4" w:rsidRDefault="009973A2" w:rsidP="00C96CD3">
            <w:pPr>
              <w:ind w:firstLine="0"/>
              <w:jc w:val="center"/>
              <w:rPr>
                <w:rFonts w:cs="Times New Roman"/>
                <w:noProof/>
                <w:sz w:val="20"/>
                <w:szCs w:val="20"/>
                <w:lang w:val="en-GB"/>
              </w:rPr>
            </w:pPr>
            <w:r w:rsidRPr="00743AC4">
              <w:rPr>
                <w:rFonts w:cs="Times New Roman"/>
                <w:noProof/>
                <w:sz w:val="20"/>
                <w:szCs w:val="20"/>
                <w:lang w:val="en-GB"/>
              </w:rPr>
              <w:t>Country’s population size (log)</w:t>
            </w:r>
          </w:p>
        </w:tc>
        <w:tc>
          <w:tcPr>
            <w:tcW w:w="758" w:type="pct"/>
            <w:vAlign w:val="center"/>
          </w:tcPr>
          <w:p w:rsidR="009973A2" w:rsidRPr="00743AC4" w:rsidRDefault="009973A2" w:rsidP="00C96CD3">
            <w:pPr>
              <w:ind w:firstLine="0"/>
              <w:jc w:val="center"/>
              <w:rPr>
                <w:rFonts w:cs="Times New Roman"/>
                <w:noProof/>
                <w:color w:val="000000"/>
                <w:sz w:val="20"/>
                <w:szCs w:val="20"/>
                <w:lang w:val="en-GB"/>
              </w:rPr>
            </w:pPr>
            <w:r w:rsidRPr="00743AC4">
              <w:rPr>
                <w:rFonts w:cs="Times New Roman"/>
                <w:noProof/>
                <w:color w:val="000000"/>
                <w:sz w:val="20"/>
                <w:szCs w:val="20"/>
                <w:lang w:val="en-GB"/>
              </w:rPr>
              <w:t>+</w:t>
            </w:r>
          </w:p>
        </w:tc>
      </w:tr>
      <w:tr w:rsidR="009973A2" w:rsidRPr="00743AC4" w:rsidTr="00C96CD3">
        <w:trPr>
          <w:trHeight w:val="323"/>
        </w:trPr>
        <w:tc>
          <w:tcPr>
            <w:tcW w:w="1346" w:type="pct"/>
            <w:shd w:val="clear" w:color="auto" w:fill="auto"/>
            <w:noWrap/>
            <w:vAlign w:val="center"/>
            <w:hideMark/>
          </w:tcPr>
          <w:p w:rsidR="009973A2" w:rsidRPr="00743AC4" w:rsidRDefault="009973A2" w:rsidP="00C96CD3">
            <w:pPr>
              <w:ind w:firstLine="0"/>
              <w:jc w:val="left"/>
              <w:rPr>
                <w:rFonts w:cs="Times New Roman"/>
                <w:noProof/>
                <w:color w:val="000000"/>
                <w:sz w:val="20"/>
                <w:szCs w:val="20"/>
                <w:lang w:val="en-GB"/>
              </w:rPr>
            </w:pPr>
            <w:r w:rsidRPr="00743AC4">
              <w:rPr>
                <w:rFonts w:cs="Times New Roman"/>
                <w:noProof/>
                <w:color w:val="000000"/>
                <w:sz w:val="20"/>
                <w:szCs w:val="20"/>
                <w:lang w:val="en-GB"/>
              </w:rPr>
              <w:t>Macroeconomic instability</w:t>
            </w:r>
          </w:p>
        </w:tc>
        <w:tc>
          <w:tcPr>
            <w:tcW w:w="589" w:type="pct"/>
            <w:shd w:val="clear" w:color="auto" w:fill="auto"/>
            <w:noWrap/>
            <w:vAlign w:val="center"/>
            <w:hideMark/>
          </w:tcPr>
          <w:p w:rsidR="009973A2" w:rsidRPr="00743AC4" w:rsidRDefault="009973A2" w:rsidP="00C96CD3">
            <w:pPr>
              <w:ind w:firstLine="0"/>
              <w:jc w:val="right"/>
              <w:rPr>
                <w:rFonts w:cs="Times New Roman"/>
                <w:noProof/>
                <w:color w:val="000000"/>
                <w:sz w:val="20"/>
                <w:szCs w:val="20"/>
                <w:lang w:val="en-GB"/>
              </w:rPr>
            </w:pPr>
            <w:r w:rsidRPr="00743AC4">
              <w:rPr>
                <w:rFonts w:cs="Times New Roman"/>
                <w:noProof/>
                <w:color w:val="000000"/>
                <w:sz w:val="20"/>
                <w:szCs w:val="20"/>
                <w:lang w:val="en-GB"/>
              </w:rPr>
              <w:t>INF</w:t>
            </w:r>
          </w:p>
        </w:tc>
        <w:tc>
          <w:tcPr>
            <w:tcW w:w="2307" w:type="pct"/>
            <w:shd w:val="clear" w:color="000000" w:fill="FFFFFF"/>
            <w:vAlign w:val="center"/>
            <w:hideMark/>
          </w:tcPr>
          <w:p w:rsidR="009973A2" w:rsidRPr="00743AC4" w:rsidRDefault="009973A2" w:rsidP="00C96CD3">
            <w:pPr>
              <w:ind w:firstLine="0"/>
              <w:jc w:val="center"/>
              <w:rPr>
                <w:rFonts w:cs="Times New Roman"/>
                <w:noProof/>
                <w:color w:val="000000"/>
                <w:sz w:val="20"/>
                <w:szCs w:val="20"/>
                <w:lang w:val="en-GB"/>
              </w:rPr>
            </w:pPr>
            <w:r w:rsidRPr="00743AC4">
              <w:rPr>
                <w:rFonts w:cs="Times New Roman"/>
                <w:noProof/>
                <w:color w:val="000000"/>
                <w:sz w:val="20"/>
                <w:szCs w:val="20"/>
                <w:lang w:val="en-GB"/>
              </w:rPr>
              <w:t>Average inflation rate over the past five years</w:t>
            </w:r>
          </w:p>
        </w:tc>
        <w:tc>
          <w:tcPr>
            <w:tcW w:w="758" w:type="pct"/>
            <w:vAlign w:val="center"/>
          </w:tcPr>
          <w:p w:rsidR="009973A2" w:rsidRPr="00743AC4" w:rsidRDefault="009973A2" w:rsidP="00C96CD3">
            <w:pPr>
              <w:ind w:firstLine="0"/>
              <w:jc w:val="center"/>
              <w:rPr>
                <w:rFonts w:cs="Times New Roman"/>
                <w:noProof/>
                <w:color w:val="000000"/>
                <w:sz w:val="20"/>
                <w:szCs w:val="20"/>
                <w:lang w:val="en-GB"/>
              </w:rPr>
            </w:pPr>
            <w:r w:rsidRPr="00743AC4">
              <w:rPr>
                <w:rFonts w:cs="Times New Roman"/>
                <w:noProof/>
                <w:color w:val="000000"/>
                <w:sz w:val="20"/>
                <w:szCs w:val="20"/>
                <w:lang w:val="en-GB"/>
              </w:rPr>
              <w:t>-</w:t>
            </w:r>
          </w:p>
        </w:tc>
      </w:tr>
      <w:tr w:rsidR="009973A2" w:rsidRPr="00743AC4" w:rsidTr="00C96CD3">
        <w:trPr>
          <w:trHeight w:val="340"/>
        </w:trPr>
        <w:tc>
          <w:tcPr>
            <w:tcW w:w="1346" w:type="pct"/>
            <w:shd w:val="clear" w:color="auto" w:fill="auto"/>
            <w:noWrap/>
            <w:vAlign w:val="center"/>
            <w:hideMark/>
          </w:tcPr>
          <w:p w:rsidR="009973A2" w:rsidRPr="00743AC4" w:rsidRDefault="009973A2" w:rsidP="00C96CD3">
            <w:pPr>
              <w:ind w:firstLine="0"/>
              <w:jc w:val="left"/>
              <w:rPr>
                <w:rFonts w:cs="Times New Roman"/>
                <w:noProof/>
                <w:color w:val="000000"/>
                <w:sz w:val="20"/>
                <w:szCs w:val="20"/>
                <w:lang w:val="en-GB"/>
              </w:rPr>
            </w:pPr>
            <w:r w:rsidRPr="00743AC4">
              <w:rPr>
                <w:rFonts w:cs="Times New Roman"/>
                <w:noProof/>
                <w:color w:val="000000"/>
                <w:sz w:val="20"/>
                <w:szCs w:val="20"/>
                <w:lang w:val="en-GB"/>
              </w:rPr>
              <w:t>Trade Openness</w:t>
            </w:r>
          </w:p>
        </w:tc>
        <w:tc>
          <w:tcPr>
            <w:tcW w:w="589" w:type="pct"/>
            <w:shd w:val="clear" w:color="auto" w:fill="auto"/>
            <w:noWrap/>
            <w:vAlign w:val="center"/>
            <w:hideMark/>
          </w:tcPr>
          <w:p w:rsidR="009973A2" w:rsidRPr="00743AC4" w:rsidRDefault="009973A2" w:rsidP="00C96CD3">
            <w:pPr>
              <w:ind w:firstLine="0"/>
              <w:jc w:val="right"/>
              <w:rPr>
                <w:rFonts w:cs="Times New Roman"/>
                <w:noProof/>
                <w:color w:val="000000"/>
                <w:sz w:val="20"/>
                <w:szCs w:val="20"/>
                <w:lang w:val="en-GB"/>
              </w:rPr>
            </w:pPr>
            <w:r w:rsidRPr="00743AC4">
              <w:rPr>
                <w:rFonts w:cs="Times New Roman"/>
                <w:noProof/>
                <w:color w:val="000000"/>
                <w:sz w:val="20"/>
                <w:szCs w:val="20"/>
                <w:lang w:val="en-GB"/>
              </w:rPr>
              <w:t>OPEN</w:t>
            </w:r>
          </w:p>
        </w:tc>
        <w:tc>
          <w:tcPr>
            <w:tcW w:w="2307" w:type="pct"/>
            <w:shd w:val="clear" w:color="000000" w:fill="FFFFFF"/>
            <w:vAlign w:val="center"/>
            <w:hideMark/>
          </w:tcPr>
          <w:p w:rsidR="009973A2" w:rsidRPr="00743AC4" w:rsidRDefault="009973A2" w:rsidP="00C96CD3">
            <w:pPr>
              <w:ind w:firstLine="0"/>
              <w:jc w:val="center"/>
              <w:rPr>
                <w:rFonts w:cs="Times New Roman"/>
                <w:noProof/>
                <w:color w:val="000000"/>
                <w:sz w:val="20"/>
                <w:szCs w:val="20"/>
                <w:lang w:val="en-GB"/>
              </w:rPr>
            </w:pPr>
            <w:r w:rsidRPr="00743AC4">
              <w:rPr>
                <w:rFonts w:cs="Times New Roman"/>
                <w:noProof/>
                <w:color w:val="000000"/>
                <w:sz w:val="20"/>
                <w:szCs w:val="20"/>
                <w:lang w:val="en-GB"/>
              </w:rPr>
              <w:t>Average of the last five years of exports and imports as a percentage of GDP.</w:t>
            </w:r>
          </w:p>
        </w:tc>
        <w:tc>
          <w:tcPr>
            <w:tcW w:w="758" w:type="pct"/>
            <w:vAlign w:val="center"/>
          </w:tcPr>
          <w:p w:rsidR="009973A2" w:rsidRPr="00743AC4" w:rsidRDefault="009973A2" w:rsidP="00C96CD3">
            <w:pPr>
              <w:ind w:firstLine="0"/>
              <w:jc w:val="center"/>
              <w:rPr>
                <w:rFonts w:cs="Times New Roman"/>
                <w:noProof/>
                <w:color w:val="000000"/>
                <w:sz w:val="20"/>
                <w:szCs w:val="20"/>
                <w:lang w:val="en-GB"/>
              </w:rPr>
            </w:pPr>
            <w:r w:rsidRPr="00743AC4">
              <w:rPr>
                <w:rFonts w:cs="Times New Roman"/>
                <w:noProof/>
                <w:color w:val="000000"/>
                <w:sz w:val="20"/>
                <w:szCs w:val="20"/>
                <w:lang w:val="en-GB"/>
              </w:rPr>
              <w:t>+</w:t>
            </w:r>
          </w:p>
        </w:tc>
      </w:tr>
      <w:tr w:rsidR="009973A2" w:rsidRPr="00743AC4" w:rsidTr="00C96CD3">
        <w:trPr>
          <w:trHeight w:val="345"/>
        </w:trPr>
        <w:tc>
          <w:tcPr>
            <w:tcW w:w="1346" w:type="pct"/>
            <w:shd w:val="clear" w:color="auto" w:fill="auto"/>
            <w:noWrap/>
            <w:vAlign w:val="center"/>
            <w:hideMark/>
          </w:tcPr>
          <w:p w:rsidR="009973A2" w:rsidRPr="00743AC4" w:rsidRDefault="009973A2" w:rsidP="00C96CD3">
            <w:pPr>
              <w:ind w:firstLine="0"/>
              <w:jc w:val="left"/>
              <w:rPr>
                <w:rFonts w:cs="Times New Roman"/>
                <w:noProof/>
                <w:color w:val="000000"/>
                <w:sz w:val="20"/>
                <w:szCs w:val="20"/>
                <w:lang w:val="en-GB"/>
              </w:rPr>
            </w:pPr>
            <w:r w:rsidRPr="00743AC4">
              <w:rPr>
                <w:rFonts w:cs="Times New Roman"/>
                <w:noProof/>
                <w:color w:val="000000"/>
                <w:sz w:val="20"/>
                <w:szCs w:val="20"/>
                <w:lang w:val="en-GB"/>
              </w:rPr>
              <w:t>Natural resources</w:t>
            </w:r>
          </w:p>
        </w:tc>
        <w:tc>
          <w:tcPr>
            <w:tcW w:w="589" w:type="pct"/>
            <w:shd w:val="clear" w:color="auto" w:fill="auto"/>
            <w:noWrap/>
            <w:vAlign w:val="center"/>
            <w:hideMark/>
          </w:tcPr>
          <w:p w:rsidR="009973A2" w:rsidRPr="00743AC4" w:rsidRDefault="009973A2" w:rsidP="00C96CD3">
            <w:pPr>
              <w:ind w:firstLine="0"/>
              <w:jc w:val="right"/>
              <w:rPr>
                <w:rFonts w:cs="Times New Roman"/>
                <w:noProof/>
                <w:color w:val="000000"/>
                <w:sz w:val="20"/>
                <w:szCs w:val="20"/>
                <w:lang w:val="en-GB"/>
              </w:rPr>
            </w:pPr>
            <w:r w:rsidRPr="00743AC4">
              <w:rPr>
                <w:rFonts w:cs="Times New Roman"/>
                <w:noProof/>
                <w:sz w:val="20"/>
                <w:szCs w:val="20"/>
                <w:lang w:val="en-GB"/>
              </w:rPr>
              <w:t>NAT</w:t>
            </w:r>
          </w:p>
        </w:tc>
        <w:tc>
          <w:tcPr>
            <w:tcW w:w="2307" w:type="pct"/>
            <w:shd w:val="clear" w:color="000000" w:fill="FFFFFF"/>
            <w:vAlign w:val="center"/>
            <w:hideMark/>
          </w:tcPr>
          <w:p w:rsidR="009973A2" w:rsidRPr="00743AC4" w:rsidRDefault="009973A2" w:rsidP="00C96CD3">
            <w:pPr>
              <w:ind w:firstLine="0"/>
              <w:jc w:val="center"/>
              <w:rPr>
                <w:rFonts w:cs="Times New Roman"/>
                <w:noProof/>
                <w:color w:val="000000"/>
                <w:sz w:val="20"/>
                <w:szCs w:val="20"/>
                <w:lang w:val="en-GB"/>
              </w:rPr>
            </w:pPr>
            <w:r w:rsidRPr="00743AC4">
              <w:rPr>
                <w:rFonts w:cs="Times New Roman"/>
                <w:noProof/>
                <w:color w:val="000000"/>
                <w:sz w:val="20"/>
                <w:szCs w:val="20"/>
                <w:lang w:val="en-GB"/>
              </w:rPr>
              <w:t>Forestry and mineral exploration (% of GDP)</w:t>
            </w:r>
          </w:p>
        </w:tc>
        <w:tc>
          <w:tcPr>
            <w:tcW w:w="758" w:type="pct"/>
            <w:vAlign w:val="center"/>
          </w:tcPr>
          <w:p w:rsidR="009973A2" w:rsidRPr="00743AC4" w:rsidRDefault="009973A2" w:rsidP="00C96CD3">
            <w:pPr>
              <w:ind w:firstLine="0"/>
              <w:jc w:val="center"/>
              <w:rPr>
                <w:rFonts w:cs="Times New Roman"/>
                <w:noProof/>
                <w:color w:val="000000"/>
                <w:sz w:val="20"/>
                <w:szCs w:val="20"/>
                <w:lang w:val="en-GB"/>
              </w:rPr>
            </w:pPr>
            <w:r w:rsidRPr="00743AC4">
              <w:rPr>
                <w:rFonts w:cs="Times New Roman"/>
                <w:noProof/>
                <w:color w:val="000000"/>
                <w:sz w:val="20"/>
                <w:szCs w:val="20"/>
                <w:lang w:val="en-GB"/>
              </w:rPr>
              <w:t>+</w:t>
            </w:r>
          </w:p>
        </w:tc>
      </w:tr>
      <w:tr w:rsidR="009973A2" w:rsidRPr="00743AC4" w:rsidTr="00C96CD3">
        <w:trPr>
          <w:trHeight w:val="402"/>
        </w:trPr>
        <w:tc>
          <w:tcPr>
            <w:tcW w:w="1346" w:type="pct"/>
            <w:shd w:val="clear" w:color="auto" w:fill="auto"/>
            <w:noWrap/>
            <w:vAlign w:val="center"/>
            <w:hideMark/>
          </w:tcPr>
          <w:p w:rsidR="009973A2" w:rsidRPr="00743AC4" w:rsidRDefault="009973A2" w:rsidP="00C96CD3">
            <w:pPr>
              <w:ind w:firstLine="0"/>
              <w:jc w:val="left"/>
              <w:rPr>
                <w:rFonts w:cs="Times New Roman"/>
                <w:noProof/>
                <w:color w:val="000000"/>
                <w:sz w:val="20"/>
                <w:szCs w:val="20"/>
                <w:lang w:val="en-GB"/>
              </w:rPr>
            </w:pPr>
            <w:r w:rsidRPr="00743AC4">
              <w:rPr>
                <w:rFonts w:cs="Times New Roman"/>
                <w:noProof/>
                <w:color w:val="000000"/>
                <w:sz w:val="20"/>
                <w:szCs w:val="20"/>
                <w:lang w:val="en-GB"/>
              </w:rPr>
              <w:t>Infrastructural development</w:t>
            </w:r>
          </w:p>
        </w:tc>
        <w:tc>
          <w:tcPr>
            <w:tcW w:w="589" w:type="pct"/>
            <w:shd w:val="clear" w:color="auto" w:fill="auto"/>
            <w:noWrap/>
            <w:vAlign w:val="center"/>
            <w:hideMark/>
          </w:tcPr>
          <w:p w:rsidR="009973A2" w:rsidRPr="00743AC4" w:rsidRDefault="009973A2" w:rsidP="00C96CD3">
            <w:pPr>
              <w:ind w:firstLine="0"/>
              <w:jc w:val="right"/>
              <w:rPr>
                <w:rFonts w:cs="Times New Roman"/>
                <w:noProof/>
                <w:color w:val="000000"/>
                <w:sz w:val="20"/>
                <w:szCs w:val="20"/>
                <w:lang w:val="en-GB"/>
              </w:rPr>
            </w:pPr>
            <w:r w:rsidRPr="00743AC4">
              <w:rPr>
                <w:rFonts w:cs="Times New Roman"/>
                <w:noProof/>
                <w:color w:val="000000"/>
                <w:sz w:val="20"/>
                <w:szCs w:val="20"/>
                <w:lang w:val="en-GB"/>
              </w:rPr>
              <w:t>INFR</w:t>
            </w:r>
          </w:p>
        </w:tc>
        <w:tc>
          <w:tcPr>
            <w:tcW w:w="2307" w:type="pct"/>
            <w:shd w:val="clear" w:color="auto" w:fill="FFFFFF" w:themeFill="background1"/>
            <w:vAlign w:val="center"/>
            <w:hideMark/>
          </w:tcPr>
          <w:p w:rsidR="009973A2" w:rsidRPr="00743AC4" w:rsidRDefault="009973A2" w:rsidP="00C96CD3">
            <w:pPr>
              <w:ind w:firstLine="0"/>
              <w:jc w:val="center"/>
              <w:rPr>
                <w:rFonts w:cs="Times New Roman"/>
                <w:noProof/>
                <w:color w:val="000000"/>
                <w:sz w:val="20"/>
                <w:szCs w:val="20"/>
                <w:lang w:val="en-GB"/>
              </w:rPr>
            </w:pPr>
            <w:r w:rsidRPr="00743AC4">
              <w:rPr>
                <w:rFonts w:cs="Times New Roman"/>
                <w:noProof/>
                <w:color w:val="000000"/>
                <w:sz w:val="20"/>
                <w:szCs w:val="20"/>
                <w:lang w:val="en-GB"/>
              </w:rPr>
              <w:t>Sum of the number of mobile phone and telephone lines per 100 people (log).</w:t>
            </w:r>
          </w:p>
        </w:tc>
        <w:tc>
          <w:tcPr>
            <w:tcW w:w="758" w:type="pct"/>
            <w:vAlign w:val="center"/>
          </w:tcPr>
          <w:p w:rsidR="009973A2" w:rsidRPr="00743AC4" w:rsidRDefault="009973A2" w:rsidP="00C96CD3">
            <w:pPr>
              <w:ind w:firstLine="0"/>
              <w:jc w:val="center"/>
              <w:rPr>
                <w:rFonts w:cs="Times New Roman"/>
                <w:noProof/>
                <w:color w:val="000000"/>
                <w:sz w:val="20"/>
                <w:szCs w:val="20"/>
                <w:lang w:val="en-GB"/>
              </w:rPr>
            </w:pPr>
            <w:r w:rsidRPr="00743AC4">
              <w:rPr>
                <w:rFonts w:cs="Times New Roman"/>
                <w:noProof/>
                <w:color w:val="000000"/>
                <w:sz w:val="20"/>
                <w:szCs w:val="20"/>
                <w:lang w:val="en-GB"/>
              </w:rPr>
              <w:t>+</w:t>
            </w:r>
          </w:p>
        </w:tc>
      </w:tr>
      <w:tr w:rsidR="009973A2" w:rsidRPr="00743AC4" w:rsidTr="00C96CD3">
        <w:trPr>
          <w:trHeight w:val="313"/>
        </w:trPr>
        <w:tc>
          <w:tcPr>
            <w:tcW w:w="1346" w:type="pct"/>
            <w:shd w:val="clear" w:color="auto" w:fill="auto"/>
            <w:noWrap/>
            <w:vAlign w:val="center"/>
            <w:hideMark/>
          </w:tcPr>
          <w:p w:rsidR="009973A2" w:rsidRPr="00743AC4" w:rsidRDefault="009973A2" w:rsidP="00C96CD3">
            <w:pPr>
              <w:ind w:firstLine="0"/>
              <w:jc w:val="left"/>
              <w:rPr>
                <w:rFonts w:cs="Times New Roman"/>
                <w:noProof/>
                <w:color w:val="000000"/>
                <w:sz w:val="20"/>
                <w:szCs w:val="20"/>
                <w:lang w:val="en-GB"/>
              </w:rPr>
            </w:pPr>
            <w:r w:rsidRPr="00743AC4">
              <w:rPr>
                <w:rFonts w:cs="Times New Roman"/>
                <w:noProof/>
                <w:color w:val="000000"/>
                <w:sz w:val="20"/>
                <w:szCs w:val="20"/>
                <w:lang w:val="en-GB"/>
              </w:rPr>
              <w:t>Government</w:t>
            </w:r>
          </w:p>
          <w:p w:rsidR="009973A2" w:rsidRPr="00743AC4" w:rsidRDefault="009973A2" w:rsidP="00C96CD3">
            <w:pPr>
              <w:ind w:firstLine="0"/>
              <w:jc w:val="left"/>
              <w:rPr>
                <w:rFonts w:cs="Times New Roman"/>
                <w:noProof/>
                <w:color w:val="000000"/>
                <w:sz w:val="20"/>
                <w:szCs w:val="20"/>
                <w:lang w:val="en-GB"/>
              </w:rPr>
            </w:pPr>
            <w:r w:rsidRPr="00743AC4">
              <w:rPr>
                <w:rFonts w:cs="Times New Roman"/>
                <w:noProof/>
                <w:color w:val="000000"/>
                <w:sz w:val="20"/>
                <w:szCs w:val="20"/>
                <w:lang w:val="en-GB"/>
              </w:rPr>
              <w:t>Effectiveness</w:t>
            </w:r>
          </w:p>
        </w:tc>
        <w:tc>
          <w:tcPr>
            <w:tcW w:w="589" w:type="pct"/>
            <w:shd w:val="clear" w:color="auto" w:fill="auto"/>
            <w:noWrap/>
            <w:vAlign w:val="center"/>
            <w:hideMark/>
          </w:tcPr>
          <w:p w:rsidR="009973A2" w:rsidRPr="00743AC4" w:rsidRDefault="009973A2" w:rsidP="00C96CD3">
            <w:pPr>
              <w:ind w:firstLine="0"/>
              <w:jc w:val="right"/>
              <w:rPr>
                <w:rFonts w:cs="Times New Roman"/>
                <w:noProof/>
                <w:color w:val="000000"/>
                <w:sz w:val="20"/>
                <w:szCs w:val="20"/>
                <w:lang w:val="en-GB"/>
              </w:rPr>
            </w:pPr>
            <w:r w:rsidRPr="00743AC4">
              <w:rPr>
                <w:rFonts w:cs="Times New Roman"/>
                <w:noProof/>
                <w:color w:val="000000"/>
                <w:sz w:val="20"/>
                <w:szCs w:val="20"/>
                <w:lang w:val="en-GB"/>
              </w:rPr>
              <w:t>GOVEF</w:t>
            </w:r>
          </w:p>
        </w:tc>
        <w:tc>
          <w:tcPr>
            <w:tcW w:w="2307" w:type="pct"/>
            <w:shd w:val="clear" w:color="auto" w:fill="auto"/>
            <w:vAlign w:val="center"/>
            <w:hideMark/>
          </w:tcPr>
          <w:p w:rsidR="009973A2" w:rsidRPr="00743AC4" w:rsidRDefault="009973A2" w:rsidP="00C96CD3">
            <w:pPr>
              <w:ind w:firstLine="0"/>
              <w:jc w:val="center"/>
              <w:rPr>
                <w:rFonts w:cs="Times New Roman"/>
                <w:noProof/>
                <w:color w:val="000000"/>
                <w:sz w:val="20"/>
                <w:szCs w:val="20"/>
                <w:lang w:val="en-GB"/>
              </w:rPr>
            </w:pPr>
            <w:r w:rsidRPr="00743AC4">
              <w:rPr>
                <w:rFonts w:cs="Times New Roman"/>
                <w:noProof/>
                <w:color w:val="000000"/>
                <w:sz w:val="20"/>
                <w:szCs w:val="20"/>
                <w:lang w:val="en-GB"/>
              </w:rPr>
              <w:t>Mesure the perceptions of the quality of public services, independence from political pressures, the quality of policy formulation and implementation lity of the government's commitment to such policies: Ranges from 0 (lowest) to 100 (highest) rank.</w:t>
            </w:r>
          </w:p>
        </w:tc>
        <w:tc>
          <w:tcPr>
            <w:tcW w:w="758" w:type="pct"/>
            <w:vAlign w:val="center"/>
          </w:tcPr>
          <w:p w:rsidR="009973A2" w:rsidRPr="00743AC4" w:rsidRDefault="009973A2" w:rsidP="00C96CD3">
            <w:pPr>
              <w:ind w:firstLine="0"/>
              <w:jc w:val="center"/>
              <w:rPr>
                <w:rFonts w:cs="Times New Roman"/>
                <w:noProof/>
                <w:color w:val="000000"/>
                <w:sz w:val="20"/>
                <w:szCs w:val="20"/>
                <w:lang w:val="en-GB"/>
              </w:rPr>
            </w:pPr>
            <w:r w:rsidRPr="00743AC4">
              <w:rPr>
                <w:rFonts w:cs="Times New Roman"/>
                <w:noProof/>
                <w:color w:val="000000"/>
                <w:sz w:val="20"/>
                <w:szCs w:val="20"/>
                <w:lang w:val="en-GB"/>
              </w:rPr>
              <w:t>+</w:t>
            </w:r>
          </w:p>
        </w:tc>
      </w:tr>
      <w:tr w:rsidR="009973A2" w:rsidRPr="00743AC4" w:rsidTr="00C96CD3">
        <w:trPr>
          <w:trHeight w:val="340"/>
        </w:trPr>
        <w:tc>
          <w:tcPr>
            <w:tcW w:w="1346" w:type="pct"/>
            <w:tcBorders>
              <w:bottom w:val="single" w:sz="12" w:space="0" w:color="000000"/>
            </w:tcBorders>
            <w:shd w:val="clear" w:color="auto" w:fill="auto"/>
            <w:noWrap/>
            <w:vAlign w:val="center"/>
            <w:hideMark/>
          </w:tcPr>
          <w:p w:rsidR="009973A2" w:rsidRPr="00743AC4" w:rsidRDefault="009973A2" w:rsidP="00C96CD3">
            <w:pPr>
              <w:ind w:firstLine="0"/>
              <w:jc w:val="left"/>
              <w:rPr>
                <w:rFonts w:cs="Times New Roman"/>
                <w:noProof/>
                <w:color w:val="000000"/>
                <w:sz w:val="20"/>
                <w:szCs w:val="20"/>
                <w:lang w:val="en-GB"/>
              </w:rPr>
            </w:pPr>
            <w:r w:rsidRPr="00743AC4">
              <w:rPr>
                <w:rFonts w:cs="Times New Roman"/>
                <w:noProof/>
                <w:color w:val="000000"/>
                <w:sz w:val="20"/>
                <w:szCs w:val="20"/>
                <w:lang w:val="en-GB"/>
              </w:rPr>
              <w:t>Control of Corruption</w:t>
            </w:r>
          </w:p>
        </w:tc>
        <w:tc>
          <w:tcPr>
            <w:tcW w:w="589" w:type="pct"/>
            <w:tcBorders>
              <w:bottom w:val="single" w:sz="12" w:space="0" w:color="000000"/>
            </w:tcBorders>
            <w:shd w:val="clear" w:color="auto" w:fill="auto"/>
            <w:noWrap/>
            <w:vAlign w:val="center"/>
            <w:hideMark/>
          </w:tcPr>
          <w:p w:rsidR="009973A2" w:rsidRPr="00743AC4" w:rsidRDefault="009973A2" w:rsidP="00C96CD3">
            <w:pPr>
              <w:ind w:firstLine="0"/>
              <w:jc w:val="right"/>
              <w:rPr>
                <w:rFonts w:cs="Times New Roman"/>
                <w:noProof/>
                <w:color w:val="000000"/>
                <w:sz w:val="20"/>
                <w:szCs w:val="20"/>
                <w:lang w:val="en-GB"/>
              </w:rPr>
            </w:pPr>
            <w:r w:rsidRPr="00743AC4">
              <w:rPr>
                <w:rFonts w:cs="Times New Roman"/>
                <w:noProof/>
                <w:color w:val="000000"/>
                <w:sz w:val="20"/>
                <w:szCs w:val="20"/>
                <w:lang w:val="en-GB"/>
              </w:rPr>
              <w:t>CCOR</w:t>
            </w:r>
          </w:p>
        </w:tc>
        <w:tc>
          <w:tcPr>
            <w:tcW w:w="2307" w:type="pct"/>
            <w:tcBorders>
              <w:bottom w:val="single" w:sz="12" w:space="0" w:color="000000"/>
            </w:tcBorders>
            <w:shd w:val="clear" w:color="auto" w:fill="auto"/>
            <w:vAlign w:val="center"/>
            <w:hideMark/>
          </w:tcPr>
          <w:p w:rsidR="009973A2" w:rsidRPr="00743AC4" w:rsidRDefault="009973A2" w:rsidP="00C96CD3">
            <w:pPr>
              <w:ind w:firstLine="0"/>
              <w:jc w:val="center"/>
              <w:rPr>
                <w:rFonts w:cs="Times New Roman"/>
                <w:noProof/>
                <w:color w:val="000000"/>
                <w:sz w:val="20"/>
                <w:szCs w:val="20"/>
                <w:lang w:val="en-GB"/>
              </w:rPr>
            </w:pPr>
            <w:r w:rsidRPr="00743AC4">
              <w:rPr>
                <w:rFonts w:cs="Times New Roman"/>
                <w:noProof/>
                <w:color w:val="000000"/>
                <w:sz w:val="20"/>
                <w:szCs w:val="20"/>
                <w:lang w:val="en-GB"/>
              </w:rPr>
              <w:t>Measures the extent to which public power for personal gain is controlled (log): Ranges from 0 (lowest) to 100 (highest) rank.</w:t>
            </w:r>
          </w:p>
        </w:tc>
        <w:tc>
          <w:tcPr>
            <w:tcW w:w="758" w:type="pct"/>
            <w:tcBorders>
              <w:bottom w:val="single" w:sz="12" w:space="0" w:color="000000"/>
            </w:tcBorders>
            <w:vAlign w:val="center"/>
          </w:tcPr>
          <w:p w:rsidR="009973A2" w:rsidRPr="00743AC4" w:rsidRDefault="009973A2" w:rsidP="00C96CD3">
            <w:pPr>
              <w:ind w:firstLine="0"/>
              <w:jc w:val="center"/>
              <w:rPr>
                <w:rFonts w:cs="Times New Roman"/>
                <w:noProof/>
                <w:color w:val="000000"/>
                <w:sz w:val="20"/>
                <w:szCs w:val="20"/>
                <w:lang w:val="en-GB"/>
              </w:rPr>
            </w:pPr>
            <w:r w:rsidRPr="00743AC4">
              <w:rPr>
                <w:rFonts w:cs="Times New Roman"/>
                <w:noProof/>
                <w:color w:val="000000"/>
                <w:sz w:val="20"/>
                <w:szCs w:val="20"/>
                <w:lang w:val="en-GB"/>
              </w:rPr>
              <w:t>+</w:t>
            </w:r>
          </w:p>
        </w:tc>
      </w:tr>
    </w:tbl>
    <w:p w:rsidR="009973A2" w:rsidRPr="00743AC4" w:rsidRDefault="009973A2" w:rsidP="009973A2">
      <w:pPr>
        <w:tabs>
          <w:tab w:val="left" w:pos="720"/>
          <w:tab w:val="num" w:pos="1440"/>
        </w:tabs>
        <w:ind w:firstLine="720"/>
        <w:rPr>
          <w:rFonts w:cs="Times New Roman"/>
          <w:noProof/>
          <w:lang w:val="en-GB"/>
        </w:rPr>
      </w:pPr>
    </w:p>
    <w:p w:rsidR="009973A2" w:rsidRPr="00743AC4" w:rsidRDefault="009973A2" w:rsidP="009973A2">
      <w:pPr>
        <w:tabs>
          <w:tab w:val="left" w:pos="720"/>
          <w:tab w:val="num" w:pos="1440"/>
        </w:tabs>
        <w:ind w:firstLine="0"/>
        <w:rPr>
          <w:rFonts w:cs="Times New Roman"/>
          <w:noProof/>
          <w:lang w:val="en-GB"/>
        </w:rPr>
      </w:pPr>
      <w:r w:rsidRPr="00743AC4">
        <w:rPr>
          <w:rFonts w:cs="Times New Roman"/>
          <w:noProof/>
          <w:lang w:val="en-GB"/>
        </w:rPr>
        <w:t>The quality of institutions is evaluated by two of the six dimensions of governance of the World Bank, the same that was used by Asamoah et al.</w:t>
      </w:r>
      <w:r w:rsidRPr="00743AC4">
        <w:rPr>
          <w:rFonts w:cs="Times New Roman"/>
          <w:noProof/>
          <w:lang w:val="en-GB"/>
        </w:rPr>
        <w:fldChar w:fldCharType="begin" w:fldLock="1"/>
      </w:r>
      <w:r w:rsidRPr="00743AC4">
        <w:rPr>
          <w:rFonts w:cs="Times New Roman"/>
          <w:noProof/>
          <w:lang w:val="en-GB"/>
        </w:rPr>
        <w:instrText>ADDIN CSL_CITATION {"citationItems":[{"id":"ITEM-1","itemData":{"DOI":"http://dx.doi.org/10.1016/j.ecosys.2016.02.010","ISSN":"09393625","abstract":"This study examines how institutional quality moderates the relationship between macroeconomic volatility and foreign direct investment (FDI) in 40 countries in the Sub-Saharan African region over the period from 1996 to 2011. The GARCH models of Engle (1982) and Bollerslev (1986) are employed to model the volatility of macroeconomic uncertainty. The dynamic panel model estimation of Arellano and Bond (1991) and Blundell and Bond (1998) is used to analyze the relationship between foreign direct investment and the volatility of the macroeconomic variables. We find that macroeconomic uncertainty adversely affects the flow of FDI, while institutional quality also increases the flow of FDI in the presence of other control variables. The interaction between institutional quality and macroeconomic uncertainty reduces the initial negative effect exerted on the flow of FDI by economic uncertainty. Policy implications are drawn from the findings.","author":[{"dropping-particle":"","family":"Asamoah","given":"Michael Effah","non-dropping-particle":"","parse-names":false,"suffix":""},{"dropping-particle":"","family":"Adjasi","given":"Charles K.D.","non-dropping-particle":"","parse-names":false,"suffix":""},{"dropping-particle":"","family":"Alhassan","given":"Abdul Latif","non-dropping-particle":"","parse-names":false,"suffix":""}],"container-title":"Economic Systems","id":"ITEM-1","issue":"4","issued":{"date-parts":[["2016"]]},"page":"612-621","publisher":"Elsevier B.V.","title":"Macroeconomic uncertainty, foreign direct investment and institutional quality: Evidence from Sub-Saharan Africa","type":"article-journal","volume":"40"},"suppress-author":1,"uris":["http://www.mendeley.com/documents/?uuid=591c875a-5e4b-4f1f-9dd4-9396b6c6de80"]}],"mendeley":{"formattedCitation":"(2016)","plainTextFormattedCitation":"(2016)","previouslyFormattedCitation":"(2016)"},"properties":{"noteIndex":0},"schema":"https://github.com/citation-style-language/schema/raw/master/csl-citation.json"}</w:instrText>
      </w:r>
      <w:r w:rsidRPr="00743AC4">
        <w:rPr>
          <w:rFonts w:cs="Times New Roman"/>
          <w:noProof/>
          <w:lang w:val="en-GB"/>
        </w:rPr>
        <w:fldChar w:fldCharType="separate"/>
      </w:r>
      <w:r w:rsidRPr="00743AC4">
        <w:rPr>
          <w:rFonts w:cs="Times New Roman"/>
          <w:noProof/>
          <w:lang w:val="en-GB"/>
        </w:rPr>
        <w:t>(2016)</w:t>
      </w:r>
      <w:r w:rsidRPr="00743AC4">
        <w:rPr>
          <w:rFonts w:cs="Times New Roman"/>
          <w:noProof/>
          <w:lang w:val="en-GB"/>
        </w:rPr>
        <w:fldChar w:fldCharType="end"/>
      </w:r>
      <w:r w:rsidRPr="00743AC4">
        <w:rPr>
          <w:rFonts w:cs="Times New Roman"/>
          <w:noProof/>
          <w:lang w:val="en-GB"/>
        </w:rPr>
        <w:t xml:space="preserve"> and Rodríguez-Pose and Cols (2017). Government effectiveness reflects the level of quality of public services, the credibility of government policies, among other attributes of government, and the control of corruption captures the perception of how inadequate public power is exercised for the benefit of the private sector.</w:t>
      </w:r>
    </w:p>
    <w:p w:rsidR="009973A2" w:rsidRPr="00743AC4" w:rsidRDefault="009973A2" w:rsidP="009973A2">
      <w:pPr>
        <w:tabs>
          <w:tab w:val="left" w:pos="720"/>
          <w:tab w:val="num" w:pos="1440"/>
        </w:tabs>
        <w:ind w:firstLine="720"/>
        <w:rPr>
          <w:rFonts w:cs="Times New Roman"/>
          <w:noProof/>
          <w:lang w:val="en-GB"/>
        </w:rPr>
      </w:pPr>
    </w:p>
    <w:p w:rsidR="009973A2" w:rsidRPr="00743AC4" w:rsidRDefault="009973A2" w:rsidP="009973A2">
      <w:pPr>
        <w:ind w:firstLine="0"/>
        <w:rPr>
          <w:rFonts w:cs="Times New Roman"/>
          <w:noProof/>
          <w:lang w:val="en-GB"/>
        </w:rPr>
      </w:pPr>
      <w:r w:rsidRPr="00743AC4">
        <w:rPr>
          <w:rFonts w:cs="Times New Roman"/>
          <w:noProof/>
          <w:lang w:val="en-GB"/>
        </w:rPr>
        <w:t xml:space="preserve">Table 4 shows that the sample mean of the FDI/GDP ratio is 5.0%. The maximum value of this ratio was recorded in 2010 by Liberia, which also accumulates the highest average (30.7%) for the group of countries. Angola stood out with the record of the minimum value in 2017. FDI inflows into SSA proved to be volatile, showing a standard deviation twice the average. Also the dynamics demonstrated by some explanatory variables, such as inflation and infrastructure, show that countries are faced with price risks and consequent volatility in the business environment, and some inequality in the level of infrastructure. </w:t>
      </w:r>
    </w:p>
    <w:p w:rsidR="009973A2" w:rsidRPr="00743AC4" w:rsidRDefault="009973A2" w:rsidP="009973A2">
      <w:pPr>
        <w:ind w:firstLine="0"/>
        <w:rPr>
          <w:rFonts w:cs="Times New Roman"/>
          <w:noProof/>
          <w:lang w:val="en-GB"/>
        </w:rPr>
      </w:pPr>
    </w:p>
    <w:p w:rsidR="009973A2" w:rsidRPr="00743AC4" w:rsidRDefault="009973A2" w:rsidP="009973A2">
      <w:pPr>
        <w:ind w:firstLine="0"/>
        <w:rPr>
          <w:rFonts w:cs="Times New Roman"/>
          <w:noProof/>
          <w:lang w:val="en-GB"/>
        </w:rPr>
      </w:pPr>
    </w:p>
    <w:p w:rsidR="009973A2" w:rsidRPr="00743AC4" w:rsidRDefault="009973A2" w:rsidP="009973A2">
      <w:pPr>
        <w:pStyle w:val="Legenda"/>
        <w:rPr>
          <w:noProof/>
          <w:lang w:val="en-GB"/>
        </w:rPr>
      </w:pPr>
      <w:bookmarkStart w:id="2" w:name="_Toc32521451"/>
      <w:r w:rsidRPr="00743AC4">
        <w:rPr>
          <w:noProof/>
          <w:lang w:val="en-GB"/>
        </w:rPr>
        <w:lastRenderedPageBreak/>
        <w:t xml:space="preserve">Table </w:t>
      </w:r>
      <w:r w:rsidRPr="00743AC4">
        <w:rPr>
          <w:noProof/>
          <w:lang w:val="en-GB"/>
        </w:rPr>
        <w:fldChar w:fldCharType="begin"/>
      </w:r>
      <w:r w:rsidRPr="00743AC4">
        <w:rPr>
          <w:noProof/>
          <w:lang w:val="en-GB"/>
        </w:rPr>
        <w:instrText xml:space="preserve"> SEQ Tabela \* ARABIC </w:instrText>
      </w:r>
      <w:r w:rsidRPr="00743AC4">
        <w:rPr>
          <w:noProof/>
          <w:lang w:val="en-GB"/>
        </w:rPr>
        <w:fldChar w:fldCharType="separate"/>
      </w:r>
      <w:r w:rsidRPr="00743AC4">
        <w:rPr>
          <w:noProof/>
          <w:lang w:val="en-GB"/>
        </w:rPr>
        <w:t>4</w:t>
      </w:r>
      <w:r w:rsidRPr="00743AC4">
        <w:rPr>
          <w:noProof/>
          <w:lang w:val="en-GB"/>
        </w:rPr>
        <w:fldChar w:fldCharType="end"/>
      </w:r>
      <w:r w:rsidRPr="00743AC4">
        <w:rPr>
          <w:noProof/>
          <w:lang w:val="en-GB"/>
        </w:rPr>
        <w:t>. Descritive statistics of variables analyzed</w:t>
      </w:r>
      <w:bookmarkEnd w:id="2"/>
    </w:p>
    <w:tbl>
      <w:tblPr>
        <w:tblW w:w="4795" w:type="pct"/>
        <w:jc w:val="center"/>
        <w:tblCellMar>
          <w:left w:w="70" w:type="dxa"/>
          <w:right w:w="70" w:type="dxa"/>
        </w:tblCellMar>
        <w:tblLook w:val="04A0" w:firstRow="1" w:lastRow="0" w:firstColumn="1" w:lastColumn="0" w:noHBand="0" w:noVBand="1"/>
      </w:tblPr>
      <w:tblGrid>
        <w:gridCol w:w="1472"/>
        <w:gridCol w:w="1797"/>
        <w:gridCol w:w="1813"/>
        <w:gridCol w:w="1797"/>
        <w:gridCol w:w="1597"/>
      </w:tblGrid>
      <w:tr w:rsidR="009973A2" w:rsidRPr="00743AC4" w:rsidTr="00C96CD3">
        <w:trPr>
          <w:trHeight w:val="239"/>
          <w:jc w:val="center"/>
        </w:trPr>
        <w:tc>
          <w:tcPr>
            <w:tcW w:w="870" w:type="pct"/>
            <w:tcBorders>
              <w:top w:val="single" w:sz="12" w:space="0" w:color="000000"/>
              <w:left w:val="nil"/>
              <w:bottom w:val="single" w:sz="12" w:space="0" w:color="000000"/>
              <w:right w:val="nil"/>
            </w:tcBorders>
            <w:shd w:val="clear" w:color="auto" w:fill="FFFFFF"/>
            <w:noWrap/>
            <w:vAlign w:val="center"/>
            <w:hideMark/>
          </w:tcPr>
          <w:p w:rsidR="009973A2" w:rsidRPr="00743AC4" w:rsidRDefault="009973A2" w:rsidP="00C96CD3">
            <w:pPr>
              <w:ind w:right="-97" w:firstLine="0"/>
              <w:jc w:val="center"/>
              <w:rPr>
                <w:rFonts w:cs="Times New Roman"/>
                <w:b/>
                <w:noProof/>
                <w:color w:val="000000"/>
                <w:sz w:val="20"/>
                <w:szCs w:val="20"/>
                <w:lang w:val="en-GB"/>
              </w:rPr>
            </w:pPr>
            <w:r w:rsidRPr="00743AC4">
              <w:rPr>
                <w:rFonts w:cs="Times New Roman"/>
                <w:b/>
                <w:noProof/>
                <w:color w:val="000000"/>
                <w:sz w:val="20"/>
                <w:szCs w:val="20"/>
                <w:lang w:val="en-GB"/>
              </w:rPr>
              <w:t>Variável</w:t>
            </w:r>
          </w:p>
        </w:tc>
        <w:tc>
          <w:tcPr>
            <w:tcW w:w="1062" w:type="pct"/>
            <w:tcBorders>
              <w:top w:val="single" w:sz="12" w:space="0" w:color="000000"/>
              <w:left w:val="nil"/>
              <w:bottom w:val="single" w:sz="12" w:space="0" w:color="000000"/>
              <w:right w:val="nil"/>
            </w:tcBorders>
            <w:shd w:val="clear" w:color="auto" w:fill="FFFFFF"/>
            <w:noWrap/>
            <w:vAlign w:val="center"/>
            <w:hideMark/>
          </w:tcPr>
          <w:p w:rsidR="009973A2" w:rsidRPr="00743AC4" w:rsidRDefault="009973A2" w:rsidP="00C96CD3">
            <w:pPr>
              <w:ind w:right="-97" w:firstLine="0"/>
              <w:jc w:val="center"/>
              <w:rPr>
                <w:rFonts w:cs="Times New Roman"/>
                <w:b/>
                <w:noProof/>
                <w:color w:val="000000"/>
                <w:sz w:val="20"/>
                <w:szCs w:val="20"/>
                <w:lang w:val="en-GB"/>
              </w:rPr>
            </w:pPr>
            <w:r w:rsidRPr="00743AC4">
              <w:rPr>
                <w:rFonts w:cs="Times New Roman"/>
                <w:b/>
                <w:noProof/>
                <w:color w:val="000000"/>
                <w:sz w:val="20"/>
                <w:szCs w:val="20"/>
                <w:lang w:val="en-GB"/>
              </w:rPr>
              <w:t xml:space="preserve">Mean </w:t>
            </w:r>
          </w:p>
        </w:tc>
        <w:tc>
          <w:tcPr>
            <w:tcW w:w="1062" w:type="pct"/>
            <w:tcBorders>
              <w:top w:val="single" w:sz="12" w:space="0" w:color="000000"/>
              <w:left w:val="nil"/>
              <w:bottom w:val="single" w:sz="12" w:space="0" w:color="000000"/>
              <w:right w:val="nil"/>
            </w:tcBorders>
            <w:shd w:val="clear" w:color="auto" w:fill="FFFFFF"/>
            <w:noWrap/>
            <w:vAlign w:val="center"/>
            <w:hideMark/>
          </w:tcPr>
          <w:p w:rsidR="009973A2" w:rsidRPr="00743AC4" w:rsidRDefault="009973A2" w:rsidP="00C96CD3">
            <w:pPr>
              <w:ind w:right="-97" w:firstLine="0"/>
              <w:jc w:val="center"/>
              <w:rPr>
                <w:rFonts w:cs="Times New Roman"/>
                <w:b/>
                <w:noProof/>
                <w:color w:val="000000"/>
                <w:sz w:val="20"/>
                <w:szCs w:val="20"/>
                <w:lang w:val="en-GB"/>
              </w:rPr>
            </w:pPr>
            <w:r w:rsidRPr="00743AC4">
              <w:rPr>
                <w:rFonts w:cs="Times New Roman"/>
                <w:b/>
                <w:noProof/>
                <w:color w:val="000000"/>
                <w:sz w:val="20"/>
                <w:szCs w:val="20"/>
                <w:lang w:val="en-GB"/>
              </w:rPr>
              <w:t>Standard Deviation</w:t>
            </w:r>
          </w:p>
        </w:tc>
        <w:tc>
          <w:tcPr>
            <w:tcW w:w="1062" w:type="pct"/>
            <w:tcBorders>
              <w:top w:val="single" w:sz="12" w:space="0" w:color="000000"/>
              <w:left w:val="nil"/>
              <w:bottom w:val="single" w:sz="12" w:space="0" w:color="000000"/>
              <w:right w:val="nil"/>
            </w:tcBorders>
            <w:shd w:val="clear" w:color="auto" w:fill="FFFFFF"/>
            <w:noWrap/>
            <w:vAlign w:val="center"/>
            <w:hideMark/>
          </w:tcPr>
          <w:p w:rsidR="009973A2" w:rsidRPr="00743AC4" w:rsidRDefault="009973A2" w:rsidP="00C96CD3">
            <w:pPr>
              <w:ind w:right="-97" w:firstLine="0"/>
              <w:jc w:val="center"/>
              <w:rPr>
                <w:rFonts w:cs="Times New Roman"/>
                <w:b/>
                <w:noProof/>
                <w:color w:val="000000"/>
                <w:sz w:val="20"/>
                <w:szCs w:val="20"/>
                <w:lang w:val="en-GB"/>
              </w:rPr>
            </w:pPr>
            <w:r w:rsidRPr="00743AC4">
              <w:rPr>
                <w:rFonts w:cs="Times New Roman"/>
                <w:b/>
                <w:noProof/>
                <w:color w:val="000000"/>
                <w:sz w:val="20"/>
                <w:szCs w:val="20"/>
                <w:lang w:val="en-GB"/>
              </w:rPr>
              <w:t>Minimun Value</w:t>
            </w:r>
          </w:p>
        </w:tc>
        <w:tc>
          <w:tcPr>
            <w:tcW w:w="944" w:type="pct"/>
            <w:tcBorders>
              <w:top w:val="single" w:sz="12" w:space="0" w:color="000000"/>
              <w:left w:val="nil"/>
              <w:bottom w:val="single" w:sz="12" w:space="0" w:color="000000"/>
              <w:right w:val="nil"/>
            </w:tcBorders>
            <w:shd w:val="clear" w:color="auto" w:fill="FFFFFF"/>
            <w:noWrap/>
            <w:vAlign w:val="center"/>
            <w:hideMark/>
          </w:tcPr>
          <w:p w:rsidR="009973A2" w:rsidRPr="00743AC4" w:rsidRDefault="009973A2" w:rsidP="00C96CD3">
            <w:pPr>
              <w:ind w:right="-97" w:firstLine="0"/>
              <w:jc w:val="center"/>
              <w:rPr>
                <w:rFonts w:cs="Times New Roman"/>
                <w:b/>
                <w:noProof/>
                <w:color w:val="000000"/>
                <w:sz w:val="20"/>
                <w:szCs w:val="20"/>
                <w:lang w:val="en-GB"/>
              </w:rPr>
            </w:pPr>
            <w:r w:rsidRPr="00743AC4">
              <w:rPr>
                <w:rFonts w:cs="Times New Roman"/>
                <w:b/>
                <w:noProof/>
                <w:color w:val="000000"/>
                <w:sz w:val="20"/>
                <w:szCs w:val="20"/>
                <w:lang w:val="en-GB"/>
              </w:rPr>
              <w:t>Maximun Value</w:t>
            </w:r>
          </w:p>
        </w:tc>
      </w:tr>
      <w:tr w:rsidR="009973A2" w:rsidRPr="00743AC4" w:rsidTr="00C96CD3">
        <w:trPr>
          <w:trHeight w:val="306"/>
          <w:jc w:val="center"/>
        </w:trPr>
        <w:tc>
          <w:tcPr>
            <w:tcW w:w="870" w:type="pct"/>
            <w:tcBorders>
              <w:top w:val="single" w:sz="12" w:space="0" w:color="000000"/>
              <w:left w:val="nil"/>
              <w:bottom w:val="nil"/>
              <w:right w:val="nil"/>
            </w:tcBorders>
            <w:shd w:val="clear" w:color="000000" w:fill="FFFFFF"/>
            <w:noWrap/>
            <w:vAlign w:val="center"/>
            <w:hideMark/>
          </w:tcPr>
          <w:p w:rsidR="009973A2" w:rsidRPr="00743AC4" w:rsidRDefault="009973A2" w:rsidP="00C96CD3">
            <w:pPr>
              <w:ind w:right="-97" w:firstLine="0"/>
              <w:jc w:val="left"/>
              <w:rPr>
                <w:rFonts w:cs="Times New Roman"/>
                <w:noProof/>
                <w:color w:val="000000"/>
                <w:sz w:val="20"/>
                <w:szCs w:val="20"/>
                <w:lang w:val="en-GB"/>
              </w:rPr>
            </w:pPr>
            <w:r w:rsidRPr="00743AC4">
              <w:rPr>
                <w:rFonts w:cs="Times New Roman"/>
                <w:noProof/>
                <w:color w:val="000000"/>
                <w:sz w:val="20"/>
                <w:szCs w:val="20"/>
                <w:lang w:val="en-GB"/>
              </w:rPr>
              <w:t xml:space="preserve">  FDI</w:t>
            </w:r>
          </w:p>
        </w:tc>
        <w:tc>
          <w:tcPr>
            <w:tcW w:w="1062" w:type="pct"/>
            <w:tcBorders>
              <w:top w:val="single" w:sz="12" w:space="0" w:color="000000"/>
              <w:left w:val="nil"/>
              <w:bottom w:val="nil"/>
              <w:right w:val="nil"/>
            </w:tcBorders>
            <w:shd w:val="clear" w:color="auto" w:fill="auto"/>
            <w:noWrap/>
            <w:vAlign w:val="bottom"/>
            <w:hideMark/>
          </w:tcPr>
          <w:p w:rsidR="009973A2" w:rsidRPr="00743AC4" w:rsidRDefault="009973A2" w:rsidP="00C96CD3">
            <w:pPr>
              <w:ind w:right="-97" w:firstLine="0"/>
              <w:jc w:val="center"/>
              <w:rPr>
                <w:rFonts w:cs="Times New Roman"/>
                <w:noProof/>
                <w:color w:val="000000"/>
                <w:sz w:val="20"/>
                <w:szCs w:val="20"/>
                <w:lang w:val="en-GB"/>
              </w:rPr>
            </w:pPr>
            <w:r w:rsidRPr="00743AC4">
              <w:rPr>
                <w:rFonts w:cs="Times New Roman"/>
                <w:noProof/>
                <w:color w:val="000000"/>
                <w:sz w:val="20"/>
                <w:szCs w:val="20"/>
                <w:lang w:val="en-GB"/>
              </w:rPr>
              <w:t>5.041871</w:t>
            </w:r>
          </w:p>
        </w:tc>
        <w:tc>
          <w:tcPr>
            <w:tcW w:w="1062" w:type="pct"/>
            <w:tcBorders>
              <w:top w:val="single" w:sz="12" w:space="0" w:color="000000"/>
              <w:left w:val="nil"/>
              <w:bottom w:val="nil"/>
              <w:right w:val="nil"/>
            </w:tcBorders>
            <w:shd w:val="clear" w:color="auto" w:fill="auto"/>
            <w:noWrap/>
            <w:vAlign w:val="bottom"/>
            <w:hideMark/>
          </w:tcPr>
          <w:p w:rsidR="009973A2" w:rsidRPr="00743AC4" w:rsidRDefault="009973A2" w:rsidP="00C96CD3">
            <w:pPr>
              <w:ind w:right="-97" w:firstLine="0"/>
              <w:jc w:val="center"/>
              <w:rPr>
                <w:rFonts w:cs="Times New Roman"/>
                <w:noProof/>
                <w:color w:val="000000"/>
                <w:sz w:val="20"/>
                <w:szCs w:val="20"/>
                <w:lang w:val="en-GB"/>
              </w:rPr>
            </w:pPr>
            <w:r w:rsidRPr="00743AC4">
              <w:rPr>
                <w:rFonts w:cs="Times New Roman"/>
                <w:noProof/>
                <w:color w:val="000000"/>
                <w:sz w:val="20"/>
                <w:szCs w:val="20"/>
                <w:lang w:val="en-GB"/>
              </w:rPr>
              <w:t>10.19285</w:t>
            </w:r>
          </w:p>
        </w:tc>
        <w:tc>
          <w:tcPr>
            <w:tcW w:w="1062" w:type="pct"/>
            <w:tcBorders>
              <w:top w:val="single" w:sz="12" w:space="0" w:color="000000"/>
              <w:left w:val="nil"/>
              <w:bottom w:val="nil"/>
              <w:right w:val="nil"/>
            </w:tcBorders>
            <w:shd w:val="clear" w:color="auto" w:fill="auto"/>
            <w:noWrap/>
            <w:vAlign w:val="bottom"/>
            <w:hideMark/>
          </w:tcPr>
          <w:p w:rsidR="009973A2" w:rsidRPr="00743AC4" w:rsidRDefault="009973A2" w:rsidP="00C96CD3">
            <w:pPr>
              <w:ind w:right="-97" w:firstLine="0"/>
              <w:jc w:val="center"/>
              <w:rPr>
                <w:rFonts w:cs="Times New Roman"/>
                <w:noProof/>
                <w:color w:val="000000"/>
                <w:sz w:val="20"/>
                <w:szCs w:val="20"/>
                <w:lang w:val="en-GB"/>
              </w:rPr>
            </w:pPr>
            <w:r w:rsidRPr="00743AC4">
              <w:rPr>
                <w:rFonts w:cs="Times New Roman"/>
                <w:noProof/>
                <w:color w:val="000000"/>
                <w:sz w:val="20"/>
                <w:szCs w:val="20"/>
                <w:lang w:val="en-GB"/>
              </w:rPr>
              <w:t>-6.057209</w:t>
            </w:r>
          </w:p>
        </w:tc>
        <w:tc>
          <w:tcPr>
            <w:tcW w:w="944" w:type="pct"/>
            <w:tcBorders>
              <w:top w:val="single" w:sz="12" w:space="0" w:color="000000"/>
              <w:left w:val="nil"/>
              <w:bottom w:val="nil"/>
              <w:right w:val="nil"/>
            </w:tcBorders>
            <w:shd w:val="clear" w:color="auto" w:fill="auto"/>
            <w:noWrap/>
            <w:vAlign w:val="bottom"/>
            <w:hideMark/>
          </w:tcPr>
          <w:p w:rsidR="009973A2" w:rsidRPr="00743AC4" w:rsidRDefault="009973A2" w:rsidP="00C96CD3">
            <w:pPr>
              <w:ind w:right="-97" w:firstLine="0"/>
              <w:jc w:val="center"/>
              <w:rPr>
                <w:rFonts w:cs="Times New Roman"/>
                <w:noProof/>
                <w:color w:val="000000"/>
                <w:sz w:val="20"/>
                <w:szCs w:val="20"/>
                <w:lang w:val="en-GB"/>
              </w:rPr>
            </w:pPr>
            <w:r w:rsidRPr="00743AC4">
              <w:rPr>
                <w:rFonts w:cs="Times New Roman"/>
                <w:noProof/>
                <w:color w:val="000000"/>
                <w:sz w:val="20"/>
                <w:szCs w:val="20"/>
                <w:lang w:val="en-GB"/>
              </w:rPr>
              <w:t>103.3374</w:t>
            </w:r>
          </w:p>
        </w:tc>
      </w:tr>
      <w:tr w:rsidR="009973A2" w:rsidRPr="00743AC4" w:rsidTr="00C96CD3">
        <w:trPr>
          <w:trHeight w:val="306"/>
          <w:jc w:val="center"/>
        </w:trPr>
        <w:tc>
          <w:tcPr>
            <w:tcW w:w="870" w:type="pct"/>
            <w:tcBorders>
              <w:top w:val="nil"/>
              <w:left w:val="nil"/>
              <w:bottom w:val="nil"/>
              <w:right w:val="nil"/>
            </w:tcBorders>
            <w:shd w:val="clear" w:color="000000" w:fill="FFFFFF"/>
            <w:noWrap/>
            <w:vAlign w:val="center"/>
            <w:hideMark/>
          </w:tcPr>
          <w:p w:rsidR="009973A2" w:rsidRPr="00743AC4" w:rsidRDefault="009973A2" w:rsidP="00C96CD3">
            <w:pPr>
              <w:ind w:right="-97" w:firstLine="0"/>
              <w:jc w:val="left"/>
              <w:rPr>
                <w:rFonts w:cs="Times New Roman"/>
                <w:noProof/>
                <w:color w:val="000000"/>
                <w:sz w:val="20"/>
                <w:szCs w:val="20"/>
                <w:lang w:val="en-GB"/>
              </w:rPr>
            </w:pPr>
            <w:r w:rsidRPr="00743AC4">
              <w:rPr>
                <w:rFonts w:cs="Times New Roman"/>
                <w:noProof/>
                <w:color w:val="000000"/>
                <w:sz w:val="20"/>
                <w:szCs w:val="20"/>
                <w:lang w:val="en-GB"/>
              </w:rPr>
              <w:t xml:space="preserve">  GDP</w:t>
            </w:r>
          </w:p>
        </w:tc>
        <w:tc>
          <w:tcPr>
            <w:tcW w:w="1062" w:type="pct"/>
            <w:tcBorders>
              <w:top w:val="nil"/>
              <w:left w:val="nil"/>
              <w:bottom w:val="nil"/>
              <w:right w:val="nil"/>
            </w:tcBorders>
            <w:shd w:val="clear" w:color="auto" w:fill="auto"/>
            <w:noWrap/>
            <w:vAlign w:val="bottom"/>
            <w:hideMark/>
          </w:tcPr>
          <w:p w:rsidR="009973A2" w:rsidRPr="00743AC4" w:rsidRDefault="009973A2" w:rsidP="00C96CD3">
            <w:pPr>
              <w:ind w:right="-97" w:firstLine="0"/>
              <w:jc w:val="center"/>
              <w:rPr>
                <w:rFonts w:cs="Times New Roman"/>
                <w:noProof/>
                <w:color w:val="000000"/>
                <w:sz w:val="20"/>
                <w:szCs w:val="20"/>
                <w:lang w:val="en-GB"/>
              </w:rPr>
            </w:pPr>
            <w:r w:rsidRPr="00743AC4">
              <w:rPr>
                <w:rFonts w:cs="Times New Roman"/>
                <w:noProof/>
                <w:color w:val="000000"/>
                <w:sz w:val="20"/>
                <w:szCs w:val="20"/>
                <w:lang w:val="en-GB"/>
              </w:rPr>
              <w:t>4.833712</w:t>
            </w:r>
          </w:p>
        </w:tc>
        <w:tc>
          <w:tcPr>
            <w:tcW w:w="1062" w:type="pct"/>
            <w:tcBorders>
              <w:top w:val="nil"/>
              <w:left w:val="nil"/>
              <w:bottom w:val="nil"/>
              <w:right w:val="nil"/>
            </w:tcBorders>
            <w:shd w:val="clear" w:color="auto" w:fill="auto"/>
            <w:noWrap/>
            <w:vAlign w:val="bottom"/>
            <w:hideMark/>
          </w:tcPr>
          <w:p w:rsidR="009973A2" w:rsidRPr="00743AC4" w:rsidRDefault="009973A2" w:rsidP="00C96CD3">
            <w:pPr>
              <w:ind w:right="-97" w:firstLine="0"/>
              <w:jc w:val="center"/>
              <w:rPr>
                <w:rFonts w:cs="Times New Roman"/>
                <w:noProof/>
                <w:color w:val="000000"/>
                <w:sz w:val="20"/>
                <w:szCs w:val="20"/>
                <w:lang w:val="en-GB"/>
              </w:rPr>
            </w:pPr>
            <w:r w:rsidRPr="00743AC4">
              <w:rPr>
                <w:rFonts w:cs="Times New Roman"/>
                <w:noProof/>
                <w:color w:val="000000"/>
                <w:sz w:val="20"/>
                <w:szCs w:val="20"/>
                <w:lang w:val="en-GB"/>
              </w:rPr>
              <w:t>2.441066</w:t>
            </w:r>
          </w:p>
        </w:tc>
        <w:tc>
          <w:tcPr>
            <w:tcW w:w="1062" w:type="pct"/>
            <w:tcBorders>
              <w:top w:val="nil"/>
              <w:left w:val="nil"/>
              <w:bottom w:val="nil"/>
              <w:right w:val="nil"/>
            </w:tcBorders>
            <w:shd w:val="clear" w:color="auto" w:fill="auto"/>
            <w:noWrap/>
            <w:vAlign w:val="bottom"/>
            <w:hideMark/>
          </w:tcPr>
          <w:p w:rsidR="009973A2" w:rsidRPr="00743AC4" w:rsidRDefault="009973A2" w:rsidP="00C96CD3">
            <w:pPr>
              <w:ind w:right="-97" w:firstLine="0"/>
              <w:jc w:val="center"/>
              <w:rPr>
                <w:rFonts w:cs="Times New Roman"/>
                <w:noProof/>
                <w:color w:val="000000"/>
                <w:sz w:val="20"/>
                <w:szCs w:val="20"/>
                <w:lang w:val="en-GB"/>
              </w:rPr>
            </w:pPr>
            <w:r w:rsidRPr="00743AC4">
              <w:rPr>
                <w:rFonts w:cs="Times New Roman"/>
                <w:noProof/>
                <w:color w:val="000000"/>
                <w:sz w:val="20"/>
                <w:szCs w:val="20"/>
                <w:lang w:val="en-GB"/>
              </w:rPr>
              <w:t>-7.82061</w:t>
            </w:r>
          </w:p>
        </w:tc>
        <w:tc>
          <w:tcPr>
            <w:tcW w:w="944" w:type="pct"/>
            <w:tcBorders>
              <w:top w:val="nil"/>
              <w:left w:val="nil"/>
              <w:bottom w:val="nil"/>
              <w:right w:val="nil"/>
            </w:tcBorders>
            <w:shd w:val="clear" w:color="auto" w:fill="auto"/>
            <w:noWrap/>
            <w:vAlign w:val="bottom"/>
            <w:hideMark/>
          </w:tcPr>
          <w:p w:rsidR="009973A2" w:rsidRPr="00743AC4" w:rsidRDefault="009973A2" w:rsidP="00C96CD3">
            <w:pPr>
              <w:ind w:right="-97" w:firstLine="0"/>
              <w:jc w:val="center"/>
              <w:rPr>
                <w:rFonts w:cs="Times New Roman"/>
                <w:noProof/>
                <w:color w:val="000000"/>
                <w:sz w:val="20"/>
                <w:szCs w:val="20"/>
                <w:lang w:val="en-GB"/>
              </w:rPr>
            </w:pPr>
            <w:r w:rsidRPr="00743AC4">
              <w:rPr>
                <w:rFonts w:cs="Times New Roman"/>
                <w:noProof/>
                <w:color w:val="000000"/>
                <w:sz w:val="20"/>
                <w:szCs w:val="20"/>
                <w:lang w:val="en-GB"/>
              </w:rPr>
              <w:t>12.9087</w:t>
            </w:r>
          </w:p>
        </w:tc>
      </w:tr>
      <w:tr w:rsidR="009973A2" w:rsidRPr="00743AC4" w:rsidTr="00C96CD3">
        <w:trPr>
          <w:trHeight w:val="306"/>
          <w:jc w:val="center"/>
        </w:trPr>
        <w:tc>
          <w:tcPr>
            <w:tcW w:w="870" w:type="pct"/>
            <w:tcBorders>
              <w:top w:val="nil"/>
              <w:left w:val="nil"/>
              <w:bottom w:val="nil"/>
              <w:right w:val="nil"/>
            </w:tcBorders>
            <w:shd w:val="clear" w:color="000000" w:fill="FFFFFF"/>
            <w:noWrap/>
            <w:vAlign w:val="center"/>
            <w:hideMark/>
          </w:tcPr>
          <w:p w:rsidR="009973A2" w:rsidRPr="00743AC4" w:rsidRDefault="009973A2" w:rsidP="00C96CD3">
            <w:pPr>
              <w:ind w:right="-97" w:firstLine="0"/>
              <w:jc w:val="left"/>
              <w:rPr>
                <w:rFonts w:cs="Times New Roman"/>
                <w:noProof/>
                <w:color w:val="000000"/>
                <w:sz w:val="20"/>
                <w:szCs w:val="20"/>
                <w:lang w:val="en-GB"/>
              </w:rPr>
            </w:pPr>
            <w:r w:rsidRPr="00743AC4">
              <w:rPr>
                <w:rFonts w:cs="Times New Roman"/>
                <w:noProof/>
                <w:color w:val="000000"/>
                <w:sz w:val="20"/>
                <w:szCs w:val="20"/>
                <w:lang w:val="en-GB"/>
              </w:rPr>
              <w:t xml:space="preserve">  POP</w:t>
            </w:r>
          </w:p>
        </w:tc>
        <w:tc>
          <w:tcPr>
            <w:tcW w:w="1062" w:type="pct"/>
            <w:tcBorders>
              <w:top w:val="nil"/>
              <w:left w:val="nil"/>
              <w:bottom w:val="nil"/>
              <w:right w:val="nil"/>
            </w:tcBorders>
            <w:shd w:val="clear" w:color="auto" w:fill="auto"/>
            <w:noWrap/>
            <w:vAlign w:val="bottom"/>
            <w:hideMark/>
          </w:tcPr>
          <w:p w:rsidR="009973A2" w:rsidRPr="00743AC4" w:rsidRDefault="009973A2" w:rsidP="00C96CD3">
            <w:pPr>
              <w:ind w:right="-97" w:firstLine="0"/>
              <w:jc w:val="center"/>
              <w:rPr>
                <w:rFonts w:cs="Times New Roman"/>
                <w:noProof/>
                <w:color w:val="000000"/>
                <w:sz w:val="20"/>
                <w:szCs w:val="20"/>
                <w:lang w:val="en-GB"/>
              </w:rPr>
            </w:pPr>
            <w:r w:rsidRPr="00743AC4">
              <w:rPr>
                <w:rFonts w:cs="Times New Roman"/>
                <w:noProof/>
                <w:color w:val="000000"/>
                <w:sz w:val="20"/>
                <w:szCs w:val="20"/>
                <w:lang w:val="en-GB"/>
              </w:rPr>
              <w:t>16.20207</w:t>
            </w:r>
          </w:p>
        </w:tc>
        <w:tc>
          <w:tcPr>
            <w:tcW w:w="1062" w:type="pct"/>
            <w:tcBorders>
              <w:top w:val="nil"/>
              <w:left w:val="nil"/>
              <w:bottom w:val="nil"/>
              <w:right w:val="nil"/>
            </w:tcBorders>
            <w:shd w:val="clear" w:color="auto" w:fill="auto"/>
            <w:noWrap/>
            <w:vAlign w:val="bottom"/>
            <w:hideMark/>
          </w:tcPr>
          <w:p w:rsidR="009973A2" w:rsidRPr="00743AC4" w:rsidRDefault="009973A2" w:rsidP="00C96CD3">
            <w:pPr>
              <w:ind w:right="-97" w:firstLine="0"/>
              <w:jc w:val="center"/>
              <w:rPr>
                <w:rFonts w:cs="Times New Roman"/>
                <w:noProof/>
                <w:color w:val="000000"/>
                <w:sz w:val="20"/>
                <w:szCs w:val="20"/>
                <w:lang w:val="en-GB"/>
              </w:rPr>
            </w:pPr>
            <w:r w:rsidRPr="00743AC4">
              <w:rPr>
                <w:rFonts w:cs="Times New Roman"/>
                <w:noProof/>
                <w:color w:val="000000"/>
                <w:sz w:val="20"/>
                <w:szCs w:val="20"/>
                <w:lang w:val="en-GB"/>
              </w:rPr>
              <w:t>1.2669</w:t>
            </w:r>
          </w:p>
        </w:tc>
        <w:tc>
          <w:tcPr>
            <w:tcW w:w="1062" w:type="pct"/>
            <w:tcBorders>
              <w:top w:val="nil"/>
              <w:left w:val="nil"/>
              <w:bottom w:val="nil"/>
              <w:right w:val="nil"/>
            </w:tcBorders>
            <w:shd w:val="clear" w:color="auto" w:fill="auto"/>
            <w:noWrap/>
            <w:vAlign w:val="bottom"/>
            <w:hideMark/>
          </w:tcPr>
          <w:p w:rsidR="009973A2" w:rsidRPr="00743AC4" w:rsidRDefault="009973A2" w:rsidP="00C96CD3">
            <w:pPr>
              <w:ind w:right="-97" w:firstLine="0"/>
              <w:jc w:val="center"/>
              <w:rPr>
                <w:rFonts w:cs="Times New Roman"/>
                <w:noProof/>
                <w:color w:val="000000"/>
                <w:sz w:val="20"/>
                <w:szCs w:val="20"/>
                <w:lang w:val="en-GB"/>
              </w:rPr>
            </w:pPr>
            <w:r w:rsidRPr="00743AC4">
              <w:rPr>
                <w:rFonts w:cs="Times New Roman"/>
                <w:noProof/>
                <w:color w:val="000000"/>
                <w:sz w:val="20"/>
                <w:szCs w:val="20"/>
                <w:lang w:val="en-GB"/>
              </w:rPr>
              <w:t>13.00121</w:t>
            </w:r>
          </w:p>
        </w:tc>
        <w:tc>
          <w:tcPr>
            <w:tcW w:w="944" w:type="pct"/>
            <w:tcBorders>
              <w:top w:val="nil"/>
              <w:left w:val="nil"/>
              <w:bottom w:val="nil"/>
              <w:right w:val="nil"/>
            </w:tcBorders>
            <w:shd w:val="clear" w:color="auto" w:fill="auto"/>
            <w:noWrap/>
            <w:vAlign w:val="bottom"/>
            <w:hideMark/>
          </w:tcPr>
          <w:p w:rsidR="009973A2" w:rsidRPr="00743AC4" w:rsidRDefault="009973A2" w:rsidP="00C96CD3">
            <w:pPr>
              <w:ind w:right="-97" w:firstLine="0"/>
              <w:jc w:val="center"/>
              <w:rPr>
                <w:rFonts w:cs="Times New Roman"/>
                <w:noProof/>
                <w:color w:val="000000"/>
                <w:sz w:val="20"/>
                <w:szCs w:val="20"/>
                <w:lang w:val="en-GB"/>
              </w:rPr>
            </w:pPr>
            <w:r w:rsidRPr="00743AC4">
              <w:rPr>
                <w:rFonts w:cs="Times New Roman"/>
                <w:noProof/>
                <w:color w:val="000000"/>
                <w:sz w:val="20"/>
                <w:szCs w:val="20"/>
                <w:lang w:val="en-GB"/>
              </w:rPr>
              <w:t>19.06712</w:t>
            </w:r>
          </w:p>
        </w:tc>
      </w:tr>
      <w:tr w:rsidR="009973A2" w:rsidRPr="00743AC4" w:rsidTr="00C96CD3">
        <w:trPr>
          <w:trHeight w:val="306"/>
          <w:jc w:val="center"/>
        </w:trPr>
        <w:tc>
          <w:tcPr>
            <w:tcW w:w="870" w:type="pct"/>
            <w:tcBorders>
              <w:top w:val="nil"/>
              <w:left w:val="nil"/>
              <w:bottom w:val="nil"/>
              <w:right w:val="nil"/>
            </w:tcBorders>
            <w:shd w:val="clear" w:color="000000" w:fill="FFFFFF"/>
            <w:noWrap/>
            <w:vAlign w:val="center"/>
            <w:hideMark/>
          </w:tcPr>
          <w:p w:rsidR="009973A2" w:rsidRPr="00743AC4" w:rsidRDefault="009973A2" w:rsidP="00C96CD3">
            <w:pPr>
              <w:ind w:right="-97" w:firstLine="0"/>
              <w:jc w:val="left"/>
              <w:rPr>
                <w:rFonts w:cs="Times New Roman"/>
                <w:noProof/>
                <w:color w:val="000000"/>
                <w:sz w:val="20"/>
                <w:szCs w:val="20"/>
                <w:lang w:val="en-GB"/>
              </w:rPr>
            </w:pPr>
            <w:r w:rsidRPr="00743AC4">
              <w:rPr>
                <w:rFonts w:cs="Times New Roman"/>
                <w:noProof/>
                <w:color w:val="000000"/>
                <w:sz w:val="20"/>
                <w:szCs w:val="20"/>
                <w:lang w:val="en-GB"/>
              </w:rPr>
              <w:t xml:space="preserve">  INF</w:t>
            </w:r>
          </w:p>
        </w:tc>
        <w:tc>
          <w:tcPr>
            <w:tcW w:w="1062" w:type="pct"/>
            <w:tcBorders>
              <w:top w:val="nil"/>
              <w:left w:val="nil"/>
              <w:bottom w:val="nil"/>
              <w:right w:val="nil"/>
            </w:tcBorders>
            <w:shd w:val="clear" w:color="auto" w:fill="auto"/>
            <w:noWrap/>
            <w:vAlign w:val="bottom"/>
            <w:hideMark/>
          </w:tcPr>
          <w:p w:rsidR="009973A2" w:rsidRPr="00743AC4" w:rsidRDefault="009973A2" w:rsidP="00C96CD3">
            <w:pPr>
              <w:ind w:right="-97" w:firstLine="0"/>
              <w:jc w:val="center"/>
              <w:rPr>
                <w:rFonts w:cs="Times New Roman"/>
                <w:noProof/>
                <w:color w:val="000000"/>
                <w:sz w:val="20"/>
                <w:szCs w:val="20"/>
                <w:lang w:val="en-GB"/>
              </w:rPr>
            </w:pPr>
            <w:r w:rsidRPr="00743AC4">
              <w:rPr>
                <w:rFonts w:cs="Times New Roman"/>
                <w:noProof/>
                <w:color w:val="000000"/>
                <w:sz w:val="20"/>
                <w:szCs w:val="20"/>
                <w:lang w:val="en-GB"/>
              </w:rPr>
              <w:t>8.147989</w:t>
            </w:r>
          </w:p>
        </w:tc>
        <w:tc>
          <w:tcPr>
            <w:tcW w:w="1062" w:type="pct"/>
            <w:tcBorders>
              <w:top w:val="nil"/>
              <w:left w:val="nil"/>
              <w:bottom w:val="nil"/>
              <w:right w:val="nil"/>
            </w:tcBorders>
            <w:shd w:val="clear" w:color="auto" w:fill="auto"/>
            <w:noWrap/>
            <w:vAlign w:val="bottom"/>
            <w:hideMark/>
          </w:tcPr>
          <w:p w:rsidR="009973A2" w:rsidRPr="00743AC4" w:rsidRDefault="009973A2" w:rsidP="00C96CD3">
            <w:pPr>
              <w:ind w:right="-97" w:firstLine="0"/>
              <w:jc w:val="center"/>
              <w:rPr>
                <w:rFonts w:cs="Times New Roman"/>
                <w:noProof/>
                <w:color w:val="000000"/>
                <w:sz w:val="20"/>
                <w:szCs w:val="20"/>
                <w:lang w:val="en-GB"/>
              </w:rPr>
            </w:pPr>
            <w:r w:rsidRPr="00743AC4">
              <w:rPr>
                <w:rFonts w:cs="Times New Roman"/>
                <w:noProof/>
                <w:color w:val="000000"/>
                <w:sz w:val="20"/>
                <w:szCs w:val="20"/>
                <w:lang w:val="en-GB"/>
              </w:rPr>
              <w:t>16.36464</w:t>
            </w:r>
          </w:p>
        </w:tc>
        <w:tc>
          <w:tcPr>
            <w:tcW w:w="1062" w:type="pct"/>
            <w:tcBorders>
              <w:top w:val="nil"/>
              <w:left w:val="nil"/>
              <w:bottom w:val="nil"/>
              <w:right w:val="nil"/>
            </w:tcBorders>
            <w:shd w:val="clear" w:color="auto" w:fill="auto"/>
            <w:noWrap/>
            <w:vAlign w:val="bottom"/>
            <w:hideMark/>
          </w:tcPr>
          <w:p w:rsidR="009973A2" w:rsidRPr="00743AC4" w:rsidRDefault="009973A2" w:rsidP="00C96CD3">
            <w:pPr>
              <w:ind w:right="-97" w:firstLine="0"/>
              <w:jc w:val="center"/>
              <w:rPr>
                <w:rFonts w:cs="Times New Roman"/>
                <w:noProof/>
                <w:color w:val="000000"/>
                <w:sz w:val="20"/>
                <w:szCs w:val="20"/>
                <w:lang w:val="en-GB"/>
              </w:rPr>
            </w:pPr>
            <w:r w:rsidRPr="00743AC4">
              <w:rPr>
                <w:rFonts w:cs="Times New Roman"/>
                <w:noProof/>
                <w:color w:val="000000"/>
                <w:sz w:val="20"/>
                <w:szCs w:val="20"/>
                <w:lang w:val="en-GB"/>
              </w:rPr>
              <w:t>0.3455982</w:t>
            </w:r>
          </w:p>
        </w:tc>
        <w:tc>
          <w:tcPr>
            <w:tcW w:w="944" w:type="pct"/>
            <w:tcBorders>
              <w:top w:val="nil"/>
              <w:left w:val="nil"/>
              <w:bottom w:val="nil"/>
              <w:right w:val="nil"/>
            </w:tcBorders>
            <w:shd w:val="clear" w:color="auto" w:fill="auto"/>
            <w:noWrap/>
            <w:vAlign w:val="bottom"/>
            <w:hideMark/>
          </w:tcPr>
          <w:p w:rsidR="009973A2" w:rsidRPr="00743AC4" w:rsidRDefault="009973A2" w:rsidP="00C96CD3">
            <w:pPr>
              <w:ind w:right="-97" w:firstLine="0"/>
              <w:jc w:val="center"/>
              <w:rPr>
                <w:rFonts w:cs="Times New Roman"/>
                <w:noProof/>
                <w:color w:val="000000"/>
                <w:sz w:val="20"/>
                <w:szCs w:val="20"/>
                <w:lang w:val="en-GB"/>
              </w:rPr>
            </w:pPr>
            <w:r w:rsidRPr="00743AC4">
              <w:rPr>
                <w:rFonts w:cs="Times New Roman"/>
                <w:noProof/>
                <w:color w:val="000000"/>
                <w:sz w:val="20"/>
                <w:szCs w:val="20"/>
                <w:lang w:val="en-GB"/>
              </w:rPr>
              <w:t>193.5188</w:t>
            </w:r>
          </w:p>
        </w:tc>
      </w:tr>
      <w:tr w:rsidR="009973A2" w:rsidRPr="00743AC4" w:rsidTr="00C96CD3">
        <w:trPr>
          <w:trHeight w:val="306"/>
          <w:jc w:val="center"/>
        </w:trPr>
        <w:tc>
          <w:tcPr>
            <w:tcW w:w="870" w:type="pct"/>
            <w:tcBorders>
              <w:top w:val="nil"/>
              <w:left w:val="nil"/>
              <w:bottom w:val="nil"/>
              <w:right w:val="nil"/>
            </w:tcBorders>
            <w:shd w:val="clear" w:color="000000" w:fill="FFFFFF"/>
            <w:noWrap/>
            <w:vAlign w:val="center"/>
            <w:hideMark/>
          </w:tcPr>
          <w:p w:rsidR="009973A2" w:rsidRPr="00743AC4" w:rsidRDefault="009973A2" w:rsidP="00C96CD3">
            <w:pPr>
              <w:ind w:right="-97" w:firstLine="0"/>
              <w:jc w:val="left"/>
              <w:rPr>
                <w:rFonts w:cs="Times New Roman"/>
                <w:noProof/>
                <w:color w:val="000000"/>
                <w:sz w:val="20"/>
                <w:szCs w:val="20"/>
                <w:lang w:val="en-GB"/>
              </w:rPr>
            </w:pPr>
            <w:r w:rsidRPr="00743AC4">
              <w:rPr>
                <w:rFonts w:cs="Times New Roman"/>
                <w:noProof/>
                <w:color w:val="000000"/>
                <w:sz w:val="20"/>
                <w:szCs w:val="20"/>
                <w:lang w:val="en-GB"/>
              </w:rPr>
              <w:t xml:space="preserve">  OPEN</w:t>
            </w:r>
          </w:p>
        </w:tc>
        <w:tc>
          <w:tcPr>
            <w:tcW w:w="1062" w:type="pct"/>
            <w:tcBorders>
              <w:top w:val="nil"/>
              <w:left w:val="nil"/>
              <w:bottom w:val="nil"/>
              <w:right w:val="nil"/>
            </w:tcBorders>
            <w:shd w:val="clear" w:color="auto" w:fill="auto"/>
            <w:noWrap/>
            <w:vAlign w:val="bottom"/>
            <w:hideMark/>
          </w:tcPr>
          <w:p w:rsidR="009973A2" w:rsidRPr="00743AC4" w:rsidRDefault="009973A2" w:rsidP="00C96CD3">
            <w:pPr>
              <w:ind w:right="-97" w:firstLine="0"/>
              <w:jc w:val="center"/>
              <w:rPr>
                <w:rFonts w:cs="Times New Roman"/>
                <w:noProof/>
                <w:color w:val="000000"/>
                <w:sz w:val="20"/>
                <w:szCs w:val="20"/>
                <w:lang w:val="en-GB"/>
              </w:rPr>
            </w:pPr>
            <w:r w:rsidRPr="00743AC4">
              <w:rPr>
                <w:rFonts w:cs="Times New Roman"/>
                <w:noProof/>
                <w:color w:val="000000"/>
                <w:sz w:val="20"/>
                <w:szCs w:val="20"/>
                <w:lang w:val="en-GB"/>
              </w:rPr>
              <w:t>71.1255</w:t>
            </w:r>
          </w:p>
        </w:tc>
        <w:tc>
          <w:tcPr>
            <w:tcW w:w="1062" w:type="pct"/>
            <w:tcBorders>
              <w:top w:val="nil"/>
              <w:left w:val="nil"/>
              <w:bottom w:val="nil"/>
              <w:right w:val="nil"/>
            </w:tcBorders>
            <w:shd w:val="clear" w:color="auto" w:fill="auto"/>
            <w:noWrap/>
            <w:vAlign w:val="bottom"/>
            <w:hideMark/>
          </w:tcPr>
          <w:p w:rsidR="009973A2" w:rsidRPr="00743AC4" w:rsidRDefault="009973A2" w:rsidP="00C96CD3">
            <w:pPr>
              <w:ind w:right="-97" w:firstLine="0"/>
              <w:jc w:val="center"/>
              <w:rPr>
                <w:rFonts w:cs="Times New Roman"/>
                <w:noProof/>
                <w:color w:val="000000"/>
                <w:sz w:val="20"/>
                <w:szCs w:val="20"/>
                <w:lang w:val="en-GB"/>
              </w:rPr>
            </w:pPr>
            <w:r w:rsidRPr="00743AC4">
              <w:rPr>
                <w:rFonts w:cs="Times New Roman"/>
                <w:noProof/>
                <w:color w:val="000000"/>
                <w:sz w:val="20"/>
                <w:szCs w:val="20"/>
                <w:lang w:val="en-GB"/>
              </w:rPr>
              <w:t>34.33466</w:t>
            </w:r>
          </w:p>
        </w:tc>
        <w:tc>
          <w:tcPr>
            <w:tcW w:w="1062" w:type="pct"/>
            <w:tcBorders>
              <w:top w:val="nil"/>
              <w:left w:val="nil"/>
              <w:bottom w:val="nil"/>
              <w:right w:val="nil"/>
            </w:tcBorders>
            <w:shd w:val="clear" w:color="auto" w:fill="auto"/>
            <w:noWrap/>
            <w:vAlign w:val="bottom"/>
            <w:hideMark/>
          </w:tcPr>
          <w:p w:rsidR="009973A2" w:rsidRPr="00743AC4" w:rsidRDefault="009973A2" w:rsidP="00C96CD3">
            <w:pPr>
              <w:ind w:right="-97" w:firstLine="0"/>
              <w:jc w:val="center"/>
              <w:rPr>
                <w:rFonts w:cs="Times New Roman"/>
                <w:noProof/>
                <w:color w:val="000000"/>
                <w:sz w:val="20"/>
                <w:szCs w:val="20"/>
                <w:lang w:val="en-GB"/>
              </w:rPr>
            </w:pPr>
            <w:r w:rsidRPr="00743AC4">
              <w:rPr>
                <w:rFonts w:cs="Times New Roman"/>
                <w:noProof/>
                <w:color w:val="000000"/>
                <w:sz w:val="20"/>
                <w:szCs w:val="20"/>
                <w:lang w:val="en-GB"/>
              </w:rPr>
              <w:t>23.22153</w:t>
            </w:r>
          </w:p>
        </w:tc>
        <w:tc>
          <w:tcPr>
            <w:tcW w:w="944" w:type="pct"/>
            <w:tcBorders>
              <w:top w:val="nil"/>
              <w:left w:val="nil"/>
              <w:bottom w:val="nil"/>
              <w:right w:val="nil"/>
            </w:tcBorders>
            <w:shd w:val="clear" w:color="auto" w:fill="auto"/>
            <w:noWrap/>
            <w:vAlign w:val="bottom"/>
            <w:hideMark/>
          </w:tcPr>
          <w:p w:rsidR="009973A2" w:rsidRPr="00743AC4" w:rsidRDefault="009973A2" w:rsidP="00C96CD3">
            <w:pPr>
              <w:ind w:right="-97" w:firstLine="0"/>
              <w:jc w:val="center"/>
              <w:rPr>
                <w:rFonts w:cs="Times New Roman"/>
                <w:noProof/>
                <w:color w:val="000000"/>
                <w:sz w:val="20"/>
                <w:szCs w:val="20"/>
                <w:lang w:val="en-GB"/>
              </w:rPr>
            </w:pPr>
            <w:r w:rsidRPr="00743AC4">
              <w:rPr>
                <w:rFonts w:cs="Times New Roman"/>
                <w:noProof/>
                <w:color w:val="000000"/>
                <w:sz w:val="20"/>
                <w:szCs w:val="20"/>
                <w:lang w:val="en-GB"/>
              </w:rPr>
              <w:t>239.7814</w:t>
            </w:r>
          </w:p>
        </w:tc>
      </w:tr>
      <w:tr w:rsidR="009973A2" w:rsidRPr="00743AC4" w:rsidTr="00C96CD3">
        <w:trPr>
          <w:trHeight w:val="306"/>
          <w:jc w:val="center"/>
        </w:trPr>
        <w:tc>
          <w:tcPr>
            <w:tcW w:w="870" w:type="pct"/>
            <w:tcBorders>
              <w:top w:val="nil"/>
              <w:left w:val="nil"/>
              <w:bottom w:val="nil"/>
              <w:right w:val="nil"/>
            </w:tcBorders>
            <w:shd w:val="clear" w:color="000000" w:fill="FFFFFF"/>
            <w:noWrap/>
            <w:vAlign w:val="center"/>
            <w:hideMark/>
          </w:tcPr>
          <w:p w:rsidR="009973A2" w:rsidRPr="00743AC4" w:rsidRDefault="009973A2" w:rsidP="00C96CD3">
            <w:pPr>
              <w:ind w:right="-97" w:firstLine="0"/>
              <w:jc w:val="left"/>
              <w:rPr>
                <w:rFonts w:cs="Times New Roman"/>
                <w:noProof/>
                <w:color w:val="000000"/>
                <w:sz w:val="20"/>
                <w:szCs w:val="20"/>
                <w:lang w:val="en-GB"/>
              </w:rPr>
            </w:pPr>
            <w:r w:rsidRPr="00743AC4">
              <w:rPr>
                <w:rFonts w:cs="Times New Roman"/>
                <w:noProof/>
                <w:color w:val="000000"/>
                <w:sz w:val="20"/>
                <w:szCs w:val="20"/>
                <w:lang w:val="en-GB"/>
              </w:rPr>
              <w:t xml:space="preserve">  NAT</w:t>
            </w:r>
          </w:p>
        </w:tc>
        <w:tc>
          <w:tcPr>
            <w:tcW w:w="1062" w:type="pct"/>
            <w:tcBorders>
              <w:top w:val="nil"/>
              <w:left w:val="nil"/>
              <w:bottom w:val="nil"/>
              <w:right w:val="nil"/>
            </w:tcBorders>
            <w:shd w:val="clear" w:color="auto" w:fill="auto"/>
            <w:noWrap/>
            <w:vAlign w:val="bottom"/>
            <w:hideMark/>
          </w:tcPr>
          <w:p w:rsidR="009973A2" w:rsidRPr="00743AC4" w:rsidRDefault="009973A2" w:rsidP="00C96CD3">
            <w:pPr>
              <w:ind w:right="-97" w:firstLine="0"/>
              <w:jc w:val="center"/>
              <w:rPr>
                <w:rFonts w:cs="Times New Roman"/>
                <w:noProof/>
                <w:color w:val="000000"/>
                <w:sz w:val="20"/>
                <w:szCs w:val="20"/>
                <w:lang w:val="en-GB"/>
              </w:rPr>
            </w:pPr>
            <w:r w:rsidRPr="00743AC4">
              <w:rPr>
                <w:rFonts w:cs="Times New Roman"/>
                <w:noProof/>
                <w:color w:val="000000"/>
                <w:sz w:val="20"/>
                <w:szCs w:val="20"/>
                <w:lang w:val="en-GB"/>
              </w:rPr>
              <w:t>8.56821</w:t>
            </w:r>
          </w:p>
        </w:tc>
        <w:tc>
          <w:tcPr>
            <w:tcW w:w="1062" w:type="pct"/>
            <w:tcBorders>
              <w:top w:val="nil"/>
              <w:left w:val="nil"/>
              <w:bottom w:val="nil"/>
              <w:right w:val="nil"/>
            </w:tcBorders>
            <w:shd w:val="clear" w:color="auto" w:fill="auto"/>
            <w:noWrap/>
            <w:vAlign w:val="bottom"/>
            <w:hideMark/>
          </w:tcPr>
          <w:p w:rsidR="009973A2" w:rsidRPr="00743AC4" w:rsidRDefault="009973A2" w:rsidP="00C96CD3">
            <w:pPr>
              <w:ind w:right="-97" w:firstLine="0"/>
              <w:jc w:val="center"/>
              <w:rPr>
                <w:rFonts w:cs="Times New Roman"/>
                <w:noProof/>
                <w:color w:val="000000"/>
                <w:sz w:val="20"/>
                <w:szCs w:val="20"/>
                <w:lang w:val="en-GB"/>
              </w:rPr>
            </w:pPr>
            <w:r w:rsidRPr="00743AC4">
              <w:rPr>
                <w:rFonts w:cs="Times New Roman"/>
                <w:noProof/>
                <w:color w:val="000000"/>
                <w:sz w:val="20"/>
                <w:szCs w:val="20"/>
                <w:lang w:val="en-GB"/>
              </w:rPr>
              <w:t>7.804474</w:t>
            </w:r>
          </w:p>
        </w:tc>
        <w:tc>
          <w:tcPr>
            <w:tcW w:w="1062" w:type="pct"/>
            <w:tcBorders>
              <w:top w:val="nil"/>
              <w:left w:val="nil"/>
              <w:bottom w:val="nil"/>
              <w:right w:val="nil"/>
            </w:tcBorders>
            <w:shd w:val="clear" w:color="auto" w:fill="auto"/>
            <w:noWrap/>
            <w:vAlign w:val="bottom"/>
            <w:hideMark/>
          </w:tcPr>
          <w:p w:rsidR="009973A2" w:rsidRPr="00743AC4" w:rsidRDefault="009973A2" w:rsidP="00C96CD3">
            <w:pPr>
              <w:ind w:right="-97" w:firstLine="0"/>
              <w:jc w:val="center"/>
              <w:rPr>
                <w:rFonts w:cs="Times New Roman"/>
                <w:noProof/>
                <w:color w:val="000000"/>
                <w:sz w:val="20"/>
                <w:szCs w:val="20"/>
                <w:lang w:val="en-GB"/>
              </w:rPr>
            </w:pPr>
            <w:r w:rsidRPr="00743AC4">
              <w:rPr>
                <w:rFonts w:cs="Times New Roman"/>
                <w:noProof/>
                <w:color w:val="000000"/>
                <w:sz w:val="20"/>
                <w:szCs w:val="20"/>
                <w:lang w:val="en-GB"/>
              </w:rPr>
              <w:t>0.0011335</w:t>
            </w:r>
          </w:p>
        </w:tc>
        <w:tc>
          <w:tcPr>
            <w:tcW w:w="944" w:type="pct"/>
            <w:tcBorders>
              <w:top w:val="nil"/>
              <w:left w:val="nil"/>
              <w:bottom w:val="nil"/>
              <w:right w:val="nil"/>
            </w:tcBorders>
            <w:shd w:val="clear" w:color="auto" w:fill="auto"/>
            <w:noWrap/>
            <w:vAlign w:val="bottom"/>
            <w:hideMark/>
          </w:tcPr>
          <w:p w:rsidR="009973A2" w:rsidRPr="00743AC4" w:rsidRDefault="009973A2" w:rsidP="00C96CD3">
            <w:pPr>
              <w:ind w:right="-97" w:firstLine="0"/>
              <w:jc w:val="center"/>
              <w:rPr>
                <w:rFonts w:cs="Times New Roman"/>
                <w:noProof/>
                <w:color w:val="000000"/>
                <w:sz w:val="20"/>
                <w:szCs w:val="20"/>
                <w:lang w:val="en-GB"/>
              </w:rPr>
            </w:pPr>
            <w:r w:rsidRPr="00743AC4">
              <w:rPr>
                <w:rFonts w:cs="Times New Roman"/>
                <w:noProof/>
                <w:color w:val="000000"/>
                <w:sz w:val="20"/>
                <w:szCs w:val="20"/>
                <w:lang w:val="en-GB"/>
              </w:rPr>
              <w:t>53.62712</w:t>
            </w:r>
          </w:p>
        </w:tc>
      </w:tr>
      <w:tr w:rsidR="009973A2" w:rsidRPr="00743AC4" w:rsidTr="00C96CD3">
        <w:trPr>
          <w:trHeight w:val="306"/>
          <w:jc w:val="center"/>
        </w:trPr>
        <w:tc>
          <w:tcPr>
            <w:tcW w:w="870" w:type="pct"/>
            <w:tcBorders>
              <w:top w:val="nil"/>
              <w:left w:val="nil"/>
              <w:bottom w:val="nil"/>
              <w:right w:val="nil"/>
            </w:tcBorders>
            <w:shd w:val="clear" w:color="000000" w:fill="FFFFFF"/>
            <w:noWrap/>
            <w:vAlign w:val="center"/>
            <w:hideMark/>
          </w:tcPr>
          <w:p w:rsidR="009973A2" w:rsidRPr="00743AC4" w:rsidRDefault="009973A2" w:rsidP="00C96CD3">
            <w:pPr>
              <w:ind w:right="-97" w:firstLine="0"/>
              <w:jc w:val="left"/>
              <w:rPr>
                <w:rFonts w:cs="Times New Roman"/>
                <w:noProof/>
                <w:color w:val="000000"/>
                <w:sz w:val="20"/>
                <w:szCs w:val="20"/>
                <w:lang w:val="en-GB"/>
              </w:rPr>
            </w:pPr>
            <w:r w:rsidRPr="00743AC4">
              <w:rPr>
                <w:rFonts w:cs="Times New Roman"/>
                <w:noProof/>
                <w:color w:val="000000"/>
                <w:sz w:val="20"/>
                <w:szCs w:val="20"/>
                <w:lang w:val="en-GB"/>
              </w:rPr>
              <w:t xml:space="preserve">  INFR</w:t>
            </w:r>
          </w:p>
        </w:tc>
        <w:tc>
          <w:tcPr>
            <w:tcW w:w="1062" w:type="pct"/>
            <w:tcBorders>
              <w:top w:val="nil"/>
              <w:left w:val="nil"/>
              <w:bottom w:val="nil"/>
              <w:right w:val="nil"/>
            </w:tcBorders>
            <w:shd w:val="clear" w:color="auto" w:fill="auto"/>
            <w:noWrap/>
            <w:vAlign w:val="bottom"/>
            <w:hideMark/>
          </w:tcPr>
          <w:p w:rsidR="009973A2" w:rsidRPr="00743AC4" w:rsidRDefault="009973A2" w:rsidP="00C96CD3">
            <w:pPr>
              <w:ind w:right="-97" w:firstLine="0"/>
              <w:jc w:val="center"/>
              <w:rPr>
                <w:rFonts w:cs="Times New Roman"/>
                <w:noProof/>
                <w:color w:val="000000"/>
                <w:sz w:val="20"/>
                <w:szCs w:val="20"/>
                <w:lang w:val="en-GB"/>
              </w:rPr>
            </w:pPr>
            <w:r w:rsidRPr="00743AC4">
              <w:rPr>
                <w:rFonts w:cs="Times New Roman"/>
                <w:noProof/>
                <w:color w:val="000000"/>
                <w:sz w:val="20"/>
                <w:szCs w:val="20"/>
                <w:lang w:val="en-GB"/>
              </w:rPr>
              <w:t>49.20451</w:t>
            </w:r>
          </w:p>
        </w:tc>
        <w:tc>
          <w:tcPr>
            <w:tcW w:w="1062" w:type="pct"/>
            <w:tcBorders>
              <w:top w:val="nil"/>
              <w:left w:val="nil"/>
              <w:bottom w:val="nil"/>
              <w:right w:val="nil"/>
            </w:tcBorders>
            <w:shd w:val="clear" w:color="auto" w:fill="auto"/>
            <w:noWrap/>
            <w:vAlign w:val="bottom"/>
            <w:hideMark/>
          </w:tcPr>
          <w:p w:rsidR="009973A2" w:rsidRPr="00743AC4" w:rsidRDefault="009973A2" w:rsidP="00C96CD3">
            <w:pPr>
              <w:ind w:right="-97" w:firstLine="0"/>
              <w:jc w:val="center"/>
              <w:rPr>
                <w:rFonts w:cs="Times New Roman"/>
                <w:noProof/>
                <w:color w:val="000000"/>
                <w:sz w:val="20"/>
                <w:szCs w:val="20"/>
                <w:lang w:val="en-GB"/>
              </w:rPr>
            </w:pPr>
            <w:r w:rsidRPr="00743AC4">
              <w:rPr>
                <w:rFonts w:cs="Times New Roman"/>
                <w:noProof/>
                <w:color w:val="000000"/>
                <w:sz w:val="20"/>
                <w:szCs w:val="20"/>
                <w:lang w:val="en-GB"/>
              </w:rPr>
              <w:t>39.14508</w:t>
            </w:r>
          </w:p>
        </w:tc>
        <w:tc>
          <w:tcPr>
            <w:tcW w:w="1062" w:type="pct"/>
            <w:tcBorders>
              <w:top w:val="nil"/>
              <w:left w:val="nil"/>
              <w:bottom w:val="nil"/>
              <w:right w:val="nil"/>
            </w:tcBorders>
            <w:shd w:val="clear" w:color="auto" w:fill="auto"/>
            <w:noWrap/>
            <w:vAlign w:val="bottom"/>
            <w:hideMark/>
          </w:tcPr>
          <w:p w:rsidR="009973A2" w:rsidRPr="00743AC4" w:rsidRDefault="009973A2" w:rsidP="00C96CD3">
            <w:pPr>
              <w:ind w:right="-97" w:firstLine="0"/>
              <w:jc w:val="center"/>
              <w:rPr>
                <w:rFonts w:cs="Times New Roman"/>
                <w:noProof/>
                <w:color w:val="000000"/>
                <w:sz w:val="20"/>
                <w:szCs w:val="20"/>
                <w:lang w:val="en-GB"/>
              </w:rPr>
            </w:pPr>
            <w:r w:rsidRPr="00743AC4">
              <w:rPr>
                <w:rFonts w:cs="Times New Roman"/>
                <w:noProof/>
                <w:color w:val="000000"/>
                <w:sz w:val="20"/>
                <w:szCs w:val="20"/>
                <w:lang w:val="en-GB"/>
              </w:rPr>
              <w:t>0.3934237</w:t>
            </w:r>
          </w:p>
        </w:tc>
        <w:tc>
          <w:tcPr>
            <w:tcW w:w="944" w:type="pct"/>
            <w:tcBorders>
              <w:top w:val="nil"/>
              <w:left w:val="nil"/>
              <w:bottom w:val="nil"/>
              <w:right w:val="nil"/>
            </w:tcBorders>
            <w:shd w:val="clear" w:color="auto" w:fill="auto"/>
            <w:noWrap/>
            <w:vAlign w:val="bottom"/>
            <w:hideMark/>
          </w:tcPr>
          <w:p w:rsidR="009973A2" w:rsidRPr="00743AC4" w:rsidRDefault="009973A2" w:rsidP="00C96CD3">
            <w:pPr>
              <w:ind w:right="-97" w:firstLine="0"/>
              <w:jc w:val="center"/>
              <w:rPr>
                <w:rFonts w:cs="Times New Roman"/>
                <w:noProof/>
                <w:color w:val="000000"/>
                <w:sz w:val="20"/>
                <w:szCs w:val="20"/>
                <w:lang w:val="en-GB"/>
              </w:rPr>
            </w:pPr>
            <w:r w:rsidRPr="00743AC4">
              <w:rPr>
                <w:rFonts w:cs="Times New Roman"/>
                <w:noProof/>
                <w:color w:val="000000"/>
                <w:sz w:val="20"/>
                <w:szCs w:val="20"/>
                <w:lang w:val="en-GB"/>
              </w:rPr>
              <w:t>178.1417</w:t>
            </w:r>
          </w:p>
        </w:tc>
      </w:tr>
      <w:tr w:rsidR="009973A2" w:rsidRPr="00743AC4" w:rsidTr="00C96CD3">
        <w:trPr>
          <w:trHeight w:val="306"/>
          <w:jc w:val="center"/>
        </w:trPr>
        <w:tc>
          <w:tcPr>
            <w:tcW w:w="870" w:type="pct"/>
            <w:tcBorders>
              <w:top w:val="nil"/>
              <w:left w:val="nil"/>
              <w:bottom w:val="nil"/>
              <w:right w:val="nil"/>
            </w:tcBorders>
            <w:shd w:val="clear" w:color="000000" w:fill="FFFFFF"/>
            <w:noWrap/>
            <w:vAlign w:val="center"/>
            <w:hideMark/>
          </w:tcPr>
          <w:p w:rsidR="009973A2" w:rsidRPr="00743AC4" w:rsidRDefault="009973A2" w:rsidP="00C96CD3">
            <w:pPr>
              <w:ind w:right="-97" w:firstLine="0"/>
              <w:jc w:val="left"/>
              <w:rPr>
                <w:rFonts w:cs="Times New Roman"/>
                <w:noProof/>
                <w:color w:val="000000"/>
                <w:sz w:val="20"/>
                <w:szCs w:val="20"/>
                <w:lang w:val="en-GB"/>
              </w:rPr>
            </w:pPr>
            <w:r w:rsidRPr="00743AC4">
              <w:rPr>
                <w:rFonts w:cs="Times New Roman"/>
                <w:noProof/>
                <w:color w:val="000000"/>
                <w:sz w:val="20"/>
                <w:szCs w:val="20"/>
                <w:lang w:val="en-GB"/>
              </w:rPr>
              <w:t xml:space="preserve">  GOVEF</w:t>
            </w:r>
          </w:p>
        </w:tc>
        <w:tc>
          <w:tcPr>
            <w:tcW w:w="1062" w:type="pct"/>
            <w:tcBorders>
              <w:top w:val="nil"/>
              <w:left w:val="nil"/>
              <w:bottom w:val="nil"/>
              <w:right w:val="nil"/>
            </w:tcBorders>
            <w:shd w:val="clear" w:color="auto" w:fill="auto"/>
            <w:noWrap/>
            <w:vAlign w:val="bottom"/>
            <w:hideMark/>
          </w:tcPr>
          <w:p w:rsidR="009973A2" w:rsidRPr="00743AC4" w:rsidRDefault="009973A2" w:rsidP="00C96CD3">
            <w:pPr>
              <w:ind w:right="-97" w:firstLine="0"/>
              <w:jc w:val="center"/>
              <w:rPr>
                <w:rFonts w:cs="Times New Roman"/>
                <w:noProof/>
                <w:color w:val="000000"/>
                <w:sz w:val="20"/>
                <w:szCs w:val="20"/>
                <w:lang w:val="en-GB"/>
              </w:rPr>
            </w:pPr>
            <w:r w:rsidRPr="00743AC4">
              <w:rPr>
                <w:rFonts w:cs="Times New Roman"/>
                <w:noProof/>
                <w:color w:val="000000"/>
                <w:sz w:val="20"/>
                <w:szCs w:val="20"/>
                <w:lang w:val="en-GB"/>
              </w:rPr>
              <w:t>3.093375</w:t>
            </w:r>
          </w:p>
        </w:tc>
        <w:tc>
          <w:tcPr>
            <w:tcW w:w="1062" w:type="pct"/>
            <w:tcBorders>
              <w:top w:val="nil"/>
              <w:left w:val="nil"/>
              <w:bottom w:val="nil"/>
              <w:right w:val="nil"/>
            </w:tcBorders>
            <w:shd w:val="clear" w:color="auto" w:fill="auto"/>
            <w:noWrap/>
            <w:vAlign w:val="bottom"/>
            <w:hideMark/>
          </w:tcPr>
          <w:p w:rsidR="009973A2" w:rsidRPr="00743AC4" w:rsidRDefault="009973A2" w:rsidP="00C96CD3">
            <w:pPr>
              <w:ind w:right="-97" w:firstLine="0"/>
              <w:jc w:val="center"/>
              <w:rPr>
                <w:rFonts w:cs="Times New Roman"/>
                <w:noProof/>
                <w:color w:val="000000"/>
                <w:sz w:val="20"/>
                <w:szCs w:val="20"/>
                <w:lang w:val="en-GB"/>
              </w:rPr>
            </w:pPr>
            <w:r w:rsidRPr="00743AC4">
              <w:rPr>
                <w:rFonts w:cs="Times New Roman"/>
                <w:noProof/>
                <w:color w:val="000000"/>
                <w:sz w:val="20"/>
                <w:szCs w:val="20"/>
                <w:lang w:val="en-GB"/>
              </w:rPr>
              <w:t>0.753847</w:t>
            </w:r>
          </w:p>
        </w:tc>
        <w:tc>
          <w:tcPr>
            <w:tcW w:w="1062" w:type="pct"/>
            <w:tcBorders>
              <w:top w:val="nil"/>
              <w:left w:val="nil"/>
              <w:bottom w:val="nil"/>
              <w:right w:val="nil"/>
            </w:tcBorders>
            <w:shd w:val="clear" w:color="auto" w:fill="auto"/>
            <w:noWrap/>
            <w:vAlign w:val="bottom"/>
            <w:hideMark/>
          </w:tcPr>
          <w:p w:rsidR="009973A2" w:rsidRPr="00743AC4" w:rsidRDefault="009973A2" w:rsidP="00C96CD3">
            <w:pPr>
              <w:ind w:right="-97" w:firstLine="0"/>
              <w:jc w:val="center"/>
              <w:rPr>
                <w:rFonts w:cs="Times New Roman"/>
                <w:noProof/>
                <w:color w:val="000000"/>
                <w:sz w:val="20"/>
                <w:szCs w:val="20"/>
                <w:lang w:val="en-GB"/>
              </w:rPr>
            </w:pPr>
            <w:r w:rsidRPr="00743AC4">
              <w:rPr>
                <w:rFonts w:cs="Times New Roman"/>
                <w:noProof/>
                <w:color w:val="000000"/>
                <w:sz w:val="20"/>
                <w:szCs w:val="20"/>
                <w:lang w:val="en-GB"/>
              </w:rPr>
              <w:t>1.059391</w:t>
            </w:r>
          </w:p>
        </w:tc>
        <w:tc>
          <w:tcPr>
            <w:tcW w:w="944" w:type="pct"/>
            <w:tcBorders>
              <w:top w:val="nil"/>
              <w:left w:val="nil"/>
              <w:bottom w:val="nil"/>
              <w:right w:val="nil"/>
            </w:tcBorders>
            <w:shd w:val="clear" w:color="auto" w:fill="auto"/>
            <w:noWrap/>
            <w:vAlign w:val="bottom"/>
            <w:hideMark/>
          </w:tcPr>
          <w:p w:rsidR="009973A2" w:rsidRPr="00743AC4" w:rsidRDefault="009973A2" w:rsidP="00C96CD3">
            <w:pPr>
              <w:ind w:right="-97" w:firstLine="0"/>
              <w:jc w:val="center"/>
              <w:rPr>
                <w:rFonts w:cs="Times New Roman"/>
                <w:noProof/>
                <w:color w:val="000000"/>
                <w:sz w:val="20"/>
                <w:szCs w:val="20"/>
                <w:lang w:val="en-GB"/>
              </w:rPr>
            </w:pPr>
            <w:r w:rsidRPr="00743AC4">
              <w:rPr>
                <w:rFonts w:cs="Times New Roman"/>
                <w:noProof/>
                <w:color w:val="000000"/>
                <w:sz w:val="20"/>
                <w:szCs w:val="20"/>
                <w:lang w:val="en-GB"/>
              </w:rPr>
              <w:t>4.40343</w:t>
            </w:r>
          </w:p>
        </w:tc>
      </w:tr>
      <w:tr w:rsidR="009973A2" w:rsidRPr="00743AC4" w:rsidTr="00C96CD3">
        <w:trPr>
          <w:trHeight w:val="306"/>
          <w:jc w:val="center"/>
        </w:trPr>
        <w:tc>
          <w:tcPr>
            <w:tcW w:w="870" w:type="pct"/>
            <w:tcBorders>
              <w:top w:val="nil"/>
              <w:left w:val="nil"/>
              <w:bottom w:val="single" w:sz="12" w:space="0" w:color="000000"/>
              <w:right w:val="nil"/>
            </w:tcBorders>
            <w:shd w:val="clear" w:color="000000" w:fill="FFFFFF"/>
            <w:noWrap/>
            <w:vAlign w:val="center"/>
            <w:hideMark/>
          </w:tcPr>
          <w:p w:rsidR="009973A2" w:rsidRPr="00743AC4" w:rsidRDefault="009973A2" w:rsidP="00C96CD3">
            <w:pPr>
              <w:ind w:right="-97" w:firstLine="0"/>
              <w:jc w:val="left"/>
              <w:rPr>
                <w:rFonts w:cs="Times New Roman"/>
                <w:noProof/>
                <w:color w:val="000000"/>
                <w:sz w:val="20"/>
                <w:szCs w:val="20"/>
                <w:lang w:val="en-GB"/>
              </w:rPr>
            </w:pPr>
            <w:r w:rsidRPr="00743AC4">
              <w:rPr>
                <w:rFonts w:cs="Times New Roman"/>
                <w:noProof/>
                <w:color w:val="000000"/>
                <w:sz w:val="20"/>
                <w:szCs w:val="20"/>
                <w:lang w:val="en-GB"/>
              </w:rPr>
              <w:t xml:space="preserve">  CCOR</w:t>
            </w:r>
          </w:p>
        </w:tc>
        <w:tc>
          <w:tcPr>
            <w:tcW w:w="1062" w:type="pct"/>
            <w:tcBorders>
              <w:top w:val="nil"/>
              <w:left w:val="nil"/>
              <w:bottom w:val="single" w:sz="12" w:space="0" w:color="000000"/>
              <w:right w:val="nil"/>
            </w:tcBorders>
            <w:shd w:val="clear" w:color="auto" w:fill="auto"/>
            <w:noWrap/>
            <w:vAlign w:val="bottom"/>
            <w:hideMark/>
          </w:tcPr>
          <w:p w:rsidR="009973A2" w:rsidRPr="00743AC4" w:rsidRDefault="009973A2" w:rsidP="00C96CD3">
            <w:pPr>
              <w:ind w:right="-97" w:firstLine="0"/>
              <w:jc w:val="center"/>
              <w:rPr>
                <w:rFonts w:cs="Times New Roman"/>
                <w:noProof/>
                <w:color w:val="000000"/>
                <w:sz w:val="20"/>
                <w:szCs w:val="20"/>
                <w:lang w:val="en-GB"/>
              </w:rPr>
            </w:pPr>
            <w:r w:rsidRPr="00743AC4">
              <w:rPr>
                <w:rFonts w:cs="Times New Roman"/>
                <w:noProof/>
                <w:color w:val="000000"/>
                <w:sz w:val="20"/>
                <w:szCs w:val="20"/>
                <w:lang w:val="en-GB"/>
              </w:rPr>
              <w:t>3.173019</w:t>
            </w:r>
          </w:p>
        </w:tc>
        <w:tc>
          <w:tcPr>
            <w:tcW w:w="1062" w:type="pct"/>
            <w:tcBorders>
              <w:top w:val="nil"/>
              <w:left w:val="nil"/>
              <w:bottom w:val="single" w:sz="12" w:space="0" w:color="000000"/>
              <w:right w:val="nil"/>
            </w:tcBorders>
            <w:shd w:val="clear" w:color="auto" w:fill="auto"/>
            <w:noWrap/>
            <w:vAlign w:val="bottom"/>
            <w:hideMark/>
          </w:tcPr>
          <w:p w:rsidR="009973A2" w:rsidRPr="00743AC4" w:rsidRDefault="009973A2" w:rsidP="00C96CD3">
            <w:pPr>
              <w:ind w:right="-97" w:firstLine="0"/>
              <w:jc w:val="center"/>
              <w:rPr>
                <w:rFonts w:cs="Times New Roman"/>
                <w:noProof/>
                <w:color w:val="000000"/>
                <w:sz w:val="20"/>
                <w:szCs w:val="20"/>
                <w:lang w:val="en-GB"/>
              </w:rPr>
            </w:pPr>
            <w:r w:rsidRPr="00743AC4">
              <w:rPr>
                <w:rFonts w:cs="Times New Roman"/>
                <w:noProof/>
                <w:color w:val="000000"/>
                <w:sz w:val="20"/>
                <w:szCs w:val="20"/>
                <w:lang w:val="en-GB"/>
              </w:rPr>
              <w:t>0.8064579</w:t>
            </w:r>
          </w:p>
        </w:tc>
        <w:tc>
          <w:tcPr>
            <w:tcW w:w="1062" w:type="pct"/>
            <w:tcBorders>
              <w:top w:val="nil"/>
              <w:left w:val="nil"/>
              <w:bottom w:val="single" w:sz="12" w:space="0" w:color="000000"/>
              <w:right w:val="nil"/>
            </w:tcBorders>
            <w:shd w:val="clear" w:color="auto" w:fill="auto"/>
            <w:noWrap/>
            <w:vAlign w:val="bottom"/>
            <w:hideMark/>
          </w:tcPr>
          <w:p w:rsidR="009973A2" w:rsidRPr="00743AC4" w:rsidRDefault="009973A2" w:rsidP="00C96CD3">
            <w:pPr>
              <w:ind w:right="-97" w:firstLine="0"/>
              <w:jc w:val="center"/>
              <w:rPr>
                <w:rFonts w:cs="Times New Roman"/>
                <w:noProof/>
                <w:color w:val="000000"/>
                <w:sz w:val="20"/>
                <w:szCs w:val="20"/>
                <w:lang w:val="en-GB"/>
              </w:rPr>
            </w:pPr>
            <w:r w:rsidRPr="00743AC4">
              <w:rPr>
                <w:rFonts w:cs="Times New Roman"/>
                <w:noProof/>
                <w:color w:val="000000"/>
                <w:sz w:val="20"/>
                <w:szCs w:val="20"/>
                <w:lang w:val="en-GB"/>
              </w:rPr>
              <w:t>-0.6830969</w:t>
            </w:r>
          </w:p>
        </w:tc>
        <w:tc>
          <w:tcPr>
            <w:tcW w:w="944" w:type="pct"/>
            <w:tcBorders>
              <w:top w:val="nil"/>
              <w:left w:val="nil"/>
              <w:bottom w:val="single" w:sz="12" w:space="0" w:color="000000"/>
              <w:right w:val="nil"/>
            </w:tcBorders>
            <w:shd w:val="clear" w:color="auto" w:fill="auto"/>
            <w:noWrap/>
            <w:vAlign w:val="bottom"/>
            <w:hideMark/>
          </w:tcPr>
          <w:p w:rsidR="009973A2" w:rsidRPr="00743AC4" w:rsidRDefault="009973A2" w:rsidP="00C96CD3">
            <w:pPr>
              <w:ind w:right="-97" w:firstLine="0"/>
              <w:jc w:val="center"/>
              <w:rPr>
                <w:rFonts w:cs="Times New Roman"/>
                <w:noProof/>
                <w:color w:val="000000"/>
                <w:sz w:val="20"/>
                <w:szCs w:val="20"/>
                <w:lang w:val="en-GB"/>
              </w:rPr>
            </w:pPr>
            <w:r w:rsidRPr="00743AC4">
              <w:rPr>
                <w:rFonts w:cs="Times New Roman"/>
                <w:noProof/>
                <w:color w:val="000000"/>
                <w:sz w:val="20"/>
                <w:szCs w:val="20"/>
                <w:lang w:val="en-GB"/>
              </w:rPr>
              <w:t>4.385626</w:t>
            </w:r>
          </w:p>
        </w:tc>
      </w:tr>
    </w:tbl>
    <w:p w:rsidR="009973A2" w:rsidRPr="00743AC4" w:rsidRDefault="009973A2" w:rsidP="009973A2">
      <w:pPr>
        <w:tabs>
          <w:tab w:val="center" w:pos="4606"/>
          <w:tab w:val="left" w:pos="7272"/>
        </w:tabs>
        <w:jc w:val="left"/>
        <w:rPr>
          <w:rFonts w:cs="Times New Roman"/>
          <w:noProof/>
          <w:sz w:val="20"/>
          <w:lang w:val="en-GB"/>
        </w:rPr>
      </w:pPr>
      <w:r w:rsidRPr="00743AC4">
        <w:rPr>
          <w:rFonts w:cs="Times New Roman"/>
          <w:noProof/>
          <w:sz w:val="20"/>
          <w:lang w:val="en-GB"/>
        </w:rPr>
        <w:tab/>
      </w:r>
    </w:p>
    <w:p w:rsidR="009973A2" w:rsidRPr="00743AC4" w:rsidRDefault="009973A2" w:rsidP="009973A2">
      <w:pPr>
        <w:jc w:val="center"/>
        <w:rPr>
          <w:rFonts w:cs="Times New Roman"/>
          <w:noProof/>
          <w:sz w:val="20"/>
          <w:lang w:val="en-GB"/>
        </w:rPr>
      </w:pPr>
    </w:p>
    <w:p w:rsidR="009973A2" w:rsidRPr="00743AC4" w:rsidRDefault="009973A2" w:rsidP="009973A2">
      <w:pPr>
        <w:ind w:firstLine="0"/>
        <w:rPr>
          <w:rFonts w:cs="Times New Roman"/>
          <w:noProof/>
          <w:lang w:val="en-GB"/>
        </w:rPr>
      </w:pPr>
      <w:r w:rsidRPr="00743AC4">
        <w:rPr>
          <w:rFonts w:cs="Times New Roman"/>
          <w:noProof/>
          <w:lang w:val="en-GB"/>
        </w:rPr>
        <w:t>Pearson's correlation with statistical significance of 5% was applied to investigate the first relationships between the independent variables, with the FDI flow, and is presented in Table 5.</w:t>
      </w:r>
    </w:p>
    <w:p w:rsidR="009973A2" w:rsidRPr="00743AC4" w:rsidRDefault="009973A2" w:rsidP="009973A2">
      <w:pPr>
        <w:pStyle w:val="Legenda"/>
        <w:rPr>
          <w:noProof/>
          <w:lang w:val="en-GB"/>
        </w:rPr>
      </w:pPr>
      <w:bookmarkStart w:id="3" w:name="_Toc32521452"/>
      <w:r w:rsidRPr="00743AC4">
        <w:rPr>
          <w:noProof/>
          <w:lang w:val="en-GB"/>
        </w:rPr>
        <w:t xml:space="preserve">Table </w:t>
      </w:r>
      <w:r w:rsidRPr="00743AC4">
        <w:rPr>
          <w:noProof/>
          <w:lang w:val="en-GB"/>
        </w:rPr>
        <w:fldChar w:fldCharType="begin"/>
      </w:r>
      <w:r w:rsidRPr="00743AC4">
        <w:rPr>
          <w:noProof/>
          <w:lang w:val="en-GB"/>
        </w:rPr>
        <w:instrText xml:space="preserve"> SEQ Tabela \* ARABIC </w:instrText>
      </w:r>
      <w:r w:rsidRPr="00743AC4">
        <w:rPr>
          <w:noProof/>
          <w:lang w:val="en-GB"/>
        </w:rPr>
        <w:fldChar w:fldCharType="separate"/>
      </w:r>
      <w:r w:rsidRPr="00743AC4">
        <w:rPr>
          <w:noProof/>
          <w:lang w:val="en-GB"/>
        </w:rPr>
        <w:t>5</w:t>
      </w:r>
      <w:r w:rsidRPr="00743AC4">
        <w:rPr>
          <w:noProof/>
          <w:lang w:val="en-GB"/>
        </w:rPr>
        <w:fldChar w:fldCharType="end"/>
      </w:r>
      <w:r w:rsidRPr="00743AC4">
        <w:rPr>
          <w:noProof/>
          <w:lang w:val="en-GB"/>
        </w:rPr>
        <w:t>. Correlation</w:t>
      </w:r>
      <w:bookmarkEnd w:id="3"/>
      <w:r w:rsidRPr="00743AC4">
        <w:rPr>
          <w:noProof/>
          <w:lang w:val="en-GB"/>
        </w:rPr>
        <w:t xml:space="preserve"> matrix</w:t>
      </w:r>
    </w:p>
    <w:tbl>
      <w:tblPr>
        <w:tblW w:w="5052" w:type="pct"/>
        <w:jc w:val="center"/>
        <w:tblCellMar>
          <w:left w:w="70" w:type="dxa"/>
          <w:right w:w="70" w:type="dxa"/>
        </w:tblCellMar>
        <w:tblLook w:val="04A0" w:firstRow="1" w:lastRow="0" w:firstColumn="1" w:lastColumn="0" w:noHBand="0" w:noVBand="1"/>
      </w:tblPr>
      <w:tblGrid>
        <w:gridCol w:w="1040"/>
        <w:gridCol w:w="892"/>
        <w:gridCol w:w="891"/>
        <w:gridCol w:w="891"/>
        <w:gridCol w:w="891"/>
        <w:gridCol w:w="891"/>
        <w:gridCol w:w="891"/>
        <w:gridCol w:w="991"/>
        <w:gridCol w:w="839"/>
        <w:gridCol w:w="713"/>
      </w:tblGrid>
      <w:tr w:rsidR="009973A2" w:rsidRPr="00743AC4" w:rsidTr="00C96CD3">
        <w:trPr>
          <w:trHeight w:val="269"/>
          <w:jc w:val="center"/>
        </w:trPr>
        <w:tc>
          <w:tcPr>
            <w:tcW w:w="582" w:type="pct"/>
            <w:tcBorders>
              <w:top w:val="single" w:sz="12" w:space="0" w:color="000000"/>
              <w:left w:val="nil"/>
              <w:bottom w:val="single" w:sz="12" w:space="0" w:color="000000"/>
              <w:right w:val="nil"/>
            </w:tcBorders>
            <w:shd w:val="clear" w:color="auto" w:fill="FFFFFF"/>
            <w:noWrap/>
            <w:vAlign w:val="center"/>
            <w:hideMark/>
          </w:tcPr>
          <w:p w:rsidR="009973A2" w:rsidRPr="00743AC4" w:rsidRDefault="009973A2" w:rsidP="00C96CD3">
            <w:pPr>
              <w:ind w:firstLine="0"/>
              <w:jc w:val="left"/>
              <w:rPr>
                <w:rFonts w:cs="Times New Roman"/>
                <w:noProof/>
                <w:color w:val="000000"/>
                <w:sz w:val="18"/>
                <w:szCs w:val="18"/>
                <w:lang w:val="en-GB"/>
              </w:rPr>
            </w:pPr>
            <w:r w:rsidRPr="00743AC4">
              <w:rPr>
                <w:rFonts w:cs="Times New Roman"/>
                <w:noProof/>
                <w:color w:val="000000"/>
                <w:sz w:val="18"/>
                <w:szCs w:val="18"/>
                <w:lang w:val="en-GB"/>
              </w:rPr>
              <w:t> </w:t>
            </w:r>
          </w:p>
        </w:tc>
        <w:tc>
          <w:tcPr>
            <w:tcW w:w="499" w:type="pct"/>
            <w:tcBorders>
              <w:top w:val="single" w:sz="12" w:space="0" w:color="000000"/>
              <w:left w:val="nil"/>
              <w:bottom w:val="single" w:sz="12" w:space="0" w:color="000000"/>
              <w:right w:val="nil"/>
            </w:tcBorders>
            <w:shd w:val="clear" w:color="auto" w:fill="FFFFFF"/>
            <w:noWrap/>
            <w:vAlign w:val="center"/>
            <w:hideMark/>
          </w:tcPr>
          <w:p w:rsidR="009973A2" w:rsidRPr="00743AC4" w:rsidRDefault="009973A2" w:rsidP="00C96CD3">
            <w:pPr>
              <w:ind w:firstLine="0"/>
              <w:jc w:val="center"/>
              <w:rPr>
                <w:rFonts w:cs="Times New Roman"/>
                <w:noProof/>
                <w:color w:val="000000"/>
                <w:sz w:val="20"/>
                <w:lang w:val="en-GB"/>
              </w:rPr>
            </w:pPr>
            <w:r w:rsidRPr="00743AC4">
              <w:rPr>
                <w:rFonts w:cs="Times New Roman"/>
                <w:noProof/>
                <w:color w:val="000000"/>
                <w:sz w:val="20"/>
                <w:lang w:val="en-GB"/>
              </w:rPr>
              <w:t>FDI</w:t>
            </w:r>
          </w:p>
        </w:tc>
        <w:tc>
          <w:tcPr>
            <w:tcW w:w="499" w:type="pct"/>
            <w:tcBorders>
              <w:top w:val="single" w:sz="12" w:space="0" w:color="000000"/>
              <w:left w:val="nil"/>
              <w:bottom w:val="single" w:sz="12" w:space="0" w:color="000000"/>
              <w:right w:val="nil"/>
            </w:tcBorders>
            <w:shd w:val="clear" w:color="auto" w:fill="FFFFFF"/>
            <w:noWrap/>
            <w:vAlign w:val="center"/>
            <w:hideMark/>
          </w:tcPr>
          <w:p w:rsidR="009973A2" w:rsidRPr="00743AC4" w:rsidRDefault="009973A2" w:rsidP="00C96CD3">
            <w:pPr>
              <w:ind w:firstLine="0"/>
              <w:jc w:val="center"/>
              <w:rPr>
                <w:rFonts w:cs="Times New Roman"/>
                <w:noProof/>
                <w:color w:val="000000"/>
                <w:sz w:val="20"/>
                <w:lang w:val="en-GB"/>
              </w:rPr>
            </w:pPr>
            <w:r w:rsidRPr="00743AC4">
              <w:rPr>
                <w:rFonts w:cs="Times New Roman"/>
                <w:noProof/>
                <w:color w:val="000000"/>
                <w:sz w:val="20"/>
                <w:lang w:val="en-GB"/>
              </w:rPr>
              <w:t>GDP</w:t>
            </w:r>
          </w:p>
        </w:tc>
        <w:tc>
          <w:tcPr>
            <w:tcW w:w="499" w:type="pct"/>
            <w:tcBorders>
              <w:top w:val="single" w:sz="12" w:space="0" w:color="000000"/>
              <w:left w:val="nil"/>
              <w:bottom w:val="single" w:sz="12" w:space="0" w:color="000000"/>
              <w:right w:val="nil"/>
            </w:tcBorders>
            <w:shd w:val="clear" w:color="auto" w:fill="FFFFFF"/>
            <w:noWrap/>
            <w:vAlign w:val="center"/>
            <w:hideMark/>
          </w:tcPr>
          <w:p w:rsidR="009973A2" w:rsidRPr="00743AC4" w:rsidRDefault="009973A2" w:rsidP="00C96CD3">
            <w:pPr>
              <w:ind w:firstLine="0"/>
              <w:jc w:val="center"/>
              <w:rPr>
                <w:rFonts w:cs="Times New Roman"/>
                <w:noProof/>
                <w:color w:val="000000"/>
                <w:sz w:val="20"/>
                <w:lang w:val="en-GB"/>
              </w:rPr>
            </w:pPr>
            <w:r w:rsidRPr="00743AC4">
              <w:rPr>
                <w:rFonts w:cs="Times New Roman"/>
                <w:noProof/>
                <w:color w:val="000000"/>
                <w:sz w:val="20"/>
                <w:lang w:val="en-GB"/>
              </w:rPr>
              <w:t>POP</w:t>
            </w:r>
          </w:p>
        </w:tc>
        <w:tc>
          <w:tcPr>
            <w:tcW w:w="499" w:type="pct"/>
            <w:tcBorders>
              <w:top w:val="single" w:sz="12" w:space="0" w:color="000000"/>
              <w:left w:val="nil"/>
              <w:bottom w:val="single" w:sz="12" w:space="0" w:color="000000"/>
              <w:right w:val="nil"/>
            </w:tcBorders>
            <w:shd w:val="clear" w:color="auto" w:fill="FFFFFF"/>
            <w:noWrap/>
            <w:vAlign w:val="center"/>
            <w:hideMark/>
          </w:tcPr>
          <w:p w:rsidR="009973A2" w:rsidRPr="00743AC4" w:rsidRDefault="009973A2" w:rsidP="00C96CD3">
            <w:pPr>
              <w:ind w:firstLine="0"/>
              <w:jc w:val="center"/>
              <w:rPr>
                <w:rFonts w:cs="Times New Roman"/>
                <w:noProof/>
                <w:color w:val="000000"/>
                <w:sz w:val="20"/>
                <w:lang w:val="en-GB"/>
              </w:rPr>
            </w:pPr>
            <w:r w:rsidRPr="00743AC4">
              <w:rPr>
                <w:rFonts w:cs="Times New Roman"/>
                <w:noProof/>
                <w:color w:val="000000"/>
                <w:sz w:val="20"/>
                <w:lang w:val="en-GB"/>
              </w:rPr>
              <w:t>INF</w:t>
            </w:r>
          </w:p>
        </w:tc>
        <w:tc>
          <w:tcPr>
            <w:tcW w:w="499" w:type="pct"/>
            <w:tcBorders>
              <w:top w:val="single" w:sz="12" w:space="0" w:color="000000"/>
              <w:left w:val="nil"/>
              <w:bottom w:val="single" w:sz="12" w:space="0" w:color="000000"/>
              <w:right w:val="nil"/>
            </w:tcBorders>
            <w:shd w:val="clear" w:color="auto" w:fill="FFFFFF"/>
            <w:noWrap/>
            <w:vAlign w:val="center"/>
            <w:hideMark/>
          </w:tcPr>
          <w:p w:rsidR="009973A2" w:rsidRPr="00743AC4" w:rsidRDefault="009973A2" w:rsidP="00C96CD3">
            <w:pPr>
              <w:ind w:firstLine="0"/>
              <w:jc w:val="center"/>
              <w:rPr>
                <w:rFonts w:cs="Times New Roman"/>
                <w:noProof/>
                <w:color w:val="000000"/>
                <w:sz w:val="20"/>
                <w:lang w:val="en-GB"/>
              </w:rPr>
            </w:pPr>
            <w:r w:rsidRPr="00743AC4">
              <w:rPr>
                <w:rFonts w:cs="Times New Roman"/>
                <w:noProof/>
                <w:color w:val="000000"/>
                <w:sz w:val="20"/>
                <w:lang w:val="en-GB"/>
              </w:rPr>
              <w:t>OPEN</w:t>
            </w:r>
          </w:p>
        </w:tc>
        <w:tc>
          <w:tcPr>
            <w:tcW w:w="499" w:type="pct"/>
            <w:tcBorders>
              <w:top w:val="single" w:sz="12" w:space="0" w:color="000000"/>
              <w:left w:val="nil"/>
              <w:bottom w:val="single" w:sz="12" w:space="0" w:color="000000"/>
              <w:right w:val="nil"/>
            </w:tcBorders>
            <w:shd w:val="clear" w:color="auto" w:fill="FFFFFF"/>
            <w:noWrap/>
            <w:vAlign w:val="center"/>
            <w:hideMark/>
          </w:tcPr>
          <w:p w:rsidR="009973A2" w:rsidRPr="00743AC4" w:rsidRDefault="009973A2" w:rsidP="00C96CD3">
            <w:pPr>
              <w:ind w:firstLine="0"/>
              <w:jc w:val="center"/>
              <w:rPr>
                <w:rFonts w:cs="Times New Roman"/>
                <w:noProof/>
                <w:color w:val="000000"/>
                <w:sz w:val="20"/>
                <w:lang w:val="en-GB"/>
              </w:rPr>
            </w:pPr>
            <w:r w:rsidRPr="00743AC4">
              <w:rPr>
                <w:rFonts w:cs="Times New Roman"/>
                <w:noProof/>
                <w:color w:val="000000"/>
                <w:sz w:val="20"/>
                <w:lang w:val="en-GB"/>
              </w:rPr>
              <w:t>NAT</w:t>
            </w:r>
          </w:p>
        </w:tc>
        <w:tc>
          <w:tcPr>
            <w:tcW w:w="555" w:type="pct"/>
            <w:tcBorders>
              <w:top w:val="single" w:sz="12" w:space="0" w:color="000000"/>
              <w:left w:val="nil"/>
              <w:bottom w:val="single" w:sz="12" w:space="0" w:color="000000"/>
              <w:right w:val="nil"/>
            </w:tcBorders>
            <w:shd w:val="clear" w:color="auto" w:fill="FFFFFF"/>
            <w:noWrap/>
            <w:vAlign w:val="center"/>
            <w:hideMark/>
          </w:tcPr>
          <w:p w:rsidR="009973A2" w:rsidRPr="00743AC4" w:rsidRDefault="009973A2" w:rsidP="00C96CD3">
            <w:pPr>
              <w:ind w:firstLine="0"/>
              <w:jc w:val="center"/>
              <w:rPr>
                <w:rFonts w:cs="Times New Roman"/>
                <w:noProof/>
                <w:color w:val="000000"/>
                <w:sz w:val="20"/>
                <w:lang w:val="en-GB"/>
              </w:rPr>
            </w:pPr>
            <w:r w:rsidRPr="00743AC4">
              <w:rPr>
                <w:rFonts w:cs="Times New Roman"/>
                <w:noProof/>
                <w:color w:val="000000"/>
                <w:sz w:val="20"/>
                <w:lang w:val="en-GB"/>
              </w:rPr>
              <w:t>INFR</w:t>
            </w:r>
          </w:p>
        </w:tc>
        <w:tc>
          <w:tcPr>
            <w:tcW w:w="470" w:type="pct"/>
            <w:tcBorders>
              <w:top w:val="single" w:sz="12" w:space="0" w:color="000000"/>
              <w:left w:val="nil"/>
              <w:bottom w:val="single" w:sz="12" w:space="0" w:color="000000"/>
              <w:right w:val="nil"/>
            </w:tcBorders>
            <w:shd w:val="clear" w:color="auto" w:fill="FFFFFF"/>
            <w:noWrap/>
            <w:vAlign w:val="center"/>
            <w:hideMark/>
          </w:tcPr>
          <w:p w:rsidR="009973A2" w:rsidRPr="00743AC4" w:rsidRDefault="009973A2" w:rsidP="00C96CD3">
            <w:pPr>
              <w:ind w:firstLine="0"/>
              <w:jc w:val="center"/>
              <w:rPr>
                <w:rFonts w:cs="Times New Roman"/>
                <w:noProof/>
                <w:color w:val="000000"/>
                <w:sz w:val="20"/>
                <w:lang w:val="en-GB"/>
              </w:rPr>
            </w:pPr>
            <w:r w:rsidRPr="00743AC4">
              <w:rPr>
                <w:rFonts w:cs="Times New Roman"/>
                <w:noProof/>
                <w:color w:val="000000"/>
                <w:sz w:val="20"/>
                <w:lang w:val="en-GB"/>
              </w:rPr>
              <w:t>GOVEF</w:t>
            </w:r>
          </w:p>
        </w:tc>
        <w:tc>
          <w:tcPr>
            <w:tcW w:w="402" w:type="pct"/>
            <w:tcBorders>
              <w:top w:val="single" w:sz="12" w:space="0" w:color="000000"/>
              <w:left w:val="nil"/>
              <w:bottom w:val="single" w:sz="12" w:space="0" w:color="000000"/>
              <w:right w:val="nil"/>
            </w:tcBorders>
            <w:shd w:val="clear" w:color="auto" w:fill="FFFFFF"/>
            <w:noWrap/>
            <w:vAlign w:val="center"/>
            <w:hideMark/>
          </w:tcPr>
          <w:p w:rsidR="009973A2" w:rsidRPr="00743AC4" w:rsidRDefault="009973A2" w:rsidP="00C96CD3">
            <w:pPr>
              <w:ind w:firstLine="0"/>
              <w:jc w:val="center"/>
              <w:rPr>
                <w:rFonts w:cs="Times New Roman"/>
                <w:noProof/>
                <w:color w:val="000000"/>
                <w:sz w:val="20"/>
                <w:lang w:val="en-GB"/>
              </w:rPr>
            </w:pPr>
            <w:r w:rsidRPr="00743AC4">
              <w:rPr>
                <w:rFonts w:cs="Times New Roman"/>
                <w:noProof/>
                <w:color w:val="000000"/>
                <w:sz w:val="20"/>
                <w:lang w:val="en-GB"/>
              </w:rPr>
              <w:t>CCOR</w:t>
            </w:r>
          </w:p>
        </w:tc>
      </w:tr>
      <w:tr w:rsidR="009973A2" w:rsidRPr="00743AC4" w:rsidTr="00C96CD3">
        <w:trPr>
          <w:trHeight w:val="269"/>
          <w:jc w:val="center"/>
        </w:trPr>
        <w:tc>
          <w:tcPr>
            <w:tcW w:w="582" w:type="pct"/>
            <w:tcBorders>
              <w:top w:val="single" w:sz="12" w:space="0" w:color="000000"/>
              <w:left w:val="nil"/>
              <w:bottom w:val="nil"/>
              <w:right w:val="nil"/>
            </w:tcBorders>
            <w:shd w:val="clear" w:color="auto" w:fill="auto"/>
            <w:noWrap/>
            <w:vAlign w:val="center"/>
            <w:hideMark/>
          </w:tcPr>
          <w:p w:rsidR="009973A2" w:rsidRPr="00743AC4" w:rsidRDefault="009973A2" w:rsidP="00C96CD3">
            <w:pPr>
              <w:ind w:firstLine="0"/>
              <w:jc w:val="left"/>
              <w:rPr>
                <w:rFonts w:cs="Times New Roman"/>
                <w:noProof/>
                <w:color w:val="000000"/>
                <w:sz w:val="20"/>
                <w:lang w:val="en-GB"/>
              </w:rPr>
            </w:pPr>
            <w:r w:rsidRPr="00743AC4">
              <w:rPr>
                <w:rFonts w:cs="Times New Roman"/>
                <w:noProof/>
                <w:color w:val="000000"/>
                <w:sz w:val="20"/>
                <w:lang w:val="en-GB"/>
              </w:rPr>
              <w:t xml:space="preserve"> FDI</w:t>
            </w:r>
          </w:p>
        </w:tc>
        <w:tc>
          <w:tcPr>
            <w:tcW w:w="499" w:type="pct"/>
            <w:tcBorders>
              <w:top w:val="single" w:sz="12" w:space="0" w:color="000000"/>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color w:val="000000"/>
                <w:sz w:val="20"/>
                <w:lang w:val="en-GB"/>
              </w:rPr>
            </w:pPr>
            <w:r w:rsidRPr="00743AC4">
              <w:rPr>
                <w:rFonts w:cs="Times New Roman"/>
                <w:noProof/>
                <w:color w:val="000000"/>
                <w:sz w:val="20"/>
                <w:lang w:val="en-GB"/>
              </w:rPr>
              <w:t>1.0000</w:t>
            </w:r>
          </w:p>
        </w:tc>
        <w:tc>
          <w:tcPr>
            <w:tcW w:w="499" w:type="pct"/>
            <w:tcBorders>
              <w:top w:val="single" w:sz="12" w:space="0" w:color="000000"/>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color w:val="000000"/>
                <w:sz w:val="20"/>
                <w:lang w:val="en-GB"/>
              </w:rPr>
            </w:pPr>
          </w:p>
        </w:tc>
        <w:tc>
          <w:tcPr>
            <w:tcW w:w="499" w:type="pct"/>
            <w:tcBorders>
              <w:top w:val="single" w:sz="12" w:space="0" w:color="000000"/>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sz w:val="20"/>
                <w:lang w:val="en-GB"/>
              </w:rPr>
            </w:pPr>
          </w:p>
        </w:tc>
        <w:tc>
          <w:tcPr>
            <w:tcW w:w="499" w:type="pct"/>
            <w:tcBorders>
              <w:top w:val="single" w:sz="12" w:space="0" w:color="000000"/>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sz w:val="20"/>
                <w:lang w:val="en-GB"/>
              </w:rPr>
            </w:pPr>
          </w:p>
        </w:tc>
        <w:tc>
          <w:tcPr>
            <w:tcW w:w="499" w:type="pct"/>
            <w:tcBorders>
              <w:top w:val="single" w:sz="12" w:space="0" w:color="000000"/>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sz w:val="20"/>
                <w:lang w:val="en-GB"/>
              </w:rPr>
            </w:pPr>
          </w:p>
        </w:tc>
        <w:tc>
          <w:tcPr>
            <w:tcW w:w="499" w:type="pct"/>
            <w:tcBorders>
              <w:top w:val="single" w:sz="12" w:space="0" w:color="000000"/>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sz w:val="20"/>
                <w:lang w:val="en-GB"/>
              </w:rPr>
            </w:pPr>
          </w:p>
        </w:tc>
        <w:tc>
          <w:tcPr>
            <w:tcW w:w="555" w:type="pct"/>
            <w:tcBorders>
              <w:top w:val="single" w:sz="12" w:space="0" w:color="000000"/>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sz w:val="20"/>
                <w:lang w:val="en-GB"/>
              </w:rPr>
            </w:pPr>
          </w:p>
        </w:tc>
        <w:tc>
          <w:tcPr>
            <w:tcW w:w="470" w:type="pct"/>
            <w:tcBorders>
              <w:top w:val="single" w:sz="12" w:space="0" w:color="000000"/>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sz w:val="20"/>
                <w:lang w:val="en-GB"/>
              </w:rPr>
            </w:pPr>
          </w:p>
        </w:tc>
        <w:tc>
          <w:tcPr>
            <w:tcW w:w="402" w:type="pct"/>
            <w:tcBorders>
              <w:top w:val="single" w:sz="12" w:space="0" w:color="000000"/>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sz w:val="20"/>
                <w:lang w:val="en-GB"/>
              </w:rPr>
            </w:pPr>
          </w:p>
        </w:tc>
      </w:tr>
      <w:tr w:rsidR="009973A2" w:rsidRPr="00743AC4" w:rsidTr="00C96CD3">
        <w:trPr>
          <w:trHeight w:val="269"/>
          <w:jc w:val="center"/>
        </w:trPr>
        <w:tc>
          <w:tcPr>
            <w:tcW w:w="582" w:type="pct"/>
            <w:tcBorders>
              <w:top w:val="nil"/>
              <w:left w:val="nil"/>
              <w:bottom w:val="nil"/>
              <w:right w:val="nil"/>
            </w:tcBorders>
            <w:shd w:val="clear" w:color="auto" w:fill="auto"/>
            <w:noWrap/>
            <w:vAlign w:val="center"/>
            <w:hideMark/>
          </w:tcPr>
          <w:p w:rsidR="009973A2" w:rsidRPr="00743AC4" w:rsidRDefault="009973A2" w:rsidP="00C96CD3">
            <w:pPr>
              <w:ind w:firstLine="0"/>
              <w:jc w:val="left"/>
              <w:rPr>
                <w:rFonts w:cs="Times New Roman"/>
                <w:noProof/>
                <w:color w:val="000000"/>
                <w:sz w:val="20"/>
                <w:lang w:val="en-GB"/>
              </w:rPr>
            </w:pPr>
            <w:r w:rsidRPr="00743AC4">
              <w:rPr>
                <w:rFonts w:cs="Times New Roman"/>
                <w:noProof/>
                <w:color w:val="000000"/>
                <w:sz w:val="20"/>
                <w:lang w:val="en-GB"/>
              </w:rPr>
              <w:t xml:space="preserve"> GDP</w:t>
            </w:r>
          </w:p>
        </w:tc>
        <w:tc>
          <w:tcPr>
            <w:tcW w:w="499"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color w:val="000000"/>
                <w:sz w:val="20"/>
                <w:lang w:val="en-GB"/>
              </w:rPr>
            </w:pPr>
            <w:r w:rsidRPr="00743AC4">
              <w:rPr>
                <w:rFonts w:cs="Times New Roman"/>
                <w:noProof/>
                <w:color w:val="000000"/>
                <w:sz w:val="20"/>
                <w:lang w:val="en-GB"/>
              </w:rPr>
              <w:t>0.0639</w:t>
            </w:r>
          </w:p>
        </w:tc>
        <w:tc>
          <w:tcPr>
            <w:tcW w:w="499"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color w:val="000000"/>
                <w:sz w:val="20"/>
                <w:lang w:val="en-GB"/>
              </w:rPr>
            </w:pPr>
            <w:r w:rsidRPr="00743AC4">
              <w:rPr>
                <w:rFonts w:cs="Times New Roman"/>
                <w:noProof/>
                <w:color w:val="000000"/>
                <w:sz w:val="20"/>
                <w:lang w:val="en-GB"/>
              </w:rPr>
              <w:t>1.0000</w:t>
            </w:r>
          </w:p>
        </w:tc>
        <w:tc>
          <w:tcPr>
            <w:tcW w:w="499"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color w:val="000000"/>
                <w:sz w:val="20"/>
                <w:lang w:val="en-GB"/>
              </w:rPr>
            </w:pPr>
          </w:p>
        </w:tc>
        <w:tc>
          <w:tcPr>
            <w:tcW w:w="499"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sz w:val="20"/>
                <w:lang w:val="en-GB"/>
              </w:rPr>
            </w:pPr>
          </w:p>
        </w:tc>
        <w:tc>
          <w:tcPr>
            <w:tcW w:w="499"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sz w:val="20"/>
                <w:lang w:val="en-GB"/>
              </w:rPr>
            </w:pPr>
          </w:p>
        </w:tc>
        <w:tc>
          <w:tcPr>
            <w:tcW w:w="499"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sz w:val="20"/>
                <w:lang w:val="en-GB"/>
              </w:rPr>
            </w:pPr>
          </w:p>
        </w:tc>
        <w:tc>
          <w:tcPr>
            <w:tcW w:w="555"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sz w:val="20"/>
                <w:lang w:val="en-GB"/>
              </w:rPr>
            </w:pPr>
          </w:p>
        </w:tc>
        <w:tc>
          <w:tcPr>
            <w:tcW w:w="470"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sz w:val="20"/>
                <w:lang w:val="en-GB"/>
              </w:rPr>
            </w:pPr>
          </w:p>
        </w:tc>
        <w:tc>
          <w:tcPr>
            <w:tcW w:w="402"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sz w:val="20"/>
                <w:lang w:val="en-GB"/>
              </w:rPr>
            </w:pPr>
          </w:p>
        </w:tc>
      </w:tr>
      <w:tr w:rsidR="009973A2" w:rsidRPr="00743AC4" w:rsidTr="00C96CD3">
        <w:trPr>
          <w:trHeight w:val="269"/>
          <w:jc w:val="center"/>
        </w:trPr>
        <w:tc>
          <w:tcPr>
            <w:tcW w:w="582" w:type="pct"/>
            <w:tcBorders>
              <w:top w:val="nil"/>
              <w:left w:val="nil"/>
              <w:bottom w:val="nil"/>
              <w:right w:val="nil"/>
            </w:tcBorders>
            <w:shd w:val="clear" w:color="auto" w:fill="auto"/>
            <w:noWrap/>
            <w:vAlign w:val="center"/>
            <w:hideMark/>
          </w:tcPr>
          <w:p w:rsidR="009973A2" w:rsidRPr="00743AC4" w:rsidRDefault="009973A2" w:rsidP="00C96CD3">
            <w:pPr>
              <w:ind w:firstLine="0"/>
              <w:jc w:val="left"/>
              <w:rPr>
                <w:rFonts w:cs="Times New Roman"/>
                <w:noProof/>
                <w:color w:val="000000"/>
                <w:sz w:val="20"/>
                <w:lang w:val="en-GB"/>
              </w:rPr>
            </w:pPr>
            <w:r w:rsidRPr="00743AC4">
              <w:rPr>
                <w:rFonts w:cs="Times New Roman"/>
                <w:noProof/>
                <w:color w:val="000000"/>
                <w:sz w:val="20"/>
                <w:lang w:val="en-GB"/>
              </w:rPr>
              <w:t xml:space="preserve"> POP</w:t>
            </w:r>
          </w:p>
        </w:tc>
        <w:tc>
          <w:tcPr>
            <w:tcW w:w="499"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color w:val="000000"/>
                <w:sz w:val="20"/>
                <w:lang w:val="en-GB"/>
              </w:rPr>
            </w:pPr>
            <w:r w:rsidRPr="00743AC4">
              <w:rPr>
                <w:rFonts w:cs="Times New Roman"/>
                <w:noProof/>
                <w:color w:val="000000"/>
                <w:sz w:val="20"/>
                <w:lang w:val="en-GB"/>
              </w:rPr>
              <w:t>-0.1187*</w:t>
            </w:r>
          </w:p>
        </w:tc>
        <w:tc>
          <w:tcPr>
            <w:tcW w:w="499"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color w:val="000000"/>
                <w:sz w:val="20"/>
                <w:lang w:val="en-GB"/>
              </w:rPr>
            </w:pPr>
            <w:r w:rsidRPr="00743AC4">
              <w:rPr>
                <w:rFonts w:cs="Times New Roman"/>
                <w:noProof/>
                <w:color w:val="000000"/>
                <w:sz w:val="20"/>
                <w:lang w:val="en-GB"/>
              </w:rPr>
              <w:t>0.2166*</w:t>
            </w:r>
          </w:p>
        </w:tc>
        <w:tc>
          <w:tcPr>
            <w:tcW w:w="499"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color w:val="000000"/>
                <w:sz w:val="20"/>
                <w:lang w:val="en-GB"/>
              </w:rPr>
            </w:pPr>
            <w:r w:rsidRPr="00743AC4">
              <w:rPr>
                <w:rFonts w:cs="Times New Roman"/>
                <w:noProof/>
                <w:color w:val="000000"/>
                <w:sz w:val="20"/>
                <w:lang w:val="en-GB"/>
              </w:rPr>
              <w:t>1.0000</w:t>
            </w:r>
          </w:p>
        </w:tc>
        <w:tc>
          <w:tcPr>
            <w:tcW w:w="499"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color w:val="000000"/>
                <w:sz w:val="20"/>
                <w:lang w:val="en-GB"/>
              </w:rPr>
            </w:pPr>
          </w:p>
        </w:tc>
        <w:tc>
          <w:tcPr>
            <w:tcW w:w="499"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sz w:val="20"/>
                <w:lang w:val="en-GB"/>
              </w:rPr>
            </w:pPr>
          </w:p>
        </w:tc>
        <w:tc>
          <w:tcPr>
            <w:tcW w:w="499"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sz w:val="20"/>
                <w:lang w:val="en-GB"/>
              </w:rPr>
            </w:pPr>
          </w:p>
        </w:tc>
        <w:tc>
          <w:tcPr>
            <w:tcW w:w="555"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sz w:val="20"/>
                <w:lang w:val="en-GB"/>
              </w:rPr>
            </w:pPr>
          </w:p>
        </w:tc>
        <w:tc>
          <w:tcPr>
            <w:tcW w:w="470"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sz w:val="20"/>
                <w:lang w:val="en-GB"/>
              </w:rPr>
            </w:pPr>
          </w:p>
        </w:tc>
        <w:tc>
          <w:tcPr>
            <w:tcW w:w="402"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sz w:val="20"/>
                <w:lang w:val="en-GB"/>
              </w:rPr>
            </w:pPr>
          </w:p>
        </w:tc>
      </w:tr>
      <w:tr w:rsidR="009973A2" w:rsidRPr="00743AC4" w:rsidTr="00C96CD3">
        <w:trPr>
          <w:trHeight w:val="269"/>
          <w:jc w:val="center"/>
        </w:trPr>
        <w:tc>
          <w:tcPr>
            <w:tcW w:w="582" w:type="pct"/>
            <w:tcBorders>
              <w:top w:val="nil"/>
              <w:left w:val="nil"/>
              <w:bottom w:val="nil"/>
              <w:right w:val="nil"/>
            </w:tcBorders>
            <w:shd w:val="clear" w:color="auto" w:fill="auto"/>
            <w:noWrap/>
            <w:vAlign w:val="center"/>
            <w:hideMark/>
          </w:tcPr>
          <w:p w:rsidR="009973A2" w:rsidRPr="00743AC4" w:rsidRDefault="009973A2" w:rsidP="00C96CD3">
            <w:pPr>
              <w:ind w:firstLine="0"/>
              <w:jc w:val="left"/>
              <w:rPr>
                <w:rFonts w:cs="Times New Roman"/>
                <w:noProof/>
                <w:color w:val="000000"/>
                <w:sz w:val="20"/>
                <w:lang w:val="en-GB"/>
              </w:rPr>
            </w:pPr>
            <w:r w:rsidRPr="00743AC4">
              <w:rPr>
                <w:rFonts w:cs="Times New Roman"/>
                <w:noProof/>
                <w:color w:val="000000"/>
                <w:sz w:val="20"/>
                <w:lang w:val="en-GB"/>
              </w:rPr>
              <w:t xml:space="preserve"> INF</w:t>
            </w:r>
          </w:p>
        </w:tc>
        <w:tc>
          <w:tcPr>
            <w:tcW w:w="499"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color w:val="000000"/>
                <w:sz w:val="20"/>
                <w:lang w:val="en-GB"/>
              </w:rPr>
            </w:pPr>
            <w:r w:rsidRPr="00743AC4">
              <w:rPr>
                <w:rFonts w:cs="Times New Roman"/>
                <w:noProof/>
                <w:color w:val="000000"/>
                <w:sz w:val="20"/>
                <w:lang w:val="en-GB"/>
              </w:rPr>
              <w:t>0.0556</w:t>
            </w:r>
          </w:p>
        </w:tc>
        <w:tc>
          <w:tcPr>
            <w:tcW w:w="499"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color w:val="000000"/>
                <w:sz w:val="20"/>
                <w:lang w:val="en-GB"/>
              </w:rPr>
            </w:pPr>
            <w:r w:rsidRPr="00743AC4">
              <w:rPr>
                <w:rFonts w:cs="Times New Roman"/>
                <w:noProof/>
                <w:color w:val="000000"/>
                <w:sz w:val="20"/>
                <w:lang w:val="en-GB"/>
              </w:rPr>
              <w:t>0.1386*</w:t>
            </w:r>
          </w:p>
        </w:tc>
        <w:tc>
          <w:tcPr>
            <w:tcW w:w="499"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color w:val="000000"/>
                <w:sz w:val="20"/>
                <w:lang w:val="en-GB"/>
              </w:rPr>
            </w:pPr>
            <w:r w:rsidRPr="00743AC4">
              <w:rPr>
                <w:rFonts w:cs="Times New Roman"/>
                <w:noProof/>
                <w:color w:val="000000"/>
                <w:sz w:val="20"/>
                <w:lang w:val="en-GB"/>
              </w:rPr>
              <w:t>0.1201*</w:t>
            </w:r>
          </w:p>
        </w:tc>
        <w:tc>
          <w:tcPr>
            <w:tcW w:w="499"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color w:val="000000"/>
                <w:sz w:val="20"/>
                <w:lang w:val="en-GB"/>
              </w:rPr>
            </w:pPr>
            <w:r w:rsidRPr="00743AC4">
              <w:rPr>
                <w:rFonts w:cs="Times New Roman"/>
                <w:noProof/>
                <w:color w:val="000000"/>
                <w:sz w:val="20"/>
                <w:lang w:val="en-GB"/>
              </w:rPr>
              <w:t>1.0000</w:t>
            </w:r>
          </w:p>
        </w:tc>
        <w:tc>
          <w:tcPr>
            <w:tcW w:w="499"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color w:val="000000"/>
                <w:sz w:val="20"/>
                <w:lang w:val="en-GB"/>
              </w:rPr>
            </w:pPr>
          </w:p>
        </w:tc>
        <w:tc>
          <w:tcPr>
            <w:tcW w:w="499"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sz w:val="20"/>
                <w:lang w:val="en-GB"/>
              </w:rPr>
            </w:pPr>
          </w:p>
        </w:tc>
        <w:tc>
          <w:tcPr>
            <w:tcW w:w="555"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sz w:val="20"/>
                <w:lang w:val="en-GB"/>
              </w:rPr>
            </w:pPr>
          </w:p>
        </w:tc>
        <w:tc>
          <w:tcPr>
            <w:tcW w:w="470"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sz w:val="20"/>
                <w:lang w:val="en-GB"/>
              </w:rPr>
            </w:pPr>
          </w:p>
        </w:tc>
        <w:tc>
          <w:tcPr>
            <w:tcW w:w="402"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sz w:val="20"/>
                <w:lang w:val="en-GB"/>
              </w:rPr>
            </w:pPr>
          </w:p>
        </w:tc>
      </w:tr>
      <w:tr w:rsidR="009973A2" w:rsidRPr="00743AC4" w:rsidTr="00C96CD3">
        <w:trPr>
          <w:trHeight w:val="269"/>
          <w:jc w:val="center"/>
        </w:trPr>
        <w:tc>
          <w:tcPr>
            <w:tcW w:w="582" w:type="pct"/>
            <w:tcBorders>
              <w:top w:val="nil"/>
              <w:left w:val="nil"/>
              <w:bottom w:val="nil"/>
              <w:right w:val="nil"/>
            </w:tcBorders>
            <w:shd w:val="clear" w:color="auto" w:fill="auto"/>
            <w:noWrap/>
            <w:vAlign w:val="center"/>
            <w:hideMark/>
          </w:tcPr>
          <w:p w:rsidR="009973A2" w:rsidRPr="00743AC4" w:rsidRDefault="009973A2" w:rsidP="00C96CD3">
            <w:pPr>
              <w:ind w:firstLine="0"/>
              <w:jc w:val="left"/>
              <w:rPr>
                <w:rFonts w:cs="Times New Roman"/>
                <w:noProof/>
                <w:color w:val="000000"/>
                <w:sz w:val="20"/>
                <w:lang w:val="en-GB"/>
              </w:rPr>
            </w:pPr>
            <w:r w:rsidRPr="00743AC4">
              <w:rPr>
                <w:rFonts w:cs="Times New Roman"/>
                <w:noProof/>
                <w:color w:val="000000"/>
                <w:sz w:val="20"/>
                <w:lang w:val="en-GB"/>
              </w:rPr>
              <w:t xml:space="preserve"> OPEN</w:t>
            </w:r>
          </w:p>
        </w:tc>
        <w:tc>
          <w:tcPr>
            <w:tcW w:w="499"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color w:val="000000"/>
                <w:sz w:val="20"/>
                <w:lang w:val="en-GB"/>
              </w:rPr>
            </w:pPr>
            <w:r w:rsidRPr="00743AC4">
              <w:rPr>
                <w:rFonts w:cs="Times New Roman"/>
                <w:noProof/>
                <w:color w:val="000000"/>
                <w:sz w:val="20"/>
                <w:lang w:val="en-GB"/>
              </w:rPr>
              <w:t>0.4215*</w:t>
            </w:r>
          </w:p>
        </w:tc>
        <w:tc>
          <w:tcPr>
            <w:tcW w:w="499"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color w:val="000000"/>
                <w:sz w:val="20"/>
                <w:lang w:val="en-GB"/>
              </w:rPr>
            </w:pPr>
            <w:r w:rsidRPr="00743AC4">
              <w:rPr>
                <w:rFonts w:cs="Times New Roman"/>
                <w:noProof/>
                <w:color w:val="000000"/>
                <w:sz w:val="20"/>
                <w:lang w:val="en-GB"/>
              </w:rPr>
              <w:t>-0.1150*</w:t>
            </w:r>
          </w:p>
        </w:tc>
        <w:tc>
          <w:tcPr>
            <w:tcW w:w="499"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color w:val="000000"/>
                <w:sz w:val="20"/>
                <w:lang w:val="en-GB"/>
              </w:rPr>
            </w:pPr>
            <w:r w:rsidRPr="00743AC4">
              <w:rPr>
                <w:rFonts w:cs="Times New Roman"/>
                <w:noProof/>
                <w:color w:val="000000"/>
                <w:sz w:val="20"/>
                <w:lang w:val="en-GB"/>
              </w:rPr>
              <w:t>-0.5014*</w:t>
            </w:r>
          </w:p>
        </w:tc>
        <w:tc>
          <w:tcPr>
            <w:tcW w:w="499"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color w:val="000000"/>
                <w:sz w:val="20"/>
                <w:lang w:val="en-GB"/>
              </w:rPr>
            </w:pPr>
            <w:r w:rsidRPr="00743AC4">
              <w:rPr>
                <w:rFonts w:cs="Times New Roman"/>
                <w:noProof/>
                <w:color w:val="000000"/>
                <w:sz w:val="20"/>
                <w:lang w:val="en-GB"/>
              </w:rPr>
              <w:t>0.1558*</w:t>
            </w:r>
          </w:p>
        </w:tc>
        <w:tc>
          <w:tcPr>
            <w:tcW w:w="499"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color w:val="000000"/>
                <w:sz w:val="20"/>
                <w:lang w:val="en-GB"/>
              </w:rPr>
            </w:pPr>
            <w:r w:rsidRPr="00743AC4">
              <w:rPr>
                <w:rFonts w:cs="Times New Roman"/>
                <w:noProof/>
                <w:color w:val="000000"/>
                <w:sz w:val="20"/>
                <w:lang w:val="en-GB"/>
              </w:rPr>
              <w:t>1.0000</w:t>
            </w:r>
          </w:p>
        </w:tc>
        <w:tc>
          <w:tcPr>
            <w:tcW w:w="499"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color w:val="000000"/>
                <w:sz w:val="20"/>
                <w:lang w:val="en-GB"/>
              </w:rPr>
            </w:pPr>
          </w:p>
        </w:tc>
        <w:tc>
          <w:tcPr>
            <w:tcW w:w="555"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sz w:val="20"/>
                <w:lang w:val="en-GB"/>
              </w:rPr>
            </w:pPr>
          </w:p>
        </w:tc>
        <w:tc>
          <w:tcPr>
            <w:tcW w:w="470"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sz w:val="20"/>
                <w:lang w:val="en-GB"/>
              </w:rPr>
            </w:pPr>
          </w:p>
        </w:tc>
        <w:tc>
          <w:tcPr>
            <w:tcW w:w="402"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sz w:val="20"/>
                <w:lang w:val="en-GB"/>
              </w:rPr>
            </w:pPr>
          </w:p>
        </w:tc>
      </w:tr>
      <w:tr w:rsidR="009973A2" w:rsidRPr="00743AC4" w:rsidTr="00C96CD3">
        <w:trPr>
          <w:trHeight w:val="269"/>
          <w:jc w:val="center"/>
        </w:trPr>
        <w:tc>
          <w:tcPr>
            <w:tcW w:w="582" w:type="pct"/>
            <w:tcBorders>
              <w:top w:val="nil"/>
              <w:left w:val="nil"/>
              <w:bottom w:val="nil"/>
              <w:right w:val="nil"/>
            </w:tcBorders>
            <w:shd w:val="clear" w:color="auto" w:fill="auto"/>
            <w:noWrap/>
            <w:vAlign w:val="center"/>
            <w:hideMark/>
          </w:tcPr>
          <w:p w:rsidR="009973A2" w:rsidRPr="00743AC4" w:rsidRDefault="009973A2" w:rsidP="00C96CD3">
            <w:pPr>
              <w:ind w:firstLine="0"/>
              <w:jc w:val="left"/>
              <w:rPr>
                <w:rFonts w:cs="Times New Roman"/>
                <w:noProof/>
                <w:color w:val="000000"/>
                <w:sz w:val="20"/>
                <w:lang w:val="en-GB"/>
              </w:rPr>
            </w:pPr>
            <w:r w:rsidRPr="00743AC4">
              <w:rPr>
                <w:rFonts w:cs="Times New Roman"/>
                <w:noProof/>
                <w:color w:val="000000"/>
                <w:sz w:val="20"/>
                <w:lang w:val="en-GB"/>
              </w:rPr>
              <w:t xml:space="preserve"> NAT</w:t>
            </w:r>
          </w:p>
        </w:tc>
        <w:tc>
          <w:tcPr>
            <w:tcW w:w="499"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color w:val="000000"/>
                <w:sz w:val="20"/>
                <w:lang w:val="en-GB"/>
              </w:rPr>
            </w:pPr>
            <w:r w:rsidRPr="00743AC4">
              <w:rPr>
                <w:rFonts w:cs="Times New Roman"/>
                <w:noProof/>
                <w:color w:val="000000"/>
                <w:sz w:val="20"/>
                <w:lang w:val="en-GB"/>
              </w:rPr>
              <w:t>0.2768*</w:t>
            </w:r>
          </w:p>
        </w:tc>
        <w:tc>
          <w:tcPr>
            <w:tcW w:w="499"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color w:val="000000"/>
                <w:sz w:val="20"/>
                <w:lang w:val="en-GB"/>
              </w:rPr>
            </w:pPr>
            <w:r w:rsidRPr="00743AC4">
              <w:rPr>
                <w:rFonts w:cs="Times New Roman"/>
                <w:noProof/>
                <w:color w:val="000000"/>
                <w:sz w:val="20"/>
                <w:lang w:val="en-GB"/>
              </w:rPr>
              <w:t>-0.021</w:t>
            </w:r>
          </w:p>
        </w:tc>
        <w:tc>
          <w:tcPr>
            <w:tcW w:w="499"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color w:val="000000"/>
                <w:sz w:val="20"/>
                <w:lang w:val="en-GB"/>
              </w:rPr>
            </w:pPr>
            <w:r w:rsidRPr="00743AC4">
              <w:rPr>
                <w:rFonts w:cs="Times New Roman"/>
                <w:noProof/>
                <w:color w:val="000000"/>
                <w:sz w:val="20"/>
                <w:lang w:val="en-GB"/>
              </w:rPr>
              <w:t>-0.0742</w:t>
            </w:r>
          </w:p>
        </w:tc>
        <w:tc>
          <w:tcPr>
            <w:tcW w:w="499"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color w:val="000000"/>
                <w:sz w:val="20"/>
                <w:lang w:val="en-GB"/>
              </w:rPr>
            </w:pPr>
            <w:r w:rsidRPr="00743AC4">
              <w:rPr>
                <w:rFonts w:cs="Times New Roman"/>
                <w:noProof/>
                <w:color w:val="000000"/>
                <w:sz w:val="20"/>
                <w:lang w:val="en-GB"/>
              </w:rPr>
              <w:t>-0.078</w:t>
            </w:r>
          </w:p>
        </w:tc>
        <w:tc>
          <w:tcPr>
            <w:tcW w:w="499"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color w:val="000000"/>
                <w:sz w:val="20"/>
                <w:lang w:val="en-GB"/>
              </w:rPr>
            </w:pPr>
            <w:r w:rsidRPr="00743AC4">
              <w:rPr>
                <w:rFonts w:cs="Times New Roman"/>
                <w:noProof/>
                <w:color w:val="000000"/>
                <w:sz w:val="20"/>
                <w:lang w:val="en-GB"/>
              </w:rPr>
              <w:t>-0.0958*</w:t>
            </w:r>
          </w:p>
        </w:tc>
        <w:tc>
          <w:tcPr>
            <w:tcW w:w="499"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color w:val="000000"/>
                <w:sz w:val="20"/>
                <w:lang w:val="en-GB"/>
              </w:rPr>
            </w:pPr>
            <w:r w:rsidRPr="00743AC4">
              <w:rPr>
                <w:rFonts w:cs="Times New Roman"/>
                <w:noProof/>
                <w:color w:val="000000"/>
                <w:sz w:val="20"/>
                <w:lang w:val="en-GB"/>
              </w:rPr>
              <w:t>1.0000</w:t>
            </w:r>
          </w:p>
        </w:tc>
        <w:tc>
          <w:tcPr>
            <w:tcW w:w="555"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color w:val="000000"/>
                <w:sz w:val="20"/>
                <w:lang w:val="en-GB"/>
              </w:rPr>
            </w:pPr>
          </w:p>
        </w:tc>
        <w:tc>
          <w:tcPr>
            <w:tcW w:w="470"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sz w:val="20"/>
                <w:lang w:val="en-GB"/>
              </w:rPr>
            </w:pPr>
          </w:p>
        </w:tc>
        <w:tc>
          <w:tcPr>
            <w:tcW w:w="402"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sz w:val="20"/>
                <w:lang w:val="en-GB"/>
              </w:rPr>
            </w:pPr>
          </w:p>
        </w:tc>
      </w:tr>
      <w:tr w:rsidR="009973A2" w:rsidRPr="00743AC4" w:rsidTr="00C96CD3">
        <w:trPr>
          <w:trHeight w:val="269"/>
          <w:jc w:val="center"/>
        </w:trPr>
        <w:tc>
          <w:tcPr>
            <w:tcW w:w="582" w:type="pct"/>
            <w:tcBorders>
              <w:top w:val="nil"/>
              <w:left w:val="nil"/>
              <w:bottom w:val="nil"/>
              <w:right w:val="nil"/>
            </w:tcBorders>
            <w:shd w:val="clear" w:color="auto" w:fill="auto"/>
            <w:noWrap/>
            <w:vAlign w:val="center"/>
            <w:hideMark/>
          </w:tcPr>
          <w:p w:rsidR="009973A2" w:rsidRPr="00743AC4" w:rsidRDefault="009973A2" w:rsidP="00C96CD3">
            <w:pPr>
              <w:ind w:firstLine="0"/>
              <w:jc w:val="left"/>
              <w:rPr>
                <w:rFonts w:cs="Times New Roman"/>
                <w:noProof/>
                <w:color w:val="000000"/>
                <w:sz w:val="20"/>
                <w:lang w:val="en-GB"/>
              </w:rPr>
            </w:pPr>
            <w:r w:rsidRPr="00743AC4">
              <w:rPr>
                <w:rFonts w:cs="Times New Roman"/>
                <w:noProof/>
                <w:color w:val="000000"/>
                <w:sz w:val="20"/>
                <w:lang w:val="en-GB"/>
              </w:rPr>
              <w:t xml:space="preserve"> INFR</w:t>
            </w:r>
          </w:p>
        </w:tc>
        <w:tc>
          <w:tcPr>
            <w:tcW w:w="499"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color w:val="000000"/>
                <w:sz w:val="20"/>
                <w:lang w:val="en-GB"/>
              </w:rPr>
            </w:pPr>
            <w:r w:rsidRPr="00743AC4">
              <w:rPr>
                <w:rFonts w:cs="Times New Roman"/>
                <w:noProof/>
                <w:color w:val="000000"/>
                <w:sz w:val="20"/>
                <w:lang w:val="en-GB"/>
              </w:rPr>
              <w:t>0.0309</w:t>
            </w:r>
          </w:p>
        </w:tc>
        <w:tc>
          <w:tcPr>
            <w:tcW w:w="499"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color w:val="000000"/>
                <w:sz w:val="20"/>
                <w:lang w:val="en-GB"/>
              </w:rPr>
            </w:pPr>
            <w:r w:rsidRPr="00743AC4">
              <w:rPr>
                <w:rFonts w:cs="Times New Roman"/>
                <w:noProof/>
                <w:color w:val="000000"/>
                <w:sz w:val="20"/>
                <w:lang w:val="en-GB"/>
              </w:rPr>
              <w:t>-0.0859</w:t>
            </w:r>
          </w:p>
        </w:tc>
        <w:tc>
          <w:tcPr>
            <w:tcW w:w="499"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color w:val="000000"/>
                <w:sz w:val="20"/>
                <w:lang w:val="en-GB"/>
              </w:rPr>
            </w:pPr>
            <w:r w:rsidRPr="00743AC4">
              <w:rPr>
                <w:rFonts w:cs="Times New Roman"/>
                <w:noProof/>
                <w:color w:val="000000"/>
                <w:sz w:val="20"/>
                <w:lang w:val="en-GB"/>
              </w:rPr>
              <w:t>-0.1149*</w:t>
            </w:r>
          </w:p>
        </w:tc>
        <w:tc>
          <w:tcPr>
            <w:tcW w:w="499"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color w:val="000000"/>
                <w:sz w:val="20"/>
                <w:lang w:val="en-GB"/>
              </w:rPr>
            </w:pPr>
            <w:r w:rsidRPr="00743AC4">
              <w:rPr>
                <w:rFonts w:cs="Times New Roman"/>
                <w:noProof/>
                <w:color w:val="000000"/>
                <w:sz w:val="20"/>
                <w:lang w:val="en-GB"/>
              </w:rPr>
              <w:t>-0.1885*</w:t>
            </w:r>
          </w:p>
        </w:tc>
        <w:tc>
          <w:tcPr>
            <w:tcW w:w="499"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color w:val="000000"/>
                <w:sz w:val="20"/>
                <w:lang w:val="en-GB"/>
              </w:rPr>
            </w:pPr>
            <w:r w:rsidRPr="00743AC4">
              <w:rPr>
                <w:rFonts w:cs="Times New Roman"/>
                <w:noProof/>
                <w:color w:val="000000"/>
                <w:sz w:val="20"/>
                <w:lang w:val="en-GB"/>
              </w:rPr>
              <w:t>0.2504*</w:t>
            </w:r>
          </w:p>
        </w:tc>
        <w:tc>
          <w:tcPr>
            <w:tcW w:w="499"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color w:val="000000"/>
                <w:sz w:val="20"/>
                <w:lang w:val="en-GB"/>
              </w:rPr>
            </w:pPr>
            <w:r w:rsidRPr="00743AC4">
              <w:rPr>
                <w:rFonts w:cs="Times New Roman"/>
                <w:noProof/>
                <w:color w:val="000000"/>
                <w:sz w:val="20"/>
                <w:lang w:val="en-GB"/>
              </w:rPr>
              <w:t>-0.1931*</w:t>
            </w:r>
          </w:p>
        </w:tc>
        <w:tc>
          <w:tcPr>
            <w:tcW w:w="555"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color w:val="000000"/>
                <w:sz w:val="20"/>
                <w:lang w:val="en-GB"/>
              </w:rPr>
            </w:pPr>
            <w:r w:rsidRPr="00743AC4">
              <w:rPr>
                <w:rFonts w:cs="Times New Roman"/>
                <w:noProof/>
                <w:color w:val="000000"/>
                <w:sz w:val="20"/>
                <w:lang w:val="en-GB"/>
              </w:rPr>
              <w:t>1.0000</w:t>
            </w:r>
          </w:p>
        </w:tc>
        <w:tc>
          <w:tcPr>
            <w:tcW w:w="470"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color w:val="000000"/>
                <w:sz w:val="20"/>
                <w:lang w:val="en-GB"/>
              </w:rPr>
            </w:pPr>
          </w:p>
        </w:tc>
        <w:tc>
          <w:tcPr>
            <w:tcW w:w="402"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sz w:val="20"/>
                <w:lang w:val="en-GB"/>
              </w:rPr>
            </w:pPr>
          </w:p>
        </w:tc>
      </w:tr>
      <w:tr w:rsidR="009973A2" w:rsidRPr="00743AC4" w:rsidTr="00C96CD3">
        <w:trPr>
          <w:trHeight w:val="269"/>
          <w:jc w:val="center"/>
        </w:trPr>
        <w:tc>
          <w:tcPr>
            <w:tcW w:w="582" w:type="pct"/>
            <w:tcBorders>
              <w:top w:val="nil"/>
              <w:left w:val="nil"/>
              <w:bottom w:val="nil"/>
              <w:right w:val="nil"/>
            </w:tcBorders>
            <w:shd w:val="clear" w:color="auto" w:fill="auto"/>
            <w:noWrap/>
            <w:vAlign w:val="center"/>
            <w:hideMark/>
          </w:tcPr>
          <w:p w:rsidR="009973A2" w:rsidRPr="00743AC4" w:rsidRDefault="009973A2" w:rsidP="00C96CD3">
            <w:pPr>
              <w:ind w:firstLine="0"/>
              <w:jc w:val="left"/>
              <w:rPr>
                <w:rFonts w:cs="Times New Roman"/>
                <w:noProof/>
                <w:color w:val="000000"/>
                <w:sz w:val="20"/>
                <w:lang w:val="en-GB"/>
              </w:rPr>
            </w:pPr>
            <w:r w:rsidRPr="00743AC4">
              <w:rPr>
                <w:rFonts w:cs="Times New Roman"/>
                <w:noProof/>
                <w:color w:val="000000"/>
                <w:sz w:val="20"/>
                <w:lang w:val="en-GB"/>
              </w:rPr>
              <w:t xml:space="preserve"> GOVEF</w:t>
            </w:r>
          </w:p>
        </w:tc>
        <w:tc>
          <w:tcPr>
            <w:tcW w:w="499"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color w:val="000000"/>
                <w:sz w:val="20"/>
                <w:lang w:val="en-GB"/>
              </w:rPr>
            </w:pPr>
            <w:r w:rsidRPr="00743AC4">
              <w:rPr>
                <w:rFonts w:cs="Times New Roman"/>
                <w:noProof/>
                <w:color w:val="000000"/>
                <w:sz w:val="20"/>
                <w:lang w:val="en-GB"/>
              </w:rPr>
              <w:t>-0.1592*</w:t>
            </w:r>
          </w:p>
        </w:tc>
        <w:tc>
          <w:tcPr>
            <w:tcW w:w="499"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color w:val="000000"/>
                <w:sz w:val="20"/>
                <w:lang w:val="en-GB"/>
              </w:rPr>
            </w:pPr>
            <w:r w:rsidRPr="00743AC4">
              <w:rPr>
                <w:rFonts w:cs="Times New Roman"/>
                <w:noProof/>
                <w:color w:val="000000"/>
                <w:sz w:val="20"/>
                <w:lang w:val="en-GB"/>
              </w:rPr>
              <w:t>0.2059*</w:t>
            </w:r>
          </w:p>
        </w:tc>
        <w:tc>
          <w:tcPr>
            <w:tcW w:w="499"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color w:val="000000"/>
                <w:sz w:val="20"/>
                <w:lang w:val="en-GB"/>
              </w:rPr>
            </w:pPr>
            <w:r w:rsidRPr="00743AC4">
              <w:rPr>
                <w:rFonts w:cs="Times New Roman"/>
                <w:noProof/>
                <w:color w:val="000000"/>
                <w:sz w:val="20"/>
                <w:lang w:val="en-GB"/>
              </w:rPr>
              <w:t>0.0473</w:t>
            </w:r>
          </w:p>
        </w:tc>
        <w:tc>
          <w:tcPr>
            <w:tcW w:w="499"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color w:val="000000"/>
                <w:sz w:val="20"/>
                <w:lang w:val="en-GB"/>
              </w:rPr>
            </w:pPr>
            <w:r w:rsidRPr="00743AC4">
              <w:rPr>
                <w:rFonts w:cs="Times New Roman"/>
                <w:noProof/>
                <w:color w:val="000000"/>
                <w:sz w:val="20"/>
                <w:lang w:val="en-GB"/>
              </w:rPr>
              <w:t>-0.1403*</w:t>
            </w:r>
          </w:p>
        </w:tc>
        <w:tc>
          <w:tcPr>
            <w:tcW w:w="499"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color w:val="000000"/>
                <w:sz w:val="20"/>
                <w:lang w:val="en-GB"/>
              </w:rPr>
            </w:pPr>
            <w:r w:rsidRPr="00743AC4">
              <w:rPr>
                <w:rFonts w:cs="Times New Roman"/>
                <w:noProof/>
                <w:color w:val="000000"/>
                <w:sz w:val="20"/>
                <w:lang w:val="en-GB"/>
              </w:rPr>
              <w:t>-0.1777*</w:t>
            </w:r>
          </w:p>
        </w:tc>
        <w:tc>
          <w:tcPr>
            <w:tcW w:w="499"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color w:val="000000"/>
                <w:sz w:val="20"/>
                <w:lang w:val="en-GB"/>
              </w:rPr>
            </w:pPr>
            <w:r w:rsidRPr="00743AC4">
              <w:rPr>
                <w:rFonts w:cs="Times New Roman"/>
                <w:noProof/>
                <w:color w:val="000000"/>
                <w:sz w:val="20"/>
                <w:lang w:val="en-GB"/>
              </w:rPr>
              <w:t>-0.4281*</w:t>
            </w:r>
          </w:p>
        </w:tc>
        <w:tc>
          <w:tcPr>
            <w:tcW w:w="555"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color w:val="000000"/>
                <w:sz w:val="20"/>
                <w:lang w:val="en-GB"/>
              </w:rPr>
            </w:pPr>
            <w:r w:rsidRPr="00743AC4">
              <w:rPr>
                <w:rFonts w:cs="Times New Roman"/>
                <w:noProof/>
                <w:color w:val="000000"/>
                <w:sz w:val="20"/>
                <w:lang w:val="en-GB"/>
              </w:rPr>
              <w:t>0.2553*</w:t>
            </w:r>
          </w:p>
        </w:tc>
        <w:tc>
          <w:tcPr>
            <w:tcW w:w="470"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color w:val="000000"/>
                <w:sz w:val="20"/>
                <w:lang w:val="en-GB"/>
              </w:rPr>
            </w:pPr>
            <w:r w:rsidRPr="00743AC4">
              <w:rPr>
                <w:rFonts w:cs="Times New Roman"/>
                <w:noProof/>
                <w:color w:val="000000"/>
                <w:sz w:val="20"/>
                <w:lang w:val="en-GB"/>
              </w:rPr>
              <w:t>1.0000</w:t>
            </w:r>
          </w:p>
        </w:tc>
        <w:tc>
          <w:tcPr>
            <w:tcW w:w="402" w:type="pct"/>
            <w:tcBorders>
              <w:top w:val="nil"/>
              <w:left w:val="nil"/>
              <w:bottom w:val="nil"/>
              <w:right w:val="nil"/>
            </w:tcBorders>
            <w:shd w:val="clear" w:color="auto" w:fill="auto"/>
            <w:noWrap/>
            <w:vAlign w:val="center"/>
            <w:hideMark/>
          </w:tcPr>
          <w:p w:rsidR="009973A2" w:rsidRPr="00743AC4" w:rsidRDefault="009973A2" w:rsidP="00C96CD3">
            <w:pPr>
              <w:ind w:firstLine="0"/>
              <w:jc w:val="center"/>
              <w:rPr>
                <w:rFonts w:cs="Times New Roman"/>
                <w:noProof/>
                <w:color w:val="000000"/>
                <w:sz w:val="20"/>
                <w:lang w:val="en-GB"/>
              </w:rPr>
            </w:pPr>
          </w:p>
        </w:tc>
      </w:tr>
      <w:tr w:rsidR="009973A2" w:rsidRPr="00743AC4" w:rsidTr="00C96CD3">
        <w:trPr>
          <w:trHeight w:val="269"/>
          <w:jc w:val="center"/>
        </w:trPr>
        <w:tc>
          <w:tcPr>
            <w:tcW w:w="582" w:type="pct"/>
            <w:tcBorders>
              <w:top w:val="nil"/>
              <w:left w:val="nil"/>
              <w:bottom w:val="single" w:sz="12" w:space="0" w:color="000000"/>
              <w:right w:val="nil"/>
            </w:tcBorders>
            <w:shd w:val="clear" w:color="auto" w:fill="auto"/>
            <w:noWrap/>
            <w:vAlign w:val="center"/>
            <w:hideMark/>
          </w:tcPr>
          <w:p w:rsidR="009973A2" w:rsidRPr="00743AC4" w:rsidRDefault="009973A2" w:rsidP="00C96CD3">
            <w:pPr>
              <w:ind w:firstLine="0"/>
              <w:jc w:val="left"/>
              <w:rPr>
                <w:rFonts w:cs="Times New Roman"/>
                <w:noProof/>
                <w:color w:val="000000"/>
                <w:sz w:val="20"/>
                <w:lang w:val="en-GB"/>
              </w:rPr>
            </w:pPr>
            <w:r w:rsidRPr="00743AC4">
              <w:rPr>
                <w:rFonts w:cs="Times New Roman"/>
                <w:noProof/>
                <w:color w:val="000000"/>
                <w:sz w:val="20"/>
                <w:lang w:val="en-GB"/>
              </w:rPr>
              <w:t xml:space="preserve"> CCOR</w:t>
            </w:r>
          </w:p>
        </w:tc>
        <w:tc>
          <w:tcPr>
            <w:tcW w:w="499" w:type="pct"/>
            <w:tcBorders>
              <w:top w:val="nil"/>
              <w:left w:val="nil"/>
              <w:bottom w:val="single" w:sz="12" w:space="0" w:color="000000"/>
              <w:right w:val="nil"/>
            </w:tcBorders>
            <w:shd w:val="clear" w:color="auto" w:fill="auto"/>
            <w:noWrap/>
            <w:vAlign w:val="center"/>
            <w:hideMark/>
          </w:tcPr>
          <w:p w:rsidR="009973A2" w:rsidRPr="00743AC4" w:rsidRDefault="009973A2" w:rsidP="00C96CD3">
            <w:pPr>
              <w:ind w:firstLine="0"/>
              <w:jc w:val="center"/>
              <w:rPr>
                <w:rFonts w:cs="Times New Roman"/>
                <w:noProof/>
                <w:color w:val="000000"/>
                <w:sz w:val="20"/>
                <w:lang w:val="en-GB"/>
              </w:rPr>
            </w:pPr>
            <w:r w:rsidRPr="00743AC4">
              <w:rPr>
                <w:rFonts w:cs="Times New Roman"/>
                <w:noProof/>
                <w:color w:val="000000"/>
                <w:sz w:val="20"/>
                <w:lang w:val="en-GB"/>
              </w:rPr>
              <w:t>0.0188</w:t>
            </w:r>
          </w:p>
        </w:tc>
        <w:tc>
          <w:tcPr>
            <w:tcW w:w="499" w:type="pct"/>
            <w:tcBorders>
              <w:top w:val="nil"/>
              <w:left w:val="nil"/>
              <w:bottom w:val="single" w:sz="12" w:space="0" w:color="000000"/>
              <w:right w:val="nil"/>
            </w:tcBorders>
            <w:shd w:val="clear" w:color="auto" w:fill="auto"/>
            <w:noWrap/>
            <w:vAlign w:val="center"/>
            <w:hideMark/>
          </w:tcPr>
          <w:p w:rsidR="009973A2" w:rsidRPr="00743AC4" w:rsidRDefault="009973A2" w:rsidP="00C96CD3">
            <w:pPr>
              <w:ind w:firstLine="0"/>
              <w:jc w:val="center"/>
              <w:rPr>
                <w:rFonts w:cs="Times New Roman"/>
                <w:noProof/>
                <w:color w:val="000000"/>
                <w:sz w:val="20"/>
                <w:lang w:val="en-GB"/>
              </w:rPr>
            </w:pPr>
            <w:r w:rsidRPr="00743AC4">
              <w:rPr>
                <w:rFonts w:cs="Times New Roman"/>
                <w:noProof/>
                <w:color w:val="000000"/>
                <w:sz w:val="20"/>
                <w:lang w:val="en-GB"/>
              </w:rPr>
              <w:t>0.0615</w:t>
            </w:r>
          </w:p>
        </w:tc>
        <w:tc>
          <w:tcPr>
            <w:tcW w:w="499" w:type="pct"/>
            <w:tcBorders>
              <w:top w:val="nil"/>
              <w:left w:val="nil"/>
              <w:bottom w:val="single" w:sz="12" w:space="0" w:color="000000"/>
              <w:right w:val="nil"/>
            </w:tcBorders>
            <w:shd w:val="clear" w:color="auto" w:fill="auto"/>
            <w:noWrap/>
            <w:vAlign w:val="center"/>
            <w:hideMark/>
          </w:tcPr>
          <w:p w:rsidR="009973A2" w:rsidRPr="00743AC4" w:rsidRDefault="009973A2" w:rsidP="00C96CD3">
            <w:pPr>
              <w:ind w:firstLine="0"/>
              <w:jc w:val="center"/>
              <w:rPr>
                <w:rFonts w:cs="Times New Roman"/>
                <w:noProof/>
                <w:color w:val="000000"/>
                <w:sz w:val="20"/>
                <w:lang w:val="en-GB"/>
              </w:rPr>
            </w:pPr>
            <w:r w:rsidRPr="00743AC4">
              <w:rPr>
                <w:rFonts w:cs="Times New Roman"/>
                <w:noProof/>
                <w:color w:val="000000"/>
                <w:sz w:val="20"/>
                <w:lang w:val="en-GB"/>
              </w:rPr>
              <w:t>-0.2100*</w:t>
            </w:r>
          </w:p>
        </w:tc>
        <w:tc>
          <w:tcPr>
            <w:tcW w:w="499" w:type="pct"/>
            <w:tcBorders>
              <w:top w:val="nil"/>
              <w:left w:val="nil"/>
              <w:bottom w:val="single" w:sz="12" w:space="0" w:color="000000"/>
              <w:right w:val="nil"/>
            </w:tcBorders>
            <w:shd w:val="clear" w:color="auto" w:fill="auto"/>
            <w:noWrap/>
            <w:vAlign w:val="center"/>
            <w:hideMark/>
          </w:tcPr>
          <w:p w:rsidR="009973A2" w:rsidRPr="00743AC4" w:rsidRDefault="009973A2" w:rsidP="00C96CD3">
            <w:pPr>
              <w:ind w:firstLine="0"/>
              <w:jc w:val="center"/>
              <w:rPr>
                <w:rFonts w:cs="Times New Roman"/>
                <w:noProof/>
                <w:color w:val="000000"/>
                <w:sz w:val="20"/>
                <w:lang w:val="en-GB"/>
              </w:rPr>
            </w:pPr>
            <w:r w:rsidRPr="00743AC4">
              <w:rPr>
                <w:rFonts w:cs="Times New Roman"/>
                <w:noProof/>
                <w:color w:val="000000"/>
                <w:sz w:val="20"/>
                <w:lang w:val="en-GB"/>
              </w:rPr>
              <w:t>-0.1994*</w:t>
            </w:r>
          </w:p>
        </w:tc>
        <w:tc>
          <w:tcPr>
            <w:tcW w:w="499" w:type="pct"/>
            <w:tcBorders>
              <w:top w:val="nil"/>
              <w:left w:val="nil"/>
              <w:bottom w:val="single" w:sz="12" w:space="0" w:color="000000"/>
              <w:right w:val="nil"/>
            </w:tcBorders>
            <w:shd w:val="clear" w:color="auto" w:fill="auto"/>
            <w:noWrap/>
            <w:vAlign w:val="center"/>
            <w:hideMark/>
          </w:tcPr>
          <w:p w:rsidR="009973A2" w:rsidRPr="00743AC4" w:rsidRDefault="009973A2" w:rsidP="00C96CD3">
            <w:pPr>
              <w:ind w:firstLine="0"/>
              <w:jc w:val="center"/>
              <w:rPr>
                <w:rFonts w:cs="Times New Roman"/>
                <w:noProof/>
                <w:color w:val="000000"/>
                <w:sz w:val="20"/>
                <w:lang w:val="en-GB"/>
              </w:rPr>
            </w:pPr>
            <w:r w:rsidRPr="00743AC4">
              <w:rPr>
                <w:rFonts w:cs="Times New Roman"/>
                <w:noProof/>
                <w:color w:val="000000"/>
                <w:sz w:val="20"/>
                <w:lang w:val="en-GB"/>
              </w:rPr>
              <w:t>0.0425</w:t>
            </w:r>
          </w:p>
        </w:tc>
        <w:tc>
          <w:tcPr>
            <w:tcW w:w="499" w:type="pct"/>
            <w:tcBorders>
              <w:top w:val="nil"/>
              <w:left w:val="nil"/>
              <w:bottom w:val="single" w:sz="12" w:space="0" w:color="000000"/>
              <w:right w:val="nil"/>
            </w:tcBorders>
            <w:shd w:val="clear" w:color="auto" w:fill="auto"/>
            <w:noWrap/>
            <w:vAlign w:val="center"/>
            <w:hideMark/>
          </w:tcPr>
          <w:p w:rsidR="009973A2" w:rsidRPr="00743AC4" w:rsidRDefault="009973A2" w:rsidP="00C96CD3">
            <w:pPr>
              <w:ind w:firstLine="0"/>
              <w:jc w:val="center"/>
              <w:rPr>
                <w:rFonts w:cs="Times New Roman"/>
                <w:noProof/>
                <w:color w:val="000000"/>
                <w:sz w:val="20"/>
                <w:lang w:val="en-GB"/>
              </w:rPr>
            </w:pPr>
            <w:r w:rsidRPr="00743AC4">
              <w:rPr>
                <w:rFonts w:cs="Times New Roman"/>
                <w:noProof/>
                <w:color w:val="000000"/>
                <w:sz w:val="20"/>
                <w:lang w:val="en-GB"/>
              </w:rPr>
              <w:t>-0.1528*</w:t>
            </w:r>
          </w:p>
        </w:tc>
        <w:tc>
          <w:tcPr>
            <w:tcW w:w="555" w:type="pct"/>
            <w:tcBorders>
              <w:top w:val="nil"/>
              <w:left w:val="nil"/>
              <w:bottom w:val="single" w:sz="12" w:space="0" w:color="000000"/>
              <w:right w:val="nil"/>
            </w:tcBorders>
            <w:shd w:val="clear" w:color="auto" w:fill="auto"/>
            <w:noWrap/>
            <w:vAlign w:val="center"/>
            <w:hideMark/>
          </w:tcPr>
          <w:p w:rsidR="009973A2" w:rsidRPr="00743AC4" w:rsidRDefault="009973A2" w:rsidP="00C96CD3">
            <w:pPr>
              <w:ind w:firstLine="0"/>
              <w:jc w:val="center"/>
              <w:rPr>
                <w:rFonts w:cs="Times New Roman"/>
                <w:noProof/>
                <w:color w:val="000000"/>
                <w:sz w:val="20"/>
                <w:lang w:val="en-GB"/>
              </w:rPr>
            </w:pPr>
            <w:r w:rsidRPr="00743AC4">
              <w:rPr>
                <w:rFonts w:cs="Times New Roman"/>
                <w:noProof/>
                <w:color w:val="000000"/>
                <w:sz w:val="20"/>
                <w:lang w:val="en-GB"/>
              </w:rPr>
              <w:t>0.1885*</w:t>
            </w:r>
          </w:p>
        </w:tc>
        <w:tc>
          <w:tcPr>
            <w:tcW w:w="470" w:type="pct"/>
            <w:tcBorders>
              <w:top w:val="nil"/>
              <w:left w:val="nil"/>
              <w:bottom w:val="single" w:sz="12" w:space="0" w:color="000000"/>
              <w:right w:val="nil"/>
            </w:tcBorders>
            <w:shd w:val="clear" w:color="auto" w:fill="auto"/>
            <w:noWrap/>
            <w:vAlign w:val="center"/>
            <w:hideMark/>
          </w:tcPr>
          <w:p w:rsidR="009973A2" w:rsidRPr="00743AC4" w:rsidRDefault="009973A2" w:rsidP="00C96CD3">
            <w:pPr>
              <w:ind w:firstLine="0"/>
              <w:jc w:val="center"/>
              <w:rPr>
                <w:rFonts w:cs="Times New Roman"/>
                <w:noProof/>
                <w:color w:val="000000"/>
                <w:sz w:val="20"/>
                <w:lang w:val="en-GB"/>
              </w:rPr>
            </w:pPr>
            <w:r w:rsidRPr="00743AC4">
              <w:rPr>
                <w:rFonts w:cs="Times New Roman"/>
                <w:noProof/>
                <w:color w:val="000000"/>
                <w:sz w:val="20"/>
                <w:lang w:val="en-GB"/>
              </w:rPr>
              <w:t>0.7173*</w:t>
            </w:r>
          </w:p>
        </w:tc>
        <w:tc>
          <w:tcPr>
            <w:tcW w:w="402" w:type="pct"/>
            <w:tcBorders>
              <w:top w:val="nil"/>
              <w:left w:val="nil"/>
              <w:bottom w:val="single" w:sz="12" w:space="0" w:color="000000"/>
              <w:right w:val="nil"/>
            </w:tcBorders>
            <w:shd w:val="clear" w:color="auto" w:fill="auto"/>
            <w:noWrap/>
            <w:vAlign w:val="center"/>
            <w:hideMark/>
          </w:tcPr>
          <w:p w:rsidR="009973A2" w:rsidRPr="00743AC4" w:rsidRDefault="009973A2" w:rsidP="00C96CD3">
            <w:pPr>
              <w:ind w:firstLine="0"/>
              <w:jc w:val="center"/>
              <w:rPr>
                <w:rFonts w:cs="Times New Roman"/>
                <w:noProof/>
                <w:color w:val="000000"/>
                <w:sz w:val="20"/>
                <w:lang w:val="en-GB"/>
              </w:rPr>
            </w:pPr>
            <w:r w:rsidRPr="00743AC4">
              <w:rPr>
                <w:rFonts w:cs="Times New Roman"/>
                <w:noProof/>
                <w:color w:val="000000"/>
                <w:sz w:val="20"/>
                <w:lang w:val="en-GB"/>
              </w:rPr>
              <w:t>1.0000</w:t>
            </w:r>
          </w:p>
        </w:tc>
      </w:tr>
    </w:tbl>
    <w:p w:rsidR="009973A2" w:rsidRPr="00743AC4" w:rsidRDefault="009973A2" w:rsidP="009973A2">
      <w:pPr>
        <w:ind w:firstLine="0"/>
        <w:rPr>
          <w:rFonts w:cs="Times New Roman"/>
          <w:noProof/>
          <w:lang w:val="en-GB"/>
        </w:rPr>
      </w:pPr>
    </w:p>
    <w:p w:rsidR="009973A2" w:rsidRPr="00743AC4" w:rsidRDefault="009973A2" w:rsidP="009973A2">
      <w:pPr>
        <w:ind w:firstLine="0"/>
        <w:rPr>
          <w:rFonts w:cs="Times New Roman"/>
          <w:noProof/>
          <w:lang w:val="en-GB"/>
        </w:rPr>
      </w:pPr>
      <w:r w:rsidRPr="00743AC4">
        <w:rPr>
          <w:rFonts w:cs="Times New Roman"/>
          <w:noProof/>
          <w:lang w:val="en-GB"/>
        </w:rPr>
        <w:t>Overall, the results suggest for a weak correlation of variables with FDI. A positive and statistically significant correlation of FDI with trade openness and the availability of natural resources is observed, as expected. On the other hand, the market size correlation coefficients and the government's effectiveness did not follow the expected behavior, since they were statistically significant, but with a negative sign.</w:t>
      </w:r>
    </w:p>
    <w:p w:rsidR="009973A2" w:rsidRPr="00743AC4" w:rsidRDefault="009973A2" w:rsidP="009973A2">
      <w:pPr>
        <w:pStyle w:val="Cabealho1"/>
        <w:numPr>
          <w:ilvl w:val="0"/>
          <w:numId w:val="6"/>
        </w:numPr>
        <w:jc w:val="center"/>
        <w:rPr>
          <w:rFonts w:ascii="Times New Roman" w:hAnsi="Times New Roman" w:cs="Times New Roman"/>
          <w:b/>
          <w:noProof/>
          <w:color w:val="000000" w:themeColor="text1"/>
          <w:lang w:val="en-GB"/>
        </w:rPr>
      </w:pPr>
      <w:bookmarkStart w:id="4" w:name="_Toc31808266"/>
      <w:r w:rsidRPr="00743AC4">
        <w:rPr>
          <w:rFonts w:ascii="Times New Roman" w:hAnsi="Times New Roman" w:cs="Times New Roman"/>
          <w:b/>
          <w:noProof/>
          <w:color w:val="000000" w:themeColor="text1"/>
          <w:lang w:val="en-GB"/>
        </w:rPr>
        <w:t>Estimated Model Results</w:t>
      </w:r>
      <w:bookmarkEnd w:id="4"/>
    </w:p>
    <w:p w:rsidR="009973A2" w:rsidRPr="00743AC4" w:rsidRDefault="009973A2" w:rsidP="009973A2">
      <w:pPr>
        <w:ind w:firstLine="0"/>
        <w:rPr>
          <w:rFonts w:cs="Times New Roman"/>
          <w:noProof/>
          <w:lang w:val="en-GB"/>
        </w:rPr>
      </w:pPr>
      <w:r w:rsidRPr="00743AC4">
        <w:rPr>
          <w:rFonts w:cs="Times New Roman"/>
          <w:noProof/>
          <w:lang w:val="en-GB"/>
        </w:rPr>
        <w:t xml:space="preserve">Hausman's test indicates the adoption of fixed effects models (models 1 and 2), as they provide a better fit than random effects models. The estimation of the dynamic panel (models 3 and 4) was performed, using GMM system in two steps with robust errors, being the best approach to the problem of instrument proliferation, eliminating overidentification. This restriction is due to the fact that the number of instruments should be smaller than the number of countries under study. Model specification tests at the 5% significance level indicated that the estimates have no second order autocorrelation problem [RA (2)], and the Hansen test </w:t>
      </w:r>
      <w:r w:rsidRPr="00743AC4">
        <w:rPr>
          <w:rFonts w:cs="Times New Roman"/>
          <w:noProof/>
          <w:lang w:val="en-GB"/>
        </w:rPr>
        <w:lastRenderedPageBreak/>
        <w:t>confirms the validity of the instruments used. The Hansen difference tests indicate that the instruments are exogenous.</w:t>
      </w:r>
    </w:p>
    <w:p w:rsidR="009973A2" w:rsidRPr="00743AC4" w:rsidRDefault="009973A2" w:rsidP="009973A2">
      <w:pPr>
        <w:ind w:firstLine="0"/>
        <w:rPr>
          <w:rFonts w:cs="Times New Roman"/>
          <w:noProof/>
          <w:lang w:val="en-GB"/>
        </w:rPr>
      </w:pPr>
    </w:p>
    <w:p w:rsidR="009973A2" w:rsidRPr="00743AC4" w:rsidRDefault="009973A2" w:rsidP="009973A2">
      <w:pPr>
        <w:ind w:firstLine="0"/>
        <w:rPr>
          <w:rFonts w:cs="Times New Roman"/>
          <w:noProof/>
          <w:lang w:val="en-GB"/>
        </w:rPr>
      </w:pPr>
      <w:r w:rsidRPr="00743AC4">
        <w:rPr>
          <w:rFonts w:cs="Times New Roman"/>
          <w:noProof/>
          <w:lang w:val="en-GB"/>
        </w:rPr>
        <w:t xml:space="preserve">The results of the dynamic model are more consistent with the literature, possibly taking into account the problem of endogeneity, so the analysis of the results focuses on those obtained by models 3 (excludes institutional variables) and 4 (includes institutional variables). The lagged FDI coefficient was statistically significant and positive, suggesting that FDI has relationships with its past level. </w:t>
      </w:r>
    </w:p>
    <w:p w:rsidR="009973A2" w:rsidRPr="00743AC4" w:rsidRDefault="009973A2" w:rsidP="009973A2">
      <w:pPr>
        <w:pStyle w:val="Legenda"/>
        <w:rPr>
          <w:noProof/>
          <w:lang w:val="en-GB"/>
        </w:rPr>
      </w:pPr>
      <w:bookmarkStart w:id="5" w:name="_Toc32521453"/>
      <w:r w:rsidRPr="00743AC4">
        <w:rPr>
          <w:noProof/>
          <w:lang w:val="en-GB"/>
        </w:rPr>
        <w:t xml:space="preserve">Table </w:t>
      </w:r>
      <w:r w:rsidRPr="00743AC4">
        <w:rPr>
          <w:noProof/>
          <w:lang w:val="en-GB"/>
        </w:rPr>
        <w:fldChar w:fldCharType="begin"/>
      </w:r>
      <w:r w:rsidRPr="00743AC4">
        <w:rPr>
          <w:noProof/>
          <w:lang w:val="en-GB"/>
        </w:rPr>
        <w:instrText xml:space="preserve"> SEQ Tabela \* ARABIC </w:instrText>
      </w:r>
      <w:r w:rsidRPr="00743AC4">
        <w:rPr>
          <w:noProof/>
          <w:lang w:val="en-GB"/>
        </w:rPr>
        <w:fldChar w:fldCharType="separate"/>
      </w:r>
      <w:r w:rsidRPr="00743AC4">
        <w:rPr>
          <w:noProof/>
          <w:lang w:val="en-GB"/>
        </w:rPr>
        <w:t>6</w:t>
      </w:r>
      <w:r w:rsidRPr="00743AC4">
        <w:rPr>
          <w:noProof/>
          <w:lang w:val="en-GB"/>
        </w:rPr>
        <w:fldChar w:fldCharType="end"/>
      </w:r>
      <w:r w:rsidRPr="00743AC4">
        <w:rPr>
          <w:noProof/>
          <w:lang w:val="en-GB"/>
        </w:rPr>
        <w:t>. Econometrics Models</w:t>
      </w:r>
      <w:bookmarkEnd w:id="5"/>
    </w:p>
    <w:tbl>
      <w:tblPr>
        <w:tblW w:w="9883" w:type="dxa"/>
        <w:jc w:val="center"/>
        <w:tblCellMar>
          <w:left w:w="70" w:type="dxa"/>
          <w:right w:w="70" w:type="dxa"/>
        </w:tblCellMar>
        <w:tblLook w:val="04A0" w:firstRow="1" w:lastRow="0" w:firstColumn="1" w:lastColumn="0" w:noHBand="0" w:noVBand="1"/>
      </w:tblPr>
      <w:tblGrid>
        <w:gridCol w:w="1574"/>
        <w:gridCol w:w="1005"/>
        <w:gridCol w:w="935"/>
        <w:gridCol w:w="185"/>
        <w:gridCol w:w="980"/>
        <w:gridCol w:w="933"/>
        <w:gridCol w:w="185"/>
        <w:gridCol w:w="980"/>
        <w:gridCol w:w="958"/>
        <w:gridCol w:w="185"/>
        <w:gridCol w:w="1029"/>
        <w:gridCol w:w="934"/>
      </w:tblGrid>
      <w:tr w:rsidR="009973A2" w:rsidRPr="00743AC4" w:rsidTr="00C96CD3">
        <w:trPr>
          <w:trHeight w:val="316"/>
          <w:jc w:val="center"/>
        </w:trPr>
        <w:tc>
          <w:tcPr>
            <w:tcW w:w="9883" w:type="dxa"/>
            <w:gridSpan w:val="12"/>
            <w:tcBorders>
              <w:top w:val="single" w:sz="12" w:space="0" w:color="000000"/>
            </w:tcBorders>
            <w:shd w:val="clear" w:color="000000" w:fill="FFFFFF"/>
            <w:noWrap/>
            <w:vAlign w:val="center"/>
            <w:hideMark/>
          </w:tcPr>
          <w:p w:rsidR="009973A2" w:rsidRPr="00743AC4" w:rsidRDefault="009973A2" w:rsidP="00C96CD3">
            <w:pPr>
              <w:ind w:firstLine="0"/>
              <w:jc w:val="left"/>
              <w:rPr>
                <w:rFonts w:cs="Times New Roman"/>
                <w:b/>
                <w:bCs/>
                <w:noProof/>
                <w:color w:val="000000"/>
                <w:sz w:val="18"/>
                <w:szCs w:val="18"/>
                <w:lang w:val="en-GB"/>
              </w:rPr>
            </w:pPr>
            <w:r w:rsidRPr="00743AC4">
              <w:rPr>
                <w:rFonts w:cs="Times New Roman"/>
                <w:b/>
                <w:bCs/>
                <w:noProof/>
                <w:color w:val="000000"/>
                <w:sz w:val="18"/>
                <w:szCs w:val="18"/>
                <w:lang w:val="en-GB"/>
              </w:rPr>
              <w:t>Dependent Variable: Foreign Direct Investment</w:t>
            </w:r>
          </w:p>
        </w:tc>
      </w:tr>
      <w:tr w:rsidR="009973A2" w:rsidRPr="00743AC4" w:rsidTr="00C96CD3">
        <w:trPr>
          <w:trHeight w:val="316"/>
          <w:jc w:val="center"/>
        </w:trPr>
        <w:tc>
          <w:tcPr>
            <w:tcW w:w="1574" w:type="dxa"/>
            <w:tcBorders>
              <w:top w:val="single" w:sz="12" w:space="0" w:color="000000"/>
            </w:tcBorders>
            <w:shd w:val="clear" w:color="000000" w:fill="FFFFFF"/>
            <w:noWrap/>
            <w:vAlign w:val="bottom"/>
            <w:hideMark/>
          </w:tcPr>
          <w:p w:rsidR="009973A2" w:rsidRPr="00743AC4" w:rsidRDefault="009973A2" w:rsidP="00C96CD3">
            <w:pPr>
              <w:ind w:firstLine="0"/>
              <w:jc w:val="left"/>
              <w:rPr>
                <w:rFonts w:cs="Times New Roman"/>
                <w:b/>
                <w:bCs/>
                <w:noProof/>
                <w:color w:val="000000"/>
                <w:sz w:val="18"/>
                <w:szCs w:val="18"/>
                <w:lang w:val="en-GB"/>
              </w:rPr>
            </w:pPr>
            <w:r w:rsidRPr="00743AC4">
              <w:rPr>
                <w:rFonts w:cs="Times New Roman"/>
                <w:b/>
                <w:bCs/>
                <w:noProof/>
                <w:color w:val="000000"/>
                <w:sz w:val="18"/>
                <w:szCs w:val="18"/>
                <w:lang w:val="en-GB"/>
              </w:rPr>
              <w:t> </w:t>
            </w:r>
          </w:p>
        </w:tc>
        <w:tc>
          <w:tcPr>
            <w:tcW w:w="3105" w:type="dxa"/>
            <w:gridSpan w:val="4"/>
            <w:tcBorders>
              <w:top w:val="single" w:sz="12" w:space="0" w:color="000000"/>
            </w:tcBorders>
            <w:shd w:val="clear" w:color="000000" w:fill="FFFFFF"/>
            <w:noWrap/>
            <w:vAlign w:val="center"/>
            <w:hideMark/>
          </w:tcPr>
          <w:p w:rsidR="009973A2" w:rsidRPr="00743AC4" w:rsidRDefault="009973A2" w:rsidP="00C96CD3">
            <w:pPr>
              <w:ind w:firstLine="0"/>
              <w:jc w:val="center"/>
              <w:rPr>
                <w:rFonts w:cs="Times New Roman"/>
                <w:b/>
                <w:bCs/>
                <w:noProof/>
                <w:color w:val="000000"/>
                <w:sz w:val="18"/>
                <w:szCs w:val="18"/>
                <w:lang w:val="en-GB"/>
              </w:rPr>
            </w:pPr>
            <w:r w:rsidRPr="00743AC4">
              <w:rPr>
                <w:rFonts w:cs="Times New Roman"/>
                <w:b/>
                <w:bCs/>
                <w:noProof/>
                <w:color w:val="000000"/>
                <w:sz w:val="18"/>
                <w:szCs w:val="18"/>
                <w:lang w:val="en-GB"/>
              </w:rPr>
              <w:t xml:space="preserve">Fixed Effects </w:t>
            </w:r>
          </w:p>
        </w:tc>
        <w:tc>
          <w:tcPr>
            <w:tcW w:w="933" w:type="dxa"/>
            <w:tcBorders>
              <w:top w:val="single" w:sz="12" w:space="0" w:color="000000"/>
            </w:tcBorders>
            <w:shd w:val="clear" w:color="000000" w:fill="FFFFFF"/>
            <w:noWrap/>
            <w:vAlign w:val="bottom"/>
            <w:hideMark/>
          </w:tcPr>
          <w:p w:rsidR="009973A2" w:rsidRPr="00743AC4" w:rsidRDefault="009973A2" w:rsidP="00C96CD3">
            <w:pPr>
              <w:ind w:firstLine="0"/>
              <w:jc w:val="left"/>
              <w:rPr>
                <w:rFonts w:cs="Times New Roman"/>
                <w:b/>
                <w:bCs/>
                <w:noProof/>
                <w:color w:val="000000"/>
                <w:sz w:val="18"/>
                <w:szCs w:val="18"/>
                <w:lang w:val="en-GB"/>
              </w:rPr>
            </w:pPr>
            <w:r w:rsidRPr="00743AC4">
              <w:rPr>
                <w:rFonts w:cs="Times New Roman"/>
                <w:b/>
                <w:bCs/>
                <w:noProof/>
                <w:color w:val="000000"/>
                <w:sz w:val="18"/>
                <w:szCs w:val="18"/>
                <w:lang w:val="en-GB"/>
              </w:rPr>
              <w:t> </w:t>
            </w:r>
          </w:p>
        </w:tc>
        <w:tc>
          <w:tcPr>
            <w:tcW w:w="185" w:type="dxa"/>
            <w:tcBorders>
              <w:top w:val="single" w:sz="12" w:space="0" w:color="000000"/>
            </w:tcBorders>
            <w:shd w:val="clear" w:color="000000" w:fill="FFFFFF"/>
            <w:noWrap/>
            <w:vAlign w:val="bottom"/>
            <w:hideMark/>
          </w:tcPr>
          <w:p w:rsidR="009973A2" w:rsidRPr="00743AC4" w:rsidRDefault="009973A2" w:rsidP="00C96CD3">
            <w:pPr>
              <w:ind w:firstLine="0"/>
              <w:jc w:val="left"/>
              <w:rPr>
                <w:rFonts w:cs="Times New Roman"/>
                <w:b/>
                <w:bCs/>
                <w:noProof/>
                <w:color w:val="000000"/>
                <w:sz w:val="18"/>
                <w:szCs w:val="18"/>
                <w:lang w:val="en-GB"/>
              </w:rPr>
            </w:pPr>
            <w:r w:rsidRPr="00743AC4">
              <w:rPr>
                <w:rFonts w:cs="Times New Roman"/>
                <w:b/>
                <w:bCs/>
                <w:noProof/>
                <w:color w:val="000000"/>
                <w:sz w:val="18"/>
                <w:szCs w:val="18"/>
                <w:lang w:val="en-GB"/>
              </w:rPr>
              <w:t> </w:t>
            </w:r>
          </w:p>
        </w:tc>
        <w:tc>
          <w:tcPr>
            <w:tcW w:w="4086" w:type="dxa"/>
            <w:gridSpan w:val="5"/>
            <w:tcBorders>
              <w:top w:val="single" w:sz="12" w:space="0" w:color="000000"/>
              <w:bottom w:val="single" w:sz="8" w:space="0" w:color="000000"/>
            </w:tcBorders>
            <w:shd w:val="clear" w:color="000000" w:fill="FFFFFF"/>
            <w:noWrap/>
            <w:vAlign w:val="center"/>
            <w:hideMark/>
          </w:tcPr>
          <w:p w:rsidR="009973A2" w:rsidRPr="00743AC4" w:rsidRDefault="009973A2" w:rsidP="00C96CD3">
            <w:pPr>
              <w:ind w:firstLine="0"/>
              <w:jc w:val="center"/>
              <w:rPr>
                <w:rFonts w:cs="Times New Roman"/>
                <w:b/>
                <w:bCs/>
                <w:noProof/>
                <w:color w:val="000000"/>
                <w:sz w:val="18"/>
                <w:szCs w:val="18"/>
                <w:lang w:val="en-GB"/>
              </w:rPr>
            </w:pPr>
            <w:r w:rsidRPr="00743AC4">
              <w:rPr>
                <w:rFonts w:cs="Times New Roman"/>
                <w:b/>
                <w:bCs/>
                <w:noProof/>
                <w:color w:val="000000"/>
                <w:sz w:val="18"/>
                <w:szCs w:val="18"/>
                <w:lang w:val="en-GB"/>
              </w:rPr>
              <w:t>System GMM</w:t>
            </w:r>
          </w:p>
        </w:tc>
      </w:tr>
      <w:tr w:rsidR="009973A2" w:rsidRPr="00743AC4" w:rsidTr="00C96CD3">
        <w:trPr>
          <w:trHeight w:val="316"/>
          <w:jc w:val="center"/>
        </w:trPr>
        <w:tc>
          <w:tcPr>
            <w:tcW w:w="1574" w:type="dxa"/>
            <w:shd w:val="clear" w:color="000000" w:fill="FFFFFF"/>
            <w:noWrap/>
            <w:vAlign w:val="bottom"/>
            <w:hideMark/>
          </w:tcPr>
          <w:p w:rsidR="009973A2" w:rsidRPr="00743AC4" w:rsidRDefault="009973A2" w:rsidP="00C96CD3">
            <w:pPr>
              <w:ind w:firstLine="0"/>
              <w:jc w:val="left"/>
              <w:rPr>
                <w:rFonts w:cs="Times New Roman"/>
                <w:b/>
                <w:bCs/>
                <w:noProof/>
                <w:color w:val="000000"/>
                <w:sz w:val="18"/>
                <w:szCs w:val="18"/>
                <w:lang w:val="en-GB"/>
              </w:rPr>
            </w:pPr>
            <w:r w:rsidRPr="00743AC4">
              <w:rPr>
                <w:rFonts w:cs="Times New Roman"/>
                <w:b/>
                <w:bCs/>
                <w:noProof/>
                <w:color w:val="000000"/>
                <w:sz w:val="18"/>
                <w:szCs w:val="18"/>
                <w:lang w:val="en-GB"/>
              </w:rPr>
              <w:t> </w:t>
            </w:r>
          </w:p>
        </w:tc>
        <w:tc>
          <w:tcPr>
            <w:tcW w:w="1940" w:type="dxa"/>
            <w:gridSpan w:val="2"/>
            <w:tcBorders>
              <w:top w:val="single" w:sz="8" w:space="0" w:color="000000"/>
              <w:bottom w:val="single" w:sz="8" w:space="0" w:color="000000"/>
            </w:tcBorders>
            <w:shd w:val="clear" w:color="000000" w:fill="FFFFFF"/>
            <w:noWrap/>
            <w:vAlign w:val="center"/>
            <w:hideMark/>
          </w:tcPr>
          <w:p w:rsidR="009973A2" w:rsidRPr="00743AC4" w:rsidRDefault="009973A2" w:rsidP="00C96CD3">
            <w:pPr>
              <w:ind w:firstLine="0"/>
              <w:jc w:val="center"/>
              <w:rPr>
                <w:rFonts w:cs="Times New Roman"/>
                <w:b/>
                <w:bCs/>
                <w:noProof/>
                <w:color w:val="000000"/>
                <w:sz w:val="18"/>
                <w:szCs w:val="18"/>
                <w:lang w:val="en-GB"/>
              </w:rPr>
            </w:pPr>
            <w:r w:rsidRPr="00743AC4">
              <w:rPr>
                <w:rFonts w:cs="Times New Roman"/>
                <w:b/>
                <w:bCs/>
                <w:noProof/>
                <w:color w:val="000000"/>
                <w:sz w:val="18"/>
                <w:szCs w:val="18"/>
                <w:lang w:val="en-GB"/>
              </w:rPr>
              <w:t>Modelo 1</w:t>
            </w:r>
          </w:p>
        </w:tc>
        <w:tc>
          <w:tcPr>
            <w:tcW w:w="185" w:type="dxa"/>
            <w:shd w:val="clear" w:color="000000" w:fill="FFFFFF"/>
            <w:noWrap/>
            <w:vAlign w:val="bottom"/>
            <w:hideMark/>
          </w:tcPr>
          <w:p w:rsidR="009973A2" w:rsidRPr="00743AC4" w:rsidRDefault="009973A2" w:rsidP="00C96CD3">
            <w:pPr>
              <w:ind w:firstLine="0"/>
              <w:jc w:val="left"/>
              <w:rPr>
                <w:rFonts w:cs="Times New Roman"/>
                <w:b/>
                <w:bCs/>
                <w:noProof/>
                <w:color w:val="000000"/>
                <w:sz w:val="18"/>
                <w:szCs w:val="18"/>
                <w:lang w:val="en-GB"/>
              </w:rPr>
            </w:pPr>
            <w:r w:rsidRPr="00743AC4">
              <w:rPr>
                <w:rFonts w:cs="Times New Roman"/>
                <w:b/>
                <w:bCs/>
                <w:noProof/>
                <w:color w:val="000000"/>
                <w:sz w:val="18"/>
                <w:szCs w:val="18"/>
                <w:lang w:val="en-GB"/>
              </w:rPr>
              <w:t> </w:t>
            </w:r>
          </w:p>
        </w:tc>
        <w:tc>
          <w:tcPr>
            <w:tcW w:w="1913" w:type="dxa"/>
            <w:gridSpan w:val="2"/>
            <w:shd w:val="clear" w:color="000000" w:fill="FFFFFF"/>
            <w:noWrap/>
            <w:vAlign w:val="center"/>
            <w:hideMark/>
          </w:tcPr>
          <w:p w:rsidR="009973A2" w:rsidRPr="00743AC4" w:rsidRDefault="009973A2" w:rsidP="00C96CD3">
            <w:pPr>
              <w:ind w:firstLine="0"/>
              <w:jc w:val="center"/>
              <w:rPr>
                <w:rFonts w:cs="Times New Roman"/>
                <w:b/>
                <w:bCs/>
                <w:noProof/>
                <w:color w:val="000000"/>
                <w:sz w:val="18"/>
                <w:szCs w:val="18"/>
                <w:lang w:val="en-GB"/>
              </w:rPr>
            </w:pPr>
            <w:r w:rsidRPr="00743AC4">
              <w:rPr>
                <w:rFonts w:cs="Times New Roman"/>
                <w:b/>
                <w:bCs/>
                <w:noProof/>
                <w:color w:val="000000"/>
                <w:sz w:val="18"/>
                <w:szCs w:val="18"/>
                <w:lang w:val="en-GB"/>
              </w:rPr>
              <w:t>Modelo 2</w:t>
            </w:r>
          </w:p>
        </w:tc>
        <w:tc>
          <w:tcPr>
            <w:tcW w:w="185" w:type="dxa"/>
            <w:shd w:val="clear" w:color="000000" w:fill="FFFFFF"/>
            <w:noWrap/>
            <w:vAlign w:val="bottom"/>
            <w:hideMark/>
          </w:tcPr>
          <w:p w:rsidR="009973A2" w:rsidRPr="00743AC4" w:rsidRDefault="009973A2" w:rsidP="00C96CD3">
            <w:pPr>
              <w:ind w:firstLine="0"/>
              <w:jc w:val="left"/>
              <w:rPr>
                <w:rFonts w:cs="Times New Roman"/>
                <w:b/>
                <w:bCs/>
                <w:noProof/>
                <w:color w:val="000000"/>
                <w:sz w:val="18"/>
                <w:szCs w:val="18"/>
                <w:lang w:val="en-GB"/>
              </w:rPr>
            </w:pPr>
            <w:r w:rsidRPr="00743AC4">
              <w:rPr>
                <w:rFonts w:cs="Times New Roman"/>
                <w:b/>
                <w:bCs/>
                <w:noProof/>
                <w:color w:val="000000"/>
                <w:sz w:val="18"/>
                <w:szCs w:val="18"/>
                <w:lang w:val="en-GB"/>
              </w:rPr>
              <w:t> </w:t>
            </w:r>
          </w:p>
        </w:tc>
        <w:tc>
          <w:tcPr>
            <w:tcW w:w="1938" w:type="dxa"/>
            <w:gridSpan w:val="2"/>
            <w:tcBorders>
              <w:top w:val="single" w:sz="8" w:space="0" w:color="000000"/>
              <w:bottom w:val="single" w:sz="8" w:space="0" w:color="000000"/>
            </w:tcBorders>
            <w:shd w:val="clear" w:color="000000" w:fill="FFFFFF"/>
            <w:noWrap/>
            <w:vAlign w:val="bottom"/>
            <w:hideMark/>
          </w:tcPr>
          <w:p w:rsidR="009973A2" w:rsidRPr="00743AC4" w:rsidRDefault="009973A2" w:rsidP="00C96CD3">
            <w:pPr>
              <w:ind w:firstLine="0"/>
              <w:jc w:val="center"/>
              <w:rPr>
                <w:rFonts w:cs="Times New Roman"/>
                <w:b/>
                <w:bCs/>
                <w:noProof/>
                <w:color w:val="000000"/>
                <w:sz w:val="18"/>
                <w:szCs w:val="18"/>
                <w:lang w:val="en-GB"/>
              </w:rPr>
            </w:pPr>
            <w:r w:rsidRPr="00743AC4">
              <w:rPr>
                <w:rFonts w:cs="Times New Roman"/>
                <w:b/>
                <w:bCs/>
                <w:noProof/>
                <w:color w:val="000000"/>
                <w:sz w:val="18"/>
                <w:szCs w:val="18"/>
                <w:lang w:val="en-GB"/>
              </w:rPr>
              <w:t>Modelo 3</w:t>
            </w:r>
          </w:p>
        </w:tc>
        <w:tc>
          <w:tcPr>
            <w:tcW w:w="185" w:type="dxa"/>
            <w:tcBorders>
              <w:top w:val="single" w:sz="8" w:space="0" w:color="000000"/>
            </w:tcBorders>
            <w:shd w:val="clear" w:color="000000" w:fill="FFFFFF"/>
            <w:noWrap/>
            <w:vAlign w:val="bottom"/>
            <w:hideMark/>
          </w:tcPr>
          <w:p w:rsidR="009973A2" w:rsidRPr="00743AC4" w:rsidRDefault="009973A2" w:rsidP="00C96CD3">
            <w:pPr>
              <w:ind w:firstLine="0"/>
              <w:jc w:val="left"/>
              <w:rPr>
                <w:rFonts w:cs="Times New Roman"/>
                <w:b/>
                <w:bCs/>
                <w:noProof/>
                <w:color w:val="000000"/>
                <w:sz w:val="18"/>
                <w:szCs w:val="18"/>
                <w:lang w:val="en-GB"/>
              </w:rPr>
            </w:pPr>
            <w:r w:rsidRPr="00743AC4">
              <w:rPr>
                <w:rFonts w:cs="Times New Roman"/>
                <w:b/>
                <w:bCs/>
                <w:noProof/>
                <w:color w:val="000000"/>
                <w:sz w:val="18"/>
                <w:szCs w:val="18"/>
                <w:lang w:val="en-GB"/>
              </w:rPr>
              <w:t> </w:t>
            </w:r>
          </w:p>
        </w:tc>
        <w:tc>
          <w:tcPr>
            <w:tcW w:w="1963" w:type="dxa"/>
            <w:gridSpan w:val="2"/>
            <w:tcBorders>
              <w:top w:val="single" w:sz="8" w:space="0" w:color="000000"/>
            </w:tcBorders>
            <w:shd w:val="clear" w:color="000000" w:fill="FFFFFF"/>
            <w:noWrap/>
            <w:vAlign w:val="center"/>
            <w:hideMark/>
          </w:tcPr>
          <w:p w:rsidR="009973A2" w:rsidRPr="00743AC4" w:rsidRDefault="009973A2" w:rsidP="00C96CD3">
            <w:pPr>
              <w:ind w:firstLine="0"/>
              <w:jc w:val="center"/>
              <w:rPr>
                <w:rFonts w:cs="Times New Roman"/>
                <w:b/>
                <w:bCs/>
                <w:noProof/>
                <w:color w:val="000000"/>
                <w:sz w:val="18"/>
                <w:szCs w:val="18"/>
                <w:lang w:val="en-GB"/>
              </w:rPr>
            </w:pPr>
            <w:r w:rsidRPr="00743AC4">
              <w:rPr>
                <w:rFonts w:cs="Times New Roman"/>
                <w:b/>
                <w:bCs/>
                <w:noProof/>
                <w:color w:val="000000"/>
                <w:sz w:val="18"/>
                <w:szCs w:val="18"/>
                <w:lang w:val="en-GB"/>
              </w:rPr>
              <w:t>Modelo 4</w:t>
            </w:r>
          </w:p>
        </w:tc>
      </w:tr>
      <w:tr w:rsidR="009973A2" w:rsidRPr="00743AC4" w:rsidTr="00C96CD3">
        <w:trPr>
          <w:trHeight w:val="316"/>
          <w:jc w:val="center"/>
        </w:trPr>
        <w:tc>
          <w:tcPr>
            <w:tcW w:w="1574" w:type="dxa"/>
            <w:tcBorders>
              <w:bottom w:val="single" w:sz="12" w:space="0" w:color="000000"/>
            </w:tcBorders>
            <w:shd w:val="clear" w:color="000000" w:fill="FFFFFF"/>
            <w:noWrap/>
            <w:vAlign w:val="bottom"/>
            <w:hideMark/>
          </w:tcPr>
          <w:p w:rsidR="009973A2" w:rsidRPr="00743AC4" w:rsidRDefault="009973A2" w:rsidP="00C96CD3">
            <w:pPr>
              <w:ind w:firstLine="0"/>
              <w:jc w:val="left"/>
              <w:rPr>
                <w:rFonts w:cs="Times New Roman"/>
                <w:b/>
                <w:bCs/>
                <w:noProof/>
                <w:color w:val="000000"/>
                <w:sz w:val="18"/>
                <w:szCs w:val="18"/>
                <w:lang w:val="en-GB"/>
              </w:rPr>
            </w:pPr>
            <w:r w:rsidRPr="00743AC4">
              <w:rPr>
                <w:rFonts w:cs="Times New Roman"/>
                <w:b/>
                <w:bCs/>
                <w:noProof/>
                <w:color w:val="000000"/>
                <w:sz w:val="18"/>
                <w:szCs w:val="18"/>
                <w:lang w:val="en-GB"/>
              </w:rPr>
              <w:t> </w:t>
            </w:r>
          </w:p>
        </w:tc>
        <w:tc>
          <w:tcPr>
            <w:tcW w:w="1005" w:type="dxa"/>
            <w:tcBorders>
              <w:top w:val="single" w:sz="8" w:space="0" w:color="000000"/>
              <w:bottom w:val="single" w:sz="12" w:space="0" w:color="000000"/>
            </w:tcBorders>
            <w:shd w:val="clear" w:color="000000" w:fill="FFFFFF"/>
            <w:noWrap/>
            <w:vAlign w:val="center"/>
            <w:hideMark/>
          </w:tcPr>
          <w:p w:rsidR="009973A2" w:rsidRPr="00743AC4" w:rsidRDefault="009973A2" w:rsidP="00C96CD3">
            <w:pPr>
              <w:ind w:firstLine="0"/>
              <w:jc w:val="center"/>
              <w:rPr>
                <w:rFonts w:cs="Times New Roman"/>
                <w:b/>
                <w:bCs/>
                <w:noProof/>
                <w:color w:val="000000"/>
                <w:sz w:val="18"/>
                <w:szCs w:val="18"/>
                <w:lang w:val="en-GB"/>
              </w:rPr>
            </w:pPr>
            <w:r w:rsidRPr="00743AC4">
              <w:rPr>
                <w:rFonts w:cs="Times New Roman"/>
                <w:b/>
                <w:bCs/>
                <w:noProof/>
                <w:color w:val="000000"/>
                <w:sz w:val="18"/>
                <w:szCs w:val="18"/>
                <w:lang w:val="en-GB"/>
              </w:rPr>
              <w:t>Coefficient</w:t>
            </w:r>
          </w:p>
        </w:tc>
        <w:tc>
          <w:tcPr>
            <w:tcW w:w="935" w:type="dxa"/>
            <w:tcBorders>
              <w:top w:val="single" w:sz="8" w:space="0" w:color="000000"/>
              <w:bottom w:val="single" w:sz="12" w:space="0" w:color="000000"/>
            </w:tcBorders>
            <w:shd w:val="clear" w:color="000000" w:fill="FFFFFF"/>
            <w:noWrap/>
            <w:vAlign w:val="center"/>
            <w:hideMark/>
          </w:tcPr>
          <w:p w:rsidR="009973A2" w:rsidRPr="00743AC4" w:rsidRDefault="009973A2" w:rsidP="00C96CD3">
            <w:pPr>
              <w:ind w:firstLine="0"/>
              <w:jc w:val="center"/>
              <w:rPr>
                <w:rFonts w:cs="Times New Roman"/>
                <w:b/>
                <w:bCs/>
                <w:noProof/>
                <w:color w:val="000000"/>
                <w:sz w:val="18"/>
                <w:szCs w:val="18"/>
                <w:lang w:val="en-GB"/>
              </w:rPr>
            </w:pPr>
            <w:r w:rsidRPr="00743AC4">
              <w:rPr>
                <w:rFonts w:cs="Times New Roman"/>
                <w:b/>
                <w:bCs/>
                <w:noProof/>
                <w:color w:val="000000"/>
                <w:sz w:val="18"/>
                <w:szCs w:val="18"/>
                <w:lang w:val="en-GB"/>
              </w:rPr>
              <w:t>t</w:t>
            </w:r>
          </w:p>
        </w:tc>
        <w:tc>
          <w:tcPr>
            <w:tcW w:w="185" w:type="dxa"/>
            <w:tcBorders>
              <w:bottom w:val="single" w:sz="12" w:space="0" w:color="000000"/>
            </w:tcBorders>
            <w:shd w:val="clear" w:color="000000" w:fill="FFFFFF"/>
            <w:noWrap/>
            <w:vAlign w:val="center"/>
            <w:hideMark/>
          </w:tcPr>
          <w:p w:rsidR="009973A2" w:rsidRPr="00743AC4" w:rsidRDefault="009973A2" w:rsidP="00C96CD3">
            <w:pPr>
              <w:ind w:firstLine="0"/>
              <w:jc w:val="center"/>
              <w:rPr>
                <w:rFonts w:cs="Times New Roman"/>
                <w:b/>
                <w:bCs/>
                <w:noProof/>
                <w:color w:val="000000"/>
                <w:sz w:val="18"/>
                <w:szCs w:val="18"/>
                <w:lang w:val="en-GB"/>
              </w:rPr>
            </w:pPr>
            <w:r w:rsidRPr="00743AC4">
              <w:rPr>
                <w:rFonts w:cs="Times New Roman"/>
                <w:b/>
                <w:bCs/>
                <w:noProof/>
                <w:color w:val="000000"/>
                <w:sz w:val="18"/>
                <w:szCs w:val="18"/>
                <w:lang w:val="en-GB"/>
              </w:rPr>
              <w:t> </w:t>
            </w:r>
          </w:p>
        </w:tc>
        <w:tc>
          <w:tcPr>
            <w:tcW w:w="980" w:type="dxa"/>
            <w:tcBorders>
              <w:top w:val="single" w:sz="8" w:space="0" w:color="000000"/>
              <w:bottom w:val="single" w:sz="12" w:space="0" w:color="000000"/>
            </w:tcBorders>
            <w:shd w:val="clear" w:color="000000" w:fill="FFFFFF"/>
            <w:noWrap/>
            <w:vAlign w:val="center"/>
            <w:hideMark/>
          </w:tcPr>
          <w:p w:rsidR="009973A2" w:rsidRPr="00743AC4" w:rsidRDefault="009973A2" w:rsidP="00C96CD3">
            <w:pPr>
              <w:ind w:firstLine="0"/>
              <w:jc w:val="center"/>
              <w:rPr>
                <w:rFonts w:cs="Times New Roman"/>
                <w:b/>
                <w:bCs/>
                <w:noProof/>
                <w:color w:val="000000"/>
                <w:sz w:val="18"/>
                <w:szCs w:val="18"/>
                <w:lang w:val="en-GB"/>
              </w:rPr>
            </w:pPr>
            <w:r w:rsidRPr="00743AC4">
              <w:rPr>
                <w:rFonts w:cs="Times New Roman"/>
                <w:b/>
                <w:bCs/>
                <w:noProof/>
                <w:color w:val="000000"/>
                <w:sz w:val="18"/>
                <w:szCs w:val="18"/>
                <w:lang w:val="en-GB"/>
              </w:rPr>
              <w:t>Coefficient</w:t>
            </w:r>
          </w:p>
        </w:tc>
        <w:tc>
          <w:tcPr>
            <w:tcW w:w="933" w:type="dxa"/>
            <w:tcBorders>
              <w:top w:val="single" w:sz="8" w:space="0" w:color="000000"/>
              <w:bottom w:val="single" w:sz="12" w:space="0" w:color="000000"/>
            </w:tcBorders>
            <w:shd w:val="clear" w:color="000000" w:fill="FFFFFF"/>
            <w:noWrap/>
            <w:vAlign w:val="center"/>
            <w:hideMark/>
          </w:tcPr>
          <w:p w:rsidR="009973A2" w:rsidRPr="00743AC4" w:rsidRDefault="009973A2" w:rsidP="00C96CD3">
            <w:pPr>
              <w:ind w:firstLine="0"/>
              <w:jc w:val="center"/>
              <w:rPr>
                <w:rFonts w:cs="Times New Roman"/>
                <w:b/>
                <w:bCs/>
                <w:noProof/>
                <w:color w:val="000000"/>
                <w:sz w:val="18"/>
                <w:szCs w:val="18"/>
                <w:lang w:val="en-GB"/>
              </w:rPr>
            </w:pPr>
            <w:r w:rsidRPr="00743AC4">
              <w:rPr>
                <w:rFonts w:cs="Times New Roman"/>
                <w:b/>
                <w:bCs/>
                <w:noProof/>
                <w:color w:val="000000"/>
                <w:sz w:val="18"/>
                <w:szCs w:val="18"/>
                <w:lang w:val="en-GB"/>
              </w:rPr>
              <w:t>t</w:t>
            </w:r>
          </w:p>
        </w:tc>
        <w:tc>
          <w:tcPr>
            <w:tcW w:w="185" w:type="dxa"/>
            <w:tcBorders>
              <w:bottom w:val="single" w:sz="12" w:space="0" w:color="000000"/>
            </w:tcBorders>
            <w:shd w:val="clear" w:color="000000" w:fill="FFFFFF"/>
            <w:noWrap/>
            <w:vAlign w:val="center"/>
            <w:hideMark/>
          </w:tcPr>
          <w:p w:rsidR="009973A2" w:rsidRPr="00743AC4" w:rsidRDefault="009973A2" w:rsidP="00C96CD3">
            <w:pPr>
              <w:ind w:firstLine="0"/>
              <w:jc w:val="center"/>
              <w:rPr>
                <w:rFonts w:cs="Times New Roman"/>
                <w:b/>
                <w:bCs/>
                <w:noProof/>
                <w:color w:val="000000"/>
                <w:sz w:val="18"/>
                <w:szCs w:val="18"/>
                <w:lang w:val="en-GB"/>
              </w:rPr>
            </w:pPr>
            <w:r w:rsidRPr="00743AC4">
              <w:rPr>
                <w:rFonts w:cs="Times New Roman"/>
                <w:b/>
                <w:bCs/>
                <w:noProof/>
                <w:color w:val="000000"/>
                <w:sz w:val="18"/>
                <w:szCs w:val="18"/>
                <w:lang w:val="en-GB"/>
              </w:rPr>
              <w:t> </w:t>
            </w:r>
          </w:p>
        </w:tc>
        <w:tc>
          <w:tcPr>
            <w:tcW w:w="980" w:type="dxa"/>
            <w:tcBorders>
              <w:top w:val="single" w:sz="8" w:space="0" w:color="000000"/>
              <w:bottom w:val="single" w:sz="12" w:space="0" w:color="000000"/>
            </w:tcBorders>
            <w:shd w:val="clear" w:color="000000" w:fill="FFFFFF"/>
            <w:noWrap/>
            <w:vAlign w:val="center"/>
            <w:hideMark/>
          </w:tcPr>
          <w:p w:rsidR="009973A2" w:rsidRPr="00743AC4" w:rsidRDefault="009973A2" w:rsidP="00C96CD3">
            <w:pPr>
              <w:ind w:firstLine="0"/>
              <w:jc w:val="center"/>
              <w:rPr>
                <w:rFonts w:cs="Times New Roman"/>
                <w:b/>
                <w:bCs/>
                <w:noProof/>
                <w:color w:val="000000"/>
                <w:sz w:val="18"/>
                <w:szCs w:val="18"/>
                <w:lang w:val="en-GB"/>
              </w:rPr>
            </w:pPr>
            <w:r w:rsidRPr="00743AC4">
              <w:rPr>
                <w:rFonts w:cs="Times New Roman"/>
                <w:b/>
                <w:bCs/>
                <w:noProof/>
                <w:color w:val="000000"/>
                <w:sz w:val="18"/>
                <w:szCs w:val="18"/>
                <w:lang w:val="en-GB"/>
              </w:rPr>
              <w:t>Coefficient</w:t>
            </w:r>
          </w:p>
        </w:tc>
        <w:tc>
          <w:tcPr>
            <w:tcW w:w="958" w:type="dxa"/>
            <w:tcBorders>
              <w:top w:val="single" w:sz="8" w:space="0" w:color="000000"/>
              <w:bottom w:val="single" w:sz="12" w:space="0" w:color="000000"/>
            </w:tcBorders>
            <w:shd w:val="clear" w:color="000000" w:fill="FFFFFF"/>
            <w:noWrap/>
            <w:vAlign w:val="center"/>
            <w:hideMark/>
          </w:tcPr>
          <w:p w:rsidR="009973A2" w:rsidRPr="00743AC4" w:rsidRDefault="009973A2" w:rsidP="00C96CD3">
            <w:pPr>
              <w:ind w:firstLine="0"/>
              <w:jc w:val="center"/>
              <w:rPr>
                <w:rFonts w:cs="Times New Roman"/>
                <w:b/>
                <w:bCs/>
                <w:noProof/>
                <w:color w:val="000000"/>
                <w:sz w:val="18"/>
                <w:szCs w:val="18"/>
                <w:lang w:val="en-GB"/>
              </w:rPr>
            </w:pPr>
            <w:r w:rsidRPr="00743AC4">
              <w:rPr>
                <w:rFonts w:cs="Times New Roman"/>
                <w:b/>
                <w:bCs/>
                <w:noProof/>
                <w:color w:val="000000"/>
                <w:sz w:val="18"/>
                <w:szCs w:val="18"/>
                <w:lang w:val="en-GB"/>
              </w:rPr>
              <w:t>z</w:t>
            </w:r>
          </w:p>
        </w:tc>
        <w:tc>
          <w:tcPr>
            <w:tcW w:w="185" w:type="dxa"/>
            <w:tcBorders>
              <w:top w:val="single" w:sz="8" w:space="0" w:color="000000"/>
              <w:bottom w:val="single" w:sz="12" w:space="0" w:color="000000"/>
            </w:tcBorders>
            <w:shd w:val="clear" w:color="000000" w:fill="FFFFFF"/>
            <w:noWrap/>
            <w:vAlign w:val="center"/>
            <w:hideMark/>
          </w:tcPr>
          <w:p w:rsidR="009973A2" w:rsidRPr="00743AC4" w:rsidRDefault="009973A2" w:rsidP="00C96CD3">
            <w:pPr>
              <w:ind w:firstLine="0"/>
              <w:jc w:val="center"/>
              <w:rPr>
                <w:rFonts w:cs="Times New Roman"/>
                <w:b/>
                <w:bCs/>
                <w:noProof/>
                <w:color w:val="000000"/>
                <w:sz w:val="18"/>
                <w:szCs w:val="18"/>
                <w:lang w:val="en-GB"/>
              </w:rPr>
            </w:pPr>
            <w:r w:rsidRPr="00743AC4">
              <w:rPr>
                <w:rFonts w:cs="Times New Roman"/>
                <w:b/>
                <w:bCs/>
                <w:noProof/>
                <w:color w:val="000000"/>
                <w:sz w:val="18"/>
                <w:szCs w:val="18"/>
                <w:lang w:val="en-GB"/>
              </w:rPr>
              <w:t> </w:t>
            </w:r>
          </w:p>
        </w:tc>
        <w:tc>
          <w:tcPr>
            <w:tcW w:w="1029" w:type="dxa"/>
            <w:tcBorders>
              <w:top w:val="single" w:sz="8" w:space="0" w:color="000000"/>
              <w:bottom w:val="single" w:sz="12" w:space="0" w:color="000000"/>
            </w:tcBorders>
            <w:shd w:val="clear" w:color="000000" w:fill="FFFFFF"/>
            <w:noWrap/>
            <w:vAlign w:val="center"/>
            <w:hideMark/>
          </w:tcPr>
          <w:p w:rsidR="009973A2" w:rsidRPr="00743AC4" w:rsidRDefault="009973A2" w:rsidP="00C96CD3">
            <w:pPr>
              <w:ind w:firstLine="0"/>
              <w:jc w:val="center"/>
              <w:rPr>
                <w:rFonts w:cs="Times New Roman"/>
                <w:b/>
                <w:bCs/>
                <w:noProof/>
                <w:color w:val="000000"/>
                <w:sz w:val="18"/>
                <w:szCs w:val="18"/>
                <w:lang w:val="en-GB"/>
              </w:rPr>
            </w:pPr>
            <w:r w:rsidRPr="00743AC4">
              <w:rPr>
                <w:rFonts w:cs="Times New Roman"/>
                <w:b/>
                <w:bCs/>
                <w:noProof/>
                <w:color w:val="000000"/>
                <w:sz w:val="18"/>
                <w:szCs w:val="18"/>
                <w:lang w:val="en-GB"/>
              </w:rPr>
              <w:t>Coefficient</w:t>
            </w:r>
          </w:p>
        </w:tc>
        <w:tc>
          <w:tcPr>
            <w:tcW w:w="934" w:type="dxa"/>
            <w:tcBorders>
              <w:bottom w:val="single" w:sz="12" w:space="0" w:color="000000"/>
            </w:tcBorders>
            <w:shd w:val="clear" w:color="000000" w:fill="FFFFFF"/>
            <w:noWrap/>
            <w:vAlign w:val="center"/>
            <w:hideMark/>
          </w:tcPr>
          <w:p w:rsidR="009973A2" w:rsidRPr="00743AC4" w:rsidRDefault="009973A2" w:rsidP="00C96CD3">
            <w:pPr>
              <w:ind w:firstLine="0"/>
              <w:jc w:val="center"/>
              <w:rPr>
                <w:rFonts w:cs="Times New Roman"/>
                <w:b/>
                <w:bCs/>
                <w:noProof/>
                <w:color w:val="000000"/>
                <w:sz w:val="18"/>
                <w:szCs w:val="18"/>
                <w:lang w:val="en-GB"/>
              </w:rPr>
            </w:pPr>
            <w:r w:rsidRPr="00743AC4">
              <w:rPr>
                <w:rFonts w:cs="Times New Roman"/>
                <w:b/>
                <w:bCs/>
                <w:noProof/>
                <w:color w:val="000000"/>
                <w:sz w:val="18"/>
                <w:szCs w:val="18"/>
                <w:lang w:val="en-GB"/>
              </w:rPr>
              <w:t>z</w:t>
            </w:r>
          </w:p>
        </w:tc>
      </w:tr>
      <w:tr w:rsidR="009973A2" w:rsidRPr="00743AC4" w:rsidTr="00C96CD3">
        <w:trPr>
          <w:trHeight w:val="316"/>
          <w:jc w:val="center"/>
        </w:trPr>
        <w:tc>
          <w:tcPr>
            <w:tcW w:w="1574" w:type="dxa"/>
            <w:tcBorders>
              <w:top w:val="single" w:sz="12" w:space="0" w:color="000000"/>
            </w:tcBorders>
            <w:shd w:val="clear" w:color="000000" w:fill="FFFFFF"/>
            <w:noWrap/>
            <w:vAlign w:val="center"/>
          </w:tcPr>
          <w:p w:rsidR="009973A2" w:rsidRPr="00743AC4" w:rsidRDefault="009973A2" w:rsidP="00C96CD3">
            <w:pPr>
              <w:ind w:firstLine="0"/>
              <w:jc w:val="left"/>
              <w:rPr>
                <w:rFonts w:cs="Times New Roman"/>
                <w:noProof/>
                <w:color w:val="000000"/>
                <w:sz w:val="20"/>
                <w:vertAlign w:val="subscript"/>
                <w:lang w:val="en-GB"/>
              </w:rPr>
            </w:pPr>
            <w:r w:rsidRPr="00743AC4">
              <w:rPr>
                <w:rFonts w:cs="Times New Roman"/>
                <w:noProof/>
                <w:color w:val="000000"/>
                <w:sz w:val="18"/>
                <w:szCs w:val="18"/>
                <w:lang w:val="en-GB"/>
              </w:rPr>
              <w:t>FDI</w:t>
            </w:r>
            <w:r w:rsidRPr="00743AC4">
              <w:rPr>
                <w:rFonts w:cs="Times New Roman"/>
                <w:noProof/>
                <w:color w:val="000000"/>
                <w:sz w:val="20"/>
                <w:vertAlign w:val="subscript"/>
                <w:lang w:val="en-GB"/>
              </w:rPr>
              <w:t>it-1</w:t>
            </w:r>
          </w:p>
        </w:tc>
        <w:tc>
          <w:tcPr>
            <w:tcW w:w="1005" w:type="dxa"/>
            <w:tcBorders>
              <w:top w:val="single" w:sz="12" w:space="0" w:color="000000"/>
            </w:tcBorders>
            <w:shd w:val="clear" w:color="000000" w:fill="FFFFFF"/>
            <w:noWrap/>
            <w:vAlign w:val="center"/>
          </w:tcPr>
          <w:p w:rsidR="009973A2" w:rsidRPr="00743AC4" w:rsidRDefault="009973A2" w:rsidP="00C96CD3">
            <w:pPr>
              <w:ind w:firstLine="0"/>
              <w:jc w:val="center"/>
              <w:rPr>
                <w:rFonts w:cs="Times New Roman"/>
                <w:b/>
                <w:bCs/>
                <w:noProof/>
                <w:color w:val="000000"/>
                <w:sz w:val="18"/>
                <w:szCs w:val="18"/>
                <w:lang w:val="en-GB"/>
              </w:rPr>
            </w:pPr>
          </w:p>
        </w:tc>
        <w:tc>
          <w:tcPr>
            <w:tcW w:w="935" w:type="dxa"/>
            <w:tcBorders>
              <w:top w:val="single" w:sz="12" w:space="0" w:color="000000"/>
            </w:tcBorders>
            <w:shd w:val="clear" w:color="000000" w:fill="FFFFFF"/>
            <w:noWrap/>
            <w:vAlign w:val="center"/>
          </w:tcPr>
          <w:p w:rsidR="009973A2" w:rsidRPr="00743AC4" w:rsidRDefault="009973A2" w:rsidP="00C96CD3">
            <w:pPr>
              <w:ind w:firstLine="0"/>
              <w:jc w:val="center"/>
              <w:rPr>
                <w:rFonts w:cs="Times New Roman"/>
                <w:b/>
                <w:bCs/>
                <w:noProof/>
                <w:color w:val="000000"/>
                <w:sz w:val="18"/>
                <w:szCs w:val="18"/>
                <w:lang w:val="en-GB"/>
              </w:rPr>
            </w:pPr>
          </w:p>
        </w:tc>
        <w:tc>
          <w:tcPr>
            <w:tcW w:w="185" w:type="dxa"/>
            <w:tcBorders>
              <w:top w:val="single" w:sz="12" w:space="0" w:color="000000"/>
            </w:tcBorders>
            <w:shd w:val="clear" w:color="000000" w:fill="FFFFFF"/>
            <w:noWrap/>
            <w:vAlign w:val="center"/>
          </w:tcPr>
          <w:p w:rsidR="009973A2" w:rsidRPr="00743AC4" w:rsidRDefault="009973A2" w:rsidP="00C96CD3">
            <w:pPr>
              <w:ind w:firstLine="0"/>
              <w:jc w:val="center"/>
              <w:rPr>
                <w:rFonts w:cs="Times New Roman"/>
                <w:b/>
                <w:bCs/>
                <w:noProof/>
                <w:color w:val="000000"/>
                <w:sz w:val="18"/>
                <w:szCs w:val="18"/>
                <w:lang w:val="en-GB"/>
              </w:rPr>
            </w:pPr>
          </w:p>
        </w:tc>
        <w:tc>
          <w:tcPr>
            <w:tcW w:w="980" w:type="dxa"/>
            <w:tcBorders>
              <w:top w:val="single" w:sz="12" w:space="0" w:color="000000"/>
            </w:tcBorders>
            <w:shd w:val="clear" w:color="000000" w:fill="FFFFFF"/>
            <w:noWrap/>
            <w:vAlign w:val="center"/>
          </w:tcPr>
          <w:p w:rsidR="009973A2" w:rsidRPr="00743AC4" w:rsidRDefault="009973A2" w:rsidP="00C96CD3">
            <w:pPr>
              <w:ind w:firstLine="0"/>
              <w:jc w:val="center"/>
              <w:rPr>
                <w:rFonts w:cs="Times New Roman"/>
                <w:b/>
                <w:bCs/>
                <w:noProof/>
                <w:color w:val="000000"/>
                <w:sz w:val="18"/>
                <w:szCs w:val="18"/>
                <w:lang w:val="en-GB"/>
              </w:rPr>
            </w:pPr>
          </w:p>
        </w:tc>
        <w:tc>
          <w:tcPr>
            <w:tcW w:w="933" w:type="dxa"/>
            <w:tcBorders>
              <w:top w:val="single" w:sz="12" w:space="0" w:color="000000"/>
            </w:tcBorders>
            <w:shd w:val="clear" w:color="000000" w:fill="FFFFFF"/>
            <w:noWrap/>
            <w:vAlign w:val="center"/>
          </w:tcPr>
          <w:p w:rsidR="009973A2" w:rsidRPr="00743AC4" w:rsidRDefault="009973A2" w:rsidP="00C96CD3">
            <w:pPr>
              <w:ind w:firstLine="0"/>
              <w:jc w:val="center"/>
              <w:rPr>
                <w:rFonts w:cs="Times New Roman"/>
                <w:b/>
                <w:bCs/>
                <w:noProof/>
                <w:color w:val="000000"/>
                <w:sz w:val="18"/>
                <w:szCs w:val="18"/>
                <w:lang w:val="en-GB"/>
              </w:rPr>
            </w:pPr>
          </w:p>
        </w:tc>
        <w:tc>
          <w:tcPr>
            <w:tcW w:w="185" w:type="dxa"/>
            <w:tcBorders>
              <w:top w:val="single" w:sz="12" w:space="0" w:color="000000"/>
            </w:tcBorders>
            <w:shd w:val="clear" w:color="000000" w:fill="FFFFFF"/>
            <w:noWrap/>
            <w:vAlign w:val="center"/>
          </w:tcPr>
          <w:p w:rsidR="009973A2" w:rsidRPr="00743AC4" w:rsidRDefault="009973A2" w:rsidP="00C96CD3">
            <w:pPr>
              <w:ind w:firstLine="0"/>
              <w:jc w:val="center"/>
              <w:rPr>
                <w:rFonts w:cs="Times New Roman"/>
                <w:b/>
                <w:bCs/>
                <w:noProof/>
                <w:color w:val="000000"/>
                <w:sz w:val="18"/>
                <w:szCs w:val="18"/>
                <w:lang w:val="en-GB"/>
              </w:rPr>
            </w:pPr>
          </w:p>
        </w:tc>
        <w:tc>
          <w:tcPr>
            <w:tcW w:w="980" w:type="dxa"/>
            <w:tcBorders>
              <w:top w:val="single" w:sz="12" w:space="0" w:color="000000"/>
            </w:tcBorders>
            <w:shd w:val="clear" w:color="000000" w:fill="FFFFFF"/>
            <w:noWrap/>
            <w:vAlign w:val="center"/>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0.3704177</w:t>
            </w:r>
          </w:p>
        </w:tc>
        <w:tc>
          <w:tcPr>
            <w:tcW w:w="958" w:type="dxa"/>
            <w:tcBorders>
              <w:top w:val="single" w:sz="12" w:space="0" w:color="000000"/>
            </w:tcBorders>
            <w:shd w:val="clear" w:color="000000" w:fill="FFFFFF"/>
            <w:noWrap/>
            <w:vAlign w:val="center"/>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3.35*</w:t>
            </w:r>
          </w:p>
        </w:tc>
        <w:tc>
          <w:tcPr>
            <w:tcW w:w="185" w:type="dxa"/>
            <w:tcBorders>
              <w:top w:val="single" w:sz="12" w:space="0" w:color="000000"/>
            </w:tcBorders>
            <w:shd w:val="clear" w:color="000000" w:fill="FFFFFF"/>
            <w:noWrap/>
            <w:vAlign w:val="center"/>
          </w:tcPr>
          <w:p w:rsidR="009973A2" w:rsidRPr="00743AC4" w:rsidRDefault="009973A2" w:rsidP="00C96CD3">
            <w:pPr>
              <w:ind w:firstLine="0"/>
              <w:jc w:val="center"/>
              <w:rPr>
                <w:rFonts w:cs="Times New Roman"/>
                <w:b/>
                <w:bCs/>
                <w:noProof/>
                <w:color w:val="000000"/>
                <w:sz w:val="18"/>
                <w:szCs w:val="18"/>
                <w:lang w:val="en-GB"/>
              </w:rPr>
            </w:pPr>
          </w:p>
        </w:tc>
        <w:tc>
          <w:tcPr>
            <w:tcW w:w="1029" w:type="dxa"/>
            <w:tcBorders>
              <w:top w:val="single" w:sz="12" w:space="0" w:color="000000"/>
            </w:tcBorders>
            <w:shd w:val="clear" w:color="000000" w:fill="FFFFFF"/>
            <w:noWrap/>
            <w:vAlign w:val="center"/>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0.3543129</w:t>
            </w:r>
          </w:p>
        </w:tc>
        <w:tc>
          <w:tcPr>
            <w:tcW w:w="934" w:type="dxa"/>
            <w:tcBorders>
              <w:top w:val="single" w:sz="12" w:space="0" w:color="000000"/>
            </w:tcBorders>
            <w:shd w:val="clear" w:color="000000" w:fill="FFFFFF"/>
            <w:noWrap/>
            <w:vAlign w:val="center"/>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3.27*</w:t>
            </w:r>
          </w:p>
        </w:tc>
      </w:tr>
      <w:tr w:rsidR="009973A2" w:rsidRPr="00743AC4" w:rsidTr="00C96CD3">
        <w:trPr>
          <w:trHeight w:val="316"/>
          <w:jc w:val="center"/>
        </w:trPr>
        <w:tc>
          <w:tcPr>
            <w:tcW w:w="1574" w:type="dxa"/>
            <w:shd w:val="clear" w:color="000000" w:fill="FFFFFF"/>
            <w:noWrap/>
            <w:vAlign w:val="center"/>
            <w:hideMark/>
          </w:tcPr>
          <w:p w:rsidR="009973A2" w:rsidRPr="00743AC4" w:rsidRDefault="009973A2" w:rsidP="00C96CD3">
            <w:pPr>
              <w:ind w:firstLine="0"/>
              <w:jc w:val="left"/>
              <w:rPr>
                <w:rFonts w:cs="Times New Roman"/>
                <w:noProof/>
                <w:color w:val="000000"/>
                <w:sz w:val="18"/>
                <w:szCs w:val="18"/>
                <w:lang w:val="en-GB"/>
              </w:rPr>
            </w:pPr>
            <w:r w:rsidRPr="00743AC4">
              <w:rPr>
                <w:rFonts w:cs="Times New Roman"/>
                <w:noProof/>
                <w:color w:val="000000"/>
                <w:sz w:val="18"/>
                <w:szCs w:val="18"/>
                <w:lang w:val="en-GB"/>
              </w:rPr>
              <w:t>CPIB</w:t>
            </w:r>
          </w:p>
        </w:tc>
        <w:tc>
          <w:tcPr>
            <w:tcW w:w="1005"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0.284521</w:t>
            </w:r>
          </w:p>
        </w:tc>
        <w:tc>
          <w:tcPr>
            <w:tcW w:w="935"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1.26</w:t>
            </w:r>
          </w:p>
        </w:tc>
        <w:tc>
          <w:tcPr>
            <w:tcW w:w="185"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p>
        </w:tc>
        <w:tc>
          <w:tcPr>
            <w:tcW w:w="980"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0.2329972</w:t>
            </w:r>
          </w:p>
        </w:tc>
        <w:tc>
          <w:tcPr>
            <w:tcW w:w="933"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0.99</w:t>
            </w:r>
          </w:p>
        </w:tc>
        <w:tc>
          <w:tcPr>
            <w:tcW w:w="185"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p>
        </w:tc>
        <w:tc>
          <w:tcPr>
            <w:tcW w:w="980"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0.4637947</w:t>
            </w:r>
          </w:p>
        </w:tc>
        <w:tc>
          <w:tcPr>
            <w:tcW w:w="958"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1.89***</w:t>
            </w:r>
          </w:p>
        </w:tc>
        <w:tc>
          <w:tcPr>
            <w:tcW w:w="185"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p>
        </w:tc>
        <w:tc>
          <w:tcPr>
            <w:tcW w:w="1029"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0.4951846</w:t>
            </w:r>
          </w:p>
        </w:tc>
        <w:tc>
          <w:tcPr>
            <w:tcW w:w="934"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2.00**</w:t>
            </w:r>
          </w:p>
        </w:tc>
      </w:tr>
      <w:tr w:rsidR="009973A2" w:rsidRPr="00743AC4" w:rsidTr="00C96CD3">
        <w:trPr>
          <w:trHeight w:val="316"/>
          <w:jc w:val="center"/>
        </w:trPr>
        <w:tc>
          <w:tcPr>
            <w:tcW w:w="1574" w:type="dxa"/>
            <w:shd w:val="clear" w:color="000000" w:fill="FFFFFF"/>
            <w:noWrap/>
            <w:vAlign w:val="center"/>
            <w:hideMark/>
          </w:tcPr>
          <w:p w:rsidR="009973A2" w:rsidRPr="00743AC4" w:rsidRDefault="009973A2" w:rsidP="00C96CD3">
            <w:pPr>
              <w:ind w:firstLine="0"/>
              <w:jc w:val="left"/>
              <w:rPr>
                <w:rFonts w:cs="Times New Roman"/>
                <w:noProof/>
                <w:color w:val="000000"/>
                <w:sz w:val="18"/>
                <w:szCs w:val="18"/>
                <w:lang w:val="en-GB"/>
              </w:rPr>
            </w:pPr>
            <w:r w:rsidRPr="00743AC4">
              <w:rPr>
                <w:rFonts w:cs="Times New Roman"/>
                <w:noProof/>
                <w:color w:val="000000"/>
                <w:sz w:val="18"/>
                <w:szCs w:val="18"/>
                <w:lang w:val="en-GB"/>
              </w:rPr>
              <w:t>TMERC</w:t>
            </w:r>
          </w:p>
        </w:tc>
        <w:tc>
          <w:tcPr>
            <w:tcW w:w="1005"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10.48955</w:t>
            </w:r>
          </w:p>
        </w:tc>
        <w:tc>
          <w:tcPr>
            <w:tcW w:w="935"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1.72***</w:t>
            </w:r>
          </w:p>
        </w:tc>
        <w:tc>
          <w:tcPr>
            <w:tcW w:w="185"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p>
        </w:tc>
        <w:tc>
          <w:tcPr>
            <w:tcW w:w="980"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10.7966</w:t>
            </w:r>
          </w:p>
        </w:tc>
        <w:tc>
          <w:tcPr>
            <w:tcW w:w="933"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1.75***</w:t>
            </w:r>
          </w:p>
        </w:tc>
        <w:tc>
          <w:tcPr>
            <w:tcW w:w="185"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p>
        </w:tc>
        <w:tc>
          <w:tcPr>
            <w:tcW w:w="980"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0.6676805</w:t>
            </w:r>
          </w:p>
        </w:tc>
        <w:tc>
          <w:tcPr>
            <w:tcW w:w="958"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1.27</w:t>
            </w:r>
          </w:p>
        </w:tc>
        <w:tc>
          <w:tcPr>
            <w:tcW w:w="185"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p>
        </w:tc>
        <w:tc>
          <w:tcPr>
            <w:tcW w:w="1029"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1.177716</w:t>
            </w:r>
          </w:p>
        </w:tc>
        <w:tc>
          <w:tcPr>
            <w:tcW w:w="934"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1.66***</w:t>
            </w:r>
          </w:p>
        </w:tc>
      </w:tr>
      <w:tr w:rsidR="009973A2" w:rsidRPr="00743AC4" w:rsidTr="00C96CD3">
        <w:trPr>
          <w:trHeight w:val="316"/>
          <w:jc w:val="center"/>
        </w:trPr>
        <w:tc>
          <w:tcPr>
            <w:tcW w:w="1574" w:type="dxa"/>
            <w:shd w:val="clear" w:color="000000" w:fill="FFFFFF"/>
            <w:noWrap/>
            <w:vAlign w:val="center"/>
            <w:hideMark/>
          </w:tcPr>
          <w:p w:rsidR="009973A2" w:rsidRPr="00743AC4" w:rsidRDefault="009973A2" w:rsidP="00C96CD3">
            <w:pPr>
              <w:ind w:firstLine="0"/>
              <w:jc w:val="left"/>
              <w:rPr>
                <w:rFonts w:cs="Times New Roman"/>
                <w:noProof/>
                <w:color w:val="000000"/>
                <w:sz w:val="18"/>
                <w:szCs w:val="18"/>
                <w:lang w:val="en-GB"/>
              </w:rPr>
            </w:pPr>
            <w:r w:rsidRPr="00743AC4">
              <w:rPr>
                <w:rFonts w:cs="Times New Roman"/>
                <w:noProof/>
                <w:color w:val="000000"/>
                <w:sz w:val="18"/>
                <w:szCs w:val="18"/>
                <w:lang w:val="en-GB"/>
              </w:rPr>
              <w:t>INFL</w:t>
            </w:r>
          </w:p>
        </w:tc>
        <w:tc>
          <w:tcPr>
            <w:tcW w:w="1005"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0.0763304</w:t>
            </w:r>
          </w:p>
        </w:tc>
        <w:tc>
          <w:tcPr>
            <w:tcW w:w="935"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2.41**</w:t>
            </w:r>
          </w:p>
        </w:tc>
        <w:tc>
          <w:tcPr>
            <w:tcW w:w="185"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p>
        </w:tc>
        <w:tc>
          <w:tcPr>
            <w:tcW w:w="980"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0.0820246</w:t>
            </w:r>
          </w:p>
        </w:tc>
        <w:tc>
          <w:tcPr>
            <w:tcW w:w="933"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2.54**</w:t>
            </w:r>
          </w:p>
        </w:tc>
        <w:tc>
          <w:tcPr>
            <w:tcW w:w="185"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p>
        </w:tc>
        <w:tc>
          <w:tcPr>
            <w:tcW w:w="980"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-0.048422</w:t>
            </w:r>
          </w:p>
        </w:tc>
        <w:tc>
          <w:tcPr>
            <w:tcW w:w="958"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-2.75*</w:t>
            </w:r>
          </w:p>
        </w:tc>
        <w:tc>
          <w:tcPr>
            <w:tcW w:w="185"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p>
        </w:tc>
        <w:tc>
          <w:tcPr>
            <w:tcW w:w="1029"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-0.0428026</w:t>
            </w:r>
          </w:p>
        </w:tc>
        <w:tc>
          <w:tcPr>
            <w:tcW w:w="934"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-2.38**</w:t>
            </w:r>
          </w:p>
        </w:tc>
      </w:tr>
      <w:tr w:rsidR="009973A2" w:rsidRPr="00743AC4" w:rsidTr="00C96CD3">
        <w:trPr>
          <w:trHeight w:val="316"/>
          <w:jc w:val="center"/>
        </w:trPr>
        <w:tc>
          <w:tcPr>
            <w:tcW w:w="1574" w:type="dxa"/>
            <w:shd w:val="clear" w:color="000000" w:fill="FFFFFF"/>
            <w:noWrap/>
            <w:vAlign w:val="center"/>
            <w:hideMark/>
          </w:tcPr>
          <w:p w:rsidR="009973A2" w:rsidRPr="00743AC4" w:rsidRDefault="009973A2" w:rsidP="00C96CD3">
            <w:pPr>
              <w:ind w:firstLine="0"/>
              <w:jc w:val="left"/>
              <w:rPr>
                <w:rFonts w:cs="Times New Roman"/>
                <w:noProof/>
                <w:color w:val="000000"/>
                <w:sz w:val="18"/>
                <w:szCs w:val="18"/>
                <w:lang w:val="en-GB"/>
              </w:rPr>
            </w:pPr>
            <w:r w:rsidRPr="00743AC4">
              <w:rPr>
                <w:rFonts w:cs="Times New Roman"/>
                <w:noProof/>
                <w:color w:val="000000"/>
                <w:sz w:val="18"/>
                <w:szCs w:val="18"/>
                <w:lang w:val="en-GB"/>
              </w:rPr>
              <w:t>GAE</w:t>
            </w:r>
          </w:p>
        </w:tc>
        <w:tc>
          <w:tcPr>
            <w:tcW w:w="1005"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0.0740901</w:t>
            </w:r>
          </w:p>
        </w:tc>
        <w:tc>
          <w:tcPr>
            <w:tcW w:w="935"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2.09**</w:t>
            </w:r>
          </w:p>
        </w:tc>
        <w:tc>
          <w:tcPr>
            <w:tcW w:w="185"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p>
        </w:tc>
        <w:tc>
          <w:tcPr>
            <w:tcW w:w="980"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0.0759423</w:t>
            </w:r>
          </w:p>
        </w:tc>
        <w:tc>
          <w:tcPr>
            <w:tcW w:w="933"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2.13**</w:t>
            </w:r>
          </w:p>
        </w:tc>
        <w:tc>
          <w:tcPr>
            <w:tcW w:w="185"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p>
        </w:tc>
        <w:tc>
          <w:tcPr>
            <w:tcW w:w="980"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0.1184514</w:t>
            </w:r>
          </w:p>
        </w:tc>
        <w:tc>
          <w:tcPr>
            <w:tcW w:w="958"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3.19*</w:t>
            </w:r>
          </w:p>
        </w:tc>
        <w:tc>
          <w:tcPr>
            <w:tcW w:w="185"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p>
        </w:tc>
        <w:tc>
          <w:tcPr>
            <w:tcW w:w="1029"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0.1241961</w:t>
            </w:r>
          </w:p>
        </w:tc>
        <w:tc>
          <w:tcPr>
            <w:tcW w:w="934"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3.05*</w:t>
            </w:r>
          </w:p>
        </w:tc>
      </w:tr>
      <w:tr w:rsidR="009973A2" w:rsidRPr="00743AC4" w:rsidTr="00C96CD3">
        <w:trPr>
          <w:trHeight w:val="316"/>
          <w:jc w:val="center"/>
        </w:trPr>
        <w:tc>
          <w:tcPr>
            <w:tcW w:w="1574" w:type="dxa"/>
            <w:shd w:val="clear" w:color="000000" w:fill="FFFFFF"/>
            <w:noWrap/>
            <w:vAlign w:val="center"/>
            <w:hideMark/>
          </w:tcPr>
          <w:p w:rsidR="009973A2" w:rsidRPr="00743AC4" w:rsidRDefault="009973A2" w:rsidP="00C96CD3">
            <w:pPr>
              <w:ind w:firstLine="0"/>
              <w:jc w:val="left"/>
              <w:rPr>
                <w:rFonts w:cs="Times New Roman"/>
                <w:noProof/>
                <w:color w:val="000000"/>
                <w:sz w:val="18"/>
                <w:szCs w:val="18"/>
                <w:lang w:val="en-GB"/>
              </w:rPr>
            </w:pPr>
            <w:r w:rsidRPr="00743AC4">
              <w:rPr>
                <w:rFonts w:cs="Times New Roman"/>
                <w:noProof/>
                <w:color w:val="000000"/>
                <w:sz w:val="18"/>
                <w:szCs w:val="18"/>
                <w:lang w:val="en-GB"/>
              </w:rPr>
              <w:t>RNAT</w:t>
            </w:r>
          </w:p>
        </w:tc>
        <w:tc>
          <w:tcPr>
            <w:tcW w:w="1005"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0.0667587</w:t>
            </w:r>
          </w:p>
        </w:tc>
        <w:tc>
          <w:tcPr>
            <w:tcW w:w="935"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0.61</w:t>
            </w:r>
          </w:p>
        </w:tc>
        <w:tc>
          <w:tcPr>
            <w:tcW w:w="185"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p>
        </w:tc>
        <w:tc>
          <w:tcPr>
            <w:tcW w:w="980"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676928</w:t>
            </w:r>
          </w:p>
        </w:tc>
        <w:tc>
          <w:tcPr>
            <w:tcW w:w="933"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0.61</w:t>
            </w:r>
          </w:p>
        </w:tc>
        <w:tc>
          <w:tcPr>
            <w:tcW w:w="185"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p>
        </w:tc>
        <w:tc>
          <w:tcPr>
            <w:tcW w:w="980"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0.1804271</w:t>
            </w:r>
          </w:p>
        </w:tc>
        <w:tc>
          <w:tcPr>
            <w:tcW w:w="958"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2.10**</w:t>
            </w:r>
          </w:p>
        </w:tc>
        <w:tc>
          <w:tcPr>
            <w:tcW w:w="185"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p>
        </w:tc>
        <w:tc>
          <w:tcPr>
            <w:tcW w:w="1029"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0.1731759</w:t>
            </w:r>
          </w:p>
        </w:tc>
        <w:tc>
          <w:tcPr>
            <w:tcW w:w="934"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2.03**</w:t>
            </w:r>
          </w:p>
        </w:tc>
      </w:tr>
      <w:tr w:rsidR="009973A2" w:rsidRPr="00743AC4" w:rsidTr="00C96CD3">
        <w:trPr>
          <w:trHeight w:val="316"/>
          <w:jc w:val="center"/>
        </w:trPr>
        <w:tc>
          <w:tcPr>
            <w:tcW w:w="1574" w:type="dxa"/>
            <w:shd w:val="clear" w:color="000000" w:fill="FFFFFF"/>
            <w:noWrap/>
            <w:vAlign w:val="center"/>
            <w:hideMark/>
          </w:tcPr>
          <w:p w:rsidR="009973A2" w:rsidRPr="00743AC4" w:rsidRDefault="009973A2" w:rsidP="00C96CD3">
            <w:pPr>
              <w:ind w:firstLine="0"/>
              <w:jc w:val="left"/>
              <w:rPr>
                <w:rFonts w:cs="Times New Roman"/>
                <w:noProof/>
                <w:color w:val="000000"/>
                <w:sz w:val="18"/>
                <w:szCs w:val="18"/>
                <w:lang w:val="en-GB"/>
              </w:rPr>
            </w:pPr>
            <w:r w:rsidRPr="00743AC4">
              <w:rPr>
                <w:rFonts w:cs="Times New Roman"/>
                <w:noProof/>
                <w:color w:val="000000"/>
                <w:sz w:val="18"/>
                <w:szCs w:val="18"/>
                <w:lang w:val="en-GB"/>
              </w:rPr>
              <w:t>INFRAEST</w:t>
            </w:r>
          </w:p>
        </w:tc>
        <w:tc>
          <w:tcPr>
            <w:tcW w:w="1005"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-0.0101299</w:t>
            </w:r>
          </w:p>
        </w:tc>
        <w:tc>
          <w:tcPr>
            <w:tcW w:w="935"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-0.44</w:t>
            </w:r>
          </w:p>
        </w:tc>
        <w:tc>
          <w:tcPr>
            <w:tcW w:w="185"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p>
        </w:tc>
        <w:tc>
          <w:tcPr>
            <w:tcW w:w="980"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-0.011962</w:t>
            </w:r>
          </w:p>
        </w:tc>
        <w:tc>
          <w:tcPr>
            <w:tcW w:w="933"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-0.51</w:t>
            </w:r>
          </w:p>
        </w:tc>
        <w:tc>
          <w:tcPr>
            <w:tcW w:w="185"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p>
        </w:tc>
        <w:tc>
          <w:tcPr>
            <w:tcW w:w="980"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-0.01479</w:t>
            </w:r>
          </w:p>
        </w:tc>
        <w:tc>
          <w:tcPr>
            <w:tcW w:w="958"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-1.58</w:t>
            </w:r>
          </w:p>
        </w:tc>
        <w:tc>
          <w:tcPr>
            <w:tcW w:w="185"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p>
        </w:tc>
        <w:tc>
          <w:tcPr>
            <w:tcW w:w="1029"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-0.0153217</w:t>
            </w:r>
          </w:p>
        </w:tc>
        <w:tc>
          <w:tcPr>
            <w:tcW w:w="934"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-1.28</w:t>
            </w:r>
          </w:p>
        </w:tc>
      </w:tr>
      <w:tr w:rsidR="009973A2" w:rsidRPr="00743AC4" w:rsidTr="00C96CD3">
        <w:trPr>
          <w:trHeight w:val="316"/>
          <w:jc w:val="center"/>
        </w:trPr>
        <w:tc>
          <w:tcPr>
            <w:tcW w:w="1574" w:type="dxa"/>
            <w:shd w:val="clear" w:color="000000" w:fill="FFFFFF"/>
            <w:noWrap/>
            <w:vAlign w:val="center"/>
            <w:hideMark/>
          </w:tcPr>
          <w:p w:rsidR="009973A2" w:rsidRPr="00743AC4" w:rsidRDefault="009973A2" w:rsidP="00C96CD3">
            <w:pPr>
              <w:ind w:firstLine="0"/>
              <w:jc w:val="left"/>
              <w:rPr>
                <w:rFonts w:cs="Times New Roman"/>
                <w:noProof/>
                <w:color w:val="000000"/>
                <w:sz w:val="18"/>
                <w:szCs w:val="18"/>
                <w:lang w:val="en-GB"/>
              </w:rPr>
            </w:pPr>
            <w:r w:rsidRPr="00743AC4">
              <w:rPr>
                <w:rFonts w:cs="Times New Roman"/>
                <w:noProof/>
                <w:color w:val="000000"/>
                <w:sz w:val="18"/>
                <w:szCs w:val="18"/>
                <w:lang w:val="en-GB"/>
              </w:rPr>
              <w:t>EGOV</w:t>
            </w:r>
          </w:p>
        </w:tc>
        <w:tc>
          <w:tcPr>
            <w:tcW w:w="1005" w:type="dxa"/>
            <w:shd w:val="clear" w:color="auto" w:fill="auto"/>
            <w:noWrap/>
            <w:vAlign w:val="center"/>
            <w:hideMark/>
          </w:tcPr>
          <w:p w:rsidR="009973A2" w:rsidRPr="00743AC4" w:rsidRDefault="009973A2" w:rsidP="00C96CD3">
            <w:pPr>
              <w:ind w:firstLine="0"/>
              <w:jc w:val="left"/>
              <w:rPr>
                <w:rFonts w:cs="Times New Roman"/>
                <w:noProof/>
                <w:color w:val="000000"/>
                <w:sz w:val="18"/>
                <w:szCs w:val="18"/>
                <w:lang w:val="en-GB"/>
              </w:rPr>
            </w:pPr>
          </w:p>
        </w:tc>
        <w:tc>
          <w:tcPr>
            <w:tcW w:w="935" w:type="dxa"/>
            <w:shd w:val="clear" w:color="auto" w:fill="auto"/>
            <w:noWrap/>
            <w:vAlign w:val="center"/>
            <w:hideMark/>
          </w:tcPr>
          <w:p w:rsidR="009973A2" w:rsidRPr="00743AC4" w:rsidRDefault="009973A2" w:rsidP="00C96CD3">
            <w:pPr>
              <w:ind w:firstLine="0"/>
              <w:jc w:val="right"/>
              <w:rPr>
                <w:rFonts w:cs="Times New Roman"/>
                <w:noProof/>
                <w:sz w:val="18"/>
                <w:szCs w:val="18"/>
                <w:lang w:val="en-GB"/>
              </w:rPr>
            </w:pPr>
          </w:p>
        </w:tc>
        <w:tc>
          <w:tcPr>
            <w:tcW w:w="185" w:type="dxa"/>
            <w:shd w:val="clear" w:color="auto" w:fill="auto"/>
            <w:noWrap/>
            <w:vAlign w:val="center"/>
            <w:hideMark/>
          </w:tcPr>
          <w:p w:rsidR="009973A2" w:rsidRPr="00743AC4" w:rsidRDefault="009973A2" w:rsidP="00C96CD3">
            <w:pPr>
              <w:ind w:firstLine="0"/>
              <w:jc w:val="center"/>
              <w:rPr>
                <w:rFonts w:cs="Times New Roman"/>
                <w:noProof/>
                <w:sz w:val="18"/>
                <w:szCs w:val="18"/>
                <w:lang w:val="en-GB"/>
              </w:rPr>
            </w:pPr>
          </w:p>
        </w:tc>
        <w:tc>
          <w:tcPr>
            <w:tcW w:w="980"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1.467472</w:t>
            </w:r>
          </w:p>
        </w:tc>
        <w:tc>
          <w:tcPr>
            <w:tcW w:w="933"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0.95</w:t>
            </w:r>
          </w:p>
        </w:tc>
        <w:tc>
          <w:tcPr>
            <w:tcW w:w="185"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p>
        </w:tc>
        <w:tc>
          <w:tcPr>
            <w:tcW w:w="980" w:type="dxa"/>
            <w:shd w:val="clear" w:color="auto" w:fill="auto"/>
            <w:noWrap/>
            <w:vAlign w:val="center"/>
            <w:hideMark/>
          </w:tcPr>
          <w:p w:rsidR="009973A2" w:rsidRPr="00743AC4" w:rsidRDefault="009973A2" w:rsidP="00C96CD3">
            <w:pPr>
              <w:ind w:firstLine="0"/>
              <w:jc w:val="left"/>
              <w:rPr>
                <w:rFonts w:cs="Times New Roman"/>
                <w:noProof/>
                <w:sz w:val="18"/>
                <w:szCs w:val="18"/>
                <w:lang w:val="en-GB"/>
              </w:rPr>
            </w:pPr>
          </w:p>
        </w:tc>
        <w:tc>
          <w:tcPr>
            <w:tcW w:w="958" w:type="dxa"/>
            <w:shd w:val="clear" w:color="auto" w:fill="auto"/>
            <w:noWrap/>
            <w:vAlign w:val="center"/>
            <w:hideMark/>
          </w:tcPr>
          <w:p w:rsidR="009973A2" w:rsidRPr="00743AC4" w:rsidRDefault="009973A2" w:rsidP="00C96CD3">
            <w:pPr>
              <w:ind w:firstLine="0"/>
              <w:jc w:val="center"/>
              <w:rPr>
                <w:rFonts w:cs="Times New Roman"/>
                <w:noProof/>
                <w:sz w:val="18"/>
                <w:szCs w:val="18"/>
                <w:lang w:val="en-GB"/>
              </w:rPr>
            </w:pPr>
          </w:p>
        </w:tc>
        <w:tc>
          <w:tcPr>
            <w:tcW w:w="185" w:type="dxa"/>
            <w:shd w:val="clear" w:color="auto" w:fill="auto"/>
            <w:noWrap/>
            <w:vAlign w:val="center"/>
            <w:hideMark/>
          </w:tcPr>
          <w:p w:rsidR="009973A2" w:rsidRPr="00743AC4" w:rsidRDefault="009973A2" w:rsidP="00C96CD3">
            <w:pPr>
              <w:ind w:firstLine="0"/>
              <w:jc w:val="center"/>
              <w:rPr>
                <w:rFonts w:cs="Times New Roman"/>
                <w:noProof/>
                <w:sz w:val="18"/>
                <w:szCs w:val="18"/>
                <w:lang w:val="en-GB"/>
              </w:rPr>
            </w:pPr>
          </w:p>
        </w:tc>
        <w:tc>
          <w:tcPr>
            <w:tcW w:w="1029"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-1.426446</w:t>
            </w:r>
          </w:p>
        </w:tc>
        <w:tc>
          <w:tcPr>
            <w:tcW w:w="934"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-0.95</w:t>
            </w:r>
          </w:p>
        </w:tc>
      </w:tr>
      <w:tr w:rsidR="009973A2" w:rsidRPr="00743AC4" w:rsidTr="00C96CD3">
        <w:trPr>
          <w:trHeight w:val="316"/>
          <w:jc w:val="center"/>
        </w:trPr>
        <w:tc>
          <w:tcPr>
            <w:tcW w:w="1574" w:type="dxa"/>
            <w:shd w:val="clear" w:color="000000" w:fill="FFFFFF"/>
            <w:noWrap/>
            <w:vAlign w:val="center"/>
            <w:hideMark/>
          </w:tcPr>
          <w:p w:rsidR="009973A2" w:rsidRPr="00743AC4" w:rsidRDefault="009973A2" w:rsidP="00C96CD3">
            <w:pPr>
              <w:ind w:firstLine="0"/>
              <w:jc w:val="left"/>
              <w:rPr>
                <w:rFonts w:cs="Times New Roman"/>
                <w:noProof/>
                <w:color w:val="000000"/>
                <w:sz w:val="18"/>
                <w:szCs w:val="18"/>
                <w:lang w:val="en-GB"/>
              </w:rPr>
            </w:pPr>
            <w:r w:rsidRPr="00743AC4">
              <w:rPr>
                <w:rFonts w:cs="Times New Roman"/>
                <w:noProof/>
                <w:color w:val="000000"/>
                <w:sz w:val="18"/>
                <w:szCs w:val="18"/>
                <w:lang w:val="en-GB"/>
              </w:rPr>
              <w:t>CCORR</w:t>
            </w:r>
          </w:p>
        </w:tc>
        <w:tc>
          <w:tcPr>
            <w:tcW w:w="1005" w:type="dxa"/>
            <w:shd w:val="clear" w:color="auto" w:fill="auto"/>
            <w:noWrap/>
            <w:vAlign w:val="center"/>
            <w:hideMark/>
          </w:tcPr>
          <w:p w:rsidR="009973A2" w:rsidRPr="00743AC4" w:rsidRDefault="009973A2" w:rsidP="00C96CD3">
            <w:pPr>
              <w:ind w:firstLine="0"/>
              <w:jc w:val="left"/>
              <w:rPr>
                <w:rFonts w:cs="Times New Roman"/>
                <w:noProof/>
                <w:color w:val="000000"/>
                <w:sz w:val="18"/>
                <w:szCs w:val="18"/>
                <w:lang w:val="en-GB"/>
              </w:rPr>
            </w:pPr>
          </w:p>
        </w:tc>
        <w:tc>
          <w:tcPr>
            <w:tcW w:w="935" w:type="dxa"/>
            <w:shd w:val="clear" w:color="auto" w:fill="auto"/>
            <w:noWrap/>
            <w:vAlign w:val="center"/>
            <w:hideMark/>
          </w:tcPr>
          <w:p w:rsidR="009973A2" w:rsidRPr="00743AC4" w:rsidRDefault="009973A2" w:rsidP="00C96CD3">
            <w:pPr>
              <w:ind w:firstLine="0"/>
              <w:jc w:val="right"/>
              <w:rPr>
                <w:rFonts w:cs="Times New Roman"/>
                <w:noProof/>
                <w:sz w:val="18"/>
                <w:szCs w:val="18"/>
                <w:lang w:val="en-GB"/>
              </w:rPr>
            </w:pPr>
          </w:p>
        </w:tc>
        <w:tc>
          <w:tcPr>
            <w:tcW w:w="185" w:type="dxa"/>
            <w:shd w:val="clear" w:color="auto" w:fill="auto"/>
            <w:noWrap/>
            <w:vAlign w:val="center"/>
            <w:hideMark/>
          </w:tcPr>
          <w:p w:rsidR="009973A2" w:rsidRPr="00743AC4" w:rsidRDefault="009973A2" w:rsidP="00C96CD3">
            <w:pPr>
              <w:ind w:firstLine="0"/>
              <w:jc w:val="center"/>
              <w:rPr>
                <w:rFonts w:cs="Times New Roman"/>
                <w:noProof/>
                <w:sz w:val="18"/>
                <w:szCs w:val="18"/>
                <w:lang w:val="en-GB"/>
              </w:rPr>
            </w:pPr>
          </w:p>
        </w:tc>
        <w:tc>
          <w:tcPr>
            <w:tcW w:w="980"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-0.793267</w:t>
            </w:r>
          </w:p>
        </w:tc>
        <w:tc>
          <w:tcPr>
            <w:tcW w:w="933"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-0.63</w:t>
            </w:r>
          </w:p>
        </w:tc>
        <w:tc>
          <w:tcPr>
            <w:tcW w:w="185"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p>
        </w:tc>
        <w:tc>
          <w:tcPr>
            <w:tcW w:w="980" w:type="dxa"/>
            <w:shd w:val="clear" w:color="auto" w:fill="auto"/>
            <w:noWrap/>
            <w:vAlign w:val="center"/>
            <w:hideMark/>
          </w:tcPr>
          <w:p w:rsidR="009973A2" w:rsidRPr="00743AC4" w:rsidRDefault="009973A2" w:rsidP="00C96CD3">
            <w:pPr>
              <w:ind w:firstLine="0"/>
              <w:jc w:val="left"/>
              <w:rPr>
                <w:rFonts w:cs="Times New Roman"/>
                <w:noProof/>
                <w:sz w:val="18"/>
                <w:szCs w:val="18"/>
                <w:lang w:val="en-GB"/>
              </w:rPr>
            </w:pPr>
          </w:p>
        </w:tc>
        <w:tc>
          <w:tcPr>
            <w:tcW w:w="958" w:type="dxa"/>
            <w:shd w:val="clear" w:color="auto" w:fill="auto"/>
            <w:noWrap/>
            <w:vAlign w:val="center"/>
            <w:hideMark/>
          </w:tcPr>
          <w:p w:rsidR="009973A2" w:rsidRPr="00743AC4" w:rsidRDefault="009973A2" w:rsidP="00C96CD3">
            <w:pPr>
              <w:ind w:firstLine="0"/>
              <w:jc w:val="center"/>
              <w:rPr>
                <w:rFonts w:cs="Times New Roman"/>
                <w:noProof/>
                <w:sz w:val="18"/>
                <w:szCs w:val="18"/>
                <w:lang w:val="en-GB"/>
              </w:rPr>
            </w:pPr>
          </w:p>
        </w:tc>
        <w:tc>
          <w:tcPr>
            <w:tcW w:w="185" w:type="dxa"/>
            <w:shd w:val="clear" w:color="auto" w:fill="auto"/>
            <w:noWrap/>
            <w:vAlign w:val="center"/>
            <w:hideMark/>
          </w:tcPr>
          <w:p w:rsidR="009973A2" w:rsidRPr="00743AC4" w:rsidRDefault="009973A2" w:rsidP="00C96CD3">
            <w:pPr>
              <w:ind w:firstLine="0"/>
              <w:jc w:val="center"/>
              <w:rPr>
                <w:rFonts w:cs="Times New Roman"/>
                <w:noProof/>
                <w:sz w:val="18"/>
                <w:szCs w:val="18"/>
                <w:lang w:val="en-GB"/>
              </w:rPr>
            </w:pPr>
          </w:p>
        </w:tc>
        <w:tc>
          <w:tcPr>
            <w:tcW w:w="1029"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1.800297</w:t>
            </w:r>
          </w:p>
        </w:tc>
        <w:tc>
          <w:tcPr>
            <w:tcW w:w="934"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1.82***</w:t>
            </w:r>
          </w:p>
        </w:tc>
      </w:tr>
      <w:tr w:rsidR="009973A2" w:rsidRPr="00743AC4" w:rsidTr="00C96CD3">
        <w:trPr>
          <w:trHeight w:val="316"/>
          <w:jc w:val="center"/>
        </w:trPr>
        <w:tc>
          <w:tcPr>
            <w:tcW w:w="1574" w:type="dxa"/>
            <w:tcBorders>
              <w:bottom w:val="single" w:sz="12" w:space="0" w:color="000000"/>
            </w:tcBorders>
            <w:shd w:val="clear" w:color="000000" w:fill="FFFFFF"/>
            <w:noWrap/>
            <w:vAlign w:val="center"/>
            <w:hideMark/>
          </w:tcPr>
          <w:p w:rsidR="009973A2" w:rsidRPr="00743AC4" w:rsidRDefault="009973A2" w:rsidP="00C96CD3">
            <w:pPr>
              <w:ind w:firstLine="0"/>
              <w:jc w:val="left"/>
              <w:rPr>
                <w:rFonts w:cs="Times New Roman"/>
                <w:noProof/>
                <w:color w:val="000000"/>
                <w:sz w:val="18"/>
                <w:szCs w:val="18"/>
                <w:lang w:val="en-GB"/>
              </w:rPr>
            </w:pPr>
            <w:r w:rsidRPr="00743AC4">
              <w:rPr>
                <w:rFonts w:cs="Times New Roman"/>
                <w:noProof/>
                <w:color w:val="000000"/>
                <w:sz w:val="18"/>
                <w:szCs w:val="18"/>
                <w:lang w:val="en-GB"/>
              </w:rPr>
              <w:t>CONST</w:t>
            </w:r>
          </w:p>
        </w:tc>
        <w:tc>
          <w:tcPr>
            <w:tcW w:w="1005" w:type="dxa"/>
            <w:tcBorders>
              <w:bottom w:val="single" w:sz="12" w:space="0" w:color="000000"/>
            </w:tcBorders>
            <w:shd w:val="clear" w:color="auto" w:fill="auto"/>
            <w:noWrap/>
            <w:vAlign w:val="center"/>
            <w:hideMark/>
          </w:tcPr>
          <w:p w:rsidR="009973A2" w:rsidRPr="00743AC4" w:rsidRDefault="009973A2" w:rsidP="00C96CD3">
            <w:pPr>
              <w:ind w:firstLine="0"/>
              <w:jc w:val="right"/>
              <w:rPr>
                <w:rFonts w:cs="Times New Roman"/>
                <w:noProof/>
                <w:color w:val="000000"/>
                <w:sz w:val="18"/>
                <w:szCs w:val="18"/>
                <w:lang w:val="en-GB"/>
              </w:rPr>
            </w:pPr>
            <w:r w:rsidRPr="00743AC4">
              <w:rPr>
                <w:rFonts w:cs="Times New Roman"/>
                <w:noProof/>
                <w:color w:val="000000"/>
                <w:sz w:val="18"/>
                <w:szCs w:val="18"/>
                <w:lang w:val="en-GB"/>
              </w:rPr>
              <w:t>-172.5956</w:t>
            </w:r>
          </w:p>
        </w:tc>
        <w:tc>
          <w:tcPr>
            <w:tcW w:w="935" w:type="dxa"/>
            <w:tcBorders>
              <w:bottom w:val="single" w:sz="12" w:space="0" w:color="000000"/>
            </w:tcBorders>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-1.77***</w:t>
            </w:r>
          </w:p>
        </w:tc>
        <w:tc>
          <w:tcPr>
            <w:tcW w:w="185" w:type="dxa"/>
            <w:tcBorders>
              <w:bottom w:val="single" w:sz="12" w:space="0" w:color="000000"/>
            </w:tcBorders>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 </w:t>
            </w:r>
          </w:p>
        </w:tc>
        <w:tc>
          <w:tcPr>
            <w:tcW w:w="980" w:type="dxa"/>
            <w:tcBorders>
              <w:bottom w:val="single" w:sz="12" w:space="0" w:color="000000"/>
            </w:tcBorders>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-179.4773</w:t>
            </w:r>
          </w:p>
        </w:tc>
        <w:tc>
          <w:tcPr>
            <w:tcW w:w="933" w:type="dxa"/>
            <w:tcBorders>
              <w:bottom w:val="single" w:sz="12" w:space="0" w:color="000000"/>
            </w:tcBorders>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-1.82***</w:t>
            </w:r>
          </w:p>
        </w:tc>
        <w:tc>
          <w:tcPr>
            <w:tcW w:w="185" w:type="dxa"/>
            <w:tcBorders>
              <w:bottom w:val="single" w:sz="12" w:space="0" w:color="000000"/>
            </w:tcBorders>
            <w:shd w:val="clear" w:color="auto" w:fill="auto"/>
            <w:noWrap/>
            <w:vAlign w:val="center"/>
            <w:hideMark/>
          </w:tcPr>
          <w:p w:rsidR="009973A2" w:rsidRPr="00743AC4" w:rsidRDefault="009973A2" w:rsidP="00C96CD3">
            <w:pPr>
              <w:ind w:firstLine="0"/>
              <w:jc w:val="left"/>
              <w:rPr>
                <w:rFonts w:cs="Times New Roman"/>
                <w:noProof/>
                <w:color w:val="000000"/>
                <w:sz w:val="18"/>
                <w:szCs w:val="18"/>
                <w:lang w:val="en-GB"/>
              </w:rPr>
            </w:pPr>
            <w:r w:rsidRPr="00743AC4">
              <w:rPr>
                <w:rFonts w:cs="Times New Roman"/>
                <w:noProof/>
                <w:color w:val="000000"/>
                <w:sz w:val="18"/>
                <w:szCs w:val="18"/>
                <w:lang w:val="en-GB"/>
              </w:rPr>
              <w:t> </w:t>
            </w:r>
          </w:p>
        </w:tc>
        <w:tc>
          <w:tcPr>
            <w:tcW w:w="980" w:type="dxa"/>
            <w:tcBorders>
              <w:bottom w:val="single" w:sz="12" w:space="0" w:color="000000"/>
            </w:tcBorders>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-18.59539</w:t>
            </w:r>
          </w:p>
        </w:tc>
        <w:tc>
          <w:tcPr>
            <w:tcW w:w="958" w:type="dxa"/>
            <w:tcBorders>
              <w:bottom w:val="single" w:sz="12" w:space="0" w:color="000000"/>
            </w:tcBorders>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-1.67***</w:t>
            </w:r>
          </w:p>
        </w:tc>
        <w:tc>
          <w:tcPr>
            <w:tcW w:w="185" w:type="dxa"/>
            <w:tcBorders>
              <w:bottom w:val="single" w:sz="12" w:space="0" w:color="000000"/>
            </w:tcBorders>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 </w:t>
            </w:r>
          </w:p>
        </w:tc>
        <w:tc>
          <w:tcPr>
            <w:tcW w:w="1029" w:type="dxa"/>
            <w:tcBorders>
              <w:bottom w:val="single" w:sz="12" w:space="0" w:color="000000"/>
            </w:tcBorders>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-28.72326</w:t>
            </w:r>
          </w:p>
        </w:tc>
        <w:tc>
          <w:tcPr>
            <w:tcW w:w="934"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-1.96***</w:t>
            </w:r>
          </w:p>
        </w:tc>
      </w:tr>
      <w:tr w:rsidR="009973A2" w:rsidRPr="00743AC4" w:rsidTr="00C96CD3">
        <w:trPr>
          <w:trHeight w:val="238"/>
          <w:jc w:val="center"/>
        </w:trPr>
        <w:tc>
          <w:tcPr>
            <w:tcW w:w="1574" w:type="dxa"/>
            <w:tcBorders>
              <w:top w:val="single" w:sz="12" w:space="0" w:color="000000"/>
            </w:tcBorders>
            <w:shd w:val="clear" w:color="000000" w:fill="FFFFFF"/>
            <w:noWrap/>
            <w:vAlign w:val="bottom"/>
            <w:hideMark/>
          </w:tcPr>
          <w:p w:rsidR="009973A2" w:rsidRPr="00743AC4" w:rsidRDefault="009973A2" w:rsidP="00C96CD3">
            <w:pPr>
              <w:ind w:firstLine="0"/>
              <w:jc w:val="left"/>
              <w:rPr>
                <w:rFonts w:cs="Times New Roman"/>
                <w:noProof/>
                <w:color w:val="000000"/>
                <w:sz w:val="18"/>
                <w:szCs w:val="18"/>
                <w:lang w:val="en-GB"/>
              </w:rPr>
            </w:pPr>
            <w:r w:rsidRPr="00743AC4">
              <w:rPr>
                <w:rFonts w:cs="Times New Roman"/>
                <w:noProof/>
                <w:color w:val="000000"/>
                <w:sz w:val="18"/>
                <w:szCs w:val="18"/>
                <w:lang w:val="en-GB"/>
              </w:rPr>
              <w:t>No. of obs.</w:t>
            </w:r>
          </w:p>
        </w:tc>
        <w:tc>
          <w:tcPr>
            <w:tcW w:w="1005" w:type="dxa"/>
            <w:tcBorders>
              <w:top w:val="single" w:sz="12" w:space="0" w:color="000000"/>
            </w:tcBorders>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r w:rsidRPr="00743AC4">
              <w:rPr>
                <w:rFonts w:cs="Times New Roman"/>
                <w:noProof/>
                <w:color w:val="000000"/>
                <w:sz w:val="18"/>
                <w:szCs w:val="18"/>
                <w:lang w:val="en-GB"/>
              </w:rPr>
              <w:t>429 </w:t>
            </w:r>
          </w:p>
        </w:tc>
        <w:tc>
          <w:tcPr>
            <w:tcW w:w="935" w:type="dxa"/>
            <w:tcBorders>
              <w:top w:val="single" w:sz="12" w:space="0" w:color="000000"/>
            </w:tcBorders>
            <w:shd w:val="clear" w:color="auto" w:fill="auto"/>
            <w:noWrap/>
            <w:vAlign w:val="bottom"/>
            <w:hideMark/>
          </w:tcPr>
          <w:p w:rsidR="009973A2" w:rsidRPr="00743AC4" w:rsidRDefault="009973A2" w:rsidP="00C96CD3">
            <w:pPr>
              <w:ind w:firstLine="0"/>
              <w:jc w:val="left"/>
              <w:rPr>
                <w:rFonts w:cs="Times New Roman"/>
                <w:noProof/>
                <w:color w:val="000000"/>
                <w:sz w:val="18"/>
                <w:szCs w:val="18"/>
                <w:lang w:val="en-GB"/>
              </w:rPr>
            </w:pPr>
            <w:r w:rsidRPr="00743AC4">
              <w:rPr>
                <w:rFonts w:cs="Times New Roman"/>
                <w:noProof/>
                <w:color w:val="000000"/>
                <w:sz w:val="18"/>
                <w:szCs w:val="18"/>
                <w:lang w:val="en-GB"/>
              </w:rPr>
              <w:t> </w:t>
            </w:r>
          </w:p>
        </w:tc>
        <w:tc>
          <w:tcPr>
            <w:tcW w:w="185" w:type="dxa"/>
            <w:tcBorders>
              <w:top w:val="single" w:sz="12" w:space="0" w:color="000000"/>
            </w:tcBorders>
            <w:shd w:val="clear" w:color="auto" w:fill="auto"/>
            <w:noWrap/>
            <w:vAlign w:val="bottom"/>
            <w:hideMark/>
          </w:tcPr>
          <w:p w:rsidR="009973A2" w:rsidRPr="00743AC4" w:rsidRDefault="009973A2" w:rsidP="00C96CD3">
            <w:pPr>
              <w:ind w:firstLine="0"/>
              <w:jc w:val="left"/>
              <w:rPr>
                <w:rFonts w:cs="Times New Roman"/>
                <w:noProof/>
                <w:color w:val="000000"/>
                <w:sz w:val="18"/>
                <w:szCs w:val="18"/>
                <w:lang w:val="en-GB"/>
              </w:rPr>
            </w:pPr>
            <w:r w:rsidRPr="00743AC4">
              <w:rPr>
                <w:rFonts w:cs="Times New Roman"/>
                <w:noProof/>
                <w:color w:val="000000"/>
                <w:sz w:val="18"/>
                <w:szCs w:val="18"/>
                <w:lang w:val="en-GB"/>
              </w:rPr>
              <w:t> </w:t>
            </w:r>
          </w:p>
        </w:tc>
        <w:tc>
          <w:tcPr>
            <w:tcW w:w="980" w:type="dxa"/>
            <w:tcBorders>
              <w:top w:val="single" w:sz="12" w:space="0" w:color="000000"/>
            </w:tcBorders>
            <w:shd w:val="clear" w:color="auto" w:fill="auto"/>
            <w:noWrap/>
            <w:vAlign w:val="bottom"/>
            <w:hideMark/>
          </w:tcPr>
          <w:p w:rsidR="009973A2" w:rsidRPr="00743AC4" w:rsidRDefault="009973A2" w:rsidP="00C96CD3">
            <w:pPr>
              <w:ind w:firstLine="0"/>
              <w:jc w:val="left"/>
              <w:rPr>
                <w:rFonts w:cs="Times New Roman"/>
                <w:noProof/>
                <w:color w:val="000000"/>
                <w:sz w:val="18"/>
                <w:szCs w:val="18"/>
                <w:lang w:val="en-GB"/>
              </w:rPr>
            </w:pPr>
            <w:r w:rsidRPr="00743AC4">
              <w:rPr>
                <w:rFonts w:cs="Times New Roman"/>
                <w:noProof/>
                <w:color w:val="000000"/>
                <w:sz w:val="18"/>
                <w:szCs w:val="18"/>
                <w:lang w:val="en-GB"/>
              </w:rPr>
              <w:t> </w:t>
            </w:r>
          </w:p>
        </w:tc>
        <w:tc>
          <w:tcPr>
            <w:tcW w:w="933" w:type="dxa"/>
            <w:tcBorders>
              <w:top w:val="single" w:sz="12" w:space="0" w:color="000000"/>
            </w:tcBorders>
            <w:shd w:val="clear" w:color="auto" w:fill="auto"/>
            <w:noWrap/>
            <w:vAlign w:val="center"/>
            <w:hideMark/>
          </w:tcPr>
          <w:p w:rsidR="009973A2" w:rsidRPr="00743AC4" w:rsidRDefault="009973A2" w:rsidP="00C96CD3">
            <w:pPr>
              <w:ind w:firstLine="0"/>
              <w:jc w:val="left"/>
              <w:rPr>
                <w:rFonts w:cs="Times New Roman"/>
                <w:noProof/>
                <w:color w:val="000000"/>
                <w:sz w:val="18"/>
                <w:szCs w:val="18"/>
                <w:lang w:val="en-GB"/>
              </w:rPr>
            </w:pPr>
          </w:p>
        </w:tc>
        <w:tc>
          <w:tcPr>
            <w:tcW w:w="185" w:type="dxa"/>
            <w:tcBorders>
              <w:top w:val="single" w:sz="12" w:space="0" w:color="000000"/>
            </w:tcBorders>
            <w:shd w:val="clear" w:color="auto" w:fill="auto"/>
            <w:noWrap/>
            <w:vAlign w:val="center"/>
            <w:hideMark/>
          </w:tcPr>
          <w:p w:rsidR="009973A2" w:rsidRPr="00743AC4" w:rsidRDefault="009973A2" w:rsidP="00C96CD3">
            <w:pPr>
              <w:ind w:firstLine="0"/>
              <w:jc w:val="right"/>
              <w:rPr>
                <w:rFonts w:cs="Times New Roman"/>
                <w:noProof/>
                <w:sz w:val="18"/>
                <w:szCs w:val="18"/>
                <w:lang w:val="en-GB"/>
              </w:rPr>
            </w:pPr>
          </w:p>
        </w:tc>
        <w:tc>
          <w:tcPr>
            <w:tcW w:w="3152" w:type="dxa"/>
            <w:gridSpan w:val="4"/>
            <w:tcBorders>
              <w:top w:val="single" w:sz="12" w:space="0" w:color="000000"/>
            </w:tcBorders>
            <w:shd w:val="clear" w:color="000000" w:fill="FFFFFF"/>
            <w:noWrap/>
            <w:vAlign w:val="bottom"/>
            <w:hideMark/>
          </w:tcPr>
          <w:p w:rsidR="009973A2" w:rsidRPr="00743AC4" w:rsidRDefault="009973A2" w:rsidP="00C96CD3">
            <w:pPr>
              <w:ind w:firstLine="0"/>
              <w:jc w:val="left"/>
              <w:rPr>
                <w:rFonts w:cs="Times New Roman"/>
                <w:noProof/>
                <w:color w:val="000000"/>
                <w:sz w:val="18"/>
                <w:szCs w:val="18"/>
                <w:lang w:val="en-GB"/>
              </w:rPr>
            </w:pPr>
            <w:r w:rsidRPr="00743AC4">
              <w:rPr>
                <w:rFonts w:cs="Times New Roman"/>
                <w:noProof/>
                <w:color w:val="000000"/>
                <w:sz w:val="18"/>
                <w:szCs w:val="18"/>
                <w:lang w:val="en-GB"/>
              </w:rPr>
              <w:t>No. of obs.:               400</w:t>
            </w:r>
          </w:p>
        </w:tc>
        <w:tc>
          <w:tcPr>
            <w:tcW w:w="934" w:type="dxa"/>
            <w:tcBorders>
              <w:top w:val="single" w:sz="12" w:space="0" w:color="000000"/>
            </w:tcBorders>
            <w:shd w:val="clear" w:color="auto" w:fill="auto"/>
            <w:noWrap/>
            <w:vAlign w:val="bottom"/>
            <w:hideMark/>
          </w:tcPr>
          <w:p w:rsidR="009973A2" w:rsidRPr="00743AC4" w:rsidRDefault="009973A2" w:rsidP="00C96CD3">
            <w:pPr>
              <w:ind w:firstLine="0"/>
              <w:jc w:val="right"/>
              <w:rPr>
                <w:rFonts w:cs="Times New Roman"/>
                <w:noProof/>
                <w:color w:val="000000"/>
                <w:sz w:val="18"/>
                <w:szCs w:val="18"/>
                <w:lang w:val="en-GB"/>
              </w:rPr>
            </w:pPr>
            <w:r w:rsidRPr="00743AC4">
              <w:rPr>
                <w:rFonts w:cs="Times New Roman"/>
                <w:noProof/>
                <w:color w:val="000000"/>
                <w:sz w:val="18"/>
                <w:szCs w:val="18"/>
                <w:lang w:val="en-GB"/>
              </w:rPr>
              <w:t>400</w:t>
            </w:r>
          </w:p>
        </w:tc>
      </w:tr>
      <w:tr w:rsidR="009973A2" w:rsidRPr="00743AC4" w:rsidTr="00C96CD3">
        <w:trPr>
          <w:trHeight w:val="228"/>
          <w:jc w:val="center"/>
        </w:trPr>
        <w:tc>
          <w:tcPr>
            <w:tcW w:w="1574" w:type="dxa"/>
            <w:shd w:val="clear" w:color="000000" w:fill="FFFFFF"/>
            <w:noWrap/>
            <w:vAlign w:val="bottom"/>
            <w:hideMark/>
          </w:tcPr>
          <w:p w:rsidR="009973A2" w:rsidRPr="00743AC4" w:rsidRDefault="009973A2" w:rsidP="00C96CD3">
            <w:pPr>
              <w:ind w:firstLine="0"/>
              <w:jc w:val="left"/>
              <w:rPr>
                <w:rFonts w:cs="Times New Roman"/>
                <w:noProof/>
                <w:color w:val="000000"/>
                <w:sz w:val="18"/>
                <w:szCs w:val="18"/>
                <w:lang w:val="en-GB"/>
              </w:rPr>
            </w:pPr>
            <w:r w:rsidRPr="00743AC4">
              <w:rPr>
                <w:rFonts w:cs="Times New Roman"/>
                <w:noProof/>
                <w:color w:val="000000"/>
                <w:sz w:val="18"/>
                <w:szCs w:val="18"/>
                <w:lang w:val="en-GB"/>
              </w:rPr>
              <w:t>R</w:t>
            </w:r>
            <w:r w:rsidRPr="00743AC4">
              <w:rPr>
                <w:rFonts w:cs="Times New Roman"/>
                <w:noProof/>
                <w:color w:val="000000"/>
                <w:sz w:val="18"/>
                <w:szCs w:val="18"/>
                <w:vertAlign w:val="superscript"/>
                <w:lang w:val="en-GB"/>
              </w:rPr>
              <w:t>2</w:t>
            </w:r>
          </w:p>
        </w:tc>
        <w:tc>
          <w:tcPr>
            <w:tcW w:w="1940" w:type="dxa"/>
            <w:gridSpan w:val="2"/>
            <w:shd w:val="clear" w:color="auto" w:fill="auto"/>
            <w:noWrap/>
            <w:vAlign w:val="center"/>
            <w:hideMark/>
          </w:tcPr>
          <w:p w:rsidR="009973A2" w:rsidRPr="00743AC4" w:rsidRDefault="009973A2" w:rsidP="00C96CD3">
            <w:pPr>
              <w:ind w:firstLine="0"/>
              <w:jc w:val="left"/>
              <w:rPr>
                <w:rFonts w:cs="Times New Roman"/>
                <w:noProof/>
                <w:color w:val="000000"/>
                <w:sz w:val="18"/>
                <w:szCs w:val="18"/>
                <w:lang w:val="en-GB"/>
              </w:rPr>
            </w:pPr>
            <w:r w:rsidRPr="00743AC4">
              <w:rPr>
                <w:rFonts w:cs="Times New Roman"/>
                <w:noProof/>
                <w:color w:val="000000"/>
                <w:sz w:val="18"/>
                <w:szCs w:val="18"/>
                <w:lang w:val="en-GB"/>
              </w:rPr>
              <w:t xml:space="preserve">        (0.0607)</w:t>
            </w:r>
          </w:p>
        </w:tc>
        <w:tc>
          <w:tcPr>
            <w:tcW w:w="185" w:type="dxa"/>
            <w:shd w:val="clear" w:color="auto" w:fill="auto"/>
            <w:noWrap/>
            <w:vAlign w:val="bottom"/>
            <w:hideMark/>
          </w:tcPr>
          <w:p w:rsidR="009973A2" w:rsidRPr="00743AC4" w:rsidRDefault="009973A2" w:rsidP="00C96CD3">
            <w:pPr>
              <w:ind w:firstLine="0"/>
              <w:jc w:val="left"/>
              <w:rPr>
                <w:rFonts w:cs="Times New Roman"/>
                <w:noProof/>
                <w:color w:val="000000"/>
                <w:sz w:val="18"/>
                <w:szCs w:val="18"/>
                <w:lang w:val="en-GB"/>
              </w:rPr>
            </w:pPr>
          </w:p>
        </w:tc>
        <w:tc>
          <w:tcPr>
            <w:tcW w:w="1913" w:type="dxa"/>
            <w:gridSpan w:val="2"/>
            <w:shd w:val="clear" w:color="auto" w:fill="auto"/>
            <w:noWrap/>
            <w:vAlign w:val="center"/>
            <w:hideMark/>
          </w:tcPr>
          <w:p w:rsidR="009973A2" w:rsidRPr="00743AC4" w:rsidRDefault="009973A2" w:rsidP="00C96CD3">
            <w:pPr>
              <w:ind w:firstLine="0"/>
              <w:rPr>
                <w:rFonts w:cs="Times New Roman"/>
                <w:noProof/>
                <w:color w:val="000000"/>
                <w:sz w:val="18"/>
                <w:szCs w:val="18"/>
                <w:lang w:val="en-GB"/>
              </w:rPr>
            </w:pPr>
            <w:r w:rsidRPr="00743AC4">
              <w:rPr>
                <w:rFonts w:cs="Times New Roman"/>
                <w:noProof/>
                <w:color w:val="000000"/>
                <w:sz w:val="18"/>
                <w:szCs w:val="18"/>
                <w:lang w:val="en-GB"/>
              </w:rPr>
              <w:t xml:space="preserve">          (0.0630)</w:t>
            </w:r>
          </w:p>
        </w:tc>
        <w:tc>
          <w:tcPr>
            <w:tcW w:w="185" w:type="dxa"/>
            <w:shd w:val="clear" w:color="auto" w:fill="auto"/>
            <w:noWrap/>
            <w:vAlign w:val="center"/>
            <w:hideMark/>
          </w:tcPr>
          <w:p w:rsidR="009973A2" w:rsidRPr="00743AC4" w:rsidRDefault="009973A2" w:rsidP="00C96CD3">
            <w:pPr>
              <w:ind w:firstLine="0"/>
              <w:jc w:val="center"/>
              <w:rPr>
                <w:rFonts w:cs="Times New Roman"/>
                <w:noProof/>
                <w:color w:val="000000"/>
                <w:sz w:val="18"/>
                <w:szCs w:val="18"/>
                <w:lang w:val="en-GB"/>
              </w:rPr>
            </w:pPr>
          </w:p>
        </w:tc>
        <w:tc>
          <w:tcPr>
            <w:tcW w:w="3152" w:type="dxa"/>
            <w:gridSpan w:val="4"/>
            <w:shd w:val="clear" w:color="000000" w:fill="FFFFFF"/>
            <w:noWrap/>
            <w:vAlign w:val="bottom"/>
            <w:hideMark/>
          </w:tcPr>
          <w:p w:rsidR="009973A2" w:rsidRPr="00743AC4" w:rsidRDefault="009973A2" w:rsidP="00C96CD3">
            <w:pPr>
              <w:ind w:firstLine="0"/>
              <w:jc w:val="left"/>
              <w:rPr>
                <w:rFonts w:cs="Times New Roman"/>
                <w:noProof/>
                <w:color w:val="000000"/>
                <w:sz w:val="18"/>
                <w:szCs w:val="18"/>
                <w:lang w:val="en-GB"/>
              </w:rPr>
            </w:pPr>
            <w:r w:rsidRPr="00743AC4">
              <w:rPr>
                <w:rFonts w:cs="Times New Roman"/>
                <w:noProof/>
                <w:color w:val="000000"/>
                <w:sz w:val="18"/>
                <w:szCs w:val="18"/>
                <w:lang w:val="en-GB"/>
              </w:rPr>
              <w:t>No. of countries:      28</w:t>
            </w:r>
          </w:p>
        </w:tc>
        <w:tc>
          <w:tcPr>
            <w:tcW w:w="934" w:type="dxa"/>
            <w:shd w:val="clear" w:color="auto" w:fill="auto"/>
            <w:noWrap/>
            <w:vAlign w:val="bottom"/>
            <w:hideMark/>
          </w:tcPr>
          <w:p w:rsidR="009973A2" w:rsidRPr="00743AC4" w:rsidRDefault="009973A2" w:rsidP="00C96CD3">
            <w:pPr>
              <w:ind w:firstLine="0"/>
              <w:jc w:val="right"/>
              <w:rPr>
                <w:rFonts w:cs="Times New Roman"/>
                <w:noProof/>
                <w:color w:val="000000"/>
                <w:sz w:val="18"/>
                <w:szCs w:val="18"/>
                <w:lang w:val="en-GB"/>
              </w:rPr>
            </w:pPr>
            <w:r w:rsidRPr="00743AC4">
              <w:rPr>
                <w:rFonts w:cs="Times New Roman"/>
                <w:noProof/>
                <w:color w:val="000000"/>
                <w:sz w:val="18"/>
                <w:szCs w:val="18"/>
                <w:lang w:val="en-GB"/>
              </w:rPr>
              <w:t>28</w:t>
            </w:r>
          </w:p>
        </w:tc>
      </w:tr>
      <w:tr w:rsidR="009973A2" w:rsidRPr="00743AC4" w:rsidTr="00C96CD3">
        <w:trPr>
          <w:trHeight w:val="228"/>
          <w:jc w:val="center"/>
        </w:trPr>
        <w:tc>
          <w:tcPr>
            <w:tcW w:w="1574" w:type="dxa"/>
            <w:shd w:val="clear" w:color="000000" w:fill="FFFFFF"/>
            <w:noWrap/>
            <w:vAlign w:val="center"/>
            <w:hideMark/>
          </w:tcPr>
          <w:p w:rsidR="009973A2" w:rsidRPr="00743AC4" w:rsidRDefault="009973A2" w:rsidP="00C96CD3">
            <w:pPr>
              <w:ind w:firstLine="0"/>
              <w:jc w:val="left"/>
              <w:rPr>
                <w:rFonts w:cs="Times New Roman"/>
                <w:noProof/>
                <w:color w:val="000000"/>
                <w:sz w:val="18"/>
                <w:szCs w:val="18"/>
                <w:lang w:val="en-GB"/>
              </w:rPr>
            </w:pPr>
            <w:r w:rsidRPr="00743AC4">
              <w:rPr>
                <w:rFonts w:cs="Times New Roman"/>
                <w:noProof/>
                <w:color w:val="000000"/>
                <w:sz w:val="18"/>
                <w:szCs w:val="18"/>
                <w:lang w:val="en-GB"/>
              </w:rPr>
              <w:t xml:space="preserve">Teste F </w:t>
            </w:r>
          </w:p>
        </w:tc>
        <w:tc>
          <w:tcPr>
            <w:tcW w:w="1940" w:type="dxa"/>
            <w:gridSpan w:val="2"/>
            <w:shd w:val="clear" w:color="auto" w:fill="auto"/>
            <w:noWrap/>
            <w:vAlign w:val="center"/>
            <w:hideMark/>
          </w:tcPr>
          <w:p w:rsidR="009973A2" w:rsidRPr="00743AC4" w:rsidRDefault="009973A2" w:rsidP="00C96CD3">
            <w:pPr>
              <w:ind w:firstLine="0"/>
              <w:jc w:val="left"/>
              <w:rPr>
                <w:rFonts w:cs="Times New Roman"/>
                <w:noProof/>
                <w:color w:val="000000"/>
                <w:sz w:val="18"/>
                <w:szCs w:val="18"/>
                <w:lang w:val="en-GB"/>
              </w:rPr>
            </w:pPr>
            <w:r w:rsidRPr="00743AC4">
              <w:rPr>
                <w:rFonts w:cs="Times New Roman"/>
                <w:noProof/>
                <w:color w:val="000000"/>
                <w:sz w:val="18"/>
                <w:szCs w:val="18"/>
                <w:lang w:val="en-GB"/>
              </w:rPr>
              <w:t>4.93 (0.000)</w:t>
            </w:r>
          </w:p>
        </w:tc>
        <w:tc>
          <w:tcPr>
            <w:tcW w:w="185" w:type="dxa"/>
            <w:shd w:val="clear" w:color="auto" w:fill="auto"/>
            <w:noWrap/>
            <w:vAlign w:val="bottom"/>
            <w:hideMark/>
          </w:tcPr>
          <w:p w:rsidR="009973A2" w:rsidRPr="00743AC4" w:rsidRDefault="009973A2" w:rsidP="00C96CD3">
            <w:pPr>
              <w:ind w:firstLine="0"/>
              <w:jc w:val="left"/>
              <w:rPr>
                <w:rFonts w:cs="Times New Roman"/>
                <w:noProof/>
                <w:color w:val="000000"/>
                <w:sz w:val="18"/>
                <w:szCs w:val="18"/>
                <w:lang w:val="en-GB"/>
              </w:rPr>
            </w:pPr>
          </w:p>
        </w:tc>
        <w:tc>
          <w:tcPr>
            <w:tcW w:w="1913" w:type="dxa"/>
            <w:gridSpan w:val="2"/>
            <w:shd w:val="clear" w:color="auto" w:fill="auto"/>
            <w:noWrap/>
            <w:vAlign w:val="center"/>
            <w:hideMark/>
          </w:tcPr>
          <w:p w:rsidR="009973A2" w:rsidRPr="00743AC4" w:rsidRDefault="009973A2" w:rsidP="00C96CD3">
            <w:pPr>
              <w:ind w:firstLine="0"/>
              <w:jc w:val="left"/>
              <w:rPr>
                <w:rFonts w:cs="Times New Roman"/>
                <w:noProof/>
                <w:color w:val="000000"/>
                <w:sz w:val="18"/>
                <w:szCs w:val="18"/>
                <w:lang w:val="en-GB"/>
              </w:rPr>
            </w:pPr>
            <w:r w:rsidRPr="00743AC4">
              <w:rPr>
                <w:rFonts w:cs="Times New Roman"/>
                <w:noProof/>
                <w:color w:val="000000"/>
                <w:sz w:val="18"/>
                <w:szCs w:val="18"/>
                <w:lang w:val="en-GB"/>
              </w:rPr>
              <w:t xml:space="preserve">   4.74(0.000</w:t>
            </w:r>
            <w:r w:rsidRPr="00743AC4">
              <w:rPr>
                <w:rFonts w:cs="Times New Roman"/>
                <w:noProof/>
                <w:color w:val="FFFFFF"/>
                <w:sz w:val="18"/>
                <w:szCs w:val="18"/>
                <w:lang w:val="en-GB"/>
              </w:rPr>
              <w:t>]</w:t>
            </w:r>
            <w:r w:rsidRPr="00743AC4">
              <w:rPr>
                <w:rFonts w:cs="Times New Roman"/>
                <w:noProof/>
                <w:color w:val="000000"/>
                <w:sz w:val="18"/>
                <w:szCs w:val="18"/>
                <w:lang w:val="en-GB"/>
              </w:rPr>
              <w:t>)</w:t>
            </w:r>
          </w:p>
        </w:tc>
        <w:tc>
          <w:tcPr>
            <w:tcW w:w="185" w:type="dxa"/>
            <w:shd w:val="clear" w:color="auto" w:fill="auto"/>
            <w:noWrap/>
            <w:vAlign w:val="center"/>
            <w:hideMark/>
          </w:tcPr>
          <w:p w:rsidR="009973A2" w:rsidRPr="00743AC4" w:rsidRDefault="009973A2" w:rsidP="00C96CD3">
            <w:pPr>
              <w:ind w:firstLine="0"/>
              <w:jc w:val="left"/>
              <w:rPr>
                <w:rFonts w:cs="Times New Roman"/>
                <w:noProof/>
                <w:color w:val="000000"/>
                <w:sz w:val="18"/>
                <w:szCs w:val="18"/>
                <w:lang w:val="en-GB"/>
              </w:rPr>
            </w:pPr>
          </w:p>
        </w:tc>
        <w:tc>
          <w:tcPr>
            <w:tcW w:w="3152" w:type="dxa"/>
            <w:gridSpan w:val="4"/>
            <w:shd w:val="clear" w:color="000000" w:fill="FFFFFF"/>
            <w:noWrap/>
            <w:vAlign w:val="bottom"/>
            <w:hideMark/>
          </w:tcPr>
          <w:p w:rsidR="009973A2" w:rsidRPr="00743AC4" w:rsidRDefault="009973A2" w:rsidP="00C96CD3">
            <w:pPr>
              <w:ind w:firstLine="0"/>
              <w:jc w:val="left"/>
              <w:rPr>
                <w:rFonts w:cs="Times New Roman"/>
                <w:noProof/>
                <w:color w:val="000000"/>
                <w:sz w:val="18"/>
                <w:szCs w:val="18"/>
                <w:lang w:val="en-GB"/>
              </w:rPr>
            </w:pPr>
            <w:r w:rsidRPr="00743AC4">
              <w:rPr>
                <w:rFonts w:cs="Times New Roman"/>
                <w:noProof/>
                <w:color w:val="000000"/>
                <w:sz w:val="18"/>
                <w:szCs w:val="18"/>
                <w:lang w:val="en-GB"/>
              </w:rPr>
              <w:t>No. of instruments:  23</w:t>
            </w:r>
          </w:p>
        </w:tc>
        <w:tc>
          <w:tcPr>
            <w:tcW w:w="934" w:type="dxa"/>
            <w:shd w:val="clear" w:color="auto" w:fill="auto"/>
            <w:noWrap/>
            <w:vAlign w:val="bottom"/>
            <w:hideMark/>
          </w:tcPr>
          <w:p w:rsidR="009973A2" w:rsidRPr="00743AC4" w:rsidRDefault="009973A2" w:rsidP="00C96CD3">
            <w:pPr>
              <w:ind w:firstLine="0"/>
              <w:jc w:val="right"/>
              <w:rPr>
                <w:rFonts w:cs="Times New Roman"/>
                <w:noProof/>
                <w:color w:val="000000"/>
                <w:sz w:val="18"/>
                <w:szCs w:val="18"/>
                <w:lang w:val="en-GB"/>
              </w:rPr>
            </w:pPr>
            <w:r w:rsidRPr="00743AC4">
              <w:rPr>
                <w:rFonts w:cs="Times New Roman"/>
                <w:noProof/>
                <w:color w:val="000000"/>
                <w:sz w:val="18"/>
                <w:szCs w:val="18"/>
                <w:lang w:val="en-GB"/>
              </w:rPr>
              <w:t>25</w:t>
            </w:r>
          </w:p>
        </w:tc>
      </w:tr>
      <w:tr w:rsidR="009973A2" w:rsidRPr="00743AC4" w:rsidTr="00C96CD3">
        <w:trPr>
          <w:trHeight w:val="228"/>
          <w:jc w:val="center"/>
        </w:trPr>
        <w:tc>
          <w:tcPr>
            <w:tcW w:w="1574" w:type="dxa"/>
            <w:shd w:val="clear" w:color="000000" w:fill="FFFFFF"/>
            <w:noWrap/>
            <w:vAlign w:val="center"/>
          </w:tcPr>
          <w:p w:rsidR="009973A2" w:rsidRPr="00743AC4" w:rsidRDefault="009973A2" w:rsidP="00C96CD3">
            <w:pPr>
              <w:ind w:firstLine="0"/>
              <w:jc w:val="left"/>
              <w:rPr>
                <w:rFonts w:cs="Times New Roman"/>
                <w:noProof/>
                <w:color w:val="000000"/>
                <w:sz w:val="18"/>
                <w:szCs w:val="18"/>
                <w:lang w:val="en-GB"/>
              </w:rPr>
            </w:pPr>
            <w:r w:rsidRPr="00743AC4">
              <w:rPr>
                <w:rFonts w:cs="Times New Roman"/>
                <w:noProof/>
                <w:sz w:val="18"/>
                <w:szCs w:val="18"/>
                <w:lang w:val="en-GB"/>
              </w:rPr>
              <w:t xml:space="preserve">Hausman test    </w:t>
            </w:r>
          </w:p>
        </w:tc>
        <w:tc>
          <w:tcPr>
            <w:tcW w:w="1940" w:type="dxa"/>
            <w:gridSpan w:val="2"/>
            <w:shd w:val="clear" w:color="auto" w:fill="auto"/>
            <w:noWrap/>
            <w:vAlign w:val="center"/>
          </w:tcPr>
          <w:p w:rsidR="009973A2" w:rsidRPr="00743AC4" w:rsidRDefault="009973A2" w:rsidP="00C96CD3">
            <w:pPr>
              <w:ind w:firstLine="0"/>
              <w:jc w:val="left"/>
              <w:rPr>
                <w:rFonts w:cs="Times New Roman"/>
                <w:noProof/>
                <w:color w:val="000000"/>
                <w:sz w:val="18"/>
                <w:szCs w:val="18"/>
                <w:lang w:val="en-GB"/>
              </w:rPr>
            </w:pPr>
            <w:r w:rsidRPr="00743AC4">
              <w:rPr>
                <w:rFonts w:cs="Times New Roman"/>
                <w:noProof/>
                <w:color w:val="000000"/>
                <w:sz w:val="18"/>
                <w:szCs w:val="18"/>
                <w:lang w:val="en-GB"/>
              </w:rPr>
              <w:t>4664 (0.000)</w:t>
            </w:r>
          </w:p>
        </w:tc>
        <w:tc>
          <w:tcPr>
            <w:tcW w:w="185" w:type="dxa"/>
            <w:shd w:val="clear" w:color="auto" w:fill="auto"/>
            <w:noWrap/>
            <w:vAlign w:val="bottom"/>
          </w:tcPr>
          <w:p w:rsidR="009973A2" w:rsidRPr="00743AC4" w:rsidRDefault="009973A2" w:rsidP="00C96CD3">
            <w:pPr>
              <w:ind w:firstLine="0"/>
              <w:jc w:val="left"/>
              <w:rPr>
                <w:rFonts w:cs="Times New Roman"/>
                <w:noProof/>
                <w:color w:val="000000"/>
                <w:sz w:val="18"/>
                <w:szCs w:val="18"/>
                <w:lang w:val="en-GB"/>
              </w:rPr>
            </w:pPr>
          </w:p>
        </w:tc>
        <w:tc>
          <w:tcPr>
            <w:tcW w:w="1913" w:type="dxa"/>
            <w:gridSpan w:val="2"/>
            <w:shd w:val="clear" w:color="auto" w:fill="auto"/>
            <w:noWrap/>
            <w:vAlign w:val="center"/>
          </w:tcPr>
          <w:p w:rsidR="009973A2" w:rsidRPr="00743AC4" w:rsidRDefault="009973A2" w:rsidP="00C96CD3">
            <w:pPr>
              <w:ind w:firstLine="0"/>
              <w:jc w:val="left"/>
              <w:rPr>
                <w:rFonts w:cs="Times New Roman"/>
                <w:noProof/>
                <w:color w:val="000000"/>
                <w:sz w:val="18"/>
                <w:szCs w:val="18"/>
                <w:lang w:val="en-GB"/>
              </w:rPr>
            </w:pPr>
            <w:r w:rsidRPr="00743AC4">
              <w:rPr>
                <w:rFonts w:cs="Times New Roman"/>
                <w:noProof/>
                <w:color w:val="000000"/>
                <w:sz w:val="18"/>
                <w:szCs w:val="18"/>
                <w:lang w:val="en-GB"/>
              </w:rPr>
              <w:t xml:space="preserve"> 66.63 (0.000)</w:t>
            </w:r>
          </w:p>
        </w:tc>
        <w:tc>
          <w:tcPr>
            <w:tcW w:w="185" w:type="dxa"/>
            <w:shd w:val="clear" w:color="auto" w:fill="auto"/>
            <w:noWrap/>
            <w:vAlign w:val="center"/>
          </w:tcPr>
          <w:p w:rsidR="009973A2" w:rsidRPr="00743AC4" w:rsidRDefault="009973A2" w:rsidP="00C96CD3">
            <w:pPr>
              <w:ind w:firstLine="0"/>
              <w:jc w:val="left"/>
              <w:rPr>
                <w:rFonts w:cs="Times New Roman"/>
                <w:noProof/>
                <w:color w:val="000000"/>
                <w:sz w:val="18"/>
                <w:szCs w:val="18"/>
                <w:lang w:val="en-GB"/>
              </w:rPr>
            </w:pPr>
          </w:p>
        </w:tc>
        <w:tc>
          <w:tcPr>
            <w:tcW w:w="3152" w:type="dxa"/>
            <w:gridSpan w:val="4"/>
            <w:shd w:val="clear" w:color="000000" w:fill="FFFFFF"/>
            <w:noWrap/>
            <w:vAlign w:val="bottom"/>
          </w:tcPr>
          <w:p w:rsidR="009973A2" w:rsidRPr="00743AC4" w:rsidRDefault="009973A2" w:rsidP="00C96CD3">
            <w:pPr>
              <w:ind w:firstLine="0"/>
              <w:jc w:val="right"/>
              <w:rPr>
                <w:rFonts w:cs="Times New Roman"/>
                <w:noProof/>
                <w:color w:val="000000"/>
                <w:sz w:val="18"/>
                <w:szCs w:val="18"/>
                <w:lang w:val="en-GB"/>
              </w:rPr>
            </w:pPr>
          </w:p>
        </w:tc>
        <w:tc>
          <w:tcPr>
            <w:tcW w:w="934" w:type="dxa"/>
            <w:shd w:val="clear" w:color="auto" w:fill="auto"/>
            <w:noWrap/>
            <w:vAlign w:val="bottom"/>
          </w:tcPr>
          <w:p w:rsidR="009973A2" w:rsidRPr="00743AC4" w:rsidRDefault="009973A2" w:rsidP="00C96CD3">
            <w:pPr>
              <w:ind w:firstLine="0"/>
              <w:jc w:val="right"/>
              <w:rPr>
                <w:rFonts w:cs="Times New Roman"/>
                <w:noProof/>
                <w:color w:val="000000"/>
                <w:sz w:val="18"/>
                <w:szCs w:val="18"/>
                <w:lang w:val="en-GB"/>
              </w:rPr>
            </w:pPr>
          </w:p>
        </w:tc>
      </w:tr>
      <w:tr w:rsidR="009973A2" w:rsidRPr="00743AC4" w:rsidTr="00C96CD3">
        <w:trPr>
          <w:trHeight w:val="228"/>
          <w:jc w:val="center"/>
        </w:trPr>
        <w:tc>
          <w:tcPr>
            <w:tcW w:w="4679" w:type="dxa"/>
            <w:gridSpan w:val="5"/>
            <w:shd w:val="clear" w:color="000000" w:fill="FFFFFF"/>
            <w:noWrap/>
            <w:vAlign w:val="bottom"/>
            <w:hideMark/>
          </w:tcPr>
          <w:p w:rsidR="009973A2" w:rsidRPr="00743AC4" w:rsidRDefault="009973A2" w:rsidP="00C96CD3">
            <w:pPr>
              <w:ind w:firstLine="0"/>
              <w:jc w:val="left"/>
              <w:rPr>
                <w:rFonts w:cs="Times New Roman"/>
                <w:noProof/>
                <w:color w:val="000000"/>
                <w:sz w:val="18"/>
                <w:szCs w:val="18"/>
                <w:lang w:val="en-GB"/>
              </w:rPr>
            </w:pPr>
            <w:r w:rsidRPr="00743AC4">
              <w:rPr>
                <w:rFonts w:cs="Times New Roman"/>
                <w:noProof/>
                <w:color w:val="000000"/>
                <w:sz w:val="18"/>
                <w:szCs w:val="18"/>
                <w:lang w:val="en-GB"/>
              </w:rPr>
              <w:t xml:space="preserve">P-values in parentheses </w:t>
            </w:r>
          </w:p>
        </w:tc>
        <w:tc>
          <w:tcPr>
            <w:tcW w:w="933" w:type="dxa"/>
            <w:shd w:val="clear" w:color="auto" w:fill="auto"/>
            <w:noWrap/>
            <w:vAlign w:val="center"/>
            <w:hideMark/>
          </w:tcPr>
          <w:p w:rsidR="009973A2" w:rsidRPr="00743AC4" w:rsidRDefault="009973A2" w:rsidP="00C96CD3">
            <w:pPr>
              <w:ind w:firstLine="0"/>
              <w:jc w:val="left"/>
              <w:rPr>
                <w:rFonts w:cs="Times New Roman"/>
                <w:noProof/>
                <w:color w:val="000000"/>
                <w:sz w:val="18"/>
                <w:szCs w:val="18"/>
                <w:lang w:val="en-GB"/>
              </w:rPr>
            </w:pPr>
          </w:p>
        </w:tc>
        <w:tc>
          <w:tcPr>
            <w:tcW w:w="185" w:type="dxa"/>
            <w:shd w:val="clear" w:color="auto" w:fill="auto"/>
            <w:noWrap/>
            <w:vAlign w:val="center"/>
            <w:hideMark/>
          </w:tcPr>
          <w:p w:rsidR="009973A2" w:rsidRPr="00743AC4" w:rsidRDefault="009973A2" w:rsidP="00C96CD3">
            <w:pPr>
              <w:ind w:firstLine="0"/>
              <w:jc w:val="right"/>
              <w:rPr>
                <w:rFonts w:cs="Times New Roman"/>
                <w:noProof/>
                <w:sz w:val="18"/>
                <w:szCs w:val="18"/>
                <w:lang w:val="en-GB"/>
              </w:rPr>
            </w:pPr>
          </w:p>
        </w:tc>
        <w:tc>
          <w:tcPr>
            <w:tcW w:w="3152" w:type="dxa"/>
            <w:gridSpan w:val="4"/>
            <w:shd w:val="clear" w:color="000000" w:fill="FFFFFF"/>
            <w:noWrap/>
            <w:vAlign w:val="bottom"/>
            <w:hideMark/>
          </w:tcPr>
          <w:p w:rsidR="009973A2" w:rsidRPr="00743AC4" w:rsidRDefault="009973A2" w:rsidP="00C96CD3">
            <w:pPr>
              <w:ind w:firstLine="0"/>
              <w:jc w:val="right"/>
              <w:rPr>
                <w:rFonts w:cs="Times New Roman"/>
                <w:noProof/>
                <w:color w:val="000000"/>
                <w:sz w:val="18"/>
                <w:szCs w:val="18"/>
                <w:lang w:val="en-GB"/>
              </w:rPr>
            </w:pPr>
            <w:r w:rsidRPr="00743AC4">
              <w:rPr>
                <w:rFonts w:cs="Times New Roman"/>
                <w:noProof/>
                <w:color w:val="000000"/>
                <w:sz w:val="18"/>
                <w:szCs w:val="18"/>
                <w:lang w:val="en-GB"/>
              </w:rPr>
              <w:t>AR (1): (0.013)                     AR (1)</w:t>
            </w:r>
          </w:p>
        </w:tc>
        <w:tc>
          <w:tcPr>
            <w:tcW w:w="934" w:type="dxa"/>
            <w:shd w:val="clear" w:color="auto" w:fill="auto"/>
            <w:noWrap/>
            <w:vAlign w:val="bottom"/>
            <w:hideMark/>
          </w:tcPr>
          <w:p w:rsidR="009973A2" w:rsidRPr="00743AC4" w:rsidRDefault="009973A2" w:rsidP="00C96CD3">
            <w:pPr>
              <w:ind w:firstLine="0"/>
              <w:jc w:val="right"/>
              <w:rPr>
                <w:rFonts w:cs="Times New Roman"/>
                <w:noProof/>
                <w:color w:val="000000"/>
                <w:sz w:val="18"/>
                <w:szCs w:val="18"/>
                <w:lang w:val="en-GB"/>
              </w:rPr>
            </w:pPr>
            <w:r w:rsidRPr="00743AC4">
              <w:rPr>
                <w:rFonts w:cs="Times New Roman"/>
                <w:noProof/>
                <w:color w:val="000000"/>
                <w:sz w:val="18"/>
                <w:szCs w:val="18"/>
                <w:lang w:val="en-GB"/>
              </w:rPr>
              <w:t>(0.012)</w:t>
            </w:r>
          </w:p>
        </w:tc>
      </w:tr>
      <w:tr w:rsidR="009973A2" w:rsidRPr="00743AC4" w:rsidTr="00C96CD3">
        <w:trPr>
          <w:trHeight w:val="228"/>
          <w:jc w:val="center"/>
        </w:trPr>
        <w:tc>
          <w:tcPr>
            <w:tcW w:w="4679" w:type="dxa"/>
            <w:gridSpan w:val="5"/>
            <w:shd w:val="clear" w:color="000000" w:fill="FFFFFF"/>
            <w:noWrap/>
            <w:vAlign w:val="bottom"/>
            <w:hideMark/>
          </w:tcPr>
          <w:p w:rsidR="009973A2" w:rsidRPr="00743AC4" w:rsidRDefault="009973A2" w:rsidP="00C96CD3">
            <w:pPr>
              <w:ind w:firstLine="0"/>
              <w:jc w:val="left"/>
              <w:rPr>
                <w:rFonts w:cs="Times New Roman"/>
                <w:noProof/>
                <w:color w:val="000000"/>
                <w:sz w:val="18"/>
                <w:szCs w:val="18"/>
                <w:lang w:val="en-GB"/>
              </w:rPr>
            </w:pPr>
            <w:r w:rsidRPr="00743AC4">
              <w:rPr>
                <w:rFonts w:cs="Times New Roman"/>
                <w:noProof/>
                <w:color w:val="000000"/>
                <w:sz w:val="18"/>
                <w:szCs w:val="18"/>
                <w:lang w:val="en-GB"/>
              </w:rPr>
              <w:t>* Significance at 1% level.</w:t>
            </w:r>
          </w:p>
        </w:tc>
        <w:tc>
          <w:tcPr>
            <w:tcW w:w="933" w:type="dxa"/>
            <w:shd w:val="clear" w:color="auto" w:fill="auto"/>
            <w:noWrap/>
            <w:vAlign w:val="center"/>
            <w:hideMark/>
          </w:tcPr>
          <w:p w:rsidR="009973A2" w:rsidRPr="00743AC4" w:rsidRDefault="009973A2" w:rsidP="00C96CD3">
            <w:pPr>
              <w:ind w:firstLine="0"/>
              <w:jc w:val="left"/>
              <w:rPr>
                <w:rFonts w:cs="Times New Roman"/>
                <w:noProof/>
                <w:color w:val="000000"/>
                <w:sz w:val="18"/>
                <w:szCs w:val="18"/>
                <w:lang w:val="en-GB"/>
              </w:rPr>
            </w:pPr>
          </w:p>
        </w:tc>
        <w:tc>
          <w:tcPr>
            <w:tcW w:w="185" w:type="dxa"/>
            <w:shd w:val="clear" w:color="auto" w:fill="auto"/>
            <w:noWrap/>
            <w:vAlign w:val="center"/>
            <w:hideMark/>
          </w:tcPr>
          <w:p w:rsidR="009973A2" w:rsidRPr="00743AC4" w:rsidRDefault="009973A2" w:rsidP="00C96CD3">
            <w:pPr>
              <w:ind w:firstLine="0"/>
              <w:jc w:val="right"/>
              <w:rPr>
                <w:rFonts w:cs="Times New Roman"/>
                <w:noProof/>
                <w:sz w:val="18"/>
                <w:szCs w:val="18"/>
                <w:lang w:val="en-GB"/>
              </w:rPr>
            </w:pPr>
          </w:p>
        </w:tc>
        <w:tc>
          <w:tcPr>
            <w:tcW w:w="3152" w:type="dxa"/>
            <w:gridSpan w:val="4"/>
            <w:shd w:val="clear" w:color="000000" w:fill="FFFFFF"/>
            <w:noWrap/>
            <w:vAlign w:val="bottom"/>
            <w:hideMark/>
          </w:tcPr>
          <w:p w:rsidR="009973A2" w:rsidRPr="00743AC4" w:rsidRDefault="009973A2" w:rsidP="00C96CD3">
            <w:pPr>
              <w:ind w:firstLine="0"/>
              <w:jc w:val="right"/>
              <w:rPr>
                <w:rFonts w:cs="Times New Roman"/>
                <w:noProof/>
                <w:color w:val="000000"/>
                <w:sz w:val="18"/>
                <w:szCs w:val="18"/>
                <w:lang w:val="en-GB"/>
              </w:rPr>
            </w:pPr>
            <w:r w:rsidRPr="00743AC4">
              <w:rPr>
                <w:rFonts w:cs="Times New Roman"/>
                <w:noProof/>
                <w:color w:val="000000"/>
                <w:sz w:val="18"/>
                <w:szCs w:val="18"/>
                <w:lang w:val="en-GB"/>
              </w:rPr>
              <w:t xml:space="preserve">      AR (2):  (0.126)                    AR (2)</w:t>
            </w:r>
          </w:p>
        </w:tc>
        <w:tc>
          <w:tcPr>
            <w:tcW w:w="934" w:type="dxa"/>
            <w:shd w:val="clear" w:color="auto" w:fill="auto"/>
            <w:noWrap/>
            <w:vAlign w:val="bottom"/>
            <w:hideMark/>
          </w:tcPr>
          <w:p w:rsidR="009973A2" w:rsidRPr="00743AC4" w:rsidRDefault="009973A2" w:rsidP="00C96CD3">
            <w:pPr>
              <w:ind w:firstLine="0"/>
              <w:jc w:val="right"/>
              <w:rPr>
                <w:rFonts w:cs="Times New Roman"/>
                <w:noProof/>
                <w:color w:val="000000"/>
                <w:sz w:val="18"/>
                <w:szCs w:val="18"/>
                <w:lang w:val="en-GB"/>
              </w:rPr>
            </w:pPr>
            <w:r w:rsidRPr="00743AC4">
              <w:rPr>
                <w:rFonts w:cs="Times New Roman"/>
                <w:noProof/>
                <w:color w:val="000000"/>
                <w:sz w:val="18"/>
                <w:szCs w:val="18"/>
                <w:lang w:val="en-GB"/>
              </w:rPr>
              <w:t>(0.202</w:t>
            </w:r>
            <w:r w:rsidRPr="00743AC4">
              <w:rPr>
                <w:rFonts w:cs="Times New Roman"/>
                <w:noProof/>
                <w:color w:val="FFFFFF"/>
                <w:sz w:val="18"/>
                <w:szCs w:val="18"/>
                <w:lang w:val="en-GB"/>
              </w:rPr>
              <w:t>]</w:t>
            </w:r>
            <w:r w:rsidRPr="00743AC4">
              <w:rPr>
                <w:rFonts w:cs="Times New Roman"/>
                <w:noProof/>
                <w:color w:val="000000"/>
                <w:sz w:val="18"/>
                <w:szCs w:val="18"/>
                <w:lang w:val="en-GB"/>
              </w:rPr>
              <w:t>)</w:t>
            </w:r>
          </w:p>
        </w:tc>
      </w:tr>
      <w:tr w:rsidR="009973A2" w:rsidRPr="00743AC4" w:rsidTr="00C96CD3">
        <w:trPr>
          <w:trHeight w:val="228"/>
          <w:jc w:val="center"/>
        </w:trPr>
        <w:tc>
          <w:tcPr>
            <w:tcW w:w="4679" w:type="dxa"/>
            <w:gridSpan w:val="5"/>
            <w:shd w:val="clear" w:color="000000" w:fill="FFFFFF"/>
            <w:noWrap/>
            <w:vAlign w:val="bottom"/>
            <w:hideMark/>
          </w:tcPr>
          <w:p w:rsidR="009973A2" w:rsidRPr="00743AC4" w:rsidRDefault="009973A2" w:rsidP="00C96CD3">
            <w:pPr>
              <w:ind w:firstLine="0"/>
              <w:jc w:val="left"/>
              <w:rPr>
                <w:rFonts w:cs="Times New Roman"/>
                <w:noProof/>
                <w:color w:val="000000"/>
                <w:sz w:val="18"/>
                <w:szCs w:val="18"/>
                <w:lang w:val="en-GB"/>
              </w:rPr>
            </w:pPr>
            <w:r w:rsidRPr="00743AC4">
              <w:rPr>
                <w:rFonts w:cs="Times New Roman"/>
                <w:noProof/>
                <w:color w:val="000000"/>
                <w:sz w:val="18"/>
                <w:szCs w:val="18"/>
                <w:lang w:val="en-GB"/>
              </w:rPr>
              <w:t>** Significance at 5% level.</w:t>
            </w:r>
          </w:p>
        </w:tc>
        <w:tc>
          <w:tcPr>
            <w:tcW w:w="933" w:type="dxa"/>
            <w:shd w:val="clear" w:color="auto" w:fill="auto"/>
            <w:noWrap/>
            <w:vAlign w:val="center"/>
            <w:hideMark/>
          </w:tcPr>
          <w:p w:rsidR="009973A2" w:rsidRPr="00743AC4" w:rsidRDefault="009973A2" w:rsidP="00C96CD3">
            <w:pPr>
              <w:ind w:firstLine="0"/>
              <w:jc w:val="left"/>
              <w:rPr>
                <w:rFonts w:cs="Times New Roman"/>
                <w:noProof/>
                <w:color w:val="000000"/>
                <w:sz w:val="18"/>
                <w:szCs w:val="18"/>
                <w:lang w:val="en-GB"/>
              </w:rPr>
            </w:pPr>
          </w:p>
        </w:tc>
        <w:tc>
          <w:tcPr>
            <w:tcW w:w="185" w:type="dxa"/>
            <w:shd w:val="clear" w:color="auto" w:fill="auto"/>
            <w:noWrap/>
            <w:vAlign w:val="center"/>
            <w:hideMark/>
          </w:tcPr>
          <w:p w:rsidR="009973A2" w:rsidRPr="00743AC4" w:rsidRDefault="009973A2" w:rsidP="00C96CD3">
            <w:pPr>
              <w:ind w:firstLine="0"/>
              <w:jc w:val="right"/>
              <w:rPr>
                <w:rFonts w:cs="Times New Roman"/>
                <w:noProof/>
                <w:sz w:val="18"/>
                <w:szCs w:val="18"/>
                <w:lang w:val="en-GB"/>
              </w:rPr>
            </w:pPr>
          </w:p>
        </w:tc>
        <w:tc>
          <w:tcPr>
            <w:tcW w:w="3152" w:type="dxa"/>
            <w:gridSpan w:val="4"/>
            <w:shd w:val="clear" w:color="000000" w:fill="FFFFFF"/>
            <w:noWrap/>
            <w:vAlign w:val="bottom"/>
            <w:hideMark/>
          </w:tcPr>
          <w:p w:rsidR="009973A2" w:rsidRPr="00743AC4" w:rsidRDefault="009973A2" w:rsidP="00C96CD3">
            <w:pPr>
              <w:ind w:firstLine="0"/>
              <w:jc w:val="right"/>
              <w:rPr>
                <w:rFonts w:cs="Times New Roman"/>
                <w:noProof/>
                <w:color w:val="000000"/>
                <w:sz w:val="18"/>
                <w:szCs w:val="18"/>
                <w:lang w:val="en-GB"/>
              </w:rPr>
            </w:pPr>
            <w:r w:rsidRPr="00743AC4">
              <w:rPr>
                <w:rFonts w:cs="Times New Roman"/>
                <w:noProof/>
                <w:color w:val="000000"/>
                <w:sz w:val="18"/>
                <w:szCs w:val="18"/>
                <w:lang w:val="en-GB"/>
              </w:rPr>
              <w:t xml:space="preserve">         Hansen (0.448</w:t>
            </w:r>
            <w:r w:rsidRPr="00743AC4">
              <w:rPr>
                <w:rFonts w:cs="Times New Roman"/>
                <w:noProof/>
                <w:color w:val="FFFFFF"/>
                <w:sz w:val="18"/>
                <w:szCs w:val="18"/>
                <w:lang w:val="en-GB"/>
              </w:rPr>
              <w:t>]</w:t>
            </w:r>
            <w:r w:rsidRPr="00743AC4">
              <w:rPr>
                <w:rFonts w:cs="Times New Roman"/>
                <w:noProof/>
                <w:color w:val="000000"/>
                <w:sz w:val="18"/>
                <w:szCs w:val="18"/>
                <w:lang w:val="en-GB"/>
              </w:rPr>
              <w:t>)                Hansen</w:t>
            </w:r>
          </w:p>
        </w:tc>
        <w:tc>
          <w:tcPr>
            <w:tcW w:w="934" w:type="dxa"/>
            <w:shd w:val="clear" w:color="auto" w:fill="auto"/>
            <w:noWrap/>
            <w:vAlign w:val="center"/>
            <w:hideMark/>
          </w:tcPr>
          <w:p w:rsidR="009973A2" w:rsidRPr="00743AC4" w:rsidRDefault="009973A2" w:rsidP="00C96CD3">
            <w:pPr>
              <w:ind w:firstLine="0"/>
              <w:jc w:val="right"/>
              <w:rPr>
                <w:rFonts w:cs="Times New Roman"/>
                <w:noProof/>
                <w:color w:val="000000"/>
                <w:sz w:val="18"/>
                <w:szCs w:val="18"/>
                <w:lang w:val="en-GB"/>
              </w:rPr>
            </w:pPr>
            <w:r w:rsidRPr="00743AC4">
              <w:rPr>
                <w:rFonts w:cs="Times New Roman"/>
                <w:noProof/>
                <w:color w:val="000000"/>
                <w:sz w:val="18"/>
                <w:szCs w:val="18"/>
                <w:lang w:val="en-GB"/>
              </w:rPr>
              <w:t>(0.358</w:t>
            </w:r>
            <w:r w:rsidRPr="00743AC4">
              <w:rPr>
                <w:rFonts w:cs="Times New Roman"/>
                <w:noProof/>
                <w:color w:val="FFFFFF"/>
                <w:sz w:val="18"/>
                <w:szCs w:val="18"/>
                <w:lang w:val="en-GB"/>
              </w:rPr>
              <w:t>]</w:t>
            </w:r>
            <w:r w:rsidRPr="00743AC4">
              <w:rPr>
                <w:rFonts w:cs="Times New Roman"/>
                <w:noProof/>
                <w:color w:val="000000"/>
                <w:sz w:val="18"/>
                <w:szCs w:val="18"/>
                <w:lang w:val="en-GB"/>
              </w:rPr>
              <w:t>)</w:t>
            </w:r>
          </w:p>
        </w:tc>
      </w:tr>
      <w:tr w:rsidR="009973A2" w:rsidRPr="00743AC4" w:rsidTr="00C96CD3">
        <w:trPr>
          <w:trHeight w:val="228"/>
          <w:jc w:val="center"/>
        </w:trPr>
        <w:tc>
          <w:tcPr>
            <w:tcW w:w="4679" w:type="dxa"/>
            <w:gridSpan w:val="5"/>
            <w:shd w:val="clear" w:color="000000" w:fill="FFFFFF"/>
            <w:noWrap/>
            <w:vAlign w:val="bottom"/>
            <w:hideMark/>
          </w:tcPr>
          <w:p w:rsidR="009973A2" w:rsidRPr="00743AC4" w:rsidRDefault="009973A2" w:rsidP="00C96CD3">
            <w:pPr>
              <w:ind w:firstLine="0"/>
              <w:jc w:val="left"/>
              <w:rPr>
                <w:rFonts w:cs="Times New Roman"/>
                <w:noProof/>
                <w:color w:val="000000"/>
                <w:sz w:val="18"/>
                <w:szCs w:val="18"/>
                <w:lang w:val="en-GB"/>
              </w:rPr>
            </w:pPr>
            <w:r w:rsidRPr="00743AC4">
              <w:rPr>
                <w:rFonts w:cs="Times New Roman"/>
                <w:noProof/>
                <w:color w:val="000000"/>
                <w:sz w:val="18"/>
                <w:szCs w:val="18"/>
                <w:lang w:val="en-GB"/>
              </w:rPr>
              <w:t>*** Significance at 10% level.</w:t>
            </w:r>
          </w:p>
        </w:tc>
        <w:tc>
          <w:tcPr>
            <w:tcW w:w="933" w:type="dxa"/>
            <w:shd w:val="clear" w:color="auto" w:fill="auto"/>
            <w:noWrap/>
            <w:vAlign w:val="center"/>
            <w:hideMark/>
          </w:tcPr>
          <w:p w:rsidR="009973A2" w:rsidRPr="00743AC4" w:rsidRDefault="009973A2" w:rsidP="00C96CD3">
            <w:pPr>
              <w:ind w:firstLine="0"/>
              <w:jc w:val="right"/>
              <w:rPr>
                <w:rFonts w:cs="Times New Roman"/>
                <w:noProof/>
                <w:color w:val="000000"/>
                <w:sz w:val="18"/>
                <w:szCs w:val="18"/>
                <w:lang w:val="en-GB"/>
              </w:rPr>
            </w:pPr>
            <w:r w:rsidRPr="00743AC4">
              <w:rPr>
                <w:rFonts w:cs="Times New Roman"/>
                <w:noProof/>
                <w:color w:val="000000"/>
                <w:sz w:val="18"/>
                <w:szCs w:val="18"/>
                <w:lang w:val="en-GB"/>
              </w:rPr>
              <w:t> </w:t>
            </w:r>
          </w:p>
        </w:tc>
        <w:tc>
          <w:tcPr>
            <w:tcW w:w="185" w:type="dxa"/>
            <w:shd w:val="clear" w:color="auto" w:fill="auto"/>
            <w:noWrap/>
            <w:vAlign w:val="center"/>
            <w:hideMark/>
          </w:tcPr>
          <w:p w:rsidR="009973A2" w:rsidRPr="00743AC4" w:rsidRDefault="009973A2" w:rsidP="00C96CD3">
            <w:pPr>
              <w:ind w:firstLine="0"/>
              <w:jc w:val="left"/>
              <w:rPr>
                <w:rFonts w:cs="Times New Roman"/>
                <w:noProof/>
                <w:color w:val="000000"/>
                <w:sz w:val="18"/>
                <w:szCs w:val="18"/>
                <w:lang w:val="en-GB"/>
              </w:rPr>
            </w:pPr>
            <w:r w:rsidRPr="00743AC4">
              <w:rPr>
                <w:rFonts w:cs="Times New Roman"/>
                <w:noProof/>
                <w:color w:val="000000"/>
                <w:sz w:val="18"/>
                <w:szCs w:val="18"/>
                <w:lang w:val="en-GB"/>
              </w:rPr>
              <w:t> </w:t>
            </w:r>
          </w:p>
        </w:tc>
        <w:tc>
          <w:tcPr>
            <w:tcW w:w="3152" w:type="dxa"/>
            <w:gridSpan w:val="4"/>
            <w:shd w:val="clear" w:color="000000" w:fill="FFFFFF"/>
            <w:noWrap/>
            <w:vAlign w:val="bottom"/>
            <w:hideMark/>
          </w:tcPr>
          <w:p w:rsidR="009973A2" w:rsidRPr="00743AC4" w:rsidRDefault="009973A2" w:rsidP="00C96CD3">
            <w:pPr>
              <w:ind w:firstLine="0"/>
              <w:rPr>
                <w:rFonts w:cs="Times New Roman"/>
                <w:noProof/>
                <w:color w:val="000000"/>
                <w:sz w:val="18"/>
                <w:szCs w:val="18"/>
                <w:lang w:val="en-GB"/>
              </w:rPr>
            </w:pPr>
            <w:r w:rsidRPr="00743AC4">
              <w:rPr>
                <w:rFonts w:cs="Times New Roman"/>
                <w:noProof/>
                <w:color w:val="000000"/>
                <w:sz w:val="18"/>
                <w:szCs w:val="18"/>
                <w:lang w:val="en-GB"/>
              </w:rPr>
              <w:t xml:space="preserve">       Hansen-Diff (0.970)         Hansen-Diff </w:t>
            </w:r>
          </w:p>
        </w:tc>
        <w:tc>
          <w:tcPr>
            <w:tcW w:w="934" w:type="dxa"/>
            <w:shd w:val="clear" w:color="auto" w:fill="auto"/>
            <w:noWrap/>
            <w:vAlign w:val="center"/>
            <w:hideMark/>
          </w:tcPr>
          <w:p w:rsidR="009973A2" w:rsidRPr="00743AC4" w:rsidRDefault="009973A2" w:rsidP="00C96CD3">
            <w:pPr>
              <w:ind w:firstLine="0"/>
              <w:jc w:val="right"/>
              <w:rPr>
                <w:rFonts w:cs="Times New Roman"/>
                <w:noProof/>
                <w:color w:val="000000"/>
                <w:sz w:val="18"/>
                <w:szCs w:val="18"/>
                <w:lang w:val="en-GB"/>
              </w:rPr>
            </w:pPr>
            <w:r w:rsidRPr="00743AC4">
              <w:rPr>
                <w:rFonts w:cs="Times New Roman"/>
                <w:noProof/>
                <w:color w:val="000000"/>
                <w:sz w:val="18"/>
                <w:szCs w:val="18"/>
                <w:lang w:val="en-GB"/>
              </w:rPr>
              <w:t>(0.578) </w:t>
            </w:r>
          </w:p>
        </w:tc>
      </w:tr>
      <w:tr w:rsidR="009973A2" w:rsidRPr="00743AC4" w:rsidTr="00C96CD3">
        <w:trPr>
          <w:trHeight w:val="228"/>
          <w:jc w:val="center"/>
        </w:trPr>
        <w:tc>
          <w:tcPr>
            <w:tcW w:w="4679" w:type="dxa"/>
            <w:gridSpan w:val="5"/>
            <w:tcBorders>
              <w:bottom w:val="single" w:sz="8" w:space="0" w:color="000000"/>
            </w:tcBorders>
            <w:shd w:val="clear" w:color="000000" w:fill="FFFFFF"/>
            <w:noWrap/>
            <w:vAlign w:val="bottom"/>
          </w:tcPr>
          <w:p w:rsidR="009973A2" w:rsidRPr="00743AC4" w:rsidRDefault="009973A2" w:rsidP="00C96CD3">
            <w:pPr>
              <w:ind w:firstLine="0"/>
              <w:jc w:val="left"/>
              <w:rPr>
                <w:rFonts w:cs="Times New Roman"/>
                <w:noProof/>
                <w:color w:val="000000"/>
                <w:sz w:val="18"/>
                <w:szCs w:val="18"/>
                <w:lang w:val="en-GB"/>
              </w:rPr>
            </w:pPr>
            <w:r w:rsidRPr="00743AC4">
              <w:rPr>
                <w:rFonts w:cs="Times New Roman"/>
                <w:noProof/>
                <w:color w:val="000000"/>
                <w:sz w:val="18"/>
                <w:szCs w:val="18"/>
                <w:lang w:val="en-GB"/>
              </w:rPr>
              <w:t>AR (1) = Test of first order autocorrelation</w:t>
            </w:r>
          </w:p>
          <w:p w:rsidR="009973A2" w:rsidRPr="00743AC4" w:rsidRDefault="009973A2" w:rsidP="00C96CD3">
            <w:pPr>
              <w:ind w:firstLine="0"/>
              <w:jc w:val="left"/>
              <w:rPr>
                <w:rFonts w:cs="Times New Roman"/>
                <w:noProof/>
                <w:color w:val="000000"/>
                <w:sz w:val="18"/>
                <w:szCs w:val="18"/>
                <w:lang w:val="en-GB"/>
              </w:rPr>
            </w:pPr>
            <w:r w:rsidRPr="00743AC4">
              <w:rPr>
                <w:rFonts w:cs="Times New Roman"/>
                <w:noProof/>
                <w:color w:val="000000"/>
                <w:sz w:val="18"/>
                <w:szCs w:val="18"/>
                <w:lang w:val="en-GB"/>
              </w:rPr>
              <w:t xml:space="preserve">AR (2) = Test of second order autocorrelation  </w:t>
            </w:r>
          </w:p>
        </w:tc>
        <w:tc>
          <w:tcPr>
            <w:tcW w:w="933" w:type="dxa"/>
            <w:tcBorders>
              <w:bottom w:val="single" w:sz="8" w:space="0" w:color="000000"/>
            </w:tcBorders>
            <w:shd w:val="clear" w:color="auto" w:fill="auto"/>
            <w:noWrap/>
            <w:vAlign w:val="center"/>
          </w:tcPr>
          <w:p w:rsidR="009973A2" w:rsidRPr="00743AC4" w:rsidRDefault="009973A2" w:rsidP="00C96CD3">
            <w:pPr>
              <w:ind w:firstLine="0"/>
              <w:jc w:val="right"/>
              <w:rPr>
                <w:rFonts w:cs="Times New Roman"/>
                <w:noProof/>
                <w:color w:val="000000"/>
                <w:sz w:val="18"/>
                <w:szCs w:val="18"/>
                <w:lang w:val="en-GB"/>
              </w:rPr>
            </w:pPr>
          </w:p>
        </w:tc>
        <w:tc>
          <w:tcPr>
            <w:tcW w:w="185" w:type="dxa"/>
            <w:tcBorders>
              <w:bottom w:val="single" w:sz="8" w:space="0" w:color="000000"/>
            </w:tcBorders>
            <w:shd w:val="clear" w:color="auto" w:fill="auto"/>
            <w:noWrap/>
            <w:vAlign w:val="center"/>
          </w:tcPr>
          <w:p w:rsidR="009973A2" w:rsidRPr="00743AC4" w:rsidRDefault="009973A2" w:rsidP="00C96CD3">
            <w:pPr>
              <w:ind w:firstLine="0"/>
              <w:jc w:val="left"/>
              <w:rPr>
                <w:rFonts w:cs="Times New Roman"/>
                <w:noProof/>
                <w:color w:val="000000"/>
                <w:sz w:val="18"/>
                <w:szCs w:val="18"/>
                <w:lang w:val="en-GB"/>
              </w:rPr>
            </w:pPr>
          </w:p>
        </w:tc>
        <w:tc>
          <w:tcPr>
            <w:tcW w:w="3152" w:type="dxa"/>
            <w:gridSpan w:val="4"/>
            <w:tcBorders>
              <w:bottom w:val="single" w:sz="8" w:space="0" w:color="000000"/>
            </w:tcBorders>
            <w:shd w:val="clear" w:color="000000" w:fill="FFFFFF"/>
            <w:noWrap/>
            <w:vAlign w:val="bottom"/>
          </w:tcPr>
          <w:p w:rsidR="009973A2" w:rsidRPr="00743AC4" w:rsidRDefault="009973A2" w:rsidP="00C96CD3">
            <w:pPr>
              <w:ind w:firstLine="0"/>
              <w:rPr>
                <w:rFonts w:cs="Times New Roman"/>
                <w:noProof/>
                <w:color w:val="000000"/>
                <w:sz w:val="18"/>
                <w:szCs w:val="18"/>
                <w:lang w:val="en-GB"/>
              </w:rPr>
            </w:pPr>
          </w:p>
        </w:tc>
        <w:tc>
          <w:tcPr>
            <w:tcW w:w="934" w:type="dxa"/>
            <w:tcBorders>
              <w:bottom w:val="single" w:sz="8" w:space="0" w:color="000000"/>
            </w:tcBorders>
            <w:shd w:val="clear" w:color="auto" w:fill="auto"/>
            <w:noWrap/>
            <w:vAlign w:val="center"/>
          </w:tcPr>
          <w:p w:rsidR="009973A2" w:rsidRPr="00743AC4" w:rsidRDefault="009973A2" w:rsidP="00C96CD3">
            <w:pPr>
              <w:ind w:firstLine="0"/>
              <w:jc w:val="right"/>
              <w:rPr>
                <w:rFonts w:cs="Times New Roman"/>
                <w:noProof/>
                <w:color w:val="000000"/>
                <w:sz w:val="18"/>
                <w:szCs w:val="18"/>
                <w:lang w:val="en-GB"/>
              </w:rPr>
            </w:pPr>
          </w:p>
        </w:tc>
      </w:tr>
    </w:tbl>
    <w:p w:rsidR="009973A2" w:rsidRPr="00743AC4" w:rsidRDefault="009973A2" w:rsidP="009973A2">
      <w:pPr>
        <w:ind w:firstLine="0"/>
        <w:jc w:val="center"/>
        <w:rPr>
          <w:rFonts w:cs="Times New Roman"/>
          <w:noProof/>
          <w:lang w:val="en-GB"/>
        </w:rPr>
      </w:pPr>
    </w:p>
    <w:p w:rsidR="009973A2" w:rsidRPr="00743AC4" w:rsidRDefault="009973A2" w:rsidP="009973A2">
      <w:pPr>
        <w:ind w:firstLine="0"/>
        <w:rPr>
          <w:rFonts w:cs="Times New Roman"/>
          <w:noProof/>
          <w:lang w:val="en-GB"/>
        </w:rPr>
      </w:pPr>
      <w:r w:rsidRPr="00743AC4">
        <w:rPr>
          <w:rFonts w:cs="Times New Roman"/>
          <w:noProof/>
          <w:lang w:val="en-GB"/>
        </w:rPr>
        <w:t xml:space="preserve">The results satisfy the hypothesis that </w:t>
      </w:r>
      <w:r w:rsidRPr="00743AC4">
        <w:rPr>
          <w:rFonts w:cs="Times New Roman"/>
          <w:noProof/>
          <w:color w:val="000000"/>
          <w:lang w:val="en-GB"/>
        </w:rPr>
        <w:t xml:space="preserve">the larger the market size of the SSA countries, and the more people's purchasing power grows, the greater will be the FDI flows, in the expectation of serving these markets. </w:t>
      </w:r>
      <w:r w:rsidRPr="00743AC4">
        <w:rPr>
          <w:rFonts w:cs="Times New Roman"/>
          <w:noProof/>
          <w:lang w:val="en-GB"/>
        </w:rPr>
        <w:t>In the case of the economic stability indicator, inflation, suggests that the level of inflation is a very important factor for FDI inflows and may be associated with the fact that unstable macroeconomic environments with</w:t>
      </w:r>
      <w:r w:rsidRPr="00743AC4">
        <w:rPr>
          <w:rFonts w:cs="Times New Roman"/>
          <w:noProof/>
          <w:szCs w:val="24"/>
          <w:lang w:val="en-GB"/>
        </w:rPr>
        <w:t xml:space="preserve"> high inflation rates affect the formation of expectations about the future and consequently the investment decision. Moreover, inflationary environments, besides reducing predictability, negatively influence business profitability. In this sense, the efforts of policy makers</w:t>
      </w:r>
      <w:r w:rsidRPr="00743AC4">
        <w:rPr>
          <w:rFonts w:cs="Times New Roman"/>
          <w:noProof/>
          <w:lang w:val="en-GB"/>
        </w:rPr>
        <w:t xml:space="preserve"> are moving towards keeping inflation under control. </w:t>
      </w:r>
    </w:p>
    <w:p w:rsidR="009973A2" w:rsidRPr="00743AC4" w:rsidRDefault="009973A2" w:rsidP="009973A2">
      <w:pPr>
        <w:ind w:firstLine="0"/>
        <w:rPr>
          <w:rFonts w:cs="Times New Roman"/>
          <w:noProof/>
          <w:lang w:val="en-GB"/>
        </w:rPr>
      </w:pPr>
    </w:p>
    <w:p w:rsidR="009973A2" w:rsidRPr="00743AC4" w:rsidRDefault="009973A2" w:rsidP="009973A2">
      <w:pPr>
        <w:ind w:firstLine="0"/>
        <w:rPr>
          <w:rFonts w:cs="Times New Roman"/>
          <w:noProof/>
          <w:szCs w:val="24"/>
          <w:lang w:val="en-GB"/>
        </w:rPr>
      </w:pPr>
      <w:r w:rsidRPr="00743AC4">
        <w:rPr>
          <w:rFonts w:cs="Times New Roman"/>
          <w:noProof/>
          <w:lang w:val="en-GB"/>
        </w:rPr>
        <w:lastRenderedPageBreak/>
        <w:t xml:space="preserve">Trade openness remains consistent with the literature and is associated with the fact that </w:t>
      </w:r>
      <w:r w:rsidRPr="00743AC4">
        <w:rPr>
          <w:rFonts w:cs="Times New Roman"/>
          <w:noProof/>
          <w:szCs w:val="24"/>
          <w:lang w:val="en-GB"/>
        </w:rPr>
        <w:t xml:space="preserve">open economies are more likely to maintain stable and credible macroeconomic policies than local government regimes, in addition to facilitating the repatriation of gains by direct investors, and to minimise the risk of arbitrary expropriation of assets  </w:t>
      </w:r>
      <w:r w:rsidRPr="00743AC4">
        <w:rPr>
          <w:rFonts w:cs="Times New Roman"/>
          <w:noProof/>
          <w:szCs w:val="24"/>
          <w:lang w:val="en-GB"/>
        </w:rPr>
        <w:fldChar w:fldCharType="begin" w:fldLock="1"/>
      </w:r>
      <w:r w:rsidRPr="00743AC4">
        <w:rPr>
          <w:rFonts w:cs="Times New Roman"/>
          <w:noProof/>
          <w:szCs w:val="24"/>
          <w:lang w:val="en-GB"/>
        </w:rPr>
        <w:instrText>ADDIN CSL_CITATION {"citationItems":[{"id":"ITEM-1","itemData":{"DOI":"10.1177/0169796X04048305","ISSN":"0169796X","abstract":"Despite economic and institutional reform in Africa during the past decade, the flow of Foreign Direct Investment (FDI) to the region continues to be disappointing and uneven. In this study we use the fixed and random effects models to explore whether the stylized determinants of FDI affect FDI flows to Africa in conventional ways. Based on a panel dataset for 29 African countries over the period 1975 to 1999, the paper identifies the following factors as significant for FDI flows to Africa: economic growth, inflation, openness of the economy, international reserves, and natural resource availability. Contrary to conventional wisdom, political rights and infrastructures were found to be unimportant for FDI flows to Africa. The significance of a variable for FDI flows to Africa was found to be dependent on whether country- and time-specific effects are fixed or stochastic.","author":[{"dropping-particle":"","family":"Onyeiwu","given":"Steve","non-dropping-particle":"","parse-names":false,"suffix":""},{"dropping-particle":"","family":"Shrestha","given":"Hemanta","non-dropping-particle":"","parse-names":false,"suffix":""}],"container-title":"Journal of Developing Societies","id":"ITEM-1","issue":"1-2","issued":{"date-parts":[["2004"]]},"page":"89-106","title":"Determinants of foreign direct investment in Africa","type":"article-journal","volume":"20"},"uris":["http://www.mendeley.com/documents/?uuid=6573d757-ebbc-4754-879a-420cdb8392cf"]}],"mendeley":{"formattedCitation":"(Onyeiwu &amp; Shrestha, 2004)","plainTextFormattedCitation":"(Onyeiwu &amp; Shrestha, 2004)","previouslyFormattedCitation":"(Onyeiwu &amp; Shrestha, 2004)"},"properties":{"noteIndex":0},"schema":"https://github.com/citation-style-language/schema/raw/master/csl-citation.json"}</w:instrText>
      </w:r>
      <w:r w:rsidRPr="00743AC4">
        <w:rPr>
          <w:rFonts w:cs="Times New Roman"/>
          <w:noProof/>
          <w:szCs w:val="24"/>
          <w:lang w:val="en-GB"/>
        </w:rPr>
        <w:fldChar w:fldCharType="separate"/>
      </w:r>
      <w:r w:rsidRPr="00743AC4">
        <w:rPr>
          <w:rFonts w:cs="Times New Roman"/>
          <w:noProof/>
          <w:szCs w:val="24"/>
          <w:lang w:val="en-GB"/>
        </w:rPr>
        <w:t>(Onyeiwu and Shrestha, 2004)</w:t>
      </w:r>
      <w:r w:rsidRPr="00743AC4">
        <w:rPr>
          <w:rFonts w:cs="Times New Roman"/>
          <w:noProof/>
          <w:szCs w:val="24"/>
          <w:lang w:val="en-GB"/>
        </w:rPr>
        <w:fldChar w:fldCharType="end"/>
      </w:r>
      <w:r w:rsidRPr="00743AC4">
        <w:rPr>
          <w:rFonts w:cs="Times New Roman"/>
          <w:noProof/>
          <w:szCs w:val="24"/>
          <w:lang w:val="en-GB"/>
        </w:rPr>
        <w:t xml:space="preserve"> should also be noted that this result is in line with the efforts of African countries to introduce regulatory measures aimed at liberalising trade and attracting more foreign investment. </w:t>
      </w:r>
    </w:p>
    <w:p w:rsidR="009973A2" w:rsidRPr="00743AC4" w:rsidRDefault="009973A2" w:rsidP="009973A2">
      <w:pPr>
        <w:ind w:firstLine="0"/>
        <w:rPr>
          <w:rFonts w:cs="Times New Roman"/>
          <w:noProof/>
          <w:color w:val="000000"/>
          <w:lang w:val="en-GB"/>
        </w:rPr>
      </w:pPr>
      <w:r w:rsidRPr="00743AC4">
        <w:rPr>
          <w:rFonts w:cs="Times New Roman"/>
          <w:noProof/>
          <w:color w:val="000000"/>
          <w:lang w:val="en-GB"/>
        </w:rPr>
        <w:t xml:space="preserve">The results of the GMM estimation, contrary to those obtained in the fixed-effect models, indicate that the availability of natural resources impacts on the attraction of FDI flows to SSA, mainly for productive investments whose raw materials are not available in the country of origin and consequently of high cost. </w:t>
      </w:r>
    </w:p>
    <w:p w:rsidR="009973A2" w:rsidRPr="00743AC4" w:rsidRDefault="009973A2" w:rsidP="009973A2">
      <w:pPr>
        <w:ind w:firstLine="0"/>
        <w:rPr>
          <w:rFonts w:cs="Times New Roman"/>
          <w:noProof/>
          <w:color w:val="000000"/>
          <w:lang w:val="en-GB"/>
        </w:rPr>
      </w:pPr>
    </w:p>
    <w:p w:rsidR="009973A2" w:rsidRPr="00743AC4" w:rsidRDefault="009973A2" w:rsidP="009973A2">
      <w:pPr>
        <w:ind w:firstLine="0"/>
        <w:rPr>
          <w:rFonts w:cs="Times New Roman"/>
          <w:noProof/>
          <w:color w:val="000000"/>
          <w:lang w:val="en-GB"/>
        </w:rPr>
      </w:pPr>
      <w:r w:rsidRPr="00743AC4">
        <w:rPr>
          <w:rFonts w:cs="Times New Roman"/>
          <w:noProof/>
          <w:lang w:val="en-GB"/>
        </w:rPr>
        <w:t xml:space="preserve">Regarding the class of institutional variables, the results found suggest that the corruption control indicator presents a greater impact on FDI determinants when compared with government effectiveness that did not present statistical significance. Corruption undermines the attractiveness of FDI, as it increases the costs of economic activities and generally persists in countries where the institutional framework is considered weak. In the case of government efficiency two notes deserve attention, the first is that African countries in general more recently have benefited from institutional improvements, while FDI flows have been less dynamic than before the 2008 financial crisis as a reflection of the low dynamics of world FDI. Another aspect is that possibly the effective governance index has links with GDP growth and inflation control and the same can be observed in the analysis of the correlation between the variables, which may impact on the observed relationships. </w:t>
      </w:r>
    </w:p>
    <w:p w:rsidR="009973A2" w:rsidRPr="00743AC4" w:rsidRDefault="009973A2" w:rsidP="009973A2">
      <w:pPr>
        <w:pStyle w:val="Cabealho1"/>
        <w:numPr>
          <w:ilvl w:val="0"/>
          <w:numId w:val="6"/>
        </w:numPr>
        <w:jc w:val="center"/>
        <w:rPr>
          <w:rFonts w:ascii="Times New Roman" w:hAnsi="Times New Roman" w:cs="Times New Roman"/>
          <w:b/>
          <w:noProof/>
          <w:color w:val="000000" w:themeColor="text1"/>
          <w:lang w:val="en-GB"/>
        </w:rPr>
      </w:pPr>
      <w:r w:rsidRPr="00743AC4">
        <w:rPr>
          <w:rFonts w:ascii="Times New Roman" w:hAnsi="Times New Roman" w:cs="Times New Roman"/>
          <w:b/>
          <w:noProof/>
          <w:color w:val="000000" w:themeColor="text1"/>
          <w:lang w:val="en-GB"/>
        </w:rPr>
        <w:t>Conclusion</w:t>
      </w:r>
    </w:p>
    <w:p w:rsidR="009973A2" w:rsidRPr="00743AC4" w:rsidRDefault="009973A2" w:rsidP="009973A2">
      <w:pPr>
        <w:ind w:firstLine="0"/>
        <w:rPr>
          <w:rFonts w:cs="Times New Roman"/>
          <w:noProof/>
          <w:lang w:val="en-GB"/>
        </w:rPr>
      </w:pPr>
      <w:r w:rsidRPr="00743AC4">
        <w:rPr>
          <w:rFonts w:cs="Times New Roman"/>
          <w:noProof/>
          <w:lang w:val="en-GB"/>
        </w:rPr>
        <w:t xml:space="preserve">This study seeks to strengthen the FDI literature for sub-Saharan African countries by analyzing the factors that drive FDI to the region between 2002 and 2017. The results of the dynamic GMM model suggest that FDI inflows into SSA were mainly in search of markets and natural resources. Given that the level of domestic savings in the region is low and that the challenges of reducing poverty and exploiting the demographic dividend through a more robust labor market persist, FDI flows constitute an important complementary mechanism. </w:t>
      </w:r>
    </w:p>
    <w:p w:rsidR="009973A2" w:rsidRPr="00743AC4" w:rsidRDefault="009973A2" w:rsidP="009973A2">
      <w:pPr>
        <w:ind w:firstLine="0"/>
        <w:rPr>
          <w:rFonts w:cs="Times New Roman"/>
          <w:noProof/>
          <w:lang w:val="en-GB"/>
        </w:rPr>
      </w:pPr>
      <w:r w:rsidRPr="00743AC4">
        <w:rPr>
          <w:rFonts w:cs="Times New Roman"/>
          <w:noProof/>
          <w:lang w:val="en-GB"/>
        </w:rPr>
        <w:t xml:space="preserve">Therefore, measures that can strengthen macroeconomic stability, induce economic growth and control the inflation rate, generating greater predictability in the economy should be a priority. Given that trade openness and market size have a positive influence on FDI, one of the alternatives for the region is a real operationalisation of existing regional trade blocs. Finally, institutional reforms should be encouraged, as countries with high corruption push FDI away because they signal institutional instability. </w:t>
      </w:r>
    </w:p>
    <w:p w:rsidR="009973A2" w:rsidRPr="00743AC4" w:rsidRDefault="009973A2" w:rsidP="009973A2">
      <w:pPr>
        <w:ind w:firstLine="0"/>
        <w:rPr>
          <w:rFonts w:cs="Times New Roman"/>
          <w:noProof/>
          <w:lang w:val="en-GB"/>
        </w:rPr>
      </w:pPr>
    </w:p>
    <w:p w:rsidR="009973A2" w:rsidRPr="00743AC4" w:rsidRDefault="009973A2" w:rsidP="009973A2">
      <w:pPr>
        <w:ind w:firstLine="0"/>
        <w:rPr>
          <w:rFonts w:cs="Times New Roman"/>
          <w:noProof/>
          <w:lang w:val="en-GB"/>
        </w:rPr>
      </w:pPr>
      <w:r w:rsidRPr="00743AC4">
        <w:rPr>
          <w:rFonts w:cs="Times New Roman"/>
          <w:noProof/>
          <w:lang w:val="en-GB"/>
        </w:rPr>
        <w:t xml:space="preserve">The problems related to data availability were one of the main limitations of the work, as they did not allow the inclusion of more countries, variables and still obtain a longer series. Therefore, for future research, it is advisable to develop the model, following the same analysis methodology, exploring more variables related to FDI facilitation policies, namely bilateral investor treaties, double taxation treaties and special investment zones. </w:t>
      </w:r>
    </w:p>
    <w:p w:rsidR="009973A2" w:rsidRPr="00743AC4" w:rsidRDefault="009973A2" w:rsidP="009973A2">
      <w:pPr>
        <w:ind w:firstLine="480"/>
        <w:rPr>
          <w:rFonts w:cs="Times New Roman"/>
          <w:noProof/>
          <w:szCs w:val="24"/>
          <w:lang w:val="en-GB"/>
        </w:rPr>
      </w:pPr>
    </w:p>
    <w:p w:rsidR="009973A2" w:rsidRPr="00743AC4" w:rsidRDefault="009973A2" w:rsidP="009973A2">
      <w:pPr>
        <w:pStyle w:val="Cabealho1"/>
        <w:ind w:firstLine="480"/>
        <w:jc w:val="center"/>
        <w:rPr>
          <w:rFonts w:ascii="Times New Roman" w:hAnsi="Times New Roman" w:cs="Times New Roman"/>
        </w:rPr>
      </w:pPr>
      <w:proofErr w:type="spellStart"/>
      <w:r w:rsidRPr="00743AC4">
        <w:rPr>
          <w:rFonts w:ascii="Times New Roman" w:hAnsi="Times New Roman" w:cs="Times New Roman"/>
          <w:b/>
          <w:color w:val="000000" w:themeColor="text1"/>
        </w:rPr>
        <w:lastRenderedPageBreak/>
        <w:t>References</w:t>
      </w:r>
      <w:proofErr w:type="spellEnd"/>
    </w:p>
    <w:p w:rsidR="009973A2" w:rsidRPr="00743AC4" w:rsidRDefault="009973A2" w:rsidP="009973A2">
      <w:pPr>
        <w:widowControl w:val="0"/>
        <w:autoSpaceDE w:val="0"/>
        <w:autoSpaceDN w:val="0"/>
        <w:adjustRightInd w:val="0"/>
        <w:ind w:left="480" w:firstLine="0"/>
        <w:rPr>
          <w:rFonts w:cs="Times New Roman"/>
          <w:noProof/>
          <w:szCs w:val="24"/>
          <w:lang w:val="fr-FR"/>
        </w:rPr>
      </w:pPr>
      <w:r w:rsidRPr="00743AC4">
        <w:rPr>
          <w:rFonts w:cs="Times New Roman"/>
          <w:noProof/>
          <w:szCs w:val="24"/>
          <w:lang w:val="en-GB"/>
        </w:rPr>
        <w:fldChar w:fldCharType="begin" w:fldLock="1"/>
      </w:r>
      <w:r w:rsidRPr="00743AC4">
        <w:rPr>
          <w:rFonts w:cs="Times New Roman"/>
          <w:noProof/>
          <w:szCs w:val="24"/>
          <w:lang w:val="en-GB"/>
        </w:rPr>
        <w:instrText xml:space="preserve">ADDIN Mendeley Bibliography CSL_BIBLIOGRAPHY </w:instrText>
      </w:r>
      <w:r w:rsidRPr="00743AC4">
        <w:rPr>
          <w:rFonts w:cs="Times New Roman"/>
          <w:noProof/>
          <w:szCs w:val="24"/>
          <w:lang w:val="en-GB"/>
        </w:rPr>
        <w:fldChar w:fldCharType="separate"/>
      </w:r>
      <w:r w:rsidRPr="00743AC4">
        <w:rPr>
          <w:rFonts w:cs="Times New Roman"/>
          <w:noProof/>
          <w:szCs w:val="24"/>
        </w:rPr>
        <w:t xml:space="preserve">Abimbola, L. N., and Oludiran, A. S. (2018). </w:t>
      </w:r>
      <w:r w:rsidRPr="00743AC4">
        <w:rPr>
          <w:rFonts w:cs="Times New Roman"/>
          <w:noProof/>
          <w:szCs w:val="24"/>
          <w:lang w:val="fr-FR"/>
        </w:rPr>
        <w:t xml:space="preserve">Major determinants of foreign direct investment in the West African Economic and Monetary Region. </w:t>
      </w:r>
      <w:r w:rsidRPr="00743AC4">
        <w:rPr>
          <w:rFonts w:cs="Times New Roman"/>
          <w:i/>
          <w:iCs/>
          <w:noProof/>
          <w:szCs w:val="24"/>
          <w:lang w:val="fr-FR"/>
        </w:rPr>
        <w:t>Iranian Economic Review</w:t>
      </w:r>
      <w:r w:rsidRPr="00743AC4">
        <w:rPr>
          <w:rFonts w:cs="Times New Roman"/>
          <w:noProof/>
          <w:szCs w:val="24"/>
          <w:lang w:val="fr-FR"/>
        </w:rPr>
        <w:t xml:space="preserve">, </w:t>
      </w:r>
      <w:r w:rsidRPr="00743AC4">
        <w:rPr>
          <w:rFonts w:cs="Times New Roman"/>
          <w:i/>
          <w:iCs/>
          <w:noProof/>
          <w:szCs w:val="24"/>
          <w:lang w:val="fr-FR"/>
        </w:rPr>
        <w:t>22</w:t>
      </w:r>
      <w:r w:rsidRPr="00743AC4">
        <w:rPr>
          <w:rFonts w:cs="Times New Roman"/>
          <w:noProof/>
          <w:szCs w:val="24"/>
          <w:lang w:val="fr-FR"/>
        </w:rPr>
        <w:t>(1), 121–162. https://doi.org/10.22059/ier.2018.65354.</w:t>
      </w:r>
    </w:p>
    <w:p w:rsidR="009973A2" w:rsidRPr="00743AC4" w:rsidRDefault="009973A2" w:rsidP="009973A2">
      <w:pPr>
        <w:widowControl w:val="0"/>
        <w:autoSpaceDE w:val="0"/>
        <w:autoSpaceDN w:val="0"/>
        <w:adjustRightInd w:val="0"/>
        <w:ind w:left="480" w:firstLine="0"/>
        <w:rPr>
          <w:rFonts w:cs="Times New Roman"/>
          <w:noProof/>
          <w:szCs w:val="24"/>
          <w:lang w:val="fr-FR"/>
        </w:rPr>
      </w:pPr>
    </w:p>
    <w:p w:rsidR="009973A2" w:rsidRPr="00743AC4" w:rsidRDefault="009973A2" w:rsidP="009973A2">
      <w:pPr>
        <w:widowControl w:val="0"/>
        <w:autoSpaceDE w:val="0"/>
        <w:autoSpaceDN w:val="0"/>
        <w:adjustRightInd w:val="0"/>
        <w:ind w:left="480" w:firstLine="0"/>
        <w:rPr>
          <w:rFonts w:cs="Times New Roman"/>
          <w:noProof/>
          <w:szCs w:val="24"/>
          <w:lang w:val="fr-FR"/>
        </w:rPr>
      </w:pPr>
      <w:r w:rsidRPr="00743AC4">
        <w:rPr>
          <w:rFonts w:cs="Times New Roman"/>
          <w:noProof/>
          <w:szCs w:val="24"/>
          <w:lang w:val="fr-FR"/>
        </w:rPr>
        <w:t xml:space="preserve">Arellano, M., and Bond, S. (1991). Some tests of specification for panel data: Monte Carlo evidence and an application to employment equations. </w:t>
      </w:r>
      <w:r w:rsidRPr="00743AC4">
        <w:rPr>
          <w:rFonts w:cs="Times New Roman"/>
          <w:i/>
          <w:iCs/>
          <w:noProof/>
          <w:szCs w:val="24"/>
          <w:lang w:val="fr-FR"/>
        </w:rPr>
        <w:t>Review of Economic Studies</w:t>
      </w:r>
      <w:r w:rsidRPr="00743AC4">
        <w:rPr>
          <w:rFonts w:cs="Times New Roman"/>
          <w:noProof/>
          <w:szCs w:val="24"/>
          <w:lang w:val="fr-FR"/>
        </w:rPr>
        <w:t xml:space="preserve">, </w:t>
      </w:r>
      <w:r w:rsidRPr="00743AC4">
        <w:rPr>
          <w:rFonts w:cs="Times New Roman"/>
          <w:i/>
          <w:iCs/>
          <w:noProof/>
          <w:szCs w:val="24"/>
          <w:lang w:val="fr-FR"/>
        </w:rPr>
        <w:t>58</w:t>
      </w:r>
      <w:r w:rsidRPr="00743AC4">
        <w:rPr>
          <w:rFonts w:cs="Times New Roman"/>
          <w:noProof/>
          <w:szCs w:val="24"/>
          <w:lang w:val="fr-FR"/>
        </w:rPr>
        <w:t>, 277–97.</w:t>
      </w:r>
    </w:p>
    <w:p w:rsidR="009973A2" w:rsidRPr="00743AC4" w:rsidRDefault="009973A2" w:rsidP="009973A2">
      <w:pPr>
        <w:widowControl w:val="0"/>
        <w:autoSpaceDE w:val="0"/>
        <w:autoSpaceDN w:val="0"/>
        <w:adjustRightInd w:val="0"/>
        <w:ind w:left="480" w:firstLine="0"/>
        <w:rPr>
          <w:rFonts w:cs="Times New Roman"/>
          <w:noProof/>
          <w:szCs w:val="24"/>
          <w:lang w:val="fr-FR"/>
        </w:rPr>
      </w:pPr>
    </w:p>
    <w:p w:rsidR="009973A2" w:rsidRPr="00743AC4" w:rsidRDefault="009973A2" w:rsidP="009973A2">
      <w:pPr>
        <w:widowControl w:val="0"/>
        <w:autoSpaceDE w:val="0"/>
        <w:autoSpaceDN w:val="0"/>
        <w:adjustRightInd w:val="0"/>
        <w:ind w:left="480" w:firstLine="0"/>
        <w:rPr>
          <w:rFonts w:cs="Times New Roman"/>
          <w:noProof/>
          <w:szCs w:val="24"/>
          <w:lang w:val="fr-FR"/>
        </w:rPr>
      </w:pPr>
      <w:r w:rsidRPr="00743AC4">
        <w:rPr>
          <w:rFonts w:cs="Times New Roman"/>
          <w:noProof/>
          <w:szCs w:val="24"/>
        </w:rPr>
        <w:t xml:space="preserve">Arellano, M., and Bover, O. (1995). </w:t>
      </w:r>
      <w:r w:rsidRPr="00743AC4">
        <w:rPr>
          <w:rFonts w:cs="Times New Roman"/>
          <w:noProof/>
          <w:szCs w:val="24"/>
          <w:lang w:val="fr-FR"/>
        </w:rPr>
        <w:t xml:space="preserve">Another look at the instrumental-variable estimation of error-components models. </w:t>
      </w:r>
      <w:r w:rsidRPr="00743AC4">
        <w:rPr>
          <w:rFonts w:cs="Times New Roman"/>
          <w:i/>
          <w:iCs/>
          <w:noProof/>
          <w:szCs w:val="24"/>
          <w:lang w:val="fr-FR"/>
        </w:rPr>
        <w:t>Journal of Econometrics</w:t>
      </w:r>
      <w:r w:rsidRPr="00743AC4">
        <w:rPr>
          <w:rFonts w:cs="Times New Roman"/>
          <w:noProof/>
          <w:szCs w:val="24"/>
          <w:lang w:val="fr-FR"/>
        </w:rPr>
        <w:t xml:space="preserve">, </w:t>
      </w:r>
      <w:r w:rsidRPr="00743AC4">
        <w:rPr>
          <w:rFonts w:cs="Times New Roman"/>
          <w:i/>
          <w:iCs/>
          <w:noProof/>
          <w:szCs w:val="24"/>
          <w:lang w:val="fr-FR"/>
        </w:rPr>
        <w:t>68</w:t>
      </w:r>
      <w:r w:rsidRPr="00743AC4">
        <w:rPr>
          <w:rFonts w:cs="Times New Roman"/>
          <w:noProof/>
          <w:szCs w:val="24"/>
          <w:lang w:val="fr-FR"/>
        </w:rPr>
        <w:t>, 29–51.</w:t>
      </w:r>
    </w:p>
    <w:p w:rsidR="009973A2" w:rsidRPr="00743AC4" w:rsidRDefault="009973A2" w:rsidP="009973A2">
      <w:pPr>
        <w:widowControl w:val="0"/>
        <w:autoSpaceDE w:val="0"/>
        <w:autoSpaceDN w:val="0"/>
        <w:adjustRightInd w:val="0"/>
        <w:ind w:left="480" w:firstLine="0"/>
        <w:rPr>
          <w:rFonts w:cs="Times New Roman"/>
          <w:noProof/>
          <w:szCs w:val="24"/>
          <w:lang w:val="fr-FR"/>
        </w:rPr>
      </w:pPr>
    </w:p>
    <w:p w:rsidR="009973A2" w:rsidRPr="00743AC4" w:rsidRDefault="009973A2" w:rsidP="009973A2">
      <w:pPr>
        <w:widowControl w:val="0"/>
        <w:autoSpaceDE w:val="0"/>
        <w:autoSpaceDN w:val="0"/>
        <w:adjustRightInd w:val="0"/>
        <w:ind w:left="480" w:firstLine="0"/>
        <w:rPr>
          <w:rFonts w:cs="Times New Roman"/>
          <w:noProof/>
          <w:szCs w:val="24"/>
          <w:lang w:val="fr-FR"/>
        </w:rPr>
      </w:pPr>
      <w:r w:rsidRPr="00743AC4">
        <w:rPr>
          <w:rFonts w:cs="Times New Roman"/>
          <w:noProof/>
          <w:szCs w:val="24"/>
          <w:lang w:val="fr-FR"/>
        </w:rPr>
        <w:t xml:space="preserve">Asamoah, M. E., Adjasi, C. K. D., and Alhassan, A. L. (2016). Macroeconomic uncertainty, foreign direct investment and institutional quality: Evidence from Sub-Saharan Africa. </w:t>
      </w:r>
      <w:r w:rsidRPr="00743AC4">
        <w:rPr>
          <w:rFonts w:cs="Times New Roman"/>
          <w:i/>
          <w:iCs/>
          <w:noProof/>
          <w:szCs w:val="24"/>
          <w:lang w:val="fr-FR"/>
        </w:rPr>
        <w:t>Economic Systems</w:t>
      </w:r>
      <w:r w:rsidRPr="00743AC4">
        <w:rPr>
          <w:rFonts w:cs="Times New Roman"/>
          <w:noProof/>
          <w:szCs w:val="24"/>
          <w:lang w:val="fr-FR"/>
        </w:rPr>
        <w:t xml:space="preserve">, </w:t>
      </w:r>
      <w:r w:rsidRPr="00743AC4">
        <w:rPr>
          <w:rFonts w:cs="Times New Roman"/>
          <w:i/>
          <w:iCs/>
          <w:noProof/>
          <w:szCs w:val="24"/>
          <w:lang w:val="fr-FR"/>
        </w:rPr>
        <w:t>40</w:t>
      </w:r>
      <w:r w:rsidRPr="00743AC4">
        <w:rPr>
          <w:rFonts w:cs="Times New Roman"/>
          <w:noProof/>
          <w:szCs w:val="24"/>
          <w:lang w:val="fr-FR"/>
        </w:rPr>
        <w:t>(4), 612–621. https://doi.org/http://dx.doi.org/10.1016/j.ecosys.2016.02.010.</w:t>
      </w:r>
    </w:p>
    <w:p w:rsidR="009973A2" w:rsidRPr="00743AC4" w:rsidRDefault="009973A2" w:rsidP="009973A2">
      <w:pPr>
        <w:widowControl w:val="0"/>
        <w:autoSpaceDE w:val="0"/>
        <w:autoSpaceDN w:val="0"/>
        <w:adjustRightInd w:val="0"/>
        <w:ind w:left="480" w:firstLine="0"/>
        <w:rPr>
          <w:rFonts w:cs="Times New Roman"/>
          <w:noProof/>
          <w:szCs w:val="24"/>
          <w:lang w:val="fr-FR"/>
        </w:rPr>
      </w:pPr>
    </w:p>
    <w:p w:rsidR="009973A2" w:rsidRPr="00743AC4" w:rsidRDefault="009973A2" w:rsidP="009973A2">
      <w:pPr>
        <w:widowControl w:val="0"/>
        <w:autoSpaceDE w:val="0"/>
        <w:autoSpaceDN w:val="0"/>
        <w:adjustRightInd w:val="0"/>
        <w:ind w:left="480" w:firstLine="0"/>
        <w:rPr>
          <w:rFonts w:cs="Times New Roman"/>
          <w:noProof/>
          <w:szCs w:val="24"/>
          <w:lang w:val="fr-FR"/>
        </w:rPr>
      </w:pPr>
      <w:r w:rsidRPr="00743AC4">
        <w:rPr>
          <w:rFonts w:cs="Times New Roman"/>
          <w:noProof/>
          <w:szCs w:val="24"/>
          <w:lang w:val="fr-FR"/>
        </w:rPr>
        <w:t xml:space="preserve">Asiedu, E. (2002). On the determinants of foreign direct investments to developing countries: Is Africa different? </w:t>
      </w:r>
      <w:r w:rsidRPr="00743AC4">
        <w:rPr>
          <w:rFonts w:cs="Times New Roman"/>
          <w:i/>
          <w:iCs/>
          <w:noProof/>
          <w:szCs w:val="24"/>
          <w:lang w:val="fr-FR"/>
        </w:rPr>
        <w:t>World Development</w:t>
      </w:r>
      <w:r w:rsidRPr="00743AC4">
        <w:rPr>
          <w:rFonts w:cs="Times New Roman"/>
          <w:noProof/>
          <w:szCs w:val="24"/>
          <w:lang w:val="fr-FR"/>
        </w:rPr>
        <w:t xml:space="preserve">, </w:t>
      </w:r>
      <w:r w:rsidRPr="00743AC4">
        <w:rPr>
          <w:rFonts w:cs="Times New Roman"/>
          <w:i/>
          <w:iCs/>
          <w:noProof/>
          <w:szCs w:val="24"/>
          <w:lang w:val="fr-FR"/>
        </w:rPr>
        <w:t>30</w:t>
      </w:r>
      <w:r w:rsidRPr="00743AC4">
        <w:rPr>
          <w:rFonts w:cs="Times New Roman"/>
          <w:noProof/>
          <w:szCs w:val="24"/>
          <w:lang w:val="fr-FR"/>
        </w:rPr>
        <w:t>(1), 107–119. https://doi.org/10.1016/S0305-750X(01)00100-0.</w:t>
      </w:r>
    </w:p>
    <w:p w:rsidR="009973A2" w:rsidRPr="00743AC4" w:rsidRDefault="009973A2" w:rsidP="009973A2">
      <w:pPr>
        <w:widowControl w:val="0"/>
        <w:autoSpaceDE w:val="0"/>
        <w:autoSpaceDN w:val="0"/>
        <w:adjustRightInd w:val="0"/>
        <w:ind w:left="480" w:firstLine="0"/>
        <w:rPr>
          <w:rFonts w:cs="Times New Roman"/>
          <w:noProof/>
          <w:szCs w:val="24"/>
          <w:lang w:val="fr-FR"/>
        </w:rPr>
      </w:pPr>
    </w:p>
    <w:p w:rsidR="009973A2" w:rsidRPr="00743AC4" w:rsidRDefault="009973A2" w:rsidP="009973A2">
      <w:pPr>
        <w:widowControl w:val="0"/>
        <w:autoSpaceDE w:val="0"/>
        <w:autoSpaceDN w:val="0"/>
        <w:adjustRightInd w:val="0"/>
        <w:ind w:left="480" w:firstLine="0"/>
        <w:rPr>
          <w:rFonts w:cs="Times New Roman"/>
          <w:noProof/>
          <w:szCs w:val="24"/>
          <w:lang w:val="fr-FR"/>
        </w:rPr>
      </w:pPr>
      <w:r w:rsidRPr="00743AC4">
        <w:rPr>
          <w:rFonts w:cs="Times New Roman"/>
          <w:noProof/>
          <w:szCs w:val="24"/>
          <w:lang w:val="fr-FR"/>
        </w:rPr>
        <w:t xml:space="preserve">Asiedu, E. (2006). Foreign direct investment in Africa: The role of natural resources, market size, government policy, institutions and political instability. </w:t>
      </w:r>
      <w:r w:rsidRPr="00743AC4">
        <w:rPr>
          <w:rFonts w:cs="Times New Roman"/>
          <w:i/>
          <w:iCs/>
          <w:noProof/>
          <w:szCs w:val="24"/>
          <w:lang w:val="fr-FR"/>
        </w:rPr>
        <w:t>The World Economy</w:t>
      </w:r>
      <w:r w:rsidRPr="00743AC4">
        <w:rPr>
          <w:rFonts w:cs="Times New Roman"/>
          <w:noProof/>
          <w:szCs w:val="24"/>
          <w:lang w:val="fr-FR"/>
        </w:rPr>
        <w:t xml:space="preserve">, </w:t>
      </w:r>
      <w:r w:rsidRPr="00743AC4">
        <w:rPr>
          <w:rFonts w:cs="Times New Roman"/>
          <w:i/>
          <w:iCs/>
          <w:noProof/>
          <w:szCs w:val="24"/>
          <w:lang w:val="fr-FR"/>
        </w:rPr>
        <w:t>29</w:t>
      </w:r>
      <w:r w:rsidRPr="00743AC4">
        <w:rPr>
          <w:rFonts w:cs="Times New Roman"/>
          <w:noProof/>
          <w:szCs w:val="24"/>
          <w:lang w:val="fr-FR"/>
        </w:rPr>
        <w:t>(1), 63–77. https://doi.org/10.2139/ssrn.717361</w:t>
      </w:r>
    </w:p>
    <w:p w:rsidR="009973A2" w:rsidRPr="00743AC4" w:rsidRDefault="009973A2" w:rsidP="009973A2">
      <w:pPr>
        <w:widowControl w:val="0"/>
        <w:autoSpaceDE w:val="0"/>
        <w:autoSpaceDN w:val="0"/>
        <w:adjustRightInd w:val="0"/>
        <w:ind w:left="480" w:firstLine="0"/>
        <w:rPr>
          <w:rFonts w:cs="Times New Roman"/>
          <w:noProof/>
          <w:szCs w:val="24"/>
          <w:lang w:val="fr-FR"/>
        </w:rPr>
      </w:pPr>
      <w:r w:rsidRPr="00743AC4">
        <w:rPr>
          <w:rFonts w:cs="Times New Roman"/>
          <w:noProof/>
          <w:szCs w:val="24"/>
          <w:lang w:val="fr-FR"/>
        </w:rPr>
        <w:t xml:space="preserve">Bekana, D. M. (2016). Determinants of foreign direct investment in Ethiopia; time series evidence from 1991-2013. </w:t>
      </w:r>
      <w:r w:rsidRPr="00743AC4">
        <w:rPr>
          <w:rFonts w:cs="Times New Roman"/>
          <w:i/>
          <w:iCs/>
          <w:noProof/>
          <w:szCs w:val="24"/>
          <w:lang w:val="fr-FR"/>
        </w:rPr>
        <w:t>The Journal of Developing Areas</w:t>
      </w:r>
      <w:r w:rsidRPr="00743AC4">
        <w:rPr>
          <w:rFonts w:cs="Times New Roman"/>
          <w:noProof/>
          <w:szCs w:val="24"/>
          <w:lang w:val="fr-FR"/>
        </w:rPr>
        <w:t xml:space="preserve">, </w:t>
      </w:r>
      <w:r w:rsidRPr="00743AC4">
        <w:rPr>
          <w:rFonts w:cs="Times New Roman"/>
          <w:i/>
          <w:iCs/>
          <w:noProof/>
          <w:szCs w:val="24"/>
          <w:lang w:val="fr-FR"/>
        </w:rPr>
        <w:t>50</w:t>
      </w:r>
      <w:r w:rsidRPr="00743AC4">
        <w:rPr>
          <w:rFonts w:cs="Times New Roman"/>
          <w:noProof/>
          <w:szCs w:val="24"/>
          <w:lang w:val="fr-FR"/>
        </w:rPr>
        <w:t>(1), 141–155. https://doi.org/10.1353/jda.2016.0002.</w:t>
      </w:r>
    </w:p>
    <w:p w:rsidR="009973A2" w:rsidRPr="00743AC4" w:rsidRDefault="009973A2" w:rsidP="009973A2">
      <w:pPr>
        <w:widowControl w:val="0"/>
        <w:autoSpaceDE w:val="0"/>
        <w:autoSpaceDN w:val="0"/>
        <w:adjustRightInd w:val="0"/>
        <w:ind w:left="480" w:firstLine="0"/>
        <w:rPr>
          <w:rFonts w:cs="Times New Roman"/>
          <w:noProof/>
          <w:szCs w:val="24"/>
          <w:lang w:val="fr-FR"/>
        </w:rPr>
      </w:pPr>
    </w:p>
    <w:p w:rsidR="009973A2" w:rsidRPr="00743AC4" w:rsidRDefault="009973A2" w:rsidP="009973A2">
      <w:pPr>
        <w:widowControl w:val="0"/>
        <w:autoSpaceDE w:val="0"/>
        <w:autoSpaceDN w:val="0"/>
        <w:adjustRightInd w:val="0"/>
        <w:ind w:left="480" w:firstLine="0"/>
        <w:rPr>
          <w:rFonts w:cs="Times New Roman"/>
          <w:noProof/>
          <w:szCs w:val="24"/>
          <w:lang w:val="fr-FR"/>
        </w:rPr>
      </w:pPr>
      <w:r w:rsidRPr="00743AC4">
        <w:rPr>
          <w:rFonts w:cs="Times New Roman"/>
          <w:noProof/>
          <w:szCs w:val="24"/>
          <w:lang w:val="fr-FR"/>
        </w:rPr>
        <w:t xml:space="preserve">Buckley, P. J. (2018). The Global Factory. In </w:t>
      </w:r>
      <w:r w:rsidRPr="00743AC4">
        <w:rPr>
          <w:rFonts w:cs="Times New Roman"/>
          <w:i/>
          <w:iCs/>
          <w:noProof/>
          <w:szCs w:val="24"/>
          <w:lang w:val="fr-FR"/>
        </w:rPr>
        <w:t>The Global Factory</w:t>
      </w:r>
      <w:r w:rsidRPr="00743AC4">
        <w:rPr>
          <w:rFonts w:cs="Times New Roman"/>
          <w:noProof/>
          <w:szCs w:val="24"/>
          <w:lang w:val="fr-FR"/>
        </w:rPr>
        <w:t>. https://doi.org/10.4337/9781786431332.</w:t>
      </w:r>
    </w:p>
    <w:p w:rsidR="009973A2" w:rsidRPr="00743AC4" w:rsidRDefault="009973A2" w:rsidP="009973A2">
      <w:pPr>
        <w:widowControl w:val="0"/>
        <w:autoSpaceDE w:val="0"/>
        <w:autoSpaceDN w:val="0"/>
        <w:adjustRightInd w:val="0"/>
        <w:ind w:left="480" w:firstLine="0"/>
        <w:rPr>
          <w:rFonts w:cs="Times New Roman"/>
          <w:noProof/>
          <w:szCs w:val="24"/>
          <w:lang w:val="fr-FR"/>
        </w:rPr>
      </w:pPr>
    </w:p>
    <w:p w:rsidR="009973A2" w:rsidRPr="00743AC4" w:rsidRDefault="009973A2" w:rsidP="009973A2">
      <w:pPr>
        <w:widowControl w:val="0"/>
        <w:autoSpaceDE w:val="0"/>
        <w:autoSpaceDN w:val="0"/>
        <w:adjustRightInd w:val="0"/>
        <w:ind w:left="480" w:firstLine="0"/>
        <w:rPr>
          <w:rFonts w:cs="Times New Roman"/>
          <w:noProof/>
          <w:szCs w:val="24"/>
          <w:lang w:val="fr-FR"/>
        </w:rPr>
      </w:pPr>
      <w:r w:rsidRPr="00743AC4">
        <w:rPr>
          <w:rFonts w:cs="Times New Roman"/>
          <w:noProof/>
          <w:szCs w:val="24"/>
          <w:lang w:val="fr-FR"/>
        </w:rPr>
        <w:t xml:space="preserve">Buckley, P. J., and Casson, M. C. (1976). </w:t>
      </w:r>
      <w:r w:rsidRPr="00743AC4">
        <w:rPr>
          <w:rFonts w:cs="Times New Roman"/>
          <w:i/>
          <w:iCs/>
          <w:noProof/>
          <w:szCs w:val="24"/>
          <w:lang w:val="fr-FR"/>
        </w:rPr>
        <w:t>A long-run theory of the multinational enterprise</w:t>
      </w:r>
      <w:r w:rsidRPr="00743AC4">
        <w:rPr>
          <w:rFonts w:cs="Times New Roman"/>
          <w:noProof/>
          <w:szCs w:val="24"/>
          <w:lang w:val="fr-FR"/>
        </w:rPr>
        <w:t>. London: in P.J. Buckley and M.C. Casson, The Future of the Multinational Enterprrise.</w:t>
      </w:r>
    </w:p>
    <w:p w:rsidR="009973A2" w:rsidRPr="00743AC4" w:rsidRDefault="009973A2" w:rsidP="009973A2">
      <w:pPr>
        <w:widowControl w:val="0"/>
        <w:autoSpaceDE w:val="0"/>
        <w:autoSpaceDN w:val="0"/>
        <w:adjustRightInd w:val="0"/>
        <w:ind w:left="480" w:firstLine="0"/>
        <w:rPr>
          <w:rFonts w:cs="Times New Roman"/>
          <w:noProof/>
          <w:szCs w:val="24"/>
          <w:lang w:val="fr-FR"/>
        </w:rPr>
      </w:pPr>
    </w:p>
    <w:p w:rsidR="009973A2" w:rsidRPr="00743AC4" w:rsidRDefault="009973A2" w:rsidP="009973A2">
      <w:pPr>
        <w:widowControl w:val="0"/>
        <w:autoSpaceDE w:val="0"/>
        <w:autoSpaceDN w:val="0"/>
        <w:adjustRightInd w:val="0"/>
        <w:ind w:left="480" w:firstLine="0"/>
        <w:rPr>
          <w:rFonts w:cs="Times New Roman"/>
          <w:noProof/>
          <w:szCs w:val="24"/>
        </w:rPr>
      </w:pPr>
      <w:r w:rsidRPr="00743AC4">
        <w:rPr>
          <w:rFonts w:cs="Times New Roman"/>
          <w:noProof/>
          <w:szCs w:val="24"/>
        </w:rPr>
        <w:t xml:space="preserve">Chiatchoua, C., and Pegou, S. J. (2015). </w:t>
      </w:r>
      <w:r w:rsidRPr="00743AC4">
        <w:rPr>
          <w:rFonts w:cs="Times New Roman"/>
          <w:noProof/>
          <w:szCs w:val="24"/>
          <w:lang w:val="fr-FR"/>
        </w:rPr>
        <w:t xml:space="preserve">Foreing direct investment in Sub- Saharan Africa ( SSA): An opportunity for New Developed Countries ( NDC ). </w:t>
      </w:r>
      <w:r w:rsidRPr="00743AC4">
        <w:rPr>
          <w:rFonts w:cs="Times New Roman"/>
          <w:i/>
          <w:iCs/>
          <w:noProof/>
          <w:szCs w:val="24"/>
        </w:rPr>
        <w:t>Análisis Económico</w:t>
      </w:r>
      <w:r w:rsidRPr="00743AC4">
        <w:rPr>
          <w:rFonts w:cs="Times New Roman"/>
          <w:noProof/>
          <w:szCs w:val="24"/>
        </w:rPr>
        <w:t xml:space="preserve">, </w:t>
      </w:r>
      <w:r w:rsidRPr="00743AC4">
        <w:rPr>
          <w:rFonts w:cs="Times New Roman"/>
          <w:i/>
          <w:iCs/>
          <w:noProof/>
          <w:szCs w:val="24"/>
        </w:rPr>
        <w:t>30</w:t>
      </w:r>
      <w:r w:rsidRPr="00743AC4">
        <w:rPr>
          <w:rFonts w:cs="Times New Roman"/>
          <w:noProof/>
          <w:szCs w:val="24"/>
        </w:rPr>
        <w:t xml:space="preserve">(73), 89–109. </w:t>
      </w:r>
    </w:p>
    <w:p w:rsidR="009973A2" w:rsidRPr="00743AC4" w:rsidRDefault="009973A2" w:rsidP="009973A2">
      <w:pPr>
        <w:widowControl w:val="0"/>
        <w:autoSpaceDE w:val="0"/>
        <w:autoSpaceDN w:val="0"/>
        <w:adjustRightInd w:val="0"/>
        <w:ind w:left="480" w:firstLine="0"/>
        <w:rPr>
          <w:rFonts w:cs="Times New Roman"/>
          <w:noProof/>
          <w:szCs w:val="24"/>
        </w:rPr>
      </w:pPr>
    </w:p>
    <w:p w:rsidR="009973A2" w:rsidRPr="00743AC4" w:rsidRDefault="009973A2" w:rsidP="009973A2">
      <w:pPr>
        <w:widowControl w:val="0"/>
        <w:autoSpaceDE w:val="0"/>
        <w:autoSpaceDN w:val="0"/>
        <w:adjustRightInd w:val="0"/>
        <w:ind w:left="480" w:firstLine="0"/>
        <w:rPr>
          <w:rFonts w:cs="Times New Roman"/>
          <w:noProof/>
          <w:szCs w:val="24"/>
          <w:lang w:val="fr-FR"/>
        </w:rPr>
      </w:pPr>
      <w:r w:rsidRPr="00743AC4">
        <w:rPr>
          <w:rFonts w:cs="Times New Roman"/>
          <w:noProof/>
          <w:szCs w:val="24"/>
        </w:rPr>
        <w:t xml:space="preserve">Cleeve, E. A., Debrah, Y., and Yiheyis, Z. (2015). </w:t>
      </w:r>
      <w:r w:rsidRPr="00743AC4">
        <w:rPr>
          <w:rFonts w:cs="Times New Roman"/>
          <w:noProof/>
          <w:szCs w:val="24"/>
          <w:lang w:val="fr-FR"/>
        </w:rPr>
        <w:t xml:space="preserve">Human capital and FDI inflow: An assessment of the african case. </w:t>
      </w:r>
      <w:r w:rsidRPr="00743AC4">
        <w:rPr>
          <w:rFonts w:cs="Times New Roman"/>
          <w:i/>
          <w:iCs/>
          <w:noProof/>
          <w:szCs w:val="24"/>
          <w:lang w:val="fr-FR"/>
        </w:rPr>
        <w:t>World Development</w:t>
      </w:r>
      <w:r w:rsidRPr="00743AC4">
        <w:rPr>
          <w:rFonts w:cs="Times New Roman"/>
          <w:noProof/>
          <w:szCs w:val="24"/>
          <w:lang w:val="fr-FR"/>
        </w:rPr>
        <w:t xml:space="preserve">, </w:t>
      </w:r>
      <w:r w:rsidRPr="00743AC4">
        <w:rPr>
          <w:rFonts w:cs="Times New Roman"/>
          <w:i/>
          <w:iCs/>
          <w:noProof/>
          <w:szCs w:val="24"/>
          <w:lang w:val="fr-FR"/>
        </w:rPr>
        <w:t>74</w:t>
      </w:r>
      <w:r w:rsidRPr="00743AC4">
        <w:rPr>
          <w:rFonts w:cs="Times New Roman"/>
          <w:noProof/>
          <w:szCs w:val="24"/>
          <w:lang w:val="fr-FR"/>
        </w:rPr>
        <w:t>, 1–14. https://doi.org/10.1016/j.worlddev.2015.04.003.</w:t>
      </w:r>
    </w:p>
    <w:p w:rsidR="009973A2" w:rsidRPr="00743AC4" w:rsidRDefault="009973A2" w:rsidP="009973A2">
      <w:pPr>
        <w:widowControl w:val="0"/>
        <w:autoSpaceDE w:val="0"/>
        <w:autoSpaceDN w:val="0"/>
        <w:adjustRightInd w:val="0"/>
        <w:ind w:left="480" w:firstLine="0"/>
        <w:rPr>
          <w:rFonts w:cs="Times New Roman"/>
          <w:noProof/>
          <w:szCs w:val="24"/>
          <w:lang w:val="fr-FR"/>
        </w:rPr>
      </w:pPr>
    </w:p>
    <w:p w:rsidR="009973A2" w:rsidRPr="00743AC4" w:rsidRDefault="009973A2" w:rsidP="009973A2">
      <w:pPr>
        <w:widowControl w:val="0"/>
        <w:autoSpaceDE w:val="0"/>
        <w:autoSpaceDN w:val="0"/>
        <w:adjustRightInd w:val="0"/>
        <w:ind w:left="480" w:firstLine="0"/>
        <w:rPr>
          <w:rFonts w:cs="Times New Roman"/>
          <w:noProof/>
          <w:szCs w:val="24"/>
        </w:rPr>
      </w:pPr>
      <w:r w:rsidRPr="00743AC4">
        <w:rPr>
          <w:rFonts w:cs="Times New Roman"/>
          <w:noProof/>
          <w:szCs w:val="24"/>
          <w:lang w:val="fr-FR"/>
        </w:rPr>
        <w:t xml:space="preserve">Coase. (1937). The Nature of the Firm. </w:t>
      </w:r>
      <w:r w:rsidRPr="00743AC4">
        <w:rPr>
          <w:rFonts w:cs="Times New Roman"/>
          <w:noProof/>
          <w:szCs w:val="24"/>
        </w:rPr>
        <w:t xml:space="preserve">In </w:t>
      </w:r>
      <w:r w:rsidRPr="00743AC4">
        <w:rPr>
          <w:rFonts w:cs="Times New Roman"/>
          <w:i/>
          <w:iCs/>
          <w:noProof/>
          <w:szCs w:val="24"/>
        </w:rPr>
        <w:t>Economica</w:t>
      </w:r>
      <w:r w:rsidRPr="00743AC4">
        <w:rPr>
          <w:rFonts w:cs="Times New Roman"/>
          <w:noProof/>
          <w:szCs w:val="24"/>
        </w:rPr>
        <w:t>.</w:t>
      </w:r>
    </w:p>
    <w:p w:rsidR="009973A2" w:rsidRPr="00743AC4" w:rsidRDefault="009973A2" w:rsidP="009973A2">
      <w:pPr>
        <w:widowControl w:val="0"/>
        <w:autoSpaceDE w:val="0"/>
        <w:autoSpaceDN w:val="0"/>
        <w:adjustRightInd w:val="0"/>
        <w:ind w:left="480" w:firstLine="0"/>
        <w:rPr>
          <w:rFonts w:cs="Times New Roman"/>
          <w:noProof/>
          <w:szCs w:val="24"/>
        </w:rPr>
      </w:pPr>
    </w:p>
    <w:p w:rsidR="009973A2" w:rsidRPr="00743AC4" w:rsidRDefault="009973A2" w:rsidP="009973A2">
      <w:pPr>
        <w:widowControl w:val="0"/>
        <w:autoSpaceDE w:val="0"/>
        <w:autoSpaceDN w:val="0"/>
        <w:adjustRightInd w:val="0"/>
        <w:ind w:left="480" w:firstLine="0"/>
        <w:rPr>
          <w:rFonts w:cs="Times New Roman"/>
          <w:noProof/>
          <w:szCs w:val="24"/>
          <w:lang w:val="fr-FR"/>
        </w:rPr>
      </w:pPr>
      <w:r w:rsidRPr="00743AC4">
        <w:rPr>
          <w:rFonts w:cs="Times New Roman"/>
          <w:noProof/>
          <w:szCs w:val="24"/>
        </w:rPr>
        <w:lastRenderedPageBreak/>
        <w:t xml:space="preserve">Dunning, J. H. (1977). </w:t>
      </w:r>
      <w:r w:rsidRPr="00743AC4">
        <w:rPr>
          <w:rFonts w:cs="Times New Roman"/>
          <w:noProof/>
          <w:szCs w:val="24"/>
          <w:lang w:val="fr-FR"/>
        </w:rPr>
        <w:t xml:space="preserve">Trade, Location of Economic Activity and the Multinational Enterprise: A Search for an Eclectic Approach. </w:t>
      </w:r>
      <w:r w:rsidRPr="00743AC4">
        <w:rPr>
          <w:rFonts w:cs="Times New Roman"/>
          <w:i/>
          <w:iCs/>
          <w:noProof/>
          <w:szCs w:val="24"/>
          <w:lang w:val="fr-FR"/>
        </w:rPr>
        <w:t>Theories and Paradigms of International Business Activity</w:t>
      </w:r>
      <w:r w:rsidRPr="00743AC4">
        <w:rPr>
          <w:rFonts w:cs="Times New Roman"/>
          <w:noProof/>
          <w:szCs w:val="24"/>
          <w:lang w:val="fr-FR"/>
        </w:rPr>
        <w:t>. https://doi.org/10.4337/9781843767053.00007</w:t>
      </w:r>
    </w:p>
    <w:p w:rsidR="009973A2" w:rsidRPr="00743AC4" w:rsidRDefault="009973A2" w:rsidP="009973A2">
      <w:pPr>
        <w:widowControl w:val="0"/>
        <w:autoSpaceDE w:val="0"/>
        <w:autoSpaceDN w:val="0"/>
        <w:adjustRightInd w:val="0"/>
        <w:ind w:left="480" w:firstLine="0"/>
        <w:rPr>
          <w:rFonts w:cs="Times New Roman"/>
          <w:noProof/>
          <w:szCs w:val="24"/>
          <w:lang w:val="fr-FR"/>
        </w:rPr>
      </w:pPr>
      <w:r w:rsidRPr="00743AC4">
        <w:rPr>
          <w:rFonts w:cs="Times New Roman"/>
          <w:noProof/>
          <w:szCs w:val="24"/>
          <w:lang w:val="fr-FR"/>
        </w:rPr>
        <w:t xml:space="preserve">Dunning, J. H. (1988). The ecletic paradigm of international production: a restatement and some possible extensions. </w:t>
      </w:r>
      <w:r w:rsidRPr="00743AC4">
        <w:rPr>
          <w:rFonts w:cs="Times New Roman"/>
          <w:i/>
          <w:iCs/>
          <w:noProof/>
          <w:szCs w:val="24"/>
          <w:lang w:val="fr-FR"/>
        </w:rPr>
        <w:t>Journal of International Business Studies</w:t>
      </w:r>
      <w:r w:rsidRPr="00743AC4">
        <w:rPr>
          <w:rFonts w:cs="Times New Roman"/>
          <w:noProof/>
          <w:szCs w:val="24"/>
          <w:lang w:val="fr-FR"/>
        </w:rPr>
        <w:t xml:space="preserve">, </w:t>
      </w:r>
      <w:r w:rsidRPr="00743AC4">
        <w:rPr>
          <w:rFonts w:cs="Times New Roman"/>
          <w:i/>
          <w:iCs/>
          <w:noProof/>
          <w:szCs w:val="24"/>
          <w:lang w:val="fr-FR"/>
        </w:rPr>
        <w:t>19</w:t>
      </w:r>
      <w:r w:rsidRPr="00743AC4">
        <w:rPr>
          <w:rFonts w:cs="Times New Roman"/>
          <w:noProof/>
          <w:szCs w:val="24"/>
          <w:lang w:val="fr-FR"/>
        </w:rPr>
        <w:t>(1), 1–31. https://doi.org/10.1057/palgrave.jibs.8490372</w:t>
      </w:r>
    </w:p>
    <w:p w:rsidR="009973A2" w:rsidRPr="00743AC4" w:rsidRDefault="009973A2" w:rsidP="009973A2">
      <w:pPr>
        <w:widowControl w:val="0"/>
        <w:autoSpaceDE w:val="0"/>
        <w:autoSpaceDN w:val="0"/>
        <w:adjustRightInd w:val="0"/>
        <w:ind w:left="480" w:firstLine="0"/>
        <w:rPr>
          <w:rFonts w:cs="Times New Roman"/>
          <w:noProof/>
          <w:szCs w:val="24"/>
          <w:lang w:val="fr-FR"/>
        </w:rPr>
      </w:pPr>
      <w:r w:rsidRPr="00743AC4">
        <w:rPr>
          <w:rFonts w:cs="Times New Roman"/>
          <w:noProof/>
          <w:szCs w:val="24"/>
          <w:lang w:val="fr-FR"/>
        </w:rPr>
        <w:t xml:space="preserve">Dunning, J. H. (1993). </w:t>
      </w:r>
      <w:r w:rsidRPr="00743AC4">
        <w:rPr>
          <w:rFonts w:cs="Times New Roman"/>
          <w:i/>
          <w:iCs/>
          <w:noProof/>
          <w:szCs w:val="24"/>
          <w:lang w:val="fr-FR"/>
        </w:rPr>
        <w:t>Multinational Enterprises and the Global Economy</w:t>
      </w:r>
      <w:r w:rsidRPr="00743AC4">
        <w:rPr>
          <w:rFonts w:cs="Times New Roman"/>
          <w:noProof/>
          <w:szCs w:val="24"/>
          <w:lang w:val="fr-FR"/>
        </w:rPr>
        <w:t xml:space="preserve"> (Addison-Wesley., ed.).</w:t>
      </w:r>
    </w:p>
    <w:p w:rsidR="009973A2" w:rsidRPr="00743AC4" w:rsidRDefault="009973A2" w:rsidP="009973A2">
      <w:pPr>
        <w:widowControl w:val="0"/>
        <w:autoSpaceDE w:val="0"/>
        <w:autoSpaceDN w:val="0"/>
        <w:adjustRightInd w:val="0"/>
        <w:ind w:left="480" w:firstLine="0"/>
        <w:rPr>
          <w:rFonts w:cs="Times New Roman"/>
          <w:noProof/>
          <w:szCs w:val="24"/>
          <w:lang w:val="fr-FR"/>
        </w:rPr>
      </w:pPr>
    </w:p>
    <w:p w:rsidR="009973A2" w:rsidRPr="00743AC4" w:rsidRDefault="009973A2" w:rsidP="009973A2">
      <w:pPr>
        <w:widowControl w:val="0"/>
        <w:autoSpaceDE w:val="0"/>
        <w:autoSpaceDN w:val="0"/>
        <w:adjustRightInd w:val="0"/>
        <w:ind w:left="480" w:firstLine="0"/>
        <w:rPr>
          <w:rFonts w:cs="Times New Roman"/>
          <w:noProof/>
          <w:szCs w:val="24"/>
          <w:lang w:val="fr-FR"/>
        </w:rPr>
      </w:pPr>
      <w:r w:rsidRPr="00743AC4">
        <w:rPr>
          <w:rFonts w:cs="Times New Roman"/>
          <w:noProof/>
          <w:szCs w:val="24"/>
        </w:rPr>
        <w:t xml:space="preserve">Ezeoha, A. E., and Ugwu, J. O. (2015). </w:t>
      </w:r>
      <w:r w:rsidRPr="00743AC4">
        <w:rPr>
          <w:rFonts w:cs="Times New Roman"/>
          <w:noProof/>
          <w:szCs w:val="24"/>
          <w:lang w:val="fr-FR"/>
        </w:rPr>
        <w:t xml:space="preserve">Interactive impact of armed conflicts on foreign direct investments in Africa. </w:t>
      </w:r>
      <w:r w:rsidRPr="00743AC4">
        <w:rPr>
          <w:rFonts w:cs="Times New Roman"/>
          <w:i/>
          <w:iCs/>
          <w:noProof/>
          <w:szCs w:val="24"/>
          <w:lang w:val="fr-FR"/>
        </w:rPr>
        <w:t>African Development Reviw</w:t>
      </w:r>
      <w:r w:rsidRPr="00743AC4">
        <w:rPr>
          <w:rFonts w:cs="Times New Roman"/>
          <w:noProof/>
          <w:szCs w:val="24"/>
          <w:lang w:val="fr-FR"/>
        </w:rPr>
        <w:t xml:space="preserve">, </w:t>
      </w:r>
      <w:r w:rsidRPr="00743AC4">
        <w:rPr>
          <w:rFonts w:cs="Times New Roman"/>
          <w:i/>
          <w:iCs/>
          <w:noProof/>
          <w:szCs w:val="24"/>
          <w:lang w:val="fr-FR"/>
        </w:rPr>
        <w:t>27</w:t>
      </w:r>
      <w:r w:rsidRPr="00743AC4">
        <w:rPr>
          <w:rFonts w:cs="Times New Roman"/>
          <w:noProof/>
          <w:szCs w:val="24"/>
          <w:lang w:val="fr-FR"/>
        </w:rPr>
        <w:t>(4), 456–468. https://doi.org/10.1111/1467-8268.12161</w:t>
      </w:r>
    </w:p>
    <w:p w:rsidR="009973A2" w:rsidRPr="00743AC4" w:rsidRDefault="009973A2" w:rsidP="009973A2">
      <w:pPr>
        <w:widowControl w:val="0"/>
        <w:autoSpaceDE w:val="0"/>
        <w:autoSpaceDN w:val="0"/>
        <w:adjustRightInd w:val="0"/>
        <w:ind w:left="480" w:firstLine="0"/>
        <w:rPr>
          <w:rFonts w:cs="Times New Roman"/>
          <w:noProof/>
          <w:szCs w:val="24"/>
          <w:lang w:val="fr-FR"/>
        </w:rPr>
      </w:pPr>
    </w:p>
    <w:p w:rsidR="009973A2" w:rsidRPr="00743AC4" w:rsidRDefault="009973A2" w:rsidP="009973A2">
      <w:pPr>
        <w:widowControl w:val="0"/>
        <w:autoSpaceDE w:val="0"/>
        <w:autoSpaceDN w:val="0"/>
        <w:adjustRightInd w:val="0"/>
        <w:ind w:left="480" w:firstLine="0"/>
        <w:rPr>
          <w:rFonts w:cs="Times New Roman"/>
          <w:noProof/>
          <w:szCs w:val="24"/>
          <w:lang w:val="fr-FR"/>
        </w:rPr>
      </w:pPr>
      <w:r w:rsidRPr="00743AC4">
        <w:rPr>
          <w:rFonts w:cs="Times New Roman"/>
          <w:noProof/>
          <w:szCs w:val="24"/>
          <w:lang w:val="fr-FR"/>
        </w:rPr>
        <w:t xml:space="preserve">Greene, W. H. (2002). </w:t>
      </w:r>
      <w:r w:rsidRPr="00743AC4">
        <w:rPr>
          <w:rFonts w:cs="Times New Roman"/>
          <w:i/>
          <w:iCs/>
          <w:noProof/>
          <w:szCs w:val="24"/>
          <w:lang w:val="fr-FR"/>
        </w:rPr>
        <w:t>Econometric Analysis</w:t>
      </w:r>
      <w:r w:rsidRPr="00743AC4">
        <w:rPr>
          <w:rFonts w:cs="Times New Roman"/>
          <w:noProof/>
          <w:szCs w:val="24"/>
          <w:lang w:val="fr-FR"/>
        </w:rPr>
        <w:t>.</w:t>
      </w:r>
    </w:p>
    <w:p w:rsidR="009973A2" w:rsidRPr="00743AC4" w:rsidRDefault="009973A2" w:rsidP="009973A2">
      <w:pPr>
        <w:widowControl w:val="0"/>
        <w:autoSpaceDE w:val="0"/>
        <w:autoSpaceDN w:val="0"/>
        <w:adjustRightInd w:val="0"/>
        <w:ind w:left="480" w:firstLine="0"/>
        <w:rPr>
          <w:rFonts w:cs="Times New Roman"/>
          <w:noProof/>
          <w:szCs w:val="24"/>
          <w:lang w:val="fr-FR"/>
        </w:rPr>
      </w:pPr>
      <w:r w:rsidRPr="00743AC4">
        <w:rPr>
          <w:rFonts w:cs="Times New Roman"/>
          <w:noProof/>
          <w:szCs w:val="24"/>
          <w:lang w:val="fr-FR"/>
        </w:rPr>
        <w:t xml:space="preserve"> </w:t>
      </w:r>
    </w:p>
    <w:p w:rsidR="009973A2" w:rsidRPr="00743AC4" w:rsidRDefault="009973A2" w:rsidP="009973A2">
      <w:pPr>
        <w:widowControl w:val="0"/>
        <w:autoSpaceDE w:val="0"/>
        <w:autoSpaceDN w:val="0"/>
        <w:adjustRightInd w:val="0"/>
        <w:ind w:left="480" w:firstLine="0"/>
        <w:rPr>
          <w:rFonts w:cs="Times New Roman"/>
          <w:noProof/>
          <w:szCs w:val="24"/>
          <w:lang w:val="fr-FR"/>
        </w:rPr>
      </w:pPr>
      <w:r w:rsidRPr="00743AC4">
        <w:rPr>
          <w:rFonts w:cs="Times New Roman"/>
          <w:noProof/>
          <w:szCs w:val="24"/>
          <w:lang w:val="fr-FR"/>
        </w:rPr>
        <w:t xml:space="preserve">Helmy, H. E. (2013). The impact of corruption on FDI: is MENA an exception? </w:t>
      </w:r>
      <w:r w:rsidRPr="00743AC4">
        <w:rPr>
          <w:rFonts w:cs="Times New Roman"/>
          <w:i/>
          <w:iCs/>
          <w:noProof/>
          <w:szCs w:val="24"/>
          <w:lang w:val="fr-FR"/>
        </w:rPr>
        <w:t>International Review of Applied Economics</w:t>
      </w:r>
      <w:r w:rsidRPr="00743AC4">
        <w:rPr>
          <w:rFonts w:cs="Times New Roman"/>
          <w:noProof/>
          <w:szCs w:val="24"/>
          <w:lang w:val="fr-FR"/>
        </w:rPr>
        <w:t xml:space="preserve">, </w:t>
      </w:r>
      <w:r w:rsidRPr="00743AC4">
        <w:rPr>
          <w:rFonts w:cs="Times New Roman"/>
          <w:i/>
          <w:iCs/>
          <w:noProof/>
          <w:szCs w:val="24"/>
          <w:lang w:val="fr-FR"/>
        </w:rPr>
        <w:t>27</w:t>
      </w:r>
      <w:r w:rsidRPr="00743AC4">
        <w:rPr>
          <w:rFonts w:cs="Times New Roman"/>
          <w:noProof/>
          <w:szCs w:val="24"/>
          <w:lang w:val="fr-FR"/>
        </w:rPr>
        <w:t xml:space="preserve">(4), 491–514. https://doi.org/http://dx.doi.org/10.1080/02692171.2012.752445 </w:t>
      </w:r>
    </w:p>
    <w:p w:rsidR="009973A2" w:rsidRPr="00743AC4" w:rsidRDefault="009973A2" w:rsidP="009973A2">
      <w:pPr>
        <w:widowControl w:val="0"/>
        <w:autoSpaceDE w:val="0"/>
        <w:autoSpaceDN w:val="0"/>
        <w:adjustRightInd w:val="0"/>
        <w:ind w:left="480" w:firstLine="0"/>
        <w:rPr>
          <w:rFonts w:cs="Times New Roman"/>
          <w:noProof/>
          <w:szCs w:val="24"/>
          <w:lang w:val="fr-FR"/>
        </w:rPr>
      </w:pPr>
    </w:p>
    <w:p w:rsidR="009973A2" w:rsidRPr="00743AC4" w:rsidRDefault="009973A2" w:rsidP="009973A2">
      <w:pPr>
        <w:widowControl w:val="0"/>
        <w:autoSpaceDE w:val="0"/>
        <w:autoSpaceDN w:val="0"/>
        <w:adjustRightInd w:val="0"/>
        <w:ind w:left="480" w:firstLine="0"/>
        <w:rPr>
          <w:rFonts w:cs="Times New Roman"/>
          <w:noProof/>
          <w:szCs w:val="24"/>
          <w:lang w:val="fr-FR"/>
        </w:rPr>
      </w:pPr>
      <w:r w:rsidRPr="00743AC4">
        <w:rPr>
          <w:rFonts w:cs="Times New Roman"/>
          <w:noProof/>
          <w:szCs w:val="24"/>
          <w:lang w:val="fr-FR"/>
        </w:rPr>
        <w:t xml:space="preserve">Hymer, S. H. (1960). </w:t>
      </w:r>
      <w:r w:rsidRPr="00743AC4">
        <w:rPr>
          <w:rFonts w:cs="Times New Roman"/>
          <w:i/>
          <w:iCs/>
          <w:noProof/>
          <w:szCs w:val="24"/>
          <w:lang w:val="fr-FR"/>
        </w:rPr>
        <w:t>The international operations of national firms, a study of direct foreign investment</w:t>
      </w:r>
      <w:r w:rsidRPr="00743AC4">
        <w:rPr>
          <w:rFonts w:cs="Times New Roman"/>
          <w:noProof/>
          <w:szCs w:val="24"/>
          <w:lang w:val="fr-FR"/>
        </w:rPr>
        <w:t>. Retrieved from https://dspace.mit.edu/handle/1721.1/27375</w:t>
      </w:r>
    </w:p>
    <w:p w:rsidR="009973A2" w:rsidRPr="00743AC4" w:rsidRDefault="009973A2" w:rsidP="009973A2">
      <w:pPr>
        <w:widowControl w:val="0"/>
        <w:autoSpaceDE w:val="0"/>
        <w:autoSpaceDN w:val="0"/>
        <w:adjustRightInd w:val="0"/>
        <w:ind w:left="480" w:firstLine="0"/>
        <w:rPr>
          <w:rFonts w:cs="Times New Roman"/>
          <w:noProof/>
          <w:szCs w:val="24"/>
          <w:lang w:val="fr-FR"/>
        </w:rPr>
      </w:pPr>
    </w:p>
    <w:p w:rsidR="009973A2" w:rsidRPr="00743AC4" w:rsidRDefault="009973A2" w:rsidP="009973A2">
      <w:pPr>
        <w:widowControl w:val="0"/>
        <w:autoSpaceDE w:val="0"/>
        <w:autoSpaceDN w:val="0"/>
        <w:adjustRightInd w:val="0"/>
        <w:ind w:left="480" w:firstLine="0"/>
        <w:rPr>
          <w:rFonts w:cs="Times New Roman"/>
          <w:noProof/>
          <w:szCs w:val="24"/>
          <w:lang w:val="fr-FR"/>
        </w:rPr>
      </w:pPr>
      <w:r w:rsidRPr="00743AC4">
        <w:rPr>
          <w:rFonts w:cs="Times New Roman"/>
          <w:noProof/>
          <w:szCs w:val="24"/>
          <w:lang w:val="fr-FR"/>
        </w:rPr>
        <w:t xml:space="preserve">Khalil, E. (2015). Analysis of determinants of foreign direct investment in Egypt (1970-2013). </w:t>
      </w:r>
      <w:r w:rsidRPr="00743AC4">
        <w:rPr>
          <w:rFonts w:cs="Times New Roman"/>
          <w:i/>
          <w:iCs/>
          <w:noProof/>
          <w:szCs w:val="24"/>
          <w:lang w:val="fr-FR"/>
        </w:rPr>
        <w:t>European Scientific Journal</w:t>
      </w:r>
      <w:r w:rsidRPr="00743AC4">
        <w:rPr>
          <w:rFonts w:cs="Times New Roman"/>
          <w:noProof/>
          <w:szCs w:val="24"/>
          <w:lang w:val="fr-FR"/>
        </w:rPr>
        <w:t xml:space="preserve">, </w:t>
      </w:r>
      <w:r w:rsidRPr="00743AC4">
        <w:rPr>
          <w:rFonts w:cs="Times New Roman"/>
          <w:i/>
          <w:iCs/>
          <w:noProof/>
          <w:szCs w:val="24"/>
          <w:lang w:val="fr-FR"/>
        </w:rPr>
        <w:t>2</w:t>
      </w:r>
      <w:r w:rsidRPr="00743AC4">
        <w:rPr>
          <w:rFonts w:cs="Times New Roman"/>
          <w:noProof/>
          <w:szCs w:val="24"/>
          <w:lang w:val="fr-FR"/>
        </w:rPr>
        <w:t>, 329–361. https://doi.org/10.19044/esj.2015</w:t>
      </w:r>
    </w:p>
    <w:p w:rsidR="009973A2" w:rsidRPr="00743AC4" w:rsidRDefault="009973A2" w:rsidP="009973A2">
      <w:pPr>
        <w:widowControl w:val="0"/>
        <w:autoSpaceDE w:val="0"/>
        <w:autoSpaceDN w:val="0"/>
        <w:adjustRightInd w:val="0"/>
        <w:ind w:left="480" w:firstLine="0"/>
        <w:rPr>
          <w:rFonts w:cs="Times New Roman"/>
          <w:noProof/>
          <w:szCs w:val="24"/>
          <w:lang w:val="fr-FR"/>
        </w:rPr>
      </w:pPr>
    </w:p>
    <w:p w:rsidR="009973A2" w:rsidRPr="00743AC4" w:rsidRDefault="009973A2" w:rsidP="009973A2">
      <w:pPr>
        <w:widowControl w:val="0"/>
        <w:autoSpaceDE w:val="0"/>
        <w:autoSpaceDN w:val="0"/>
        <w:adjustRightInd w:val="0"/>
        <w:ind w:left="480" w:firstLine="0"/>
        <w:rPr>
          <w:rFonts w:cs="Times New Roman"/>
          <w:noProof/>
          <w:szCs w:val="24"/>
          <w:lang w:val="fr-FR"/>
        </w:rPr>
      </w:pPr>
      <w:r w:rsidRPr="00743AC4">
        <w:rPr>
          <w:rFonts w:cs="Times New Roman"/>
          <w:noProof/>
          <w:szCs w:val="24"/>
        </w:rPr>
        <w:t xml:space="preserve">Kiviet, J. F. (1995). Econometrics various estimators in dynamic panel data models. </w:t>
      </w:r>
      <w:r w:rsidRPr="00743AC4">
        <w:rPr>
          <w:rFonts w:cs="Times New Roman"/>
          <w:i/>
          <w:iCs/>
          <w:noProof/>
          <w:szCs w:val="24"/>
          <w:lang w:val="fr-FR"/>
        </w:rPr>
        <w:t>Journal of Econometrics</w:t>
      </w:r>
      <w:r w:rsidRPr="00743AC4">
        <w:rPr>
          <w:rFonts w:cs="Times New Roman"/>
          <w:noProof/>
          <w:szCs w:val="24"/>
          <w:lang w:val="fr-FR"/>
        </w:rPr>
        <w:t xml:space="preserve">, </w:t>
      </w:r>
      <w:r w:rsidRPr="00743AC4">
        <w:rPr>
          <w:rFonts w:cs="Times New Roman"/>
          <w:i/>
          <w:iCs/>
          <w:noProof/>
          <w:szCs w:val="24"/>
          <w:lang w:val="fr-FR"/>
        </w:rPr>
        <w:t>68</w:t>
      </w:r>
      <w:r w:rsidRPr="00743AC4">
        <w:rPr>
          <w:rFonts w:cs="Times New Roman"/>
          <w:noProof/>
          <w:szCs w:val="24"/>
          <w:lang w:val="fr-FR"/>
        </w:rPr>
        <w:t>, 53–78.</w:t>
      </w:r>
    </w:p>
    <w:p w:rsidR="009973A2" w:rsidRPr="00743AC4" w:rsidRDefault="009973A2" w:rsidP="009973A2">
      <w:pPr>
        <w:widowControl w:val="0"/>
        <w:autoSpaceDE w:val="0"/>
        <w:autoSpaceDN w:val="0"/>
        <w:adjustRightInd w:val="0"/>
        <w:ind w:left="480" w:firstLine="0"/>
        <w:rPr>
          <w:rFonts w:cs="Times New Roman"/>
          <w:noProof/>
          <w:szCs w:val="24"/>
          <w:lang w:val="fr-FR"/>
        </w:rPr>
      </w:pPr>
    </w:p>
    <w:p w:rsidR="009973A2" w:rsidRPr="00743AC4" w:rsidRDefault="009973A2" w:rsidP="009973A2">
      <w:pPr>
        <w:widowControl w:val="0"/>
        <w:autoSpaceDE w:val="0"/>
        <w:autoSpaceDN w:val="0"/>
        <w:adjustRightInd w:val="0"/>
        <w:ind w:left="480" w:firstLine="0"/>
        <w:rPr>
          <w:rFonts w:cs="Times New Roman"/>
          <w:noProof/>
          <w:szCs w:val="24"/>
          <w:lang w:val="fr-FR"/>
        </w:rPr>
      </w:pPr>
      <w:r w:rsidRPr="00743AC4">
        <w:rPr>
          <w:rFonts w:cs="Times New Roman"/>
          <w:noProof/>
          <w:szCs w:val="24"/>
          <w:lang w:val="fr-FR"/>
        </w:rPr>
        <w:t xml:space="preserve">Krugell, W. (2005). The determinants of foreign direct investment in Africa. </w:t>
      </w:r>
      <w:r w:rsidRPr="00743AC4">
        <w:rPr>
          <w:rFonts w:cs="Times New Roman"/>
          <w:i/>
          <w:iCs/>
          <w:noProof/>
          <w:szCs w:val="24"/>
          <w:lang w:val="fr-FR"/>
        </w:rPr>
        <w:t>Springer</w:t>
      </w:r>
      <w:r w:rsidRPr="00743AC4">
        <w:rPr>
          <w:rFonts w:cs="Times New Roman"/>
          <w:noProof/>
          <w:szCs w:val="24"/>
          <w:lang w:val="fr-FR"/>
        </w:rPr>
        <w:t>, (3), 49–71. https://doi.org/10.1007/3-7908-1610-8_4</w:t>
      </w:r>
    </w:p>
    <w:p w:rsidR="009973A2" w:rsidRPr="00743AC4" w:rsidRDefault="009973A2" w:rsidP="009973A2">
      <w:pPr>
        <w:widowControl w:val="0"/>
        <w:autoSpaceDE w:val="0"/>
        <w:autoSpaceDN w:val="0"/>
        <w:adjustRightInd w:val="0"/>
        <w:ind w:left="480" w:firstLine="0"/>
        <w:rPr>
          <w:rFonts w:cs="Times New Roman"/>
          <w:noProof/>
          <w:szCs w:val="24"/>
          <w:lang w:val="fr-FR"/>
        </w:rPr>
      </w:pPr>
    </w:p>
    <w:p w:rsidR="009973A2" w:rsidRPr="00743AC4" w:rsidRDefault="009973A2" w:rsidP="009973A2">
      <w:pPr>
        <w:widowControl w:val="0"/>
        <w:autoSpaceDE w:val="0"/>
        <w:autoSpaceDN w:val="0"/>
        <w:adjustRightInd w:val="0"/>
        <w:ind w:left="480" w:firstLine="0"/>
        <w:rPr>
          <w:rFonts w:cs="Times New Roman"/>
          <w:noProof/>
          <w:szCs w:val="24"/>
          <w:lang w:val="fr-FR"/>
        </w:rPr>
      </w:pPr>
      <w:r w:rsidRPr="00743AC4">
        <w:rPr>
          <w:rFonts w:cs="Times New Roman"/>
          <w:noProof/>
          <w:szCs w:val="24"/>
          <w:lang w:val="fr-FR"/>
        </w:rPr>
        <w:t xml:space="preserve">Letto-Gillies, G. (2004). </w:t>
      </w:r>
      <w:r w:rsidRPr="00743AC4">
        <w:rPr>
          <w:rFonts w:cs="Times New Roman"/>
          <w:i/>
          <w:iCs/>
          <w:noProof/>
          <w:szCs w:val="24"/>
          <w:lang w:val="fr-FR"/>
        </w:rPr>
        <w:t>Transnational corporations and international production: conceps, theories and effects</w:t>
      </w:r>
      <w:r w:rsidRPr="00743AC4">
        <w:rPr>
          <w:rFonts w:cs="Times New Roman"/>
          <w:noProof/>
          <w:szCs w:val="24"/>
          <w:lang w:val="fr-FR"/>
        </w:rPr>
        <w:t>.</w:t>
      </w:r>
    </w:p>
    <w:p w:rsidR="009973A2" w:rsidRPr="00743AC4" w:rsidRDefault="009973A2" w:rsidP="009973A2">
      <w:pPr>
        <w:widowControl w:val="0"/>
        <w:autoSpaceDE w:val="0"/>
        <w:autoSpaceDN w:val="0"/>
        <w:adjustRightInd w:val="0"/>
        <w:ind w:left="480" w:firstLine="0"/>
        <w:rPr>
          <w:rFonts w:cs="Times New Roman"/>
          <w:noProof/>
          <w:szCs w:val="24"/>
          <w:lang w:val="fr-FR"/>
        </w:rPr>
      </w:pPr>
    </w:p>
    <w:p w:rsidR="009973A2" w:rsidRPr="00743AC4" w:rsidRDefault="009973A2" w:rsidP="009973A2">
      <w:pPr>
        <w:widowControl w:val="0"/>
        <w:autoSpaceDE w:val="0"/>
        <w:autoSpaceDN w:val="0"/>
        <w:adjustRightInd w:val="0"/>
        <w:ind w:left="480" w:firstLine="0"/>
        <w:rPr>
          <w:rFonts w:cs="Times New Roman"/>
          <w:noProof/>
          <w:szCs w:val="24"/>
          <w:lang w:val="fr-FR"/>
        </w:rPr>
      </w:pPr>
      <w:r w:rsidRPr="00743AC4">
        <w:rPr>
          <w:rFonts w:cs="Times New Roman"/>
          <w:noProof/>
          <w:szCs w:val="24"/>
          <w:lang w:val="fr-FR"/>
        </w:rPr>
        <w:t xml:space="preserve">Mijiyawa, A. G. (2015). What drives foreign direct investment in Africa? An empirical investigation with panel data. </w:t>
      </w:r>
      <w:r w:rsidRPr="00743AC4">
        <w:rPr>
          <w:rFonts w:cs="Times New Roman"/>
          <w:i/>
          <w:iCs/>
          <w:noProof/>
          <w:szCs w:val="24"/>
          <w:lang w:val="fr-FR"/>
        </w:rPr>
        <w:t>African Development Review</w:t>
      </w:r>
      <w:r w:rsidRPr="00743AC4">
        <w:rPr>
          <w:rFonts w:cs="Times New Roman"/>
          <w:noProof/>
          <w:szCs w:val="24"/>
          <w:lang w:val="fr-FR"/>
        </w:rPr>
        <w:t xml:space="preserve">, </w:t>
      </w:r>
      <w:r w:rsidRPr="00743AC4">
        <w:rPr>
          <w:rFonts w:cs="Times New Roman"/>
          <w:i/>
          <w:iCs/>
          <w:noProof/>
          <w:szCs w:val="24"/>
          <w:lang w:val="fr-FR"/>
        </w:rPr>
        <w:t>27</w:t>
      </w:r>
      <w:r w:rsidRPr="00743AC4">
        <w:rPr>
          <w:rFonts w:cs="Times New Roman"/>
          <w:noProof/>
          <w:szCs w:val="24"/>
          <w:lang w:val="fr-FR"/>
        </w:rPr>
        <w:t>(4), 392–402. https://doi.org/https://doi.org/10.1111/1467-8268.12155</w:t>
      </w:r>
    </w:p>
    <w:p w:rsidR="009973A2" w:rsidRPr="00743AC4" w:rsidRDefault="009973A2" w:rsidP="009973A2">
      <w:pPr>
        <w:widowControl w:val="0"/>
        <w:autoSpaceDE w:val="0"/>
        <w:autoSpaceDN w:val="0"/>
        <w:adjustRightInd w:val="0"/>
        <w:ind w:left="480" w:firstLine="0"/>
        <w:rPr>
          <w:rFonts w:cs="Times New Roman"/>
          <w:noProof/>
          <w:szCs w:val="24"/>
          <w:lang w:val="fr-FR"/>
        </w:rPr>
      </w:pPr>
    </w:p>
    <w:p w:rsidR="009973A2" w:rsidRPr="00743AC4" w:rsidRDefault="009973A2" w:rsidP="009973A2">
      <w:pPr>
        <w:widowControl w:val="0"/>
        <w:autoSpaceDE w:val="0"/>
        <w:autoSpaceDN w:val="0"/>
        <w:adjustRightInd w:val="0"/>
        <w:ind w:left="480" w:firstLine="0"/>
        <w:rPr>
          <w:rFonts w:cs="Times New Roman"/>
          <w:noProof/>
          <w:szCs w:val="24"/>
          <w:lang w:val="fr-FR"/>
        </w:rPr>
      </w:pPr>
      <w:r w:rsidRPr="00743AC4">
        <w:rPr>
          <w:rFonts w:cs="Times New Roman"/>
          <w:noProof/>
          <w:szCs w:val="24"/>
          <w:lang w:val="fr-FR"/>
        </w:rPr>
        <w:t xml:space="preserve">Ohlin, B. (1933). </w:t>
      </w:r>
      <w:r w:rsidRPr="00743AC4">
        <w:rPr>
          <w:rFonts w:cs="Times New Roman"/>
          <w:i/>
          <w:iCs/>
          <w:noProof/>
          <w:szCs w:val="24"/>
          <w:lang w:val="fr-FR"/>
        </w:rPr>
        <w:t>Interregional and International Trade</w:t>
      </w:r>
      <w:r w:rsidRPr="00743AC4">
        <w:rPr>
          <w:rFonts w:cs="Times New Roman"/>
          <w:noProof/>
          <w:szCs w:val="24"/>
          <w:lang w:val="fr-FR"/>
        </w:rPr>
        <w:t xml:space="preserve"> (M. P. R. version published in 1968 University, ed.). Cambridge.</w:t>
      </w:r>
    </w:p>
    <w:p w:rsidR="009973A2" w:rsidRPr="00743AC4" w:rsidRDefault="009973A2" w:rsidP="009973A2">
      <w:pPr>
        <w:widowControl w:val="0"/>
        <w:autoSpaceDE w:val="0"/>
        <w:autoSpaceDN w:val="0"/>
        <w:adjustRightInd w:val="0"/>
        <w:ind w:left="480" w:firstLine="0"/>
        <w:rPr>
          <w:rFonts w:cs="Times New Roman"/>
          <w:noProof/>
          <w:szCs w:val="24"/>
          <w:lang w:val="fr-FR"/>
        </w:rPr>
      </w:pPr>
      <w:r w:rsidRPr="00743AC4">
        <w:rPr>
          <w:rFonts w:cs="Times New Roman"/>
          <w:noProof/>
          <w:szCs w:val="24"/>
          <w:lang w:val="fr-FR"/>
        </w:rPr>
        <w:t xml:space="preserve">Okafor, G., Piesse, J., and Webster, A. (2015). The motives for inward FDI into Sub-Saharan African countries. </w:t>
      </w:r>
      <w:r w:rsidRPr="00743AC4">
        <w:rPr>
          <w:rFonts w:cs="Times New Roman"/>
          <w:i/>
          <w:iCs/>
          <w:noProof/>
          <w:szCs w:val="24"/>
          <w:lang w:val="fr-FR"/>
        </w:rPr>
        <w:t>Journal of Policy Modeling</w:t>
      </w:r>
      <w:r w:rsidRPr="00743AC4">
        <w:rPr>
          <w:rFonts w:cs="Times New Roman"/>
          <w:noProof/>
          <w:szCs w:val="24"/>
          <w:lang w:val="fr-FR"/>
        </w:rPr>
        <w:t xml:space="preserve">, </w:t>
      </w:r>
      <w:r w:rsidRPr="00743AC4">
        <w:rPr>
          <w:rFonts w:cs="Times New Roman"/>
          <w:i/>
          <w:iCs/>
          <w:noProof/>
          <w:szCs w:val="24"/>
          <w:lang w:val="fr-FR"/>
        </w:rPr>
        <w:t>37</w:t>
      </w:r>
      <w:r w:rsidRPr="00743AC4">
        <w:rPr>
          <w:rFonts w:cs="Times New Roman"/>
          <w:noProof/>
          <w:szCs w:val="24"/>
          <w:lang w:val="fr-FR"/>
        </w:rPr>
        <w:t>(5), 875–890. https://doi.org/10.1016/j.jpolmod.2015.07.003</w:t>
      </w:r>
    </w:p>
    <w:p w:rsidR="009973A2" w:rsidRPr="00743AC4" w:rsidRDefault="009973A2" w:rsidP="009973A2">
      <w:pPr>
        <w:widowControl w:val="0"/>
        <w:autoSpaceDE w:val="0"/>
        <w:autoSpaceDN w:val="0"/>
        <w:adjustRightInd w:val="0"/>
        <w:ind w:left="480" w:firstLine="0"/>
        <w:rPr>
          <w:rFonts w:cs="Times New Roman"/>
          <w:noProof/>
          <w:szCs w:val="24"/>
          <w:lang w:val="fr-FR"/>
        </w:rPr>
      </w:pPr>
    </w:p>
    <w:p w:rsidR="009973A2" w:rsidRPr="00743AC4" w:rsidRDefault="009973A2" w:rsidP="009973A2">
      <w:pPr>
        <w:widowControl w:val="0"/>
        <w:autoSpaceDE w:val="0"/>
        <w:autoSpaceDN w:val="0"/>
        <w:adjustRightInd w:val="0"/>
        <w:ind w:left="480" w:firstLine="0"/>
        <w:rPr>
          <w:rFonts w:cs="Times New Roman"/>
          <w:noProof/>
          <w:szCs w:val="24"/>
          <w:lang w:val="fr-BE"/>
        </w:rPr>
      </w:pPr>
      <w:r w:rsidRPr="00743AC4">
        <w:rPr>
          <w:rFonts w:cs="Times New Roman"/>
          <w:noProof/>
          <w:szCs w:val="24"/>
        </w:rPr>
        <w:t xml:space="preserve">Okafor, G., Piesse, J., and Webster, A. (2017). </w:t>
      </w:r>
      <w:r w:rsidRPr="00743AC4">
        <w:rPr>
          <w:rFonts w:cs="Times New Roman"/>
          <w:noProof/>
          <w:szCs w:val="24"/>
          <w:lang w:val="fr-FR"/>
        </w:rPr>
        <w:t xml:space="preserve">FDI determinants in least recipient regions: The case of Sub-Saharan Africa and MENA. </w:t>
      </w:r>
      <w:r w:rsidRPr="00743AC4">
        <w:rPr>
          <w:rFonts w:cs="Times New Roman"/>
          <w:noProof/>
          <w:szCs w:val="24"/>
          <w:lang w:val="fr-BE"/>
        </w:rPr>
        <w:t xml:space="preserve">In </w:t>
      </w:r>
      <w:r w:rsidRPr="00743AC4">
        <w:rPr>
          <w:rFonts w:cs="Times New Roman"/>
          <w:i/>
          <w:iCs/>
          <w:noProof/>
          <w:szCs w:val="24"/>
          <w:lang w:val="fr-BE"/>
        </w:rPr>
        <w:t>African Development Review</w:t>
      </w:r>
      <w:r w:rsidRPr="00743AC4">
        <w:rPr>
          <w:rFonts w:cs="Times New Roman"/>
          <w:noProof/>
          <w:szCs w:val="24"/>
          <w:lang w:val="fr-BE"/>
        </w:rPr>
        <w:t xml:space="preserve"> (Vol. 29). https://doi.org/10.1111/1467-8268.12298</w:t>
      </w:r>
    </w:p>
    <w:p w:rsidR="009973A2" w:rsidRPr="00743AC4" w:rsidRDefault="009973A2" w:rsidP="009973A2">
      <w:pPr>
        <w:widowControl w:val="0"/>
        <w:autoSpaceDE w:val="0"/>
        <w:autoSpaceDN w:val="0"/>
        <w:adjustRightInd w:val="0"/>
        <w:ind w:left="480" w:firstLine="0"/>
        <w:rPr>
          <w:rFonts w:cs="Times New Roman"/>
          <w:noProof/>
          <w:szCs w:val="24"/>
          <w:lang w:val="fr-BE"/>
        </w:rPr>
      </w:pPr>
    </w:p>
    <w:p w:rsidR="009973A2" w:rsidRPr="00743AC4" w:rsidRDefault="009973A2" w:rsidP="009973A2">
      <w:pPr>
        <w:widowControl w:val="0"/>
        <w:autoSpaceDE w:val="0"/>
        <w:autoSpaceDN w:val="0"/>
        <w:adjustRightInd w:val="0"/>
        <w:ind w:left="480" w:firstLine="0"/>
        <w:rPr>
          <w:rFonts w:cs="Times New Roman"/>
          <w:noProof/>
          <w:szCs w:val="24"/>
          <w:lang w:val="fr-FR"/>
        </w:rPr>
      </w:pPr>
      <w:r w:rsidRPr="00743AC4">
        <w:rPr>
          <w:rFonts w:cs="Times New Roman"/>
          <w:noProof/>
          <w:szCs w:val="24"/>
          <w:lang w:val="fr-FR"/>
        </w:rPr>
        <w:t xml:space="preserve">Okurut, F. N., Narayana, N., and Chidozie, N. (2012). Determinants of foreign direct investment in Economic Community of West African States. </w:t>
      </w:r>
      <w:r w:rsidRPr="00743AC4">
        <w:rPr>
          <w:rFonts w:cs="Times New Roman"/>
          <w:i/>
          <w:iCs/>
          <w:noProof/>
          <w:szCs w:val="24"/>
          <w:lang w:val="fr-FR"/>
        </w:rPr>
        <w:t>International Journal of Economics and Business Studies</w:t>
      </w:r>
      <w:r w:rsidRPr="00743AC4">
        <w:rPr>
          <w:rFonts w:cs="Times New Roman"/>
          <w:noProof/>
          <w:szCs w:val="24"/>
          <w:lang w:val="fr-FR"/>
        </w:rPr>
        <w:t xml:space="preserve">, </w:t>
      </w:r>
      <w:r w:rsidRPr="00743AC4">
        <w:rPr>
          <w:rFonts w:cs="Times New Roman"/>
          <w:i/>
          <w:iCs/>
          <w:noProof/>
          <w:szCs w:val="24"/>
          <w:lang w:val="fr-FR"/>
        </w:rPr>
        <w:t>2</w:t>
      </w:r>
      <w:r w:rsidRPr="00743AC4">
        <w:rPr>
          <w:rFonts w:cs="Times New Roman"/>
          <w:noProof/>
          <w:szCs w:val="24"/>
          <w:lang w:val="fr-FR"/>
        </w:rPr>
        <w:t>(1), 26–35.</w:t>
      </w:r>
    </w:p>
    <w:p w:rsidR="009973A2" w:rsidRPr="00743AC4" w:rsidRDefault="009973A2" w:rsidP="009973A2">
      <w:pPr>
        <w:widowControl w:val="0"/>
        <w:autoSpaceDE w:val="0"/>
        <w:autoSpaceDN w:val="0"/>
        <w:adjustRightInd w:val="0"/>
        <w:ind w:left="480" w:firstLine="0"/>
        <w:rPr>
          <w:rFonts w:cs="Times New Roman"/>
          <w:noProof/>
          <w:szCs w:val="24"/>
          <w:lang w:val="fr-FR"/>
        </w:rPr>
      </w:pPr>
    </w:p>
    <w:p w:rsidR="009973A2" w:rsidRPr="00743AC4" w:rsidRDefault="009973A2" w:rsidP="009973A2">
      <w:pPr>
        <w:widowControl w:val="0"/>
        <w:autoSpaceDE w:val="0"/>
        <w:autoSpaceDN w:val="0"/>
        <w:adjustRightInd w:val="0"/>
        <w:ind w:left="480" w:firstLine="0"/>
        <w:rPr>
          <w:rFonts w:cs="Times New Roman"/>
          <w:noProof/>
          <w:szCs w:val="24"/>
          <w:lang w:val="fr-FR"/>
        </w:rPr>
      </w:pPr>
      <w:r w:rsidRPr="00743AC4">
        <w:rPr>
          <w:rFonts w:cs="Times New Roman"/>
          <w:noProof/>
          <w:szCs w:val="24"/>
          <w:lang w:val="fr-FR"/>
        </w:rPr>
        <w:t xml:space="preserve">Onyeiwu, S., and Shrestha, H. (2004). Determinants of foreign direct investment in Africa. </w:t>
      </w:r>
      <w:r w:rsidRPr="00743AC4">
        <w:rPr>
          <w:rFonts w:cs="Times New Roman"/>
          <w:i/>
          <w:iCs/>
          <w:noProof/>
          <w:szCs w:val="24"/>
          <w:lang w:val="fr-FR"/>
        </w:rPr>
        <w:t>Journal of Developing Societies</w:t>
      </w:r>
      <w:r w:rsidRPr="00743AC4">
        <w:rPr>
          <w:rFonts w:cs="Times New Roman"/>
          <w:noProof/>
          <w:szCs w:val="24"/>
          <w:lang w:val="fr-FR"/>
        </w:rPr>
        <w:t xml:space="preserve">, </w:t>
      </w:r>
      <w:r w:rsidRPr="00743AC4">
        <w:rPr>
          <w:rFonts w:cs="Times New Roman"/>
          <w:i/>
          <w:iCs/>
          <w:noProof/>
          <w:szCs w:val="24"/>
          <w:lang w:val="fr-FR"/>
        </w:rPr>
        <w:t>20</w:t>
      </w:r>
      <w:r w:rsidRPr="00743AC4">
        <w:rPr>
          <w:rFonts w:cs="Times New Roman"/>
          <w:noProof/>
          <w:szCs w:val="24"/>
          <w:lang w:val="fr-FR"/>
        </w:rPr>
        <w:t>(1–2), 89–106. https://doi.org/10.1177/0169796X04048305</w:t>
      </w:r>
    </w:p>
    <w:p w:rsidR="009973A2" w:rsidRPr="00743AC4" w:rsidRDefault="009973A2" w:rsidP="009973A2">
      <w:pPr>
        <w:widowControl w:val="0"/>
        <w:autoSpaceDE w:val="0"/>
        <w:autoSpaceDN w:val="0"/>
        <w:adjustRightInd w:val="0"/>
        <w:ind w:left="480" w:firstLine="0"/>
        <w:rPr>
          <w:rFonts w:cs="Times New Roman"/>
          <w:noProof/>
          <w:szCs w:val="24"/>
          <w:lang w:val="fr-FR"/>
        </w:rPr>
      </w:pPr>
    </w:p>
    <w:p w:rsidR="009973A2" w:rsidRPr="00743AC4" w:rsidRDefault="009973A2" w:rsidP="009973A2">
      <w:pPr>
        <w:widowControl w:val="0"/>
        <w:autoSpaceDE w:val="0"/>
        <w:autoSpaceDN w:val="0"/>
        <w:adjustRightInd w:val="0"/>
        <w:ind w:left="480" w:firstLine="0"/>
        <w:rPr>
          <w:rFonts w:cs="Times New Roman"/>
          <w:noProof/>
          <w:szCs w:val="24"/>
          <w:lang w:val="fr-FR"/>
        </w:rPr>
      </w:pPr>
      <w:r w:rsidRPr="00743AC4">
        <w:rPr>
          <w:rFonts w:cs="Times New Roman"/>
          <w:noProof/>
          <w:szCs w:val="24"/>
          <w:lang w:val="fr-FR"/>
        </w:rPr>
        <w:t xml:space="preserve">Phelan, S. E. (2003). Trends in foreign direct investment flows: A theoretical and empirical analysis. </w:t>
      </w:r>
      <w:r w:rsidRPr="00743AC4">
        <w:rPr>
          <w:rFonts w:cs="Times New Roman"/>
          <w:i/>
          <w:iCs/>
          <w:noProof/>
          <w:szCs w:val="24"/>
          <w:lang w:val="fr-FR"/>
        </w:rPr>
        <w:t>Journal of International Business Studies</w:t>
      </w:r>
      <w:r w:rsidRPr="00743AC4">
        <w:rPr>
          <w:rFonts w:cs="Times New Roman"/>
          <w:noProof/>
          <w:szCs w:val="24"/>
          <w:lang w:val="fr-FR"/>
        </w:rPr>
        <w:t>. https://doi.org/10.1057/palgrave.jibs.8400034</w:t>
      </w:r>
    </w:p>
    <w:p w:rsidR="009973A2" w:rsidRPr="00743AC4" w:rsidRDefault="009973A2" w:rsidP="009973A2">
      <w:pPr>
        <w:widowControl w:val="0"/>
        <w:autoSpaceDE w:val="0"/>
        <w:autoSpaceDN w:val="0"/>
        <w:adjustRightInd w:val="0"/>
        <w:ind w:left="480" w:firstLine="0"/>
        <w:rPr>
          <w:rFonts w:cs="Times New Roman"/>
          <w:noProof/>
          <w:szCs w:val="24"/>
          <w:lang w:val="fr-FR"/>
        </w:rPr>
      </w:pPr>
    </w:p>
    <w:p w:rsidR="009973A2" w:rsidRPr="00743AC4" w:rsidRDefault="009973A2" w:rsidP="009973A2">
      <w:pPr>
        <w:widowControl w:val="0"/>
        <w:autoSpaceDE w:val="0"/>
        <w:autoSpaceDN w:val="0"/>
        <w:adjustRightInd w:val="0"/>
        <w:ind w:left="480" w:firstLine="0"/>
        <w:rPr>
          <w:rFonts w:cs="Times New Roman"/>
          <w:noProof/>
          <w:szCs w:val="24"/>
          <w:lang w:val="fr-FR"/>
        </w:rPr>
      </w:pPr>
      <w:r w:rsidRPr="00743AC4">
        <w:rPr>
          <w:rFonts w:cs="Times New Roman"/>
          <w:noProof/>
          <w:szCs w:val="24"/>
        </w:rPr>
        <w:t xml:space="preserve">Rodríguez-Pose, A., and Cols, G. (2017). </w:t>
      </w:r>
      <w:r w:rsidRPr="00743AC4">
        <w:rPr>
          <w:rFonts w:cs="Times New Roman"/>
          <w:noProof/>
          <w:szCs w:val="24"/>
          <w:lang w:val="fr-FR"/>
        </w:rPr>
        <w:t xml:space="preserve">The determinants of foreign direct investment in sub-Saharan Africa: What role for governance? </w:t>
      </w:r>
      <w:r w:rsidRPr="00743AC4">
        <w:rPr>
          <w:rFonts w:cs="Times New Roman"/>
          <w:i/>
          <w:iCs/>
          <w:noProof/>
          <w:szCs w:val="24"/>
          <w:lang w:val="fr-FR"/>
        </w:rPr>
        <w:t>Regional Science Policy and Practice</w:t>
      </w:r>
      <w:r w:rsidRPr="00743AC4">
        <w:rPr>
          <w:rFonts w:cs="Times New Roman"/>
          <w:noProof/>
          <w:szCs w:val="24"/>
          <w:lang w:val="fr-FR"/>
        </w:rPr>
        <w:t xml:space="preserve">, </w:t>
      </w:r>
      <w:r w:rsidRPr="00743AC4">
        <w:rPr>
          <w:rFonts w:cs="Times New Roman"/>
          <w:i/>
          <w:iCs/>
          <w:noProof/>
          <w:szCs w:val="24"/>
          <w:lang w:val="fr-FR"/>
        </w:rPr>
        <w:t>9</w:t>
      </w:r>
      <w:r w:rsidRPr="00743AC4">
        <w:rPr>
          <w:rFonts w:cs="Times New Roman"/>
          <w:noProof/>
          <w:szCs w:val="24"/>
          <w:lang w:val="fr-FR"/>
        </w:rPr>
        <w:t>(2), 63–81. https://doi.org/10.1111/rsp3.12093</w:t>
      </w:r>
    </w:p>
    <w:p w:rsidR="009973A2" w:rsidRPr="00743AC4" w:rsidRDefault="009973A2" w:rsidP="009973A2">
      <w:pPr>
        <w:widowControl w:val="0"/>
        <w:autoSpaceDE w:val="0"/>
        <w:autoSpaceDN w:val="0"/>
        <w:adjustRightInd w:val="0"/>
        <w:ind w:left="480" w:firstLine="0"/>
        <w:rPr>
          <w:rFonts w:cs="Times New Roman"/>
          <w:noProof/>
          <w:szCs w:val="24"/>
          <w:lang w:val="fr-FR"/>
        </w:rPr>
      </w:pPr>
    </w:p>
    <w:p w:rsidR="009973A2" w:rsidRPr="00743AC4" w:rsidRDefault="009973A2" w:rsidP="009973A2">
      <w:pPr>
        <w:widowControl w:val="0"/>
        <w:autoSpaceDE w:val="0"/>
        <w:autoSpaceDN w:val="0"/>
        <w:adjustRightInd w:val="0"/>
        <w:ind w:left="480" w:firstLine="0"/>
        <w:rPr>
          <w:rFonts w:cs="Times New Roman"/>
          <w:noProof/>
          <w:szCs w:val="24"/>
          <w:lang w:val="fr-FR"/>
        </w:rPr>
      </w:pPr>
      <w:r w:rsidRPr="00743AC4">
        <w:rPr>
          <w:rFonts w:cs="Times New Roman"/>
          <w:noProof/>
          <w:szCs w:val="24"/>
        </w:rPr>
        <w:t xml:space="preserve">Sichei, M. M., and Kinyondo, G. (2012). </w:t>
      </w:r>
      <w:r w:rsidRPr="00743AC4">
        <w:rPr>
          <w:rFonts w:cs="Times New Roman"/>
          <w:noProof/>
          <w:szCs w:val="24"/>
          <w:lang w:val="fr-FR"/>
        </w:rPr>
        <w:t xml:space="preserve">Determinants of foreign direct investment in Africa: A panel data analysis. </w:t>
      </w:r>
      <w:r w:rsidRPr="00743AC4">
        <w:rPr>
          <w:rFonts w:cs="Times New Roman"/>
          <w:i/>
          <w:iCs/>
          <w:noProof/>
          <w:szCs w:val="24"/>
          <w:lang w:val="fr-FR"/>
        </w:rPr>
        <w:t>Global Journals Inc</w:t>
      </w:r>
      <w:r w:rsidRPr="00743AC4">
        <w:rPr>
          <w:rFonts w:cs="Times New Roman"/>
          <w:noProof/>
          <w:szCs w:val="24"/>
          <w:lang w:val="fr-FR"/>
        </w:rPr>
        <w:t xml:space="preserve">, </w:t>
      </w:r>
      <w:r w:rsidRPr="00743AC4">
        <w:rPr>
          <w:rFonts w:cs="Times New Roman"/>
          <w:i/>
          <w:iCs/>
          <w:noProof/>
          <w:szCs w:val="24"/>
          <w:lang w:val="fr-FR"/>
        </w:rPr>
        <w:t>12</w:t>
      </w:r>
      <w:r w:rsidRPr="00743AC4">
        <w:rPr>
          <w:rFonts w:cs="Times New Roman"/>
          <w:noProof/>
          <w:szCs w:val="24"/>
          <w:lang w:val="fr-FR"/>
        </w:rPr>
        <w:t>(18).</w:t>
      </w:r>
    </w:p>
    <w:p w:rsidR="009973A2" w:rsidRPr="00743AC4" w:rsidRDefault="009973A2" w:rsidP="009973A2">
      <w:pPr>
        <w:widowControl w:val="0"/>
        <w:autoSpaceDE w:val="0"/>
        <w:autoSpaceDN w:val="0"/>
        <w:adjustRightInd w:val="0"/>
        <w:ind w:left="480" w:firstLine="0"/>
        <w:rPr>
          <w:rFonts w:cs="Times New Roman"/>
          <w:noProof/>
          <w:szCs w:val="24"/>
          <w:lang w:val="fr-FR"/>
        </w:rPr>
      </w:pPr>
    </w:p>
    <w:p w:rsidR="009973A2" w:rsidRPr="00743AC4" w:rsidRDefault="009973A2" w:rsidP="009973A2">
      <w:pPr>
        <w:widowControl w:val="0"/>
        <w:autoSpaceDE w:val="0"/>
        <w:autoSpaceDN w:val="0"/>
        <w:adjustRightInd w:val="0"/>
        <w:ind w:left="480" w:firstLine="0"/>
        <w:rPr>
          <w:rFonts w:cs="Times New Roman"/>
          <w:noProof/>
          <w:szCs w:val="24"/>
          <w:lang w:val="fr-FR"/>
        </w:rPr>
      </w:pPr>
      <w:r w:rsidRPr="00743AC4">
        <w:rPr>
          <w:rFonts w:cs="Times New Roman"/>
          <w:noProof/>
          <w:szCs w:val="24"/>
          <w:lang w:val="fr-FR"/>
        </w:rPr>
        <w:t xml:space="preserve">Suleinman, N. N., Kaliappa,  shivee ranjanee, and Ismail, N. W. (2015). Determinants of foreign direct investment: Empirical evidence from Southern Africa Customs Union (SACU) countries. In </w:t>
      </w:r>
      <w:r w:rsidRPr="00743AC4">
        <w:rPr>
          <w:rFonts w:cs="Times New Roman"/>
          <w:i/>
          <w:iCs/>
          <w:noProof/>
          <w:szCs w:val="24"/>
          <w:lang w:val="fr-FR"/>
        </w:rPr>
        <w:t>Journal of Economics and Management</w:t>
      </w:r>
      <w:r w:rsidRPr="00743AC4">
        <w:rPr>
          <w:rFonts w:cs="Times New Roman"/>
          <w:noProof/>
          <w:szCs w:val="24"/>
          <w:lang w:val="fr-FR"/>
        </w:rPr>
        <w:t xml:space="preserve"> (Vol. 9). </w:t>
      </w:r>
    </w:p>
    <w:p w:rsidR="009973A2" w:rsidRPr="00743AC4" w:rsidRDefault="009973A2" w:rsidP="009973A2">
      <w:pPr>
        <w:widowControl w:val="0"/>
        <w:autoSpaceDE w:val="0"/>
        <w:autoSpaceDN w:val="0"/>
        <w:adjustRightInd w:val="0"/>
        <w:ind w:left="480" w:firstLine="0"/>
        <w:rPr>
          <w:rFonts w:cs="Times New Roman"/>
          <w:noProof/>
          <w:szCs w:val="24"/>
          <w:lang w:val="fr-FR"/>
        </w:rPr>
      </w:pPr>
    </w:p>
    <w:p w:rsidR="009973A2" w:rsidRPr="00743AC4" w:rsidRDefault="009973A2" w:rsidP="009973A2">
      <w:pPr>
        <w:widowControl w:val="0"/>
        <w:autoSpaceDE w:val="0"/>
        <w:autoSpaceDN w:val="0"/>
        <w:adjustRightInd w:val="0"/>
        <w:ind w:left="480" w:firstLine="0"/>
        <w:rPr>
          <w:rFonts w:cs="Times New Roman"/>
          <w:noProof/>
          <w:szCs w:val="24"/>
          <w:lang w:val="fr-FR"/>
        </w:rPr>
      </w:pPr>
      <w:r w:rsidRPr="00743AC4">
        <w:rPr>
          <w:rFonts w:cs="Times New Roman"/>
          <w:noProof/>
          <w:szCs w:val="24"/>
          <w:lang w:val="fr-FR"/>
        </w:rPr>
        <w:t xml:space="preserve">Vernon, R. (1966). International investment and international trade in the product cycle. </w:t>
      </w:r>
      <w:r w:rsidRPr="00743AC4">
        <w:rPr>
          <w:rFonts w:cs="Times New Roman"/>
          <w:i/>
          <w:iCs/>
          <w:noProof/>
          <w:szCs w:val="24"/>
          <w:lang w:val="fr-FR"/>
        </w:rPr>
        <w:t>Journal of Economics</w:t>
      </w:r>
      <w:r w:rsidRPr="00743AC4">
        <w:rPr>
          <w:rFonts w:cs="Times New Roman"/>
          <w:noProof/>
          <w:szCs w:val="24"/>
          <w:lang w:val="fr-FR"/>
        </w:rPr>
        <w:t xml:space="preserve">, </w:t>
      </w:r>
      <w:r w:rsidRPr="00743AC4">
        <w:rPr>
          <w:rFonts w:cs="Times New Roman"/>
          <w:i/>
          <w:iCs/>
          <w:noProof/>
          <w:szCs w:val="24"/>
          <w:lang w:val="fr-FR"/>
        </w:rPr>
        <w:t>80</w:t>
      </w:r>
      <w:r w:rsidRPr="00743AC4">
        <w:rPr>
          <w:rFonts w:cs="Times New Roman"/>
          <w:noProof/>
          <w:szCs w:val="24"/>
          <w:lang w:val="fr-FR"/>
        </w:rPr>
        <w:t>(2), 190–207. https://doi.org/10.2307/1880689.</w:t>
      </w:r>
    </w:p>
    <w:p w:rsidR="009973A2" w:rsidRPr="00743AC4" w:rsidRDefault="009973A2" w:rsidP="009973A2">
      <w:pPr>
        <w:widowControl w:val="0"/>
        <w:autoSpaceDE w:val="0"/>
        <w:autoSpaceDN w:val="0"/>
        <w:adjustRightInd w:val="0"/>
        <w:ind w:left="480" w:firstLine="0"/>
        <w:rPr>
          <w:rFonts w:cs="Times New Roman"/>
          <w:noProof/>
          <w:szCs w:val="24"/>
          <w:lang w:val="fr-FR"/>
        </w:rPr>
      </w:pPr>
    </w:p>
    <w:p w:rsidR="009973A2" w:rsidRPr="00743AC4" w:rsidRDefault="009973A2" w:rsidP="009973A2">
      <w:pPr>
        <w:widowControl w:val="0"/>
        <w:autoSpaceDE w:val="0"/>
        <w:autoSpaceDN w:val="0"/>
        <w:adjustRightInd w:val="0"/>
        <w:ind w:left="480" w:firstLine="0"/>
        <w:rPr>
          <w:rFonts w:cs="Times New Roman"/>
          <w:noProof/>
          <w:lang w:val="fr-FR"/>
        </w:rPr>
      </w:pPr>
      <w:r w:rsidRPr="00743AC4">
        <w:rPr>
          <w:rFonts w:cs="Times New Roman"/>
          <w:noProof/>
          <w:szCs w:val="24"/>
          <w:lang w:val="fr-FR"/>
        </w:rPr>
        <w:t xml:space="preserve">Woldemichael, E. H., Githui, T., and Ngui, T. (2019). Influence of selected macro-economic factors on foreign direct investment in Kenya. </w:t>
      </w:r>
      <w:r w:rsidRPr="00743AC4">
        <w:rPr>
          <w:rFonts w:cs="Times New Roman"/>
          <w:i/>
          <w:iCs/>
          <w:noProof/>
          <w:szCs w:val="24"/>
          <w:lang w:val="fr-FR"/>
        </w:rPr>
        <w:t>European Journal of Business and Management</w:t>
      </w:r>
      <w:r w:rsidRPr="00743AC4">
        <w:rPr>
          <w:rFonts w:cs="Times New Roman"/>
          <w:noProof/>
          <w:szCs w:val="24"/>
          <w:lang w:val="fr-FR"/>
        </w:rPr>
        <w:t xml:space="preserve">, </w:t>
      </w:r>
      <w:r w:rsidRPr="00743AC4">
        <w:rPr>
          <w:rFonts w:cs="Times New Roman"/>
          <w:i/>
          <w:iCs/>
          <w:noProof/>
          <w:szCs w:val="24"/>
          <w:lang w:val="fr-FR"/>
        </w:rPr>
        <w:t>09</w:t>
      </w:r>
      <w:r w:rsidRPr="00743AC4">
        <w:rPr>
          <w:rFonts w:cs="Times New Roman"/>
          <w:noProof/>
          <w:szCs w:val="24"/>
          <w:lang w:val="fr-FR"/>
        </w:rPr>
        <w:t>(9), 36–44. https://doi.org/10.7176/ejbm/11-3-06</w:t>
      </w:r>
    </w:p>
    <w:p w:rsidR="009973A2" w:rsidRPr="00743AC4" w:rsidRDefault="009973A2" w:rsidP="009973A2">
      <w:pPr>
        <w:ind w:firstLine="0"/>
        <w:rPr>
          <w:rFonts w:cs="Times New Roman"/>
          <w:noProof/>
          <w:szCs w:val="24"/>
          <w:lang w:val="en-GB"/>
        </w:rPr>
      </w:pPr>
      <w:r w:rsidRPr="00743AC4">
        <w:rPr>
          <w:rFonts w:cs="Times New Roman"/>
          <w:noProof/>
          <w:szCs w:val="24"/>
          <w:lang w:val="en-GB"/>
        </w:rPr>
        <w:fldChar w:fldCharType="end"/>
      </w:r>
    </w:p>
    <w:p w:rsidR="00273D21" w:rsidRPr="00743AC4" w:rsidRDefault="00273D21">
      <w:pPr>
        <w:rPr>
          <w:rFonts w:cs="Times New Roman"/>
          <w:lang w:val="en-GB"/>
        </w:rPr>
      </w:pPr>
    </w:p>
    <w:sectPr w:rsidR="00273D21" w:rsidRPr="00743A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F9E"/>
    <w:multiLevelType w:val="hybridMultilevel"/>
    <w:tmpl w:val="CC28B47E"/>
    <w:lvl w:ilvl="0" w:tplc="61B011B8">
      <w:start w:val="23"/>
      <w:numFmt w:val="decimal"/>
      <w:lvlText w:val="%1."/>
      <w:lvlJc w:val="left"/>
      <w:pPr>
        <w:ind w:left="720" w:hanging="360"/>
      </w:pPr>
      <w:rPr>
        <w:rFonts w:hint="default"/>
      </w:rPr>
    </w:lvl>
    <w:lvl w:ilvl="1" w:tplc="2CA6369A" w:tentative="1">
      <w:start w:val="1"/>
      <w:numFmt w:val="lowerLetter"/>
      <w:lvlText w:val="%2."/>
      <w:lvlJc w:val="left"/>
      <w:pPr>
        <w:ind w:left="1440" w:hanging="360"/>
      </w:pPr>
    </w:lvl>
    <w:lvl w:ilvl="2" w:tplc="21ECA5E6" w:tentative="1">
      <w:start w:val="1"/>
      <w:numFmt w:val="lowerRoman"/>
      <w:lvlText w:val="%3."/>
      <w:lvlJc w:val="right"/>
      <w:pPr>
        <w:ind w:left="2160" w:hanging="180"/>
      </w:pPr>
    </w:lvl>
    <w:lvl w:ilvl="3" w:tplc="F252EC18" w:tentative="1">
      <w:start w:val="1"/>
      <w:numFmt w:val="decimal"/>
      <w:lvlText w:val="%4."/>
      <w:lvlJc w:val="left"/>
      <w:pPr>
        <w:ind w:left="2880" w:hanging="360"/>
      </w:pPr>
    </w:lvl>
    <w:lvl w:ilvl="4" w:tplc="1AA81D36" w:tentative="1">
      <w:start w:val="1"/>
      <w:numFmt w:val="lowerLetter"/>
      <w:lvlText w:val="%5."/>
      <w:lvlJc w:val="left"/>
      <w:pPr>
        <w:ind w:left="3600" w:hanging="360"/>
      </w:pPr>
    </w:lvl>
    <w:lvl w:ilvl="5" w:tplc="E5708F98" w:tentative="1">
      <w:start w:val="1"/>
      <w:numFmt w:val="lowerRoman"/>
      <w:lvlText w:val="%6."/>
      <w:lvlJc w:val="right"/>
      <w:pPr>
        <w:ind w:left="4320" w:hanging="180"/>
      </w:pPr>
    </w:lvl>
    <w:lvl w:ilvl="6" w:tplc="549EC592" w:tentative="1">
      <w:start w:val="1"/>
      <w:numFmt w:val="decimal"/>
      <w:lvlText w:val="%7."/>
      <w:lvlJc w:val="left"/>
      <w:pPr>
        <w:ind w:left="5040" w:hanging="360"/>
      </w:pPr>
    </w:lvl>
    <w:lvl w:ilvl="7" w:tplc="14FC56F2" w:tentative="1">
      <w:start w:val="1"/>
      <w:numFmt w:val="lowerLetter"/>
      <w:lvlText w:val="%8."/>
      <w:lvlJc w:val="left"/>
      <w:pPr>
        <w:ind w:left="5760" w:hanging="360"/>
      </w:pPr>
    </w:lvl>
    <w:lvl w:ilvl="8" w:tplc="DC9AB400" w:tentative="1">
      <w:start w:val="1"/>
      <w:numFmt w:val="lowerRoman"/>
      <w:lvlText w:val="%9."/>
      <w:lvlJc w:val="right"/>
      <w:pPr>
        <w:ind w:left="6480" w:hanging="180"/>
      </w:pPr>
    </w:lvl>
  </w:abstractNum>
  <w:abstractNum w:abstractNumId="1" w15:restartNumberingAfterBreak="0">
    <w:nsid w:val="1E3C1689"/>
    <w:multiLevelType w:val="hybridMultilevel"/>
    <w:tmpl w:val="6422D46A"/>
    <w:lvl w:ilvl="0" w:tplc="12AEF15A">
      <w:start w:val="1"/>
      <w:numFmt w:val="decimal"/>
      <w:lvlText w:val="%1."/>
      <w:lvlJc w:val="left"/>
      <w:pPr>
        <w:ind w:left="1080" w:hanging="360"/>
      </w:pPr>
    </w:lvl>
    <w:lvl w:ilvl="1" w:tplc="A6EA0F2C" w:tentative="1">
      <w:start w:val="1"/>
      <w:numFmt w:val="lowerLetter"/>
      <w:lvlText w:val="%2."/>
      <w:lvlJc w:val="left"/>
      <w:pPr>
        <w:ind w:left="1800" w:hanging="360"/>
      </w:pPr>
    </w:lvl>
    <w:lvl w:ilvl="2" w:tplc="80BE6720" w:tentative="1">
      <w:start w:val="1"/>
      <w:numFmt w:val="lowerRoman"/>
      <w:lvlText w:val="%3."/>
      <w:lvlJc w:val="right"/>
      <w:pPr>
        <w:ind w:left="2520" w:hanging="180"/>
      </w:pPr>
    </w:lvl>
    <w:lvl w:ilvl="3" w:tplc="BEAC55D2" w:tentative="1">
      <w:start w:val="1"/>
      <w:numFmt w:val="decimal"/>
      <w:lvlText w:val="%4."/>
      <w:lvlJc w:val="left"/>
      <w:pPr>
        <w:ind w:left="3240" w:hanging="360"/>
      </w:pPr>
    </w:lvl>
    <w:lvl w:ilvl="4" w:tplc="C14AEF2C" w:tentative="1">
      <w:start w:val="1"/>
      <w:numFmt w:val="lowerLetter"/>
      <w:lvlText w:val="%5."/>
      <w:lvlJc w:val="left"/>
      <w:pPr>
        <w:ind w:left="3960" w:hanging="360"/>
      </w:pPr>
    </w:lvl>
    <w:lvl w:ilvl="5" w:tplc="058E685A" w:tentative="1">
      <w:start w:val="1"/>
      <w:numFmt w:val="lowerRoman"/>
      <w:lvlText w:val="%6."/>
      <w:lvlJc w:val="right"/>
      <w:pPr>
        <w:ind w:left="4680" w:hanging="180"/>
      </w:pPr>
    </w:lvl>
    <w:lvl w:ilvl="6" w:tplc="D00029F2" w:tentative="1">
      <w:start w:val="1"/>
      <w:numFmt w:val="decimal"/>
      <w:lvlText w:val="%7."/>
      <w:lvlJc w:val="left"/>
      <w:pPr>
        <w:ind w:left="5400" w:hanging="360"/>
      </w:pPr>
    </w:lvl>
    <w:lvl w:ilvl="7" w:tplc="A246C76C" w:tentative="1">
      <w:start w:val="1"/>
      <w:numFmt w:val="lowerLetter"/>
      <w:lvlText w:val="%8."/>
      <w:lvlJc w:val="left"/>
      <w:pPr>
        <w:ind w:left="6120" w:hanging="360"/>
      </w:pPr>
    </w:lvl>
    <w:lvl w:ilvl="8" w:tplc="0DB0765C" w:tentative="1">
      <w:start w:val="1"/>
      <w:numFmt w:val="lowerRoman"/>
      <w:lvlText w:val="%9."/>
      <w:lvlJc w:val="right"/>
      <w:pPr>
        <w:ind w:left="6840" w:hanging="180"/>
      </w:pPr>
    </w:lvl>
  </w:abstractNum>
  <w:abstractNum w:abstractNumId="2" w15:restartNumberingAfterBreak="0">
    <w:nsid w:val="38001768"/>
    <w:multiLevelType w:val="hybridMultilevel"/>
    <w:tmpl w:val="4B72E938"/>
    <w:lvl w:ilvl="0" w:tplc="FFB0A78C">
      <w:start w:val="1"/>
      <w:numFmt w:val="decimal"/>
      <w:lvlText w:val="%1."/>
      <w:lvlJc w:val="left"/>
      <w:pPr>
        <w:ind w:left="720" w:hanging="360"/>
      </w:pPr>
    </w:lvl>
    <w:lvl w:ilvl="1" w:tplc="2AA43320" w:tentative="1">
      <w:start w:val="1"/>
      <w:numFmt w:val="lowerLetter"/>
      <w:lvlText w:val="%2."/>
      <w:lvlJc w:val="left"/>
      <w:pPr>
        <w:ind w:left="1440" w:hanging="360"/>
      </w:pPr>
    </w:lvl>
    <w:lvl w:ilvl="2" w:tplc="9A1CBDBA" w:tentative="1">
      <w:start w:val="1"/>
      <w:numFmt w:val="lowerRoman"/>
      <w:lvlText w:val="%3."/>
      <w:lvlJc w:val="right"/>
      <w:pPr>
        <w:ind w:left="2160" w:hanging="180"/>
      </w:pPr>
    </w:lvl>
    <w:lvl w:ilvl="3" w:tplc="FAF668BE" w:tentative="1">
      <w:start w:val="1"/>
      <w:numFmt w:val="decimal"/>
      <w:lvlText w:val="%4."/>
      <w:lvlJc w:val="left"/>
      <w:pPr>
        <w:ind w:left="2880" w:hanging="360"/>
      </w:pPr>
    </w:lvl>
    <w:lvl w:ilvl="4" w:tplc="A94AE87E" w:tentative="1">
      <w:start w:val="1"/>
      <w:numFmt w:val="lowerLetter"/>
      <w:lvlText w:val="%5."/>
      <w:lvlJc w:val="left"/>
      <w:pPr>
        <w:ind w:left="3600" w:hanging="360"/>
      </w:pPr>
    </w:lvl>
    <w:lvl w:ilvl="5" w:tplc="E7B6AD3E" w:tentative="1">
      <w:start w:val="1"/>
      <w:numFmt w:val="lowerRoman"/>
      <w:lvlText w:val="%6."/>
      <w:lvlJc w:val="right"/>
      <w:pPr>
        <w:ind w:left="4320" w:hanging="180"/>
      </w:pPr>
    </w:lvl>
    <w:lvl w:ilvl="6" w:tplc="9F3A0656" w:tentative="1">
      <w:start w:val="1"/>
      <w:numFmt w:val="decimal"/>
      <w:lvlText w:val="%7."/>
      <w:lvlJc w:val="left"/>
      <w:pPr>
        <w:ind w:left="5040" w:hanging="360"/>
      </w:pPr>
    </w:lvl>
    <w:lvl w:ilvl="7" w:tplc="65D297D0" w:tentative="1">
      <w:start w:val="1"/>
      <w:numFmt w:val="lowerLetter"/>
      <w:lvlText w:val="%8."/>
      <w:lvlJc w:val="left"/>
      <w:pPr>
        <w:ind w:left="5760" w:hanging="360"/>
      </w:pPr>
    </w:lvl>
    <w:lvl w:ilvl="8" w:tplc="751C5630" w:tentative="1">
      <w:start w:val="1"/>
      <w:numFmt w:val="lowerRoman"/>
      <w:lvlText w:val="%9."/>
      <w:lvlJc w:val="right"/>
      <w:pPr>
        <w:ind w:left="6480" w:hanging="180"/>
      </w:pPr>
    </w:lvl>
  </w:abstractNum>
  <w:abstractNum w:abstractNumId="3" w15:restartNumberingAfterBreak="0">
    <w:nsid w:val="50B620B0"/>
    <w:multiLevelType w:val="hybridMultilevel"/>
    <w:tmpl w:val="EA8C8DF4"/>
    <w:lvl w:ilvl="0" w:tplc="547697B0">
      <w:start w:val="21"/>
      <w:numFmt w:val="decimal"/>
      <w:lvlText w:val="%1."/>
      <w:lvlJc w:val="left"/>
      <w:pPr>
        <w:ind w:left="720" w:hanging="360"/>
      </w:pPr>
      <w:rPr>
        <w:rFonts w:hint="default"/>
      </w:rPr>
    </w:lvl>
    <w:lvl w:ilvl="1" w:tplc="9F26F782" w:tentative="1">
      <w:start w:val="1"/>
      <w:numFmt w:val="lowerLetter"/>
      <w:lvlText w:val="%2."/>
      <w:lvlJc w:val="left"/>
      <w:pPr>
        <w:ind w:left="1440" w:hanging="360"/>
      </w:pPr>
    </w:lvl>
    <w:lvl w:ilvl="2" w:tplc="BE0C565C" w:tentative="1">
      <w:start w:val="1"/>
      <w:numFmt w:val="lowerRoman"/>
      <w:lvlText w:val="%3."/>
      <w:lvlJc w:val="right"/>
      <w:pPr>
        <w:ind w:left="2160" w:hanging="180"/>
      </w:pPr>
    </w:lvl>
    <w:lvl w:ilvl="3" w:tplc="733401FC" w:tentative="1">
      <w:start w:val="1"/>
      <w:numFmt w:val="decimal"/>
      <w:lvlText w:val="%4."/>
      <w:lvlJc w:val="left"/>
      <w:pPr>
        <w:ind w:left="2880" w:hanging="360"/>
      </w:pPr>
    </w:lvl>
    <w:lvl w:ilvl="4" w:tplc="99584B90" w:tentative="1">
      <w:start w:val="1"/>
      <w:numFmt w:val="lowerLetter"/>
      <w:lvlText w:val="%5."/>
      <w:lvlJc w:val="left"/>
      <w:pPr>
        <w:ind w:left="3600" w:hanging="360"/>
      </w:pPr>
    </w:lvl>
    <w:lvl w:ilvl="5" w:tplc="37D6641A" w:tentative="1">
      <w:start w:val="1"/>
      <w:numFmt w:val="lowerRoman"/>
      <w:lvlText w:val="%6."/>
      <w:lvlJc w:val="right"/>
      <w:pPr>
        <w:ind w:left="4320" w:hanging="180"/>
      </w:pPr>
    </w:lvl>
    <w:lvl w:ilvl="6" w:tplc="CF78EC50" w:tentative="1">
      <w:start w:val="1"/>
      <w:numFmt w:val="decimal"/>
      <w:lvlText w:val="%7."/>
      <w:lvlJc w:val="left"/>
      <w:pPr>
        <w:ind w:left="5040" w:hanging="360"/>
      </w:pPr>
    </w:lvl>
    <w:lvl w:ilvl="7" w:tplc="789A0F92" w:tentative="1">
      <w:start w:val="1"/>
      <w:numFmt w:val="lowerLetter"/>
      <w:lvlText w:val="%8."/>
      <w:lvlJc w:val="left"/>
      <w:pPr>
        <w:ind w:left="5760" w:hanging="360"/>
      </w:pPr>
    </w:lvl>
    <w:lvl w:ilvl="8" w:tplc="BA6C62E4" w:tentative="1">
      <w:start w:val="1"/>
      <w:numFmt w:val="lowerRoman"/>
      <w:lvlText w:val="%9."/>
      <w:lvlJc w:val="right"/>
      <w:pPr>
        <w:ind w:left="6480" w:hanging="180"/>
      </w:pPr>
    </w:lvl>
  </w:abstractNum>
  <w:abstractNum w:abstractNumId="4" w15:restartNumberingAfterBreak="0">
    <w:nsid w:val="546744F0"/>
    <w:multiLevelType w:val="hybridMultilevel"/>
    <w:tmpl w:val="F4285F04"/>
    <w:lvl w:ilvl="0" w:tplc="7E68FE96">
      <w:start w:val="5"/>
      <w:numFmt w:val="decimal"/>
      <w:lvlText w:val="%1."/>
      <w:lvlJc w:val="left"/>
      <w:pPr>
        <w:ind w:left="720" w:hanging="360"/>
      </w:pPr>
      <w:rPr>
        <w:rFonts w:hint="default"/>
      </w:rPr>
    </w:lvl>
    <w:lvl w:ilvl="1" w:tplc="86120100" w:tentative="1">
      <w:start w:val="1"/>
      <w:numFmt w:val="lowerLetter"/>
      <w:lvlText w:val="%2."/>
      <w:lvlJc w:val="left"/>
      <w:pPr>
        <w:ind w:left="1440" w:hanging="360"/>
      </w:pPr>
    </w:lvl>
    <w:lvl w:ilvl="2" w:tplc="B4FE029C" w:tentative="1">
      <w:start w:val="1"/>
      <w:numFmt w:val="lowerRoman"/>
      <w:lvlText w:val="%3."/>
      <w:lvlJc w:val="right"/>
      <w:pPr>
        <w:ind w:left="2160" w:hanging="180"/>
      </w:pPr>
    </w:lvl>
    <w:lvl w:ilvl="3" w:tplc="94AE7F88" w:tentative="1">
      <w:start w:val="1"/>
      <w:numFmt w:val="decimal"/>
      <w:lvlText w:val="%4."/>
      <w:lvlJc w:val="left"/>
      <w:pPr>
        <w:ind w:left="2880" w:hanging="360"/>
      </w:pPr>
    </w:lvl>
    <w:lvl w:ilvl="4" w:tplc="02C82A5E" w:tentative="1">
      <w:start w:val="1"/>
      <w:numFmt w:val="lowerLetter"/>
      <w:lvlText w:val="%5."/>
      <w:lvlJc w:val="left"/>
      <w:pPr>
        <w:ind w:left="3600" w:hanging="360"/>
      </w:pPr>
    </w:lvl>
    <w:lvl w:ilvl="5" w:tplc="CDDC08B2" w:tentative="1">
      <w:start w:val="1"/>
      <w:numFmt w:val="lowerRoman"/>
      <w:lvlText w:val="%6."/>
      <w:lvlJc w:val="right"/>
      <w:pPr>
        <w:ind w:left="4320" w:hanging="180"/>
      </w:pPr>
    </w:lvl>
    <w:lvl w:ilvl="6" w:tplc="19EA8296" w:tentative="1">
      <w:start w:val="1"/>
      <w:numFmt w:val="decimal"/>
      <w:lvlText w:val="%7."/>
      <w:lvlJc w:val="left"/>
      <w:pPr>
        <w:ind w:left="5040" w:hanging="360"/>
      </w:pPr>
    </w:lvl>
    <w:lvl w:ilvl="7" w:tplc="15D83E3C" w:tentative="1">
      <w:start w:val="1"/>
      <w:numFmt w:val="lowerLetter"/>
      <w:lvlText w:val="%8."/>
      <w:lvlJc w:val="left"/>
      <w:pPr>
        <w:ind w:left="5760" w:hanging="360"/>
      </w:pPr>
    </w:lvl>
    <w:lvl w:ilvl="8" w:tplc="017671DA" w:tentative="1">
      <w:start w:val="1"/>
      <w:numFmt w:val="lowerRoman"/>
      <w:lvlText w:val="%9."/>
      <w:lvlJc w:val="right"/>
      <w:pPr>
        <w:ind w:left="6480" w:hanging="180"/>
      </w:pPr>
    </w:lvl>
  </w:abstractNum>
  <w:abstractNum w:abstractNumId="5" w15:restartNumberingAfterBreak="0">
    <w:nsid w:val="68AA1FA4"/>
    <w:multiLevelType w:val="hybridMultilevel"/>
    <w:tmpl w:val="B73036D4"/>
    <w:lvl w:ilvl="0" w:tplc="ECE0F580">
      <w:start w:val="1"/>
      <w:numFmt w:val="decimal"/>
      <w:lvlText w:val="%1."/>
      <w:lvlJc w:val="left"/>
      <w:pPr>
        <w:ind w:left="720" w:hanging="360"/>
      </w:pPr>
      <w:rPr>
        <w:rFonts w:hint="default"/>
      </w:rPr>
    </w:lvl>
    <w:lvl w:ilvl="1" w:tplc="BA10AF44" w:tentative="1">
      <w:start w:val="1"/>
      <w:numFmt w:val="lowerLetter"/>
      <w:lvlText w:val="%2."/>
      <w:lvlJc w:val="left"/>
      <w:pPr>
        <w:ind w:left="1440" w:hanging="360"/>
      </w:pPr>
    </w:lvl>
    <w:lvl w:ilvl="2" w:tplc="440E5A7E" w:tentative="1">
      <w:start w:val="1"/>
      <w:numFmt w:val="lowerRoman"/>
      <w:lvlText w:val="%3."/>
      <w:lvlJc w:val="right"/>
      <w:pPr>
        <w:ind w:left="2160" w:hanging="180"/>
      </w:pPr>
    </w:lvl>
    <w:lvl w:ilvl="3" w:tplc="10060250" w:tentative="1">
      <w:start w:val="1"/>
      <w:numFmt w:val="decimal"/>
      <w:lvlText w:val="%4."/>
      <w:lvlJc w:val="left"/>
      <w:pPr>
        <w:ind w:left="2880" w:hanging="360"/>
      </w:pPr>
    </w:lvl>
    <w:lvl w:ilvl="4" w:tplc="02AAA8F2" w:tentative="1">
      <w:start w:val="1"/>
      <w:numFmt w:val="lowerLetter"/>
      <w:lvlText w:val="%5."/>
      <w:lvlJc w:val="left"/>
      <w:pPr>
        <w:ind w:left="3600" w:hanging="360"/>
      </w:pPr>
    </w:lvl>
    <w:lvl w:ilvl="5" w:tplc="C57CCD84" w:tentative="1">
      <w:start w:val="1"/>
      <w:numFmt w:val="lowerRoman"/>
      <w:lvlText w:val="%6."/>
      <w:lvlJc w:val="right"/>
      <w:pPr>
        <w:ind w:left="4320" w:hanging="180"/>
      </w:pPr>
    </w:lvl>
    <w:lvl w:ilvl="6" w:tplc="C11024B2" w:tentative="1">
      <w:start w:val="1"/>
      <w:numFmt w:val="decimal"/>
      <w:lvlText w:val="%7."/>
      <w:lvlJc w:val="left"/>
      <w:pPr>
        <w:ind w:left="5040" w:hanging="360"/>
      </w:pPr>
    </w:lvl>
    <w:lvl w:ilvl="7" w:tplc="1070E804" w:tentative="1">
      <w:start w:val="1"/>
      <w:numFmt w:val="lowerLetter"/>
      <w:lvlText w:val="%8."/>
      <w:lvlJc w:val="left"/>
      <w:pPr>
        <w:ind w:left="5760" w:hanging="360"/>
      </w:pPr>
    </w:lvl>
    <w:lvl w:ilvl="8" w:tplc="9806BC88" w:tentative="1">
      <w:start w:val="1"/>
      <w:numFmt w:val="lowerRoman"/>
      <w:lvlText w:val="%9."/>
      <w:lvlJc w:val="right"/>
      <w:pPr>
        <w:ind w:left="6480" w:hanging="180"/>
      </w:pPr>
    </w:lvl>
  </w:abstractNum>
  <w:abstractNum w:abstractNumId="6" w15:restartNumberingAfterBreak="0">
    <w:nsid w:val="6E592719"/>
    <w:multiLevelType w:val="hybridMultilevel"/>
    <w:tmpl w:val="8542D2AC"/>
    <w:lvl w:ilvl="0" w:tplc="9612DD7C">
      <w:start w:val="1"/>
      <w:numFmt w:val="decimal"/>
      <w:lvlText w:val="%1."/>
      <w:lvlJc w:val="left"/>
      <w:pPr>
        <w:ind w:left="720" w:hanging="360"/>
      </w:pPr>
      <w:rPr>
        <w:rFonts w:hint="default"/>
      </w:rPr>
    </w:lvl>
    <w:lvl w:ilvl="1" w:tplc="8EFCDD08" w:tentative="1">
      <w:start w:val="1"/>
      <w:numFmt w:val="lowerLetter"/>
      <w:lvlText w:val="%2."/>
      <w:lvlJc w:val="left"/>
      <w:pPr>
        <w:ind w:left="1440" w:hanging="360"/>
      </w:pPr>
    </w:lvl>
    <w:lvl w:ilvl="2" w:tplc="3260D580" w:tentative="1">
      <w:start w:val="1"/>
      <w:numFmt w:val="lowerRoman"/>
      <w:lvlText w:val="%3."/>
      <w:lvlJc w:val="right"/>
      <w:pPr>
        <w:ind w:left="2160" w:hanging="180"/>
      </w:pPr>
    </w:lvl>
    <w:lvl w:ilvl="3" w:tplc="381CF620" w:tentative="1">
      <w:start w:val="1"/>
      <w:numFmt w:val="decimal"/>
      <w:lvlText w:val="%4."/>
      <w:lvlJc w:val="left"/>
      <w:pPr>
        <w:ind w:left="2880" w:hanging="360"/>
      </w:pPr>
    </w:lvl>
    <w:lvl w:ilvl="4" w:tplc="B51C81FC" w:tentative="1">
      <w:start w:val="1"/>
      <w:numFmt w:val="lowerLetter"/>
      <w:lvlText w:val="%5."/>
      <w:lvlJc w:val="left"/>
      <w:pPr>
        <w:ind w:left="3600" w:hanging="360"/>
      </w:pPr>
    </w:lvl>
    <w:lvl w:ilvl="5" w:tplc="03DEB1E0" w:tentative="1">
      <w:start w:val="1"/>
      <w:numFmt w:val="lowerRoman"/>
      <w:lvlText w:val="%6."/>
      <w:lvlJc w:val="right"/>
      <w:pPr>
        <w:ind w:left="4320" w:hanging="180"/>
      </w:pPr>
    </w:lvl>
    <w:lvl w:ilvl="6" w:tplc="5DAE5926" w:tentative="1">
      <w:start w:val="1"/>
      <w:numFmt w:val="decimal"/>
      <w:lvlText w:val="%7."/>
      <w:lvlJc w:val="left"/>
      <w:pPr>
        <w:ind w:left="5040" w:hanging="360"/>
      </w:pPr>
    </w:lvl>
    <w:lvl w:ilvl="7" w:tplc="5C360160" w:tentative="1">
      <w:start w:val="1"/>
      <w:numFmt w:val="lowerLetter"/>
      <w:lvlText w:val="%8."/>
      <w:lvlJc w:val="left"/>
      <w:pPr>
        <w:ind w:left="5760" w:hanging="360"/>
      </w:pPr>
    </w:lvl>
    <w:lvl w:ilvl="8" w:tplc="2ABAA23E" w:tentative="1">
      <w:start w:val="1"/>
      <w:numFmt w:val="lowerRoman"/>
      <w:lvlText w:val="%9."/>
      <w:lvlJc w:val="right"/>
      <w:pPr>
        <w:ind w:left="6480" w:hanging="180"/>
      </w:pPr>
    </w:lvl>
  </w:abstractNum>
  <w:abstractNum w:abstractNumId="7" w15:restartNumberingAfterBreak="0">
    <w:nsid w:val="79F804A8"/>
    <w:multiLevelType w:val="hybridMultilevel"/>
    <w:tmpl w:val="FBE2A74E"/>
    <w:lvl w:ilvl="0" w:tplc="115C60D8">
      <w:start w:val="1"/>
      <w:numFmt w:val="lowerRoman"/>
      <w:lvlText w:val="(%1)"/>
      <w:lvlJc w:val="left"/>
      <w:pPr>
        <w:ind w:left="1440" w:hanging="720"/>
      </w:pPr>
      <w:rPr>
        <w:rFonts w:hint="default"/>
      </w:rPr>
    </w:lvl>
    <w:lvl w:ilvl="1" w:tplc="BAEC7F2C" w:tentative="1">
      <w:start w:val="1"/>
      <w:numFmt w:val="lowerLetter"/>
      <w:lvlText w:val="%2."/>
      <w:lvlJc w:val="left"/>
      <w:pPr>
        <w:ind w:left="1800" w:hanging="360"/>
      </w:pPr>
    </w:lvl>
    <w:lvl w:ilvl="2" w:tplc="522828A8" w:tentative="1">
      <w:start w:val="1"/>
      <w:numFmt w:val="lowerRoman"/>
      <w:lvlText w:val="%3."/>
      <w:lvlJc w:val="right"/>
      <w:pPr>
        <w:ind w:left="2520" w:hanging="180"/>
      </w:pPr>
    </w:lvl>
    <w:lvl w:ilvl="3" w:tplc="F89AEC96" w:tentative="1">
      <w:start w:val="1"/>
      <w:numFmt w:val="decimal"/>
      <w:lvlText w:val="%4."/>
      <w:lvlJc w:val="left"/>
      <w:pPr>
        <w:ind w:left="3240" w:hanging="360"/>
      </w:pPr>
    </w:lvl>
    <w:lvl w:ilvl="4" w:tplc="E9AAA932" w:tentative="1">
      <w:start w:val="1"/>
      <w:numFmt w:val="lowerLetter"/>
      <w:lvlText w:val="%5."/>
      <w:lvlJc w:val="left"/>
      <w:pPr>
        <w:ind w:left="3960" w:hanging="360"/>
      </w:pPr>
    </w:lvl>
    <w:lvl w:ilvl="5" w:tplc="53544EB8" w:tentative="1">
      <w:start w:val="1"/>
      <w:numFmt w:val="lowerRoman"/>
      <w:lvlText w:val="%6."/>
      <w:lvlJc w:val="right"/>
      <w:pPr>
        <w:ind w:left="4680" w:hanging="180"/>
      </w:pPr>
    </w:lvl>
    <w:lvl w:ilvl="6" w:tplc="42B6CABE" w:tentative="1">
      <w:start w:val="1"/>
      <w:numFmt w:val="decimal"/>
      <w:lvlText w:val="%7."/>
      <w:lvlJc w:val="left"/>
      <w:pPr>
        <w:ind w:left="5400" w:hanging="360"/>
      </w:pPr>
    </w:lvl>
    <w:lvl w:ilvl="7" w:tplc="7910BF6E" w:tentative="1">
      <w:start w:val="1"/>
      <w:numFmt w:val="lowerLetter"/>
      <w:lvlText w:val="%8."/>
      <w:lvlJc w:val="left"/>
      <w:pPr>
        <w:ind w:left="6120" w:hanging="360"/>
      </w:pPr>
    </w:lvl>
    <w:lvl w:ilvl="8" w:tplc="5C00F3DE" w:tentative="1">
      <w:start w:val="1"/>
      <w:numFmt w:val="lowerRoman"/>
      <w:lvlText w:val="%9."/>
      <w:lvlJc w:val="right"/>
      <w:pPr>
        <w:ind w:left="6840" w:hanging="180"/>
      </w:pPr>
    </w:lvl>
  </w:abstractNum>
  <w:abstractNum w:abstractNumId="8" w15:restartNumberingAfterBreak="0">
    <w:nsid w:val="7E6B31BC"/>
    <w:multiLevelType w:val="multilevel"/>
    <w:tmpl w:val="94B8C32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8"/>
  </w:num>
  <w:num w:numId="2">
    <w:abstractNumId w:val="7"/>
  </w:num>
  <w:num w:numId="3">
    <w:abstractNumId w:val="2"/>
  </w:num>
  <w:num w:numId="4">
    <w:abstractNumId w:val="5"/>
  </w:num>
  <w:num w:numId="5">
    <w:abstractNumId w:val="6"/>
  </w:num>
  <w:num w:numId="6">
    <w:abstractNumId w:val="4"/>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3A2"/>
    <w:rsid w:val="00273D21"/>
    <w:rsid w:val="00743AC4"/>
    <w:rsid w:val="007A0157"/>
    <w:rsid w:val="009973A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2F0AA"/>
  <w15:chartTrackingRefBased/>
  <w15:docId w15:val="{232EFE51-7094-4096-8C6B-1BA67734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3A2"/>
    <w:pPr>
      <w:spacing w:after="0" w:line="240" w:lineRule="auto"/>
      <w:ind w:firstLine="709"/>
      <w:jc w:val="both"/>
    </w:pPr>
    <w:rPr>
      <w:rFonts w:ascii="Times New Roman" w:hAnsi="Times New Roman"/>
      <w:sz w:val="24"/>
    </w:rPr>
  </w:style>
  <w:style w:type="paragraph" w:styleId="Cabealho1">
    <w:name w:val="heading 1"/>
    <w:basedOn w:val="Normal"/>
    <w:next w:val="Normal"/>
    <w:link w:val="Cabealho1Carter"/>
    <w:uiPriority w:val="9"/>
    <w:qFormat/>
    <w:rsid w:val="009973A2"/>
    <w:pPr>
      <w:keepNext/>
      <w:keepLines/>
      <w:spacing w:before="240" w:after="240"/>
      <w:ind w:firstLine="0"/>
      <w:outlineLvl w:val="0"/>
    </w:pPr>
    <w:rPr>
      <w:rFonts w:asciiTheme="majorHAnsi" w:eastAsiaTheme="majorEastAsia" w:hAnsiTheme="majorHAnsi" w:cstheme="majorBidi"/>
      <w:color w:val="2E74B5" w:themeColor="accent1" w:themeShade="BF"/>
      <w:sz w:val="32"/>
      <w:szCs w:val="32"/>
    </w:rPr>
  </w:style>
  <w:style w:type="paragraph" w:styleId="Cabealho2">
    <w:name w:val="heading 2"/>
    <w:basedOn w:val="Normal"/>
    <w:next w:val="Normal"/>
    <w:link w:val="Cabealho2Carter"/>
    <w:uiPriority w:val="9"/>
    <w:unhideWhenUsed/>
    <w:qFormat/>
    <w:rsid w:val="009973A2"/>
    <w:pPr>
      <w:keepNext/>
      <w:keepLines/>
      <w:spacing w:before="240" w:after="120"/>
      <w:outlineLvl w:val="1"/>
    </w:pPr>
    <w:rPr>
      <w:rFonts w:asciiTheme="majorHAnsi" w:eastAsiaTheme="majorEastAsia" w:hAnsiTheme="majorHAnsi" w:cstheme="majorBidi"/>
      <w:color w:val="2E74B5"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rsid w:val="009973A2"/>
    <w:rPr>
      <w:rFonts w:asciiTheme="majorHAnsi" w:eastAsiaTheme="majorEastAsia" w:hAnsiTheme="majorHAnsi" w:cstheme="majorBidi"/>
      <w:color w:val="2E74B5" w:themeColor="accent1" w:themeShade="BF"/>
      <w:sz w:val="32"/>
      <w:szCs w:val="32"/>
    </w:rPr>
  </w:style>
  <w:style w:type="character" w:customStyle="1" w:styleId="Cabealho2Carter">
    <w:name w:val="Cabeçalho 2 Caráter"/>
    <w:basedOn w:val="Tipodeletrapredefinidodopargrafo"/>
    <w:link w:val="Cabealho2"/>
    <w:uiPriority w:val="9"/>
    <w:rsid w:val="009973A2"/>
    <w:rPr>
      <w:rFonts w:asciiTheme="majorHAnsi" w:eastAsiaTheme="majorEastAsia" w:hAnsiTheme="majorHAnsi" w:cstheme="majorBidi"/>
      <w:color w:val="2E74B5" w:themeColor="accent1" w:themeShade="BF"/>
      <w:sz w:val="26"/>
      <w:szCs w:val="26"/>
    </w:rPr>
  </w:style>
  <w:style w:type="paragraph" w:styleId="Textodenotaderodap">
    <w:name w:val="footnote text"/>
    <w:basedOn w:val="Normal"/>
    <w:link w:val="TextodenotaderodapCarter"/>
    <w:unhideWhenUsed/>
    <w:rsid w:val="009973A2"/>
    <w:rPr>
      <w:sz w:val="20"/>
      <w:szCs w:val="20"/>
    </w:rPr>
  </w:style>
  <w:style w:type="character" w:customStyle="1" w:styleId="TextodenotaderodapCarter">
    <w:name w:val="Texto de nota de rodapé Caráter"/>
    <w:basedOn w:val="Tipodeletrapredefinidodopargrafo"/>
    <w:link w:val="Textodenotaderodap"/>
    <w:rsid w:val="009973A2"/>
    <w:rPr>
      <w:rFonts w:ascii="Times New Roman" w:hAnsi="Times New Roman"/>
      <w:sz w:val="20"/>
      <w:szCs w:val="20"/>
    </w:rPr>
  </w:style>
  <w:style w:type="character" w:styleId="Refdenotaderodap">
    <w:name w:val="footnote reference"/>
    <w:basedOn w:val="Tipodeletrapredefinidodopargrafo"/>
    <w:unhideWhenUsed/>
    <w:rsid w:val="009973A2"/>
    <w:rPr>
      <w:vertAlign w:val="superscript"/>
    </w:rPr>
  </w:style>
  <w:style w:type="paragraph" w:styleId="Legenda">
    <w:name w:val="caption"/>
    <w:basedOn w:val="Normal"/>
    <w:next w:val="Normal"/>
    <w:autoRedefine/>
    <w:unhideWhenUsed/>
    <w:qFormat/>
    <w:rsid w:val="009973A2"/>
    <w:pPr>
      <w:keepNext/>
      <w:tabs>
        <w:tab w:val="left" w:pos="3264"/>
      </w:tabs>
      <w:spacing w:before="120" w:after="120"/>
      <w:ind w:firstLine="0"/>
      <w:jc w:val="center"/>
    </w:pPr>
    <w:rPr>
      <w:rFonts w:eastAsia="Times New Roman" w:cs="Times New Roman"/>
      <w:iCs/>
      <w:color w:val="000000"/>
      <w:szCs w:val="24"/>
      <w:lang w:eastAsia="pt-PT"/>
    </w:rPr>
  </w:style>
  <w:style w:type="paragraph" w:styleId="PargrafodaLista">
    <w:name w:val="List Paragraph"/>
    <w:basedOn w:val="Normal"/>
    <w:uiPriority w:val="34"/>
    <w:qFormat/>
    <w:rsid w:val="009973A2"/>
    <w:pPr>
      <w:ind w:left="720"/>
      <w:contextualSpacing/>
    </w:pPr>
  </w:style>
  <w:style w:type="paragraph" w:customStyle="1" w:styleId="Default">
    <w:name w:val="Default"/>
    <w:rsid w:val="009973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abealho">
    <w:name w:val="header"/>
    <w:basedOn w:val="Normal"/>
    <w:link w:val="CabealhoCarter"/>
    <w:uiPriority w:val="99"/>
    <w:unhideWhenUsed/>
    <w:rsid w:val="009973A2"/>
    <w:pPr>
      <w:tabs>
        <w:tab w:val="center" w:pos="4252"/>
        <w:tab w:val="right" w:pos="8504"/>
      </w:tabs>
    </w:pPr>
  </w:style>
  <w:style w:type="character" w:customStyle="1" w:styleId="CabealhoCarter">
    <w:name w:val="Cabeçalho Caráter"/>
    <w:basedOn w:val="Tipodeletrapredefinidodopargrafo"/>
    <w:link w:val="Cabealho"/>
    <w:uiPriority w:val="99"/>
    <w:rsid w:val="009973A2"/>
    <w:rPr>
      <w:rFonts w:ascii="Times New Roman" w:hAnsi="Times New Roman"/>
      <w:sz w:val="24"/>
    </w:rPr>
  </w:style>
  <w:style w:type="paragraph" w:styleId="Rodap">
    <w:name w:val="footer"/>
    <w:basedOn w:val="Normal"/>
    <w:link w:val="RodapCarter"/>
    <w:uiPriority w:val="99"/>
    <w:unhideWhenUsed/>
    <w:rsid w:val="009973A2"/>
    <w:pPr>
      <w:tabs>
        <w:tab w:val="center" w:pos="4252"/>
        <w:tab w:val="right" w:pos="8504"/>
      </w:tabs>
    </w:pPr>
  </w:style>
  <w:style w:type="character" w:customStyle="1" w:styleId="RodapCarter">
    <w:name w:val="Rodapé Caráter"/>
    <w:basedOn w:val="Tipodeletrapredefinidodopargrafo"/>
    <w:link w:val="Rodap"/>
    <w:uiPriority w:val="99"/>
    <w:rsid w:val="009973A2"/>
    <w:rPr>
      <w:rFonts w:ascii="Times New Roman" w:hAnsi="Times New Roman"/>
      <w:sz w:val="24"/>
    </w:rPr>
  </w:style>
  <w:style w:type="table" w:styleId="Tabelacomgrelha">
    <w:name w:val="Table Grid"/>
    <w:basedOn w:val="Tabelanormal"/>
    <w:uiPriority w:val="39"/>
    <w:rsid w:val="00997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comentrio">
    <w:name w:val="annotation text"/>
    <w:basedOn w:val="Normal"/>
    <w:link w:val="TextodecomentrioCarter"/>
    <w:uiPriority w:val="99"/>
    <w:rsid w:val="009973A2"/>
    <w:rPr>
      <w:rFonts w:eastAsia="Times New Roman" w:cs="Times New Roman"/>
      <w:szCs w:val="20"/>
      <w:lang w:eastAsia="pt-PT"/>
    </w:rPr>
  </w:style>
  <w:style w:type="character" w:customStyle="1" w:styleId="TextodecomentrioCarter">
    <w:name w:val="Texto de comentário Caráter"/>
    <w:basedOn w:val="Tipodeletrapredefinidodopargrafo"/>
    <w:link w:val="Textodecomentrio"/>
    <w:uiPriority w:val="99"/>
    <w:rsid w:val="009973A2"/>
    <w:rPr>
      <w:rFonts w:ascii="Times New Roman" w:eastAsia="Times New Roman" w:hAnsi="Times New Roman" w:cs="Times New Roman"/>
      <w:sz w:val="24"/>
      <w:szCs w:val="20"/>
      <w:lang w:eastAsia="pt-PT"/>
    </w:rPr>
  </w:style>
  <w:style w:type="character" w:styleId="Hiperligao">
    <w:name w:val="Hyperlink"/>
    <w:basedOn w:val="Tipodeletrapredefinidodopargrafo"/>
    <w:uiPriority w:val="99"/>
    <w:semiHidden/>
    <w:unhideWhenUsed/>
    <w:rsid w:val="009973A2"/>
    <w:rPr>
      <w:color w:val="0000FF"/>
      <w:u w:val="single"/>
    </w:rPr>
  </w:style>
  <w:style w:type="character" w:customStyle="1" w:styleId="TextodebaloCarter">
    <w:name w:val="Texto de balão Caráter"/>
    <w:basedOn w:val="Tipodeletrapredefinidodopargrafo"/>
    <w:link w:val="Textodebalo"/>
    <w:uiPriority w:val="99"/>
    <w:semiHidden/>
    <w:rsid w:val="009973A2"/>
    <w:rPr>
      <w:rFonts w:ascii="Segoe UI" w:hAnsi="Segoe UI" w:cs="Segoe UI"/>
      <w:sz w:val="18"/>
      <w:szCs w:val="18"/>
    </w:rPr>
  </w:style>
  <w:style w:type="paragraph" w:styleId="Textodebalo">
    <w:name w:val="Balloon Text"/>
    <w:basedOn w:val="Normal"/>
    <w:link w:val="TextodebaloCarter"/>
    <w:uiPriority w:val="99"/>
    <w:semiHidden/>
    <w:unhideWhenUsed/>
    <w:rsid w:val="009973A2"/>
    <w:rPr>
      <w:rFonts w:ascii="Segoe UI" w:hAnsi="Segoe UI" w:cs="Segoe UI"/>
      <w:sz w:val="18"/>
      <w:szCs w:val="18"/>
    </w:rPr>
  </w:style>
  <w:style w:type="character" w:customStyle="1" w:styleId="TextodebaloCarter1">
    <w:name w:val="Texto de balão Caráter1"/>
    <w:basedOn w:val="Tipodeletrapredefinidodopargrafo"/>
    <w:uiPriority w:val="99"/>
    <w:semiHidden/>
    <w:rsid w:val="009973A2"/>
    <w:rPr>
      <w:rFonts w:ascii="Segoe UI" w:hAnsi="Segoe UI" w:cs="Segoe UI"/>
      <w:sz w:val="18"/>
      <w:szCs w:val="18"/>
    </w:rPr>
  </w:style>
  <w:style w:type="character" w:customStyle="1" w:styleId="AssuntodecomentrioCarter">
    <w:name w:val="Assunto de comentário Caráter"/>
    <w:basedOn w:val="TextodecomentrioCarter"/>
    <w:link w:val="Assuntodecomentrio"/>
    <w:uiPriority w:val="99"/>
    <w:semiHidden/>
    <w:rsid w:val="009973A2"/>
    <w:rPr>
      <w:rFonts w:ascii="Times New Roman" w:eastAsia="Times New Roman" w:hAnsi="Times New Roman" w:cs="Times New Roman"/>
      <w:b/>
      <w:bCs/>
      <w:sz w:val="24"/>
      <w:szCs w:val="20"/>
      <w:lang w:eastAsia="pt-PT"/>
    </w:rPr>
  </w:style>
  <w:style w:type="paragraph" w:styleId="Assuntodecomentrio">
    <w:name w:val="annotation subject"/>
    <w:basedOn w:val="Textodecomentrio"/>
    <w:next w:val="Textodecomentrio"/>
    <w:link w:val="AssuntodecomentrioCarter"/>
    <w:uiPriority w:val="99"/>
    <w:semiHidden/>
    <w:unhideWhenUsed/>
    <w:rsid w:val="009973A2"/>
    <w:rPr>
      <w:b/>
      <w:bCs/>
    </w:rPr>
  </w:style>
  <w:style w:type="character" w:customStyle="1" w:styleId="AssuntodecomentrioCarter1">
    <w:name w:val="Assunto de comentário Caráter1"/>
    <w:basedOn w:val="TextodecomentrioCarter"/>
    <w:uiPriority w:val="99"/>
    <w:semiHidden/>
    <w:rsid w:val="009973A2"/>
    <w:rPr>
      <w:rFonts w:ascii="Times New Roman" w:eastAsia="Times New Roman" w:hAnsi="Times New Roman" w:cs="Times New Roman"/>
      <w:b/>
      <w:bCs/>
      <w:sz w:val="24"/>
      <w:szCs w:val="20"/>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12</Pages>
  <Words>24501</Words>
  <Characters>132308</Characters>
  <Application>Microsoft Office Word</Application>
  <DocSecurity>0</DocSecurity>
  <Lines>1102</Lines>
  <Paragraphs>312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156497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 / DNP - Jailson da Conceicao Teixeira Oliveira</dc:creator>
  <cp:keywords/>
  <dc:description/>
  <cp:lastModifiedBy>MF / DNP - Jailson da Conceicao Teixeira Oliveira</cp:lastModifiedBy>
  <cp:revision>2</cp:revision>
  <dcterms:created xsi:type="dcterms:W3CDTF">2022-11-03T12:28:00Z</dcterms:created>
  <dcterms:modified xsi:type="dcterms:W3CDTF">2022-11-03T13:00:00Z</dcterms:modified>
</cp:coreProperties>
</file>