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C86657" w14:textId="3B338A25" w:rsidR="00DF328F" w:rsidRPr="00A26D85" w:rsidRDefault="002F5BEF">
      <w:pPr>
        <w:rPr>
          <w:rFonts w:ascii="Times New Roman" w:hAnsi="Times New Roman" w:cs="Times New Roman"/>
          <w:b/>
          <w:bCs/>
          <w:sz w:val="28"/>
          <w:szCs w:val="28"/>
          <w:lang w:val="en-US"/>
        </w:rPr>
      </w:pPr>
      <w:r w:rsidRPr="00A26D85">
        <w:rPr>
          <w:rFonts w:ascii="Times New Roman" w:hAnsi="Times New Roman" w:cs="Times New Roman"/>
          <w:b/>
          <w:bCs/>
          <w:sz w:val="28"/>
          <w:szCs w:val="28"/>
          <w:lang w:val="en-US"/>
        </w:rPr>
        <w:t>Determinants of Asset Valu</w:t>
      </w:r>
      <w:r w:rsidR="004607F7" w:rsidRPr="00A26D85">
        <w:rPr>
          <w:rFonts w:ascii="Times New Roman" w:hAnsi="Times New Roman" w:cs="Times New Roman"/>
          <w:b/>
          <w:bCs/>
          <w:sz w:val="28"/>
          <w:szCs w:val="28"/>
          <w:lang w:val="en-US"/>
        </w:rPr>
        <w:t>e Adjustments</w:t>
      </w:r>
      <w:r w:rsidRPr="00A26D85">
        <w:rPr>
          <w:rFonts w:ascii="Times New Roman" w:hAnsi="Times New Roman" w:cs="Times New Roman"/>
          <w:b/>
          <w:bCs/>
          <w:sz w:val="28"/>
          <w:szCs w:val="28"/>
          <w:lang w:val="en-US"/>
        </w:rPr>
        <w:t>: The Case of Germany’s Cooperative Banks</w:t>
      </w:r>
    </w:p>
    <w:p w14:paraId="38A388EA" w14:textId="77777777" w:rsidR="007904D6" w:rsidRDefault="007904D6">
      <w:pPr>
        <w:rPr>
          <w:rFonts w:ascii="Times New Roman" w:hAnsi="Times New Roman" w:cs="Times New Roman"/>
          <w:sz w:val="24"/>
          <w:szCs w:val="24"/>
          <w:lang w:val="en-US"/>
        </w:rPr>
      </w:pPr>
    </w:p>
    <w:p w14:paraId="430E0CCA" w14:textId="77777777" w:rsidR="007904D6" w:rsidRDefault="007904D6">
      <w:pPr>
        <w:rPr>
          <w:rFonts w:ascii="Times New Roman" w:hAnsi="Times New Roman" w:cs="Times New Roman"/>
          <w:sz w:val="24"/>
          <w:szCs w:val="24"/>
          <w:lang w:val="en-US"/>
        </w:rPr>
      </w:pPr>
    </w:p>
    <w:p w14:paraId="7CE164FE" w14:textId="74C84BBA" w:rsidR="002F5BEF" w:rsidRPr="007904D6" w:rsidRDefault="007904D6">
      <w:pPr>
        <w:rPr>
          <w:rFonts w:ascii="Times New Roman" w:hAnsi="Times New Roman" w:cs="Times New Roman"/>
          <w:sz w:val="24"/>
          <w:szCs w:val="24"/>
          <w:lang w:val="en-US"/>
        </w:rPr>
      </w:pPr>
      <w:r w:rsidRPr="007904D6">
        <w:rPr>
          <w:rFonts w:ascii="Times New Roman" w:hAnsi="Times New Roman" w:cs="Times New Roman"/>
          <w:sz w:val="24"/>
          <w:szCs w:val="24"/>
          <w:lang w:val="en-US"/>
        </w:rPr>
        <w:t>Richard Reichel, FOM University, Essen, and Nuremberg Research Institute for Cooperative Studies</w:t>
      </w:r>
    </w:p>
    <w:p w14:paraId="1DA1530F" w14:textId="77777777" w:rsidR="002F5BEF" w:rsidRPr="007904D6" w:rsidRDefault="002F5BEF">
      <w:pPr>
        <w:rPr>
          <w:rFonts w:ascii="Times New Roman" w:hAnsi="Times New Roman" w:cs="Times New Roman"/>
          <w:sz w:val="24"/>
          <w:szCs w:val="24"/>
          <w:lang w:val="en-US"/>
        </w:rPr>
      </w:pPr>
    </w:p>
    <w:p w14:paraId="71E031C0" w14:textId="274253E2" w:rsidR="002F5BEF" w:rsidRPr="00A56346" w:rsidRDefault="002F5BEF">
      <w:pPr>
        <w:rPr>
          <w:rFonts w:ascii="Times New Roman" w:hAnsi="Times New Roman" w:cs="Times New Roman"/>
          <w:b/>
          <w:bCs/>
          <w:sz w:val="24"/>
          <w:szCs w:val="24"/>
          <w:lang w:val="en-US"/>
        </w:rPr>
      </w:pPr>
      <w:r w:rsidRPr="00A56346">
        <w:rPr>
          <w:rFonts w:ascii="Times New Roman" w:hAnsi="Times New Roman" w:cs="Times New Roman"/>
          <w:b/>
          <w:bCs/>
          <w:sz w:val="24"/>
          <w:szCs w:val="24"/>
          <w:lang w:val="en-US"/>
        </w:rPr>
        <w:t>Abstract</w:t>
      </w:r>
    </w:p>
    <w:p w14:paraId="004FCFD2" w14:textId="30BAFF43" w:rsidR="007904D6" w:rsidRDefault="007904D6">
      <w:pPr>
        <w:rPr>
          <w:rFonts w:ascii="Times New Roman" w:hAnsi="Times New Roman" w:cs="Times New Roman"/>
          <w:sz w:val="24"/>
          <w:szCs w:val="24"/>
          <w:lang w:val="en-US"/>
        </w:rPr>
      </w:pPr>
      <w:r>
        <w:rPr>
          <w:rFonts w:ascii="Times New Roman" w:hAnsi="Times New Roman" w:cs="Times New Roman"/>
          <w:sz w:val="24"/>
          <w:szCs w:val="24"/>
          <w:lang w:val="en-US"/>
        </w:rPr>
        <w:t xml:space="preserve">This paper studies the driving forces behind asset value adjustments in the German cooperative banking sector. Firm-specific as well as macroeconomic factors are considered. We estimate a Vector Error Correction Model for the post-unification period from </w:t>
      </w:r>
      <w:r w:rsidR="00A56346">
        <w:rPr>
          <w:rFonts w:ascii="Times New Roman" w:hAnsi="Times New Roman" w:cs="Times New Roman"/>
          <w:sz w:val="24"/>
          <w:szCs w:val="24"/>
          <w:lang w:val="en-US"/>
        </w:rPr>
        <w:t>1992 to 2022.</w:t>
      </w:r>
      <w:r w:rsidR="00903A33">
        <w:rPr>
          <w:rFonts w:ascii="Times New Roman" w:hAnsi="Times New Roman" w:cs="Times New Roman"/>
          <w:sz w:val="24"/>
          <w:szCs w:val="24"/>
          <w:lang w:val="en-US"/>
        </w:rPr>
        <w:t xml:space="preserve"> The main factor behind the improvement in value adjustments is the </w:t>
      </w:r>
      <w:r w:rsidR="00C93CF2">
        <w:rPr>
          <w:rFonts w:ascii="Times New Roman" w:hAnsi="Times New Roman" w:cs="Times New Roman"/>
          <w:sz w:val="24"/>
          <w:szCs w:val="24"/>
          <w:lang w:val="en-US"/>
        </w:rPr>
        <w:t xml:space="preserve">declining </w:t>
      </w:r>
      <w:r w:rsidR="00903A33">
        <w:rPr>
          <w:rFonts w:ascii="Times New Roman" w:hAnsi="Times New Roman" w:cs="Times New Roman"/>
          <w:sz w:val="24"/>
          <w:szCs w:val="24"/>
          <w:lang w:val="en-US"/>
        </w:rPr>
        <w:t>long-term interest rate. Besides th</w:t>
      </w:r>
      <w:r w:rsidR="004E1E77">
        <w:rPr>
          <w:rFonts w:ascii="Times New Roman" w:hAnsi="Times New Roman" w:cs="Times New Roman"/>
          <w:sz w:val="24"/>
          <w:szCs w:val="24"/>
          <w:lang w:val="en-US"/>
        </w:rPr>
        <w:t>ese</w:t>
      </w:r>
      <w:r w:rsidR="00903A33">
        <w:rPr>
          <w:rFonts w:ascii="Times New Roman" w:hAnsi="Times New Roman" w:cs="Times New Roman"/>
          <w:sz w:val="24"/>
          <w:szCs w:val="24"/>
          <w:lang w:val="en-US"/>
        </w:rPr>
        <w:t xml:space="preserve"> macroeconomic factor</w:t>
      </w:r>
      <w:r w:rsidR="00221388">
        <w:rPr>
          <w:rFonts w:ascii="Times New Roman" w:hAnsi="Times New Roman" w:cs="Times New Roman"/>
          <w:sz w:val="24"/>
          <w:szCs w:val="24"/>
          <w:lang w:val="en-US"/>
        </w:rPr>
        <w:t>s</w:t>
      </w:r>
      <w:r w:rsidR="00903A33">
        <w:rPr>
          <w:rFonts w:ascii="Times New Roman" w:hAnsi="Times New Roman" w:cs="Times New Roman"/>
          <w:sz w:val="24"/>
          <w:szCs w:val="24"/>
          <w:lang w:val="en-US"/>
        </w:rPr>
        <w:t>, the average bank size and the loans-to-deposit</w:t>
      </w:r>
      <w:r w:rsidR="008E4643">
        <w:rPr>
          <w:rFonts w:ascii="Times New Roman" w:hAnsi="Times New Roman" w:cs="Times New Roman"/>
          <w:sz w:val="24"/>
          <w:szCs w:val="24"/>
          <w:lang w:val="en-US"/>
        </w:rPr>
        <w:t>s</w:t>
      </w:r>
      <w:r w:rsidR="00903A33">
        <w:rPr>
          <w:rFonts w:ascii="Times New Roman" w:hAnsi="Times New Roman" w:cs="Times New Roman"/>
          <w:sz w:val="24"/>
          <w:szCs w:val="24"/>
          <w:lang w:val="en-US"/>
        </w:rPr>
        <w:t xml:space="preserve"> ratio are important. The trend towards larger banks has counteracted the improvement as well as the more loan-oriented</w:t>
      </w:r>
      <w:r w:rsidR="008E4643">
        <w:rPr>
          <w:rFonts w:ascii="Times New Roman" w:hAnsi="Times New Roman" w:cs="Times New Roman"/>
          <w:sz w:val="24"/>
          <w:szCs w:val="24"/>
          <w:lang w:val="en-US"/>
        </w:rPr>
        <w:t xml:space="preserve"> business</w:t>
      </w:r>
      <w:r w:rsidR="00903A33">
        <w:rPr>
          <w:rFonts w:ascii="Times New Roman" w:hAnsi="Times New Roman" w:cs="Times New Roman"/>
          <w:sz w:val="24"/>
          <w:szCs w:val="24"/>
          <w:lang w:val="en-US"/>
        </w:rPr>
        <w:t xml:space="preserve"> strategy of recent years.</w:t>
      </w:r>
    </w:p>
    <w:p w14:paraId="235C5F28" w14:textId="77777777" w:rsidR="007904D6" w:rsidRDefault="007904D6">
      <w:pPr>
        <w:rPr>
          <w:rFonts w:ascii="Times New Roman" w:hAnsi="Times New Roman" w:cs="Times New Roman"/>
          <w:sz w:val="24"/>
          <w:szCs w:val="24"/>
          <w:lang w:val="en-US"/>
        </w:rPr>
      </w:pPr>
    </w:p>
    <w:p w14:paraId="1EA57825" w14:textId="396702AE" w:rsidR="002F5BEF" w:rsidRPr="00F348AC" w:rsidRDefault="002F5BEF">
      <w:pPr>
        <w:rPr>
          <w:rFonts w:ascii="Times New Roman" w:hAnsi="Times New Roman" w:cs="Times New Roman"/>
          <w:b/>
          <w:bCs/>
          <w:sz w:val="24"/>
          <w:szCs w:val="24"/>
          <w:lang w:val="en-US"/>
        </w:rPr>
      </w:pPr>
      <w:r w:rsidRPr="00F348AC">
        <w:rPr>
          <w:rFonts w:ascii="Times New Roman" w:hAnsi="Times New Roman" w:cs="Times New Roman"/>
          <w:b/>
          <w:bCs/>
          <w:sz w:val="24"/>
          <w:szCs w:val="24"/>
          <w:lang w:val="en-US"/>
        </w:rPr>
        <w:t>JEL classification numbers:</w:t>
      </w:r>
    </w:p>
    <w:p w14:paraId="4984E460" w14:textId="6A4ABDB1" w:rsidR="00F348AC" w:rsidRDefault="004E1E77">
      <w:pPr>
        <w:rPr>
          <w:rFonts w:ascii="Times New Roman" w:hAnsi="Times New Roman" w:cs="Times New Roman"/>
          <w:sz w:val="24"/>
          <w:szCs w:val="24"/>
          <w:lang w:val="en-US"/>
        </w:rPr>
      </w:pPr>
      <w:r>
        <w:rPr>
          <w:rFonts w:ascii="Times New Roman" w:hAnsi="Times New Roman" w:cs="Times New Roman"/>
          <w:sz w:val="24"/>
          <w:szCs w:val="24"/>
          <w:lang w:val="en-US"/>
        </w:rPr>
        <w:t>C580, C58, G21, P13, P34</w:t>
      </w:r>
    </w:p>
    <w:p w14:paraId="28494D91" w14:textId="77777777" w:rsidR="004E1E77" w:rsidRDefault="004E1E77">
      <w:pPr>
        <w:rPr>
          <w:rFonts w:ascii="Times New Roman" w:hAnsi="Times New Roman" w:cs="Times New Roman"/>
          <w:sz w:val="24"/>
          <w:szCs w:val="24"/>
          <w:lang w:val="en-US"/>
        </w:rPr>
      </w:pPr>
    </w:p>
    <w:p w14:paraId="45FB8D15" w14:textId="77777777" w:rsidR="004E1E77" w:rsidRPr="004E1E77" w:rsidRDefault="004E1E77">
      <w:pPr>
        <w:rPr>
          <w:rFonts w:ascii="Times New Roman" w:hAnsi="Times New Roman" w:cs="Times New Roman"/>
          <w:sz w:val="24"/>
          <w:szCs w:val="24"/>
          <w:lang w:val="en-US"/>
        </w:rPr>
      </w:pPr>
    </w:p>
    <w:p w14:paraId="5B4E344F" w14:textId="391A859F" w:rsidR="002F5BEF" w:rsidRPr="00F348AC" w:rsidRDefault="002F5BEF">
      <w:pPr>
        <w:rPr>
          <w:rFonts w:ascii="Times New Roman" w:hAnsi="Times New Roman" w:cs="Times New Roman"/>
          <w:b/>
          <w:bCs/>
          <w:sz w:val="24"/>
          <w:szCs w:val="24"/>
          <w:lang w:val="en-US"/>
        </w:rPr>
      </w:pPr>
      <w:r w:rsidRPr="00F348AC">
        <w:rPr>
          <w:rFonts w:ascii="Times New Roman" w:hAnsi="Times New Roman" w:cs="Times New Roman"/>
          <w:b/>
          <w:bCs/>
          <w:sz w:val="24"/>
          <w:szCs w:val="24"/>
          <w:lang w:val="en-US"/>
        </w:rPr>
        <w:t>Keywords</w:t>
      </w:r>
    </w:p>
    <w:p w14:paraId="766AE467" w14:textId="2A833EFF" w:rsidR="0056579E" w:rsidRDefault="00F348AC">
      <w:pPr>
        <w:rPr>
          <w:rFonts w:ascii="Times New Roman" w:hAnsi="Times New Roman" w:cs="Times New Roman"/>
          <w:sz w:val="24"/>
          <w:szCs w:val="24"/>
          <w:lang w:val="en-US"/>
        </w:rPr>
      </w:pPr>
      <w:r>
        <w:rPr>
          <w:rFonts w:ascii="Times New Roman" w:hAnsi="Times New Roman" w:cs="Times New Roman"/>
          <w:sz w:val="24"/>
          <w:szCs w:val="24"/>
          <w:lang w:val="en-US"/>
        </w:rPr>
        <w:t>Cooperative Banks, Asset Value Adjustments</w:t>
      </w:r>
      <w:r w:rsidR="001921CA">
        <w:rPr>
          <w:rFonts w:ascii="Times New Roman" w:hAnsi="Times New Roman" w:cs="Times New Roman"/>
          <w:sz w:val="24"/>
          <w:szCs w:val="24"/>
          <w:lang w:val="en-US"/>
        </w:rPr>
        <w:t>, Mergers, Vector Error Correction Model</w:t>
      </w:r>
    </w:p>
    <w:p w14:paraId="14ECA563" w14:textId="77777777" w:rsidR="001921CA" w:rsidRDefault="001921CA">
      <w:pPr>
        <w:rPr>
          <w:rFonts w:ascii="Times New Roman" w:hAnsi="Times New Roman" w:cs="Times New Roman"/>
          <w:sz w:val="24"/>
          <w:szCs w:val="24"/>
          <w:lang w:val="en-US"/>
        </w:rPr>
      </w:pPr>
    </w:p>
    <w:p w14:paraId="2A319F2B" w14:textId="3D6CAAB6" w:rsidR="0056579E" w:rsidRPr="0051551F" w:rsidRDefault="0056579E" w:rsidP="0056579E">
      <w:pPr>
        <w:pStyle w:val="Listenabsatz"/>
        <w:numPr>
          <w:ilvl w:val="0"/>
          <w:numId w:val="1"/>
        </w:numPr>
        <w:rPr>
          <w:rFonts w:ascii="Times New Roman" w:hAnsi="Times New Roman" w:cs="Times New Roman"/>
          <w:b/>
          <w:bCs/>
          <w:sz w:val="24"/>
          <w:szCs w:val="24"/>
          <w:lang w:val="en-US"/>
        </w:rPr>
      </w:pPr>
      <w:r w:rsidRPr="0051551F">
        <w:rPr>
          <w:rFonts w:ascii="Times New Roman" w:hAnsi="Times New Roman" w:cs="Times New Roman"/>
          <w:b/>
          <w:bCs/>
          <w:sz w:val="24"/>
          <w:szCs w:val="24"/>
          <w:lang w:val="en-US"/>
        </w:rPr>
        <w:t>Introduction</w:t>
      </w:r>
    </w:p>
    <w:p w14:paraId="7AFA90D2" w14:textId="72D27ECF" w:rsidR="00F74097" w:rsidRPr="00F74097" w:rsidRDefault="00957D83" w:rsidP="00F74097">
      <w:pPr>
        <w:rPr>
          <w:rFonts w:ascii="Times New Roman" w:eastAsia="Times New Roman" w:hAnsi="Times New Roman" w:cs="Times New Roman"/>
          <w:kern w:val="0"/>
          <w:sz w:val="24"/>
          <w:szCs w:val="24"/>
          <w:lang w:val="en-US" w:eastAsia="de-DE"/>
          <w14:ligatures w14:val="none"/>
        </w:rPr>
      </w:pPr>
      <w:r>
        <w:rPr>
          <w:rFonts w:ascii="Times New Roman" w:hAnsi="Times New Roman" w:cs="Times New Roman"/>
          <w:sz w:val="24"/>
          <w:szCs w:val="24"/>
          <w:lang w:val="en-US"/>
        </w:rPr>
        <w:t>Cooperative</w:t>
      </w:r>
      <w:r w:rsidR="003D64EC">
        <w:rPr>
          <w:rFonts w:ascii="Times New Roman" w:hAnsi="Times New Roman" w:cs="Times New Roman"/>
          <w:sz w:val="24"/>
          <w:szCs w:val="24"/>
          <w:lang w:val="en-US"/>
        </w:rPr>
        <w:t xml:space="preserve"> b</w:t>
      </w:r>
      <w:r>
        <w:rPr>
          <w:rFonts w:ascii="Times New Roman" w:hAnsi="Times New Roman" w:cs="Times New Roman"/>
          <w:sz w:val="24"/>
          <w:szCs w:val="24"/>
          <w:lang w:val="en-US"/>
        </w:rPr>
        <w:t>anks</w:t>
      </w:r>
      <w:r w:rsidR="003D64EC">
        <w:rPr>
          <w:rFonts w:ascii="Times New Roman" w:hAnsi="Times New Roman" w:cs="Times New Roman"/>
          <w:sz w:val="24"/>
          <w:szCs w:val="24"/>
          <w:lang w:val="en-US"/>
        </w:rPr>
        <w:t xml:space="preserve"> have a </w:t>
      </w:r>
      <w:r w:rsidR="00AB545F">
        <w:rPr>
          <w:rFonts w:ascii="Times New Roman" w:hAnsi="Times New Roman" w:cs="Times New Roman"/>
          <w:sz w:val="24"/>
          <w:szCs w:val="24"/>
          <w:lang w:val="en-US"/>
        </w:rPr>
        <w:t xml:space="preserve">relatively </w:t>
      </w:r>
      <w:r w:rsidR="003D64EC">
        <w:rPr>
          <w:rFonts w:ascii="Times New Roman" w:hAnsi="Times New Roman" w:cs="Times New Roman"/>
          <w:sz w:val="24"/>
          <w:szCs w:val="24"/>
          <w:lang w:val="en-US"/>
        </w:rPr>
        <w:t xml:space="preserve">high market share in Germany. </w:t>
      </w:r>
      <w:r w:rsidR="006F04A9">
        <w:rPr>
          <w:rFonts w:ascii="Times New Roman" w:hAnsi="Times New Roman" w:cs="Times New Roman"/>
          <w:sz w:val="24"/>
          <w:szCs w:val="24"/>
          <w:lang w:val="en-US"/>
        </w:rPr>
        <w:t>M</w:t>
      </w:r>
      <w:r w:rsidR="00AB545F">
        <w:rPr>
          <w:rFonts w:ascii="Times New Roman" w:hAnsi="Times New Roman" w:cs="Times New Roman"/>
          <w:sz w:val="24"/>
          <w:szCs w:val="24"/>
          <w:lang w:val="en-US"/>
        </w:rPr>
        <w:t>ore than 700 independent banks account for about 20 percent of loans or deposits</w:t>
      </w:r>
      <w:r w:rsidR="006F04A9">
        <w:rPr>
          <w:rFonts w:ascii="Times New Roman" w:hAnsi="Times New Roman" w:cs="Times New Roman"/>
          <w:sz w:val="24"/>
          <w:szCs w:val="24"/>
          <w:lang w:val="en-US"/>
        </w:rPr>
        <w:t xml:space="preserve"> (</w:t>
      </w:r>
      <w:proofErr w:type="spellStart"/>
      <w:r w:rsidR="006F04A9">
        <w:rPr>
          <w:rFonts w:ascii="Times New Roman" w:hAnsi="Times New Roman" w:cs="Times New Roman"/>
          <w:sz w:val="24"/>
          <w:szCs w:val="24"/>
          <w:lang w:val="en-US"/>
        </w:rPr>
        <w:t>Kowallik</w:t>
      </w:r>
      <w:proofErr w:type="spellEnd"/>
      <w:r w:rsidR="006F04A9">
        <w:rPr>
          <w:rFonts w:ascii="Times New Roman" w:hAnsi="Times New Roman" w:cs="Times New Roman"/>
          <w:sz w:val="24"/>
          <w:szCs w:val="24"/>
          <w:lang w:val="en-US"/>
        </w:rPr>
        <w:t xml:space="preserve"> 2021, </w:t>
      </w:r>
      <w:proofErr w:type="spellStart"/>
      <w:r w:rsidR="006F04A9">
        <w:rPr>
          <w:rFonts w:ascii="Times New Roman" w:hAnsi="Times New Roman" w:cs="Times New Roman"/>
          <w:sz w:val="24"/>
          <w:szCs w:val="24"/>
          <w:lang w:val="en-US"/>
        </w:rPr>
        <w:t>Stappel</w:t>
      </w:r>
      <w:proofErr w:type="spellEnd"/>
      <w:r w:rsidR="006F04A9">
        <w:rPr>
          <w:rFonts w:ascii="Times New Roman" w:hAnsi="Times New Roman" w:cs="Times New Roman"/>
          <w:sz w:val="24"/>
          <w:szCs w:val="24"/>
          <w:lang w:val="en-US"/>
        </w:rPr>
        <w:t xml:space="preserve"> 2023)</w:t>
      </w:r>
      <w:r w:rsidR="00AB545F">
        <w:rPr>
          <w:rFonts w:ascii="Times New Roman" w:hAnsi="Times New Roman" w:cs="Times New Roman"/>
          <w:sz w:val="24"/>
          <w:szCs w:val="24"/>
          <w:lang w:val="en-US"/>
        </w:rPr>
        <w:t xml:space="preserve">. </w:t>
      </w:r>
      <w:r w:rsidR="00A66719">
        <w:rPr>
          <w:rFonts w:ascii="Times New Roman" w:hAnsi="Times New Roman" w:cs="Times New Roman"/>
          <w:sz w:val="24"/>
          <w:szCs w:val="24"/>
          <w:lang w:val="en-US"/>
        </w:rPr>
        <w:t>Credit c</w:t>
      </w:r>
      <w:r w:rsidR="00AB545F">
        <w:rPr>
          <w:rFonts w:ascii="Times New Roman" w:hAnsi="Times New Roman" w:cs="Times New Roman"/>
          <w:sz w:val="24"/>
          <w:szCs w:val="24"/>
          <w:lang w:val="en-US"/>
        </w:rPr>
        <w:t>ooperatives are very stable banks, ban</w:t>
      </w:r>
      <w:r w:rsidR="001E6A94">
        <w:rPr>
          <w:rFonts w:ascii="Times New Roman" w:hAnsi="Times New Roman" w:cs="Times New Roman"/>
          <w:sz w:val="24"/>
          <w:szCs w:val="24"/>
          <w:lang w:val="en-US"/>
        </w:rPr>
        <w:t>k</w:t>
      </w:r>
      <w:r w:rsidR="00AB545F">
        <w:rPr>
          <w:rFonts w:ascii="Times New Roman" w:hAnsi="Times New Roman" w:cs="Times New Roman"/>
          <w:sz w:val="24"/>
          <w:szCs w:val="24"/>
          <w:lang w:val="en-US"/>
        </w:rPr>
        <w:t>rup</w:t>
      </w:r>
      <w:r w:rsidR="001E6A94">
        <w:rPr>
          <w:rFonts w:ascii="Times New Roman" w:hAnsi="Times New Roman" w:cs="Times New Roman"/>
          <w:sz w:val="24"/>
          <w:szCs w:val="24"/>
          <w:lang w:val="en-US"/>
        </w:rPr>
        <w:t>t</w:t>
      </w:r>
      <w:r w:rsidR="00AB545F">
        <w:rPr>
          <w:rFonts w:ascii="Times New Roman" w:hAnsi="Times New Roman" w:cs="Times New Roman"/>
          <w:sz w:val="24"/>
          <w:szCs w:val="24"/>
          <w:lang w:val="en-US"/>
        </w:rPr>
        <w:t>cies</w:t>
      </w:r>
      <w:r w:rsidR="001E6A94">
        <w:rPr>
          <w:rFonts w:ascii="Times New Roman" w:hAnsi="Times New Roman" w:cs="Times New Roman"/>
          <w:sz w:val="24"/>
          <w:szCs w:val="24"/>
          <w:lang w:val="en-US"/>
        </w:rPr>
        <w:t xml:space="preserve"> are virtually non-existing</w:t>
      </w:r>
      <w:r w:rsidR="00A66719">
        <w:rPr>
          <w:rFonts w:ascii="Times New Roman" w:hAnsi="Times New Roman" w:cs="Times New Roman"/>
          <w:sz w:val="24"/>
          <w:szCs w:val="24"/>
          <w:lang w:val="en-US"/>
        </w:rPr>
        <w:t>. In case of economic difficulties, weak banks typically are merged with more profitable neighbors under the auspices of the mutual security institution, the “</w:t>
      </w:r>
      <w:proofErr w:type="spellStart"/>
      <w:r w:rsidR="00A66719">
        <w:rPr>
          <w:rFonts w:ascii="Times New Roman" w:hAnsi="Times New Roman" w:cs="Times New Roman"/>
          <w:sz w:val="24"/>
          <w:szCs w:val="24"/>
          <w:lang w:val="en-US"/>
        </w:rPr>
        <w:t>Sicherungseinrichtung</w:t>
      </w:r>
      <w:proofErr w:type="spellEnd"/>
      <w:r w:rsidR="00A66719">
        <w:rPr>
          <w:rFonts w:ascii="Times New Roman" w:hAnsi="Times New Roman" w:cs="Times New Roman"/>
          <w:sz w:val="24"/>
          <w:szCs w:val="24"/>
          <w:lang w:val="en-US"/>
        </w:rPr>
        <w:t>”.</w:t>
      </w:r>
      <w:r w:rsidR="0051551F">
        <w:rPr>
          <w:rFonts w:ascii="Times New Roman" w:hAnsi="Times New Roman" w:cs="Times New Roman"/>
          <w:sz w:val="24"/>
          <w:szCs w:val="24"/>
          <w:lang w:val="en-US"/>
        </w:rPr>
        <w:t xml:space="preserve"> During and after the financial crisis 2008/2009, the German cooperative banking sector was the only sector that did never receive government support, contrary to the sectors of savings bank</w:t>
      </w:r>
      <w:r w:rsidR="00C93CF2">
        <w:rPr>
          <w:rFonts w:ascii="Times New Roman" w:hAnsi="Times New Roman" w:cs="Times New Roman"/>
          <w:sz w:val="24"/>
          <w:szCs w:val="24"/>
          <w:lang w:val="en-US"/>
        </w:rPr>
        <w:t>s</w:t>
      </w:r>
      <w:r w:rsidR="0051551F">
        <w:rPr>
          <w:rFonts w:ascii="Times New Roman" w:hAnsi="Times New Roman" w:cs="Times New Roman"/>
          <w:sz w:val="24"/>
          <w:szCs w:val="24"/>
          <w:lang w:val="en-US"/>
        </w:rPr>
        <w:t xml:space="preserve"> and private credit institutions. This was due to relatively high equity ratios</w:t>
      </w:r>
      <w:r w:rsidR="00196670">
        <w:rPr>
          <w:rFonts w:ascii="Times New Roman" w:hAnsi="Times New Roman" w:cs="Times New Roman"/>
          <w:sz w:val="24"/>
          <w:szCs w:val="24"/>
          <w:lang w:val="en-US"/>
        </w:rPr>
        <w:t xml:space="preserve"> and</w:t>
      </w:r>
      <w:r w:rsidR="0051551F">
        <w:rPr>
          <w:rFonts w:ascii="Times New Roman" w:hAnsi="Times New Roman" w:cs="Times New Roman"/>
          <w:sz w:val="24"/>
          <w:szCs w:val="24"/>
          <w:lang w:val="en-US"/>
        </w:rPr>
        <w:t xml:space="preserve"> a profitable</w:t>
      </w:r>
      <w:r w:rsidR="00196670">
        <w:rPr>
          <w:rFonts w:ascii="Times New Roman" w:hAnsi="Times New Roman" w:cs="Times New Roman"/>
          <w:sz w:val="24"/>
          <w:szCs w:val="24"/>
          <w:lang w:val="en-US"/>
        </w:rPr>
        <w:t>, regionally oriented, low-risk business model.</w:t>
      </w:r>
      <w:r w:rsidR="00F74097">
        <w:rPr>
          <w:rFonts w:ascii="Times New Roman" w:hAnsi="Times New Roman" w:cs="Times New Roman"/>
          <w:sz w:val="24"/>
          <w:szCs w:val="24"/>
          <w:lang w:val="en-US"/>
        </w:rPr>
        <w:t xml:space="preserve"> This business model still follows the ideas of the German cooperative founding father Friedrich Wilhelm Raiffeisen. However, eight years before the outbreak of the financial crisis, the notion, that the regionally restricted business model of credit cooperatives can be characterized by low risks, was challenged by Beckmann (2000). </w:t>
      </w:r>
      <w:r w:rsidR="00F74097" w:rsidRPr="00F74097">
        <w:rPr>
          <w:rFonts w:ascii="Times New Roman" w:eastAsia="Times New Roman" w:hAnsi="Times New Roman" w:cs="Times New Roman"/>
          <w:kern w:val="0"/>
          <w:sz w:val="24"/>
          <w:szCs w:val="24"/>
          <w:lang w:val="en" w:eastAsia="de-DE"/>
          <w14:ligatures w14:val="none"/>
        </w:rPr>
        <w:t xml:space="preserve">He </w:t>
      </w:r>
      <w:r w:rsidR="00F74097">
        <w:rPr>
          <w:rFonts w:ascii="Times New Roman" w:eastAsia="Times New Roman" w:hAnsi="Times New Roman" w:cs="Times New Roman"/>
          <w:kern w:val="0"/>
          <w:sz w:val="24"/>
          <w:szCs w:val="24"/>
          <w:lang w:val="en" w:eastAsia="de-DE"/>
          <w14:ligatures w14:val="none"/>
        </w:rPr>
        <w:t>hypothesizes</w:t>
      </w:r>
      <w:r w:rsidR="00F74097" w:rsidRPr="00F74097">
        <w:rPr>
          <w:rFonts w:ascii="Times New Roman" w:eastAsia="Times New Roman" w:hAnsi="Times New Roman" w:cs="Times New Roman"/>
          <w:kern w:val="0"/>
          <w:sz w:val="24"/>
          <w:szCs w:val="24"/>
          <w:lang w:val="en" w:eastAsia="de-DE"/>
          <w14:ligatures w14:val="none"/>
        </w:rPr>
        <w:t xml:space="preserve"> that it is precisely the personal relationships that often </w:t>
      </w:r>
      <w:r w:rsidR="00F74097" w:rsidRPr="00F74097">
        <w:rPr>
          <w:rFonts w:ascii="Times New Roman" w:eastAsia="Times New Roman" w:hAnsi="Times New Roman" w:cs="Times New Roman"/>
          <w:kern w:val="0"/>
          <w:sz w:val="24"/>
          <w:szCs w:val="24"/>
          <w:lang w:val="en" w:eastAsia="de-DE"/>
          <w14:ligatures w14:val="none"/>
        </w:rPr>
        <w:lastRenderedPageBreak/>
        <w:t xml:space="preserve">exist between bank employees and loan customers that encourage people to grant risky loans. </w:t>
      </w:r>
      <w:r w:rsidR="00F74097">
        <w:rPr>
          <w:rFonts w:ascii="Times New Roman" w:eastAsia="Times New Roman" w:hAnsi="Times New Roman" w:cs="Times New Roman"/>
          <w:kern w:val="0"/>
          <w:sz w:val="24"/>
          <w:szCs w:val="24"/>
          <w:lang w:val="en" w:eastAsia="de-DE"/>
          <w14:ligatures w14:val="none"/>
        </w:rPr>
        <w:t>Following Beckmann, t</w:t>
      </w:r>
      <w:r w:rsidR="00F74097" w:rsidRPr="00F74097">
        <w:rPr>
          <w:rFonts w:ascii="Times New Roman" w:eastAsia="Times New Roman" w:hAnsi="Times New Roman" w:cs="Times New Roman"/>
          <w:kern w:val="0"/>
          <w:sz w:val="24"/>
          <w:szCs w:val="24"/>
          <w:lang w:val="en" w:eastAsia="de-DE"/>
          <w14:ligatures w14:val="none"/>
        </w:rPr>
        <w:t xml:space="preserve">his is </w:t>
      </w:r>
      <w:r w:rsidR="00F74097">
        <w:rPr>
          <w:rFonts w:ascii="Times New Roman" w:eastAsia="Times New Roman" w:hAnsi="Times New Roman" w:cs="Times New Roman"/>
          <w:kern w:val="0"/>
          <w:sz w:val="24"/>
          <w:szCs w:val="24"/>
          <w:lang w:val="en" w:eastAsia="de-DE"/>
          <w14:ligatures w14:val="none"/>
        </w:rPr>
        <w:t>indicated</w:t>
      </w:r>
      <w:r w:rsidR="00F74097" w:rsidRPr="00F74097">
        <w:rPr>
          <w:rFonts w:ascii="Times New Roman" w:eastAsia="Times New Roman" w:hAnsi="Times New Roman" w:cs="Times New Roman"/>
          <w:kern w:val="0"/>
          <w:sz w:val="24"/>
          <w:szCs w:val="24"/>
          <w:lang w:val="en" w:eastAsia="de-DE"/>
          <w14:ligatures w14:val="none"/>
        </w:rPr>
        <w:t xml:space="preserve"> by the “extremely high need for value adjustments compared to other banking groups”. </w:t>
      </w:r>
      <w:r w:rsidR="007240CE">
        <w:rPr>
          <w:rFonts w:ascii="Times New Roman" w:eastAsia="Times New Roman" w:hAnsi="Times New Roman" w:cs="Times New Roman"/>
          <w:kern w:val="0"/>
          <w:sz w:val="24"/>
          <w:szCs w:val="24"/>
          <w:lang w:val="en" w:eastAsia="de-DE"/>
          <w14:ligatures w14:val="none"/>
        </w:rPr>
        <w:t xml:space="preserve">Beckmann empirically supports his hypothesis </w:t>
      </w:r>
      <w:r w:rsidR="00C93CF2">
        <w:rPr>
          <w:rFonts w:ascii="Times New Roman" w:eastAsia="Times New Roman" w:hAnsi="Times New Roman" w:cs="Times New Roman"/>
          <w:kern w:val="0"/>
          <w:sz w:val="24"/>
          <w:szCs w:val="24"/>
          <w:lang w:val="en" w:eastAsia="de-DE"/>
          <w14:ligatures w14:val="none"/>
        </w:rPr>
        <w:t xml:space="preserve">of </w:t>
      </w:r>
      <w:proofErr w:type="gramStart"/>
      <w:r w:rsidR="00C93CF2">
        <w:rPr>
          <w:rFonts w:ascii="Times New Roman" w:eastAsia="Times New Roman" w:hAnsi="Times New Roman" w:cs="Times New Roman"/>
          <w:kern w:val="0"/>
          <w:sz w:val="24"/>
          <w:szCs w:val="24"/>
          <w:lang w:val="en" w:eastAsia="de-DE"/>
          <w14:ligatures w14:val="none"/>
        </w:rPr>
        <w:t>low risk</w:t>
      </w:r>
      <w:proofErr w:type="gramEnd"/>
      <w:r w:rsidR="00C93CF2">
        <w:rPr>
          <w:rFonts w:ascii="Times New Roman" w:eastAsia="Times New Roman" w:hAnsi="Times New Roman" w:cs="Times New Roman"/>
          <w:kern w:val="0"/>
          <w:sz w:val="24"/>
          <w:szCs w:val="24"/>
          <w:lang w:val="en" w:eastAsia="de-DE"/>
          <w14:ligatures w14:val="none"/>
        </w:rPr>
        <w:t xml:space="preserve"> awareness </w:t>
      </w:r>
      <w:r w:rsidR="007240CE">
        <w:rPr>
          <w:rFonts w:ascii="Times New Roman" w:eastAsia="Times New Roman" w:hAnsi="Times New Roman" w:cs="Times New Roman"/>
          <w:kern w:val="0"/>
          <w:sz w:val="24"/>
          <w:szCs w:val="24"/>
          <w:lang w:val="en" w:eastAsia="de-DE"/>
          <w14:ligatures w14:val="none"/>
        </w:rPr>
        <w:t>by above-average impairments and write-downs.</w:t>
      </w:r>
    </w:p>
    <w:p w14:paraId="0C2D8725" w14:textId="77777777" w:rsidR="00F74097" w:rsidRDefault="00F74097" w:rsidP="0056579E">
      <w:pPr>
        <w:rPr>
          <w:rFonts w:ascii="Times New Roman" w:hAnsi="Times New Roman" w:cs="Times New Roman"/>
          <w:sz w:val="24"/>
          <w:szCs w:val="24"/>
          <w:lang w:val="en-US"/>
        </w:rPr>
      </w:pPr>
    </w:p>
    <w:p w14:paraId="7F7E9AFA" w14:textId="6E95D438" w:rsidR="0056579E" w:rsidRPr="007240CE" w:rsidRDefault="0056579E" w:rsidP="0056579E">
      <w:pPr>
        <w:pStyle w:val="Listenabsatz"/>
        <w:numPr>
          <w:ilvl w:val="0"/>
          <w:numId w:val="1"/>
        </w:numPr>
        <w:rPr>
          <w:rFonts w:ascii="Times New Roman" w:hAnsi="Times New Roman" w:cs="Times New Roman"/>
          <w:b/>
          <w:bCs/>
          <w:sz w:val="24"/>
          <w:szCs w:val="24"/>
          <w:lang w:val="en-US"/>
        </w:rPr>
      </w:pPr>
      <w:r w:rsidRPr="007240CE">
        <w:rPr>
          <w:rFonts w:ascii="Times New Roman" w:hAnsi="Times New Roman" w:cs="Times New Roman"/>
          <w:b/>
          <w:bCs/>
          <w:sz w:val="24"/>
          <w:szCs w:val="24"/>
          <w:lang w:val="en-US"/>
        </w:rPr>
        <w:t>Literature Findings</w:t>
      </w:r>
    </w:p>
    <w:p w14:paraId="4750CD03" w14:textId="7782440C" w:rsidR="00C4275D" w:rsidRPr="00C4275D" w:rsidRDefault="007240CE" w:rsidP="00C4275D">
      <w:pPr>
        <w:rPr>
          <w:rFonts w:ascii="Times New Roman" w:eastAsia="Times New Roman" w:hAnsi="Times New Roman" w:cs="Times New Roman"/>
          <w:kern w:val="0"/>
          <w:sz w:val="24"/>
          <w:szCs w:val="24"/>
          <w:lang w:val="en-US" w:eastAsia="de-DE"/>
          <w14:ligatures w14:val="none"/>
        </w:rPr>
      </w:pPr>
      <w:r>
        <w:rPr>
          <w:rFonts w:ascii="Times New Roman" w:hAnsi="Times New Roman" w:cs="Times New Roman"/>
          <w:sz w:val="24"/>
          <w:szCs w:val="24"/>
          <w:lang w:val="en-US"/>
        </w:rPr>
        <w:t xml:space="preserve">Though an important aspect, the literature is </w:t>
      </w:r>
      <w:r w:rsidR="00C4275D">
        <w:rPr>
          <w:rFonts w:ascii="Times New Roman" w:hAnsi="Times New Roman" w:cs="Times New Roman"/>
          <w:sz w:val="24"/>
          <w:szCs w:val="24"/>
          <w:lang w:val="en-US"/>
        </w:rPr>
        <w:t xml:space="preserve">largely silent regarding the cooperative-specific determinants of impairments and write-downs. The German Bundesbank (Central Bank) reported determinants of value adjustments in the Financial Stability Review 2009. </w:t>
      </w:r>
      <w:r w:rsidR="00C4275D" w:rsidRPr="00C4275D">
        <w:rPr>
          <w:rFonts w:ascii="Times New Roman" w:eastAsia="Times New Roman" w:hAnsi="Times New Roman" w:cs="Times New Roman"/>
          <w:kern w:val="0"/>
          <w:sz w:val="24"/>
          <w:szCs w:val="24"/>
          <w:lang w:val="en" w:eastAsia="de-DE"/>
          <w14:ligatures w14:val="none"/>
        </w:rPr>
        <w:t xml:space="preserve">Here, the (absolute) loan losses of all </w:t>
      </w:r>
      <w:r w:rsidR="005A4952">
        <w:rPr>
          <w:rFonts w:ascii="Times New Roman" w:eastAsia="Times New Roman" w:hAnsi="Times New Roman" w:cs="Times New Roman"/>
          <w:kern w:val="0"/>
          <w:sz w:val="24"/>
          <w:szCs w:val="24"/>
          <w:lang w:val="en" w:eastAsia="de-DE"/>
          <w14:ligatures w14:val="none"/>
        </w:rPr>
        <w:t xml:space="preserve">German </w:t>
      </w:r>
      <w:r w:rsidR="00C4275D" w:rsidRPr="00C4275D">
        <w:rPr>
          <w:rFonts w:ascii="Times New Roman" w:eastAsia="Times New Roman" w:hAnsi="Times New Roman" w:cs="Times New Roman"/>
          <w:kern w:val="0"/>
          <w:sz w:val="24"/>
          <w:szCs w:val="24"/>
          <w:lang w:val="en" w:eastAsia="de-DE"/>
          <w14:ligatures w14:val="none"/>
        </w:rPr>
        <w:t>banks are estimated based on the balance sheet data of individual institutions. Explanatory variables are the balance sheet total, the credit ratio, the proportion of non-performing loans, the rate of change in real gross domestic product, as well as the short-term interest rate (one-year interest rate) and the long-term interest rate (ten-year rate). Institute-specific determinants are recorded within the framework of the selected panel model, but are not specified or discussed. There is also no measure for the goodness of fit of the estimation equation.</w:t>
      </w:r>
      <w:r w:rsidR="005A4952">
        <w:rPr>
          <w:rFonts w:ascii="Times New Roman" w:eastAsia="Times New Roman" w:hAnsi="Times New Roman" w:cs="Times New Roman"/>
          <w:kern w:val="0"/>
          <w:sz w:val="24"/>
          <w:szCs w:val="24"/>
          <w:lang w:val="en" w:eastAsia="de-DE"/>
          <w14:ligatures w14:val="none"/>
        </w:rPr>
        <w:t xml:space="preserve"> Write-downs in securities were not estimated.</w:t>
      </w:r>
    </w:p>
    <w:p w14:paraId="769F8D12" w14:textId="34A79095" w:rsidR="005E2E1C" w:rsidRDefault="00C4275D" w:rsidP="0036021E">
      <w:pPr>
        <w:spacing w:after="120" w:line="240" w:lineRule="auto"/>
        <w:rPr>
          <w:rFonts w:ascii="Times New Roman" w:eastAsia="Times New Roman" w:hAnsi="Times New Roman" w:cs="Times New Roman"/>
          <w:kern w:val="0"/>
          <w:sz w:val="24"/>
          <w:szCs w:val="24"/>
          <w:lang w:val="en" w:eastAsia="de-DE"/>
          <w14:ligatures w14:val="none"/>
        </w:rPr>
      </w:pPr>
      <w:r w:rsidRPr="00C4275D">
        <w:rPr>
          <w:rFonts w:ascii="Times New Roman" w:eastAsia="Times New Roman" w:hAnsi="Times New Roman" w:cs="Times New Roman"/>
          <w:kern w:val="0"/>
          <w:sz w:val="24"/>
          <w:szCs w:val="24"/>
          <w:lang w:val="en-US" w:eastAsia="de-DE"/>
          <w14:ligatures w14:val="none"/>
        </w:rPr>
        <w:t>​</w:t>
      </w:r>
      <w:r w:rsidR="005E2E1C" w:rsidRPr="005E2E1C">
        <w:rPr>
          <w:rFonts w:ascii="Times New Roman" w:eastAsia="Times New Roman" w:hAnsi="Times New Roman" w:cs="Times New Roman"/>
          <w:kern w:val="0"/>
          <w:sz w:val="24"/>
          <w:szCs w:val="24"/>
          <w:lang w:val="en" w:eastAsia="de-DE"/>
          <w14:ligatures w14:val="none"/>
        </w:rPr>
        <w:t xml:space="preserve">The </w:t>
      </w:r>
      <w:r w:rsidR="00852D48">
        <w:rPr>
          <w:rFonts w:ascii="Times New Roman" w:eastAsia="Times New Roman" w:hAnsi="Times New Roman" w:cs="Times New Roman"/>
          <w:kern w:val="0"/>
          <w:sz w:val="24"/>
          <w:szCs w:val="24"/>
          <w:lang w:val="en" w:eastAsia="de-DE"/>
          <w14:ligatures w14:val="none"/>
        </w:rPr>
        <w:t xml:space="preserve">simple OLS </w:t>
      </w:r>
      <w:r w:rsidR="00FF26CC">
        <w:rPr>
          <w:rFonts w:ascii="Times New Roman" w:eastAsia="Times New Roman" w:hAnsi="Times New Roman" w:cs="Times New Roman"/>
          <w:kern w:val="0"/>
          <w:sz w:val="24"/>
          <w:szCs w:val="24"/>
          <w:lang w:val="en" w:eastAsia="de-DE"/>
          <w14:ligatures w14:val="none"/>
        </w:rPr>
        <w:t xml:space="preserve">panel </w:t>
      </w:r>
      <w:r w:rsidR="005E2E1C" w:rsidRPr="005E2E1C">
        <w:rPr>
          <w:rFonts w:ascii="Times New Roman" w:eastAsia="Times New Roman" w:hAnsi="Times New Roman" w:cs="Times New Roman"/>
          <w:kern w:val="0"/>
          <w:sz w:val="24"/>
          <w:szCs w:val="24"/>
          <w:lang w:val="en" w:eastAsia="de-DE"/>
          <w14:ligatures w14:val="none"/>
        </w:rPr>
        <w:t>estimate</w:t>
      </w:r>
      <w:r w:rsidR="005E2E1C">
        <w:rPr>
          <w:rFonts w:ascii="Times New Roman" w:eastAsia="Times New Roman" w:hAnsi="Times New Roman" w:cs="Times New Roman"/>
          <w:kern w:val="0"/>
          <w:sz w:val="24"/>
          <w:szCs w:val="24"/>
          <w:lang w:val="en" w:eastAsia="de-DE"/>
          <w14:ligatures w14:val="none"/>
        </w:rPr>
        <w:t>s</w:t>
      </w:r>
      <w:r w:rsidR="005E2E1C" w:rsidRPr="005E2E1C">
        <w:rPr>
          <w:rFonts w:ascii="Times New Roman" w:eastAsia="Times New Roman" w:hAnsi="Times New Roman" w:cs="Times New Roman"/>
          <w:kern w:val="0"/>
          <w:sz w:val="24"/>
          <w:szCs w:val="24"/>
          <w:lang w:val="en" w:eastAsia="de-DE"/>
          <w14:ligatures w14:val="none"/>
        </w:rPr>
        <w:t xml:space="preserve"> </w:t>
      </w:r>
      <w:r w:rsidR="005E2E1C">
        <w:rPr>
          <w:rFonts w:ascii="Times New Roman" w:eastAsia="Times New Roman" w:hAnsi="Times New Roman" w:cs="Times New Roman"/>
          <w:kern w:val="0"/>
          <w:sz w:val="24"/>
          <w:szCs w:val="24"/>
          <w:lang w:val="en" w:eastAsia="de-DE"/>
          <w14:ligatures w14:val="none"/>
        </w:rPr>
        <w:t>uncover</w:t>
      </w:r>
      <w:r w:rsidR="005E2E1C" w:rsidRPr="005E2E1C">
        <w:rPr>
          <w:rFonts w:ascii="Times New Roman" w:eastAsia="Times New Roman" w:hAnsi="Times New Roman" w:cs="Times New Roman"/>
          <w:kern w:val="0"/>
          <w:sz w:val="24"/>
          <w:szCs w:val="24"/>
          <w:lang w:val="en" w:eastAsia="de-DE"/>
          <w14:ligatures w14:val="none"/>
        </w:rPr>
        <w:t xml:space="preserve"> the following relationships: </w:t>
      </w:r>
    </w:p>
    <w:p w14:paraId="62FE687E" w14:textId="77777777" w:rsidR="005E2E1C" w:rsidRDefault="005E2E1C" w:rsidP="0036021E">
      <w:pPr>
        <w:spacing w:after="60"/>
        <w:rPr>
          <w:rFonts w:ascii="Times New Roman" w:eastAsia="Times New Roman" w:hAnsi="Times New Roman" w:cs="Times New Roman"/>
          <w:kern w:val="0"/>
          <w:sz w:val="24"/>
          <w:szCs w:val="24"/>
          <w:lang w:val="en" w:eastAsia="de-DE"/>
          <w14:ligatures w14:val="none"/>
        </w:rPr>
      </w:pPr>
      <w:r w:rsidRPr="005E2E1C">
        <w:rPr>
          <w:rFonts w:ascii="Times New Roman" w:eastAsia="Times New Roman" w:hAnsi="Times New Roman" w:cs="Times New Roman"/>
          <w:kern w:val="0"/>
          <w:sz w:val="24"/>
          <w:szCs w:val="24"/>
          <w:lang w:val="en" w:eastAsia="de-DE"/>
          <w14:ligatures w14:val="none"/>
        </w:rPr>
        <w:t xml:space="preserve">- Higher economic growth reduces depreciation expenses. </w:t>
      </w:r>
    </w:p>
    <w:p w14:paraId="46305D62" w14:textId="77777777" w:rsidR="005E2E1C" w:rsidRDefault="005E2E1C" w:rsidP="0036021E">
      <w:pPr>
        <w:spacing w:after="60"/>
        <w:rPr>
          <w:rFonts w:ascii="Times New Roman" w:eastAsia="Times New Roman" w:hAnsi="Times New Roman" w:cs="Times New Roman"/>
          <w:kern w:val="0"/>
          <w:sz w:val="24"/>
          <w:szCs w:val="24"/>
          <w:lang w:val="en" w:eastAsia="de-DE"/>
          <w14:ligatures w14:val="none"/>
        </w:rPr>
      </w:pPr>
      <w:r w:rsidRPr="005E2E1C">
        <w:rPr>
          <w:rFonts w:ascii="Times New Roman" w:eastAsia="Times New Roman" w:hAnsi="Times New Roman" w:cs="Times New Roman"/>
          <w:kern w:val="0"/>
          <w:sz w:val="24"/>
          <w:szCs w:val="24"/>
          <w:lang w:val="en" w:eastAsia="de-DE"/>
          <w14:ligatures w14:val="none"/>
        </w:rPr>
        <w:t xml:space="preserve">- The higher the proportion of non-performing loans, the higher the </w:t>
      </w:r>
      <w:r>
        <w:rPr>
          <w:rFonts w:ascii="Times New Roman" w:eastAsia="Times New Roman" w:hAnsi="Times New Roman" w:cs="Times New Roman"/>
          <w:kern w:val="0"/>
          <w:sz w:val="24"/>
          <w:szCs w:val="24"/>
          <w:lang w:val="en" w:eastAsia="de-DE"/>
          <w14:ligatures w14:val="none"/>
        </w:rPr>
        <w:t>n</w:t>
      </w:r>
      <w:r w:rsidRPr="005E2E1C">
        <w:rPr>
          <w:rFonts w:ascii="Times New Roman" w:eastAsia="Times New Roman" w:hAnsi="Times New Roman" w:cs="Times New Roman"/>
          <w:kern w:val="0"/>
          <w:sz w:val="24"/>
          <w:szCs w:val="24"/>
          <w:lang w:val="en" w:eastAsia="de-DE"/>
          <w14:ligatures w14:val="none"/>
        </w:rPr>
        <w:t xml:space="preserve">eed for value adjustment. </w:t>
      </w:r>
    </w:p>
    <w:p w14:paraId="7323D956" w14:textId="34B9858B" w:rsidR="005E2E1C" w:rsidRDefault="005E2E1C" w:rsidP="0036021E">
      <w:pPr>
        <w:spacing w:after="60"/>
        <w:rPr>
          <w:rFonts w:ascii="Times New Roman" w:eastAsia="Times New Roman" w:hAnsi="Times New Roman" w:cs="Times New Roman"/>
          <w:kern w:val="0"/>
          <w:sz w:val="24"/>
          <w:szCs w:val="24"/>
          <w:lang w:val="en" w:eastAsia="de-DE"/>
          <w14:ligatures w14:val="none"/>
        </w:rPr>
      </w:pPr>
      <w:r w:rsidRPr="005E2E1C">
        <w:rPr>
          <w:rFonts w:ascii="Times New Roman" w:eastAsia="Times New Roman" w:hAnsi="Times New Roman" w:cs="Times New Roman"/>
          <w:kern w:val="0"/>
          <w:sz w:val="24"/>
          <w:szCs w:val="24"/>
          <w:lang w:val="en" w:eastAsia="de-DE"/>
          <w14:ligatures w14:val="none"/>
        </w:rPr>
        <w:t xml:space="preserve">- Higher long-term interest rates increase the risk of insolvency for companies and thus the </w:t>
      </w:r>
      <w:r>
        <w:rPr>
          <w:rFonts w:ascii="Times New Roman" w:eastAsia="Times New Roman" w:hAnsi="Times New Roman" w:cs="Times New Roman"/>
          <w:kern w:val="0"/>
          <w:sz w:val="24"/>
          <w:szCs w:val="24"/>
          <w:lang w:val="en" w:eastAsia="de-DE"/>
          <w14:ligatures w14:val="none"/>
        </w:rPr>
        <w:t>c</w:t>
      </w:r>
      <w:r w:rsidRPr="005E2E1C">
        <w:rPr>
          <w:rFonts w:ascii="Times New Roman" w:eastAsia="Times New Roman" w:hAnsi="Times New Roman" w:cs="Times New Roman"/>
          <w:kern w:val="0"/>
          <w:sz w:val="24"/>
          <w:szCs w:val="24"/>
          <w:lang w:val="en" w:eastAsia="de-DE"/>
          <w14:ligatures w14:val="none"/>
        </w:rPr>
        <w:t xml:space="preserve">redit default risk. </w:t>
      </w:r>
    </w:p>
    <w:p w14:paraId="28DE37F6" w14:textId="77777777" w:rsidR="005E2E1C" w:rsidRDefault="005E2E1C" w:rsidP="0036021E">
      <w:pPr>
        <w:spacing w:after="60"/>
        <w:rPr>
          <w:rFonts w:ascii="Times New Roman" w:eastAsia="Times New Roman" w:hAnsi="Times New Roman" w:cs="Times New Roman"/>
          <w:kern w:val="0"/>
          <w:sz w:val="24"/>
          <w:szCs w:val="24"/>
          <w:lang w:val="en" w:eastAsia="de-DE"/>
          <w14:ligatures w14:val="none"/>
        </w:rPr>
      </w:pPr>
      <w:r w:rsidRPr="005E2E1C">
        <w:rPr>
          <w:rFonts w:ascii="Times New Roman" w:eastAsia="Times New Roman" w:hAnsi="Times New Roman" w:cs="Times New Roman"/>
          <w:kern w:val="0"/>
          <w:sz w:val="24"/>
          <w:szCs w:val="24"/>
          <w:lang w:val="en" w:eastAsia="de-DE"/>
          <w14:ligatures w14:val="none"/>
        </w:rPr>
        <w:t xml:space="preserve">- In addition to GDP growth, short-term interest rates reflect the </w:t>
      </w:r>
      <w:r>
        <w:rPr>
          <w:rFonts w:ascii="Times New Roman" w:eastAsia="Times New Roman" w:hAnsi="Times New Roman" w:cs="Times New Roman"/>
          <w:kern w:val="0"/>
          <w:sz w:val="24"/>
          <w:szCs w:val="24"/>
          <w:lang w:val="en" w:eastAsia="de-DE"/>
          <w14:ligatures w14:val="none"/>
        </w:rPr>
        <w:t>business cycle</w:t>
      </w:r>
      <w:r w:rsidRPr="005E2E1C">
        <w:rPr>
          <w:rFonts w:ascii="Times New Roman" w:eastAsia="Times New Roman" w:hAnsi="Times New Roman" w:cs="Times New Roman"/>
          <w:kern w:val="0"/>
          <w:sz w:val="24"/>
          <w:szCs w:val="24"/>
          <w:lang w:val="en" w:eastAsia="de-DE"/>
          <w14:ligatures w14:val="none"/>
        </w:rPr>
        <w:t>. High</w:t>
      </w:r>
      <w:r>
        <w:rPr>
          <w:rFonts w:ascii="Times New Roman" w:eastAsia="Times New Roman" w:hAnsi="Times New Roman" w:cs="Times New Roman"/>
          <w:kern w:val="0"/>
          <w:sz w:val="24"/>
          <w:szCs w:val="24"/>
          <w:lang w:val="en" w:eastAsia="de-DE"/>
          <w14:ligatures w14:val="none"/>
        </w:rPr>
        <w:t>er</w:t>
      </w:r>
      <w:r w:rsidRPr="005E2E1C">
        <w:rPr>
          <w:rFonts w:ascii="Times New Roman" w:eastAsia="Times New Roman" w:hAnsi="Times New Roman" w:cs="Times New Roman"/>
          <w:kern w:val="0"/>
          <w:sz w:val="24"/>
          <w:szCs w:val="24"/>
          <w:lang w:val="en" w:eastAsia="de-DE"/>
          <w14:ligatures w14:val="none"/>
        </w:rPr>
        <w:t xml:space="preserve"> </w:t>
      </w:r>
      <w:r>
        <w:rPr>
          <w:rFonts w:ascii="Times New Roman" w:eastAsia="Times New Roman" w:hAnsi="Times New Roman" w:cs="Times New Roman"/>
          <w:kern w:val="0"/>
          <w:sz w:val="24"/>
          <w:szCs w:val="24"/>
          <w:lang w:val="en" w:eastAsia="de-DE"/>
          <w14:ligatures w14:val="none"/>
        </w:rPr>
        <w:t>s</w:t>
      </w:r>
      <w:r w:rsidRPr="005E2E1C">
        <w:rPr>
          <w:rFonts w:ascii="Times New Roman" w:eastAsia="Times New Roman" w:hAnsi="Times New Roman" w:cs="Times New Roman"/>
          <w:kern w:val="0"/>
          <w:sz w:val="24"/>
          <w:szCs w:val="24"/>
          <w:lang w:val="en" w:eastAsia="de-DE"/>
          <w14:ligatures w14:val="none"/>
        </w:rPr>
        <w:t xml:space="preserve">hort-term interest rates tend to correspond to upswing phases in which the credit risk of default is lower. </w:t>
      </w:r>
    </w:p>
    <w:p w14:paraId="238B6BD6" w14:textId="618F183E" w:rsidR="005E2E1C" w:rsidRDefault="005E2E1C" w:rsidP="0036021E">
      <w:pPr>
        <w:spacing w:after="60"/>
        <w:rPr>
          <w:rFonts w:ascii="Times New Roman" w:eastAsia="Times New Roman" w:hAnsi="Times New Roman" w:cs="Times New Roman"/>
          <w:kern w:val="0"/>
          <w:sz w:val="24"/>
          <w:szCs w:val="24"/>
          <w:lang w:val="en" w:eastAsia="de-DE"/>
          <w14:ligatures w14:val="none"/>
        </w:rPr>
      </w:pPr>
      <w:r w:rsidRPr="005E2E1C">
        <w:rPr>
          <w:rFonts w:ascii="Times New Roman" w:eastAsia="Times New Roman" w:hAnsi="Times New Roman" w:cs="Times New Roman"/>
          <w:kern w:val="0"/>
          <w:sz w:val="24"/>
          <w:szCs w:val="24"/>
          <w:lang w:val="en" w:eastAsia="de-DE"/>
          <w14:ligatures w14:val="none"/>
        </w:rPr>
        <w:t xml:space="preserve">- </w:t>
      </w:r>
      <w:r>
        <w:rPr>
          <w:rFonts w:ascii="Times New Roman" w:eastAsia="Times New Roman" w:hAnsi="Times New Roman" w:cs="Times New Roman"/>
          <w:kern w:val="0"/>
          <w:sz w:val="24"/>
          <w:szCs w:val="24"/>
          <w:lang w:val="en" w:eastAsia="de-DE"/>
          <w14:ligatures w14:val="none"/>
        </w:rPr>
        <w:t>Regarding the a</w:t>
      </w:r>
      <w:r w:rsidRPr="005E2E1C">
        <w:rPr>
          <w:rFonts w:ascii="Times New Roman" w:eastAsia="Times New Roman" w:hAnsi="Times New Roman" w:cs="Times New Roman"/>
          <w:kern w:val="0"/>
          <w:sz w:val="24"/>
          <w:szCs w:val="24"/>
          <w:lang w:val="en" w:eastAsia="de-DE"/>
          <w14:ligatures w14:val="none"/>
        </w:rPr>
        <w:t xml:space="preserve">verage balance sheet total </w:t>
      </w:r>
      <w:r>
        <w:rPr>
          <w:rFonts w:ascii="Times New Roman" w:eastAsia="Times New Roman" w:hAnsi="Times New Roman" w:cs="Times New Roman"/>
          <w:kern w:val="0"/>
          <w:sz w:val="24"/>
          <w:szCs w:val="24"/>
          <w:lang w:val="en" w:eastAsia="de-DE"/>
          <w14:ligatures w14:val="none"/>
        </w:rPr>
        <w:t xml:space="preserve">(bank size), the relationship is positive. </w:t>
      </w:r>
      <w:r w:rsidR="004A67CA">
        <w:rPr>
          <w:rFonts w:ascii="Times New Roman" w:eastAsia="Times New Roman" w:hAnsi="Times New Roman" w:cs="Times New Roman"/>
          <w:kern w:val="0"/>
          <w:sz w:val="24"/>
          <w:szCs w:val="24"/>
          <w:lang w:val="en" w:eastAsia="de-DE"/>
          <w14:ligatures w14:val="none"/>
        </w:rPr>
        <w:t xml:space="preserve">The larger the bank, the higher impairments. </w:t>
      </w:r>
    </w:p>
    <w:p w14:paraId="38615A21" w14:textId="3A27E0F0" w:rsidR="005E2E1C" w:rsidRDefault="005E2E1C" w:rsidP="0036021E">
      <w:pPr>
        <w:spacing w:after="60"/>
        <w:rPr>
          <w:rFonts w:ascii="Times New Roman" w:eastAsia="Times New Roman" w:hAnsi="Times New Roman" w:cs="Times New Roman"/>
          <w:kern w:val="0"/>
          <w:sz w:val="24"/>
          <w:szCs w:val="24"/>
          <w:lang w:val="en" w:eastAsia="de-DE"/>
          <w14:ligatures w14:val="none"/>
        </w:rPr>
      </w:pPr>
      <w:r w:rsidRPr="005E2E1C">
        <w:rPr>
          <w:rFonts w:ascii="Times New Roman" w:eastAsia="Times New Roman" w:hAnsi="Times New Roman" w:cs="Times New Roman"/>
          <w:kern w:val="0"/>
          <w:sz w:val="24"/>
          <w:szCs w:val="24"/>
          <w:lang w:val="en" w:eastAsia="de-DE"/>
          <w14:ligatures w14:val="none"/>
        </w:rPr>
        <w:t xml:space="preserve">- </w:t>
      </w:r>
      <w:r w:rsidR="004A67CA">
        <w:rPr>
          <w:rFonts w:ascii="Times New Roman" w:eastAsia="Times New Roman" w:hAnsi="Times New Roman" w:cs="Times New Roman"/>
          <w:kern w:val="0"/>
          <w:sz w:val="24"/>
          <w:szCs w:val="24"/>
          <w:lang w:val="en" w:eastAsia="de-DE"/>
          <w14:ligatures w14:val="none"/>
        </w:rPr>
        <w:t>A higher l</w:t>
      </w:r>
      <w:r>
        <w:rPr>
          <w:rFonts w:ascii="Times New Roman" w:eastAsia="Times New Roman" w:hAnsi="Times New Roman" w:cs="Times New Roman"/>
          <w:kern w:val="0"/>
          <w:sz w:val="24"/>
          <w:szCs w:val="24"/>
          <w:lang w:val="en" w:eastAsia="de-DE"/>
          <w14:ligatures w14:val="none"/>
        </w:rPr>
        <w:t>oan</w:t>
      </w:r>
      <w:r w:rsidRPr="005E2E1C">
        <w:rPr>
          <w:rFonts w:ascii="Times New Roman" w:eastAsia="Times New Roman" w:hAnsi="Times New Roman" w:cs="Times New Roman"/>
          <w:kern w:val="0"/>
          <w:sz w:val="24"/>
          <w:szCs w:val="24"/>
          <w:lang w:val="en" w:eastAsia="de-DE"/>
          <w14:ligatures w14:val="none"/>
        </w:rPr>
        <w:t>-</w:t>
      </w:r>
      <w:r>
        <w:rPr>
          <w:rFonts w:ascii="Times New Roman" w:eastAsia="Times New Roman" w:hAnsi="Times New Roman" w:cs="Times New Roman"/>
          <w:kern w:val="0"/>
          <w:sz w:val="24"/>
          <w:szCs w:val="24"/>
          <w:lang w:val="en" w:eastAsia="de-DE"/>
          <w14:ligatures w14:val="none"/>
        </w:rPr>
        <w:t>to-deposit</w:t>
      </w:r>
      <w:r w:rsidRPr="005E2E1C">
        <w:rPr>
          <w:rFonts w:ascii="Times New Roman" w:eastAsia="Times New Roman" w:hAnsi="Times New Roman" w:cs="Times New Roman"/>
          <w:kern w:val="0"/>
          <w:sz w:val="24"/>
          <w:szCs w:val="24"/>
          <w:lang w:val="en" w:eastAsia="de-DE"/>
          <w14:ligatures w14:val="none"/>
        </w:rPr>
        <w:t xml:space="preserve"> ratio </w:t>
      </w:r>
      <w:r w:rsidR="004A67CA">
        <w:rPr>
          <w:rFonts w:ascii="Times New Roman" w:eastAsia="Times New Roman" w:hAnsi="Times New Roman" w:cs="Times New Roman"/>
          <w:kern w:val="0"/>
          <w:sz w:val="24"/>
          <w:szCs w:val="24"/>
          <w:lang w:val="en" w:eastAsia="de-DE"/>
          <w14:ligatures w14:val="none"/>
        </w:rPr>
        <w:t>leads to increased value adjustments.</w:t>
      </w:r>
    </w:p>
    <w:p w14:paraId="363BE944" w14:textId="77777777" w:rsidR="0036021E" w:rsidRDefault="0036021E" w:rsidP="005E2E1C">
      <w:pPr>
        <w:spacing w:after="0" w:line="240" w:lineRule="auto"/>
        <w:rPr>
          <w:rFonts w:ascii="Times New Roman" w:eastAsia="Times New Roman" w:hAnsi="Times New Roman" w:cs="Times New Roman"/>
          <w:kern w:val="0"/>
          <w:sz w:val="24"/>
          <w:szCs w:val="24"/>
          <w:lang w:val="en" w:eastAsia="de-DE"/>
          <w14:ligatures w14:val="none"/>
        </w:rPr>
      </w:pPr>
    </w:p>
    <w:p w14:paraId="17AA250E" w14:textId="1057BED1" w:rsidR="00FE4CA9" w:rsidRDefault="005E2E1C" w:rsidP="0036021E">
      <w:pPr>
        <w:spacing w:after="0" w:line="240" w:lineRule="auto"/>
        <w:rPr>
          <w:rFonts w:ascii="Times New Roman" w:hAnsi="Times New Roman" w:cs="Times New Roman"/>
          <w:sz w:val="24"/>
          <w:szCs w:val="24"/>
          <w:lang w:val="en-US"/>
        </w:rPr>
      </w:pPr>
      <w:r w:rsidRPr="005E2E1C">
        <w:rPr>
          <w:rFonts w:ascii="Times New Roman" w:eastAsia="Times New Roman" w:hAnsi="Times New Roman" w:cs="Times New Roman"/>
          <w:kern w:val="0"/>
          <w:sz w:val="24"/>
          <w:szCs w:val="24"/>
          <w:lang w:val="en" w:eastAsia="de-DE"/>
          <w14:ligatures w14:val="none"/>
        </w:rPr>
        <w:t xml:space="preserve">However, the Bundesbank's approach does not allow any statement to be made about the need for value adjustments and its determinants in credit </w:t>
      </w:r>
      <w:r w:rsidR="00BE2749">
        <w:rPr>
          <w:rFonts w:ascii="Times New Roman" w:eastAsia="Times New Roman" w:hAnsi="Times New Roman" w:cs="Times New Roman"/>
          <w:kern w:val="0"/>
          <w:sz w:val="24"/>
          <w:szCs w:val="24"/>
          <w:lang w:val="en" w:eastAsia="de-DE"/>
          <w14:ligatures w14:val="none"/>
        </w:rPr>
        <w:t>cooperatives</w:t>
      </w:r>
      <w:r w:rsidRPr="005E2E1C">
        <w:rPr>
          <w:rFonts w:ascii="Times New Roman" w:eastAsia="Times New Roman" w:hAnsi="Times New Roman" w:cs="Times New Roman"/>
          <w:kern w:val="0"/>
          <w:sz w:val="24"/>
          <w:szCs w:val="24"/>
          <w:lang w:val="en" w:eastAsia="de-DE"/>
          <w14:ligatures w14:val="none"/>
        </w:rPr>
        <w:t>.</w:t>
      </w:r>
      <w:r w:rsidR="0036021E">
        <w:rPr>
          <w:rFonts w:ascii="Times New Roman" w:eastAsia="Times New Roman" w:hAnsi="Times New Roman" w:cs="Times New Roman"/>
          <w:kern w:val="0"/>
          <w:sz w:val="24"/>
          <w:szCs w:val="24"/>
          <w:lang w:val="en" w:eastAsia="de-DE"/>
          <w14:ligatures w14:val="none"/>
        </w:rPr>
        <w:t xml:space="preserve"> </w:t>
      </w:r>
      <w:r w:rsidR="00FE4CA9">
        <w:rPr>
          <w:rFonts w:ascii="Times New Roman" w:hAnsi="Times New Roman" w:cs="Times New Roman"/>
          <w:sz w:val="24"/>
          <w:szCs w:val="24"/>
          <w:lang w:val="en-US"/>
        </w:rPr>
        <w:t>In the aftermath of the financial crisis/great recession a number of studies</w:t>
      </w:r>
      <w:r w:rsidR="005A4952">
        <w:rPr>
          <w:rFonts w:ascii="Times New Roman" w:hAnsi="Times New Roman" w:cs="Times New Roman"/>
          <w:sz w:val="24"/>
          <w:szCs w:val="24"/>
          <w:lang w:val="en-US"/>
        </w:rPr>
        <w:t xml:space="preserve"> was published,</w:t>
      </w:r>
      <w:r w:rsidR="00FE4CA9">
        <w:rPr>
          <w:rFonts w:ascii="Times New Roman" w:hAnsi="Times New Roman" w:cs="Times New Roman"/>
          <w:sz w:val="24"/>
          <w:szCs w:val="24"/>
          <w:lang w:val="en-US"/>
        </w:rPr>
        <w:t xml:space="preserve"> analyzing the determinants of non-performing loans</w:t>
      </w:r>
      <w:r w:rsidR="007D6045">
        <w:rPr>
          <w:rFonts w:ascii="Times New Roman" w:hAnsi="Times New Roman" w:cs="Times New Roman"/>
          <w:sz w:val="24"/>
          <w:szCs w:val="24"/>
          <w:lang w:val="en-US"/>
        </w:rPr>
        <w:t xml:space="preserve"> (NPL), as a part of the broader defined value adjustments</w:t>
      </w:r>
      <w:r w:rsidR="005A4952">
        <w:rPr>
          <w:rFonts w:ascii="Times New Roman" w:hAnsi="Times New Roman" w:cs="Times New Roman"/>
          <w:sz w:val="24"/>
          <w:szCs w:val="24"/>
          <w:lang w:val="en-US"/>
        </w:rPr>
        <w:t>.</w:t>
      </w:r>
      <w:r w:rsidR="00FE4CA9">
        <w:rPr>
          <w:rFonts w:ascii="Times New Roman" w:hAnsi="Times New Roman" w:cs="Times New Roman"/>
          <w:sz w:val="24"/>
          <w:szCs w:val="24"/>
          <w:lang w:val="en-US"/>
        </w:rPr>
        <w:t xml:space="preserve"> Contrary to the Bundesbank-approach,</w:t>
      </w:r>
      <w:r w:rsidR="008A3973">
        <w:rPr>
          <w:rFonts w:ascii="Times New Roman" w:hAnsi="Times New Roman" w:cs="Times New Roman"/>
          <w:sz w:val="24"/>
          <w:szCs w:val="24"/>
          <w:lang w:val="en-US"/>
        </w:rPr>
        <w:t xml:space="preserve"> multi-country samples were used mostly.</w:t>
      </w:r>
    </w:p>
    <w:p w14:paraId="354EBB23" w14:textId="77777777" w:rsidR="0036021E" w:rsidRDefault="0036021E" w:rsidP="0036021E">
      <w:pPr>
        <w:spacing w:after="0" w:line="240" w:lineRule="auto"/>
        <w:rPr>
          <w:rFonts w:ascii="Times New Roman" w:hAnsi="Times New Roman" w:cs="Times New Roman"/>
          <w:sz w:val="24"/>
          <w:szCs w:val="24"/>
          <w:lang w:val="en-US"/>
        </w:rPr>
      </w:pPr>
    </w:p>
    <w:p w14:paraId="23CE8307" w14:textId="2FEA7047" w:rsidR="008A3973" w:rsidRDefault="008A3973" w:rsidP="0056579E">
      <w:pPr>
        <w:rPr>
          <w:rFonts w:ascii="Times New Roman" w:hAnsi="Times New Roman" w:cs="Times New Roman"/>
          <w:sz w:val="24"/>
          <w:szCs w:val="24"/>
          <w:lang w:val="en-US"/>
        </w:rPr>
      </w:pPr>
      <w:r>
        <w:rPr>
          <w:rFonts w:ascii="Times New Roman" w:hAnsi="Times New Roman" w:cs="Times New Roman"/>
          <w:sz w:val="24"/>
          <w:szCs w:val="24"/>
          <w:lang w:val="en-US"/>
        </w:rPr>
        <w:t>Klein (2013)</w:t>
      </w:r>
      <w:r w:rsidR="00FB0E3D">
        <w:rPr>
          <w:rFonts w:ascii="Times New Roman" w:hAnsi="Times New Roman" w:cs="Times New Roman"/>
          <w:sz w:val="24"/>
          <w:szCs w:val="24"/>
          <w:lang w:val="en-US"/>
        </w:rPr>
        <w:t xml:space="preserve"> uses a</w:t>
      </w:r>
      <w:r>
        <w:rPr>
          <w:rFonts w:ascii="Times New Roman" w:hAnsi="Times New Roman" w:cs="Times New Roman"/>
          <w:sz w:val="24"/>
          <w:szCs w:val="24"/>
          <w:lang w:val="en-US"/>
        </w:rPr>
        <w:t xml:space="preserve"> </w:t>
      </w:r>
      <w:r w:rsidR="00FB0E3D">
        <w:rPr>
          <w:rFonts w:ascii="Times New Roman" w:hAnsi="Times New Roman" w:cs="Times New Roman"/>
          <w:sz w:val="24"/>
          <w:szCs w:val="24"/>
          <w:lang w:val="en-US"/>
        </w:rPr>
        <w:t>p</w:t>
      </w:r>
      <w:r w:rsidR="007D6045">
        <w:rPr>
          <w:rFonts w:ascii="Times New Roman" w:hAnsi="Times New Roman" w:cs="Times New Roman"/>
          <w:sz w:val="24"/>
          <w:szCs w:val="24"/>
          <w:lang w:val="en-US"/>
        </w:rPr>
        <w:t xml:space="preserve">anel VAR </w:t>
      </w:r>
      <w:r>
        <w:rPr>
          <w:rFonts w:ascii="Times New Roman" w:hAnsi="Times New Roman" w:cs="Times New Roman"/>
          <w:sz w:val="24"/>
          <w:szCs w:val="24"/>
          <w:lang w:val="en-US"/>
        </w:rPr>
        <w:t xml:space="preserve">model for </w:t>
      </w:r>
      <w:r w:rsidR="007D6045">
        <w:rPr>
          <w:rFonts w:ascii="Times New Roman" w:hAnsi="Times New Roman" w:cs="Times New Roman"/>
          <w:sz w:val="24"/>
          <w:szCs w:val="24"/>
          <w:lang w:val="en-US"/>
        </w:rPr>
        <w:t xml:space="preserve">16 Central, Eastern, and South-Eastern Europe country in the period of 1998-2011. Both macroeconomic as well as firm-specific determinants </w:t>
      </w:r>
      <w:r w:rsidR="00FB0E3D">
        <w:rPr>
          <w:rFonts w:ascii="Times New Roman" w:hAnsi="Times New Roman" w:cs="Times New Roman"/>
          <w:sz w:val="24"/>
          <w:szCs w:val="24"/>
          <w:lang w:val="en-US"/>
        </w:rPr>
        <w:t xml:space="preserve">were found to </w:t>
      </w:r>
      <w:r w:rsidR="007D6045">
        <w:rPr>
          <w:rFonts w:ascii="Times New Roman" w:hAnsi="Times New Roman" w:cs="Times New Roman"/>
          <w:sz w:val="24"/>
          <w:szCs w:val="24"/>
          <w:lang w:val="en-US"/>
        </w:rPr>
        <w:t xml:space="preserve">play a role. However, macroeconomic variables like GDP growth, unemployment, and inflation </w:t>
      </w:r>
      <w:r w:rsidR="00FB0E3D">
        <w:rPr>
          <w:rFonts w:ascii="Times New Roman" w:hAnsi="Times New Roman" w:cs="Times New Roman"/>
          <w:sz w:val="24"/>
          <w:szCs w:val="24"/>
          <w:lang w:val="en-US"/>
        </w:rPr>
        <w:t>were</w:t>
      </w:r>
      <w:r w:rsidR="007D6045">
        <w:rPr>
          <w:rFonts w:ascii="Times New Roman" w:hAnsi="Times New Roman" w:cs="Times New Roman"/>
          <w:sz w:val="24"/>
          <w:szCs w:val="24"/>
          <w:lang w:val="en-US"/>
        </w:rPr>
        <w:t xml:space="preserve"> more important than bank-level factors. In the latter group profitability and equity ratios </w:t>
      </w:r>
      <w:r w:rsidR="00FB0E3D">
        <w:rPr>
          <w:rFonts w:ascii="Times New Roman" w:hAnsi="Times New Roman" w:cs="Times New Roman"/>
          <w:sz w:val="24"/>
          <w:szCs w:val="24"/>
          <w:lang w:val="en-US"/>
        </w:rPr>
        <w:t>were</w:t>
      </w:r>
      <w:r w:rsidR="007D6045">
        <w:rPr>
          <w:rFonts w:ascii="Times New Roman" w:hAnsi="Times New Roman" w:cs="Times New Roman"/>
          <w:sz w:val="24"/>
          <w:szCs w:val="24"/>
          <w:lang w:val="en-US"/>
        </w:rPr>
        <w:t xml:space="preserve"> inversely related to NPLs, whereas loan-growth and the loans-to-assets ratio positively affect</w:t>
      </w:r>
      <w:r w:rsidR="00FB0E3D">
        <w:rPr>
          <w:rFonts w:ascii="Times New Roman" w:hAnsi="Times New Roman" w:cs="Times New Roman"/>
          <w:sz w:val="24"/>
          <w:szCs w:val="24"/>
          <w:lang w:val="en-US"/>
        </w:rPr>
        <w:t>ed</w:t>
      </w:r>
      <w:r w:rsidR="007D6045">
        <w:rPr>
          <w:rFonts w:ascii="Times New Roman" w:hAnsi="Times New Roman" w:cs="Times New Roman"/>
          <w:sz w:val="24"/>
          <w:szCs w:val="24"/>
          <w:lang w:val="en-US"/>
        </w:rPr>
        <w:t xml:space="preserve"> the volume of NPLs. Interest rates were not included as determinants.</w:t>
      </w:r>
      <w:r w:rsidR="00FB0E3D">
        <w:rPr>
          <w:rFonts w:ascii="Times New Roman" w:hAnsi="Times New Roman" w:cs="Times New Roman"/>
          <w:sz w:val="24"/>
          <w:szCs w:val="24"/>
          <w:lang w:val="en-US"/>
        </w:rPr>
        <w:t xml:space="preserve"> Specific conclusions regarding cooperative banks cannot be drawn.</w:t>
      </w:r>
    </w:p>
    <w:p w14:paraId="6DC119D8" w14:textId="7EF6A271" w:rsidR="00FE4CA9" w:rsidRPr="00CA725D" w:rsidRDefault="00CA725D" w:rsidP="0056579E">
      <w:pPr>
        <w:rPr>
          <w:rFonts w:ascii="Times New Roman" w:hAnsi="Times New Roman" w:cs="Times New Roman"/>
          <w:sz w:val="24"/>
          <w:szCs w:val="24"/>
          <w:lang w:val="en-US"/>
        </w:rPr>
      </w:pPr>
      <w:r w:rsidRPr="00CA725D">
        <w:rPr>
          <w:rFonts w:ascii="Times New Roman" w:hAnsi="Times New Roman" w:cs="Times New Roman"/>
          <w:sz w:val="24"/>
          <w:szCs w:val="24"/>
          <w:lang w:val="en-US"/>
        </w:rPr>
        <w:lastRenderedPageBreak/>
        <w:t>Messai and Jouini (2013) analyze dete</w:t>
      </w:r>
      <w:r>
        <w:rPr>
          <w:rFonts w:ascii="Times New Roman" w:hAnsi="Times New Roman" w:cs="Times New Roman"/>
          <w:sz w:val="24"/>
          <w:szCs w:val="24"/>
          <w:lang w:val="en-US"/>
        </w:rPr>
        <w:t>rminants of NPLs in a sample of 85 larger bank in Spain, Italy, and Greece in the period of 2004-2008. The authors estimate a fixed effects model relating NPL to macro and bank-specific variables. Low GDP growth, high unemployment rates, and high real interest rates are all conducive to high NPL level.</w:t>
      </w:r>
      <w:r w:rsidR="00CB3902">
        <w:rPr>
          <w:rFonts w:ascii="Times New Roman" w:hAnsi="Times New Roman" w:cs="Times New Roman"/>
          <w:sz w:val="24"/>
          <w:szCs w:val="24"/>
          <w:lang w:val="en-US"/>
        </w:rPr>
        <w:t xml:space="preserve"> Higher profitability reduces NPLs. All in all, the macro variables seem to play a more important role, if t-statistics are used as proxies for standardized coefficients. However, the results of the study are hardly transferable to cooperative banks.</w:t>
      </w:r>
    </w:p>
    <w:p w14:paraId="5CE2957D" w14:textId="3A16FD9A" w:rsidR="005A4952" w:rsidRDefault="005A4952" w:rsidP="005F46BB">
      <w:pPr>
        <w:rPr>
          <w:rFonts w:ascii="Times New Roman" w:hAnsi="Times New Roman" w:cs="Times New Roman"/>
          <w:sz w:val="24"/>
          <w:szCs w:val="24"/>
          <w:lang w:val="en-US"/>
        </w:rPr>
      </w:pPr>
      <w:r>
        <w:rPr>
          <w:rFonts w:ascii="Times New Roman" w:hAnsi="Times New Roman" w:cs="Times New Roman"/>
          <w:sz w:val="24"/>
          <w:szCs w:val="24"/>
          <w:lang w:val="en-US"/>
        </w:rPr>
        <w:t>A later paper by Dimitrios, Helen, and Mike (2016) refers to the Euro area countries. The authors use an unbalanced panel in the period of 1990-2015 with quarterly data and apply the GMM estimator. Firm-specific as well as macroeconomic variables as determinants of NPL are included. Basically, the researchers confirm previous findings, e. g. the role of the unemployment rate. A novelty is the inclusion of income tax rates and the output-gap which both prove significant.</w:t>
      </w:r>
    </w:p>
    <w:p w14:paraId="75C06583" w14:textId="0B13567D" w:rsidR="005F46BB" w:rsidRPr="004F1E02" w:rsidRDefault="004F1E02" w:rsidP="005F46BB">
      <w:pPr>
        <w:rPr>
          <w:rFonts w:ascii="Times New Roman" w:hAnsi="Times New Roman" w:cs="Times New Roman"/>
          <w:sz w:val="24"/>
          <w:szCs w:val="24"/>
          <w:lang w:val="en-US"/>
        </w:rPr>
      </w:pPr>
      <w:r>
        <w:rPr>
          <w:rFonts w:ascii="Times New Roman" w:hAnsi="Times New Roman" w:cs="Times New Roman"/>
          <w:sz w:val="24"/>
          <w:szCs w:val="24"/>
          <w:lang w:val="en-US"/>
        </w:rPr>
        <w:t xml:space="preserve">The study by </w:t>
      </w:r>
      <w:proofErr w:type="spellStart"/>
      <w:r>
        <w:rPr>
          <w:rFonts w:ascii="Times New Roman" w:hAnsi="Times New Roman" w:cs="Times New Roman"/>
          <w:sz w:val="24"/>
          <w:szCs w:val="24"/>
          <w:lang w:val="en-US"/>
        </w:rPr>
        <w:t>Ciukaj</w:t>
      </w:r>
      <w:proofErr w:type="spellEnd"/>
      <w:r>
        <w:rPr>
          <w:rFonts w:ascii="Times New Roman" w:hAnsi="Times New Roman" w:cs="Times New Roman"/>
          <w:sz w:val="24"/>
          <w:szCs w:val="24"/>
          <w:lang w:val="en-US"/>
        </w:rPr>
        <w:t xml:space="preserve"> and Kil (2020) concentrates on seven southern and south-eastern European countries with a high NPL exposure. The authors use a panel-based approach and present estimates </w:t>
      </w:r>
      <w:r w:rsidRPr="004F1E02">
        <w:rPr>
          <w:rFonts w:ascii="Times New Roman" w:hAnsi="Times New Roman" w:cs="Times New Roman"/>
          <w:sz w:val="24"/>
          <w:szCs w:val="24"/>
          <w:lang w:val="en-US"/>
        </w:rPr>
        <w:t>for the period from 2011 to 2017</w:t>
      </w:r>
      <w:r>
        <w:rPr>
          <w:rFonts w:ascii="Times New Roman" w:hAnsi="Times New Roman" w:cs="Times New Roman"/>
          <w:sz w:val="24"/>
          <w:szCs w:val="24"/>
          <w:lang w:val="en-US"/>
        </w:rPr>
        <w:t xml:space="preserve">. </w:t>
      </w:r>
      <w:r w:rsidR="00161A45">
        <w:rPr>
          <w:rFonts w:ascii="Times New Roman" w:hAnsi="Times New Roman" w:cs="Times New Roman"/>
          <w:sz w:val="24"/>
          <w:szCs w:val="24"/>
          <w:lang w:val="en-US"/>
        </w:rPr>
        <w:t xml:space="preserve">Contrary to </w:t>
      </w:r>
      <w:r>
        <w:rPr>
          <w:rFonts w:ascii="Times New Roman" w:hAnsi="Times New Roman" w:cs="Times New Roman"/>
          <w:sz w:val="24"/>
          <w:szCs w:val="24"/>
          <w:lang w:val="en-US"/>
        </w:rPr>
        <w:t>previous studies</w:t>
      </w:r>
      <w:r w:rsidR="004559A2">
        <w:rPr>
          <w:rFonts w:ascii="Times New Roman" w:hAnsi="Times New Roman" w:cs="Times New Roman"/>
          <w:sz w:val="24"/>
          <w:szCs w:val="24"/>
          <w:lang w:val="en-US"/>
        </w:rPr>
        <w:t xml:space="preserve">, </w:t>
      </w:r>
      <w:r w:rsidR="00161A45">
        <w:rPr>
          <w:rFonts w:ascii="Times New Roman" w:hAnsi="Times New Roman" w:cs="Times New Roman"/>
          <w:sz w:val="24"/>
          <w:szCs w:val="24"/>
          <w:lang w:val="en-US"/>
        </w:rPr>
        <w:t xml:space="preserve">a large number of </w:t>
      </w:r>
      <w:r w:rsidR="004559A2">
        <w:rPr>
          <w:rFonts w:ascii="Times New Roman" w:hAnsi="Times New Roman" w:cs="Times New Roman"/>
          <w:sz w:val="24"/>
          <w:szCs w:val="24"/>
          <w:lang w:val="en-US"/>
        </w:rPr>
        <w:t xml:space="preserve">firm-level and macroeconomic factors are included. The main results are: </w:t>
      </w:r>
      <w:r w:rsidR="00161A45">
        <w:rPr>
          <w:rFonts w:ascii="Times New Roman" w:hAnsi="Times New Roman" w:cs="Times New Roman"/>
          <w:sz w:val="24"/>
          <w:szCs w:val="24"/>
          <w:lang w:val="en-US"/>
        </w:rPr>
        <w:t>A high level of NPLs is associated with lower GDP growth rates, higher unemployment rates, higher interest rates, higher house prices, and higher market concentration</w:t>
      </w:r>
      <w:r w:rsidR="000E3695">
        <w:rPr>
          <w:rFonts w:ascii="Times New Roman" w:hAnsi="Times New Roman" w:cs="Times New Roman"/>
          <w:sz w:val="24"/>
          <w:szCs w:val="24"/>
          <w:lang w:val="en-US"/>
        </w:rPr>
        <w:t xml:space="preserve">, as far as macroeconomic determinants are concerned. Regarding firm-specific factors, a higher level of NPLs is associated with smaller banks, a lower loans-to-assets ratio, and lower returns on assets. </w:t>
      </w:r>
      <w:r w:rsidR="00133A2D">
        <w:rPr>
          <w:rFonts w:ascii="Times New Roman" w:hAnsi="Times New Roman" w:cs="Times New Roman"/>
          <w:sz w:val="24"/>
          <w:szCs w:val="24"/>
          <w:lang w:val="en-US"/>
        </w:rPr>
        <w:t xml:space="preserve">As in all other cases, the paper does not </w:t>
      </w:r>
      <w:r w:rsidR="00C93CF2">
        <w:rPr>
          <w:rFonts w:ascii="Times New Roman" w:hAnsi="Times New Roman" w:cs="Times New Roman"/>
          <w:sz w:val="24"/>
          <w:szCs w:val="24"/>
          <w:lang w:val="en-US"/>
        </w:rPr>
        <w:t>differentiate</w:t>
      </w:r>
      <w:r w:rsidR="00133A2D">
        <w:rPr>
          <w:rFonts w:ascii="Times New Roman" w:hAnsi="Times New Roman" w:cs="Times New Roman"/>
          <w:sz w:val="24"/>
          <w:szCs w:val="24"/>
          <w:lang w:val="en-US"/>
        </w:rPr>
        <w:t xml:space="preserve"> between different types of banks.</w:t>
      </w:r>
    </w:p>
    <w:p w14:paraId="617C0904" w14:textId="008BFEE7" w:rsidR="004607F7" w:rsidRDefault="00B95DB9" w:rsidP="0056579E">
      <w:pPr>
        <w:rPr>
          <w:rFonts w:ascii="Times New Roman" w:hAnsi="Times New Roman" w:cs="Times New Roman"/>
          <w:sz w:val="24"/>
          <w:szCs w:val="24"/>
          <w:lang w:val="en-US"/>
        </w:rPr>
      </w:pPr>
      <w:r>
        <w:rPr>
          <w:rFonts w:ascii="Times New Roman" w:hAnsi="Times New Roman" w:cs="Times New Roman"/>
          <w:sz w:val="24"/>
          <w:szCs w:val="24"/>
          <w:lang w:val="en-US"/>
        </w:rPr>
        <w:t>A</w:t>
      </w:r>
      <w:r w:rsidR="00480A08">
        <w:rPr>
          <w:rFonts w:ascii="Times New Roman" w:hAnsi="Times New Roman" w:cs="Times New Roman"/>
          <w:sz w:val="24"/>
          <w:szCs w:val="24"/>
          <w:lang w:val="en-US"/>
        </w:rPr>
        <w:t xml:space="preserve"> different approach </w:t>
      </w:r>
      <w:r w:rsidR="0036021E">
        <w:rPr>
          <w:rFonts w:ascii="Times New Roman" w:hAnsi="Times New Roman" w:cs="Times New Roman"/>
          <w:sz w:val="24"/>
          <w:szCs w:val="24"/>
          <w:lang w:val="en-US"/>
        </w:rPr>
        <w:t xml:space="preserve">explicitly directed towards cooperative banks </w:t>
      </w:r>
      <w:r w:rsidR="00480A08">
        <w:rPr>
          <w:rFonts w:ascii="Times New Roman" w:hAnsi="Times New Roman" w:cs="Times New Roman"/>
          <w:sz w:val="24"/>
          <w:szCs w:val="24"/>
          <w:lang w:val="en-US"/>
        </w:rPr>
        <w:t>was taken by Coen et al. (2018)</w:t>
      </w:r>
      <w:r w:rsidR="008E31E8">
        <w:rPr>
          <w:rFonts w:ascii="Times New Roman" w:hAnsi="Times New Roman" w:cs="Times New Roman"/>
          <w:sz w:val="24"/>
          <w:szCs w:val="24"/>
          <w:lang w:val="en-US"/>
        </w:rPr>
        <w:t>, researchers of the Bank of England</w:t>
      </w:r>
      <w:r w:rsidR="00480A08">
        <w:rPr>
          <w:rFonts w:ascii="Times New Roman" w:hAnsi="Times New Roman" w:cs="Times New Roman"/>
          <w:sz w:val="24"/>
          <w:szCs w:val="24"/>
          <w:lang w:val="en-US"/>
        </w:rPr>
        <w:t xml:space="preserve">. The authors do not directly evaluate the determinants of value adjustments, but analyze the determinants of a credit union </w:t>
      </w:r>
      <w:r w:rsidR="00852D48">
        <w:rPr>
          <w:rFonts w:ascii="Times New Roman" w:hAnsi="Times New Roman" w:cs="Times New Roman"/>
          <w:sz w:val="24"/>
          <w:szCs w:val="24"/>
          <w:lang w:val="en-US"/>
        </w:rPr>
        <w:t>failure in the United Kingdom</w:t>
      </w:r>
      <w:r w:rsidR="00812101">
        <w:rPr>
          <w:rFonts w:ascii="Times New Roman" w:hAnsi="Times New Roman" w:cs="Times New Roman"/>
          <w:sz w:val="24"/>
          <w:szCs w:val="24"/>
          <w:lang w:val="en-US"/>
        </w:rPr>
        <w:t xml:space="preserve"> using a logistic regression model. Although the left-hand side variable (failure) is different from value adjustments, it can be argued that significant write-offs or impairments put bank profitability under pressure and </w:t>
      </w:r>
      <w:r w:rsidR="00E82548">
        <w:rPr>
          <w:rFonts w:ascii="Times New Roman" w:hAnsi="Times New Roman" w:cs="Times New Roman"/>
          <w:sz w:val="24"/>
          <w:szCs w:val="24"/>
          <w:lang w:val="en-US"/>
        </w:rPr>
        <w:t xml:space="preserve">thus </w:t>
      </w:r>
      <w:r w:rsidR="00812101">
        <w:rPr>
          <w:rFonts w:ascii="Times New Roman" w:hAnsi="Times New Roman" w:cs="Times New Roman"/>
          <w:sz w:val="24"/>
          <w:szCs w:val="24"/>
          <w:lang w:val="en-US"/>
        </w:rPr>
        <w:t>may finally lead to a failure. As in the Bundesbank-study, the authors explicitly distinguish bank-specific and macroeconomic determinants. Because of the use of bank-specific data, the study is also microeconomic in nature. The main results are as follows</w:t>
      </w:r>
      <w:r w:rsidR="00E82548">
        <w:rPr>
          <w:rFonts w:ascii="Times New Roman" w:hAnsi="Times New Roman" w:cs="Times New Roman"/>
          <w:sz w:val="24"/>
          <w:szCs w:val="24"/>
          <w:lang w:val="en-US"/>
        </w:rPr>
        <w:t>. The probability of failure is higher,</w:t>
      </w:r>
    </w:p>
    <w:p w14:paraId="640C545F" w14:textId="0867A8C9" w:rsidR="00E82548" w:rsidRDefault="008C2F77" w:rsidP="00E82548">
      <w:pPr>
        <w:pStyle w:val="Listenabsatz"/>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82548">
        <w:rPr>
          <w:rFonts w:ascii="Times New Roman" w:hAnsi="Times New Roman" w:cs="Times New Roman"/>
          <w:sz w:val="24"/>
          <w:szCs w:val="24"/>
          <w:lang w:val="en-US"/>
        </w:rPr>
        <w:t>smaller the bank,</w:t>
      </w:r>
    </w:p>
    <w:p w14:paraId="4D6A89D4" w14:textId="30BFCE46" w:rsidR="00E82548" w:rsidRDefault="008C2F77" w:rsidP="00E82548">
      <w:pPr>
        <w:pStyle w:val="Listenabsatz"/>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the lower the equity ratio,</w:t>
      </w:r>
    </w:p>
    <w:p w14:paraId="7CC8C622" w14:textId="12F9618B" w:rsidR="008C2F77" w:rsidRDefault="008C2F77" w:rsidP="00E82548">
      <w:pPr>
        <w:pStyle w:val="Listenabsatz"/>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the higher the percentage of unsecured loans,</w:t>
      </w:r>
    </w:p>
    <w:p w14:paraId="146E0C3E" w14:textId="16705970" w:rsidR="00B01F55" w:rsidRDefault="00B01F55" w:rsidP="00E82548">
      <w:pPr>
        <w:pStyle w:val="Listenabsatz"/>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the higher the loans-to-deposit ratio,</w:t>
      </w:r>
    </w:p>
    <w:p w14:paraId="514D3C35" w14:textId="761A8C28" w:rsidR="008C2F77" w:rsidRDefault="008C2F77" w:rsidP="00E82548">
      <w:pPr>
        <w:pStyle w:val="Listenabsatz"/>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the lower the return on assets, and</w:t>
      </w:r>
    </w:p>
    <w:p w14:paraId="648E02C8" w14:textId="0825B06F" w:rsidR="008C2F77" w:rsidRDefault="008C2F77" w:rsidP="00E82548">
      <w:pPr>
        <w:pStyle w:val="Listenabsatz"/>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the higher the unemployment rate.</w:t>
      </w:r>
    </w:p>
    <w:p w14:paraId="79448730" w14:textId="3DB86356" w:rsidR="008C2F77" w:rsidRPr="008C2F77" w:rsidRDefault="008C2F77" w:rsidP="008C2F77">
      <w:pPr>
        <w:rPr>
          <w:rFonts w:ascii="Times New Roman" w:hAnsi="Times New Roman" w:cs="Times New Roman"/>
          <w:sz w:val="24"/>
          <w:szCs w:val="24"/>
          <w:lang w:val="en-US"/>
        </w:rPr>
      </w:pPr>
      <w:r>
        <w:rPr>
          <w:rFonts w:ascii="Times New Roman" w:hAnsi="Times New Roman" w:cs="Times New Roman"/>
          <w:sz w:val="24"/>
          <w:szCs w:val="24"/>
          <w:lang w:val="en-US"/>
        </w:rPr>
        <w:t>These results are mostly in accordance with the Bundesbank results but not fully comparable because of differences in the dependent variable, the banks</w:t>
      </w:r>
      <w:r w:rsidR="00227CD5" w:rsidRPr="00227CD5">
        <w:rPr>
          <w:rFonts w:ascii="Times New Roman" w:hAnsi="Times New Roman" w:cs="Times New Roman"/>
          <w:sz w:val="24"/>
          <w:szCs w:val="24"/>
          <w:lang w:val="en-US"/>
        </w:rPr>
        <w:t xml:space="preserve"> </w:t>
      </w:r>
      <w:r w:rsidR="00227CD5">
        <w:rPr>
          <w:rFonts w:ascii="Times New Roman" w:hAnsi="Times New Roman" w:cs="Times New Roman"/>
          <w:sz w:val="24"/>
          <w:szCs w:val="24"/>
          <w:lang w:val="en-US"/>
        </w:rPr>
        <w:t>targeted</w:t>
      </w:r>
      <w:r>
        <w:rPr>
          <w:rFonts w:ascii="Times New Roman" w:hAnsi="Times New Roman" w:cs="Times New Roman"/>
          <w:sz w:val="24"/>
          <w:szCs w:val="24"/>
          <w:lang w:val="en-US"/>
        </w:rPr>
        <w:t xml:space="preserve">, and the bundle of exogeneous variables. </w:t>
      </w:r>
      <w:r w:rsidR="00B01F55">
        <w:rPr>
          <w:rFonts w:ascii="Times New Roman" w:hAnsi="Times New Roman" w:cs="Times New Roman"/>
          <w:sz w:val="24"/>
          <w:szCs w:val="24"/>
          <w:lang w:val="en-US"/>
        </w:rPr>
        <w:t xml:space="preserve">Regarding the role of bank size, the results are conflicting. The Bundesbank reveals that size is bad for value adjustments! </w:t>
      </w:r>
      <w:r w:rsidR="008E31E8">
        <w:rPr>
          <w:rFonts w:ascii="Times New Roman" w:hAnsi="Times New Roman" w:cs="Times New Roman"/>
          <w:sz w:val="24"/>
          <w:szCs w:val="24"/>
          <w:lang w:val="en-US"/>
        </w:rPr>
        <w:t>The l</w:t>
      </w:r>
      <w:r w:rsidR="00B01F55">
        <w:rPr>
          <w:rFonts w:ascii="Times New Roman" w:hAnsi="Times New Roman" w:cs="Times New Roman"/>
          <w:sz w:val="24"/>
          <w:szCs w:val="24"/>
          <w:lang w:val="en-US"/>
        </w:rPr>
        <w:t xml:space="preserve">ong-term interest rate </w:t>
      </w:r>
      <w:r w:rsidR="008E31E8">
        <w:rPr>
          <w:rFonts w:ascii="Times New Roman" w:hAnsi="Times New Roman" w:cs="Times New Roman"/>
          <w:sz w:val="24"/>
          <w:szCs w:val="24"/>
          <w:lang w:val="en-US"/>
        </w:rPr>
        <w:t>is</w:t>
      </w:r>
      <w:r w:rsidR="00B01F55">
        <w:rPr>
          <w:rFonts w:ascii="Times New Roman" w:hAnsi="Times New Roman" w:cs="Times New Roman"/>
          <w:sz w:val="24"/>
          <w:szCs w:val="24"/>
          <w:lang w:val="en-US"/>
        </w:rPr>
        <w:t xml:space="preserve"> not considered a determinant in the </w:t>
      </w:r>
      <w:r w:rsidR="008E31E8">
        <w:rPr>
          <w:rFonts w:ascii="Times New Roman" w:hAnsi="Times New Roman" w:cs="Times New Roman"/>
          <w:sz w:val="24"/>
          <w:szCs w:val="24"/>
          <w:lang w:val="en-US"/>
        </w:rPr>
        <w:t>Bank of England paper.</w:t>
      </w:r>
    </w:p>
    <w:p w14:paraId="7426A87A" w14:textId="3ADF7BA8" w:rsidR="0056579E" w:rsidRPr="00E450C0" w:rsidRDefault="0056579E" w:rsidP="0056579E">
      <w:pPr>
        <w:pStyle w:val="Listenabsatz"/>
        <w:numPr>
          <w:ilvl w:val="0"/>
          <w:numId w:val="1"/>
        </w:numPr>
        <w:rPr>
          <w:rFonts w:ascii="Times New Roman" w:hAnsi="Times New Roman" w:cs="Times New Roman"/>
          <w:b/>
          <w:bCs/>
          <w:sz w:val="24"/>
          <w:szCs w:val="24"/>
          <w:lang w:val="en-US"/>
        </w:rPr>
      </w:pPr>
      <w:r w:rsidRPr="00E450C0">
        <w:rPr>
          <w:rFonts w:ascii="Times New Roman" w:hAnsi="Times New Roman" w:cs="Times New Roman"/>
          <w:b/>
          <w:bCs/>
          <w:sz w:val="24"/>
          <w:szCs w:val="24"/>
          <w:lang w:val="en-US"/>
        </w:rPr>
        <w:lastRenderedPageBreak/>
        <w:t>Data and Econometric Analysis</w:t>
      </w:r>
    </w:p>
    <w:p w14:paraId="4CA30547" w14:textId="77777777" w:rsidR="0036021E" w:rsidRDefault="00105211" w:rsidP="00E450C0">
      <w:pPr>
        <w:rPr>
          <w:rFonts w:ascii="Times New Roman" w:hAnsi="Times New Roman" w:cs="Times New Roman"/>
          <w:sz w:val="24"/>
          <w:szCs w:val="24"/>
          <w:lang w:val="en-US"/>
        </w:rPr>
      </w:pPr>
      <w:r>
        <w:rPr>
          <w:rFonts w:ascii="Times New Roman" w:hAnsi="Times New Roman" w:cs="Times New Roman"/>
          <w:sz w:val="24"/>
          <w:szCs w:val="24"/>
          <w:lang w:val="en-US"/>
        </w:rPr>
        <w:t>Following the literature, t</w:t>
      </w:r>
      <w:r w:rsidR="00E450C0" w:rsidRPr="00E450C0">
        <w:rPr>
          <w:rFonts w:ascii="Times New Roman" w:hAnsi="Times New Roman" w:cs="Times New Roman"/>
          <w:sz w:val="24"/>
          <w:szCs w:val="24"/>
          <w:lang w:val="en-US"/>
        </w:rPr>
        <w:t xml:space="preserve">his paper distinguishes two aspects that may affect value adjustments </w:t>
      </w:r>
      <w:r w:rsidR="00A26D85">
        <w:rPr>
          <w:rFonts w:ascii="Times New Roman" w:hAnsi="Times New Roman" w:cs="Times New Roman"/>
          <w:sz w:val="24"/>
          <w:szCs w:val="24"/>
          <w:lang w:val="en-US"/>
        </w:rPr>
        <w:t>(VA</w:t>
      </w:r>
      <w:r w:rsidR="00DE3C62">
        <w:rPr>
          <w:rFonts w:ascii="Times New Roman" w:hAnsi="Times New Roman" w:cs="Times New Roman"/>
          <w:sz w:val="24"/>
          <w:szCs w:val="24"/>
          <w:lang w:val="en-US"/>
        </w:rPr>
        <w:t>LADJ</w:t>
      </w:r>
      <w:r w:rsidR="00C4275D">
        <w:rPr>
          <w:rFonts w:ascii="Times New Roman" w:hAnsi="Times New Roman" w:cs="Times New Roman"/>
          <w:sz w:val="24"/>
          <w:szCs w:val="24"/>
          <w:lang w:val="en-US"/>
        </w:rPr>
        <w:t xml:space="preserve">) </w:t>
      </w:r>
      <w:r w:rsidR="00E450C0" w:rsidRPr="00E450C0">
        <w:rPr>
          <w:rFonts w:ascii="Times New Roman" w:hAnsi="Times New Roman" w:cs="Times New Roman"/>
          <w:sz w:val="24"/>
          <w:szCs w:val="24"/>
          <w:lang w:val="en-US"/>
        </w:rPr>
        <w:t xml:space="preserve">or write-offs of a bank. On the one hand, determinants may be firm-specific, one the other hand they may be related to macroeconomic factors. </w:t>
      </w:r>
    </w:p>
    <w:p w14:paraId="3065C493" w14:textId="74844EDC" w:rsidR="0036021E" w:rsidRDefault="0036021E" w:rsidP="00E450C0">
      <w:pPr>
        <w:rPr>
          <w:rFonts w:ascii="Times New Roman" w:hAnsi="Times New Roman" w:cs="Times New Roman"/>
          <w:sz w:val="24"/>
          <w:szCs w:val="24"/>
          <w:lang w:val="en-US"/>
        </w:rPr>
      </w:pPr>
      <w:r>
        <w:rPr>
          <w:rFonts w:ascii="Times New Roman" w:hAnsi="Times New Roman" w:cs="Times New Roman"/>
          <w:sz w:val="24"/>
          <w:szCs w:val="24"/>
          <w:lang w:val="en-US"/>
        </w:rPr>
        <w:t>We deviate from previous approaches in estimating a time series model explicitly for cooperative banks in Germany. Secondly, we apply cointegration techniques, which were so far not used.</w:t>
      </w:r>
    </w:p>
    <w:p w14:paraId="0EA5DF48" w14:textId="14A0FA77" w:rsidR="00E450C0" w:rsidRDefault="00E450C0" w:rsidP="0036021E">
      <w:pPr>
        <w:spacing w:after="240"/>
        <w:rPr>
          <w:rFonts w:ascii="Times New Roman" w:hAnsi="Times New Roman" w:cs="Times New Roman"/>
          <w:sz w:val="24"/>
          <w:szCs w:val="24"/>
          <w:lang w:val="en-US"/>
        </w:rPr>
      </w:pPr>
      <w:r w:rsidRPr="00E450C0">
        <w:rPr>
          <w:rFonts w:ascii="Times New Roman" w:hAnsi="Times New Roman" w:cs="Times New Roman"/>
          <w:sz w:val="24"/>
          <w:szCs w:val="24"/>
          <w:lang w:val="en-US"/>
        </w:rPr>
        <w:t xml:space="preserve">In our study, we </w:t>
      </w:r>
      <w:r w:rsidR="0036021E">
        <w:rPr>
          <w:rFonts w:ascii="Times New Roman" w:hAnsi="Times New Roman" w:cs="Times New Roman"/>
          <w:sz w:val="24"/>
          <w:szCs w:val="24"/>
          <w:lang w:val="en-US"/>
        </w:rPr>
        <w:t>include</w:t>
      </w:r>
      <w:r w:rsidRPr="00E450C0">
        <w:rPr>
          <w:rFonts w:ascii="Times New Roman" w:hAnsi="Times New Roman" w:cs="Times New Roman"/>
          <w:sz w:val="24"/>
          <w:szCs w:val="24"/>
          <w:lang w:val="en-US"/>
        </w:rPr>
        <w:t xml:space="preserve"> the following</w:t>
      </w:r>
      <w:r>
        <w:rPr>
          <w:rFonts w:ascii="Times New Roman" w:hAnsi="Times New Roman" w:cs="Times New Roman"/>
          <w:sz w:val="24"/>
          <w:szCs w:val="24"/>
          <w:lang w:val="en-US"/>
        </w:rPr>
        <w:t xml:space="preserve"> variables</w:t>
      </w:r>
      <w:r w:rsidR="00C93CF2">
        <w:rPr>
          <w:rFonts w:ascii="Times New Roman" w:hAnsi="Times New Roman" w:cs="Times New Roman"/>
          <w:sz w:val="24"/>
          <w:szCs w:val="24"/>
          <w:lang w:val="en-US"/>
        </w:rPr>
        <w:t xml:space="preserve"> (see the references section for data sources)</w:t>
      </w:r>
      <w:r>
        <w:rPr>
          <w:rFonts w:ascii="Times New Roman" w:hAnsi="Times New Roman" w:cs="Times New Roman"/>
          <w:sz w:val="24"/>
          <w:szCs w:val="24"/>
          <w:lang w:val="en-US"/>
        </w:rPr>
        <w:t>:</w:t>
      </w:r>
    </w:p>
    <w:p w14:paraId="66D73A8E" w14:textId="19565740" w:rsidR="00E450C0" w:rsidRPr="00E450C0" w:rsidRDefault="00E450C0" w:rsidP="00E450C0">
      <w:pPr>
        <w:rPr>
          <w:rFonts w:ascii="Times New Roman" w:hAnsi="Times New Roman" w:cs="Times New Roman"/>
          <w:i/>
          <w:iCs/>
          <w:sz w:val="24"/>
          <w:szCs w:val="24"/>
          <w:lang w:val="en-US"/>
        </w:rPr>
      </w:pPr>
      <w:r w:rsidRPr="00E450C0">
        <w:rPr>
          <w:rFonts w:ascii="Times New Roman" w:hAnsi="Times New Roman" w:cs="Times New Roman"/>
          <w:i/>
          <w:iCs/>
          <w:sz w:val="24"/>
          <w:szCs w:val="24"/>
          <w:lang w:val="en-US"/>
        </w:rPr>
        <w:t xml:space="preserve">Firm-specific factors </w:t>
      </w:r>
    </w:p>
    <w:p w14:paraId="4DBE7CAE" w14:textId="7F694EE7" w:rsidR="00E450C0" w:rsidRDefault="00E450C0" w:rsidP="00E450C0">
      <w:pPr>
        <w:rPr>
          <w:rFonts w:ascii="Times New Roman" w:hAnsi="Times New Roman" w:cs="Times New Roman"/>
          <w:sz w:val="24"/>
          <w:szCs w:val="24"/>
          <w:lang w:val="en-US"/>
        </w:rPr>
      </w:pPr>
      <w:r>
        <w:rPr>
          <w:rFonts w:ascii="Times New Roman" w:hAnsi="Times New Roman" w:cs="Times New Roman"/>
          <w:sz w:val="24"/>
          <w:szCs w:val="24"/>
          <w:lang w:val="en-US"/>
        </w:rPr>
        <w:t>Total assets as a measure of bank size</w:t>
      </w:r>
      <w:r w:rsidR="0094286D">
        <w:rPr>
          <w:rFonts w:ascii="Times New Roman" w:hAnsi="Times New Roman" w:cs="Times New Roman"/>
          <w:sz w:val="24"/>
          <w:szCs w:val="24"/>
          <w:lang w:val="en-US"/>
        </w:rPr>
        <w:t xml:space="preserve"> (AVTOTASS)</w:t>
      </w:r>
    </w:p>
    <w:p w14:paraId="15A15ED4" w14:textId="283567CD" w:rsidR="00E450C0" w:rsidRDefault="00E450C0" w:rsidP="0036021E">
      <w:pPr>
        <w:spacing w:after="240"/>
        <w:rPr>
          <w:rFonts w:ascii="Times New Roman" w:hAnsi="Times New Roman" w:cs="Times New Roman"/>
          <w:sz w:val="24"/>
          <w:szCs w:val="24"/>
          <w:lang w:val="en-US"/>
        </w:rPr>
      </w:pPr>
      <w:r>
        <w:rPr>
          <w:rFonts w:ascii="Times New Roman" w:hAnsi="Times New Roman" w:cs="Times New Roman"/>
          <w:sz w:val="24"/>
          <w:szCs w:val="24"/>
          <w:lang w:val="en-US"/>
        </w:rPr>
        <w:t>Loans-to-deposit ratio</w:t>
      </w:r>
      <w:r w:rsidR="0094286D">
        <w:rPr>
          <w:rFonts w:ascii="Times New Roman" w:hAnsi="Times New Roman" w:cs="Times New Roman"/>
          <w:sz w:val="24"/>
          <w:szCs w:val="24"/>
          <w:lang w:val="en-US"/>
        </w:rPr>
        <w:t xml:space="preserve"> (LDR)</w:t>
      </w:r>
    </w:p>
    <w:p w14:paraId="45A0CDC6" w14:textId="6869255F" w:rsidR="00E450C0" w:rsidRPr="00E450C0" w:rsidRDefault="00E450C0" w:rsidP="00E450C0">
      <w:pPr>
        <w:rPr>
          <w:rFonts w:ascii="Times New Roman" w:hAnsi="Times New Roman" w:cs="Times New Roman"/>
          <w:i/>
          <w:iCs/>
          <w:sz w:val="24"/>
          <w:szCs w:val="24"/>
          <w:lang w:val="en-US"/>
        </w:rPr>
      </w:pPr>
      <w:r w:rsidRPr="00E450C0">
        <w:rPr>
          <w:rFonts w:ascii="Times New Roman" w:hAnsi="Times New Roman" w:cs="Times New Roman"/>
          <w:i/>
          <w:iCs/>
          <w:sz w:val="24"/>
          <w:szCs w:val="24"/>
          <w:lang w:val="en-US"/>
        </w:rPr>
        <w:t>Macroeconomic factors</w:t>
      </w:r>
    </w:p>
    <w:p w14:paraId="33A9249A" w14:textId="661AC131" w:rsidR="00E450C0" w:rsidRDefault="00E450C0" w:rsidP="00E450C0">
      <w:pPr>
        <w:rPr>
          <w:rFonts w:ascii="Times New Roman" w:hAnsi="Times New Roman" w:cs="Times New Roman"/>
          <w:sz w:val="24"/>
          <w:szCs w:val="24"/>
          <w:lang w:val="en-US"/>
        </w:rPr>
      </w:pPr>
      <w:r>
        <w:rPr>
          <w:rFonts w:ascii="Times New Roman" w:hAnsi="Times New Roman" w:cs="Times New Roman"/>
          <w:sz w:val="24"/>
          <w:szCs w:val="24"/>
          <w:lang w:val="en-US"/>
        </w:rPr>
        <w:t>Growth rate of real gross domestic product</w:t>
      </w:r>
      <w:r w:rsidR="0094286D">
        <w:rPr>
          <w:rFonts w:ascii="Times New Roman" w:hAnsi="Times New Roman" w:cs="Times New Roman"/>
          <w:sz w:val="24"/>
          <w:szCs w:val="24"/>
          <w:lang w:val="en-US"/>
        </w:rPr>
        <w:t xml:space="preserve"> (GRO)</w:t>
      </w:r>
    </w:p>
    <w:p w14:paraId="1EBB7849" w14:textId="5B87A0CC" w:rsidR="00E450C0" w:rsidRDefault="00E450C0" w:rsidP="00E450C0">
      <w:pPr>
        <w:rPr>
          <w:rFonts w:ascii="Times New Roman" w:hAnsi="Times New Roman" w:cs="Times New Roman"/>
          <w:sz w:val="24"/>
          <w:szCs w:val="24"/>
          <w:lang w:val="en-US"/>
        </w:rPr>
      </w:pPr>
      <w:r>
        <w:rPr>
          <w:rFonts w:ascii="Times New Roman" w:hAnsi="Times New Roman" w:cs="Times New Roman"/>
          <w:sz w:val="24"/>
          <w:szCs w:val="24"/>
          <w:lang w:val="en-US"/>
        </w:rPr>
        <w:t>Long-term interest rate</w:t>
      </w:r>
      <w:r w:rsidR="0094286D">
        <w:rPr>
          <w:rFonts w:ascii="Times New Roman" w:hAnsi="Times New Roman" w:cs="Times New Roman"/>
          <w:sz w:val="24"/>
          <w:szCs w:val="24"/>
          <w:lang w:val="en-US"/>
        </w:rPr>
        <w:t xml:space="preserve"> (LR)</w:t>
      </w:r>
    </w:p>
    <w:p w14:paraId="59C78F8A" w14:textId="00D613F6" w:rsidR="003D0D78" w:rsidRDefault="003D0D78" w:rsidP="00E450C0">
      <w:pPr>
        <w:rPr>
          <w:rFonts w:ascii="Times New Roman" w:hAnsi="Times New Roman" w:cs="Times New Roman"/>
          <w:sz w:val="24"/>
          <w:szCs w:val="24"/>
          <w:lang w:val="en-US"/>
        </w:rPr>
      </w:pPr>
      <w:r>
        <w:rPr>
          <w:rFonts w:ascii="Times New Roman" w:hAnsi="Times New Roman" w:cs="Times New Roman"/>
          <w:sz w:val="24"/>
          <w:szCs w:val="24"/>
          <w:lang w:val="en-US"/>
        </w:rPr>
        <w:t>Term structure of interest rates</w:t>
      </w:r>
      <w:r w:rsidR="0094286D">
        <w:rPr>
          <w:rFonts w:ascii="Times New Roman" w:hAnsi="Times New Roman" w:cs="Times New Roman"/>
          <w:sz w:val="24"/>
          <w:szCs w:val="24"/>
          <w:lang w:val="en-US"/>
        </w:rPr>
        <w:t xml:space="preserve"> (TSTR)</w:t>
      </w:r>
    </w:p>
    <w:p w14:paraId="4AE19AE4" w14:textId="10533FCA" w:rsidR="00686D37" w:rsidRDefault="00686D37" w:rsidP="0036021E">
      <w:pPr>
        <w:spacing w:after="240"/>
        <w:rPr>
          <w:rFonts w:ascii="Times New Roman" w:hAnsi="Times New Roman" w:cs="Times New Roman"/>
          <w:sz w:val="24"/>
          <w:szCs w:val="24"/>
          <w:lang w:val="en-US"/>
        </w:rPr>
      </w:pPr>
      <w:r>
        <w:rPr>
          <w:rFonts w:ascii="Times New Roman" w:hAnsi="Times New Roman" w:cs="Times New Roman"/>
          <w:sz w:val="24"/>
          <w:szCs w:val="24"/>
          <w:lang w:val="en-US"/>
        </w:rPr>
        <w:t>Unemployment Rate (U)</w:t>
      </w:r>
    </w:p>
    <w:p w14:paraId="4E45024B" w14:textId="02ED1A97" w:rsidR="003D0D78" w:rsidRDefault="00BE2749" w:rsidP="00E450C0">
      <w:pPr>
        <w:rPr>
          <w:rFonts w:ascii="Times New Roman" w:hAnsi="Times New Roman" w:cs="Times New Roman"/>
          <w:sz w:val="24"/>
          <w:szCs w:val="24"/>
          <w:lang w:val="en-US"/>
        </w:rPr>
      </w:pPr>
      <w:r>
        <w:rPr>
          <w:rFonts w:ascii="Times New Roman" w:hAnsi="Times New Roman" w:cs="Times New Roman"/>
          <w:sz w:val="24"/>
          <w:szCs w:val="24"/>
          <w:lang w:val="en-US"/>
        </w:rPr>
        <w:t>Based on the literature findings, t</w:t>
      </w:r>
      <w:r w:rsidR="008C52B8">
        <w:rPr>
          <w:rFonts w:ascii="Times New Roman" w:hAnsi="Times New Roman" w:cs="Times New Roman"/>
          <w:sz w:val="24"/>
          <w:szCs w:val="24"/>
          <w:lang w:val="en-US"/>
        </w:rPr>
        <w:t>he following hypotheses can be made.</w:t>
      </w:r>
    </w:p>
    <w:p w14:paraId="50977753" w14:textId="41F2D61F" w:rsidR="00E450C0" w:rsidRDefault="008C52B8" w:rsidP="00E450C0">
      <w:pPr>
        <w:rPr>
          <w:rFonts w:ascii="Times New Roman" w:hAnsi="Times New Roman" w:cs="Times New Roman"/>
          <w:sz w:val="24"/>
          <w:szCs w:val="24"/>
          <w:lang w:val="en-US"/>
        </w:rPr>
      </w:pPr>
      <w:r>
        <w:rPr>
          <w:rFonts w:ascii="Times New Roman" w:hAnsi="Times New Roman" w:cs="Times New Roman"/>
          <w:sz w:val="24"/>
          <w:szCs w:val="24"/>
          <w:lang w:val="en-US"/>
        </w:rPr>
        <w:t xml:space="preserve">H1: The larger a bank, the higher the willingness to take risks. Traditional small cooperative banks in Germany are largely focused on small-scale, low-risk lending. Their regional business model implies good knowledge of the borrowers’ financial standing. As bank sizes increase (due to mergers) this comparative advantage may fade and lending strategies </w:t>
      </w:r>
      <w:r w:rsidR="00B70BCD">
        <w:rPr>
          <w:rFonts w:ascii="Times New Roman" w:hAnsi="Times New Roman" w:cs="Times New Roman"/>
          <w:sz w:val="24"/>
          <w:szCs w:val="24"/>
          <w:lang w:val="en-US"/>
        </w:rPr>
        <w:t xml:space="preserve">may become more aggressive and willing to </w:t>
      </w:r>
      <w:r w:rsidR="009C53C6">
        <w:rPr>
          <w:rFonts w:ascii="Times New Roman" w:hAnsi="Times New Roman" w:cs="Times New Roman"/>
          <w:sz w:val="24"/>
          <w:szCs w:val="24"/>
          <w:lang w:val="en-US"/>
        </w:rPr>
        <w:t xml:space="preserve">accept </w:t>
      </w:r>
      <w:r w:rsidR="00B70BCD">
        <w:rPr>
          <w:rFonts w:ascii="Times New Roman" w:hAnsi="Times New Roman" w:cs="Times New Roman"/>
          <w:sz w:val="24"/>
          <w:szCs w:val="24"/>
          <w:lang w:val="en-US"/>
        </w:rPr>
        <w:t>greater risks. Consequently, value adjustments may increase. We thus expect a positive relationship between value adjustments and bank size</w:t>
      </w:r>
      <w:r w:rsidR="00105211">
        <w:rPr>
          <w:rFonts w:ascii="Times New Roman" w:hAnsi="Times New Roman" w:cs="Times New Roman"/>
          <w:sz w:val="24"/>
          <w:szCs w:val="24"/>
          <w:lang w:val="en-US"/>
        </w:rPr>
        <w:t>, although empirical evidence until now is mixed</w:t>
      </w:r>
      <w:r w:rsidR="00B70BCD">
        <w:rPr>
          <w:rFonts w:ascii="Times New Roman" w:hAnsi="Times New Roman" w:cs="Times New Roman"/>
          <w:sz w:val="24"/>
          <w:szCs w:val="24"/>
          <w:lang w:val="en-US"/>
        </w:rPr>
        <w:t>.</w:t>
      </w:r>
      <w:r w:rsidR="00A26D85">
        <w:rPr>
          <w:rFonts w:ascii="Times New Roman" w:hAnsi="Times New Roman" w:cs="Times New Roman"/>
          <w:sz w:val="24"/>
          <w:szCs w:val="24"/>
          <w:lang w:val="en-US"/>
        </w:rPr>
        <w:t xml:space="preserve"> (+)</w:t>
      </w:r>
    </w:p>
    <w:p w14:paraId="4126D279" w14:textId="0F1E15DD" w:rsidR="00B70BCD" w:rsidRDefault="00B70BCD" w:rsidP="00E450C0">
      <w:pPr>
        <w:rPr>
          <w:rFonts w:ascii="Times New Roman" w:hAnsi="Times New Roman" w:cs="Times New Roman"/>
          <w:sz w:val="24"/>
          <w:szCs w:val="24"/>
          <w:lang w:val="en-US"/>
        </w:rPr>
      </w:pPr>
      <w:r>
        <w:rPr>
          <w:rFonts w:ascii="Times New Roman" w:hAnsi="Times New Roman" w:cs="Times New Roman"/>
          <w:sz w:val="24"/>
          <w:szCs w:val="24"/>
          <w:lang w:val="en-US"/>
        </w:rPr>
        <w:t xml:space="preserve">H2: The higher the loans-to-deposit ratio, the more value adjustments can be expected. The business model of traditional German cooperative banks has always been driven largely by consumer deposits. This results in a loans-to-deposit ratio (LDR) below unity. Assuming that loans </w:t>
      </w:r>
      <w:r w:rsidR="00A26D85">
        <w:rPr>
          <w:rFonts w:ascii="Times New Roman" w:hAnsi="Times New Roman" w:cs="Times New Roman"/>
          <w:sz w:val="24"/>
          <w:szCs w:val="24"/>
          <w:lang w:val="en-US"/>
        </w:rPr>
        <w:t xml:space="preserve">specifically </w:t>
      </w:r>
      <w:r w:rsidR="009C53C6">
        <w:rPr>
          <w:rFonts w:ascii="Times New Roman" w:hAnsi="Times New Roman" w:cs="Times New Roman"/>
          <w:sz w:val="24"/>
          <w:szCs w:val="24"/>
          <w:lang w:val="en-US"/>
        </w:rPr>
        <w:t>entail</w:t>
      </w:r>
      <w:r>
        <w:rPr>
          <w:rFonts w:ascii="Times New Roman" w:hAnsi="Times New Roman" w:cs="Times New Roman"/>
          <w:sz w:val="24"/>
          <w:szCs w:val="24"/>
          <w:lang w:val="en-US"/>
        </w:rPr>
        <w:t xml:space="preserve"> more risk</w:t>
      </w:r>
      <w:r w:rsidR="009C53C6">
        <w:rPr>
          <w:rFonts w:ascii="Times New Roman" w:hAnsi="Times New Roman" w:cs="Times New Roman"/>
          <w:sz w:val="24"/>
          <w:szCs w:val="24"/>
          <w:lang w:val="en-US"/>
        </w:rPr>
        <w:t>s</w:t>
      </w:r>
      <w:r>
        <w:rPr>
          <w:rFonts w:ascii="Times New Roman" w:hAnsi="Times New Roman" w:cs="Times New Roman"/>
          <w:sz w:val="24"/>
          <w:szCs w:val="24"/>
          <w:lang w:val="en-US"/>
        </w:rPr>
        <w:t xml:space="preserve"> than deposits, a higher LDR will result in </w:t>
      </w:r>
      <w:r w:rsidR="009C53C6">
        <w:rPr>
          <w:rFonts w:ascii="Times New Roman" w:hAnsi="Times New Roman" w:cs="Times New Roman"/>
          <w:sz w:val="24"/>
          <w:szCs w:val="24"/>
          <w:lang w:val="en-US"/>
        </w:rPr>
        <w:t>increasing value adjustments.</w:t>
      </w:r>
      <w:r w:rsidR="00105211">
        <w:rPr>
          <w:rFonts w:ascii="Times New Roman" w:hAnsi="Times New Roman" w:cs="Times New Roman"/>
          <w:sz w:val="24"/>
          <w:szCs w:val="24"/>
          <w:lang w:val="en-US"/>
        </w:rPr>
        <w:t xml:space="preserve"> This is in accordance with the literature.</w:t>
      </w:r>
      <w:r w:rsidR="00A26D85">
        <w:rPr>
          <w:rFonts w:ascii="Times New Roman" w:hAnsi="Times New Roman" w:cs="Times New Roman"/>
          <w:sz w:val="24"/>
          <w:szCs w:val="24"/>
          <w:lang w:val="en-US"/>
        </w:rPr>
        <w:t xml:space="preserve"> (+)</w:t>
      </w:r>
    </w:p>
    <w:p w14:paraId="139FEF7D" w14:textId="0E9F1785" w:rsidR="009C53C6" w:rsidRDefault="009C53C6" w:rsidP="00E450C0">
      <w:pPr>
        <w:rPr>
          <w:rFonts w:ascii="Times New Roman" w:hAnsi="Times New Roman" w:cs="Times New Roman"/>
          <w:sz w:val="24"/>
          <w:szCs w:val="24"/>
          <w:lang w:val="en-US"/>
        </w:rPr>
      </w:pPr>
      <w:r>
        <w:rPr>
          <w:rFonts w:ascii="Times New Roman" w:hAnsi="Times New Roman" w:cs="Times New Roman"/>
          <w:sz w:val="24"/>
          <w:szCs w:val="24"/>
          <w:lang w:val="en-US"/>
        </w:rPr>
        <w:t>H3: The lower GDP growth rates, the higher value adjustments will be because of higher loan losses.</w:t>
      </w:r>
      <w:r w:rsidR="00A26D85">
        <w:rPr>
          <w:rFonts w:ascii="Times New Roman" w:hAnsi="Times New Roman" w:cs="Times New Roman"/>
          <w:sz w:val="24"/>
          <w:szCs w:val="24"/>
          <w:lang w:val="en-US"/>
        </w:rPr>
        <w:t xml:space="preserve"> (-)</w:t>
      </w:r>
    </w:p>
    <w:p w14:paraId="6B63BA50" w14:textId="3785B128" w:rsidR="009C53C6" w:rsidRDefault="009C53C6" w:rsidP="00E450C0">
      <w:pPr>
        <w:rPr>
          <w:rFonts w:ascii="Times New Roman" w:hAnsi="Times New Roman" w:cs="Times New Roman"/>
          <w:sz w:val="24"/>
          <w:szCs w:val="24"/>
          <w:lang w:val="en-US"/>
        </w:rPr>
      </w:pPr>
      <w:r>
        <w:rPr>
          <w:rFonts w:ascii="Times New Roman" w:hAnsi="Times New Roman" w:cs="Times New Roman"/>
          <w:sz w:val="24"/>
          <w:szCs w:val="24"/>
          <w:lang w:val="en-US"/>
        </w:rPr>
        <w:t xml:space="preserve">H4: As the long-term interest rate </w:t>
      </w:r>
      <w:r w:rsidR="00143A0D">
        <w:rPr>
          <w:rFonts w:ascii="Times New Roman" w:hAnsi="Times New Roman" w:cs="Times New Roman"/>
          <w:sz w:val="24"/>
          <w:szCs w:val="24"/>
          <w:lang w:val="en-US"/>
        </w:rPr>
        <w:t xml:space="preserve">(LR) </w:t>
      </w:r>
      <w:r>
        <w:rPr>
          <w:rFonts w:ascii="Times New Roman" w:hAnsi="Times New Roman" w:cs="Times New Roman"/>
          <w:sz w:val="24"/>
          <w:szCs w:val="24"/>
          <w:lang w:val="en-US"/>
        </w:rPr>
        <w:t xml:space="preserve">may be interpreted as an overall economic risk indicator, it may thus be related to value adjustments directly. Higher interest rates may imply higher value adjustments. Even if long-term rates are </w:t>
      </w:r>
      <w:r w:rsidR="006840B0">
        <w:rPr>
          <w:rFonts w:ascii="Times New Roman" w:hAnsi="Times New Roman" w:cs="Times New Roman"/>
          <w:sz w:val="24"/>
          <w:szCs w:val="24"/>
          <w:lang w:val="en-US"/>
        </w:rPr>
        <w:t xml:space="preserve">primarily </w:t>
      </w:r>
      <w:r>
        <w:rPr>
          <w:rFonts w:ascii="Times New Roman" w:hAnsi="Times New Roman" w:cs="Times New Roman"/>
          <w:sz w:val="24"/>
          <w:szCs w:val="24"/>
          <w:lang w:val="en-US"/>
        </w:rPr>
        <w:t>driven by the Central Banks’ monetary policy</w:t>
      </w:r>
      <w:r w:rsidR="006840B0">
        <w:rPr>
          <w:rFonts w:ascii="Times New Roman" w:hAnsi="Times New Roman" w:cs="Times New Roman"/>
          <w:sz w:val="24"/>
          <w:szCs w:val="24"/>
          <w:lang w:val="en-US"/>
        </w:rPr>
        <w:t xml:space="preserve">, lower rates imply less tight monetary conditions </w:t>
      </w:r>
      <w:r w:rsidR="002230B8">
        <w:rPr>
          <w:rFonts w:ascii="Times New Roman" w:hAnsi="Times New Roman" w:cs="Times New Roman"/>
          <w:sz w:val="24"/>
          <w:szCs w:val="24"/>
          <w:lang w:val="en-US"/>
        </w:rPr>
        <w:t>a</w:t>
      </w:r>
      <w:r w:rsidR="006840B0">
        <w:rPr>
          <w:rFonts w:ascii="Times New Roman" w:hAnsi="Times New Roman" w:cs="Times New Roman"/>
          <w:sz w:val="24"/>
          <w:szCs w:val="24"/>
          <w:lang w:val="en-US"/>
        </w:rPr>
        <w:t xml:space="preserve">nd thus lower risks of loan </w:t>
      </w:r>
      <w:r w:rsidR="006840B0">
        <w:rPr>
          <w:rFonts w:ascii="Times New Roman" w:hAnsi="Times New Roman" w:cs="Times New Roman"/>
          <w:sz w:val="24"/>
          <w:szCs w:val="24"/>
          <w:lang w:val="en-US"/>
        </w:rPr>
        <w:lastRenderedPageBreak/>
        <w:t>defaults. The relationship between long-term rates and value adjustments should thus be positive.</w:t>
      </w:r>
      <w:r w:rsidR="00A26D85">
        <w:rPr>
          <w:rFonts w:ascii="Times New Roman" w:hAnsi="Times New Roman" w:cs="Times New Roman"/>
          <w:sz w:val="24"/>
          <w:szCs w:val="24"/>
          <w:lang w:val="en-US"/>
        </w:rPr>
        <w:t xml:space="preserve"> (+)</w:t>
      </w:r>
    </w:p>
    <w:p w14:paraId="084B7380" w14:textId="6D8F50F4" w:rsidR="006840B0" w:rsidRDefault="006840B0" w:rsidP="00E450C0">
      <w:pPr>
        <w:rPr>
          <w:rFonts w:ascii="Times New Roman" w:hAnsi="Times New Roman" w:cs="Times New Roman"/>
          <w:sz w:val="24"/>
          <w:szCs w:val="24"/>
          <w:lang w:val="en-US"/>
        </w:rPr>
      </w:pPr>
      <w:r>
        <w:rPr>
          <w:rFonts w:ascii="Times New Roman" w:hAnsi="Times New Roman" w:cs="Times New Roman"/>
          <w:sz w:val="24"/>
          <w:szCs w:val="24"/>
          <w:lang w:val="en-US"/>
        </w:rPr>
        <w:t xml:space="preserve">H5: The term structure of interest rates </w:t>
      </w:r>
      <w:r w:rsidR="00A26D85">
        <w:rPr>
          <w:rFonts w:ascii="Times New Roman" w:hAnsi="Times New Roman" w:cs="Times New Roman"/>
          <w:sz w:val="24"/>
          <w:szCs w:val="24"/>
          <w:lang w:val="en-US"/>
        </w:rPr>
        <w:t>(</w:t>
      </w:r>
      <w:r w:rsidR="002230B8">
        <w:rPr>
          <w:rFonts w:ascii="Times New Roman" w:hAnsi="Times New Roman" w:cs="Times New Roman"/>
          <w:sz w:val="24"/>
          <w:szCs w:val="24"/>
          <w:lang w:val="en-US"/>
        </w:rPr>
        <w:t xml:space="preserve">long-term rate minus short-term rate, </w:t>
      </w:r>
      <w:r w:rsidR="00A26D85">
        <w:rPr>
          <w:rFonts w:ascii="Times New Roman" w:hAnsi="Times New Roman" w:cs="Times New Roman"/>
          <w:sz w:val="24"/>
          <w:szCs w:val="24"/>
          <w:lang w:val="en-US"/>
        </w:rPr>
        <w:t xml:space="preserve">TSTR) </w:t>
      </w:r>
      <w:r>
        <w:rPr>
          <w:rFonts w:ascii="Times New Roman" w:hAnsi="Times New Roman" w:cs="Times New Roman"/>
          <w:sz w:val="24"/>
          <w:szCs w:val="24"/>
          <w:lang w:val="en-US"/>
        </w:rPr>
        <w:t xml:space="preserve">is an indicator for short-term monetary policy conditions. </w:t>
      </w:r>
      <w:r w:rsidR="00A26D85">
        <w:rPr>
          <w:rFonts w:ascii="Times New Roman" w:hAnsi="Times New Roman" w:cs="Times New Roman"/>
          <w:sz w:val="24"/>
          <w:szCs w:val="24"/>
          <w:lang w:val="en-US"/>
        </w:rPr>
        <w:t xml:space="preserve">If the term structure gets inverse (short rates &gt; long rates), this indicates </w:t>
      </w:r>
      <w:r w:rsidR="002230B8">
        <w:rPr>
          <w:rFonts w:ascii="Times New Roman" w:hAnsi="Times New Roman" w:cs="Times New Roman"/>
          <w:sz w:val="24"/>
          <w:szCs w:val="24"/>
          <w:lang w:val="en-US"/>
        </w:rPr>
        <w:t xml:space="preserve">a </w:t>
      </w:r>
      <w:r w:rsidR="00A26D85">
        <w:rPr>
          <w:rFonts w:ascii="Times New Roman" w:hAnsi="Times New Roman" w:cs="Times New Roman"/>
          <w:sz w:val="24"/>
          <w:szCs w:val="24"/>
          <w:lang w:val="en-US"/>
        </w:rPr>
        <w:t xml:space="preserve">restrictive monetary policy and thus </w:t>
      </w:r>
      <w:r w:rsidR="002230B8">
        <w:rPr>
          <w:rFonts w:ascii="Times New Roman" w:hAnsi="Times New Roman" w:cs="Times New Roman"/>
          <w:sz w:val="24"/>
          <w:szCs w:val="24"/>
          <w:lang w:val="en-US"/>
        </w:rPr>
        <w:t>the</w:t>
      </w:r>
      <w:r w:rsidR="00A26D85">
        <w:rPr>
          <w:rFonts w:ascii="Times New Roman" w:hAnsi="Times New Roman" w:cs="Times New Roman"/>
          <w:sz w:val="24"/>
          <w:szCs w:val="24"/>
          <w:lang w:val="en-US"/>
        </w:rPr>
        <w:t xml:space="preserve"> risk for the economy to slide into recession increases. In this case, higher value adjustments can be expected. (</w:t>
      </w:r>
      <w:r w:rsidR="002230B8">
        <w:rPr>
          <w:rFonts w:ascii="Times New Roman" w:hAnsi="Times New Roman" w:cs="Times New Roman"/>
          <w:sz w:val="24"/>
          <w:szCs w:val="24"/>
          <w:lang w:val="en-US"/>
        </w:rPr>
        <w:t>-</w:t>
      </w:r>
      <w:r w:rsidR="00A26D85">
        <w:rPr>
          <w:rFonts w:ascii="Times New Roman" w:hAnsi="Times New Roman" w:cs="Times New Roman"/>
          <w:sz w:val="24"/>
          <w:szCs w:val="24"/>
          <w:lang w:val="en-US"/>
        </w:rPr>
        <w:t>)</w:t>
      </w:r>
    </w:p>
    <w:p w14:paraId="135965D8" w14:textId="7DB8C9F5" w:rsidR="00811D47" w:rsidRDefault="00811D47" w:rsidP="00E450C0">
      <w:pPr>
        <w:rPr>
          <w:rFonts w:ascii="Times New Roman" w:hAnsi="Times New Roman" w:cs="Times New Roman"/>
          <w:sz w:val="24"/>
          <w:szCs w:val="24"/>
          <w:lang w:val="en-US"/>
        </w:rPr>
      </w:pPr>
      <w:r>
        <w:rPr>
          <w:rFonts w:ascii="Times New Roman" w:hAnsi="Times New Roman" w:cs="Times New Roman"/>
          <w:sz w:val="24"/>
          <w:szCs w:val="24"/>
          <w:lang w:val="en-US"/>
        </w:rPr>
        <w:t>H6: The higher the unemployment rate</w:t>
      </w:r>
      <w:r w:rsidR="00DE3C62">
        <w:rPr>
          <w:rFonts w:ascii="Times New Roman" w:hAnsi="Times New Roman" w:cs="Times New Roman"/>
          <w:sz w:val="24"/>
          <w:szCs w:val="24"/>
          <w:lang w:val="en-US"/>
        </w:rPr>
        <w:t xml:space="preserve"> (U)</w:t>
      </w:r>
      <w:r>
        <w:rPr>
          <w:rFonts w:ascii="Times New Roman" w:hAnsi="Times New Roman" w:cs="Times New Roman"/>
          <w:sz w:val="24"/>
          <w:szCs w:val="24"/>
          <w:lang w:val="en-US"/>
        </w:rPr>
        <w:t>, the more impairments and write-downs can be expected. (+)</w:t>
      </w:r>
    </w:p>
    <w:p w14:paraId="2096008B" w14:textId="4AC68156" w:rsidR="003B30C8" w:rsidRDefault="003B30C8" w:rsidP="00E450C0">
      <w:pPr>
        <w:rPr>
          <w:rFonts w:ascii="Times New Roman" w:hAnsi="Times New Roman" w:cs="Times New Roman"/>
          <w:sz w:val="24"/>
          <w:szCs w:val="24"/>
          <w:lang w:val="en-US"/>
        </w:rPr>
      </w:pPr>
      <w:r>
        <w:rPr>
          <w:rFonts w:ascii="Times New Roman" w:hAnsi="Times New Roman" w:cs="Times New Roman"/>
          <w:sz w:val="24"/>
          <w:szCs w:val="24"/>
          <w:lang w:val="en-US"/>
        </w:rPr>
        <w:t>In our study, the dependent variable is the overall value adjustment (loans, securities) of German cooperative banks which is reported on an annual basis by the German Bundesbank. The official term is “result from the valuation of assets”</w:t>
      </w:r>
      <w:r w:rsidR="003930F9">
        <w:rPr>
          <w:rFonts w:ascii="Times New Roman" w:hAnsi="Times New Roman" w:cs="Times New Roman"/>
          <w:sz w:val="24"/>
          <w:szCs w:val="24"/>
          <w:lang w:val="en-US"/>
        </w:rPr>
        <w:t>. Figure 1 displays a time series for the German cooperative banking sector from 1993 to 2022 (n = 30).</w:t>
      </w:r>
      <w:r w:rsidR="00C93CF2">
        <w:rPr>
          <w:rFonts w:ascii="Times New Roman" w:hAnsi="Times New Roman" w:cs="Times New Roman"/>
          <w:sz w:val="24"/>
          <w:szCs w:val="24"/>
          <w:lang w:val="en-US"/>
        </w:rPr>
        <w:t xml:space="preserve"> Positive values indicate write-downs, i.e. losses from revaluation.</w:t>
      </w:r>
    </w:p>
    <w:p w14:paraId="7E456C93" w14:textId="77777777" w:rsidR="003B30C8" w:rsidRDefault="003B30C8" w:rsidP="00E450C0">
      <w:pPr>
        <w:rPr>
          <w:rFonts w:ascii="Times New Roman" w:hAnsi="Times New Roman" w:cs="Times New Roman"/>
          <w:sz w:val="24"/>
          <w:szCs w:val="24"/>
          <w:lang w:val="en-US"/>
        </w:rPr>
      </w:pPr>
    </w:p>
    <w:p w14:paraId="2B5A1D16" w14:textId="18759E09" w:rsidR="003B30C8" w:rsidRDefault="003B30C8" w:rsidP="00E450C0">
      <w:pPr>
        <w:rPr>
          <w:rFonts w:ascii="Times New Roman" w:hAnsi="Times New Roman" w:cs="Times New Roman"/>
          <w:sz w:val="24"/>
          <w:szCs w:val="24"/>
          <w:lang w:val="en-US"/>
        </w:rPr>
      </w:pPr>
      <w:r>
        <w:rPr>
          <w:rFonts w:ascii="Times New Roman" w:hAnsi="Times New Roman" w:cs="Times New Roman"/>
          <w:sz w:val="24"/>
          <w:szCs w:val="24"/>
          <w:lang w:val="en-US"/>
        </w:rPr>
        <w:t xml:space="preserve">Figure 1: </w:t>
      </w:r>
      <w:r w:rsidR="00C93CF2">
        <w:rPr>
          <w:rFonts w:ascii="Times New Roman" w:hAnsi="Times New Roman" w:cs="Times New Roman"/>
          <w:sz w:val="24"/>
          <w:szCs w:val="24"/>
          <w:lang w:val="en-US"/>
        </w:rPr>
        <w:t xml:space="preserve">Asset </w:t>
      </w:r>
      <w:r w:rsidR="00CC26EA">
        <w:rPr>
          <w:rFonts w:ascii="Times New Roman" w:hAnsi="Times New Roman" w:cs="Times New Roman"/>
          <w:sz w:val="24"/>
          <w:szCs w:val="24"/>
          <w:lang w:val="en-US"/>
        </w:rPr>
        <w:t xml:space="preserve">Valuation </w:t>
      </w:r>
      <w:r w:rsidR="00C93CF2">
        <w:rPr>
          <w:rFonts w:ascii="Times New Roman" w:hAnsi="Times New Roman" w:cs="Times New Roman"/>
          <w:sz w:val="24"/>
          <w:szCs w:val="24"/>
          <w:lang w:val="en-US"/>
        </w:rPr>
        <w:t>Adjustments</w:t>
      </w:r>
      <w:r w:rsidR="00CC26EA">
        <w:rPr>
          <w:rFonts w:ascii="Times New Roman" w:hAnsi="Times New Roman" w:cs="Times New Roman"/>
          <w:sz w:val="24"/>
          <w:szCs w:val="24"/>
          <w:lang w:val="en-US"/>
        </w:rPr>
        <w:t xml:space="preserve"> – Cooperative Banking Sector Germany</w:t>
      </w:r>
    </w:p>
    <w:p w14:paraId="75D96117" w14:textId="68A5A6CD" w:rsidR="00E450C0" w:rsidRDefault="00DE3C62" w:rsidP="003927EC">
      <w:pPr>
        <w:jc w:val="center"/>
        <w:rPr>
          <w:rFonts w:ascii="Times New Roman" w:hAnsi="Times New Roman" w:cs="Times New Roman"/>
          <w:sz w:val="24"/>
          <w:szCs w:val="24"/>
          <w:lang w:val="en-US"/>
        </w:rPr>
      </w:pPr>
      <w:r>
        <w:object w:dxaOrig="8511" w:dyaOrig="5200" w14:anchorId="479CE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35pt;height:259.9pt" o:ole="">
            <v:imagedata r:id="rId7" o:title=""/>
          </v:shape>
          <o:OLEObject Type="Embed" ProgID="EViews.Workfile.2" ShapeID="_x0000_i1025" DrawAspect="Content" ObjectID="_1770146732" r:id="rId8"/>
        </w:object>
      </w:r>
    </w:p>
    <w:p w14:paraId="40D6BACA" w14:textId="77777777" w:rsidR="00E450C0" w:rsidRDefault="00E450C0" w:rsidP="00E450C0">
      <w:pPr>
        <w:rPr>
          <w:rFonts w:ascii="Times New Roman" w:hAnsi="Times New Roman" w:cs="Times New Roman"/>
          <w:sz w:val="24"/>
          <w:szCs w:val="24"/>
          <w:lang w:val="en-US"/>
        </w:rPr>
      </w:pPr>
    </w:p>
    <w:p w14:paraId="4998B7B1" w14:textId="77777777" w:rsidR="00CC26EA" w:rsidRDefault="00CC26EA" w:rsidP="00E450C0">
      <w:pPr>
        <w:rPr>
          <w:rFonts w:ascii="Times New Roman" w:hAnsi="Times New Roman" w:cs="Times New Roman"/>
          <w:sz w:val="24"/>
          <w:szCs w:val="24"/>
          <w:lang w:val="en-US"/>
        </w:rPr>
      </w:pPr>
    </w:p>
    <w:p w14:paraId="0F9A0428" w14:textId="4B831F87" w:rsidR="00CC26EA" w:rsidRDefault="00CC26EA" w:rsidP="00E450C0">
      <w:pPr>
        <w:rPr>
          <w:rFonts w:ascii="Times New Roman" w:hAnsi="Times New Roman" w:cs="Times New Roman"/>
          <w:sz w:val="24"/>
          <w:szCs w:val="24"/>
          <w:lang w:val="en-US"/>
        </w:rPr>
      </w:pPr>
      <w:r>
        <w:rPr>
          <w:rFonts w:ascii="Times New Roman" w:hAnsi="Times New Roman" w:cs="Times New Roman"/>
          <w:sz w:val="24"/>
          <w:szCs w:val="24"/>
          <w:lang w:val="en-US"/>
        </w:rPr>
        <w:t>Between 1993 and 2006 German cooperative banks faced rather high value corrections</w:t>
      </w:r>
      <w:r w:rsidR="00DE3C62">
        <w:rPr>
          <w:rFonts w:ascii="Times New Roman" w:hAnsi="Times New Roman" w:cs="Times New Roman"/>
          <w:sz w:val="24"/>
          <w:szCs w:val="24"/>
          <w:lang w:val="en-US"/>
        </w:rPr>
        <w:t>.</w:t>
      </w:r>
      <w:r w:rsidR="003927EC">
        <w:rPr>
          <w:rFonts w:ascii="Times New Roman" w:hAnsi="Times New Roman" w:cs="Times New Roman"/>
          <w:sz w:val="24"/>
          <w:szCs w:val="24"/>
          <w:lang w:val="en-US"/>
        </w:rPr>
        <w:t xml:space="preserve"> Since the mid-2000s, the situation improved. Surprisingly, the financial cris</w:t>
      </w:r>
      <w:r w:rsidR="002230B8">
        <w:rPr>
          <w:rFonts w:ascii="Times New Roman" w:hAnsi="Times New Roman" w:cs="Times New Roman"/>
          <w:sz w:val="24"/>
          <w:szCs w:val="24"/>
          <w:lang w:val="en-US"/>
        </w:rPr>
        <w:t>i</w:t>
      </w:r>
      <w:r w:rsidR="003927EC">
        <w:rPr>
          <w:rFonts w:ascii="Times New Roman" w:hAnsi="Times New Roman" w:cs="Times New Roman"/>
          <w:sz w:val="24"/>
          <w:szCs w:val="24"/>
          <w:lang w:val="en-US"/>
        </w:rPr>
        <w:t xml:space="preserve">s and the great recession (2007 – 2010) did not affect German credit cooperatives negatively. Since the 2010s </w:t>
      </w:r>
      <w:r w:rsidR="00066BE1">
        <w:rPr>
          <w:rFonts w:ascii="Times New Roman" w:hAnsi="Times New Roman" w:cs="Times New Roman"/>
          <w:sz w:val="24"/>
          <w:szCs w:val="24"/>
          <w:lang w:val="en-US"/>
        </w:rPr>
        <w:t>only very little</w:t>
      </w:r>
      <w:r w:rsidR="003927EC">
        <w:rPr>
          <w:rFonts w:ascii="Times New Roman" w:hAnsi="Times New Roman" w:cs="Times New Roman"/>
          <w:sz w:val="24"/>
          <w:szCs w:val="24"/>
          <w:lang w:val="en-US"/>
        </w:rPr>
        <w:t xml:space="preserve"> write-offs were recorded, with the exception of 2022, when the pandemic-related losses manifested.</w:t>
      </w:r>
    </w:p>
    <w:p w14:paraId="2C851AE1" w14:textId="59BA08FF" w:rsidR="0056579E" w:rsidRPr="003B3F99" w:rsidRDefault="0056579E" w:rsidP="0056579E">
      <w:pPr>
        <w:pStyle w:val="Listenabsatz"/>
        <w:numPr>
          <w:ilvl w:val="1"/>
          <w:numId w:val="1"/>
        </w:numPr>
        <w:rPr>
          <w:rFonts w:ascii="Times New Roman" w:hAnsi="Times New Roman" w:cs="Times New Roman"/>
          <w:b/>
          <w:bCs/>
          <w:sz w:val="24"/>
          <w:szCs w:val="24"/>
          <w:lang w:val="en-US"/>
        </w:rPr>
      </w:pPr>
      <w:r w:rsidRPr="003B3F99">
        <w:rPr>
          <w:rFonts w:ascii="Times New Roman" w:hAnsi="Times New Roman" w:cs="Times New Roman"/>
          <w:b/>
          <w:bCs/>
          <w:sz w:val="24"/>
          <w:szCs w:val="24"/>
          <w:lang w:val="en-US"/>
        </w:rPr>
        <w:lastRenderedPageBreak/>
        <w:t xml:space="preserve"> Bivariate Correlations</w:t>
      </w:r>
    </w:p>
    <w:p w14:paraId="3CC21602" w14:textId="77777777" w:rsidR="003B3F99" w:rsidRDefault="00066BE1" w:rsidP="00066BE1">
      <w:pPr>
        <w:rPr>
          <w:rFonts w:ascii="Times New Roman" w:hAnsi="Times New Roman" w:cs="Times New Roman"/>
          <w:sz w:val="24"/>
          <w:szCs w:val="24"/>
          <w:lang w:val="en-US"/>
        </w:rPr>
      </w:pPr>
      <w:r>
        <w:rPr>
          <w:rFonts w:ascii="Times New Roman" w:hAnsi="Times New Roman" w:cs="Times New Roman"/>
          <w:sz w:val="24"/>
          <w:szCs w:val="24"/>
          <w:lang w:val="en-US"/>
        </w:rPr>
        <w:t xml:space="preserve">Next simple bivariate correlations are </w:t>
      </w:r>
      <w:r w:rsidR="003B3F99">
        <w:rPr>
          <w:rFonts w:ascii="Times New Roman" w:hAnsi="Times New Roman" w:cs="Times New Roman"/>
          <w:sz w:val="24"/>
          <w:szCs w:val="24"/>
          <w:lang w:val="en-US"/>
        </w:rPr>
        <w:t>computed</w:t>
      </w:r>
      <w:r>
        <w:rPr>
          <w:rFonts w:ascii="Times New Roman" w:hAnsi="Times New Roman" w:cs="Times New Roman"/>
          <w:sz w:val="24"/>
          <w:szCs w:val="24"/>
          <w:lang w:val="en-US"/>
        </w:rPr>
        <w:t xml:space="preserve"> in order</w:t>
      </w:r>
      <w:r w:rsidR="003B3F99">
        <w:rPr>
          <w:rFonts w:ascii="Times New Roman" w:hAnsi="Times New Roman" w:cs="Times New Roman"/>
          <w:sz w:val="24"/>
          <w:szCs w:val="24"/>
          <w:lang w:val="en-US"/>
        </w:rPr>
        <w:t xml:space="preserve"> to check whether the hypotheses are rejected on the basis of a simple test, without taking into account the time series properties of the six series.</w:t>
      </w:r>
    </w:p>
    <w:p w14:paraId="56348F99" w14:textId="6076C99E" w:rsidR="00585B41" w:rsidRDefault="00585B41" w:rsidP="00066BE1">
      <w:pPr>
        <w:rPr>
          <w:rFonts w:ascii="Times New Roman" w:hAnsi="Times New Roman" w:cs="Times New Roman"/>
          <w:sz w:val="24"/>
          <w:szCs w:val="24"/>
          <w:lang w:val="en-US"/>
        </w:rPr>
      </w:pPr>
      <w:r>
        <w:rPr>
          <w:rFonts w:ascii="Times New Roman" w:hAnsi="Times New Roman" w:cs="Times New Roman"/>
          <w:sz w:val="24"/>
          <w:szCs w:val="24"/>
          <w:lang w:val="en-US"/>
        </w:rPr>
        <w:t>Table 1 shows the correlation coefficients and the corresponding t-statistics</w:t>
      </w:r>
      <w:r w:rsidR="00FD3E49">
        <w:rPr>
          <w:rFonts w:ascii="Times New Roman" w:hAnsi="Times New Roman" w:cs="Times New Roman"/>
          <w:sz w:val="24"/>
          <w:szCs w:val="24"/>
          <w:lang w:val="en-US"/>
        </w:rPr>
        <w:t>.</w:t>
      </w:r>
    </w:p>
    <w:p w14:paraId="15AE4014" w14:textId="77777777" w:rsidR="0036021E" w:rsidRDefault="0036021E" w:rsidP="0036021E">
      <w:pPr>
        <w:spacing w:after="60"/>
        <w:jc w:val="center"/>
        <w:rPr>
          <w:rFonts w:ascii="Times New Roman" w:hAnsi="Times New Roman" w:cs="Times New Roman"/>
          <w:sz w:val="24"/>
          <w:szCs w:val="24"/>
          <w:lang w:val="en-US"/>
        </w:rPr>
      </w:pPr>
    </w:p>
    <w:p w14:paraId="3A8608C2" w14:textId="0867EAFA" w:rsidR="00EA2B72" w:rsidRDefault="00FD3E49" w:rsidP="0036021E">
      <w:pPr>
        <w:spacing w:after="60"/>
        <w:jc w:val="center"/>
        <w:rPr>
          <w:rFonts w:ascii="Times New Roman" w:hAnsi="Times New Roman" w:cs="Times New Roman"/>
          <w:sz w:val="24"/>
          <w:szCs w:val="24"/>
          <w:lang w:val="en-US"/>
        </w:rPr>
      </w:pPr>
      <w:r>
        <w:rPr>
          <w:rFonts w:ascii="Times New Roman" w:hAnsi="Times New Roman" w:cs="Times New Roman"/>
          <w:sz w:val="24"/>
          <w:szCs w:val="24"/>
          <w:lang w:val="en-US"/>
        </w:rPr>
        <w:t>Table 1: Bivariate Correlation Coefficients</w:t>
      </w:r>
    </w:p>
    <w:p w14:paraId="12CD6A19" w14:textId="5D653E53" w:rsidR="00EA2B72" w:rsidRDefault="00DE3C62" w:rsidP="00066BE1">
      <w:pPr>
        <w:rPr>
          <w:rFonts w:ascii="Times New Roman" w:hAnsi="Times New Roman" w:cs="Times New Roman"/>
          <w:sz w:val="24"/>
          <w:szCs w:val="24"/>
          <w:lang w:val="en-US"/>
        </w:rPr>
      </w:pPr>
      <w:r w:rsidRPr="00DE3C62">
        <w:rPr>
          <w:noProof/>
        </w:rPr>
        <w:drawing>
          <wp:inline distT="0" distB="0" distL="0" distR="0" wp14:anchorId="7D1C5ED6" wp14:editId="394EF071">
            <wp:extent cx="5760720" cy="3002915"/>
            <wp:effectExtent l="0" t="0" r="0" b="6985"/>
            <wp:docPr id="141400369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002915"/>
                    </a:xfrm>
                    <a:prstGeom prst="rect">
                      <a:avLst/>
                    </a:prstGeom>
                    <a:noFill/>
                    <a:ln>
                      <a:noFill/>
                    </a:ln>
                  </pic:spPr>
                </pic:pic>
              </a:graphicData>
            </a:graphic>
          </wp:inline>
        </w:drawing>
      </w:r>
    </w:p>
    <w:p w14:paraId="5CACC644" w14:textId="233363A2" w:rsidR="00EA2B72" w:rsidRDefault="00EA2B72" w:rsidP="00C93CF2">
      <w:pPr>
        <w:spacing w:before="240"/>
        <w:rPr>
          <w:rFonts w:ascii="Times New Roman" w:hAnsi="Times New Roman" w:cs="Times New Roman"/>
          <w:sz w:val="24"/>
          <w:szCs w:val="24"/>
          <w:lang w:val="en-US"/>
        </w:rPr>
      </w:pPr>
      <w:r>
        <w:rPr>
          <w:rFonts w:ascii="Times New Roman" w:hAnsi="Times New Roman" w:cs="Times New Roman"/>
          <w:sz w:val="24"/>
          <w:szCs w:val="24"/>
          <w:lang w:val="en-US"/>
        </w:rPr>
        <w:t xml:space="preserve">The bank size variable (AVTOTASS) is significant but </w:t>
      </w:r>
      <w:r w:rsidR="0036021E">
        <w:rPr>
          <w:rFonts w:ascii="Times New Roman" w:hAnsi="Times New Roman" w:cs="Times New Roman"/>
          <w:sz w:val="24"/>
          <w:szCs w:val="24"/>
          <w:lang w:val="en-US"/>
        </w:rPr>
        <w:t xml:space="preserve">seemingly </w:t>
      </w:r>
      <w:r>
        <w:rPr>
          <w:rFonts w:ascii="Times New Roman" w:hAnsi="Times New Roman" w:cs="Times New Roman"/>
          <w:sz w:val="24"/>
          <w:szCs w:val="24"/>
          <w:lang w:val="en-US"/>
        </w:rPr>
        <w:t xml:space="preserve">has the wrong sign. The </w:t>
      </w:r>
      <w:r w:rsidR="00E23379">
        <w:rPr>
          <w:rFonts w:ascii="Times New Roman" w:hAnsi="Times New Roman" w:cs="Times New Roman"/>
          <w:sz w:val="24"/>
          <w:szCs w:val="24"/>
          <w:lang w:val="en-US"/>
        </w:rPr>
        <w:t>bigger</w:t>
      </w:r>
      <w:r>
        <w:rPr>
          <w:rFonts w:ascii="Times New Roman" w:hAnsi="Times New Roman" w:cs="Times New Roman"/>
          <w:sz w:val="24"/>
          <w:szCs w:val="24"/>
          <w:lang w:val="en-US"/>
        </w:rPr>
        <w:t xml:space="preserve"> the average bank, the better the results from valuation adjustments. Long-term interest rates, however, show the predicted sign. The </w:t>
      </w:r>
      <w:r w:rsidR="00DE3C62">
        <w:rPr>
          <w:rFonts w:ascii="Times New Roman" w:hAnsi="Times New Roman" w:cs="Times New Roman"/>
          <w:sz w:val="24"/>
          <w:szCs w:val="24"/>
          <w:lang w:val="en-US"/>
        </w:rPr>
        <w:t>higher</w:t>
      </w:r>
      <w:r>
        <w:rPr>
          <w:rFonts w:ascii="Times New Roman" w:hAnsi="Times New Roman" w:cs="Times New Roman"/>
          <w:sz w:val="24"/>
          <w:szCs w:val="24"/>
          <w:lang w:val="en-US"/>
        </w:rPr>
        <w:t xml:space="preserve"> interest rates, the </w:t>
      </w:r>
      <w:r w:rsidR="00DE3C62">
        <w:rPr>
          <w:rFonts w:ascii="Times New Roman" w:hAnsi="Times New Roman" w:cs="Times New Roman"/>
          <w:sz w:val="24"/>
          <w:szCs w:val="24"/>
          <w:lang w:val="en-US"/>
        </w:rPr>
        <w:t>higher</w:t>
      </w:r>
      <w:r>
        <w:rPr>
          <w:rFonts w:ascii="Times New Roman" w:hAnsi="Times New Roman" w:cs="Times New Roman"/>
          <w:sz w:val="24"/>
          <w:szCs w:val="24"/>
          <w:lang w:val="en-US"/>
        </w:rPr>
        <w:t xml:space="preserve"> the valuation result. </w:t>
      </w:r>
      <w:r w:rsidR="00DE3C62">
        <w:rPr>
          <w:rFonts w:ascii="Times New Roman" w:hAnsi="Times New Roman" w:cs="Times New Roman"/>
          <w:sz w:val="24"/>
          <w:szCs w:val="24"/>
          <w:lang w:val="en-US"/>
        </w:rPr>
        <w:t xml:space="preserve">The same applies to the unemployment rate. </w:t>
      </w:r>
      <w:r>
        <w:rPr>
          <w:rFonts w:ascii="Times New Roman" w:hAnsi="Times New Roman" w:cs="Times New Roman"/>
          <w:sz w:val="24"/>
          <w:szCs w:val="24"/>
          <w:lang w:val="en-US"/>
        </w:rPr>
        <w:t>All other variables are insignificant.</w:t>
      </w:r>
      <w:r w:rsidR="00E23379">
        <w:rPr>
          <w:rFonts w:ascii="Times New Roman" w:hAnsi="Times New Roman" w:cs="Times New Roman"/>
          <w:sz w:val="24"/>
          <w:szCs w:val="24"/>
          <w:lang w:val="en-US"/>
        </w:rPr>
        <w:t xml:space="preserve"> </w:t>
      </w:r>
    </w:p>
    <w:p w14:paraId="519F0AB9" w14:textId="2FE07109" w:rsidR="00E23379" w:rsidRDefault="00E23379" w:rsidP="00066BE1">
      <w:pPr>
        <w:rPr>
          <w:rFonts w:ascii="Times New Roman" w:hAnsi="Times New Roman" w:cs="Times New Roman"/>
          <w:sz w:val="24"/>
          <w:szCs w:val="24"/>
          <w:lang w:val="en-US"/>
        </w:rPr>
      </w:pPr>
      <w:r>
        <w:rPr>
          <w:rFonts w:ascii="Times New Roman" w:hAnsi="Times New Roman" w:cs="Times New Roman"/>
          <w:sz w:val="24"/>
          <w:szCs w:val="24"/>
          <w:lang w:val="en-US"/>
        </w:rPr>
        <w:t xml:space="preserve">Intercorrelations between independent do not reveal serious multicollinearity, except </w:t>
      </w:r>
      <w:r w:rsidR="0036021E">
        <w:rPr>
          <w:rFonts w:ascii="Times New Roman" w:hAnsi="Times New Roman" w:cs="Times New Roman"/>
          <w:sz w:val="24"/>
          <w:szCs w:val="24"/>
          <w:lang w:val="en-US"/>
        </w:rPr>
        <w:t xml:space="preserve">in </w:t>
      </w:r>
      <w:r>
        <w:rPr>
          <w:rFonts w:ascii="Times New Roman" w:hAnsi="Times New Roman" w:cs="Times New Roman"/>
          <w:sz w:val="24"/>
          <w:szCs w:val="24"/>
          <w:lang w:val="en-US"/>
        </w:rPr>
        <w:t>t</w:t>
      </w:r>
      <w:r w:rsidR="00E84D3A">
        <w:rPr>
          <w:rFonts w:ascii="Times New Roman" w:hAnsi="Times New Roman" w:cs="Times New Roman"/>
          <w:sz w:val="24"/>
          <w:szCs w:val="24"/>
          <w:lang w:val="en-US"/>
        </w:rPr>
        <w:t>w</w:t>
      </w:r>
      <w:r w:rsidR="00DE3C62">
        <w:rPr>
          <w:rFonts w:ascii="Times New Roman" w:hAnsi="Times New Roman" w:cs="Times New Roman"/>
          <w:sz w:val="24"/>
          <w:szCs w:val="24"/>
          <w:lang w:val="en-US"/>
        </w:rPr>
        <w:t>o</w:t>
      </w:r>
      <w:r>
        <w:rPr>
          <w:rFonts w:ascii="Times New Roman" w:hAnsi="Times New Roman" w:cs="Times New Roman"/>
          <w:sz w:val="24"/>
          <w:szCs w:val="24"/>
          <w:lang w:val="en-US"/>
        </w:rPr>
        <w:t xml:space="preserve"> case</w:t>
      </w:r>
      <w:r w:rsidR="00DE3C62">
        <w:rPr>
          <w:rFonts w:ascii="Times New Roman" w:hAnsi="Times New Roman" w:cs="Times New Roman"/>
          <w:sz w:val="24"/>
          <w:szCs w:val="24"/>
          <w:lang w:val="en-US"/>
        </w:rPr>
        <w:t>s. The correlation between</w:t>
      </w:r>
      <w:r>
        <w:rPr>
          <w:rFonts w:ascii="Times New Roman" w:hAnsi="Times New Roman" w:cs="Times New Roman"/>
          <w:sz w:val="24"/>
          <w:szCs w:val="24"/>
          <w:lang w:val="en-US"/>
        </w:rPr>
        <w:t xml:space="preserve"> bank size </w:t>
      </w:r>
      <w:r w:rsidR="00DE3C62">
        <w:rPr>
          <w:rFonts w:ascii="Times New Roman" w:hAnsi="Times New Roman" w:cs="Times New Roman"/>
          <w:sz w:val="24"/>
          <w:szCs w:val="24"/>
          <w:lang w:val="en-US"/>
        </w:rPr>
        <w:t xml:space="preserve">and the unemployment rate on the one hand </w:t>
      </w:r>
      <w:r>
        <w:rPr>
          <w:rFonts w:ascii="Times New Roman" w:hAnsi="Times New Roman" w:cs="Times New Roman"/>
          <w:sz w:val="24"/>
          <w:szCs w:val="24"/>
          <w:lang w:val="en-US"/>
        </w:rPr>
        <w:t xml:space="preserve">and </w:t>
      </w:r>
      <w:r w:rsidR="00DE3C62">
        <w:rPr>
          <w:rFonts w:ascii="Times New Roman" w:hAnsi="Times New Roman" w:cs="Times New Roman"/>
          <w:sz w:val="24"/>
          <w:szCs w:val="24"/>
          <w:lang w:val="en-US"/>
        </w:rPr>
        <w:t xml:space="preserve">the </w:t>
      </w:r>
      <w:r>
        <w:rPr>
          <w:rFonts w:ascii="Times New Roman" w:hAnsi="Times New Roman" w:cs="Times New Roman"/>
          <w:sz w:val="24"/>
          <w:szCs w:val="24"/>
          <w:lang w:val="en-US"/>
        </w:rPr>
        <w:t>long-term interest rate</w:t>
      </w:r>
      <w:r w:rsidR="00DE3C62">
        <w:rPr>
          <w:rFonts w:ascii="Times New Roman" w:hAnsi="Times New Roman" w:cs="Times New Roman"/>
          <w:sz w:val="24"/>
          <w:szCs w:val="24"/>
          <w:lang w:val="en-US"/>
        </w:rPr>
        <w:t xml:space="preserve"> on the other are high</w:t>
      </w:r>
      <w:r>
        <w:rPr>
          <w:rFonts w:ascii="Times New Roman" w:hAnsi="Times New Roman" w:cs="Times New Roman"/>
          <w:sz w:val="24"/>
          <w:szCs w:val="24"/>
          <w:lang w:val="en-US"/>
        </w:rPr>
        <w:t>. We shall evaluate this potential problem later.</w:t>
      </w:r>
    </w:p>
    <w:p w14:paraId="19581F04" w14:textId="77777777" w:rsidR="00EA2B72" w:rsidRDefault="00EA2B72" w:rsidP="00066BE1">
      <w:pPr>
        <w:rPr>
          <w:rFonts w:ascii="Times New Roman" w:hAnsi="Times New Roman" w:cs="Times New Roman"/>
          <w:sz w:val="24"/>
          <w:szCs w:val="24"/>
          <w:lang w:val="en-US"/>
        </w:rPr>
      </w:pPr>
    </w:p>
    <w:p w14:paraId="56687672" w14:textId="42FD42CB" w:rsidR="0056579E" w:rsidRPr="00634E79" w:rsidRDefault="0056579E" w:rsidP="0056579E">
      <w:pPr>
        <w:pStyle w:val="Listenabsatz"/>
        <w:numPr>
          <w:ilvl w:val="1"/>
          <w:numId w:val="1"/>
        </w:numPr>
        <w:rPr>
          <w:rFonts w:ascii="Times New Roman" w:hAnsi="Times New Roman" w:cs="Times New Roman"/>
          <w:b/>
          <w:bCs/>
          <w:sz w:val="24"/>
          <w:szCs w:val="24"/>
          <w:lang w:val="en-US"/>
        </w:rPr>
      </w:pPr>
      <w:r w:rsidRPr="00634E79">
        <w:rPr>
          <w:rFonts w:ascii="Times New Roman" w:hAnsi="Times New Roman" w:cs="Times New Roman"/>
          <w:b/>
          <w:bCs/>
          <w:sz w:val="24"/>
          <w:szCs w:val="24"/>
          <w:lang w:val="en-US"/>
        </w:rPr>
        <w:t xml:space="preserve"> Order of Integration and Cointegration Test</w:t>
      </w:r>
    </w:p>
    <w:p w14:paraId="4CA57E10" w14:textId="7599F3E1" w:rsidR="00634E79" w:rsidRDefault="009F4CCC" w:rsidP="00634E79">
      <w:pPr>
        <w:rPr>
          <w:rFonts w:ascii="Times New Roman" w:hAnsi="Times New Roman" w:cs="Times New Roman"/>
          <w:sz w:val="24"/>
          <w:szCs w:val="24"/>
          <w:lang w:val="en-US"/>
        </w:rPr>
      </w:pPr>
      <w:r>
        <w:rPr>
          <w:rFonts w:ascii="Times New Roman" w:hAnsi="Times New Roman" w:cs="Times New Roman"/>
          <w:sz w:val="24"/>
          <w:szCs w:val="24"/>
          <w:lang w:val="en-US"/>
        </w:rPr>
        <w:t>The time series are next tested for the order of integration. We compute ADF- and PP-tests as these tests are appropriate when time series are very short (</w:t>
      </w:r>
      <w:proofErr w:type="spellStart"/>
      <w:r>
        <w:rPr>
          <w:rFonts w:ascii="Times New Roman" w:hAnsi="Times New Roman" w:cs="Times New Roman"/>
          <w:sz w:val="24"/>
          <w:szCs w:val="24"/>
          <w:lang w:val="en-US"/>
        </w:rPr>
        <w:t>Arltova</w:t>
      </w:r>
      <w:proofErr w:type="spellEnd"/>
      <w:r>
        <w:rPr>
          <w:rFonts w:ascii="Times New Roman" w:hAnsi="Times New Roman" w:cs="Times New Roman"/>
          <w:sz w:val="24"/>
          <w:szCs w:val="24"/>
          <w:lang w:val="en-US"/>
        </w:rPr>
        <w:t xml:space="preserve"> and Fedorova, 2016).  Table 2 reports test results for the variables in levels, first and second differences.</w:t>
      </w:r>
    </w:p>
    <w:p w14:paraId="1EC4E2FD" w14:textId="77777777" w:rsidR="00C93CF2" w:rsidRDefault="00C93CF2" w:rsidP="00634E79">
      <w:pPr>
        <w:rPr>
          <w:rFonts w:ascii="Times New Roman" w:hAnsi="Times New Roman" w:cs="Times New Roman"/>
          <w:sz w:val="24"/>
          <w:szCs w:val="24"/>
          <w:lang w:val="en-US"/>
        </w:rPr>
      </w:pPr>
    </w:p>
    <w:p w14:paraId="234A2AF9" w14:textId="77777777" w:rsidR="00C93CF2" w:rsidRDefault="00C93CF2" w:rsidP="00634E79">
      <w:pPr>
        <w:rPr>
          <w:rFonts w:ascii="Times New Roman" w:hAnsi="Times New Roman" w:cs="Times New Roman"/>
          <w:sz w:val="24"/>
          <w:szCs w:val="24"/>
          <w:lang w:val="en-US"/>
        </w:rPr>
      </w:pPr>
    </w:p>
    <w:p w14:paraId="36F094A5" w14:textId="77777777" w:rsidR="00C93CF2" w:rsidRDefault="00C93CF2" w:rsidP="00634E79">
      <w:pPr>
        <w:rPr>
          <w:rFonts w:ascii="Times New Roman" w:hAnsi="Times New Roman" w:cs="Times New Roman"/>
          <w:sz w:val="24"/>
          <w:szCs w:val="24"/>
          <w:lang w:val="en-US"/>
        </w:rPr>
      </w:pPr>
    </w:p>
    <w:p w14:paraId="6C5A4924" w14:textId="77777777" w:rsidR="00C93CF2" w:rsidRDefault="00C93CF2" w:rsidP="00634E79">
      <w:pPr>
        <w:rPr>
          <w:rFonts w:ascii="Times New Roman" w:hAnsi="Times New Roman" w:cs="Times New Roman"/>
          <w:sz w:val="24"/>
          <w:szCs w:val="24"/>
          <w:lang w:val="en-US"/>
        </w:rPr>
      </w:pPr>
    </w:p>
    <w:p w14:paraId="30DB42DB" w14:textId="77777777" w:rsidR="00C117A0" w:rsidRDefault="00AF6CF4" w:rsidP="004E3ED1">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2: Unit Root Tests</w:t>
      </w:r>
    </w:p>
    <w:p w14:paraId="38165858" w14:textId="1AC481FD" w:rsidR="00C117A0" w:rsidRDefault="00C117A0" w:rsidP="004E3ED1">
      <w:pPr>
        <w:jc w:val="center"/>
        <w:rPr>
          <w:rFonts w:ascii="Times New Roman" w:hAnsi="Times New Roman" w:cs="Times New Roman"/>
          <w:sz w:val="24"/>
          <w:szCs w:val="24"/>
          <w:lang w:val="en-US"/>
        </w:rPr>
      </w:pPr>
      <w:r w:rsidRPr="00C117A0">
        <w:rPr>
          <w:noProof/>
        </w:rPr>
        <w:drawing>
          <wp:inline distT="0" distB="0" distL="0" distR="0" wp14:anchorId="7A42AF2B" wp14:editId="5183F5B6">
            <wp:extent cx="5760720" cy="2632710"/>
            <wp:effectExtent l="0" t="0" r="0" b="0"/>
            <wp:docPr id="186028159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632710"/>
                    </a:xfrm>
                    <a:prstGeom prst="rect">
                      <a:avLst/>
                    </a:prstGeom>
                    <a:noFill/>
                    <a:ln>
                      <a:noFill/>
                    </a:ln>
                  </pic:spPr>
                </pic:pic>
              </a:graphicData>
            </a:graphic>
          </wp:inline>
        </w:drawing>
      </w:r>
    </w:p>
    <w:p w14:paraId="716E5EC1" w14:textId="77777777" w:rsidR="00E84D3A" w:rsidRDefault="00E84D3A" w:rsidP="00634E79">
      <w:pPr>
        <w:rPr>
          <w:rFonts w:ascii="Times New Roman" w:hAnsi="Times New Roman" w:cs="Times New Roman"/>
          <w:sz w:val="24"/>
          <w:szCs w:val="24"/>
          <w:lang w:val="en-US"/>
        </w:rPr>
      </w:pPr>
    </w:p>
    <w:p w14:paraId="3CE84D1B" w14:textId="40D174C7" w:rsidR="00634E79" w:rsidRDefault="00644058" w:rsidP="00634E79">
      <w:pPr>
        <w:rPr>
          <w:rFonts w:ascii="Times New Roman" w:hAnsi="Times New Roman" w:cs="Times New Roman"/>
          <w:sz w:val="24"/>
          <w:szCs w:val="24"/>
          <w:lang w:val="en-US"/>
        </w:rPr>
      </w:pPr>
      <w:r>
        <w:rPr>
          <w:rFonts w:ascii="Times New Roman" w:hAnsi="Times New Roman" w:cs="Times New Roman"/>
          <w:sz w:val="24"/>
          <w:szCs w:val="24"/>
          <w:lang w:val="en-US"/>
        </w:rPr>
        <w:t xml:space="preserve">The tests reveal that the variables GRO and TSTR are </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lang w:val="en-US"/>
        </w:rPr>
        <w:t xml:space="preserve">0),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e. stationary variables. Results for the dependent variable VA</w:t>
      </w:r>
      <w:r w:rsidR="00C117A0">
        <w:rPr>
          <w:rFonts w:ascii="Times New Roman" w:hAnsi="Times New Roman" w:cs="Times New Roman"/>
          <w:sz w:val="24"/>
          <w:szCs w:val="24"/>
          <w:lang w:val="en-US"/>
        </w:rPr>
        <w:t>LADJ</w:t>
      </w:r>
      <w:r>
        <w:rPr>
          <w:rFonts w:ascii="Times New Roman" w:hAnsi="Times New Roman" w:cs="Times New Roman"/>
          <w:sz w:val="24"/>
          <w:szCs w:val="24"/>
          <w:lang w:val="en-US"/>
        </w:rPr>
        <w:t xml:space="preserve"> depend on the test. In order to resolve the puzzle, an additional Ng-Perron Unit Root tests was conducted. The test shows, that the first differenced series is </w:t>
      </w:r>
      <w:proofErr w:type="gramStart"/>
      <w:r>
        <w:rPr>
          <w:rFonts w:ascii="Times New Roman" w:hAnsi="Times New Roman" w:cs="Times New Roman"/>
          <w:sz w:val="24"/>
          <w:szCs w:val="24"/>
          <w:lang w:val="en-US"/>
        </w:rPr>
        <w:t>I(</w:t>
      </w:r>
      <w:proofErr w:type="gramEnd"/>
      <w:r w:rsidR="006664E5">
        <w:rPr>
          <w:rFonts w:ascii="Times New Roman" w:hAnsi="Times New Roman" w:cs="Times New Roman"/>
          <w:sz w:val="24"/>
          <w:szCs w:val="24"/>
          <w:lang w:val="en-US"/>
        </w:rPr>
        <w:t>0), confirming the PP test. We therefore treat VA</w:t>
      </w:r>
      <w:r w:rsidR="00C117A0">
        <w:rPr>
          <w:rFonts w:ascii="Times New Roman" w:hAnsi="Times New Roman" w:cs="Times New Roman"/>
          <w:sz w:val="24"/>
          <w:szCs w:val="24"/>
          <w:lang w:val="en-US"/>
        </w:rPr>
        <w:t>LADJ</w:t>
      </w:r>
      <w:r w:rsidR="006664E5">
        <w:rPr>
          <w:rFonts w:ascii="Times New Roman" w:hAnsi="Times New Roman" w:cs="Times New Roman"/>
          <w:sz w:val="24"/>
          <w:szCs w:val="24"/>
          <w:lang w:val="en-US"/>
        </w:rPr>
        <w:t xml:space="preserve"> as first difference-stationary, </w:t>
      </w:r>
      <w:proofErr w:type="spellStart"/>
      <w:r w:rsidR="006664E5">
        <w:rPr>
          <w:rFonts w:ascii="Times New Roman" w:hAnsi="Times New Roman" w:cs="Times New Roman"/>
          <w:sz w:val="24"/>
          <w:szCs w:val="24"/>
          <w:lang w:val="en-US"/>
        </w:rPr>
        <w:t>i</w:t>
      </w:r>
      <w:proofErr w:type="spellEnd"/>
      <w:r w:rsidR="006664E5">
        <w:rPr>
          <w:rFonts w:ascii="Times New Roman" w:hAnsi="Times New Roman" w:cs="Times New Roman"/>
          <w:sz w:val="24"/>
          <w:szCs w:val="24"/>
          <w:lang w:val="en-US"/>
        </w:rPr>
        <w:t xml:space="preserve">. e. </w:t>
      </w:r>
      <w:proofErr w:type="gramStart"/>
      <w:r w:rsidR="006664E5">
        <w:rPr>
          <w:rFonts w:ascii="Times New Roman" w:hAnsi="Times New Roman" w:cs="Times New Roman"/>
          <w:sz w:val="24"/>
          <w:szCs w:val="24"/>
          <w:lang w:val="en-US"/>
        </w:rPr>
        <w:t>I(</w:t>
      </w:r>
      <w:proofErr w:type="gramEnd"/>
      <w:r w:rsidR="006664E5">
        <w:rPr>
          <w:rFonts w:ascii="Times New Roman" w:hAnsi="Times New Roman" w:cs="Times New Roman"/>
          <w:sz w:val="24"/>
          <w:szCs w:val="24"/>
          <w:lang w:val="en-US"/>
        </w:rPr>
        <w:t xml:space="preserve">1). The LDR variable can be considered already </w:t>
      </w:r>
      <w:proofErr w:type="gramStart"/>
      <w:r w:rsidR="006664E5">
        <w:rPr>
          <w:rFonts w:ascii="Times New Roman" w:hAnsi="Times New Roman" w:cs="Times New Roman"/>
          <w:sz w:val="24"/>
          <w:szCs w:val="24"/>
          <w:lang w:val="en-US"/>
        </w:rPr>
        <w:t>I(</w:t>
      </w:r>
      <w:proofErr w:type="gramEnd"/>
      <w:r w:rsidR="006664E5">
        <w:rPr>
          <w:rFonts w:ascii="Times New Roman" w:hAnsi="Times New Roman" w:cs="Times New Roman"/>
          <w:sz w:val="24"/>
          <w:szCs w:val="24"/>
          <w:lang w:val="en-US"/>
        </w:rPr>
        <w:t xml:space="preserve">0) at the 5 percent error level. At the 1 percent error level LDR is </w:t>
      </w:r>
      <w:proofErr w:type="gramStart"/>
      <w:r w:rsidR="006664E5">
        <w:rPr>
          <w:rFonts w:ascii="Times New Roman" w:hAnsi="Times New Roman" w:cs="Times New Roman"/>
          <w:sz w:val="24"/>
          <w:szCs w:val="24"/>
          <w:lang w:val="en-US"/>
        </w:rPr>
        <w:t>I(</w:t>
      </w:r>
      <w:proofErr w:type="gramEnd"/>
      <w:r w:rsidR="006664E5">
        <w:rPr>
          <w:rFonts w:ascii="Times New Roman" w:hAnsi="Times New Roman" w:cs="Times New Roman"/>
          <w:sz w:val="24"/>
          <w:szCs w:val="24"/>
          <w:lang w:val="en-US"/>
        </w:rPr>
        <w:t xml:space="preserve">1). Given the rather low power of these tests and our relatively short time series, we prefer the more conservative error level and thus treat LDR as </w:t>
      </w:r>
      <w:proofErr w:type="gramStart"/>
      <w:r w:rsidR="006664E5">
        <w:rPr>
          <w:rFonts w:ascii="Times New Roman" w:hAnsi="Times New Roman" w:cs="Times New Roman"/>
          <w:sz w:val="24"/>
          <w:szCs w:val="24"/>
          <w:lang w:val="en-US"/>
        </w:rPr>
        <w:t>I(</w:t>
      </w:r>
      <w:proofErr w:type="gramEnd"/>
      <w:r w:rsidR="006664E5">
        <w:rPr>
          <w:rFonts w:ascii="Times New Roman" w:hAnsi="Times New Roman" w:cs="Times New Roman"/>
          <w:sz w:val="24"/>
          <w:szCs w:val="24"/>
          <w:lang w:val="en-US"/>
        </w:rPr>
        <w:t xml:space="preserve">1). Contrary, the variable AVTOTASS is clearly </w:t>
      </w:r>
      <w:proofErr w:type="gramStart"/>
      <w:r w:rsidR="006664E5">
        <w:rPr>
          <w:rFonts w:ascii="Times New Roman" w:hAnsi="Times New Roman" w:cs="Times New Roman"/>
          <w:sz w:val="24"/>
          <w:szCs w:val="24"/>
          <w:lang w:val="en-US"/>
        </w:rPr>
        <w:t>I(</w:t>
      </w:r>
      <w:proofErr w:type="gramEnd"/>
      <w:r w:rsidR="006664E5">
        <w:rPr>
          <w:rFonts w:ascii="Times New Roman" w:hAnsi="Times New Roman" w:cs="Times New Roman"/>
          <w:sz w:val="24"/>
          <w:szCs w:val="24"/>
          <w:lang w:val="en-US"/>
        </w:rPr>
        <w:t xml:space="preserve">2). </w:t>
      </w:r>
      <w:r w:rsidR="00E84D3A">
        <w:rPr>
          <w:rFonts w:ascii="Times New Roman" w:hAnsi="Times New Roman" w:cs="Times New Roman"/>
          <w:sz w:val="24"/>
          <w:szCs w:val="24"/>
          <w:lang w:val="en-US"/>
        </w:rPr>
        <w:t>The u</w:t>
      </w:r>
      <w:r w:rsidR="00C117A0">
        <w:rPr>
          <w:rFonts w:ascii="Times New Roman" w:hAnsi="Times New Roman" w:cs="Times New Roman"/>
          <w:sz w:val="24"/>
          <w:szCs w:val="24"/>
          <w:lang w:val="en-US"/>
        </w:rPr>
        <w:t xml:space="preserve">nemployment rate is </w:t>
      </w:r>
      <w:proofErr w:type="gramStart"/>
      <w:r w:rsidR="00C117A0">
        <w:rPr>
          <w:rFonts w:ascii="Times New Roman" w:hAnsi="Times New Roman" w:cs="Times New Roman"/>
          <w:sz w:val="24"/>
          <w:szCs w:val="24"/>
          <w:lang w:val="en-US"/>
        </w:rPr>
        <w:t>I(</w:t>
      </w:r>
      <w:proofErr w:type="gramEnd"/>
      <w:r w:rsidR="00C117A0">
        <w:rPr>
          <w:rFonts w:ascii="Times New Roman" w:hAnsi="Times New Roman" w:cs="Times New Roman"/>
          <w:sz w:val="24"/>
          <w:szCs w:val="24"/>
          <w:lang w:val="en-US"/>
        </w:rPr>
        <w:t xml:space="preserve">1). </w:t>
      </w:r>
      <w:r w:rsidR="005F5047">
        <w:rPr>
          <w:rFonts w:ascii="Times New Roman" w:hAnsi="Times New Roman" w:cs="Times New Roman"/>
          <w:sz w:val="24"/>
          <w:szCs w:val="24"/>
          <w:lang w:val="en-US"/>
        </w:rPr>
        <w:t>The following list of variables related to their order of integration emerges.</w:t>
      </w:r>
    </w:p>
    <w:p w14:paraId="1066CFE4" w14:textId="72BCE8A1" w:rsidR="005F5047" w:rsidRDefault="005F5047" w:rsidP="00634E79">
      <w:pPr>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lang w:val="en-US"/>
        </w:rPr>
        <w:t>0): GRO, TSTR</w:t>
      </w:r>
    </w:p>
    <w:p w14:paraId="1E07169B" w14:textId="30381F33" w:rsidR="005F5047" w:rsidRDefault="005F5047" w:rsidP="00634E79">
      <w:pPr>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lang w:val="en-US"/>
        </w:rPr>
        <w:t>1): VA</w:t>
      </w:r>
      <w:r w:rsidR="00413E89">
        <w:rPr>
          <w:rFonts w:ascii="Times New Roman" w:hAnsi="Times New Roman" w:cs="Times New Roman"/>
          <w:sz w:val="24"/>
          <w:szCs w:val="24"/>
          <w:lang w:val="en-US"/>
        </w:rPr>
        <w:t>LADJ</w:t>
      </w:r>
      <w:r>
        <w:rPr>
          <w:rFonts w:ascii="Times New Roman" w:hAnsi="Times New Roman" w:cs="Times New Roman"/>
          <w:sz w:val="24"/>
          <w:szCs w:val="24"/>
          <w:lang w:val="en-US"/>
        </w:rPr>
        <w:t xml:space="preserve">, LR, </w:t>
      </w:r>
      <w:r w:rsidR="00A072BE">
        <w:rPr>
          <w:rFonts w:ascii="Times New Roman" w:hAnsi="Times New Roman" w:cs="Times New Roman"/>
          <w:sz w:val="24"/>
          <w:szCs w:val="24"/>
          <w:lang w:val="en-US"/>
        </w:rPr>
        <w:t>LDR</w:t>
      </w:r>
      <w:r w:rsidR="00C117A0">
        <w:rPr>
          <w:rFonts w:ascii="Times New Roman" w:hAnsi="Times New Roman" w:cs="Times New Roman"/>
          <w:sz w:val="24"/>
          <w:szCs w:val="24"/>
          <w:lang w:val="en-US"/>
        </w:rPr>
        <w:t>, U</w:t>
      </w:r>
    </w:p>
    <w:p w14:paraId="6254BEB0" w14:textId="132E1D7F" w:rsidR="005F5047" w:rsidRDefault="005F5047" w:rsidP="00634E79">
      <w:pPr>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lang w:val="en-US"/>
        </w:rPr>
        <w:t>2): AVTOTASS</w:t>
      </w:r>
    </w:p>
    <w:p w14:paraId="39E8C7F1" w14:textId="2C5ADB24" w:rsidR="00634E79" w:rsidRDefault="006060A6" w:rsidP="00634E79">
      <w:pPr>
        <w:rPr>
          <w:rFonts w:ascii="Times New Roman" w:hAnsi="Times New Roman" w:cs="Times New Roman"/>
          <w:sz w:val="24"/>
          <w:szCs w:val="24"/>
          <w:lang w:val="en-US"/>
        </w:rPr>
      </w:pPr>
      <w:r>
        <w:rPr>
          <w:rFonts w:ascii="Times New Roman" w:hAnsi="Times New Roman" w:cs="Times New Roman"/>
          <w:sz w:val="24"/>
          <w:szCs w:val="24"/>
          <w:lang w:val="en-US"/>
        </w:rPr>
        <w:t>It can now be discussed whether VA</w:t>
      </w:r>
      <w:r w:rsidR="00C117A0">
        <w:rPr>
          <w:rFonts w:ascii="Times New Roman" w:hAnsi="Times New Roman" w:cs="Times New Roman"/>
          <w:sz w:val="24"/>
          <w:szCs w:val="24"/>
          <w:lang w:val="en-US"/>
        </w:rPr>
        <w:t>LADJ</w:t>
      </w:r>
      <w:r>
        <w:rPr>
          <w:rFonts w:ascii="Times New Roman" w:hAnsi="Times New Roman" w:cs="Times New Roman"/>
          <w:sz w:val="24"/>
          <w:szCs w:val="24"/>
          <w:lang w:val="en-US"/>
        </w:rPr>
        <w:t xml:space="preserve"> should be considered a dependent variable in the classical sense or an endogenous variable in the sense of a Vector Autoregressive Model or a Vector Error Correction Model. </w:t>
      </w:r>
      <w:r w:rsidR="00EE1EE8">
        <w:rPr>
          <w:rFonts w:ascii="Times New Roman" w:hAnsi="Times New Roman" w:cs="Times New Roman"/>
          <w:sz w:val="24"/>
          <w:szCs w:val="24"/>
          <w:lang w:val="en-US"/>
        </w:rPr>
        <w:t>From a theoretical perspective it cannot be ruled out that bank size (AVTOTASS) for example depends on macroeconomic factors. In order to account for potential feedbacks, we now treat the variable VA</w:t>
      </w:r>
      <w:r w:rsidR="00C117A0">
        <w:rPr>
          <w:rFonts w:ascii="Times New Roman" w:hAnsi="Times New Roman" w:cs="Times New Roman"/>
          <w:sz w:val="24"/>
          <w:szCs w:val="24"/>
          <w:lang w:val="en-US"/>
        </w:rPr>
        <w:t>LADJ</w:t>
      </w:r>
      <w:r w:rsidR="00EE1EE8">
        <w:rPr>
          <w:rFonts w:ascii="Times New Roman" w:hAnsi="Times New Roman" w:cs="Times New Roman"/>
          <w:sz w:val="24"/>
          <w:szCs w:val="24"/>
          <w:lang w:val="en-US"/>
        </w:rPr>
        <w:t xml:space="preserve">, LR, </w:t>
      </w:r>
      <w:r w:rsidR="002B1A23">
        <w:rPr>
          <w:rFonts w:ascii="Times New Roman" w:hAnsi="Times New Roman" w:cs="Times New Roman"/>
          <w:sz w:val="24"/>
          <w:szCs w:val="24"/>
          <w:lang w:val="en-US"/>
        </w:rPr>
        <w:t xml:space="preserve">LDR, </w:t>
      </w:r>
      <w:r w:rsidR="00C117A0">
        <w:rPr>
          <w:rFonts w:ascii="Times New Roman" w:hAnsi="Times New Roman" w:cs="Times New Roman"/>
          <w:sz w:val="24"/>
          <w:szCs w:val="24"/>
          <w:lang w:val="en-US"/>
        </w:rPr>
        <w:t xml:space="preserve">U, </w:t>
      </w:r>
      <w:r w:rsidR="00EE1EE8">
        <w:rPr>
          <w:rFonts w:ascii="Times New Roman" w:hAnsi="Times New Roman" w:cs="Times New Roman"/>
          <w:sz w:val="24"/>
          <w:szCs w:val="24"/>
          <w:lang w:val="en-US"/>
        </w:rPr>
        <w:t xml:space="preserve">and the first difference of AVTOTASS (D(AVTOTASS) as endogenous </w:t>
      </w:r>
      <w:proofErr w:type="gramStart"/>
      <w:r w:rsidR="00EE1EE8">
        <w:rPr>
          <w:rFonts w:ascii="Times New Roman" w:hAnsi="Times New Roman" w:cs="Times New Roman"/>
          <w:sz w:val="24"/>
          <w:szCs w:val="24"/>
          <w:lang w:val="en-US"/>
        </w:rPr>
        <w:t>I(</w:t>
      </w:r>
      <w:proofErr w:type="gramEnd"/>
      <w:r w:rsidR="00EE1EE8">
        <w:rPr>
          <w:rFonts w:ascii="Times New Roman" w:hAnsi="Times New Roman" w:cs="Times New Roman"/>
          <w:sz w:val="24"/>
          <w:szCs w:val="24"/>
          <w:lang w:val="en-US"/>
        </w:rPr>
        <w:t>1) variables.</w:t>
      </w:r>
    </w:p>
    <w:p w14:paraId="68479580" w14:textId="5EB4D1B4" w:rsidR="005F5047" w:rsidRDefault="00CA42A8" w:rsidP="00634E79">
      <w:pPr>
        <w:rPr>
          <w:rFonts w:ascii="Times New Roman" w:hAnsi="Times New Roman" w:cs="Times New Roman"/>
          <w:sz w:val="24"/>
          <w:szCs w:val="24"/>
          <w:lang w:val="en-US"/>
        </w:rPr>
      </w:pPr>
      <w:r>
        <w:rPr>
          <w:rFonts w:ascii="Times New Roman" w:hAnsi="Times New Roman" w:cs="Times New Roman"/>
          <w:sz w:val="24"/>
          <w:szCs w:val="24"/>
          <w:lang w:val="en-US"/>
        </w:rPr>
        <w:t xml:space="preserve">The results from the cointegration tests are mixed. We first conduct </w:t>
      </w:r>
      <w:r w:rsidR="009F0DA1">
        <w:rPr>
          <w:rFonts w:ascii="Times New Roman" w:hAnsi="Times New Roman" w:cs="Times New Roman"/>
          <w:sz w:val="24"/>
          <w:szCs w:val="24"/>
          <w:lang w:val="en-US"/>
        </w:rPr>
        <w:t xml:space="preserve">single-equation based </w:t>
      </w:r>
      <w:r>
        <w:rPr>
          <w:rFonts w:ascii="Times New Roman" w:hAnsi="Times New Roman" w:cs="Times New Roman"/>
          <w:sz w:val="24"/>
          <w:szCs w:val="24"/>
          <w:lang w:val="en-US"/>
        </w:rPr>
        <w:t>Engle-Granger as well as Ph</w:t>
      </w:r>
      <w:r w:rsidR="009F0DA1">
        <w:rPr>
          <w:rFonts w:ascii="Times New Roman" w:hAnsi="Times New Roman" w:cs="Times New Roman"/>
          <w:sz w:val="24"/>
          <w:szCs w:val="24"/>
          <w:lang w:val="en-US"/>
        </w:rPr>
        <w:t>illips-</w:t>
      </w:r>
      <w:proofErr w:type="spellStart"/>
      <w:r w:rsidR="009F0DA1">
        <w:rPr>
          <w:rFonts w:ascii="Times New Roman" w:hAnsi="Times New Roman" w:cs="Times New Roman"/>
          <w:sz w:val="24"/>
          <w:szCs w:val="24"/>
          <w:lang w:val="en-US"/>
        </w:rPr>
        <w:t>Ouliaris</w:t>
      </w:r>
      <w:proofErr w:type="spellEnd"/>
      <w:r w:rsidR="009F0DA1">
        <w:rPr>
          <w:rFonts w:ascii="Times New Roman" w:hAnsi="Times New Roman" w:cs="Times New Roman"/>
          <w:sz w:val="24"/>
          <w:szCs w:val="24"/>
          <w:lang w:val="en-US"/>
        </w:rPr>
        <w:t xml:space="preserve"> tests. Both tests do not indicate any cointegration among the variables. </w:t>
      </w:r>
      <w:r w:rsidR="005B7FC2">
        <w:rPr>
          <w:rFonts w:ascii="Times New Roman" w:hAnsi="Times New Roman" w:cs="Times New Roman"/>
          <w:sz w:val="24"/>
          <w:szCs w:val="24"/>
          <w:lang w:val="en-US"/>
        </w:rPr>
        <w:t>The result of the Johansen-Test is reported in Table 3.</w:t>
      </w:r>
    </w:p>
    <w:p w14:paraId="2CB7B557" w14:textId="77777777" w:rsidR="005B7FC2" w:rsidRDefault="005B7FC2" w:rsidP="00634E79">
      <w:pPr>
        <w:rPr>
          <w:rFonts w:ascii="Times New Roman" w:hAnsi="Times New Roman" w:cs="Times New Roman"/>
          <w:sz w:val="24"/>
          <w:szCs w:val="24"/>
          <w:lang w:val="en-US"/>
        </w:rPr>
      </w:pPr>
    </w:p>
    <w:p w14:paraId="6E82EAA6" w14:textId="77777777" w:rsidR="00C93CF2" w:rsidRDefault="00C93CF2" w:rsidP="00634E79">
      <w:pPr>
        <w:rPr>
          <w:rFonts w:ascii="Times New Roman" w:hAnsi="Times New Roman" w:cs="Times New Roman"/>
          <w:sz w:val="24"/>
          <w:szCs w:val="24"/>
          <w:lang w:val="en-US"/>
        </w:rPr>
      </w:pPr>
    </w:p>
    <w:p w14:paraId="17107999" w14:textId="77777777" w:rsidR="00C93CF2" w:rsidRDefault="00C93CF2" w:rsidP="00634E79">
      <w:pPr>
        <w:rPr>
          <w:rFonts w:ascii="Times New Roman" w:hAnsi="Times New Roman" w:cs="Times New Roman"/>
          <w:sz w:val="24"/>
          <w:szCs w:val="24"/>
          <w:lang w:val="en-US"/>
        </w:rPr>
      </w:pPr>
    </w:p>
    <w:p w14:paraId="10387C11" w14:textId="275E4AF2" w:rsidR="005B7FC2" w:rsidRDefault="005B7FC2" w:rsidP="005B7FC2">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3: Johansen Cointegration Test</w:t>
      </w:r>
    </w:p>
    <w:p w14:paraId="01192AE0" w14:textId="191A6ED7" w:rsidR="005B7FC2" w:rsidRDefault="00263AE6" w:rsidP="005B7FC2">
      <w:pPr>
        <w:jc w:val="center"/>
        <w:rPr>
          <w:rFonts w:ascii="Times New Roman" w:hAnsi="Times New Roman" w:cs="Times New Roman"/>
          <w:sz w:val="24"/>
          <w:szCs w:val="24"/>
          <w:lang w:val="en-US"/>
        </w:rPr>
      </w:pPr>
      <w:r w:rsidRPr="00263AE6">
        <w:rPr>
          <w:noProof/>
        </w:rPr>
        <w:drawing>
          <wp:inline distT="0" distB="0" distL="0" distR="0" wp14:anchorId="59E21383" wp14:editId="0189A8B9">
            <wp:extent cx="4127500" cy="4051300"/>
            <wp:effectExtent l="0" t="0" r="6350" b="6350"/>
            <wp:docPr id="82383689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7500" cy="4051300"/>
                    </a:xfrm>
                    <a:prstGeom prst="rect">
                      <a:avLst/>
                    </a:prstGeom>
                    <a:noFill/>
                    <a:ln>
                      <a:noFill/>
                    </a:ln>
                  </pic:spPr>
                </pic:pic>
              </a:graphicData>
            </a:graphic>
          </wp:inline>
        </w:drawing>
      </w:r>
    </w:p>
    <w:p w14:paraId="7C3D4A02" w14:textId="7EBAC35B" w:rsidR="00852592" w:rsidRDefault="005B7FC2" w:rsidP="00634E79">
      <w:pPr>
        <w:rPr>
          <w:rFonts w:ascii="Times New Roman" w:hAnsi="Times New Roman" w:cs="Times New Roman"/>
          <w:sz w:val="24"/>
          <w:szCs w:val="24"/>
          <w:lang w:val="en-US"/>
        </w:rPr>
      </w:pPr>
      <w:r>
        <w:rPr>
          <w:rFonts w:ascii="Times New Roman" w:hAnsi="Times New Roman" w:cs="Times New Roman"/>
          <w:sz w:val="24"/>
          <w:szCs w:val="24"/>
          <w:lang w:val="en-US"/>
        </w:rPr>
        <w:t xml:space="preserve">The Trace Test shows </w:t>
      </w:r>
      <w:r w:rsidR="00263AE6">
        <w:rPr>
          <w:rFonts w:ascii="Times New Roman" w:hAnsi="Times New Roman" w:cs="Times New Roman"/>
          <w:sz w:val="24"/>
          <w:szCs w:val="24"/>
          <w:lang w:val="en-US"/>
        </w:rPr>
        <w:t>four</w:t>
      </w:r>
      <w:r>
        <w:rPr>
          <w:rFonts w:ascii="Times New Roman" w:hAnsi="Times New Roman" w:cs="Times New Roman"/>
          <w:sz w:val="24"/>
          <w:szCs w:val="24"/>
          <w:lang w:val="en-US"/>
        </w:rPr>
        <w:t xml:space="preserve"> cointegrating relations whereas the Max-Eigenvalue </w:t>
      </w:r>
      <w:r w:rsidR="00263AE6">
        <w:rPr>
          <w:rFonts w:ascii="Times New Roman" w:hAnsi="Times New Roman" w:cs="Times New Roman"/>
          <w:sz w:val="24"/>
          <w:szCs w:val="24"/>
          <w:lang w:val="en-US"/>
        </w:rPr>
        <w:t>indicates a single</w:t>
      </w:r>
      <w:r>
        <w:rPr>
          <w:rFonts w:ascii="Times New Roman" w:hAnsi="Times New Roman" w:cs="Times New Roman"/>
          <w:sz w:val="24"/>
          <w:szCs w:val="24"/>
          <w:lang w:val="en-US"/>
        </w:rPr>
        <w:t xml:space="preserve"> cointegration</w:t>
      </w:r>
      <w:r w:rsidR="00263AE6">
        <w:rPr>
          <w:rFonts w:ascii="Times New Roman" w:hAnsi="Times New Roman" w:cs="Times New Roman"/>
          <w:sz w:val="24"/>
          <w:szCs w:val="24"/>
          <w:lang w:val="en-US"/>
        </w:rPr>
        <w:t xml:space="preserve"> equation</w:t>
      </w:r>
      <w:r>
        <w:rPr>
          <w:rFonts w:ascii="Times New Roman" w:hAnsi="Times New Roman" w:cs="Times New Roman"/>
          <w:sz w:val="24"/>
          <w:szCs w:val="24"/>
          <w:lang w:val="en-US"/>
        </w:rPr>
        <w:t xml:space="preserve">. </w:t>
      </w:r>
    </w:p>
    <w:p w14:paraId="66BB587C" w14:textId="77777777" w:rsidR="00852592" w:rsidRDefault="00852592" w:rsidP="00634E79">
      <w:pPr>
        <w:rPr>
          <w:rFonts w:ascii="Times New Roman" w:hAnsi="Times New Roman" w:cs="Times New Roman"/>
          <w:sz w:val="24"/>
          <w:szCs w:val="24"/>
          <w:lang w:val="en-US"/>
        </w:rPr>
      </w:pPr>
    </w:p>
    <w:p w14:paraId="1934272F" w14:textId="78871E71" w:rsidR="00852592" w:rsidRPr="00852592" w:rsidRDefault="00852592" w:rsidP="00852592">
      <w:pPr>
        <w:pStyle w:val="Listenabsatz"/>
        <w:numPr>
          <w:ilvl w:val="1"/>
          <w:numId w:val="5"/>
        </w:numPr>
        <w:rPr>
          <w:rFonts w:ascii="Times New Roman" w:hAnsi="Times New Roman" w:cs="Times New Roman"/>
          <w:b/>
          <w:bCs/>
          <w:sz w:val="24"/>
          <w:szCs w:val="24"/>
          <w:lang w:val="en-US"/>
        </w:rPr>
      </w:pPr>
      <w:r w:rsidRPr="00852592">
        <w:rPr>
          <w:rFonts w:ascii="Times New Roman" w:hAnsi="Times New Roman" w:cs="Times New Roman"/>
          <w:b/>
          <w:bCs/>
          <w:sz w:val="24"/>
          <w:szCs w:val="24"/>
          <w:lang w:val="en-US"/>
        </w:rPr>
        <w:t xml:space="preserve"> Vector Error Correction Model</w:t>
      </w:r>
    </w:p>
    <w:p w14:paraId="1CD6AC9F" w14:textId="026BDA00" w:rsidR="005F5047" w:rsidRDefault="005B7FC2" w:rsidP="00634E79">
      <w:pPr>
        <w:rPr>
          <w:rFonts w:ascii="Times New Roman" w:hAnsi="Times New Roman" w:cs="Times New Roman"/>
          <w:sz w:val="24"/>
          <w:szCs w:val="24"/>
          <w:lang w:val="en-US"/>
        </w:rPr>
      </w:pPr>
      <w:r>
        <w:rPr>
          <w:rFonts w:ascii="Times New Roman" w:hAnsi="Times New Roman" w:cs="Times New Roman"/>
          <w:sz w:val="24"/>
          <w:szCs w:val="24"/>
          <w:lang w:val="en-US"/>
        </w:rPr>
        <w:t>We therefore estimate a Vector Error Correction Model and test whether the loading coefficient of the Error Correction Term (ECT</w:t>
      </w:r>
      <w:r w:rsidR="005C3720">
        <w:rPr>
          <w:rFonts w:ascii="Times New Roman" w:hAnsi="Times New Roman" w:cs="Times New Roman"/>
          <w:sz w:val="24"/>
          <w:szCs w:val="24"/>
          <w:lang w:val="en-US"/>
        </w:rPr>
        <w:t>,</w:t>
      </w:r>
      <w:r>
        <w:rPr>
          <w:rFonts w:ascii="Times New Roman" w:hAnsi="Times New Roman" w:cs="Times New Roman"/>
          <w:sz w:val="24"/>
          <w:szCs w:val="24"/>
          <w:lang w:val="en-US"/>
        </w:rPr>
        <w:t xml:space="preserve"> lagged once</w:t>
      </w:r>
      <w:r w:rsidR="005C3720">
        <w:rPr>
          <w:rFonts w:ascii="Times New Roman" w:hAnsi="Times New Roman" w:cs="Times New Roman"/>
          <w:sz w:val="24"/>
          <w:szCs w:val="24"/>
          <w:lang w:val="en-US"/>
        </w:rPr>
        <w:t>)</w:t>
      </w:r>
      <w:r>
        <w:rPr>
          <w:rFonts w:ascii="Times New Roman" w:hAnsi="Times New Roman" w:cs="Times New Roman"/>
          <w:sz w:val="24"/>
          <w:szCs w:val="24"/>
          <w:lang w:val="en-US"/>
        </w:rPr>
        <w:t xml:space="preserve"> is negative and significant</w:t>
      </w:r>
      <w:r w:rsidR="005C3720">
        <w:rPr>
          <w:rFonts w:ascii="Times New Roman" w:hAnsi="Times New Roman" w:cs="Times New Roman"/>
          <w:sz w:val="24"/>
          <w:szCs w:val="24"/>
          <w:lang w:val="en-US"/>
        </w:rPr>
        <w:t xml:space="preserve"> in the endogenous variables</w:t>
      </w:r>
      <w:r w:rsidR="00263AE6">
        <w:rPr>
          <w:rFonts w:ascii="Times New Roman" w:hAnsi="Times New Roman" w:cs="Times New Roman"/>
          <w:sz w:val="24"/>
          <w:szCs w:val="24"/>
          <w:lang w:val="en-US"/>
        </w:rPr>
        <w:t>’</w:t>
      </w:r>
      <w:r w:rsidR="005C3720">
        <w:rPr>
          <w:rFonts w:ascii="Times New Roman" w:hAnsi="Times New Roman" w:cs="Times New Roman"/>
          <w:sz w:val="24"/>
          <w:szCs w:val="24"/>
          <w:lang w:val="en-US"/>
        </w:rPr>
        <w:t xml:space="preserve"> equations. </w:t>
      </w:r>
      <w:r w:rsidR="00263AE6">
        <w:rPr>
          <w:rFonts w:ascii="Times New Roman" w:hAnsi="Times New Roman" w:cs="Times New Roman"/>
          <w:sz w:val="24"/>
          <w:szCs w:val="24"/>
          <w:lang w:val="en-US"/>
        </w:rPr>
        <w:t xml:space="preserve">The variables GRO and TSTR are included as short-run exogenous regressors. </w:t>
      </w:r>
      <w:r w:rsidR="005C3720">
        <w:rPr>
          <w:rFonts w:ascii="Times New Roman" w:hAnsi="Times New Roman" w:cs="Times New Roman"/>
          <w:sz w:val="24"/>
          <w:szCs w:val="24"/>
          <w:lang w:val="en-US"/>
        </w:rPr>
        <w:t>Given the very short time series, we use only a time lag of one. The results are as follows.</w:t>
      </w:r>
    </w:p>
    <w:p w14:paraId="7BC51908" w14:textId="77777777" w:rsidR="0085037F" w:rsidRDefault="0085037F" w:rsidP="00634E79">
      <w:pPr>
        <w:rPr>
          <w:rFonts w:ascii="Times New Roman" w:hAnsi="Times New Roman" w:cs="Times New Roman"/>
          <w:sz w:val="24"/>
          <w:szCs w:val="24"/>
          <w:lang w:val="en-US"/>
        </w:rPr>
      </w:pPr>
    </w:p>
    <w:p w14:paraId="2AE82E2D" w14:textId="77777777" w:rsidR="00D04B66" w:rsidRDefault="00D04B66" w:rsidP="00634E79">
      <w:pPr>
        <w:rPr>
          <w:rFonts w:ascii="Times New Roman" w:hAnsi="Times New Roman" w:cs="Times New Roman"/>
          <w:sz w:val="24"/>
          <w:szCs w:val="24"/>
          <w:lang w:val="en-US"/>
        </w:rPr>
      </w:pPr>
    </w:p>
    <w:p w14:paraId="45801F0F" w14:textId="77777777" w:rsidR="00D04B66" w:rsidRDefault="00D04B66" w:rsidP="00634E79">
      <w:pPr>
        <w:rPr>
          <w:rFonts w:ascii="Times New Roman" w:hAnsi="Times New Roman" w:cs="Times New Roman"/>
          <w:sz w:val="24"/>
          <w:szCs w:val="24"/>
          <w:lang w:val="en-US"/>
        </w:rPr>
      </w:pPr>
    </w:p>
    <w:p w14:paraId="765DD935" w14:textId="77777777" w:rsidR="00D04B66" w:rsidRDefault="00D04B66" w:rsidP="00634E79">
      <w:pPr>
        <w:rPr>
          <w:rFonts w:ascii="Times New Roman" w:hAnsi="Times New Roman" w:cs="Times New Roman"/>
          <w:sz w:val="24"/>
          <w:szCs w:val="24"/>
          <w:lang w:val="en-US"/>
        </w:rPr>
      </w:pPr>
    </w:p>
    <w:p w14:paraId="47787DAF" w14:textId="0962C0EA" w:rsidR="000948E6" w:rsidRPr="00263AE6" w:rsidRDefault="00D04B66" w:rsidP="00D04B66">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Table 4: Vector Error Correction Estimates – Model 1 </w:t>
      </w:r>
      <w:r w:rsidR="0085037F" w:rsidRPr="0085037F">
        <w:rPr>
          <w:noProof/>
        </w:rPr>
        <w:drawing>
          <wp:inline distT="0" distB="0" distL="0" distR="0" wp14:anchorId="1F292D11" wp14:editId="441365F0">
            <wp:extent cx="4346575" cy="8495148"/>
            <wp:effectExtent l="0" t="0" r="0" b="1270"/>
            <wp:docPr id="119944479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0397" cy="8502617"/>
                    </a:xfrm>
                    <a:prstGeom prst="rect">
                      <a:avLst/>
                    </a:prstGeom>
                    <a:noFill/>
                    <a:ln>
                      <a:noFill/>
                    </a:ln>
                  </pic:spPr>
                </pic:pic>
              </a:graphicData>
            </a:graphic>
          </wp:inline>
        </w:drawing>
      </w:r>
    </w:p>
    <w:p w14:paraId="313A4AF5" w14:textId="671F48A3" w:rsidR="0085037F" w:rsidRDefault="008275B4" w:rsidP="00634E7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The Error Correction Term is negative and significant in the short-run equation for the variable VA</w:t>
      </w:r>
      <w:r w:rsidR="0085037F">
        <w:rPr>
          <w:rFonts w:ascii="Times New Roman" w:hAnsi="Times New Roman" w:cs="Times New Roman"/>
          <w:sz w:val="24"/>
          <w:szCs w:val="24"/>
          <w:lang w:val="en-US"/>
        </w:rPr>
        <w:t>LADJ</w:t>
      </w:r>
      <w:r>
        <w:rPr>
          <w:rFonts w:ascii="Times New Roman" w:hAnsi="Times New Roman" w:cs="Times New Roman"/>
          <w:sz w:val="24"/>
          <w:szCs w:val="24"/>
          <w:lang w:val="en-US"/>
        </w:rPr>
        <w:t>. R-square for this equation is 0.6</w:t>
      </w:r>
      <w:r w:rsidR="0085037F">
        <w:rPr>
          <w:rFonts w:ascii="Times New Roman" w:hAnsi="Times New Roman" w:cs="Times New Roman"/>
          <w:sz w:val="24"/>
          <w:szCs w:val="24"/>
          <w:lang w:val="en-US"/>
        </w:rPr>
        <w:t>55</w:t>
      </w:r>
      <w:r>
        <w:rPr>
          <w:rFonts w:ascii="Times New Roman" w:hAnsi="Times New Roman" w:cs="Times New Roman"/>
          <w:sz w:val="24"/>
          <w:szCs w:val="24"/>
          <w:lang w:val="en-US"/>
        </w:rPr>
        <w:t xml:space="preserve"> which is quite high</w:t>
      </w:r>
      <w:r w:rsidR="005A24E8">
        <w:rPr>
          <w:rFonts w:ascii="Times New Roman" w:hAnsi="Times New Roman" w:cs="Times New Roman"/>
          <w:sz w:val="24"/>
          <w:szCs w:val="24"/>
          <w:lang w:val="en-US"/>
        </w:rPr>
        <w:t xml:space="preserve">. </w:t>
      </w:r>
      <w:r w:rsidR="0085037F">
        <w:rPr>
          <w:rFonts w:ascii="Times New Roman" w:hAnsi="Times New Roman" w:cs="Times New Roman"/>
          <w:sz w:val="24"/>
          <w:szCs w:val="24"/>
          <w:lang w:val="en-US"/>
        </w:rPr>
        <w:t>Likewise, LDR and LR may also be endogenous, but we do not analyze this further as we are interested in identifying the determinants of value adjustments. There is, however a problem in the cointegrating equation in the upper section. The long-term interest rate is insignificant. It can be assumed that this is due to the collinearity between LR and U. A separate cointegration test for LR and U was conducted, with the result of co cointegration. Therefore, U wa</w:t>
      </w:r>
      <w:r w:rsidR="00A3649A">
        <w:rPr>
          <w:rFonts w:ascii="Times New Roman" w:hAnsi="Times New Roman" w:cs="Times New Roman"/>
          <w:sz w:val="24"/>
          <w:szCs w:val="24"/>
          <w:lang w:val="en-US"/>
        </w:rPr>
        <w:t>s</w:t>
      </w:r>
      <w:r w:rsidR="0085037F">
        <w:rPr>
          <w:rFonts w:ascii="Times New Roman" w:hAnsi="Times New Roman" w:cs="Times New Roman"/>
          <w:sz w:val="24"/>
          <w:szCs w:val="24"/>
          <w:lang w:val="en-US"/>
        </w:rPr>
        <w:t xml:space="preserve"> removed from the long-run equation.</w:t>
      </w:r>
    </w:p>
    <w:p w14:paraId="3DDA8FCC" w14:textId="77777777" w:rsidR="0085037F" w:rsidRDefault="0085037F" w:rsidP="00634E79">
      <w:pPr>
        <w:rPr>
          <w:rFonts w:ascii="Times New Roman" w:hAnsi="Times New Roman" w:cs="Times New Roman"/>
          <w:sz w:val="24"/>
          <w:szCs w:val="24"/>
          <w:lang w:val="en-US"/>
        </w:rPr>
      </w:pPr>
    </w:p>
    <w:p w14:paraId="393188D9" w14:textId="14E5E29B" w:rsidR="00DB7BCC" w:rsidRDefault="00DB7BCC" w:rsidP="00E50C0E">
      <w:pPr>
        <w:jc w:val="center"/>
        <w:rPr>
          <w:rFonts w:ascii="Times New Roman" w:hAnsi="Times New Roman" w:cs="Times New Roman"/>
          <w:sz w:val="24"/>
          <w:szCs w:val="24"/>
          <w:lang w:val="en-US"/>
        </w:rPr>
      </w:pPr>
      <w:r w:rsidRPr="00DB7BCC">
        <w:rPr>
          <w:rFonts w:ascii="Times New Roman" w:hAnsi="Times New Roman" w:cs="Times New Roman"/>
          <w:sz w:val="24"/>
          <w:szCs w:val="24"/>
          <w:lang w:val="en-US"/>
        </w:rPr>
        <w:lastRenderedPageBreak/>
        <w:t xml:space="preserve">Table 4: Vector Error Correction Model Estimates – Model </w:t>
      </w:r>
      <w:r>
        <w:rPr>
          <w:rFonts w:ascii="Times New Roman" w:hAnsi="Times New Roman" w:cs="Times New Roman"/>
          <w:sz w:val="24"/>
          <w:szCs w:val="24"/>
          <w:lang w:val="en-US"/>
        </w:rPr>
        <w:t>2</w:t>
      </w:r>
      <w:r w:rsidR="00D04B66">
        <w:rPr>
          <w:rFonts w:ascii="Times New Roman" w:hAnsi="Times New Roman" w:cs="Times New Roman"/>
          <w:sz w:val="24"/>
          <w:szCs w:val="24"/>
          <w:lang w:val="en-US"/>
        </w:rPr>
        <w:t xml:space="preserve"> </w:t>
      </w:r>
      <w:r w:rsidR="00DD7C46" w:rsidRPr="00DD7C46">
        <w:rPr>
          <w:noProof/>
        </w:rPr>
        <w:drawing>
          <wp:inline distT="0" distB="0" distL="0" distR="0" wp14:anchorId="47B1C2E9" wp14:editId="4C5F0247">
            <wp:extent cx="3923489" cy="8000505"/>
            <wp:effectExtent l="0" t="0" r="1270" b="635"/>
            <wp:docPr id="57136312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6595" cy="8006839"/>
                    </a:xfrm>
                    <a:prstGeom prst="rect">
                      <a:avLst/>
                    </a:prstGeom>
                    <a:noFill/>
                    <a:ln>
                      <a:noFill/>
                    </a:ln>
                  </pic:spPr>
                </pic:pic>
              </a:graphicData>
            </a:graphic>
          </wp:inline>
        </w:drawing>
      </w:r>
    </w:p>
    <w:p w14:paraId="2990B2C2" w14:textId="77777777" w:rsidR="00DB7BCC" w:rsidRDefault="00DB7BCC" w:rsidP="00634E79">
      <w:pPr>
        <w:rPr>
          <w:rFonts w:ascii="Times New Roman" w:hAnsi="Times New Roman" w:cs="Times New Roman"/>
          <w:sz w:val="24"/>
          <w:szCs w:val="24"/>
          <w:lang w:val="en-US"/>
        </w:rPr>
      </w:pPr>
    </w:p>
    <w:p w14:paraId="3D5B332D" w14:textId="6EEC7CA6" w:rsidR="005C3720" w:rsidRDefault="00E50C0E" w:rsidP="00634E7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model 2, </w:t>
      </w:r>
      <w:r w:rsidR="005A24E8">
        <w:rPr>
          <w:rFonts w:ascii="Times New Roman" w:hAnsi="Times New Roman" w:cs="Times New Roman"/>
          <w:sz w:val="24"/>
          <w:szCs w:val="24"/>
          <w:lang w:val="en-US"/>
        </w:rPr>
        <w:t>the insignificant loading coefficients</w:t>
      </w:r>
      <w:r>
        <w:rPr>
          <w:rFonts w:ascii="Times New Roman" w:hAnsi="Times New Roman" w:cs="Times New Roman"/>
          <w:sz w:val="24"/>
          <w:szCs w:val="24"/>
          <w:lang w:val="en-US"/>
        </w:rPr>
        <w:t xml:space="preserve"> reveal that</w:t>
      </w:r>
      <w:r w:rsidR="008275B4">
        <w:rPr>
          <w:rFonts w:ascii="Times New Roman" w:hAnsi="Times New Roman" w:cs="Times New Roman"/>
          <w:sz w:val="24"/>
          <w:szCs w:val="24"/>
          <w:lang w:val="en-US"/>
        </w:rPr>
        <w:t xml:space="preserve"> LDR, LR, and DAVTOTASS can hardly be considered endogenous. </w:t>
      </w:r>
      <w:r>
        <w:rPr>
          <w:rFonts w:ascii="Times New Roman" w:hAnsi="Times New Roman" w:cs="Times New Roman"/>
          <w:sz w:val="24"/>
          <w:szCs w:val="24"/>
          <w:lang w:val="en-US"/>
        </w:rPr>
        <w:t>In the cointegrating equation, LDR, and the first difference of AVTOTASS are significant. Contrary to model 1, LR is now highly significant after the removal of U. As in model 1, the short-run regressors are not significant.</w:t>
      </w:r>
    </w:p>
    <w:p w14:paraId="5046B7C4" w14:textId="63AFAC3E" w:rsidR="00E50C0E" w:rsidRDefault="00E50C0E" w:rsidP="00E50C0E">
      <w:pPr>
        <w:rPr>
          <w:rFonts w:ascii="Times New Roman" w:hAnsi="Times New Roman" w:cs="Times New Roman"/>
          <w:sz w:val="24"/>
          <w:szCs w:val="24"/>
          <w:lang w:val="en-US"/>
        </w:rPr>
      </w:pPr>
      <w:r>
        <w:rPr>
          <w:rFonts w:ascii="Times New Roman" w:hAnsi="Times New Roman" w:cs="Times New Roman"/>
          <w:sz w:val="24"/>
          <w:szCs w:val="24"/>
          <w:lang w:val="en-US"/>
        </w:rPr>
        <w:t>Since</w:t>
      </w:r>
      <w:r w:rsidR="00236BF1">
        <w:rPr>
          <w:rFonts w:ascii="Times New Roman" w:hAnsi="Times New Roman" w:cs="Times New Roman"/>
          <w:sz w:val="24"/>
          <w:szCs w:val="24"/>
          <w:lang w:val="en-US"/>
        </w:rPr>
        <w:t xml:space="preserve"> the long-run relationship is normalized to VA</w:t>
      </w:r>
      <w:r w:rsidR="00413E89">
        <w:rPr>
          <w:rFonts w:ascii="Times New Roman" w:hAnsi="Times New Roman" w:cs="Times New Roman"/>
          <w:sz w:val="24"/>
          <w:szCs w:val="24"/>
          <w:lang w:val="en-US"/>
        </w:rPr>
        <w:t>LADJ</w:t>
      </w:r>
      <w:r w:rsidR="00236BF1">
        <w:rPr>
          <w:rFonts w:ascii="Times New Roman" w:hAnsi="Times New Roman" w:cs="Times New Roman"/>
          <w:sz w:val="24"/>
          <w:szCs w:val="24"/>
          <w:lang w:val="en-US"/>
        </w:rPr>
        <w:t xml:space="preserve">, </w:t>
      </w:r>
      <w:r w:rsidR="00BA1796">
        <w:rPr>
          <w:rFonts w:ascii="Times New Roman" w:hAnsi="Times New Roman" w:cs="Times New Roman"/>
          <w:sz w:val="24"/>
          <w:szCs w:val="24"/>
          <w:lang w:val="en-US"/>
        </w:rPr>
        <w:t xml:space="preserve">the signs have to be reversed in order to check whether the result complies with the hypotheses. </w:t>
      </w:r>
    </w:p>
    <w:p w14:paraId="3A521C3F" w14:textId="47FD10F7" w:rsidR="00DD7C46" w:rsidRDefault="00DD7C46" w:rsidP="00E50C0E">
      <w:pPr>
        <w:rPr>
          <w:rFonts w:ascii="Times New Roman" w:hAnsi="Times New Roman" w:cs="Times New Roman"/>
          <w:sz w:val="24"/>
          <w:szCs w:val="24"/>
          <w:lang w:val="en-US"/>
        </w:rPr>
      </w:pPr>
      <w:r>
        <w:rPr>
          <w:rFonts w:ascii="Times New Roman" w:hAnsi="Times New Roman" w:cs="Times New Roman"/>
          <w:sz w:val="24"/>
          <w:szCs w:val="24"/>
          <w:lang w:val="en-US"/>
        </w:rPr>
        <w:t>Starting with LR, the coefficient reveals that value adjustments and interest rates are positively related. Higher interest rates lead to higher value adjustments. This result confirms the simple correlation relationship as well as the results of the Bundesbank study.</w:t>
      </w:r>
    </w:p>
    <w:p w14:paraId="26744FE5" w14:textId="2DAB7727" w:rsidR="00075769" w:rsidRDefault="00075769" w:rsidP="00E50C0E">
      <w:pPr>
        <w:rPr>
          <w:rFonts w:ascii="Times New Roman" w:hAnsi="Times New Roman" w:cs="Times New Roman"/>
          <w:sz w:val="24"/>
          <w:szCs w:val="24"/>
          <w:lang w:val="en-US"/>
        </w:rPr>
      </w:pPr>
      <w:r>
        <w:rPr>
          <w:rFonts w:ascii="Times New Roman" w:hAnsi="Times New Roman" w:cs="Times New Roman"/>
          <w:sz w:val="24"/>
          <w:szCs w:val="24"/>
          <w:lang w:val="en-US"/>
        </w:rPr>
        <w:t xml:space="preserve">The bank-specific factors LDR and AVTOTASS also show the predicted signs. As the relative importance of loans rises, value adjustment will also increase, which is in accordance with most literature findings. The same effect has an increase in the average bank size. This result contradicts other empirical results, but </w:t>
      </w:r>
      <w:r w:rsidR="001A495F">
        <w:rPr>
          <w:rFonts w:ascii="Times New Roman" w:hAnsi="Times New Roman" w:cs="Times New Roman"/>
          <w:sz w:val="24"/>
          <w:szCs w:val="24"/>
          <w:lang w:val="en-US"/>
        </w:rPr>
        <w:t>agrees with the original business model of cooperative banks. It also shows, how misleading simple correlation or OLS regression analysis can be. Note, that the simple correlation is negative, i.e. larger banks will have less write-downs.</w:t>
      </w:r>
      <w:r w:rsidR="00502443">
        <w:rPr>
          <w:rFonts w:ascii="Times New Roman" w:hAnsi="Times New Roman" w:cs="Times New Roman"/>
          <w:sz w:val="24"/>
          <w:szCs w:val="24"/>
          <w:lang w:val="en-US"/>
        </w:rPr>
        <w:t xml:space="preserve"> </w:t>
      </w:r>
    </w:p>
    <w:p w14:paraId="45421A78" w14:textId="4F51768D" w:rsidR="00F84CEF" w:rsidRDefault="00852592" w:rsidP="00634E79">
      <w:pPr>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directly compare the effects of AVTOTASS, LDR, and LR </w:t>
      </w:r>
      <w:r w:rsidR="00502443">
        <w:rPr>
          <w:rFonts w:ascii="Times New Roman" w:hAnsi="Times New Roman" w:cs="Times New Roman"/>
          <w:sz w:val="24"/>
          <w:szCs w:val="24"/>
          <w:lang w:val="en-US"/>
        </w:rPr>
        <w:t xml:space="preserve">in the cointegrating equation, </w:t>
      </w:r>
      <w:r>
        <w:rPr>
          <w:rFonts w:ascii="Times New Roman" w:hAnsi="Times New Roman" w:cs="Times New Roman"/>
          <w:sz w:val="24"/>
          <w:szCs w:val="24"/>
          <w:lang w:val="en-US"/>
        </w:rPr>
        <w:t xml:space="preserve">standardized coefficients should be </w:t>
      </w:r>
      <w:r w:rsidR="00502443">
        <w:rPr>
          <w:rFonts w:ascii="Times New Roman" w:hAnsi="Times New Roman" w:cs="Times New Roman"/>
          <w:sz w:val="24"/>
          <w:szCs w:val="24"/>
          <w:lang w:val="en-US"/>
        </w:rPr>
        <w:t>computed</w:t>
      </w:r>
      <w:r>
        <w:rPr>
          <w:rFonts w:ascii="Times New Roman" w:hAnsi="Times New Roman" w:cs="Times New Roman"/>
          <w:sz w:val="24"/>
          <w:szCs w:val="24"/>
          <w:lang w:val="en-US"/>
        </w:rPr>
        <w:t xml:space="preserve">. As the EVIEWS software output does not report standardized coefficients, t-statistics can serve as a substitute. Comparing the t-stats shows that LR is the most important variable. The long-term downward trend of the </w:t>
      </w:r>
      <w:r w:rsidR="005A371D">
        <w:rPr>
          <w:rFonts w:ascii="Times New Roman" w:hAnsi="Times New Roman" w:cs="Times New Roman"/>
          <w:sz w:val="24"/>
          <w:szCs w:val="24"/>
          <w:lang w:val="en-US"/>
        </w:rPr>
        <w:t xml:space="preserve">capital market interest rate is thus the main driving factor behind the improved result from revaluations. Increasing bank size and the strategic shifts towards more lending </w:t>
      </w:r>
      <w:r w:rsidR="00502443">
        <w:rPr>
          <w:rFonts w:ascii="Times New Roman" w:hAnsi="Times New Roman" w:cs="Times New Roman"/>
          <w:sz w:val="24"/>
          <w:szCs w:val="24"/>
          <w:lang w:val="en-US"/>
        </w:rPr>
        <w:t xml:space="preserve">have </w:t>
      </w:r>
      <w:r w:rsidR="005A371D">
        <w:rPr>
          <w:rFonts w:ascii="Times New Roman" w:hAnsi="Times New Roman" w:cs="Times New Roman"/>
          <w:sz w:val="24"/>
          <w:szCs w:val="24"/>
          <w:lang w:val="en-US"/>
        </w:rPr>
        <w:t>counteract</w:t>
      </w:r>
      <w:r w:rsidR="00502443">
        <w:rPr>
          <w:rFonts w:ascii="Times New Roman" w:hAnsi="Times New Roman" w:cs="Times New Roman"/>
          <w:sz w:val="24"/>
          <w:szCs w:val="24"/>
          <w:lang w:val="en-US"/>
        </w:rPr>
        <w:t>ed</w:t>
      </w:r>
      <w:r w:rsidR="005A371D">
        <w:rPr>
          <w:rFonts w:ascii="Times New Roman" w:hAnsi="Times New Roman" w:cs="Times New Roman"/>
          <w:sz w:val="24"/>
          <w:szCs w:val="24"/>
          <w:lang w:val="en-US"/>
        </w:rPr>
        <w:t xml:space="preserve"> this. As the downward interest rate trend has come to an end in 2022, increasing average bank size </w:t>
      </w:r>
      <w:r w:rsidR="005A24E8">
        <w:rPr>
          <w:rFonts w:ascii="Times New Roman" w:hAnsi="Times New Roman" w:cs="Times New Roman"/>
          <w:sz w:val="24"/>
          <w:szCs w:val="24"/>
          <w:lang w:val="en-US"/>
        </w:rPr>
        <w:t xml:space="preserve">due to mergers is likely to </w:t>
      </w:r>
      <w:r w:rsidR="006F7951">
        <w:rPr>
          <w:rFonts w:ascii="Times New Roman" w:hAnsi="Times New Roman" w:cs="Times New Roman"/>
          <w:sz w:val="24"/>
          <w:szCs w:val="24"/>
          <w:lang w:val="en-US"/>
        </w:rPr>
        <w:t>produce additional value corrections. It must be pointed out, that the creation of ever larger banks contradicts the traditional cooperative banking business model.</w:t>
      </w:r>
      <w:r w:rsidR="00D04B66">
        <w:rPr>
          <w:rFonts w:ascii="Times New Roman" w:hAnsi="Times New Roman" w:cs="Times New Roman"/>
          <w:sz w:val="24"/>
          <w:szCs w:val="24"/>
          <w:lang w:val="en-US"/>
        </w:rPr>
        <w:t xml:space="preserve"> Based on the t-statistics the two bank-specific variables account for approximately 59 percent of the total effect.</w:t>
      </w:r>
      <w:r w:rsidR="006F7951">
        <w:rPr>
          <w:rFonts w:ascii="Times New Roman" w:hAnsi="Times New Roman" w:cs="Times New Roman"/>
          <w:sz w:val="24"/>
          <w:szCs w:val="24"/>
          <w:lang w:val="en-US"/>
        </w:rPr>
        <w:t xml:space="preserve"> </w:t>
      </w:r>
      <w:r w:rsidR="00D04B66">
        <w:rPr>
          <w:rFonts w:ascii="Times New Roman" w:hAnsi="Times New Roman" w:cs="Times New Roman"/>
          <w:sz w:val="24"/>
          <w:szCs w:val="24"/>
          <w:lang w:val="en-US"/>
        </w:rPr>
        <w:t>These results do not</w:t>
      </w:r>
      <w:r w:rsidR="006F7951">
        <w:rPr>
          <w:rFonts w:ascii="Times New Roman" w:hAnsi="Times New Roman" w:cs="Times New Roman"/>
          <w:sz w:val="24"/>
          <w:szCs w:val="24"/>
          <w:lang w:val="en-US"/>
        </w:rPr>
        <w:t>, however, imply that banks get less profitable because of increasing value adjustments</w:t>
      </w:r>
      <w:r w:rsidR="0062650F">
        <w:rPr>
          <w:rFonts w:ascii="Times New Roman" w:hAnsi="Times New Roman" w:cs="Times New Roman"/>
          <w:sz w:val="24"/>
          <w:szCs w:val="24"/>
          <w:lang w:val="en-US"/>
        </w:rPr>
        <w:t xml:space="preserve">. Theoretically, this effect could be counteracted by economies of scale. For German cooperative banks, </w:t>
      </w:r>
      <w:r w:rsidR="00502443">
        <w:rPr>
          <w:rFonts w:ascii="Times New Roman" w:hAnsi="Times New Roman" w:cs="Times New Roman"/>
          <w:sz w:val="24"/>
          <w:szCs w:val="24"/>
          <w:lang w:val="en-US"/>
        </w:rPr>
        <w:t xml:space="preserve">however, </w:t>
      </w:r>
      <w:r w:rsidR="0062650F">
        <w:rPr>
          <w:rFonts w:ascii="Times New Roman" w:hAnsi="Times New Roman" w:cs="Times New Roman"/>
          <w:sz w:val="24"/>
          <w:szCs w:val="24"/>
          <w:lang w:val="en-US"/>
        </w:rPr>
        <w:t>this theory has not yet been supported empirically</w:t>
      </w:r>
      <w:r w:rsidR="000C7DB9">
        <w:rPr>
          <w:rFonts w:ascii="Times New Roman" w:hAnsi="Times New Roman" w:cs="Times New Roman"/>
          <w:sz w:val="24"/>
          <w:szCs w:val="24"/>
          <w:lang w:val="en-US"/>
        </w:rPr>
        <w:t xml:space="preserve"> (</w:t>
      </w:r>
      <w:proofErr w:type="spellStart"/>
      <w:r w:rsidR="000C7DB9">
        <w:rPr>
          <w:rFonts w:ascii="Times New Roman" w:hAnsi="Times New Roman" w:cs="Times New Roman"/>
          <w:sz w:val="24"/>
          <w:szCs w:val="24"/>
          <w:lang w:val="en-US"/>
        </w:rPr>
        <w:t>Abeska</w:t>
      </w:r>
      <w:proofErr w:type="spellEnd"/>
      <w:r w:rsidR="000C7DB9">
        <w:rPr>
          <w:rFonts w:ascii="Times New Roman" w:hAnsi="Times New Roman" w:cs="Times New Roman"/>
          <w:sz w:val="24"/>
          <w:szCs w:val="24"/>
          <w:lang w:val="en-US"/>
        </w:rPr>
        <w:t>-Fritsch, 2014)</w:t>
      </w:r>
      <w:r w:rsidR="0062650F">
        <w:rPr>
          <w:rFonts w:ascii="Times New Roman" w:hAnsi="Times New Roman" w:cs="Times New Roman"/>
          <w:sz w:val="24"/>
          <w:szCs w:val="24"/>
          <w:lang w:val="en-US"/>
        </w:rPr>
        <w:t>.</w:t>
      </w:r>
    </w:p>
    <w:p w14:paraId="5CB9A11E" w14:textId="77777777" w:rsidR="005F5047" w:rsidRDefault="005F5047" w:rsidP="00634E79">
      <w:pPr>
        <w:rPr>
          <w:rFonts w:ascii="Times New Roman" w:hAnsi="Times New Roman" w:cs="Times New Roman"/>
          <w:sz w:val="24"/>
          <w:szCs w:val="24"/>
          <w:lang w:val="en-US"/>
        </w:rPr>
      </w:pPr>
    </w:p>
    <w:p w14:paraId="0A561DFD" w14:textId="727CCEA3" w:rsidR="00634E79" w:rsidRPr="0099369E" w:rsidRDefault="0099369E" w:rsidP="0099369E">
      <w:pPr>
        <w:pStyle w:val="Listenabsatz"/>
        <w:numPr>
          <w:ilvl w:val="1"/>
          <w:numId w:val="5"/>
        </w:numPr>
        <w:rPr>
          <w:rFonts w:ascii="Times New Roman" w:hAnsi="Times New Roman" w:cs="Times New Roman"/>
          <w:b/>
          <w:bCs/>
          <w:sz w:val="24"/>
          <w:szCs w:val="24"/>
          <w:lang w:val="en-US"/>
        </w:rPr>
      </w:pPr>
      <w:r w:rsidRPr="0099369E">
        <w:rPr>
          <w:rFonts w:ascii="Times New Roman" w:hAnsi="Times New Roman" w:cs="Times New Roman"/>
          <w:b/>
          <w:bCs/>
          <w:sz w:val="24"/>
          <w:szCs w:val="24"/>
          <w:lang w:val="en-US"/>
        </w:rPr>
        <w:t xml:space="preserve"> Short-run Effects</w:t>
      </w:r>
    </w:p>
    <w:p w14:paraId="55426515" w14:textId="004E1CB9" w:rsidR="00634E79" w:rsidRDefault="006F0584" w:rsidP="00634E79">
      <w:pPr>
        <w:rPr>
          <w:rFonts w:ascii="Times New Roman" w:hAnsi="Times New Roman" w:cs="Times New Roman"/>
          <w:sz w:val="24"/>
          <w:szCs w:val="24"/>
          <w:lang w:val="en-US"/>
        </w:rPr>
      </w:pPr>
      <w:r>
        <w:rPr>
          <w:rFonts w:ascii="Times New Roman" w:hAnsi="Times New Roman" w:cs="Times New Roman"/>
          <w:sz w:val="24"/>
          <w:szCs w:val="24"/>
          <w:lang w:val="en-US"/>
        </w:rPr>
        <w:t>Apart from the long-run effects captured by the cointegrating equation, a few short-run effects will be discussed. First, the variables GRO and TSTR are insignificant, which is somewhat surprising.</w:t>
      </w:r>
      <w:r w:rsidR="00DE40E9">
        <w:rPr>
          <w:rFonts w:ascii="Times New Roman" w:hAnsi="Times New Roman" w:cs="Times New Roman"/>
          <w:sz w:val="24"/>
          <w:szCs w:val="24"/>
          <w:lang w:val="en-US"/>
        </w:rPr>
        <w:t xml:space="preserve"> The annual changes of VA are significant and negatively related to last years’ VA. This indicates rather quick corrections in case of too high or too low adjustments. Changes of the loans-to-deposit-ratio and changes of bank size are borderline significant, as the following table shows. However, given the rather short time series, this result should not be overinterpreted.</w:t>
      </w:r>
    </w:p>
    <w:p w14:paraId="2B5E4B83" w14:textId="77777777" w:rsidR="00F640E8" w:rsidRDefault="00F640E8" w:rsidP="00634E79">
      <w:pPr>
        <w:rPr>
          <w:rFonts w:ascii="Times New Roman" w:hAnsi="Times New Roman" w:cs="Times New Roman"/>
          <w:sz w:val="24"/>
          <w:szCs w:val="24"/>
          <w:lang w:val="en-US"/>
        </w:rPr>
      </w:pPr>
    </w:p>
    <w:p w14:paraId="62ABB825" w14:textId="77777777" w:rsidR="00F640E8" w:rsidRDefault="00F640E8" w:rsidP="00634E79">
      <w:pPr>
        <w:rPr>
          <w:rFonts w:ascii="Times New Roman" w:hAnsi="Times New Roman" w:cs="Times New Roman"/>
          <w:sz w:val="24"/>
          <w:szCs w:val="24"/>
          <w:lang w:val="en-US"/>
        </w:rPr>
      </w:pPr>
    </w:p>
    <w:p w14:paraId="38CAE724" w14:textId="77777777" w:rsidR="00F640E8" w:rsidRDefault="00F640E8" w:rsidP="00634E79">
      <w:pPr>
        <w:rPr>
          <w:rFonts w:ascii="Times New Roman" w:hAnsi="Times New Roman" w:cs="Times New Roman"/>
          <w:sz w:val="24"/>
          <w:szCs w:val="24"/>
          <w:lang w:val="en-US"/>
        </w:rPr>
      </w:pPr>
    </w:p>
    <w:p w14:paraId="616EFE98" w14:textId="77777777" w:rsidR="00F640E8" w:rsidRDefault="00F640E8" w:rsidP="00634E79">
      <w:pPr>
        <w:rPr>
          <w:rFonts w:ascii="Times New Roman" w:hAnsi="Times New Roman" w:cs="Times New Roman"/>
          <w:sz w:val="24"/>
          <w:szCs w:val="24"/>
          <w:lang w:val="en-US"/>
        </w:rPr>
      </w:pPr>
    </w:p>
    <w:p w14:paraId="42322207" w14:textId="5A3807C9" w:rsidR="00DE40E9" w:rsidRDefault="00DE40E9" w:rsidP="00F640E8">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Table 5: </w:t>
      </w:r>
      <w:r w:rsidR="00F640E8">
        <w:rPr>
          <w:rFonts w:ascii="Times New Roman" w:hAnsi="Times New Roman" w:cs="Times New Roman"/>
          <w:sz w:val="24"/>
          <w:szCs w:val="24"/>
          <w:lang w:val="en-US"/>
        </w:rPr>
        <w:t>Block Exogeneity Wald Tests</w:t>
      </w:r>
    </w:p>
    <w:p w14:paraId="595B45EE" w14:textId="7A9399DC" w:rsidR="00DE40E9" w:rsidRPr="00634E79" w:rsidRDefault="00F640E8" w:rsidP="00F640E8">
      <w:pPr>
        <w:jc w:val="center"/>
        <w:rPr>
          <w:rFonts w:ascii="Times New Roman" w:hAnsi="Times New Roman" w:cs="Times New Roman"/>
          <w:sz w:val="24"/>
          <w:szCs w:val="24"/>
          <w:lang w:val="en-US"/>
        </w:rPr>
      </w:pPr>
      <w:r w:rsidRPr="00F640E8">
        <w:rPr>
          <w:noProof/>
        </w:rPr>
        <w:drawing>
          <wp:inline distT="0" distB="0" distL="0" distR="0" wp14:anchorId="33EF1D46" wp14:editId="799F97E8">
            <wp:extent cx="3302000" cy="1390650"/>
            <wp:effectExtent l="0" t="0" r="0" b="0"/>
            <wp:docPr id="169772389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2000" cy="1390650"/>
                    </a:xfrm>
                    <a:prstGeom prst="rect">
                      <a:avLst/>
                    </a:prstGeom>
                    <a:noFill/>
                    <a:ln>
                      <a:noFill/>
                    </a:ln>
                  </pic:spPr>
                </pic:pic>
              </a:graphicData>
            </a:graphic>
          </wp:inline>
        </w:drawing>
      </w:r>
    </w:p>
    <w:p w14:paraId="5C72C66E" w14:textId="114A4139" w:rsidR="0056579E" w:rsidRPr="00F640E8" w:rsidRDefault="00F640E8" w:rsidP="00F640E8">
      <w:pPr>
        <w:rPr>
          <w:rFonts w:ascii="Times New Roman" w:hAnsi="Times New Roman" w:cs="Times New Roman"/>
          <w:sz w:val="24"/>
          <w:szCs w:val="24"/>
          <w:lang w:val="en-US"/>
        </w:rPr>
      </w:pPr>
      <w:r>
        <w:rPr>
          <w:rFonts w:ascii="Times New Roman" w:hAnsi="Times New Roman" w:cs="Times New Roman"/>
          <w:sz w:val="24"/>
          <w:szCs w:val="24"/>
          <w:lang w:val="en-US"/>
        </w:rPr>
        <w:t>The long-run interest rate does not have any short-run effect.</w:t>
      </w:r>
    </w:p>
    <w:p w14:paraId="0E767FF8" w14:textId="77777777" w:rsidR="00F640E8" w:rsidRPr="0056579E" w:rsidRDefault="00F640E8" w:rsidP="0056579E">
      <w:pPr>
        <w:pStyle w:val="Listenabsatz"/>
        <w:rPr>
          <w:rFonts w:ascii="Times New Roman" w:hAnsi="Times New Roman" w:cs="Times New Roman"/>
          <w:sz w:val="24"/>
          <w:szCs w:val="24"/>
          <w:lang w:val="en-US"/>
        </w:rPr>
      </w:pPr>
    </w:p>
    <w:p w14:paraId="19513BE0" w14:textId="438E72E6" w:rsidR="0056579E" w:rsidRPr="00F640E8" w:rsidRDefault="0056579E" w:rsidP="00F640E8">
      <w:pPr>
        <w:pStyle w:val="Listenabsatz"/>
        <w:numPr>
          <w:ilvl w:val="0"/>
          <w:numId w:val="5"/>
        </w:numPr>
        <w:rPr>
          <w:rFonts w:ascii="Times New Roman" w:hAnsi="Times New Roman" w:cs="Times New Roman"/>
          <w:b/>
          <w:bCs/>
          <w:sz w:val="24"/>
          <w:szCs w:val="24"/>
          <w:lang w:val="en-US"/>
        </w:rPr>
      </w:pPr>
      <w:r w:rsidRPr="00F640E8">
        <w:rPr>
          <w:rFonts w:ascii="Times New Roman" w:hAnsi="Times New Roman" w:cs="Times New Roman"/>
          <w:b/>
          <w:bCs/>
          <w:sz w:val="24"/>
          <w:szCs w:val="24"/>
          <w:lang w:val="en-US"/>
        </w:rPr>
        <w:t>Conclusio</w:t>
      </w:r>
      <w:r w:rsidR="002230B8" w:rsidRPr="00F640E8">
        <w:rPr>
          <w:rFonts w:ascii="Times New Roman" w:hAnsi="Times New Roman" w:cs="Times New Roman"/>
          <w:b/>
          <w:bCs/>
          <w:sz w:val="24"/>
          <w:szCs w:val="24"/>
          <w:lang w:val="en-US"/>
        </w:rPr>
        <w:t>n</w:t>
      </w:r>
    </w:p>
    <w:p w14:paraId="48E3C546" w14:textId="31BC3E5A" w:rsidR="00F640E8" w:rsidRDefault="00F640E8" w:rsidP="00F640E8">
      <w:pPr>
        <w:rPr>
          <w:rFonts w:ascii="Times New Roman" w:hAnsi="Times New Roman" w:cs="Times New Roman"/>
          <w:sz w:val="24"/>
          <w:szCs w:val="24"/>
          <w:lang w:val="en-US"/>
        </w:rPr>
      </w:pPr>
      <w:r>
        <w:rPr>
          <w:rFonts w:ascii="Times New Roman" w:hAnsi="Times New Roman" w:cs="Times New Roman"/>
          <w:sz w:val="24"/>
          <w:szCs w:val="24"/>
          <w:lang w:val="en-US"/>
        </w:rPr>
        <w:t>The purpose of this study is the identification of main determinants of value adjustments in the German cooperative banking sector. A cointegration analysis of aggregate time series for these banks revealed some interesting and</w:t>
      </w:r>
      <w:r w:rsidR="00C31301">
        <w:rPr>
          <w:rFonts w:ascii="Times New Roman" w:hAnsi="Times New Roman" w:cs="Times New Roman"/>
          <w:sz w:val="24"/>
          <w:szCs w:val="24"/>
          <w:lang w:val="en-US"/>
        </w:rPr>
        <w:t>,</w:t>
      </w:r>
      <w:r>
        <w:rPr>
          <w:rFonts w:ascii="Times New Roman" w:hAnsi="Times New Roman" w:cs="Times New Roman"/>
          <w:sz w:val="24"/>
          <w:szCs w:val="24"/>
          <w:lang w:val="en-US"/>
        </w:rPr>
        <w:t xml:space="preserve"> so far unknown results.</w:t>
      </w:r>
    </w:p>
    <w:p w14:paraId="3CB080E3" w14:textId="0D2C91B9" w:rsidR="00F640E8" w:rsidRDefault="00F640E8" w:rsidP="00F640E8">
      <w:pPr>
        <w:pStyle w:val="Listenabsatz"/>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The only relevant macroeconomic variable</w:t>
      </w:r>
      <w:r w:rsidR="00C31301">
        <w:rPr>
          <w:rFonts w:ascii="Times New Roman" w:hAnsi="Times New Roman" w:cs="Times New Roman"/>
          <w:sz w:val="24"/>
          <w:szCs w:val="24"/>
          <w:lang w:val="en-US"/>
        </w:rPr>
        <w:t xml:space="preserve"> in the long-run</w:t>
      </w:r>
      <w:r>
        <w:rPr>
          <w:rFonts w:ascii="Times New Roman" w:hAnsi="Times New Roman" w:cs="Times New Roman"/>
          <w:sz w:val="24"/>
          <w:szCs w:val="24"/>
          <w:lang w:val="en-US"/>
        </w:rPr>
        <w:t xml:space="preserve"> is the long-term interest rate. Value adjustments decrease with falling interest rates. This factor seems to be the main driving factor behind the significant reduction of cooperative banks’ depreciation volume.</w:t>
      </w:r>
      <w:r w:rsidR="00756FE9">
        <w:rPr>
          <w:rFonts w:ascii="Times New Roman" w:hAnsi="Times New Roman" w:cs="Times New Roman"/>
          <w:sz w:val="24"/>
          <w:szCs w:val="24"/>
          <w:lang w:val="en-US"/>
        </w:rPr>
        <w:t xml:space="preserve"> Surprisingly, this variable has been rarely used in empirical research.</w:t>
      </w:r>
    </w:p>
    <w:p w14:paraId="2A3A558E" w14:textId="69E53A7A" w:rsidR="00F640E8" w:rsidRDefault="00F640E8" w:rsidP="00F640E8">
      <w:pPr>
        <w:pStyle w:val="Listenabsatz"/>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Short-term economic fluctuations (GDP growth, term structure of interest rates) d</w:t>
      </w:r>
      <w:r w:rsidR="00C31301">
        <w:rPr>
          <w:rFonts w:ascii="Times New Roman" w:hAnsi="Times New Roman" w:cs="Times New Roman"/>
          <w:sz w:val="24"/>
          <w:szCs w:val="24"/>
          <w:lang w:val="en-US"/>
        </w:rPr>
        <w:t>id</w:t>
      </w:r>
      <w:r>
        <w:rPr>
          <w:rFonts w:ascii="Times New Roman" w:hAnsi="Times New Roman" w:cs="Times New Roman"/>
          <w:sz w:val="24"/>
          <w:szCs w:val="24"/>
          <w:lang w:val="en-US"/>
        </w:rPr>
        <w:t xml:space="preserve"> not play a significant role.</w:t>
      </w:r>
    </w:p>
    <w:p w14:paraId="0F1361F6" w14:textId="7BE0D164" w:rsidR="00F640E8" w:rsidRDefault="00C31301" w:rsidP="00F640E8">
      <w:pPr>
        <w:pStyle w:val="Listenabsatz"/>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The growth in size of the average German cooperative bank has contributed to higher value adjustments. This result questions the growth and merger strategies of several banks. It supports, however, the traditional business model of rather small regionally oriented credit cooperatives.</w:t>
      </w:r>
    </w:p>
    <w:p w14:paraId="6D7378DE" w14:textId="6E9DA7A0" w:rsidR="00C31301" w:rsidRDefault="00C31301" w:rsidP="00F640E8">
      <w:pPr>
        <w:pStyle w:val="Listenabsatz"/>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The shift from the traditional deposit business to more loan-orientation seems to have increased the risk exposure of cooperative banks. As a result, value adjustments increased with a higher loan-to-deposit</w:t>
      </w:r>
      <w:r w:rsidR="00A04726">
        <w:rPr>
          <w:rFonts w:ascii="Times New Roman" w:hAnsi="Times New Roman" w:cs="Times New Roman"/>
          <w:sz w:val="24"/>
          <w:szCs w:val="24"/>
          <w:lang w:val="en-US"/>
        </w:rPr>
        <w:t xml:space="preserve"> </w:t>
      </w:r>
      <w:r>
        <w:rPr>
          <w:rFonts w:ascii="Times New Roman" w:hAnsi="Times New Roman" w:cs="Times New Roman"/>
          <w:sz w:val="24"/>
          <w:szCs w:val="24"/>
          <w:lang w:val="en-US"/>
        </w:rPr>
        <w:t>ratio.</w:t>
      </w:r>
    </w:p>
    <w:p w14:paraId="03272DA3" w14:textId="77777777" w:rsidR="00916681" w:rsidRDefault="00916681" w:rsidP="00C31301">
      <w:pPr>
        <w:rPr>
          <w:rFonts w:ascii="Times New Roman" w:hAnsi="Times New Roman" w:cs="Times New Roman"/>
          <w:sz w:val="24"/>
          <w:szCs w:val="24"/>
          <w:lang w:val="en-US"/>
        </w:rPr>
      </w:pPr>
    </w:p>
    <w:p w14:paraId="79830C8A" w14:textId="77777777" w:rsidR="003F222B" w:rsidRDefault="003F222B" w:rsidP="00C31301">
      <w:pPr>
        <w:rPr>
          <w:rFonts w:ascii="Times New Roman" w:hAnsi="Times New Roman" w:cs="Times New Roman"/>
          <w:sz w:val="24"/>
          <w:szCs w:val="24"/>
          <w:lang w:val="en-US"/>
        </w:rPr>
      </w:pPr>
    </w:p>
    <w:p w14:paraId="0EC87214" w14:textId="77777777" w:rsidR="003F222B" w:rsidRDefault="003F222B" w:rsidP="00C31301">
      <w:pPr>
        <w:rPr>
          <w:rFonts w:ascii="Times New Roman" w:hAnsi="Times New Roman" w:cs="Times New Roman"/>
          <w:sz w:val="24"/>
          <w:szCs w:val="24"/>
          <w:lang w:val="en-US"/>
        </w:rPr>
      </w:pPr>
    </w:p>
    <w:p w14:paraId="69479D08" w14:textId="77777777" w:rsidR="003F222B" w:rsidRDefault="003F222B" w:rsidP="00C31301">
      <w:pPr>
        <w:rPr>
          <w:rFonts w:ascii="Times New Roman" w:hAnsi="Times New Roman" w:cs="Times New Roman"/>
          <w:sz w:val="24"/>
          <w:szCs w:val="24"/>
          <w:lang w:val="en-US"/>
        </w:rPr>
      </w:pPr>
    </w:p>
    <w:p w14:paraId="31A1E160" w14:textId="77777777" w:rsidR="003F222B" w:rsidRDefault="003F222B" w:rsidP="00C31301">
      <w:pPr>
        <w:rPr>
          <w:rFonts w:ascii="Times New Roman" w:hAnsi="Times New Roman" w:cs="Times New Roman"/>
          <w:sz w:val="24"/>
          <w:szCs w:val="24"/>
          <w:lang w:val="en-US"/>
        </w:rPr>
      </w:pPr>
    </w:p>
    <w:p w14:paraId="59EF2A5B" w14:textId="77777777" w:rsidR="003F222B" w:rsidRDefault="003F222B" w:rsidP="00C31301">
      <w:pPr>
        <w:rPr>
          <w:rFonts w:ascii="Times New Roman" w:hAnsi="Times New Roman" w:cs="Times New Roman"/>
          <w:sz w:val="24"/>
          <w:szCs w:val="24"/>
          <w:lang w:val="en-US"/>
        </w:rPr>
      </w:pPr>
    </w:p>
    <w:p w14:paraId="6AEE61F6" w14:textId="77777777" w:rsidR="003F222B" w:rsidRDefault="003F222B" w:rsidP="00C31301">
      <w:pPr>
        <w:rPr>
          <w:rFonts w:ascii="Times New Roman" w:hAnsi="Times New Roman" w:cs="Times New Roman"/>
          <w:sz w:val="24"/>
          <w:szCs w:val="24"/>
          <w:lang w:val="en-US"/>
        </w:rPr>
      </w:pPr>
    </w:p>
    <w:p w14:paraId="31544D23" w14:textId="77777777" w:rsidR="003F222B" w:rsidRDefault="003F222B" w:rsidP="00C31301">
      <w:pPr>
        <w:rPr>
          <w:rFonts w:ascii="Times New Roman" w:hAnsi="Times New Roman" w:cs="Times New Roman"/>
          <w:sz w:val="24"/>
          <w:szCs w:val="24"/>
          <w:lang w:val="en-US"/>
        </w:rPr>
      </w:pPr>
    </w:p>
    <w:p w14:paraId="768721D8" w14:textId="142AEA2C" w:rsidR="00AB545F" w:rsidRPr="005A4952" w:rsidRDefault="00AB545F" w:rsidP="00C31301">
      <w:pPr>
        <w:rPr>
          <w:rFonts w:ascii="Times New Roman" w:hAnsi="Times New Roman" w:cs="Times New Roman"/>
          <w:b/>
          <w:bCs/>
          <w:sz w:val="24"/>
          <w:szCs w:val="24"/>
        </w:rPr>
      </w:pPr>
      <w:r w:rsidRPr="005A4952">
        <w:rPr>
          <w:rFonts w:ascii="Times New Roman" w:hAnsi="Times New Roman" w:cs="Times New Roman"/>
          <w:b/>
          <w:bCs/>
          <w:sz w:val="24"/>
          <w:szCs w:val="24"/>
        </w:rPr>
        <w:lastRenderedPageBreak/>
        <w:t>References</w:t>
      </w:r>
    </w:p>
    <w:p w14:paraId="427ACB03" w14:textId="77777777" w:rsidR="00A6724B" w:rsidRDefault="00A6724B" w:rsidP="00AD423A">
      <w:pPr>
        <w:rPr>
          <w:rFonts w:ascii="Times New Roman" w:hAnsi="Times New Roman" w:cs="Times New Roman"/>
          <w:sz w:val="24"/>
          <w:szCs w:val="24"/>
        </w:rPr>
      </w:pPr>
    </w:p>
    <w:p w14:paraId="5BFBFB3E" w14:textId="7045D7F5" w:rsidR="000C7DB9" w:rsidRPr="000C7DB9" w:rsidRDefault="000C7DB9" w:rsidP="00AD423A">
      <w:pPr>
        <w:rPr>
          <w:rFonts w:ascii="Times New Roman" w:hAnsi="Times New Roman" w:cs="Times New Roman"/>
          <w:sz w:val="24"/>
          <w:szCs w:val="24"/>
        </w:rPr>
      </w:pPr>
      <w:proofErr w:type="spellStart"/>
      <w:r w:rsidRPr="000C7DB9">
        <w:rPr>
          <w:rFonts w:ascii="Times New Roman" w:hAnsi="Times New Roman" w:cs="Times New Roman"/>
          <w:sz w:val="24"/>
          <w:szCs w:val="24"/>
        </w:rPr>
        <w:t>Abeska</w:t>
      </w:r>
      <w:proofErr w:type="spellEnd"/>
      <w:r w:rsidRPr="000C7DB9">
        <w:rPr>
          <w:rFonts w:ascii="Times New Roman" w:hAnsi="Times New Roman" w:cs="Times New Roman"/>
          <w:sz w:val="24"/>
          <w:szCs w:val="24"/>
        </w:rPr>
        <w:t>-Fritsch, A. (2014). Fusionserfolg b</w:t>
      </w:r>
      <w:r>
        <w:rPr>
          <w:rFonts w:ascii="Times New Roman" w:hAnsi="Times New Roman" w:cs="Times New Roman"/>
          <w:sz w:val="24"/>
          <w:szCs w:val="24"/>
        </w:rPr>
        <w:t>ayerischer Kreditgenossenschaften, Nürnberg, 2014.</w:t>
      </w:r>
    </w:p>
    <w:p w14:paraId="428470D2" w14:textId="64B9F567" w:rsidR="00261811" w:rsidRPr="00261811" w:rsidRDefault="00261811" w:rsidP="00AD423A">
      <w:pPr>
        <w:rPr>
          <w:rFonts w:ascii="Times New Roman" w:hAnsi="Times New Roman" w:cs="Times New Roman"/>
          <w:sz w:val="24"/>
          <w:szCs w:val="24"/>
          <w:lang w:val="en-US"/>
        </w:rPr>
      </w:pPr>
      <w:proofErr w:type="spellStart"/>
      <w:r w:rsidRPr="00261811">
        <w:rPr>
          <w:rFonts w:ascii="Times New Roman" w:hAnsi="Times New Roman" w:cs="Times New Roman"/>
          <w:sz w:val="24"/>
          <w:szCs w:val="24"/>
          <w:lang w:val="en-US"/>
        </w:rPr>
        <w:t>Arltová</w:t>
      </w:r>
      <w:proofErr w:type="spellEnd"/>
      <w:r w:rsidRPr="00261811">
        <w:rPr>
          <w:rFonts w:ascii="Times New Roman" w:hAnsi="Times New Roman" w:cs="Times New Roman"/>
          <w:sz w:val="24"/>
          <w:szCs w:val="24"/>
          <w:lang w:val="en-US"/>
        </w:rPr>
        <w:t xml:space="preserve">, M. and </w:t>
      </w:r>
      <w:proofErr w:type="spellStart"/>
      <w:r w:rsidRPr="00261811">
        <w:rPr>
          <w:rFonts w:ascii="Times New Roman" w:hAnsi="Times New Roman" w:cs="Times New Roman"/>
          <w:sz w:val="24"/>
          <w:szCs w:val="24"/>
          <w:lang w:val="en-US"/>
        </w:rPr>
        <w:t>Federová</w:t>
      </w:r>
      <w:proofErr w:type="spellEnd"/>
      <w:r w:rsidRPr="00261811">
        <w:rPr>
          <w:rFonts w:ascii="Times New Roman" w:hAnsi="Times New Roman" w:cs="Times New Roman"/>
          <w:sz w:val="24"/>
          <w:szCs w:val="24"/>
          <w:lang w:val="en-US"/>
        </w:rPr>
        <w:t>, D</w:t>
      </w:r>
      <w:r>
        <w:rPr>
          <w:rFonts w:ascii="Times New Roman" w:hAnsi="Times New Roman" w:cs="Times New Roman"/>
          <w:sz w:val="24"/>
          <w:szCs w:val="24"/>
          <w:lang w:val="en-US"/>
        </w:rPr>
        <w:t xml:space="preserve">. (2016). Selection of Unit Root Tests </w:t>
      </w:r>
      <w:proofErr w:type="spellStart"/>
      <w:r>
        <w:rPr>
          <w:rFonts w:ascii="Times New Roman" w:hAnsi="Times New Roman" w:cs="Times New Roman"/>
          <w:sz w:val="24"/>
          <w:szCs w:val="24"/>
          <w:lang w:val="en-US"/>
        </w:rPr>
        <w:t>an</w:t>
      </w:r>
      <w:proofErr w:type="spellEnd"/>
      <w:r>
        <w:rPr>
          <w:rFonts w:ascii="Times New Roman" w:hAnsi="Times New Roman" w:cs="Times New Roman"/>
          <w:sz w:val="24"/>
          <w:szCs w:val="24"/>
          <w:lang w:val="en-US"/>
        </w:rPr>
        <w:t xml:space="preserve"> the Basis of Time Series Length and Value of the </w:t>
      </w:r>
      <w:proofErr w:type="gramStart"/>
      <w:r>
        <w:rPr>
          <w:rFonts w:ascii="Times New Roman" w:hAnsi="Times New Roman" w:cs="Times New Roman"/>
          <w:sz w:val="24"/>
          <w:szCs w:val="24"/>
          <w:lang w:val="en-US"/>
        </w:rPr>
        <w:t>AR(</w:t>
      </w:r>
      <w:proofErr w:type="gramEnd"/>
      <w:r>
        <w:rPr>
          <w:rFonts w:ascii="Times New Roman" w:hAnsi="Times New Roman" w:cs="Times New Roman"/>
          <w:sz w:val="24"/>
          <w:szCs w:val="24"/>
          <w:lang w:val="en-US"/>
        </w:rPr>
        <w:t xml:space="preserve">1) Parameter, </w:t>
      </w:r>
      <w:proofErr w:type="spellStart"/>
      <w:r>
        <w:rPr>
          <w:rFonts w:ascii="Times New Roman" w:hAnsi="Times New Roman" w:cs="Times New Roman"/>
          <w:sz w:val="24"/>
          <w:szCs w:val="24"/>
          <w:lang w:val="en-US"/>
        </w:rPr>
        <w:t>Statistika</w:t>
      </w:r>
      <w:proofErr w:type="spellEnd"/>
      <w:r>
        <w:rPr>
          <w:rFonts w:ascii="Times New Roman" w:hAnsi="Times New Roman" w:cs="Times New Roman"/>
          <w:sz w:val="24"/>
          <w:szCs w:val="24"/>
          <w:lang w:val="en-US"/>
        </w:rPr>
        <w:t>, 96, 3, pp. 47-63.</w:t>
      </w:r>
    </w:p>
    <w:p w14:paraId="748A79B1" w14:textId="53FD880D" w:rsidR="00AD423A" w:rsidRPr="00AD423A" w:rsidRDefault="00AD423A" w:rsidP="00AD423A">
      <w:pPr>
        <w:rPr>
          <w:rFonts w:ascii="Times New Roman" w:hAnsi="Times New Roman" w:cs="Times New Roman"/>
          <w:sz w:val="24"/>
          <w:szCs w:val="24"/>
        </w:rPr>
      </w:pPr>
      <w:r w:rsidRPr="00AD423A">
        <w:rPr>
          <w:rFonts w:ascii="Times New Roman" w:hAnsi="Times New Roman" w:cs="Times New Roman"/>
          <w:sz w:val="24"/>
          <w:szCs w:val="24"/>
        </w:rPr>
        <w:t>Beckmann, K.</w:t>
      </w:r>
      <w:r w:rsidR="00266F3D">
        <w:rPr>
          <w:rFonts w:ascii="Times New Roman" w:hAnsi="Times New Roman" w:cs="Times New Roman"/>
          <w:sz w:val="24"/>
          <w:szCs w:val="24"/>
        </w:rPr>
        <w:t xml:space="preserve"> (2000).</w:t>
      </w:r>
      <w:r w:rsidRPr="00AD423A">
        <w:rPr>
          <w:rFonts w:ascii="Times New Roman" w:hAnsi="Times New Roman" w:cs="Times New Roman"/>
          <w:sz w:val="24"/>
          <w:szCs w:val="24"/>
        </w:rPr>
        <w:t xml:space="preserve"> Die Dezentralität im genossenschaftlichen Bankensektor, in: Zeitschrift für das gesamte Kreditwesen, 2000, </w:t>
      </w:r>
      <w:r w:rsidR="00266F3D">
        <w:rPr>
          <w:rFonts w:ascii="Times New Roman" w:hAnsi="Times New Roman" w:cs="Times New Roman"/>
          <w:sz w:val="24"/>
          <w:szCs w:val="24"/>
        </w:rPr>
        <w:t xml:space="preserve">3, pp. </w:t>
      </w:r>
      <w:r w:rsidRPr="00AD423A">
        <w:rPr>
          <w:rFonts w:ascii="Times New Roman" w:hAnsi="Times New Roman" w:cs="Times New Roman"/>
          <w:sz w:val="24"/>
          <w:szCs w:val="24"/>
        </w:rPr>
        <w:t>120-122.</w:t>
      </w:r>
    </w:p>
    <w:p w14:paraId="3354FAEB" w14:textId="25F5C5A6" w:rsidR="00816E0B" w:rsidRDefault="00816E0B" w:rsidP="00AB5461">
      <w:pPr>
        <w:rPr>
          <w:rFonts w:ascii="Times New Roman" w:hAnsi="Times New Roman" w:cs="Times New Roman"/>
          <w:sz w:val="24"/>
          <w:szCs w:val="24"/>
        </w:rPr>
      </w:pPr>
      <w:r w:rsidRPr="00816E0B">
        <w:rPr>
          <w:rFonts w:ascii="Times New Roman" w:hAnsi="Times New Roman" w:cs="Times New Roman"/>
          <w:sz w:val="24"/>
          <w:szCs w:val="24"/>
        </w:rPr>
        <w:t>Bundesverband der Deutschen Volksbanken u</w:t>
      </w:r>
      <w:r>
        <w:rPr>
          <w:rFonts w:ascii="Times New Roman" w:hAnsi="Times New Roman" w:cs="Times New Roman"/>
          <w:sz w:val="24"/>
          <w:szCs w:val="24"/>
        </w:rPr>
        <w:t xml:space="preserve">nd Raiffeisenbanken BVR (2023): Entwicklung der Volksbanken und Raiffeisenbanken von 1970 bis 2022, </w:t>
      </w:r>
      <w:hyperlink r:id="rId15" w:history="1">
        <w:r w:rsidRPr="00F93B1F">
          <w:rPr>
            <w:rStyle w:val="Hyperlink"/>
            <w:rFonts w:ascii="Times New Roman" w:hAnsi="Times New Roman" w:cs="Times New Roman"/>
            <w:sz w:val="24"/>
            <w:szCs w:val="24"/>
          </w:rPr>
          <w:t>https://www.bvr.de/p.nsf/0/F0F8A6D1636D3A1CC1257D0A00540564/$file/BVREntwicklungseit19702022.pdf</w:t>
        </w:r>
      </w:hyperlink>
    </w:p>
    <w:p w14:paraId="58FBCA76" w14:textId="5E2AC78F" w:rsidR="00266F3D" w:rsidRDefault="00266F3D" w:rsidP="00AB5461">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Ciukaj</w:t>
      </w:r>
      <w:proofErr w:type="spellEnd"/>
      <w:r>
        <w:rPr>
          <w:rFonts w:ascii="Times New Roman" w:hAnsi="Times New Roman" w:cs="Times New Roman"/>
          <w:sz w:val="24"/>
          <w:szCs w:val="24"/>
          <w:lang w:val="en-US"/>
        </w:rPr>
        <w:t xml:space="preserve">, R. and Kil, K. (2020). </w:t>
      </w:r>
      <w:r w:rsidRPr="00266F3D">
        <w:rPr>
          <w:rFonts w:ascii="Times New Roman" w:hAnsi="Times New Roman" w:cs="Times New Roman"/>
          <w:sz w:val="24"/>
          <w:szCs w:val="24"/>
          <w:lang w:val="en-US"/>
        </w:rPr>
        <w:t>Determinants of the non-performing loan ratio in the European Union banking sectors with a high level of impaired loans</w:t>
      </w:r>
      <w:r>
        <w:rPr>
          <w:rFonts w:ascii="Times New Roman" w:hAnsi="Times New Roman" w:cs="Times New Roman"/>
          <w:sz w:val="24"/>
          <w:szCs w:val="24"/>
          <w:lang w:val="en-US"/>
        </w:rPr>
        <w:t xml:space="preserve">, Economics and Business Review, 2020, 6(1), pp. 22-45 </w:t>
      </w:r>
    </w:p>
    <w:p w14:paraId="14A6C770" w14:textId="3DF5B976" w:rsidR="00AB5461" w:rsidRPr="00AB5461" w:rsidRDefault="00AB5461" w:rsidP="00AB5461">
      <w:pPr>
        <w:rPr>
          <w:rFonts w:ascii="Times New Roman" w:hAnsi="Times New Roman" w:cs="Times New Roman"/>
          <w:sz w:val="24"/>
          <w:szCs w:val="24"/>
          <w:lang w:val="en-US"/>
        </w:rPr>
      </w:pPr>
      <w:r w:rsidRPr="00AB5461">
        <w:rPr>
          <w:rFonts w:ascii="Times New Roman" w:hAnsi="Times New Roman" w:cs="Times New Roman"/>
          <w:sz w:val="24"/>
          <w:szCs w:val="24"/>
          <w:lang w:val="en-US"/>
        </w:rPr>
        <w:t>Coen, J., Francis, W. B., and</w:t>
      </w:r>
      <w:r>
        <w:rPr>
          <w:rFonts w:ascii="Times New Roman" w:hAnsi="Times New Roman" w:cs="Times New Roman"/>
          <w:sz w:val="24"/>
          <w:szCs w:val="24"/>
          <w:lang w:val="en-US"/>
        </w:rPr>
        <w:t xml:space="preserve"> Rostom, M. (2018). </w:t>
      </w:r>
      <w:r w:rsidRPr="00AB5461">
        <w:rPr>
          <w:rFonts w:ascii="Times New Roman" w:hAnsi="Times New Roman" w:cs="Times New Roman"/>
          <w:sz w:val="24"/>
          <w:szCs w:val="24"/>
          <w:lang w:val="en-US"/>
        </w:rPr>
        <w:t>The determinants of credit union failure in the United Kingdom: how important are macroeconomic factors? Staff Working Paper No. 658</w:t>
      </w:r>
      <w:r>
        <w:rPr>
          <w:rFonts w:ascii="Times New Roman" w:hAnsi="Times New Roman" w:cs="Times New Roman"/>
          <w:sz w:val="24"/>
          <w:szCs w:val="24"/>
          <w:lang w:val="en-US"/>
        </w:rPr>
        <w:t xml:space="preserve">, Bank of England. </w:t>
      </w:r>
      <w:r w:rsidRPr="00AB5461">
        <w:rPr>
          <w:rFonts w:ascii="Times New Roman" w:hAnsi="Times New Roman" w:cs="Times New Roman"/>
          <w:sz w:val="24"/>
          <w:szCs w:val="24"/>
          <w:lang w:val="en-US"/>
        </w:rPr>
        <w:t>https://www.bankofengland.co.uk/-/media/boe/files/working-paper/2018/the-determinants-of-credit-union-failure-in-the-uk-update.pdf</w:t>
      </w:r>
    </w:p>
    <w:p w14:paraId="639ABAB1" w14:textId="5953B32B" w:rsidR="0051551F" w:rsidRDefault="0051551F" w:rsidP="00C31301">
      <w:pPr>
        <w:rPr>
          <w:rFonts w:ascii="Times New Roman" w:hAnsi="Times New Roman" w:cs="Times New Roman"/>
          <w:sz w:val="24"/>
          <w:szCs w:val="24"/>
        </w:rPr>
      </w:pPr>
      <w:r>
        <w:rPr>
          <w:rFonts w:ascii="Times New Roman" w:hAnsi="Times New Roman" w:cs="Times New Roman"/>
          <w:sz w:val="24"/>
          <w:szCs w:val="24"/>
        </w:rPr>
        <w:t xml:space="preserve">Deutsche Bundesbank (2009). </w:t>
      </w:r>
      <w:r w:rsidRPr="006F04A9">
        <w:rPr>
          <w:rFonts w:ascii="Times New Roman" w:hAnsi="Times New Roman" w:cs="Times New Roman"/>
          <w:sz w:val="24"/>
          <w:szCs w:val="24"/>
        </w:rPr>
        <w:t xml:space="preserve">Financial </w:t>
      </w:r>
      <w:proofErr w:type="spellStart"/>
      <w:r w:rsidRPr="006F04A9">
        <w:rPr>
          <w:rFonts w:ascii="Times New Roman" w:hAnsi="Times New Roman" w:cs="Times New Roman"/>
          <w:sz w:val="24"/>
          <w:szCs w:val="24"/>
        </w:rPr>
        <w:t>Stability</w:t>
      </w:r>
      <w:proofErr w:type="spellEnd"/>
      <w:r w:rsidRPr="006F04A9">
        <w:rPr>
          <w:rFonts w:ascii="Times New Roman" w:hAnsi="Times New Roman" w:cs="Times New Roman"/>
          <w:sz w:val="24"/>
          <w:szCs w:val="24"/>
        </w:rPr>
        <w:t xml:space="preserve"> Review 2009, Frankfurt. </w:t>
      </w:r>
      <w:hyperlink r:id="rId16" w:history="1">
        <w:r w:rsidR="00FB0E3D" w:rsidRPr="0094304C">
          <w:rPr>
            <w:rStyle w:val="Hyperlink"/>
            <w:rFonts w:ascii="Times New Roman" w:hAnsi="Times New Roman" w:cs="Times New Roman"/>
            <w:sz w:val="24"/>
            <w:szCs w:val="24"/>
          </w:rPr>
          <w:t>https://www.bundesbank.de/resource/blob/626158/a393b7e5fa94e5f9370487504091b291/mL/2009-finanzstabilitaetsbericht-data.pdf</w:t>
        </w:r>
      </w:hyperlink>
    </w:p>
    <w:p w14:paraId="20F5202D" w14:textId="0C0A3B45" w:rsidR="001036C5" w:rsidRDefault="001036C5" w:rsidP="00C31301">
      <w:pPr>
        <w:rPr>
          <w:rFonts w:ascii="Times New Roman" w:hAnsi="Times New Roman" w:cs="Times New Roman"/>
          <w:sz w:val="24"/>
          <w:szCs w:val="24"/>
        </w:rPr>
      </w:pPr>
      <w:r w:rsidRPr="001036C5">
        <w:rPr>
          <w:rFonts w:ascii="Times New Roman" w:hAnsi="Times New Roman" w:cs="Times New Roman"/>
          <w:sz w:val="24"/>
          <w:szCs w:val="24"/>
        </w:rPr>
        <w:t>Deutsche Bundesbank (</w:t>
      </w:r>
      <w:proofErr w:type="spellStart"/>
      <w:r w:rsidRPr="001036C5">
        <w:rPr>
          <w:rFonts w:ascii="Times New Roman" w:hAnsi="Times New Roman" w:cs="Times New Roman"/>
          <w:sz w:val="24"/>
          <w:szCs w:val="24"/>
        </w:rPr>
        <w:t>various</w:t>
      </w:r>
      <w:proofErr w:type="spellEnd"/>
      <w:r w:rsidRPr="001036C5">
        <w:rPr>
          <w:rFonts w:ascii="Times New Roman" w:hAnsi="Times New Roman" w:cs="Times New Roman"/>
          <w:sz w:val="24"/>
          <w:szCs w:val="24"/>
        </w:rPr>
        <w:t xml:space="preserve"> </w:t>
      </w:r>
      <w:proofErr w:type="spellStart"/>
      <w:r w:rsidRPr="001036C5">
        <w:rPr>
          <w:rFonts w:ascii="Times New Roman" w:hAnsi="Times New Roman" w:cs="Times New Roman"/>
          <w:sz w:val="24"/>
          <w:szCs w:val="24"/>
        </w:rPr>
        <w:t>issues</w:t>
      </w:r>
      <w:proofErr w:type="spellEnd"/>
      <w:r w:rsidRPr="001036C5">
        <w:rPr>
          <w:rFonts w:ascii="Times New Roman" w:hAnsi="Times New Roman" w:cs="Times New Roman"/>
          <w:sz w:val="24"/>
          <w:szCs w:val="24"/>
        </w:rPr>
        <w:t xml:space="preserve">). </w:t>
      </w:r>
      <w:r>
        <w:rPr>
          <w:rFonts w:ascii="Times New Roman" w:hAnsi="Times New Roman" w:cs="Times New Roman"/>
          <w:sz w:val="24"/>
          <w:szCs w:val="24"/>
        </w:rPr>
        <w:t xml:space="preserve">Die Ertragslage der deutschen Kreditinstitute, Monatsberichte der Deutschen Bundesbank, </w:t>
      </w:r>
      <w:proofErr w:type="spellStart"/>
      <w:r>
        <w:rPr>
          <w:rFonts w:ascii="Times New Roman" w:hAnsi="Times New Roman" w:cs="Times New Roman"/>
          <w:sz w:val="24"/>
          <w:szCs w:val="24"/>
        </w:rPr>
        <w:t>various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issues</w:t>
      </w:r>
      <w:proofErr w:type="spellEnd"/>
      <w:r>
        <w:rPr>
          <w:rFonts w:ascii="Times New Roman" w:hAnsi="Times New Roman" w:cs="Times New Roman"/>
          <w:sz w:val="24"/>
          <w:szCs w:val="24"/>
        </w:rPr>
        <w:t>.</w:t>
      </w:r>
    </w:p>
    <w:p w14:paraId="4A79323C" w14:textId="110E6E9A" w:rsidR="00201513" w:rsidRDefault="00201513" w:rsidP="00C31301">
      <w:pPr>
        <w:rPr>
          <w:rFonts w:ascii="Times New Roman" w:hAnsi="Times New Roman" w:cs="Times New Roman"/>
          <w:sz w:val="24"/>
          <w:szCs w:val="24"/>
        </w:rPr>
      </w:pPr>
      <w:r>
        <w:rPr>
          <w:rFonts w:ascii="Times New Roman" w:hAnsi="Times New Roman" w:cs="Times New Roman"/>
          <w:sz w:val="24"/>
          <w:szCs w:val="24"/>
        </w:rPr>
        <w:t xml:space="preserve">Deutsche Bundesbank (2023). Zeitreihendatenbank, Geldmarktsätze nach Monaten, </w:t>
      </w:r>
      <w:hyperlink r:id="rId17" w:history="1">
        <w:r w:rsidRPr="001E5352">
          <w:rPr>
            <w:rStyle w:val="Hyperlink"/>
            <w:rFonts w:ascii="Times New Roman" w:hAnsi="Times New Roman" w:cs="Times New Roman"/>
            <w:sz w:val="24"/>
            <w:szCs w:val="24"/>
          </w:rPr>
          <w:t>https://www.bundesbank.de/dynamic/action/de/statistiken/zeitreihen-datenbanken/zeitreihen-datenbank/759778/759778?listId=www_szista_mb03_neu</w:t>
        </w:r>
      </w:hyperlink>
    </w:p>
    <w:p w14:paraId="0D741A04" w14:textId="6266E892" w:rsidR="000C7DB9" w:rsidRPr="000C7DB9" w:rsidRDefault="000C7DB9" w:rsidP="00C31301">
      <w:pPr>
        <w:rPr>
          <w:rFonts w:ascii="Times New Roman" w:hAnsi="Times New Roman" w:cs="Times New Roman"/>
          <w:sz w:val="24"/>
          <w:szCs w:val="24"/>
          <w:lang w:val="en-US"/>
        </w:rPr>
      </w:pPr>
      <w:r w:rsidRPr="000C7DB9">
        <w:rPr>
          <w:rFonts w:ascii="Times New Roman" w:hAnsi="Times New Roman" w:cs="Times New Roman"/>
          <w:sz w:val="24"/>
          <w:szCs w:val="24"/>
          <w:lang w:val="en-US"/>
        </w:rPr>
        <w:t>Dimitrios, A., Helen, L., and Mike</w:t>
      </w:r>
      <w:r>
        <w:rPr>
          <w:rFonts w:ascii="Times New Roman" w:hAnsi="Times New Roman" w:cs="Times New Roman"/>
          <w:sz w:val="24"/>
          <w:szCs w:val="24"/>
          <w:lang w:val="en-US"/>
        </w:rPr>
        <w:t>, T. (2016). Determinants of non-performing loans: Evidence from Euro area countries, Finance Research Letters, 18, pp. 116-119.</w:t>
      </w:r>
    </w:p>
    <w:p w14:paraId="2F517BD0" w14:textId="3A16B6D6" w:rsidR="00FB0E3D" w:rsidRPr="00FB0E3D" w:rsidRDefault="00FB0E3D" w:rsidP="00C31301">
      <w:pPr>
        <w:rPr>
          <w:rFonts w:ascii="Times New Roman" w:hAnsi="Times New Roman" w:cs="Times New Roman"/>
          <w:sz w:val="24"/>
          <w:szCs w:val="24"/>
          <w:lang w:val="en-US"/>
        </w:rPr>
      </w:pPr>
      <w:r w:rsidRPr="005A4952">
        <w:rPr>
          <w:rFonts w:ascii="Times New Roman" w:hAnsi="Times New Roman" w:cs="Times New Roman"/>
          <w:sz w:val="24"/>
          <w:szCs w:val="24"/>
          <w:lang w:val="en-US"/>
        </w:rPr>
        <w:t xml:space="preserve">Klein, N. (2013). </w:t>
      </w:r>
      <w:r w:rsidRPr="00FB0E3D">
        <w:rPr>
          <w:rFonts w:ascii="Times New Roman" w:hAnsi="Times New Roman" w:cs="Times New Roman"/>
          <w:sz w:val="24"/>
          <w:szCs w:val="24"/>
          <w:lang w:val="en-US"/>
        </w:rPr>
        <w:t xml:space="preserve">Non-performing loans in </w:t>
      </w:r>
      <w:r>
        <w:rPr>
          <w:rFonts w:ascii="Times New Roman" w:hAnsi="Times New Roman" w:cs="Times New Roman"/>
          <w:sz w:val="24"/>
          <w:szCs w:val="24"/>
          <w:lang w:val="en-US"/>
        </w:rPr>
        <w:t>CESEE: Determinants and impact on macroeconomic performance, IMF Working Paper 13/72.</w:t>
      </w:r>
    </w:p>
    <w:p w14:paraId="1D527014" w14:textId="214D4FD8" w:rsidR="006F04A9" w:rsidRDefault="006F04A9" w:rsidP="006F04A9">
      <w:pPr>
        <w:rPr>
          <w:rFonts w:ascii="Times New Roman" w:hAnsi="Times New Roman" w:cs="Times New Roman"/>
          <w:sz w:val="24"/>
          <w:szCs w:val="24"/>
        </w:rPr>
      </w:pPr>
      <w:proofErr w:type="spellStart"/>
      <w:r w:rsidRPr="004E3ED1">
        <w:rPr>
          <w:rFonts w:ascii="Times New Roman" w:hAnsi="Times New Roman" w:cs="Times New Roman"/>
          <w:sz w:val="24"/>
          <w:szCs w:val="24"/>
        </w:rPr>
        <w:t>Kowallik</w:t>
      </w:r>
      <w:proofErr w:type="spellEnd"/>
      <w:r w:rsidRPr="004E3ED1">
        <w:rPr>
          <w:rFonts w:ascii="Times New Roman" w:hAnsi="Times New Roman" w:cs="Times New Roman"/>
          <w:sz w:val="24"/>
          <w:szCs w:val="24"/>
        </w:rPr>
        <w:t xml:space="preserve">, M. (2021). </w:t>
      </w:r>
      <w:r w:rsidRPr="006F04A9">
        <w:rPr>
          <w:rFonts w:ascii="Times New Roman" w:hAnsi="Times New Roman" w:cs="Times New Roman"/>
          <w:sz w:val="24"/>
          <w:szCs w:val="24"/>
        </w:rPr>
        <w:t>Die Coronapandemie hinterlässt Spuren – die</w:t>
      </w:r>
      <w:r>
        <w:rPr>
          <w:rFonts w:ascii="Times New Roman" w:hAnsi="Times New Roman" w:cs="Times New Roman"/>
          <w:sz w:val="24"/>
          <w:szCs w:val="24"/>
        </w:rPr>
        <w:t xml:space="preserve"> </w:t>
      </w:r>
      <w:r w:rsidRPr="006F04A9">
        <w:rPr>
          <w:rFonts w:ascii="Times New Roman" w:hAnsi="Times New Roman" w:cs="Times New Roman"/>
          <w:sz w:val="24"/>
          <w:szCs w:val="24"/>
        </w:rPr>
        <w:t xml:space="preserve">Kernherausforderungen sind jedoch erheblicher, </w:t>
      </w:r>
      <w:proofErr w:type="spellStart"/>
      <w:r w:rsidRPr="006F04A9">
        <w:rPr>
          <w:rFonts w:ascii="Times New Roman" w:hAnsi="Times New Roman" w:cs="Times New Roman"/>
          <w:sz w:val="24"/>
          <w:szCs w:val="24"/>
        </w:rPr>
        <w:t>Vierteljahrshefte</w:t>
      </w:r>
      <w:proofErr w:type="spellEnd"/>
      <w:r w:rsidRPr="006F04A9">
        <w:rPr>
          <w:rFonts w:ascii="Times New Roman" w:hAnsi="Times New Roman" w:cs="Times New Roman"/>
          <w:sz w:val="24"/>
          <w:szCs w:val="24"/>
        </w:rPr>
        <w:t xml:space="preserve"> zur Wirtschaftsforschung,</w:t>
      </w:r>
      <w:r>
        <w:rPr>
          <w:rFonts w:ascii="Times New Roman" w:hAnsi="Times New Roman" w:cs="Times New Roman"/>
          <w:sz w:val="24"/>
          <w:szCs w:val="24"/>
        </w:rPr>
        <w:t xml:space="preserve"> </w:t>
      </w:r>
      <w:r w:rsidRPr="006F04A9">
        <w:rPr>
          <w:rFonts w:ascii="Times New Roman" w:hAnsi="Times New Roman" w:cs="Times New Roman"/>
          <w:sz w:val="24"/>
          <w:szCs w:val="24"/>
        </w:rPr>
        <w:t>Duncker &amp; Humblot, Berlin, Vol. 90, Iss. 2, pp. 81-96,</w:t>
      </w:r>
      <w:r>
        <w:rPr>
          <w:rFonts w:ascii="Times New Roman" w:hAnsi="Times New Roman" w:cs="Times New Roman"/>
          <w:sz w:val="24"/>
          <w:szCs w:val="24"/>
        </w:rPr>
        <w:t xml:space="preserve"> </w:t>
      </w:r>
      <w:hyperlink r:id="rId18" w:history="1">
        <w:r w:rsidR="00CA725D" w:rsidRPr="0094304C">
          <w:rPr>
            <w:rStyle w:val="Hyperlink"/>
            <w:rFonts w:ascii="Times New Roman" w:hAnsi="Times New Roman" w:cs="Times New Roman"/>
            <w:sz w:val="24"/>
            <w:szCs w:val="24"/>
          </w:rPr>
          <w:t>https://doi.org/10.3790/vjh.90.2.81</w:t>
        </w:r>
      </w:hyperlink>
    </w:p>
    <w:p w14:paraId="06AC552F" w14:textId="19313F92" w:rsidR="00462390" w:rsidRPr="00462390" w:rsidRDefault="00462390" w:rsidP="006F04A9">
      <w:pPr>
        <w:rPr>
          <w:rFonts w:ascii="Times New Roman" w:hAnsi="Times New Roman" w:cs="Times New Roman"/>
          <w:sz w:val="24"/>
          <w:szCs w:val="24"/>
          <w:lang w:val="en-US"/>
        </w:rPr>
      </w:pPr>
      <w:r w:rsidRPr="00462390">
        <w:rPr>
          <w:rFonts w:ascii="Times New Roman" w:hAnsi="Times New Roman" w:cs="Times New Roman"/>
          <w:sz w:val="24"/>
          <w:szCs w:val="24"/>
          <w:lang w:val="en-US"/>
        </w:rPr>
        <w:t xml:space="preserve">Makri, V., </w:t>
      </w:r>
      <w:proofErr w:type="spellStart"/>
      <w:r w:rsidRPr="00462390">
        <w:rPr>
          <w:rFonts w:ascii="Times New Roman" w:hAnsi="Times New Roman" w:cs="Times New Roman"/>
          <w:sz w:val="24"/>
          <w:szCs w:val="24"/>
          <w:lang w:val="en-US"/>
        </w:rPr>
        <w:t>Tsagkanos</w:t>
      </w:r>
      <w:proofErr w:type="spellEnd"/>
      <w:r w:rsidRPr="00462390">
        <w:rPr>
          <w:rFonts w:ascii="Times New Roman" w:hAnsi="Times New Roman" w:cs="Times New Roman"/>
          <w:sz w:val="24"/>
          <w:szCs w:val="24"/>
          <w:lang w:val="en-US"/>
        </w:rPr>
        <w:t>, A. and</w:t>
      </w:r>
      <w:r>
        <w:rPr>
          <w:rFonts w:ascii="Times New Roman" w:hAnsi="Times New Roman" w:cs="Times New Roman"/>
          <w:sz w:val="24"/>
          <w:szCs w:val="24"/>
          <w:lang w:val="en-US"/>
        </w:rPr>
        <w:t xml:space="preserve"> Bellas, A. (2014). Determinants of non-performing loans: The case of Eurozone, </w:t>
      </w:r>
      <w:proofErr w:type="spellStart"/>
      <w:r>
        <w:rPr>
          <w:rFonts w:ascii="Times New Roman" w:hAnsi="Times New Roman" w:cs="Times New Roman"/>
          <w:sz w:val="24"/>
          <w:szCs w:val="24"/>
          <w:lang w:val="en-US"/>
        </w:rPr>
        <w:t>Panoeconomicus</w:t>
      </w:r>
      <w:proofErr w:type="spellEnd"/>
      <w:r>
        <w:rPr>
          <w:rFonts w:ascii="Times New Roman" w:hAnsi="Times New Roman" w:cs="Times New Roman"/>
          <w:sz w:val="24"/>
          <w:szCs w:val="24"/>
          <w:lang w:val="en-US"/>
        </w:rPr>
        <w:t>, 2014, 61(2), pp. 193-206.</w:t>
      </w:r>
    </w:p>
    <w:p w14:paraId="6F21266B" w14:textId="1C4CAADE" w:rsidR="00CA725D" w:rsidRPr="00CA725D" w:rsidRDefault="00CA725D" w:rsidP="006F04A9">
      <w:pPr>
        <w:rPr>
          <w:rFonts w:ascii="Times New Roman" w:hAnsi="Times New Roman" w:cs="Times New Roman"/>
          <w:sz w:val="24"/>
          <w:szCs w:val="24"/>
          <w:lang w:val="en-US"/>
        </w:rPr>
      </w:pPr>
      <w:r w:rsidRPr="004E3ED1">
        <w:rPr>
          <w:rFonts w:ascii="Times New Roman" w:hAnsi="Times New Roman" w:cs="Times New Roman"/>
          <w:sz w:val="24"/>
          <w:szCs w:val="24"/>
          <w:lang w:val="en-US"/>
        </w:rPr>
        <w:t xml:space="preserve">Messai, A. S., and Jouini, F. (2013). </w:t>
      </w:r>
      <w:r>
        <w:rPr>
          <w:rFonts w:ascii="Times New Roman" w:hAnsi="Times New Roman" w:cs="Times New Roman"/>
          <w:sz w:val="24"/>
          <w:szCs w:val="24"/>
          <w:lang w:val="en-US"/>
        </w:rPr>
        <w:t>Micro and macro determinants of non-performing loans, International Journal of Economics and Financial Issues, 2013, 3(4), pp. 852-860.</w:t>
      </w:r>
    </w:p>
    <w:p w14:paraId="68896ADE" w14:textId="6650F4DD" w:rsidR="00AB545F" w:rsidRDefault="00AB545F" w:rsidP="00C31301">
      <w:pPr>
        <w:rPr>
          <w:rFonts w:ascii="Times New Roman" w:hAnsi="Times New Roman" w:cs="Times New Roman"/>
          <w:sz w:val="24"/>
          <w:szCs w:val="24"/>
          <w:lang w:val="en-US"/>
        </w:rPr>
      </w:pPr>
      <w:proofErr w:type="spellStart"/>
      <w:r w:rsidRPr="006F04A9">
        <w:rPr>
          <w:rFonts w:ascii="Times New Roman" w:hAnsi="Times New Roman" w:cs="Times New Roman"/>
          <w:sz w:val="24"/>
          <w:szCs w:val="24"/>
        </w:rPr>
        <w:lastRenderedPageBreak/>
        <w:t>Stappel</w:t>
      </w:r>
      <w:proofErr w:type="spellEnd"/>
      <w:r w:rsidRPr="006F04A9">
        <w:rPr>
          <w:rFonts w:ascii="Times New Roman" w:hAnsi="Times New Roman" w:cs="Times New Roman"/>
          <w:sz w:val="24"/>
          <w:szCs w:val="24"/>
        </w:rPr>
        <w:t xml:space="preserve">, M. (2023). </w:t>
      </w:r>
      <w:r w:rsidRPr="00AB545F">
        <w:rPr>
          <w:rFonts w:ascii="Times New Roman" w:hAnsi="Times New Roman" w:cs="Times New Roman"/>
          <w:sz w:val="24"/>
          <w:szCs w:val="24"/>
        </w:rPr>
        <w:t>Die deutschen Genossenschaften 2</w:t>
      </w:r>
      <w:r>
        <w:rPr>
          <w:rFonts w:ascii="Times New Roman" w:hAnsi="Times New Roman" w:cs="Times New Roman"/>
          <w:sz w:val="24"/>
          <w:szCs w:val="24"/>
        </w:rPr>
        <w:t xml:space="preserve">023. </w:t>
      </w:r>
      <w:r w:rsidRPr="00FE4CA9">
        <w:rPr>
          <w:rFonts w:ascii="Times New Roman" w:hAnsi="Times New Roman" w:cs="Times New Roman"/>
          <w:sz w:val="24"/>
          <w:szCs w:val="24"/>
          <w:lang w:val="en-US"/>
        </w:rPr>
        <w:t xml:space="preserve">DG </w:t>
      </w:r>
      <w:proofErr w:type="spellStart"/>
      <w:r w:rsidRPr="00FE4CA9">
        <w:rPr>
          <w:rFonts w:ascii="Times New Roman" w:hAnsi="Times New Roman" w:cs="Times New Roman"/>
          <w:sz w:val="24"/>
          <w:szCs w:val="24"/>
          <w:lang w:val="en-US"/>
        </w:rPr>
        <w:t>Nexolution</w:t>
      </w:r>
      <w:proofErr w:type="spellEnd"/>
      <w:r w:rsidRPr="00FE4CA9">
        <w:rPr>
          <w:rFonts w:ascii="Times New Roman" w:hAnsi="Times New Roman" w:cs="Times New Roman"/>
          <w:sz w:val="24"/>
          <w:szCs w:val="24"/>
          <w:lang w:val="en-US"/>
        </w:rPr>
        <w:t xml:space="preserve"> </w:t>
      </w:r>
      <w:proofErr w:type="spellStart"/>
      <w:r w:rsidRPr="00FE4CA9">
        <w:rPr>
          <w:rFonts w:ascii="Times New Roman" w:hAnsi="Times New Roman" w:cs="Times New Roman"/>
          <w:sz w:val="24"/>
          <w:szCs w:val="24"/>
          <w:lang w:val="en-US"/>
        </w:rPr>
        <w:t>eG</w:t>
      </w:r>
      <w:proofErr w:type="spellEnd"/>
      <w:r w:rsidRPr="00FE4CA9">
        <w:rPr>
          <w:rFonts w:ascii="Times New Roman" w:hAnsi="Times New Roman" w:cs="Times New Roman"/>
          <w:sz w:val="24"/>
          <w:szCs w:val="24"/>
          <w:lang w:val="en-US"/>
        </w:rPr>
        <w:t>, Wiesbaden.</w:t>
      </w:r>
    </w:p>
    <w:p w14:paraId="7AC0F875" w14:textId="1D8D4B08" w:rsidR="006423A9" w:rsidRDefault="006423A9" w:rsidP="00C31301">
      <w:pPr>
        <w:rPr>
          <w:rFonts w:ascii="Times New Roman" w:hAnsi="Times New Roman" w:cs="Times New Roman"/>
          <w:sz w:val="24"/>
          <w:szCs w:val="24"/>
        </w:rPr>
      </w:pPr>
      <w:r w:rsidRPr="006423A9">
        <w:rPr>
          <w:rFonts w:ascii="Times New Roman" w:hAnsi="Times New Roman" w:cs="Times New Roman"/>
          <w:sz w:val="24"/>
          <w:szCs w:val="24"/>
        </w:rPr>
        <w:t>Statista (2023</w:t>
      </w:r>
      <w:r w:rsidR="00201513">
        <w:rPr>
          <w:rFonts w:ascii="Times New Roman" w:hAnsi="Times New Roman" w:cs="Times New Roman"/>
          <w:sz w:val="24"/>
          <w:szCs w:val="24"/>
        </w:rPr>
        <w:t>a</w:t>
      </w:r>
      <w:r w:rsidRPr="006423A9">
        <w:rPr>
          <w:rFonts w:ascii="Times New Roman" w:hAnsi="Times New Roman" w:cs="Times New Roman"/>
          <w:sz w:val="24"/>
          <w:szCs w:val="24"/>
        </w:rPr>
        <w:t>). V</w:t>
      </w:r>
      <w:r>
        <w:rPr>
          <w:rFonts w:ascii="Times New Roman" w:hAnsi="Times New Roman" w:cs="Times New Roman"/>
          <w:sz w:val="24"/>
          <w:szCs w:val="24"/>
        </w:rPr>
        <w:t xml:space="preserve">eränderung des realen Bruttoinlandsprodukts (BIP) in Deutschland gegenüber dem Vorjahr von 1992 bis 2023, </w:t>
      </w:r>
      <w:hyperlink r:id="rId19" w:history="1">
        <w:r w:rsidRPr="00F93B1F">
          <w:rPr>
            <w:rStyle w:val="Hyperlink"/>
            <w:rFonts w:ascii="Times New Roman" w:hAnsi="Times New Roman" w:cs="Times New Roman"/>
            <w:sz w:val="24"/>
            <w:szCs w:val="24"/>
          </w:rPr>
          <w:t>https://de.statista.com/statistik/daten/studie/2112/umfrage/veraenderung-des-bruttoinlandprodukts-im-vergleich-zum-vorjahr/</w:t>
        </w:r>
      </w:hyperlink>
    </w:p>
    <w:p w14:paraId="7A587E3A" w14:textId="2E893D5F" w:rsidR="00201513" w:rsidRDefault="00201513" w:rsidP="00C31301">
      <w:pPr>
        <w:rPr>
          <w:rFonts w:ascii="Times New Roman" w:hAnsi="Times New Roman" w:cs="Times New Roman"/>
          <w:sz w:val="24"/>
          <w:szCs w:val="24"/>
        </w:rPr>
      </w:pPr>
      <w:r>
        <w:rPr>
          <w:rFonts w:ascii="Times New Roman" w:hAnsi="Times New Roman" w:cs="Times New Roman"/>
          <w:sz w:val="24"/>
          <w:szCs w:val="24"/>
        </w:rPr>
        <w:t xml:space="preserve">Statista (2023b). </w:t>
      </w:r>
      <w:r w:rsidRPr="00201513">
        <w:rPr>
          <w:rFonts w:ascii="Times New Roman" w:hAnsi="Times New Roman" w:cs="Times New Roman"/>
          <w:sz w:val="24"/>
          <w:szCs w:val="24"/>
        </w:rPr>
        <w:t>Entwicklung des Kapitalmarktzinssatzes in Deutschland in den Jahren von 1975 bis 2023</w:t>
      </w:r>
      <w:r>
        <w:rPr>
          <w:rFonts w:ascii="Times New Roman" w:hAnsi="Times New Roman" w:cs="Times New Roman"/>
          <w:sz w:val="24"/>
          <w:szCs w:val="24"/>
        </w:rPr>
        <w:t xml:space="preserve">, </w:t>
      </w:r>
      <w:hyperlink r:id="rId20" w:history="1">
        <w:r w:rsidRPr="001E5352">
          <w:rPr>
            <w:rStyle w:val="Hyperlink"/>
            <w:rFonts w:ascii="Times New Roman" w:hAnsi="Times New Roman" w:cs="Times New Roman"/>
            <w:sz w:val="24"/>
            <w:szCs w:val="24"/>
          </w:rPr>
          <w:t>https://de.statista.com/statistik/daten/studie/201419/umfrage/entwicklung-des-kapitalmarktzinssatzes-in-deutschland/</w:t>
        </w:r>
      </w:hyperlink>
    </w:p>
    <w:p w14:paraId="6781D969" w14:textId="508430FF" w:rsidR="001036C5" w:rsidRDefault="009963A4" w:rsidP="00C31301">
      <w:pPr>
        <w:rPr>
          <w:rFonts w:ascii="Times New Roman" w:hAnsi="Times New Roman" w:cs="Times New Roman"/>
          <w:sz w:val="24"/>
          <w:szCs w:val="24"/>
        </w:rPr>
      </w:pPr>
      <w:r w:rsidRPr="006423A9">
        <w:rPr>
          <w:rFonts w:ascii="Times New Roman" w:hAnsi="Times New Roman" w:cs="Times New Roman"/>
          <w:sz w:val="24"/>
          <w:szCs w:val="24"/>
        </w:rPr>
        <w:t xml:space="preserve">WSI Gender Datenportal (2023). </w:t>
      </w:r>
      <w:r w:rsidRPr="009963A4">
        <w:rPr>
          <w:rFonts w:ascii="Times New Roman" w:hAnsi="Times New Roman" w:cs="Times New Roman"/>
          <w:sz w:val="24"/>
          <w:szCs w:val="24"/>
        </w:rPr>
        <w:t>Arbeitslosenquoten der M</w:t>
      </w:r>
      <w:r>
        <w:rPr>
          <w:rFonts w:ascii="Times New Roman" w:hAnsi="Times New Roman" w:cs="Times New Roman"/>
          <w:sz w:val="24"/>
          <w:szCs w:val="24"/>
        </w:rPr>
        <w:t xml:space="preserve">änner und Frauen in Deutschland 1991-2022, </w:t>
      </w:r>
      <w:hyperlink r:id="rId21" w:history="1">
        <w:r w:rsidR="00CD32BB" w:rsidRPr="00F93B1F">
          <w:rPr>
            <w:rStyle w:val="Hyperlink"/>
            <w:rFonts w:ascii="Times New Roman" w:hAnsi="Times New Roman" w:cs="Times New Roman"/>
            <w:sz w:val="24"/>
            <w:szCs w:val="24"/>
          </w:rPr>
          <w:t>https://www.wsi.de/de/erwerbsarbeit-14617-arbeitslosenquoten-26623.htm</w:t>
        </w:r>
      </w:hyperlink>
    </w:p>
    <w:p w14:paraId="5227311F" w14:textId="77777777" w:rsidR="00CD32BB" w:rsidRPr="009963A4" w:rsidRDefault="00CD32BB" w:rsidP="00C31301">
      <w:pPr>
        <w:rPr>
          <w:rFonts w:ascii="Times New Roman" w:hAnsi="Times New Roman" w:cs="Times New Roman"/>
          <w:sz w:val="24"/>
          <w:szCs w:val="24"/>
        </w:rPr>
      </w:pPr>
    </w:p>
    <w:p w14:paraId="4155D81C" w14:textId="02D36050" w:rsidR="001036C5" w:rsidRPr="009963A4" w:rsidRDefault="001036C5" w:rsidP="00C31301">
      <w:pPr>
        <w:rPr>
          <w:rFonts w:ascii="Times New Roman" w:hAnsi="Times New Roman" w:cs="Times New Roman"/>
          <w:b/>
          <w:bCs/>
          <w:sz w:val="24"/>
          <w:szCs w:val="24"/>
        </w:rPr>
      </w:pPr>
      <w:r w:rsidRPr="009963A4">
        <w:rPr>
          <w:rFonts w:ascii="Times New Roman" w:hAnsi="Times New Roman" w:cs="Times New Roman"/>
          <w:b/>
          <w:bCs/>
          <w:sz w:val="24"/>
          <w:szCs w:val="24"/>
        </w:rPr>
        <w:t>Data Sources</w:t>
      </w:r>
    </w:p>
    <w:p w14:paraId="002FF0EB" w14:textId="365F8A33" w:rsidR="001036C5" w:rsidRDefault="001036C5" w:rsidP="00C31301">
      <w:pPr>
        <w:rPr>
          <w:rFonts w:ascii="Times New Roman" w:hAnsi="Times New Roman" w:cs="Times New Roman"/>
          <w:sz w:val="24"/>
          <w:szCs w:val="24"/>
          <w:lang w:val="en-US"/>
        </w:rPr>
      </w:pPr>
      <w:r>
        <w:rPr>
          <w:rFonts w:ascii="Times New Roman" w:hAnsi="Times New Roman" w:cs="Times New Roman"/>
          <w:sz w:val="24"/>
          <w:szCs w:val="24"/>
          <w:lang w:val="en-US"/>
        </w:rPr>
        <w:t xml:space="preserve">Deutsche Bundesbank (various issues): </w:t>
      </w:r>
      <w:r w:rsidR="00816E0B">
        <w:rPr>
          <w:rFonts w:ascii="Times New Roman" w:hAnsi="Times New Roman" w:cs="Times New Roman"/>
          <w:sz w:val="24"/>
          <w:szCs w:val="24"/>
          <w:lang w:val="en-US"/>
        </w:rPr>
        <w:t>VALADJ</w:t>
      </w:r>
    </w:p>
    <w:p w14:paraId="096FF98F" w14:textId="6D89521D" w:rsidR="00816E0B" w:rsidRDefault="00816E0B" w:rsidP="00C31301">
      <w:pPr>
        <w:rPr>
          <w:rFonts w:ascii="Times New Roman" w:hAnsi="Times New Roman" w:cs="Times New Roman"/>
          <w:sz w:val="24"/>
          <w:szCs w:val="24"/>
          <w:lang w:val="en-US"/>
        </w:rPr>
      </w:pPr>
      <w:r>
        <w:rPr>
          <w:rFonts w:ascii="Times New Roman" w:hAnsi="Times New Roman" w:cs="Times New Roman"/>
          <w:sz w:val="24"/>
          <w:szCs w:val="24"/>
          <w:lang w:val="en-US"/>
        </w:rPr>
        <w:t xml:space="preserve">BVR (2023): </w:t>
      </w:r>
      <w:r>
        <w:rPr>
          <w:rFonts w:ascii="Times New Roman" w:hAnsi="Times New Roman" w:cs="Times New Roman"/>
          <w:sz w:val="24"/>
          <w:szCs w:val="24"/>
          <w:lang w:val="en-US"/>
        </w:rPr>
        <w:t>AVTOTASS</w:t>
      </w:r>
      <w:r>
        <w:rPr>
          <w:rFonts w:ascii="Times New Roman" w:hAnsi="Times New Roman" w:cs="Times New Roman"/>
          <w:sz w:val="24"/>
          <w:szCs w:val="24"/>
          <w:lang w:val="en-US"/>
        </w:rPr>
        <w:t>, LDR</w:t>
      </w:r>
    </w:p>
    <w:p w14:paraId="653F91C2" w14:textId="01E4F115" w:rsidR="00CD32BB" w:rsidRDefault="00CD32BB" w:rsidP="00C31301">
      <w:pPr>
        <w:rPr>
          <w:rFonts w:ascii="Times New Roman" w:hAnsi="Times New Roman" w:cs="Times New Roman"/>
          <w:sz w:val="24"/>
          <w:szCs w:val="24"/>
          <w:lang w:val="en-US"/>
        </w:rPr>
      </w:pPr>
      <w:r>
        <w:rPr>
          <w:rFonts w:ascii="Times New Roman" w:hAnsi="Times New Roman" w:cs="Times New Roman"/>
          <w:sz w:val="24"/>
          <w:szCs w:val="24"/>
          <w:lang w:val="en-US"/>
        </w:rPr>
        <w:t xml:space="preserve">WSI Gender </w:t>
      </w:r>
      <w:proofErr w:type="spellStart"/>
      <w:r>
        <w:rPr>
          <w:rFonts w:ascii="Times New Roman" w:hAnsi="Times New Roman" w:cs="Times New Roman"/>
          <w:sz w:val="24"/>
          <w:szCs w:val="24"/>
          <w:lang w:val="en-US"/>
        </w:rPr>
        <w:t>Datenportal</w:t>
      </w:r>
      <w:proofErr w:type="spellEnd"/>
      <w:r>
        <w:rPr>
          <w:rFonts w:ascii="Times New Roman" w:hAnsi="Times New Roman" w:cs="Times New Roman"/>
          <w:sz w:val="24"/>
          <w:szCs w:val="24"/>
          <w:lang w:val="en-US"/>
        </w:rPr>
        <w:t xml:space="preserve"> (2023): U</w:t>
      </w:r>
    </w:p>
    <w:p w14:paraId="63D04B3F" w14:textId="53535B8A" w:rsidR="006423A9" w:rsidRDefault="006423A9" w:rsidP="00C31301">
      <w:pPr>
        <w:rPr>
          <w:rFonts w:ascii="Times New Roman" w:hAnsi="Times New Roman" w:cs="Times New Roman"/>
          <w:sz w:val="24"/>
          <w:szCs w:val="24"/>
          <w:lang w:val="en-US"/>
        </w:rPr>
      </w:pPr>
      <w:r>
        <w:rPr>
          <w:rFonts w:ascii="Times New Roman" w:hAnsi="Times New Roman" w:cs="Times New Roman"/>
          <w:sz w:val="24"/>
          <w:szCs w:val="24"/>
          <w:lang w:val="en-US"/>
        </w:rPr>
        <w:t>Statista (2023</w:t>
      </w:r>
      <w:r w:rsidR="00201513">
        <w:rPr>
          <w:rFonts w:ascii="Times New Roman" w:hAnsi="Times New Roman" w:cs="Times New Roman"/>
          <w:sz w:val="24"/>
          <w:szCs w:val="24"/>
          <w:lang w:val="en-US"/>
        </w:rPr>
        <w:t>a</w:t>
      </w:r>
      <w:r>
        <w:rPr>
          <w:rFonts w:ascii="Times New Roman" w:hAnsi="Times New Roman" w:cs="Times New Roman"/>
          <w:sz w:val="24"/>
          <w:szCs w:val="24"/>
          <w:lang w:val="en-US"/>
        </w:rPr>
        <w:t>): GRO</w:t>
      </w:r>
    </w:p>
    <w:p w14:paraId="440A70D5" w14:textId="75FA2C08" w:rsidR="00B579E3" w:rsidRDefault="00B579E3" w:rsidP="00C31301">
      <w:pPr>
        <w:rPr>
          <w:rFonts w:ascii="Times New Roman" w:hAnsi="Times New Roman" w:cs="Times New Roman"/>
          <w:sz w:val="24"/>
          <w:szCs w:val="24"/>
          <w:lang w:val="en-US"/>
        </w:rPr>
      </w:pPr>
      <w:r>
        <w:rPr>
          <w:rFonts w:ascii="Times New Roman" w:hAnsi="Times New Roman" w:cs="Times New Roman"/>
          <w:sz w:val="24"/>
          <w:szCs w:val="24"/>
          <w:lang w:val="en-US"/>
        </w:rPr>
        <w:t>Statista (2023b): LR</w:t>
      </w:r>
    </w:p>
    <w:p w14:paraId="16BE959D" w14:textId="2CC564BF" w:rsidR="00201513" w:rsidRPr="00201513" w:rsidRDefault="00201513" w:rsidP="00C31301">
      <w:pPr>
        <w:rPr>
          <w:rFonts w:ascii="Times New Roman" w:hAnsi="Times New Roman" w:cs="Times New Roman"/>
          <w:sz w:val="24"/>
          <w:szCs w:val="24"/>
        </w:rPr>
      </w:pPr>
      <w:r w:rsidRPr="00201513">
        <w:rPr>
          <w:rFonts w:ascii="Times New Roman" w:hAnsi="Times New Roman" w:cs="Times New Roman"/>
          <w:sz w:val="24"/>
          <w:szCs w:val="24"/>
        </w:rPr>
        <w:t xml:space="preserve">Deutsche Bundesbank (2023): </w:t>
      </w:r>
      <w:proofErr w:type="spellStart"/>
      <w:r w:rsidRPr="00201513">
        <w:rPr>
          <w:rFonts w:ascii="Times New Roman" w:hAnsi="Times New Roman" w:cs="Times New Roman"/>
          <w:sz w:val="24"/>
          <w:szCs w:val="24"/>
        </w:rPr>
        <w:t>short</w:t>
      </w:r>
      <w:proofErr w:type="spellEnd"/>
      <w:r w:rsidRPr="00201513">
        <w:rPr>
          <w:rFonts w:ascii="Times New Roman" w:hAnsi="Times New Roman" w:cs="Times New Roman"/>
          <w:sz w:val="24"/>
          <w:szCs w:val="24"/>
        </w:rPr>
        <w:t xml:space="preserve">-term </w:t>
      </w:r>
      <w:proofErr w:type="spellStart"/>
      <w:r w:rsidRPr="00201513">
        <w:rPr>
          <w:rFonts w:ascii="Times New Roman" w:hAnsi="Times New Roman" w:cs="Times New Roman"/>
          <w:sz w:val="24"/>
          <w:szCs w:val="24"/>
        </w:rPr>
        <w:t>interbank</w:t>
      </w:r>
      <w:proofErr w:type="spellEnd"/>
      <w:r w:rsidRPr="00201513">
        <w:rPr>
          <w:rFonts w:ascii="Times New Roman" w:hAnsi="Times New Roman" w:cs="Times New Roman"/>
          <w:sz w:val="24"/>
          <w:szCs w:val="24"/>
        </w:rPr>
        <w:t xml:space="preserve"> r</w:t>
      </w:r>
      <w:r>
        <w:rPr>
          <w:rFonts w:ascii="Times New Roman" w:hAnsi="Times New Roman" w:cs="Times New Roman"/>
          <w:sz w:val="24"/>
          <w:szCs w:val="24"/>
        </w:rPr>
        <w:t>ate, TSTR</w:t>
      </w:r>
    </w:p>
    <w:sectPr w:rsidR="00201513" w:rsidRPr="00201513" w:rsidSect="00E92D54">
      <w:footerReference w:type="default" r:id="rId22"/>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486C82" w14:textId="77777777" w:rsidR="00E92D54" w:rsidRDefault="00E92D54" w:rsidP="001921CA">
      <w:pPr>
        <w:spacing w:after="0" w:line="240" w:lineRule="auto"/>
      </w:pPr>
      <w:r>
        <w:separator/>
      </w:r>
    </w:p>
  </w:endnote>
  <w:endnote w:type="continuationSeparator" w:id="0">
    <w:p w14:paraId="2FE7C99D" w14:textId="77777777" w:rsidR="00E92D54" w:rsidRDefault="00E92D54" w:rsidP="0019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5599399"/>
      <w:docPartObj>
        <w:docPartGallery w:val="Page Numbers (Bottom of Page)"/>
        <w:docPartUnique/>
      </w:docPartObj>
    </w:sdtPr>
    <w:sdtContent>
      <w:p w14:paraId="304733CD" w14:textId="30ADC599" w:rsidR="001921CA" w:rsidRDefault="001921CA">
        <w:pPr>
          <w:pStyle w:val="Fuzeile"/>
          <w:jc w:val="center"/>
        </w:pPr>
        <w:r>
          <w:fldChar w:fldCharType="begin"/>
        </w:r>
        <w:r>
          <w:instrText>PAGE   \* MERGEFORMAT</w:instrText>
        </w:r>
        <w:r>
          <w:fldChar w:fldCharType="separate"/>
        </w:r>
        <w:r>
          <w:t>2</w:t>
        </w:r>
        <w:r>
          <w:fldChar w:fldCharType="end"/>
        </w:r>
      </w:p>
    </w:sdtContent>
  </w:sdt>
  <w:p w14:paraId="629A17CC" w14:textId="77777777" w:rsidR="001921CA" w:rsidRDefault="001921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7510B6" w14:textId="77777777" w:rsidR="00E92D54" w:rsidRDefault="00E92D54" w:rsidP="001921CA">
      <w:pPr>
        <w:spacing w:after="0" w:line="240" w:lineRule="auto"/>
      </w:pPr>
      <w:r>
        <w:separator/>
      </w:r>
    </w:p>
  </w:footnote>
  <w:footnote w:type="continuationSeparator" w:id="0">
    <w:p w14:paraId="0D99B5DC" w14:textId="77777777" w:rsidR="00E92D54" w:rsidRDefault="00E92D54" w:rsidP="00192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F7B04"/>
    <w:multiLevelType w:val="multilevel"/>
    <w:tmpl w:val="4502BA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B05A92"/>
    <w:multiLevelType w:val="multilevel"/>
    <w:tmpl w:val="C05C094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907464E"/>
    <w:multiLevelType w:val="multilevel"/>
    <w:tmpl w:val="A59039A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F9431F1"/>
    <w:multiLevelType w:val="hybridMultilevel"/>
    <w:tmpl w:val="74A422B4"/>
    <w:lvl w:ilvl="0" w:tplc="5330C5B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2660FF"/>
    <w:multiLevelType w:val="hybridMultilevel"/>
    <w:tmpl w:val="8BC204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8241B0"/>
    <w:multiLevelType w:val="multilevel"/>
    <w:tmpl w:val="4502BA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FE8031C"/>
    <w:multiLevelType w:val="multilevel"/>
    <w:tmpl w:val="4502BA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337738086">
    <w:abstractNumId w:val="0"/>
  </w:num>
  <w:num w:numId="2" w16cid:durableId="182401090">
    <w:abstractNumId w:val="6"/>
  </w:num>
  <w:num w:numId="3" w16cid:durableId="1351372887">
    <w:abstractNumId w:val="5"/>
  </w:num>
  <w:num w:numId="4" w16cid:durableId="437527531">
    <w:abstractNumId w:val="2"/>
  </w:num>
  <w:num w:numId="5" w16cid:durableId="888421575">
    <w:abstractNumId w:val="1"/>
  </w:num>
  <w:num w:numId="6" w16cid:durableId="1572426929">
    <w:abstractNumId w:val="4"/>
  </w:num>
  <w:num w:numId="7" w16cid:durableId="1868835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BEF"/>
    <w:rsid w:val="00066BE1"/>
    <w:rsid w:val="00075769"/>
    <w:rsid w:val="000948E6"/>
    <w:rsid w:val="000C7DB9"/>
    <w:rsid w:val="000E3695"/>
    <w:rsid w:val="001036C5"/>
    <w:rsid w:val="00105211"/>
    <w:rsid w:val="00133A2D"/>
    <w:rsid w:val="00143A0D"/>
    <w:rsid w:val="00161A45"/>
    <w:rsid w:val="001921CA"/>
    <w:rsid w:val="00196670"/>
    <w:rsid w:val="001A495F"/>
    <w:rsid w:val="001E6A94"/>
    <w:rsid w:val="00201513"/>
    <w:rsid w:val="00221388"/>
    <w:rsid w:val="002230B8"/>
    <w:rsid w:val="00227CD5"/>
    <w:rsid w:val="00236BF1"/>
    <w:rsid w:val="00261811"/>
    <w:rsid w:val="00263AE6"/>
    <w:rsid w:val="00266F3D"/>
    <w:rsid w:val="002B1A23"/>
    <w:rsid w:val="002F5BEF"/>
    <w:rsid w:val="003273E1"/>
    <w:rsid w:val="003421DA"/>
    <w:rsid w:val="0036021E"/>
    <w:rsid w:val="003927EC"/>
    <w:rsid w:val="003930F9"/>
    <w:rsid w:val="003969E1"/>
    <w:rsid w:val="003B30C8"/>
    <w:rsid w:val="003B3F99"/>
    <w:rsid w:val="003D0D78"/>
    <w:rsid w:val="003D64EC"/>
    <w:rsid w:val="003F222B"/>
    <w:rsid w:val="00413E89"/>
    <w:rsid w:val="004559A2"/>
    <w:rsid w:val="004607F7"/>
    <w:rsid w:val="00462390"/>
    <w:rsid w:val="00480A08"/>
    <w:rsid w:val="004A67CA"/>
    <w:rsid w:val="004E1E77"/>
    <w:rsid w:val="004E3ED1"/>
    <w:rsid w:val="004F1E02"/>
    <w:rsid w:val="00502443"/>
    <w:rsid w:val="0051551F"/>
    <w:rsid w:val="0056579E"/>
    <w:rsid w:val="00585B41"/>
    <w:rsid w:val="005A24E8"/>
    <w:rsid w:val="005A371D"/>
    <w:rsid w:val="005A4952"/>
    <w:rsid w:val="005B7FC2"/>
    <w:rsid w:val="005C1617"/>
    <w:rsid w:val="005C3720"/>
    <w:rsid w:val="005E2E1C"/>
    <w:rsid w:val="005F46BB"/>
    <w:rsid w:val="005F5047"/>
    <w:rsid w:val="006060A6"/>
    <w:rsid w:val="0062650F"/>
    <w:rsid w:val="00634E79"/>
    <w:rsid w:val="006423A9"/>
    <w:rsid w:val="00644058"/>
    <w:rsid w:val="006664E5"/>
    <w:rsid w:val="006840B0"/>
    <w:rsid w:val="00686D37"/>
    <w:rsid w:val="006F04A9"/>
    <w:rsid w:val="006F0584"/>
    <w:rsid w:val="006F7951"/>
    <w:rsid w:val="007240CE"/>
    <w:rsid w:val="00756FE9"/>
    <w:rsid w:val="007904D6"/>
    <w:rsid w:val="007D6045"/>
    <w:rsid w:val="00811D47"/>
    <w:rsid w:val="00812101"/>
    <w:rsid w:val="00816E0B"/>
    <w:rsid w:val="008275B4"/>
    <w:rsid w:val="0085037F"/>
    <w:rsid w:val="00852592"/>
    <w:rsid w:val="00852D48"/>
    <w:rsid w:val="008A3973"/>
    <w:rsid w:val="008C2F77"/>
    <w:rsid w:val="008C52B8"/>
    <w:rsid w:val="008E31E8"/>
    <w:rsid w:val="008E4643"/>
    <w:rsid w:val="00903A33"/>
    <w:rsid w:val="00916681"/>
    <w:rsid w:val="0094286D"/>
    <w:rsid w:val="00957D83"/>
    <w:rsid w:val="0099369E"/>
    <w:rsid w:val="009963A4"/>
    <w:rsid w:val="009C53C6"/>
    <w:rsid w:val="009F0DA1"/>
    <w:rsid w:val="009F4CCC"/>
    <w:rsid w:val="00A04726"/>
    <w:rsid w:val="00A072BE"/>
    <w:rsid w:val="00A26D85"/>
    <w:rsid w:val="00A3649A"/>
    <w:rsid w:val="00A56346"/>
    <w:rsid w:val="00A66719"/>
    <w:rsid w:val="00A6724B"/>
    <w:rsid w:val="00AB24CD"/>
    <w:rsid w:val="00AB545F"/>
    <w:rsid w:val="00AB5461"/>
    <w:rsid w:val="00AD423A"/>
    <w:rsid w:val="00AF6CF4"/>
    <w:rsid w:val="00B01F55"/>
    <w:rsid w:val="00B149F9"/>
    <w:rsid w:val="00B579E3"/>
    <w:rsid w:val="00B70BCD"/>
    <w:rsid w:val="00B87CF0"/>
    <w:rsid w:val="00B95DB9"/>
    <w:rsid w:val="00BA1796"/>
    <w:rsid w:val="00BE2749"/>
    <w:rsid w:val="00C117A0"/>
    <w:rsid w:val="00C31301"/>
    <w:rsid w:val="00C4275D"/>
    <w:rsid w:val="00C93CF2"/>
    <w:rsid w:val="00CA42A8"/>
    <w:rsid w:val="00CA725D"/>
    <w:rsid w:val="00CB3902"/>
    <w:rsid w:val="00CB44CC"/>
    <w:rsid w:val="00CC26EA"/>
    <w:rsid w:val="00CD32BB"/>
    <w:rsid w:val="00D04B66"/>
    <w:rsid w:val="00D57775"/>
    <w:rsid w:val="00DB7BCC"/>
    <w:rsid w:val="00DD7C46"/>
    <w:rsid w:val="00DE3C62"/>
    <w:rsid w:val="00DE40E9"/>
    <w:rsid w:val="00DF328F"/>
    <w:rsid w:val="00E23379"/>
    <w:rsid w:val="00E450C0"/>
    <w:rsid w:val="00E50C0E"/>
    <w:rsid w:val="00E82548"/>
    <w:rsid w:val="00E84D3A"/>
    <w:rsid w:val="00E92D54"/>
    <w:rsid w:val="00E95A80"/>
    <w:rsid w:val="00EA2B72"/>
    <w:rsid w:val="00EE1EE8"/>
    <w:rsid w:val="00F348AC"/>
    <w:rsid w:val="00F640E8"/>
    <w:rsid w:val="00F74097"/>
    <w:rsid w:val="00F84CEF"/>
    <w:rsid w:val="00FA2E63"/>
    <w:rsid w:val="00FB0E3D"/>
    <w:rsid w:val="00FB6F9D"/>
    <w:rsid w:val="00FD3E49"/>
    <w:rsid w:val="00FE4CA9"/>
    <w:rsid w:val="00FF26CC"/>
    <w:rsid w:val="00FF59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826C"/>
  <w15:chartTrackingRefBased/>
  <w15:docId w15:val="{A2E15F00-7AA7-4B69-94AE-253B7C87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7B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579E"/>
    <w:pPr>
      <w:ind w:left="720"/>
      <w:contextualSpacing/>
    </w:pPr>
  </w:style>
  <w:style w:type="table" w:styleId="Tabellenraster">
    <w:name w:val="Table Grid"/>
    <w:basedOn w:val="NormaleTabelle"/>
    <w:uiPriority w:val="39"/>
    <w:rsid w:val="00AF6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0E3D"/>
    <w:rPr>
      <w:color w:val="0563C1" w:themeColor="hyperlink"/>
      <w:u w:val="single"/>
    </w:rPr>
  </w:style>
  <w:style w:type="character" w:styleId="NichtaufgelsteErwhnung">
    <w:name w:val="Unresolved Mention"/>
    <w:basedOn w:val="Absatz-Standardschriftart"/>
    <w:uiPriority w:val="99"/>
    <w:semiHidden/>
    <w:unhideWhenUsed/>
    <w:rsid w:val="00FB0E3D"/>
    <w:rPr>
      <w:color w:val="605E5C"/>
      <w:shd w:val="clear" w:color="auto" w:fill="E1DFDD"/>
    </w:rPr>
  </w:style>
  <w:style w:type="paragraph" w:styleId="Kopfzeile">
    <w:name w:val="header"/>
    <w:basedOn w:val="Standard"/>
    <w:link w:val="KopfzeileZchn"/>
    <w:uiPriority w:val="99"/>
    <w:unhideWhenUsed/>
    <w:rsid w:val="001921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1CA"/>
  </w:style>
  <w:style w:type="paragraph" w:styleId="Fuzeile">
    <w:name w:val="footer"/>
    <w:basedOn w:val="Standard"/>
    <w:link w:val="FuzeileZchn"/>
    <w:uiPriority w:val="99"/>
    <w:unhideWhenUsed/>
    <w:rsid w:val="001921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429942">
      <w:bodyDiv w:val="1"/>
      <w:marLeft w:val="0"/>
      <w:marRight w:val="0"/>
      <w:marTop w:val="0"/>
      <w:marBottom w:val="0"/>
      <w:divBdr>
        <w:top w:val="none" w:sz="0" w:space="0" w:color="auto"/>
        <w:left w:val="none" w:sz="0" w:space="0" w:color="auto"/>
        <w:bottom w:val="none" w:sz="0" w:space="0" w:color="auto"/>
        <w:right w:val="none" w:sz="0" w:space="0" w:color="auto"/>
      </w:divBdr>
    </w:div>
    <w:div w:id="142622509">
      <w:bodyDiv w:val="1"/>
      <w:marLeft w:val="0"/>
      <w:marRight w:val="0"/>
      <w:marTop w:val="0"/>
      <w:marBottom w:val="0"/>
      <w:divBdr>
        <w:top w:val="none" w:sz="0" w:space="0" w:color="auto"/>
        <w:left w:val="none" w:sz="0" w:space="0" w:color="auto"/>
        <w:bottom w:val="none" w:sz="0" w:space="0" w:color="auto"/>
        <w:right w:val="none" w:sz="0" w:space="0" w:color="auto"/>
      </w:divBdr>
    </w:div>
    <w:div w:id="410352506">
      <w:bodyDiv w:val="1"/>
      <w:marLeft w:val="0"/>
      <w:marRight w:val="0"/>
      <w:marTop w:val="0"/>
      <w:marBottom w:val="0"/>
      <w:divBdr>
        <w:top w:val="none" w:sz="0" w:space="0" w:color="auto"/>
        <w:left w:val="none" w:sz="0" w:space="0" w:color="auto"/>
        <w:bottom w:val="none" w:sz="0" w:space="0" w:color="auto"/>
        <w:right w:val="none" w:sz="0" w:space="0" w:color="auto"/>
      </w:divBdr>
    </w:div>
    <w:div w:id="426314512">
      <w:bodyDiv w:val="1"/>
      <w:marLeft w:val="0"/>
      <w:marRight w:val="0"/>
      <w:marTop w:val="0"/>
      <w:marBottom w:val="0"/>
      <w:divBdr>
        <w:top w:val="none" w:sz="0" w:space="0" w:color="auto"/>
        <w:left w:val="none" w:sz="0" w:space="0" w:color="auto"/>
        <w:bottom w:val="none" w:sz="0" w:space="0" w:color="auto"/>
        <w:right w:val="none" w:sz="0" w:space="0" w:color="auto"/>
      </w:divBdr>
      <w:divsChild>
        <w:div w:id="1842696031">
          <w:marLeft w:val="0"/>
          <w:marRight w:val="0"/>
          <w:marTop w:val="0"/>
          <w:marBottom w:val="0"/>
          <w:divBdr>
            <w:top w:val="none" w:sz="0" w:space="0" w:color="auto"/>
            <w:left w:val="none" w:sz="0" w:space="0" w:color="auto"/>
            <w:bottom w:val="none" w:sz="0" w:space="0" w:color="auto"/>
            <w:right w:val="none" w:sz="0" w:space="0" w:color="auto"/>
          </w:divBdr>
        </w:div>
      </w:divsChild>
    </w:div>
    <w:div w:id="679544416">
      <w:bodyDiv w:val="1"/>
      <w:marLeft w:val="0"/>
      <w:marRight w:val="0"/>
      <w:marTop w:val="0"/>
      <w:marBottom w:val="0"/>
      <w:divBdr>
        <w:top w:val="none" w:sz="0" w:space="0" w:color="auto"/>
        <w:left w:val="none" w:sz="0" w:space="0" w:color="auto"/>
        <w:bottom w:val="none" w:sz="0" w:space="0" w:color="auto"/>
        <w:right w:val="none" w:sz="0" w:space="0" w:color="auto"/>
      </w:divBdr>
    </w:div>
    <w:div w:id="1253508340">
      <w:bodyDiv w:val="1"/>
      <w:marLeft w:val="0"/>
      <w:marRight w:val="0"/>
      <w:marTop w:val="0"/>
      <w:marBottom w:val="0"/>
      <w:divBdr>
        <w:top w:val="none" w:sz="0" w:space="0" w:color="auto"/>
        <w:left w:val="none" w:sz="0" w:space="0" w:color="auto"/>
        <w:bottom w:val="none" w:sz="0" w:space="0" w:color="auto"/>
        <w:right w:val="none" w:sz="0" w:space="0" w:color="auto"/>
      </w:divBdr>
    </w:div>
    <w:div w:id="1277984246">
      <w:bodyDiv w:val="1"/>
      <w:marLeft w:val="0"/>
      <w:marRight w:val="0"/>
      <w:marTop w:val="0"/>
      <w:marBottom w:val="0"/>
      <w:divBdr>
        <w:top w:val="none" w:sz="0" w:space="0" w:color="auto"/>
        <w:left w:val="none" w:sz="0" w:space="0" w:color="auto"/>
        <w:bottom w:val="none" w:sz="0" w:space="0" w:color="auto"/>
        <w:right w:val="none" w:sz="0" w:space="0" w:color="auto"/>
      </w:divBdr>
    </w:div>
    <w:div w:id="1448349382">
      <w:bodyDiv w:val="1"/>
      <w:marLeft w:val="0"/>
      <w:marRight w:val="0"/>
      <w:marTop w:val="0"/>
      <w:marBottom w:val="0"/>
      <w:divBdr>
        <w:top w:val="none" w:sz="0" w:space="0" w:color="auto"/>
        <w:left w:val="none" w:sz="0" w:space="0" w:color="auto"/>
        <w:bottom w:val="none" w:sz="0" w:space="0" w:color="auto"/>
        <w:right w:val="none" w:sz="0" w:space="0" w:color="auto"/>
      </w:divBdr>
      <w:divsChild>
        <w:div w:id="707871983">
          <w:marLeft w:val="0"/>
          <w:marRight w:val="0"/>
          <w:marTop w:val="0"/>
          <w:marBottom w:val="0"/>
          <w:divBdr>
            <w:top w:val="none" w:sz="0" w:space="0" w:color="auto"/>
            <w:left w:val="none" w:sz="0" w:space="0" w:color="auto"/>
            <w:bottom w:val="none" w:sz="0" w:space="0" w:color="auto"/>
            <w:right w:val="none" w:sz="0" w:space="0" w:color="auto"/>
          </w:divBdr>
        </w:div>
        <w:div w:id="1264727319">
          <w:marLeft w:val="0"/>
          <w:marRight w:val="0"/>
          <w:marTop w:val="0"/>
          <w:marBottom w:val="0"/>
          <w:divBdr>
            <w:top w:val="none" w:sz="0" w:space="0" w:color="auto"/>
            <w:left w:val="none" w:sz="0" w:space="0" w:color="auto"/>
            <w:bottom w:val="none" w:sz="0" w:space="0" w:color="auto"/>
            <w:right w:val="none" w:sz="0" w:space="0" w:color="auto"/>
          </w:divBdr>
          <w:divsChild>
            <w:div w:id="6315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9424">
      <w:bodyDiv w:val="1"/>
      <w:marLeft w:val="0"/>
      <w:marRight w:val="0"/>
      <w:marTop w:val="0"/>
      <w:marBottom w:val="0"/>
      <w:divBdr>
        <w:top w:val="none" w:sz="0" w:space="0" w:color="auto"/>
        <w:left w:val="none" w:sz="0" w:space="0" w:color="auto"/>
        <w:bottom w:val="none" w:sz="0" w:space="0" w:color="auto"/>
        <w:right w:val="none" w:sz="0" w:space="0" w:color="auto"/>
      </w:divBdr>
      <w:divsChild>
        <w:div w:id="1948853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hyperlink" Target="https://doi.org/10.3790/vjh.90.2.81" TargetMode="External"/><Relationship Id="rId3" Type="http://schemas.openxmlformats.org/officeDocument/2006/relationships/settings" Target="settings.xml"/><Relationship Id="rId21" Type="http://schemas.openxmlformats.org/officeDocument/2006/relationships/hyperlink" Target="https://www.wsi.de/de/erwerbsarbeit-14617-arbeitslosenquoten-26623.htm" TargetMode="Externa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hyperlink" Target="https://www.bundesbank.de/dynamic/action/de/statistiken/zeitreihen-datenbanken/zeitreihen-datenbank/759778/759778?listId=www_szista_mb03_neu" TargetMode="External"/><Relationship Id="rId2" Type="http://schemas.openxmlformats.org/officeDocument/2006/relationships/styles" Target="styles.xml"/><Relationship Id="rId16" Type="http://schemas.openxmlformats.org/officeDocument/2006/relationships/hyperlink" Target="https://www.bundesbank.de/resource/blob/626158/a393b7e5fa94e5f9370487504091b291/mL/2009-finanzstabilitaetsbericht-data.pdf" TargetMode="External"/><Relationship Id="rId20" Type="http://schemas.openxmlformats.org/officeDocument/2006/relationships/hyperlink" Target="https://de.statista.com/statistik/daten/studie/201419/umfrage/entwicklung-des-kapitalmarktzinssatzes-in-deutsch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vr.de/p.nsf/0/F0F8A6D1636D3A1CC1257D0A00540564/$file/BVREntwicklungseit19702022.pdf"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de.statista.com/statistik/daten/studie/2112/umfrage/veraenderung-des-bruttoinlandprodukts-im-vergleich-zum-vorjahr/"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3513</Words>
  <Characters>22137</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Birte Reichel</dc:creator>
  <cp:keywords/>
  <dc:description/>
  <cp:lastModifiedBy>Birte Reichel</cp:lastModifiedBy>
  <cp:revision>2</cp:revision>
  <cp:lastPrinted>2024-02-22T15:33:00Z</cp:lastPrinted>
  <dcterms:created xsi:type="dcterms:W3CDTF">2024-02-22T21:39:00Z</dcterms:created>
  <dcterms:modified xsi:type="dcterms:W3CDTF">2024-02-22T21:39:00Z</dcterms:modified>
</cp:coreProperties>
</file>