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7C" w:rsidRDefault="00C73F7C" w:rsidP="00C73F7C">
      <w:pPr>
        <w:rPr>
          <w:b/>
          <w:sz w:val="28"/>
          <w:szCs w:val="28"/>
        </w:rPr>
      </w:pPr>
    </w:p>
    <w:p w:rsidR="006C6F28" w:rsidRDefault="00C67CA5" w:rsidP="00C74726">
      <w:pPr>
        <w:jc w:val="center"/>
        <w:rPr>
          <w:rFonts w:cs="Times New Roman"/>
          <w:b/>
          <w:sz w:val="28"/>
          <w:szCs w:val="28"/>
        </w:rPr>
      </w:pPr>
      <w:r>
        <w:rPr>
          <w:rFonts w:cs="Times New Roman"/>
          <w:b/>
          <w:sz w:val="28"/>
          <w:szCs w:val="28"/>
        </w:rPr>
        <w:t xml:space="preserve">Discerning New Truth </w:t>
      </w:r>
      <w:r w:rsidR="006208BF">
        <w:rPr>
          <w:rFonts w:cs="Times New Roman"/>
          <w:b/>
          <w:sz w:val="28"/>
          <w:szCs w:val="28"/>
        </w:rPr>
        <w:t>of</w:t>
      </w:r>
      <w:r>
        <w:rPr>
          <w:rFonts w:cs="Times New Roman"/>
          <w:b/>
          <w:sz w:val="28"/>
          <w:szCs w:val="28"/>
        </w:rPr>
        <w:t xml:space="preserve"> The Mobile Industry In The Middle East Through D</w:t>
      </w:r>
      <w:r w:rsidR="00E829A3">
        <w:rPr>
          <w:rFonts w:cs="Times New Roman"/>
          <w:b/>
          <w:sz w:val="28"/>
          <w:szCs w:val="28"/>
        </w:rPr>
        <w:t xml:space="preserve">ata </w:t>
      </w:r>
      <w:r>
        <w:rPr>
          <w:rFonts w:cs="Times New Roman"/>
          <w:b/>
          <w:sz w:val="28"/>
          <w:szCs w:val="28"/>
        </w:rPr>
        <w:t>E</w:t>
      </w:r>
      <w:r w:rsidR="00026028">
        <w:rPr>
          <w:rFonts w:cs="Times New Roman"/>
          <w:b/>
          <w:sz w:val="28"/>
          <w:szCs w:val="28"/>
        </w:rPr>
        <w:t xml:space="preserve">nvelopment </w:t>
      </w:r>
      <w:r>
        <w:rPr>
          <w:rFonts w:cs="Times New Roman"/>
          <w:b/>
          <w:sz w:val="28"/>
          <w:szCs w:val="28"/>
        </w:rPr>
        <w:t>A</w:t>
      </w:r>
      <w:r w:rsidR="00E829A3">
        <w:rPr>
          <w:rFonts w:cs="Times New Roman"/>
          <w:b/>
          <w:sz w:val="28"/>
          <w:szCs w:val="28"/>
        </w:rPr>
        <w:t>nalysis</w:t>
      </w:r>
    </w:p>
    <w:p w:rsidR="00772BD9" w:rsidRDefault="00772BD9" w:rsidP="00C74726">
      <w:pPr>
        <w:jc w:val="center"/>
        <w:rPr>
          <w:rFonts w:cs="Times New Roman"/>
          <w:b/>
          <w:sz w:val="28"/>
          <w:szCs w:val="28"/>
        </w:rPr>
      </w:pPr>
    </w:p>
    <w:p w:rsidR="00E56E01" w:rsidRPr="00772BD9" w:rsidRDefault="00E56E01" w:rsidP="00C74726">
      <w:pPr>
        <w:jc w:val="center"/>
        <w:rPr>
          <w:rFonts w:cs="Times New Roman"/>
          <w:szCs w:val="24"/>
        </w:rPr>
      </w:pPr>
      <w:r w:rsidRPr="00772BD9">
        <w:rPr>
          <w:rFonts w:cs="Times New Roman"/>
          <w:szCs w:val="24"/>
        </w:rPr>
        <w:t>Viviane Y. Naimy</w:t>
      </w:r>
      <w:r w:rsidR="00772BD9">
        <w:rPr>
          <w:rFonts w:cs="Times New Roman"/>
          <w:szCs w:val="24"/>
        </w:rPr>
        <w:t>, Ph.D.</w:t>
      </w:r>
    </w:p>
    <w:p w:rsidR="00E56E01" w:rsidRPr="00772BD9" w:rsidRDefault="00E56E01" w:rsidP="00C74726">
      <w:pPr>
        <w:jc w:val="center"/>
        <w:rPr>
          <w:rFonts w:cs="Times New Roman"/>
          <w:szCs w:val="24"/>
        </w:rPr>
      </w:pPr>
      <w:r w:rsidRPr="00772BD9">
        <w:rPr>
          <w:rFonts w:cs="Times New Roman"/>
          <w:szCs w:val="24"/>
        </w:rPr>
        <w:t>Professor of Finance</w:t>
      </w:r>
    </w:p>
    <w:p w:rsidR="00E56E01" w:rsidRPr="00772BD9" w:rsidRDefault="00E56E01" w:rsidP="00C74726">
      <w:pPr>
        <w:jc w:val="center"/>
        <w:rPr>
          <w:rFonts w:cs="Times New Roman"/>
          <w:szCs w:val="24"/>
        </w:rPr>
      </w:pPr>
      <w:r w:rsidRPr="00772BD9">
        <w:rPr>
          <w:rFonts w:cs="Times New Roman"/>
          <w:szCs w:val="24"/>
        </w:rPr>
        <w:t>Faculty of Business Administration and Economics</w:t>
      </w:r>
    </w:p>
    <w:p w:rsidR="00E56E01" w:rsidRDefault="00E56E01" w:rsidP="00C74726">
      <w:pPr>
        <w:jc w:val="center"/>
        <w:rPr>
          <w:rFonts w:cs="Times New Roman"/>
          <w:szCs w:val="24"/>
        </w:rPr>
      </w:pPr>
      <w:r w:rsidRPr="00772BD9">
        <w:rPr>
          <w:rFonts w:cs="Times New Roman"/>
          <w:szCs w:val="24"/>
        </w:rPr>
        <w:t>Notre Dame University, Louaize, Lebanon</w:t>
      </w:r>
    </w:p>
    <w:p w:rsidR="00C67CA5" w:rsidRDefault="00C67CA5" w:rsidP="00C74726">
      <w:pPr>
        <w:jc w:val="center"/>
        <w:rPr>
          <w:rFonts w:cs="Times New Roman"/>
          <w:szCs w:val="24"/>
        </w:rPr>
      </w:pPr>
    </w:p>
    <w:p w:rsidR="00C67CA5" w:rsidRDefault="00C67CA5" w:rsidP="00C74726">
      <w:pPr>
        <w:jc w:val="center"/>
        <w:rPr>
          <w:rFonts w:cs="Times New Roman"/>
          <w:szCs w:val="24"/>
        </w:rPr>
      </w:pPr>
      <w:r>
        <w:rPr>
          <w:rFonts w:cs="Times New Roman"/>
          <w:szCs w:val="24"/>
        </w:rPr>
        <w:t>Cynthia Merheb, MBA</w:t>
      </w:r>
    </w:p>
    <w:p w:rsidR="00C67CA5" w:rsidRPr="00772BD9" w:rsidRDefault="0000277E" w:rsidP="00C67CA5">
      <w:pPr>
        <w:jc w:val="center"/>
        <w:rPr>
          <w:rFonts w:cs="Times New Roman"/>
          <w:szCs w:val="24"/>
        </w:rPr>
      </w:pPr>
      <w:r>
        <w:rPr>
          <w:rFonts w:cs="Times New Roman"/>
          <w:szCs w:val="24"/>
        </w:rPr>
        <w:t>Roaming Supervisor</w:t>
      </w:r>
    </w:p>
    <w:p w:rsidR="00E56E01" w:rsidRPr="00FD43AE" w:rsidRDefault="00C67CA5" w:rsidP="00FD43AE">
      <w:pPr>
        <w:jc w:val="center"/>
        <w:rPr>
          <w:rFonts w:cs="Times New Roman"/>
          <w:szCs w:val="24"/>
        </w:rPr>
      </w:pPr>
      <w:r>
        <w:rPr>
          <w:rFonts w:cs="Times New Roman"/>
          <w:szCs w:val="24"/>
        </w:rPr>
        <w:t>Alfa Telecommunication, Lebanon</w:t>
      </w:r>
    </w:p>
    <w:p w:rsidR="006C6F28" w:rsidRPr="006D4DE4" w:rsidRDefault="00C73F7C" w:rsidP="00C73F7C">
      <w:pPr>
        <w:jc w:val="center"/>
        <w:rPr>
          <w:rFonts w:cs="Times New Roman"/>
          <w:b/>
        </w:rPr>
      </w:pPr>
      <w:r w:rsidRPr="006D4DE4">
        <w:rPr>
          <w:rFonts w:cs="Times New Roman"/>
          <w:b/>
        </w:rPr>
        <w:t>Abstract</w:t>
      </w:r>
    </w:p>
    <w:p w:rsidR="00A026BF" w:rsidRDefault="0014724A" w:rsidP="00A026BF">
      <w:r>
        <w:rPr>
          <w:rFonts w:cs="Times New Roman"/>
        </w:rPr>
        <w:t xml:space="preserve">This paper </w:t>
      </w:r>
      <w:r w:rsidR="00624E0E">
        <w:rPr>
          <w:rFonts w:cs="Times New Roman"/>
        </w:rPr>
        <w:t xml:space="preserve">is the first to </w:t>
      </w:r>
      <w:r w:rsidR="00624E0E">
        <w:t xml:space="preserve">present a detailed </w:t>
      </w:r>
      <w:r w:rsidR="00624E0E" w:rsidRPr="00F357C1">
        <w:t xml:space="preserve"> </w:t>
      </w:r>
      <w:r w:rsidR="00624E0E">
        <w:t xml:space="preserve">modeling </w:t>
      </w:r>
      <w:r w:rsidR="00624E0E" w:rsidRPr="00F357C1">
        <w:t>framework for measuring and comparing the relative efficiencies of mobile operators in the Middle East</w:t>
      </w:r>
      <w:r w:rsidR="00624E0E">
        <w:t xml:space="preserve">. </w:t>
      </w:r>
      <w:r w:rsidR="00B837CA">
        <w:rPr>
          <w:rFonts w:cs="Times New Roman"/>
        </w:rPr>
        <w:t xml:space="preserve"> </w:t>
      </w:r>
      <w:r w:rsidR="00A026BF">
        <w:rPr>
          <w:rFonts w:cs="Times New Roman"/>
        </w:rPr>
        <w:t xml:space="preserve">Partial Factor Productivity together with </w:t>
      </w:r>
      <w:r w:rsidR="00A026BF">
        <w:rPr>
          <w:rFonts w:cs="Times New Roman"/>
          <w:szCs w:val="24"/>
        </w:rPr>
        <w:t>t</w:t>
      </w:r>
      <w:r w:rsidR="00D679E5">
        <w:rPr>
          <w:rFonts w:cs="Times New Roman"/>
          <w:szCs w:val="24"/>
        </w:rPr>
        <w:t>hree different DEA models</w:t>
      </w:r>
      <w:r w:rsidR="00624E0E">
        <w:rPr>
          <w:rFonts w:cs="Times New Roman"/>
          <w:szCs w:val="24"/>
        </w:rPr>
        <w:t>, the</w:t>
      </w:r>
      <w:r w:rsidR="00D679E5">
        <w:rPr>
          <w:rFonts w:cs="Times New Roman"/>
          <w:szCs w:val="24"/>
        </w:rPr>
        <w:t xml:space="preserve"> CCR, </w:t>
      </w:r>
      <w:r w:rsidR="00624E0E">
        <w:rPr>
          <w:rFonts w:cs="Times New Roman"/>
          <w:szCs w:val="24"/>
        </w:rPr>
        <w:t xml:space="preserve">the </w:t>
      </w:r>
      <w:r w:rsidR="00D679E5">
        <w:rPr>
          <w:rFonts w:cs="Times New Roman"/>
          <w:szCs w:val="24"/>
        </w:rPr>
        <w:t xml:space="preserve">BCC and </w:t>
      </w:r>
      <w:r w:rsidR="00624E0E">
        <w:rPr>
          <w:rFonts w:cs="Times New Roman"/>
          <w:szCs w:val="24"/>
        </w:rPr>
        <w:t xml:space="preserve">the </w:t>
      </w:r>
      <w:r w:rsidR="00D679E5">
        <w:rPr>
          <w:rFonts w:cs="Times New Roman"/>
          <w:szCs w:val="24"/>
        </w:rPr>
        <w:t>A&amp;P</w:t>
      </w:r>
      <w:r w:rsidR="00624E0E">
        <w:rPr>
          <w:rFonts w:cs="Times New Roman"/>
          <w:szCs w:val="24"/>
        </w:rPr>
        <w:t xml:space="preserve">, </w:t>
      </w:r>
      <w:r w:rsidR="009F75AB">
        <w:rPr>
          <w:rFonts w:cs="Times New Roman"/>
          <w:szCs w:val="24"/>
        </w:rPr>
        <w:t>using multiple inputs and ou</w:t>
      </w:r>
      <w:r w:rsidR="00806261">
        <w:rPr>
          <w:rFonts w:cs="Times New Roman"/>
          <w:szCs w:val="24"/>
        </w:rPr>
        <w:t>t</w:t>
      </w:r>
      <w:r w:rsidR="00C90708">
        <w:rPr>
          <w:rFonts w:cs="Times New Roman"/>
          <w:szCs w:val="24"/>
        </w:rPr>
        <w:t>pu</w:t>
      </w:r>
      <w:r w:rsidR="009F75AB">
        <w:rPr>
          <w:rFonts w:cs="Times New Roman"/>
          <w:szCs w:val="24"/>
        </w:rPr>
        <w:t xml:space="preserve">ts, </w:t>
      </w:r>
      <w:r w:rsidR="00624E0E">
        <w:rPr>
          <w:rFonts w:cs="Times New Roman"/>
          <w:szCs w:val="24"/>
        </w:rPr>
        <w:t>are implemented</w:t>
      </w:r>
      <w:r w:rsidR="00D679E5">
        <w:rPr>
          <w:rFonts w:cs="Times New Roman"/>
          <w:szCs w:val="24"/>
        </w:rPr>
        <w:t xml:space="preserve"> </w:t>
      </w:r>
      <w:r w:rsidR="009F75AB">
        <w:t>to measure the efficiency of 16 mobile operators in</w:t>
      </w:r>
      <w:r w:rsidR="00A56C5A">
        <w:t xml:space="preserve"> nine different countries in</w:t>
      </w:r>
      <w:r w:rsidR="009F75AB">
        <w:t xml:space="preserve"> the Middle East. The paper offers quantifiable </w:t>
      </w:r>
      <w:r w:rsidR="009F75AB" w:rsidRPr="00F357C1">
        <w:t>suggestion</w:t>
      </w:r>
      <w:r w:rsidR="009F75AB">
        <w:t>s</w:t>
      </w:r>
      <w:r w:rsidR="009F75AB" w:rsidRPr="00F357C1">
        <w:t xml:space="preserve"> on the improvements which the relatively inefficient mobile operators have to abide with to </w:t>
      </w:r>
      <w:r w:rsidR="00C90708">
        <w:t xml:space="preserve">be </w:t>
      </w:r>
      <w:r w:rsidR="009F75AB" w:rsidRPr="00F357C1">
        <w:t>able to compete with their regional counterparts</w:t>
      </w:r>
      <w:r w:rsidR="009F75AB">
        <w:t>.</w:t>
      </w:r>
      <w:r w:rsidR="009F75AB" w:rsidRPr="009F75AB">
        <w:t xml:space="preserve"> </w:t>
      </w:r>
      <w:r w:rsidR="009F75AB">
        <w:t>Seven mobile operators were found to have been functioning at full efficiency while 9 were operating inefficiently.</w:t>
      </w:r>
      <w:r w:rsidR="00A026BF">
        <w:t xml:space="preserve"> The</w:t>
      </w:r>
      <w:r w:rsidR="00A026BF" w:rsidRPr="00CF089B">
        <w:t xml:space="preserve"> most efficient mobile operator among the 16 </w:t>
      </w:r>
      <w:r w:rsidR="00A026BF">
        <w:t>was</w:t>
      </w:r>
      <w:r w:rsidR="00A026BF" w:rsidRPr="00CF089B">
        <w:t xml:space="preserve"> </w:t>
      </w:r>
      <w:proofErr w:type="spellStart"/>
      <w:r w:rsidR="00A026BF" w:rsidRPr="00CF089B">
        <w:t>Avea</w:t>
      </w:r>
      <w:proofErr w:type="spellEnd"/>
      <w:r w:rsidR="00A026BF" w:rsidRPr="00CF089B">
        <w:t xml:space="preserve"> Turkey, followed by </w:t>
      </w:r>
      <w:proofErr w:type="spellStart"/>
      <w:r w:rsidR="00A026BF" w:rsidRPr="00CF089B">
        <w:t>Etsialat</w:t>
      </w:r>
      <w:proofErr w:type="spellEnd"/>
      <w:r w:rsidR="00A026BF" w:rsidRPr="00CF089B">
        <w:t xml:space="preserve"> UAE, </w:t>
      </w:r>
      <w:proofErr w:type="spellStart"/>
      <w:r w:rsidR="00A026BF" w:rsidRPr="00CF089B">
        <w:t>Wataniya</w:t>
      </w:r>
      <w:proofErr w:type="spellEnd"/>
      <w:r w:rsidR="00A026BF" w:rsidRPr="00CF089B">
        <w:t xml:space="preserve"> Kuwait, </w:t>
      </w:r>
      <w:proofErr w:type="spellStart"/>
      <w:r w:rsidR="00A026BF" w:rsidRPr="00CF089B">
        <w:t>Turkcell</w:t>
      </w:r>
      <w:proofErr w:type="spellEnd"/>
      <w:r w:rsidR="00A026BF" w:rsidRPr="00CF089B">
        <w:t xml:space="preserve"> Turkey, </w:t>
      </w:r>
      <w:proofErr w:type="spellStart"/>
      <w:r w:rsidR="00A026BF" w:rsidRPr="00CF089B">
        <w:t>Mobily</w:t>
      </w:r>
      <w:proofErr w:type="spellEnd"/>
      <w:r w:rsidR="00A026BF" w:rsidRPr="00CF089B">
        <w:t xml:space="preserve"> Saudi Arabia, Orange Israel and finally du UAE.</w:t>
      </w:r>
    </w:p>
    <w:p w:rsidR="00C73F7C" w:rsidRDefault="00576915">
      <w:pPr>
        <w:rPr>
          <w:rFonts w:cs="Times New Roman"/>
        </w:rPr>
      </w:pPr>
      <w:r>
        <w:rPr>
          <w:rFonts w:cs="Times New Roman"/>
        </w:rPr>
        <w:t xml:space="preserve">Key words: </w:t>
      </w:r>
      <w:r w:rsidR="00E829A3">
        <w:rPr>
          <w:rFonts w:cs="Times New Roman"/>
        </w:rPr>
        <w:t xml:space="preserve">DEA, Partial Factor Productivity, </w:t>
      </w:r>
      <w:r w:rsidR="00806261">
        <w:rPr>
          <w:rFonts w:cs="Times New Roman"/>
        </w:rPr>
        <w:t xml:space="preserve">CCR, BCC, A&amp;P, </w:t>
      </w:r>
      <w:r w:rsidR="00AE663E">
        <w:rPr>
          <w:rFonts w:cs="Times New Roman"/>
        </w:rPr>
        <w:t xml:space="preserve">Scale Efficiency, </w:t>
      </w:r>
      <w:r w:rsidR="00E829A3">
        <w:rPr>
          <w:rFonts w:cs="Times New Roman"/>
        </w:rPr>
        <w:t xml:space="preserve">Mobile Operator, </w:t>
      </w:r>
      <w:r w:rsidR="00AE663E">
        <w:rPr>
          <w:rFonts w:cs="Times New Roman"/>
        </w:rPr>
        <w:t xml:space="preserve">DMUs, </w:t>
      </w:r>
      <w:r w:rsidR="00E829A3">
        <w:rPr>
          <w:rFonts w:cs="Times New Roman"/>
        </w:rPr>
        <w:t>Middle East</w:t>
      </w:r>
      <w:r w:rsidR="0067130C">
        <w:rPr>
          <w:rFonts w:cs="Times New Roman"/>
        </w:rPr>
        <w:t>.</w:t>
      </w:r>
    </w:p>
    <w:p w:rsidR="00C50AF6" w:rsidRPr="00AB45AA" w:rsidRDefault="00C50AF6">
      <w:pPr>
        <w:rPr>
          <w:rFonts w:cs="Times New Roman"/>
        </w:rPr>
      </w:pPr>
    </w:p>
    <w:p w:rsidR="0002039B" w:rsidRPr="0034196D" w:rsidRDefault="00C73F7C" w:rsidP="0034196D">
      <w:pPr>
        <w:pStyle w:val="ListParagraph"/>
        <w:numPr>
          <w:ilvl w:val="0"/>
          <w:numId w:val="11"/>
        </w:numPr>
        <w:rPr>
          <w:rFonts w:cs="Times New Roman"/>
          <w:b/>
          <w:szCs w:val="24"/>
        </w:rPr>
      </w:pPr>
      <w:r w:rsidRPr="0034196D">
        <w:rPr>
          <w:rFonts w:cs="Times New Roman"/>
          <w:b/>
          <w:szCs w:val="24"/>
        </w:rPr>
        <w:t>Introduction</w:t>
      </w:r>
    </w:p>
    <w:p w:rsidR="00845047" w:rsidRPr="00AC09AE" w:rsidRDefault="00597D2A" w:rsidP="00845047">
      <w:pPr>
        <w:rPr>
          <w:color w:val="FF0000"/>
        </w:rPr>
      </w:pPr>
      <w:r>
        <w:t xml:space="preserve">The world is currently witnessing the information economy era where continuous information has become </w:t>
      </w:r>
      <w:r w:rsidR="00C7271E">
        <w:t xml:space="preserve">the main resource for </w:t>
      </w:r>
      <w:r w:rsidR="00845047">
        <w:t xml:space="preserve">competition. Telecommunications is the only guarantor of </w:t>
      </w:r>
      <w:r w:rsidR="00845047">
        <w:lastRenderedPageBreak/>
        <w:t>such information. In fact</w:t>
      </w:r>
      <w:r w:rsidR="00F431C4">
        <w:t>,</w:t>
      </w:r>
      <w:r w:rsidR="00845047">
        <w:t xml:space="preserve"> telecommunications is an essential catalyst for economic growth as per the International Telecommunications Union’s (ITU)</w:t>
      </w:r>
      <w:r w:rsidR="00845047">
        <w:rPr>
          <w:rStyle w:val="FootnoteReference"/>
        </w:rPr>
        <w:footnoteReference w:id="1"/>
      </w:r>
      <w:r w:rsidR="00845047">
        <w:t xml:space="preserve"> empirical studies conducted in 1984</w:t>
      </w:r>
      <w:r w:rsidR="00B72DDC">
        <w:t xml:space="preserve"> [1]</w:t>
      </w:r>
      <w:r w:rsidR="00845047">
        <w:t xml:space="preserve"> and 1999</w:t>
      </w:r>
      <w:r w:rsidR="00B72DDC">
        <w:t xml:space="preserve"> [2]</w:t>
      </w:r>
      <w:r w:rsidR="00845047">
        <w:t xml:space="preserve">. </w:t>
      </w:r>
      <w:r w:rsidR="005115C1">
        <w:t>It</w:t>
      </w:r>
      <w:r w:rsidR="005115C1" w:rsidRPr="00B77E34">
        <w:t xml:space="preserve"> boost</w:t>
      </w:r>
      <w:r w:rsidR="005115C1">
        <w:t>s</w:t>
      </w:r>
      <w:r w:rsidR="005115C1" w:rsidRPr="00B77E34">
        <w:t xml:space="preserve"> economic growth through </w:t>
      </w:r>
      <w:r w:rsidR="005115C1">
        <w:t>its</w:t>
      </w:r>
      <w:r w:rsidR="005115C1" w:rsidRPr="00B77E34">
        <w:t xml:space="preserve"> integration in every sector of the economy; agriculture, infrastructure, education, health, business, as wel</w:t>
      </w:r>
      <w:r w:rsidR="005115C1">
        <w:t>l as the governmental sector. It</w:t>
      </w:r>
      <w:r w:rsidR="005115C1" w:rsidRPr="00B77E34">
        <w:t xml:space="preserve"> succeeded in removing several obstacles from the everyday economical processes. It shortens geographical distances, allows for a faster flow of information and is a main driver for cost reduction. </w:t>
      </w:r>
      <w:r w:rsidR="005115C1">
        <w:t>T</w:t>
      </w:r>
      <w:r w:rsidR="005115C1" w:rsidRPr="00B77E34">
        <w:t>elecommunications has become a must for participating in the competitive world markets and for attracting investments. The mobile sector is one of the major corner-stones of</w:t>
      </w:r>
      <w:r w:rsidR="00AC09AE">
        <w:t xml:space="preserve"> the telecommunications systems which </w:t>
      </w:r>
      <w:r w:rsidR="00845047">
        <w:t>play a major role</w:t>
      </w:r>
      <w:r w:rsidR="00845047" w:rsidRPr="00B77E34">
        <w:t xml:space="preserve"> in conducting, organizing and managing processes in </w:t>
      </w:r>
      <w:r w:rsidR="00845047">
        <w:t xml:space="preserve">various sectors of the economy: </w:t>
      </w:r>
      <w:r w:rsidR="00845047" w:rsidRPr="00B77E34">
        <w:t>large amount</w:t>
      </w:r>
      <w:r w:rsidR="00845047">
        <w:t>s</w:t>
      </w:r>
      <w:r w:rsidR="00845047" w:rsidRPr="00B77E34">
        <w:t xml:space="preserve"> of cross-border information flow, reduction in transaction and transport costs, stimulation in consumer demand for world-class brands, services and</w:t>
      </w:r>
      <w:r w:rsidR="005115C1">
        <w:t xml:space="preserve"> products</w:t>
      </w:r>
      <w:r w:rsidR="00B72DDC">
        <w:t xml:space="preserve"> [3]</w:t>
      </w:r>
      <w:r w:rsidR="00845047" w:rsidRPr="00B77E34">
        <w:t>.</w:t>
      </w:r>
      <w:r w:rsidR="005115C1">
        <w:t xml:space="preserve"> </w:t>
      </w:r>
    </w:p>
    <w:p w:rsidR="00A06C8C" w:rsidRDefault="00845047" w:rsidP="00845047">
      <w:r w:rsidRPr="00B77E34">
        <w:t>With the introduction of the mobile</w:t>
      </w:r>
      <w:r w:rsidRPr="00845047">
        <w:t xml:space="preserve"> </w:t>
      </w:r>
      <w:r w:rsidRPr="00B77E34">
        <w:t>phones</w:t>
      </w:r>
      <w:r w:rsidRPr="00845047">
        <w:t xml:space="preserve"> </w:t>
      </w:r>
      <w:r w:rsidRPr="00B77E34">
        <w:t xml:space="preserve">in the early 1990’s, the face of telecommunications has </w:t>
      </w:r>
      <w:r>
        <w:t xml:space="preserve">drastically </w:t>
      </w:r>
      <w:r w:rsidRPr="00B77E34">
        <w:t>changed</w:t>
      </w:r>
      <w:r>
        <w:t xml:space="preserve">. </w:t>
      </w:r>
      <w:r w:rsidRPr="00B77E34">
        <w:t xml:space="preserve"> </w:t>
      </w:r>
      <w:r>
        <w:t>I</w:t>
      </w:r>
      <w:r w:rsidRPr="00B77E34">
        <w:t>n 1996</w:t>
      </w:r>
      <w:r w:rsidR="00DE310A">
        <w:t>,</w:t>
      </w:r>
      <w:r w:rsidRPr="00B77E34">
        <w:t xml:space="preserve"> the number of new mobile subscribers was greater than the number of new fixed-line subscribers, and in 1998 the number of new mobile users was twice that of </w:t>
      </w:r>
      <w:r w:rsidR="00A56C5A">
        <w:t xml:space="preserve">the </w:t>
      </w:r>
      <w:r w:rsidRPr="00B77E34">
        <w:t>fixed ones. The turning point in the mobile industry’s history was in 2002 when the number of mobile subscribers has surpassed the number of fixed-line subscribers worldwid</w:t>
      </w:r>
      <w:r w:rsidR="00B72DDC">
        <w:t>e [4]</w:t>
      </w:r>
      <w:r w:rsidRPr="00B77E34">
        <w:t>.</w:t>
      </w:r>
      <w:r>
        <w:t xml:space="preserve"> That was also the case of the </w:t>
      </w:r>
      <w:r w:rsidRPr="00B77E34">
        <w:t xml:space="preserve">mobile industry in the Middle East </w:t>
      </w:r>
      <w:r>
        <w:t>that</w:t>
      </w:r>
      <w:r w:rsidRPr="00B77E34">
        <w:t xml:space="preserve"> witnessed </w:t>
      </w:r>
      <w:r>
        <w:t xml:space="preserve">in addition to the </w:t>
      </w:r>
      <w:r w:rsidRPr="00B77E34">
        <w:t xml:space="preserve">fast growth, </w:t>
      </w:r>
      <w:r>
        <w:t>significant</w:t>
      </w:r>
      <w:r w:rsidRPr="00B77E34">
        <w:t xml:space="preserve"> technological developments and fierce competition due to the issuance of multiple mobile licenses. </w:t>
      </w:r>
      <w:r>
        <w:t>The c</w:t>
      </w:r>
      <w:r w:rsidRPr="00B77E34">
        <w:t xml:space="preserve">ompetitive pressures have led the mobile operators to </w:t>
      </w:r>
      <w:r>
        <w:t>focus</w:t>
      </w:r>
      <w:r w:rsidRPr="00B77E34">
        <w:t xml:space="preserve"> on improv</w:t>
      </w:r>
      <w:r w:rsidR="00DE310A">
        <w:t>ing their services and products and</w:t>
      </w:r>
      <w:r w:rsidRPr="00B77E34">
        <w:t xml:space="preserve"> cutting their costs </w:t>
      </w:r>
      <w:r w:rsidR="00A06C8C">
        <w:t>to better manage</w:t>
      </w:r>
      <w:r w:rsidRPr="00B77E34">
        <w:t xml:space="preserve"> </w:t>
      </w:r>
      <w:r w:rsidR="00A06C8C">
        <w:t>and maintain</w:t>
      </w:r>
      <w:r w:rsidRPr="00B77E34">
        <w:t xml:space="preserve"> their profits. </w:t>
      </w:r>
      <w:r w:rsidR="00A56C5A">
        <w:t>W</w:t>
      </w:r>
      <w:r w:rsidR="00A06C8C">
        <w:t>orking</w:t>
      </w:r>
      <w:r w:rsidRPr="00B77E34">
        <w:t xml:space="preserve"> at optimal level </w:t>
      </w:r>
      <w:r w:rsidR="00A06C8C">
        <w:t xml:space="preserve">of efficiency and productivity </w:t>
      </w:r>
      <w:r w:rsidR="00A56C5A">
        <w:t>becomes indispensable</w:t>
      </w:r>
      <w:r w:rsidRPr="00B77E34">
        <w:t xml:space="preserve"> when operating in a gradually saturated market such as the Middle Eastern one. </w:t>
      </w:r>
    </w:p>
    <w:p w:rsidR="00555637" w:rsidRPr="00555637" w:rsidRDefault="00A56C5A" w:rsidP="00555637">
      <w:pPr>
        <w:rPr>
          <w:rFonts w:cs="Times New Roman"/>
          <w:color w:val="FF0000"/>
          <w:szCs w:val="24"/>
        </w:rPr>
      </w:pPr>
      <w:r>
        <w:t>Currently</w:t>
      </w:r>
      <w:r w:rsidR="00555637">
        <w:t xml:space="preserve">, </w:t>
      </w:r>
      <w:r w:rsidR="00555637">
        <w:rPr>
          <w:rFonts w:cs="Times New Roman"/>
          <w:szCs w:val="24"/>
        </w:rPr>
        <w:t>t</w:t>
      </w:r>
      <w:r w:rsidR="00555637" w:rsidRPr="00C7751D">
        <w:rPr>
          <w:rFonts w:cs="Times New Roman"/>
          <w:szCs w:val="24"/>
        </w:rPr>
        <w:t>here is an increa</w:t>
      </w:r>
      <w:r w:rsidR="00555637">
        <w:rPr>
          <w:rFonts w:cs="Times New Roman"/>
          <w:szCs w:val="24"/>
        </w:rPr>
        <w:t>sing concern among organizations</w:t>
      </w:r>
      <w:r w:rsidR="00555637" w:rsidRPr="008F5418">
        <w:rPr>
          <w:rFonts w:cs="Times New Roman"/>
          <w:szCs w:val="24"/>
        </w:rPr>
        <w:t xml:space="preserve"> to study the level of e</w:t>
      </w:r>
      <w:r w:rsidR="00555637" w:rsidRPr="008F5418">
        <w:rPr>
          <w:rFonts w:eastAsia="rtxr" w:cs="Times New Roman"/>
          <w:szCs w:val="24"/>
        </w:rPr>
        <w:t>ffi</w:t>
      </w:r>
      <w:r w:rsidR="00555637" w:rsidRPr="008F5418">
        <w:rPr>
          <w:rFonts w:cs="Times New Roman"/>
          <w:szCs w:val="24"/>
        </w:rPr>
        <w:t>ciency with</w:t>
      </w:r>
      <w:r w:rsidR="00555637">
        <w:rPr>
          <w:rFonts w:cs="Times New Roman"/>
          <w:szCs w:val="24"/>
        </w:rPr>
        <w:t xml:space="preserve"> which they operate</w:t>
      </w:r>
      <w:r w:rsidR="00555637" w:rsidRPr="00C7751D">
        <w:rPr>
          <w:rFonts w:cs="Times New Roman"/>
          <w:szCs w:val="24"/>
        </w:rPr>
        <w:t xml:space="preserve"> relative to their competitors. Efficiency is an important aspect to measure because all the </w:t>
      </w:r>
      <w:r w:rsidR="00555637">
        <w:rPr>
          <w:rFonts w:cs="Times New Roman"/>
          <w:szCs w:val="24"/>
        </w:rPr>
        <w:t>resources</w:t>
      </w:r>
      <w:r w:rsidR="00555637" w:rsidRPr="00C7751D">
        <w:rPr>
          <w:rFonts w:cs="Times New Roman"/>
          <w:szCs w:val="24"/>
        </w:rPr>
        <w:t xml:space="preserve"> used by organizations are scarce.</w:t>
      </w:r>
      <w:r w:rsidR="00555637">
        <w:rPr>
          <w:rFonts w:cs="Times New Roman"/>
          <w:szCs w:val="24"/>
        </w:rPr>
        <w:t xml:space="preserve"> Inputs such as l</w:t>
      </w:r>
      <w:r w:rsidR="00555637" w:rsidRPr="00C7751D">
        <w:rPr>
          <w:rFonts w:cs="Times New Roman"/>
          <w:szCs w:val="24"/>
        </w:rPr>
        <w:t>abor, raw materials</w:t>
      </w:r>
      <w:r w:rsidR="00555637">
        <w:rPr>
          <w:rFonts w:cs="Times New Roman"/>
          <w:szCs w:val="24"/>
        </w:rPr>
        <w:t>, time and energy are not very abundant anymore. This is why organizations should try to conserve and use them in the best possible manners. Efficiency is concerned with the optimal use of these scarce resources to produce outputs of a given quality.</w:t>
      </w:r>
      <w:r w:rsidR="00555637">
        <w:rPr>
          <w:rFonts w:cs="Times New Roman"/>
          <w:color w:val="FF0000"/>
          <w:szCs w:val="24"/>
        </w:rPr>
        <w:t xml:space="preserve"> </w:t>
      </w:r>
      <w:r w:rsidR="00555637">
        <w:rPr>
          <w:rFonts w:cs="Times New Roman"/>
          <w:szCs w:val="24"/>
        </w:rPr>
        <w:t xml:space="preserve">Efficiency can be assessed in terms of technical efficiency, allocative efficiency, productive efficiency, dynamic efficiency, cost </w:t>
      </w:r>
      <w:r w:rsidR="00555637" w:rsidRPr="00404745">
        <w:rPr>
          <w:rFonts w:cs="Times New Roman"/>
          <w:szCs w:val="24"/>
        </w:rPr>
        <w:t>efficiency, social efficiency and distributive efficiency. The most common</w:t>
      </w:r>
      <w:r w:rsidR="00555637">
        <w:rPr>
          <w:rFonts w:cs="Times New Roman"/>
          <w:szCs w:val="24"/>
        </w:rPr>
        <w:t xml:space="preserve"> concept of efficiency is the technical efficiency. A unit is said to be technically efficient if it is producing the maximum amount of output while using the minimum amount of inputs. Efficiency is an important factor in the determination of productivity. Productivity is usually expressed in the form of partial factor productivity or total factor productivity.</w:t>
      </w:r>
    </w:p>
    <w:p w:rsidR="008E661A" w:rsidRDefault="00845047" w:rsidP="00C7281F">
      <w:pPr>
        <w:rPr>
          <w:rFonts w:cs="Times New Roman"/>
          <w:szCs w:val="24"/>
        </w:rPr>
      </w:pPr>
      <w:r w:rsidRPr="00B77E34">
        <w:t xml:space="preserve">One </w:t>
      </w:r>
      <w:r w:rsidR="00294658">
        <w:t xml:space="preserve">commonly used </w:t>
      </w:r>
      <w:r w:rsidRPr="00B77E34">
        <w:t>model for efficiency measurement is the partial factor productivity (PFP)</w:t>
      </w:r>
      <w:r w:rsidR="00294658">
        <w:t xml:space="preserve"> that considers a single input and a single output</w:t>
      </w:r>
      <w:r w:rsidRPr="00B77E34">
        <w:t xml:space="preserve">. </w:t>
      </w:r>
      <w:r w:rsidR="00B652C9">
        <w:rPr>
          <w:rFonts w:cs="Times New Roman"/>
          <w:szCs w:val="24"/>
        </w:rPr>
        <w:t xml:space="preserve">However, partial factor productivity is subject to </w:t>
      </w:r>
      <w:r w:rsidR="00B652C9">
        <w:rPr>
          <w:rFonts w:cs="Times New Roman"/>
          <w:szCs w:val="24"/>
        </w:rPr>
        <w:lastRenderedPageBreak/>
        <w:t>the weakness that it fails to measure the total productivity with multiple inputs and outputs.</w:t>
      </w:r>
      <w:r w:rsidR="00B652C9" w:rsidRPr="00B652C9">
        <w:rPr>
          <w:rFonts w:cs="Times New Roman"/>
          <w:szCs w:val="24"/>
        </w:rPr>
        <w:t xml:space="preserve"> </w:t>
      </w:r>
      <w:r w:rsidR="00B652C9" w:rsidRPr="005F672F">
        <w:rPr>
          <w:rFonts w:cs="Times New Roman"/>
          <w:szCs w:val="24"/>
        </w:rPr>
        <w:t>Moving from partial factor productivity to total factor productivity by combining all inputs and all outputs helps to avoid accrediting gains of production to one input that should be attributable to another input</w:t>
      </w:r>
      <w:r w:rsidR="00B652C9" w:rsidRPr="00B652C9">
        <w:rPr>
          <w:rFonts w:cs="Times New Roman"/>
          <w:szCs w:val="24"/>
        </w:rPr>
        <w:t xml:space="preserve"> </w:t>
      </w:r>
      <w:r w:rsidR="00B652C9">
        <w:rPr>
          <w:rFonts w:cs="Times New Roman"/>
          <w:szCs w:val="24"/>
        </w:rPr>
        <w:t>but</w:t>
      </w:r>
      <w:r w:rsidR="00B652C9" w:rsidRPr="005F672F">
        <w:rPr>
          <w:rFonts w:cs="Times New Roman"/>
          <w:szCs w:val="24"/>
        </w:rPr>
        <w:t xml:space="preserve"> faces </w:t>
      </w:r>
      <w:r w:rsidR="00BA37F2">
        <w:rPr>
          <w:rFonts w:cs="Times New Roman"/>
          <w:szCs w:val="24"/>
        </w:rPr>
        <w:t xml:space="preserve">at the same time </w:t>
      </w:r>
      <w:r w:rsidR="00B652C9" w:rsidRPr="005F672F">
        <w:rPr>
          <w:rFonts w:cs="Times New Roman"/>
          <w:szCs w:val="24"/>
        </w:rPr>
        <w:t xml:space="preserve">several difficulties such as choosing the inputs and outputs and </w:t>
      </w:r>
      <w:r w:rsidR="00BA37F2">
        <w:rPr>
          <w:rFonts w:cs="Times New Roman"/>
          <w:szCs w:val="24"/>
        </w:rPr>
        <w:t xml:space="preserve">consequently </w:t>
      </w:r>
      <w:r w:rsidR="00B652C9" w:rsidRPr="005F672F">
        <w:rPr>
          <w:rFonts w:cs="Times New Roman"/>
          <w:szCs w:val="24"/>
        </w:rPr>
        <w:t>assigning weigh</w:t>
      </w:r>
      <w:r w:rsidR="00B652C9">
        <w:rPr>
          <w:rFonts w:cs="Times New Roman"/>
          <w:szCs w:val="24"/>
        </w:rPr>
        <w:t>ts for each of them to reach a single output to</w:t>
      </w:r>
      <w:r w:rsidR="00B652C9" w:rsidRPr="005F672F">
        <w:rPr>
          <w:rFonts w:cs="Times New Roman"/>
          <w:szCs w:val="24"/>
        </w:rPr>
        <w:t xml:space="preserve"> input ratio</w:t>
      </w:r>
      <w:r w:rsidR="00C7281F">
        <w:rPr>
          <w:rFonts w:cs="Times New Roman"/>
          <w:szCs w:val="24"/>
        </w:rPr>
        <w:t xml:space="preserve">. </w:t>
      </w:r>
      <w:r w:rsidR="00C7281F" w:rsidRPr="00620A3D">
        <w:rPr>
          <w:rFonts w:cs="Times New Roman"/>
          <w:szCs w:val="24"/>
        </w:rPr>
        <w:t>A model that does not require a common set of weights and prior assumption of the production function is the data</w:t>
      </w:r>
      <w:r w:rsidR="00C7281F" w:rsidRPr="005F672F">
        <w:rPr>
          <w:rFonts w:cs="Times New Roman"/>
          <w:szCs w:val="24"/>
        </w:rPr>
        <w:t xml:space="preserve"> envelopment analysis (DEA). </w:t>
      </w:r>
      <w:r w:rsidR="00C7281F">
        <w:rPr>
          <w:rFonts w:cs="Times New Roman"/>
          <w:szCs w:val="24"/>
        </w:rPr>
        <w:t xml:space="preserve"> </w:t>
      </w:r>
    </w:p>
    <w:p w:rsidR="00B652C9" w:rsidRPr="008E661A" w:rsidRDefault="00C7281F" w:rsidP="00845047">
      <w:pPr>
        <w:rPr>
          <w:rFonts w:cs="Times New Roman"/>
          <w:szCs w:val="24"/>
        </w:rPr>
      </w:pPr>
      <w:r>
        <w:rPr>
          <w:rFonts w:cs="Times New Roman"/>
          <w:szCs w:val="24"/>
        </w:rPr>
        <w:t>DEA is a non-parametric linear-programming (LP) based technique that converts multiple input and output measures into a single comprehensive m</w:t>
      </w:r>
      <w:r w:rsidR="008E661A">
        <w:rPr>
          <w:rFonts w:cs="Times New Roman"/>
          <w:szCs w:val="24"/>
        </w:rPr>
        <w:t xml:space="preserve">easure of relative efficiency. </w:t>
      </w:r>
      <w:r>
        <w:rPr>
          <w:rFonts w:cs="Times New Roman"/>
          <w:szCs w:val="24"/>
        </w:rPr>
        <w:t xml:space="preserve">DEA is a methodology directed to frontiers and not to central tendencies. It uncovers the relationships between the inputs and outputs. It does not keep them hidden like other </w:t>
      </w:r>
      <w:r w:rsidR="00A56C5A">
        <w:rPr>
          <w:rFonts w:cs="Times New Roman"/>
          <w:szCs w:val="24"/>
        </w:rPr>
        <w:t>modeling instruments</w:t>
      </w:r>
      <w:r>
        <w:rPr>
          <w:rFonts w:cs="Times New Roman"/>
          <w:szCs w:val="24"/>
        </w:rPr>
        <w:t xml:space="preserve"> such as statistical regression where a regression plane is fit </w:t>
      </w:r>
      <w:r w:rsidR="008E661A">
        <w:rPr>
          <w:rFonts w:cs="Times New Roman"/>
          <w:szCs w:val="24"/>
        </w:rPr>
        <w:t xml:space="preserve">through the center of the data. </w:t>
      </w:r>
      <w:r>
        <w:rPr>
          <w:rFonts w:cs="Times New Roman"/>
          <w:szCs w:val="24"/>
        </w:rPr>
        <w:t>In DEA, the organization under study is called a decision making unit (DMU). The definition of DMU has been intentionally left unrestricted to allow the use of DEA over a wide range of applications. A DMU is considered any entity responsible for converting inputs into outputs and whose</w:t>
      </w:r>
      <w:r w:rsidR="008E661A">
        <w:rPr>
          <w:rFonts w:cs="Times New Roman"/>
          <w:szCs w:val="24"/>
        </w:rPr>
        <w:t xml:space="preserve"> performance is to be measured. </w:t>
      </w:r>
      <w:r>
        <w:rPr>
          <w:rFonts w:cs="Times New Roman"/>
          <w:szCs w:val="24"/>
        </w:rPr>
        <w:t>DEA is concerned in measuring relative efficiency, whereby, a DMU is to be rated as 100% or fully efficient if and only if the performances of other DMUs do not show that some of its inputs or outputs can be improved without worsening some of its other inputs or outputs</w:t>
      </w:r>
      <w:r w:rsidR="00B72DDC">
        <w:rPr>
          <w:rFonts w:cs="Times New Roman"/>
          <w:szCs w:val="24"/>
        </w:rPr>
        <w:t xml:space="preserve"> [5]</w:t>
      </w:r>
      <w:r>
        <w:rPr>
          <w:rFonts w:cs="Times New Roman"/>
          <w:szCs w:val="24"/>
        </w:rPr>
        <w:t>. This definition of relative efficiency avoids the necessity of assuming weights for the factors of production or specifying the relations that are s</w:t>
      </w:r>
      <w:r w:rsidR="008E661A">
        <w:rPr>
          <w:rFonts w:cs="Times New Roman"/>
          <w:szCs w:val="24"/>
        </w:rPr>
        <w:t xml:space="preserve">upposed to exist between them. </w:t>
      </w:r>
    </w:p>
    <w:p w:rsidR="00845047" w:rsidRDefault="00294658" w:rsidP="00ED6E59">
      <w:r>
        <w:t xml:space="preserve">Since there is a complete absence of </w:t>
      </w:r>
      <w:r w:rsidR="00845047" w:rsidRPr="00B77E34">
        <w:t xml:space="preserve">academic work measuring and comparing the performance of mobile operators in terms of productivity and efficiency </w:t>
      </w:r>
      <w:r>
        <w:t xml:space="preserve">in the Middle East, </w:t>
      </w:r>
      <w:r w:rsidR="00C513A0">
        <w:t>and</w:t>
      </w:r>
      <w:r w:rsidR="00C513A0" w:rsidRPr="00B77E34">
        <w:t xml:space="preserve"> despite the complication </w:t>
      </w:r>
      <w:r w:rsidR="00C513A0">
        <w:t xml:space="preserve">and difficulty </w:t>
      </w:r>
      <w:r w:rsidR="00C513A0" w:rsidRPr="00B77E34">
        <w:t xml:space="preserve">in getting data for </w:t>
      </w:r>
      <w:r w:rsidR="00C513A0">
        <w:t xml:space="preserve">the </w:t>
      </w:r>
      <w:r w:rsidR="00C513A0" w:rsidRPr="00B77E34">
        <w:t>mobile operators in such a region where only f</w:t>
      </w:r>
      <w:r w:rsidR="00C513A0">
        <w:t xml:space="preserve">ew are publicly listed, </w:t>
      </w:r>
      <w:r>
        <w:t>t</w:t>
      </w:r>
      <w:r w:rsidR="00845047" w:rsidRPr="00B77E34">
        <w:t xml:space="preserve">his </w:t>
      </w:r>
      <w:r w:rsidR="00C513A0">
        <w:t>paper</w:t>
      </w:r>
      <w:r w:rsidR="00845047" w:rsidRPr="00B77E34">
        <w:t xml:space="preserve"> </w:t>
      </w:r>
      <w:r w:rsidR="00A56C5A">
        <w:t>is</w:t>
      </w:r>
      <w:r w:rsidR="00845047" w:rsidRPr="00B77E34">
        <w:t xml:space="preserve"> the first to do so</w:t>
      </w:r>
      <w:r w:rsidR="00C513A0">
        <w:t xml:space="preserve"> using the PFP and DEA models for sixteen </w:t>
      </w:r>
      <w:r w:rsidR="00C513A0" w:rsidRPr="00B77E34">
        <w:t xml:space="preserve">mobile operators in </w:t>
      </w:r>
      <w:r w:rsidR="00C513A0">
        <w:t>nine</w:t>
      </w:r>
      <w:r w:rsidR="00C513A0" w:rsidRPr="00B77E34">
        <w:t xml:space="preserve"> different countries in the Middle East during the year 2011</w:t>
      </w:r>
      <w:r w:rsidR="00ED6E59">
        <w:t>.</w:t>
      </w:r>
    </w:p>
    <w:p w:rsidR="00FB7A50" w:rsidRPr="00321600" w:rsidRDefault="00ED6E59" w:rsidP="00321600">
      <w:pPr>
        <w:rPr>
          <w:rFonts w:cs="Times New Roman"/>
          <w:szCs w:val="24"/>
        </w:rPr>
      </w:pPr>
      <w:r w:rsidRPr="00321600">
        <w:rPr>
          <w:rFonts w:cs="Times New Roman"/>
          <w:szCs w:val="24"/>
        </w:rPr>
        <w:t>The paper proceeds as follow</w:t>
      </w:r>
      <w:r w:rsidR="00793BE0" w:rsidRPr="00321600">
        <w:rPr>
          <w:rFonts w:cs="Times New Roman"/>
          <w:szCs w:val="24"/>
        </w:rPr>
        <w:t xml:space="preserve">s. Section </w:t>
      </w:r>
      <w:r w:rsidR="00FB7A50" w:rsidRPr="00321600">
        <w:rPr>
          <w:rFonts w:cs="Times New Roman"/>
          <w:szCs w:val="24"/>
        </w:rPr>
        <w:t xml:space="preserve">1 </w:t>
      </w:r>
      <w:r w:rsidR="00793BE0" w:rsidRPr="00321600">
        <w:rPr>
          <w:rFonts w:cs="Times New Roman"/>
          <w:szCs w:val="24"/>
        </w:rPr>
        <w:t xml:space="preserve">explores the literature review of efficiency measurement. </w:t>
      </w:r>
      <w:r w:rsidR="00FB7A50" w:rsidRPr="00321600">
        <w:rPr>
          <w:rFonts w:cs="Times New Roman"/>
          <w:szCs w:val="24"/>
        </w:rPr>
        <w:t>The data and the selection of the appropriate input and output factors together w</w:t>
      </w:r>
      <w:r w:rsidR="00DE310A">
        <w:rPr>
          <w:rFonts w:cs="Times New Roman"/>
          <w:szCs w:val="24"/>
        </w:rPr>
        <w:t>ith the implementation of the P</w:t>
      </w:r>
      <w:r w:rsidR="00FB7A50" w:rsidRPr="00321600">
        <w:rPr>
          <w:rFonts w:cs="Times New Roman"/>
          <w:szCs w:val="24"/>
        </w:rPr>
        <w:t>F</w:t>
      </w:r>
      <w:r w:rsidR="00DE310A">
        <w:rPr>
          <w:rFonts w:cs="Times New Roman"/>
          <w:szCs w:val="24"/>
        </w:rPr>
        <w:t>P</w:t>
      </w:r>
      <w:r w:rsidR="00FB7A50" w:rsidRPr="00321600">
        <w:rPr>
          <w:rFonts w:cs="Times New Roman"/>
          <w:szCs w:val="24"/>
        </w:rPr>
        <w:t xml:space="preserve"> and DEA models are systematically assessed in section 2.</w:t>
      </w:r>
      <w:r w:rsidR="00915E85" w:rsidRPr="00321600">
        <w:rPr>
          <w:rFonts w:cs="Times New Roman"/>
          <w:szCs w:val="24"/>
        </w:rPr>
        <w:t xml:space="preserve"> The three DEA models</w:t>
      </w:r>
      <w:r w:rsidR="00DE310A">
        <w:rPr>
          <w:rFonts w:cs="Times New Roman"/>
          <w:szCs w:val="24"/>
        </w:rPr>
        <w:t>,</w:t>
      </w:r>
      <w:r w:rsidR="00915E85" w:rsidRPr="00321600">
        <w:rPr>
          <w:rFonts w:cs="Times New Roman"/>
          <w:szCs w:val="24"/>
        </w:rPr>
        <w:t xml:space="preserve"> namely the basic CCR, the BCC and the A&amp;P</w:t>
      </w:r>
      <w:r w:rsidR="00DE310A">
        <w:rPr>
          <w:rFonts w:cs="Times New Roman"/>
          <w:szCs w:val="24"/>
        </w:rPr>
        <w:t>,</w:t>
      </w:r>
      <w:r w:rsidR="00915E85" w:rsidRPr="00321600">
        <w:rPr>
          <w:rFonts w:cs="Times New Roman"/>
          <w:szCs w:val="24"/>
        </w:rPr>
        <w:t xml:space="preserve"> </w:t>
      </w:r>
      <w:r w:rsidR="00321600">
        <w:rPr>
          <w:rFonts w:cs="Times New Roman"/>
          <w:szCs w:val="24"/>
        </w:rPr>
        <w:t xml:space="preserve">are also applied in section 2. </w:t>
      </w:r>
      <w:r w:rsidR="00FB7A50" w:rsidRPr="00321600">
        <w:rPr>
          <w:rFonts w:cs="Times New Roman"/>
          <w:szCs w:val="24"/>
        </w:rPr>
        <w:t xml:space="preserve">The results of the PFP and DEA models </w:t>
      </w:r>
      <w:r w:rsidR="00260302" w:rsidRPr="00321600">
        <w:rPr>
          <w:rFonts w:cs="Times New Roman"/>
          <w:szCs w:val="24"/>
        </w:rPr>
        <w:t>a</w:t>
      </w:r>
      <w:r w:rsidR="00FB7A50" w:rsidRPr="00321600">
        <w:rPr>
          <w:rFonts w:cs="Times New Roman"/>
          <w:szCs w:val="24"/>
        </w:rPr>
        <w:t>re depicted in section 3</w:t>
      </w:r>
      <w:r w:rsidR="00260302" w:rsidRPr="00321600">
        <w:rPr>
          <w:rFonts w:cs="Times New Roman"/>
          <w:szCs w:val="24"/>
        </w:rPr>
        <w:t>.</w:t>
      </w:r>
      <w:r w:rsidR="00C963C1" w:rsidRPr="00321600">
        <w:rPr>
          <w:rFonts w:cs="Times New Roman"/>
          <w:szCs w:val="24"/>
        </w:rPr>
        <w:t xml:space="preserve"> The paper then concludes the empirical findings.</w:t>
      </w:r>
    </w:p>
    <w:p w:rsidR="00ED6E59" w:rsidRPr="00321600" w:rsidRDefault="00ED6E59" w:rsidP="00ED6E59">
      <w:pPr>
        <w:rPr>
          <w:rFonts w:cs="Times New Roman"/>
          <w:szCs w:val="24"/>
        </w:rPr>
      </w:pPr>
    </w:p>
    <w:p w:rsidR="00C74726" w:rsidRPr="00321600" w:rsidRDefault="00C74726" w:rsidP="00321600">
      <w:pPr>
        <w:rPr>
          <w:rFonts w:cs="Times New Roman"/>
          <w:szCs w:val="24"/>
        </w:rPr>
      </w:pPr>
    </w:p>
    <w:p w:rsidR="00502B58" w:rsidRPr="00502B58" w:rsidRDefault="00237507" w:rsidP="00502B58">
      <w:pPr>
        <w:pStyle w:val="ListParagraph"/>
        <w:numPr>
          <w:ilvl w:val="0"/>
          <w:numId w:val="1"/>
        </w:numPr>
        <w:rPr>
          <w:rFonts w:cs="Times New Roman"/>
          <w:b/>
          <w:szCs w:val="24"/>
        </w:rPr>
      </w:pPr>
      <w:r>
        <w:rPr>
          <w:rFonts w:cs="Times New Roman"/>
          <w:b/>
          <w:szCs w:val="24"/>
        </w:rPr>
        <w:t>Literature Review</w:t>
      </w:r>
    </w:p>
    <w:p w:rsidR="00646402" w:rsidRDefault="00646402" w:rsidP="00A044AE">
      <w:pPr>
        <w:autoSpaceDE w:val="0"/>
        <w:autoSpaceDN w:val="0"/>
        <w:adjustRightInd w:val="0"/>
        <w:spacing w:after="0"/>
        <w:rPr>
          <w:color w:val="FF0000"/>
        </w:rPr>
      </w:pPr>
      <w:r w:rsidRPr="00E36416">
        <w:lastRenderedPageBreak/>
        <w:t xml:space="preserve">Researchers have been attracted to measure </w:t>
      </w:r>
      <w:r w:rsidR="00A044AE">
        <w:t xml:space="preserve">productivity and </w:t>
      </w:r>
      <w:r>
        <w:t>efficiency</w:t>
      </w:r>
      <w:r w:rsidRPr="00E36416">
        <w:t xml:space="preserve"> in the </w:t>
      </w:r>
      <w:r>
        <w:t>mobile</w:t>
      </w:r>
      <w:r w:rsidRPr="00E36416">
        <w:t xml:space="preserve"> industry using several methods. </w:t>
      </w:r>
      <w:r w:rsidRPr="00166898">
        <w:t>The methods used included partial productivity, da</w:t>
      </w:r>
      <w:r w:rsidR="00A044AE">
        <w:t>ta envelopment analysis</w:t>
      </w:r>
      <w:r>
        <w:t>, T</w:t>
      </w:r>
      <w:r w:rsidRPr="00166898">
        <w:t>obit regression, sensitivity analysis, Malmquist index approach, total factor productivity, and other measurements.</w:t>
      </w:r>
    </w:p>
    <w:p w:rsidR="00646402" w:rsidRDefault="00A044AE" w:rsidP="00646402">
      <w:pPr>
        <w:autoSpaceDE w:val="0"/>
        <w:autoSpaceDN w:val="0"/>
        <w:adjustRightInd w:val="0"/>
        <w:spacing w:after="0"/>
      </w:pPr>
      <w:r>
        <w:rPr>
          <w:noProof/>
        </w:rPr>
        <w:t>Hsiang-Chih Tsai (</w:t>
      </w:r>
      <w:r w:rsidRPr="00836847">
        <w:rPr>
          <w:noProof/>
        </w:rPr>
        <w:t>2006</w:t>
      </w:r>
      <w:r>
        <w:t xml:space="preserve">) </w:t>
      </w:r>
      <w:r w:rsidR="00B72DDC">
        <w:t xml:space="preserve">[6] </w:t>
      </w:r>
      <w:r>
        <w:t>performed a</w:t>
      </w:r>
      <w:r w:rsidR="00646402" w:rsidRPr="007A1199">
        <w:t xml:space="preserve"> study on 39 of Forbes</w:t>
      </w:r>
      <w:r w:rsidR="00646402">
        <w:rPr>
          <w:rStyle w:val="FootnoteReference"/>
        </w:rPr>
        <w:footnoteReference w:id="2"/>
      </w:r>
      <w:r w:rsidR="00646402" w:rsidRPr="007A1199">
        <w:t xml:space="preserve"> 2000 ranked leading global telecom operators </w:t>
      </w:r>
      <w:r>
        <w:t>from America, Asia- Pacific, Europe and Africa</w:t>
      </w:r>
      <w:r w:rsidRPr="007A1199">
        <w:t xml:space="preserve"> </w:t>
      </w:r>
      <w:r w:rsidR="00646402" w:rsidRPr="007A1199">
        <w:t xml:space="preserve">to measure the productivity efficiency ratings of those operators and to check if the top ranked Forbes operators have the top ranked efficiency measures. The study applied the </w:t>
      </w:r>
      <w:r>
        <w:t>DEA using three methods</w:t>
      </w:r>
      <w:r w:rsidR="002959DA">
        <w:t>,</w:t>
      </w:r>
      <w:r>
        <w:t xml:space="preserve"> t</w:t>
      </w:r>
      <w:r w:rsidR="00646402">
        <w:t>he</w:t>
      </w:r>
      <w:r>
        <w:t xml:space="preserve"> traditional radial method </w:t>
      </w:r>
      <w:r w:rsidR="00646402" w:rsidRPr="00292E2E">
        <w:t>known as the CCR model</w:t>
      </w:r>
      <w:r w:rsidR="00646402">
        <w:t>, developed by Charnes, Cooper and Rhodes in 1978</w:t>
      </w:r>
      <w:r>
        <w:t>, t</w:t>
      </w:r>
      <w:r w:rsidR="00646402">
        <w:t>he A&amp;P model developed by Anderson and Peterson in 1993</w:t>
      </w:r>
      <w:r>
        <w:t xml:space="preserve"> and t</w:t>
      </w:r>
      <w:r w:rsidR="00646402">
        <w:t>he efficiency achievement measure that was proposed by Chiang and Tzeng in 2000</w:t>
      </w:r>
      <w:r>
        <w:t xml:space="preserve">. </w:t>
      </w:r>
      <w:r w:rsidR="00646402">
        <w:t>The DEA efficiency scores showed that eight companies out of the 39 were operating at full efficiency</w:t>
      </w:r>
      <w:r>
        <w:t xml:space="preserve">. </w:t>
      </w:r>
      <w:r w:rsidR="00646402">
        <w:t>The DEA efficiency scores obtained of the 39 companies were then compared with their relative EBITDA margin, Return on Assets (ROA), Total Asset Turnover, and Profitability and their Forbes 2000 ranking. The results showed that the DEA ranking, the Forbes ranking and the four quantitative financial performance indicators ranking are significantly different. The DEA ranking showed a higher correlation with the total asset turnover ranking. And the EBITDA margin ranking, the ROA ranking and the profitability ranking revealed a higher correlation with each other. Whereas the Forbes ranking showed a lower correlation with the ROA ranking, the profitability ranking</w:t>
      </w:r>
      <w:r>
        <w:t>,</w:t>
      </w:r>
      <w:r w:rsidR="00646402">
        <w:t xml:space="preserve"> and the DEA ranking.</w:t>
      </w:r>
    </w:p>
    <w:p w:rsidR="00646402" w:rsidRDefault="00646402" w:rsidP="00646402">
      <w:pPr>
        <w:autoSpaceDE w:val="0"/>
        <w:autoSpaceDN w:val="0"/>
        <w:adjustRightInd w:val="0"/>
        <w:spacing w:after="0"/>
      </w:pPr>
      <w:r>
        <w:t xml:space="preserve">Another study was performed </w:t>
      </w:r>
      <w:r w:rsidRPr="007A1199">
        <w:t>to explore the impact of industrial policy on the efficiency and productivity of 24 major Asia-Pacific telecom firms under the circumstance of competition and privatization</w:t>
      </w:r>
      <w:r w:rsidR="00B72DDC">
        <w:t xml:space="preserve"> [7]</w:t>
      </w:r>
      <w:r>
        <w:t>.</w:t>
      </w:r>
      <w:r w:rsidR="00A044AE">
        <w:t xml:space="preserve"> </w:t>
      </w:r>
      <w:r>
        <w:t xml:space="preserve">The time period </w:t>
      </w:r>
      <w:r w:rsidR="00A044AE">
        <w:t>covered the years</w:t>
      </w:r>
      <w:r>
        <w:t xml:space="preserve"> 1999 </w:t>
      </w:r>
      <w:r w:rsidR="00A044AE">
        <w:t>through</w:t>
      </w:r>
      <w:r>
        <w:t xml:space="preserve"> 2004. In the first stage the researchers applied the data envelopment analysis to measure the efficiency scores of the units focusing on technical efficiency, pure technical efficiency and scale efficiency, taking into consideration the returns to scale status. In the second stage, the inefficiency scores obtained from the DEA were regressed using the Tobit regression method against four environmental factors: market concentration, public ownership, fixed assets ratio and fixed line revenue ratio. In the third stage, the Malqumist productivity index was used to evaluate the longitudinal total factor productivity (TFP). The results showed that 12 out of the 24 firms improved their productivity while 11 firms declined. The growth in productivity was due to technical growth rather than to efficiency change. The study concluded that firms wishing to increase their efficiency and productivity should rely on technological improvements.</w:t>
      </w:r>
    </w:p>
    <w:p w:rsidR="00646402" w:rsidRDefault="00646402" w:rsidP="00646402">
      <w:pPr>
        <w:autoSpaceDE w:val="0"/>
        <w:autoSpaceDN w:val="0"/>
        <w:adjustRightInd w:val="0"/>
        <w:spacing w:after="0"/>
      </w:pPr>
      <w:r>
        <w:lastRenderedPageBreak/>
        <w:t xml:space="preserve">Comparing Operational Efficiency among Mobile Operators in Brazil, Russia, India and China </w:t>
      </w:r>
      <w:r w:rsidR="00B72DDC">
        <w:t>[8]</w:t>
      </w:r>
      <w:r>
        <w:t xml:space="preserve"> is a study that </w:t>
      </w:r>
      <w:r w:rsidR="004C18C3">
        <w:t>examined</w:t>
      </w:r>
      <w:r>
        <w:t xml:space="preserve"> the operational efficiency among 10 mobile o</w:t>
      </w:r>
      <w:r w:rsidRPr="007A1199">
        <w:t xml:space="preserve">perators in </w:t>
      </w:r>
      <w:r>
        <w:t xml:space="preserve">the BRIC region </w:t>
      </w:r>
      <w:r w:rsidRPr="007A1199">
        <w:t>between the years 2002 and 2006. The effic</w:t>
      </w:r>
      <w:r w:rsidR="00403F40">
        <w:t>iency measure was done through PFP</w:t>
      </w:r>
      <w:r w:rsidRPr="007A1199">
        <w:t xml:space="preserve"> and the </w:t>
      </w:r>
      <w:r w:rsidR="00403F40">
        <w:t>DEA</w:t>
      </w:r>
      <w:r w:rsidRPr="007A1199">
        <w:t xml:space="preserve"> decomposed into pure technical efficiency and scale efficiency. Four mobile operators from Brazil and two mobile operators from each of Russia, India and China were analyzed. </w:t>
      </w:r>
      <w:r>
        <w:t>A sensitivity analysis was then applied which showed how the DEA efficiency scores of the ten operators varied when deleting one of the three inputs each at a time.</w:t>
      </w:r>
      <w:r w:rsidR="00403F40">
        <w:t xml:space="preserve"> </w:t>
      </w:r>
      <w:r>
        <w:t xml:space="preserve">The study </w:t>
      </w:r>
      <w:r w:rsidR="00403F40">
        <w:t>revealed</w:t>
      </w:r>
      <w:r>
        <w:t xml:space="preserve"> similar results for both methods the PFP and DEA. The Brazilian operators which had the highest average productivity factors had as well the highest efficiency scores. And the two Indian operators which had the least efficiency scores had the lowest average productivity ratios.</w:t>
      </w:r>
    </w:p>
    <w:p w:rsidR="00646402" w:rsidRPr="00F41A48" w:rsidRDefault="00646402" w:rsidP="00646402">
      <w:pPr>
        <w:autoSpaceDE w:val="0"/>
        <w:autoSpaceDN w:val="0"/>
        <w:adjustRightInd w:val="0"/>
        <w:spacing w:after="0"/>
      </w:pPr>
      <w:r>
        <w:t xml:space="preserve">Furthermore, </w:t>
      </w:r>
      <w:r w:rsidR="0096021A">
        <w:t>DEA</w:t>
      </w:r>
      <w:r>
        <w:t xml:space="preserve"> was used to </w:t>
      </w:r>
      <w:r w:rsidRPr="00524A33">
        <w:t xml:space="preserve">measure the operational efficiency of six mobile operators in Japan and Korea between </w:t>
      </w:r>
      <w:r w:rsidR="009917E6">
        <w:t xml:space="preserve">the </w:t>
      </w:r>
      <w:r w:rsidRPr="00524A33">
        <w:t>years 2002 and 2006</w:t>
      </w:r>
      <w:r w:rsidR="00B72DDC">
        <w:t xml:space="preserve"> [9]</w:t>
      </w:r>
      <w:r w:rsidRPr="00524A33">
        <w:t xml:space="preserve">. </w:t>
      </w:r>
      <w:r>
        <w:t>In addition to the DEA, t</w:t>
      </w:r>
      <w:r w:rsidRPr="00524A33">
        <w:t>he study applied the part</w:t>
      </w:r>
      <w:r>
        <w:t>ial factor productivity</w:t>
      </w:r>
      <w:r w:rsidRPr="00524A33">
        <w:t>. The analysis was taken further through the Tobit regression to be able to determine the factors that are influencing the overall technical efficiency of t</w:t>
      </w:r>
      <w:r>
        <w:t xml:space="preserve">he mobile operators under study. </w:t>
      </w:r>
      <w:r w:rsidRPr="00524A33">
        <w:t xml:space="preserve">The results demonstrated that the Japanese operators are more efficient than the Korean ones. This was mainly due to the higher usage of data services in Japan than in Korea and the unsuccessful implementation of the WCMDA (Wideband Code Division Multiple Access) in the early stage in Korea. </w:t>
      </w:r>
      <w:r w:rsidR="0096021A">
        <w:t>T</w:t>
      </w:r>
      <w:r>
        <w:t xml:space="preserve">he Tobit regression showed that the geographical area, the quality of service, the degree of competition, the </w:t>
      </w:r>
      <w:r w:rsidRPr="0096434F">
        <w:t>3G network type, the ratio of</w:t>
      </w:r>
      <w:r>
        <w:t xml:space="preserve"> </w:t>
      </w:r>
      <w:r w:rsidRPr="0096434F">
        <w:t>3G subscribers, and the ratio o</w:t>
      </w:r>
      <w:r>
        <w:t>f data service revenues all had</w:t>
      </w:r>
      <w:r w:rsidRPr="0096434F">
        <w:t xml:space="preserve"> a significant effect on</w:t>
      </w:r>
      <w:r>
        <w:t xml:space="preserve"> the </w:t>
      </w:r>
      <w:r w:rsidRPr="0096434F">
        <w:t>efficiency of operators.</w:t>
      </w:r>
      <w:r>
        <w:t xml:space="preserve"> </w:t>
      </w:r>
      <w:r w:rsidR="0096021A">
        <w:t>The</w:t>
      </w:r>
      <w:r>
        <w:t xml:space="preserve"> study performed on the Indian mobile telecom operators using DEA and sensitivity analysis </w:t>
      </w:r>
      <w:r w:rsidR="00B72DDC">
        <w:t>[10]</w:t>
      </w:r>
      <w:r w:rsidR="0096021A">
        <w:t xml:space="preserve"> on </w:t>
      </w:r>
      <w:r w:rsidRPr="00F41A48">
        <w:t xml:space="preserve">126 operators showed that the older operators lie on </w:t>
      </w:r>
      <w:r w:rsidR="009917E6">
        <w:t>the efficiency frontier and</w:t>
      </w:r>
      <w:r w:rsidRPr="00F41A48">
        <w:t xml:space="preserve"> act as benchmarks for the younger ones. A sensitivity analysis was then performed. It showed that the private operators are more efficient than the state-owned ones. Many operators proved to be distinctly inefficient and require improvements to increase their efficiency.</w:t>
      </w:r>
    </w:p>
    <w:p w:rsidR="00646402" w:rsidRPr="00F41A48" w:rsidRDefault="00646402" w:rsidP="00646402">
      <w:pPr>
        <w:autoSpaceDE w:val="0"/>
        <w:autoSpaceDN w:val="0"/>
        <w:adjustRightInd w:val="0"/>
        <w:spacing w:after="0"/>
      </w:pPr>
      <w:r>
        <w:t>A different form of DEA was applied on the Malaysian telecom</w:t>
      </w:r>
      <w:r w:rsidR="009917E6">
        <w:t>munication</w:t>
      </w:r>
      <w:r>
        <w:t xml:space="preserve">s sector to compare its performance before and after privatization. </w:t>
      </w:r>
      <w:r w:rsidRPr="00F41A48">
        <w:t>The study was applied only on one operator in Malaysia, Telekom Malaysia, through two dimensions, its fixed line business and its overall business. The period under study was from 1968 until 2007. Since only the performance of one operator was being analyzed and the purpose was to compare its performance over time, the time series DEA analysis was applied. The time series DEA approach treats each year’s data as a different decision making unit and compares them to each other. The results showed that the performance after the company has been privatized was better than the performance before privatization.</w:t>
      </w:r>
      <w:r w:rsidR="0096021A">
        <w:t xml:space="preserve"> </w:t>
      </w:r>
      <w:r>
        <w:t>A similar study was performed on one single operator, Korea Telecom, but to measure the impact of competition on its efficiency as a public enterprise and one of the biggest telecommunications service providers in Korea</w:t>
      </w:r>
      <w:r w:rsidR="00B72DDC">
        <w:t xml:space="preserve"> [11]</w:t>
      </w:r>
      <w:r>
        <w:t xml:space="preserve">. </w:t>
      </w:r>
      <w:r w:rsidRPr="00C8426C">
        <w:t xml:space="preserve">Besides the time series DEA, </w:t>
      </w:r>
      <w:r w:rsidR="0096021A">
        <w:t>PFP</w:t>
      </w:r>
      <w:r w:rsidRPr="00C8426C">
        <w:t xml:space="preserve"> was used. The PFP showed mixed results and did not help the researchers to draw the needed conclusion for their study.</w:t>
      </w:r>
      <w:r w:rsidR="00F050B9">
        <w:t xml:space="preserve"> </w:t>
      </w:r>
      <w:r w:rsidRPr="00F41A48">
        <w:t xml:space="preserve">The DEA results showed an improvement in overall efficiency due to an improvement in allocative efficiency and not in technical efficiency. This implied that when </w:t>
      </w:r>
      <w:r w:rsidRPr="00F41A48">
        <w:lastRenderedPageBreak/>
        <w:t xml:space="preserve">monopolistic firms face external competition they tend to respond by reducing input cost and excessive capital but need time to improve their technical efficiency.    </w:t>
      </w:r>
    </w:p>
    <w:p w:rsidR="00646402" w:rsidRDefault="00646402" w:rsidP="00646402">
      <w:pPr>
        <w:autoSpaceDE w:val="0"/>
        <w:autoSpaceDN w:val="0"/>
        <w:adjustRightInd w:val="0"/>
        <w:spacing w:after="0"/>
        <w:rPr>
          <w:rFonts w:ascii="Times-Roman" w:hAnsi="Times-Roman" w:cs="Times-Roman"/>
          <w:szCs w:val="24"/>
        </w:rPr>
      </w:pPr>
      <w:r w:rsidRPr="00C8426C">
        <w:t>Banker, Cao, Menon, and Natarjan (2010)</w:t>
      </w:r>
      <w:r w:rsidR="00B72DDC">
        <w:t xml:space="preserve"> [12]</w:t>
      </w:r>
      <w:r w:rsidRPr="00C8426C">
        <w:t xml:space="preserve"> studied the productivity growth of the U.S. mobile telecom industry. 16 out of the top 25 U.S. mobile operators were put under study from the year 2000 until 2002. </w:t>
      </w:r>
      <w:r w:rsidRPr="00C47FDD">
        <w:rPr>
          <w:rFonts w:ascii="Times-Roman" w:hAnsi="Times-Roman" w:cs="Times-Roman"/>
          <w:szCs w:val="24"/>
        </w:rPr>
        <w:t xml:space="preserve">DEA was used to measure the productivity. The results of the study showed that there was significant growth in productivity of the telecom industry in the U.S and that technological advancement almost exclusively contributed to this growth. Moreover, the operators that were early movers had better productivity improvement and technological progress and the same applied for the national operators in comparison with the regional ones. </w:t>
      </w:r>
    </w:p>
    <w:p w:rsidR="00646402" w:rsidRDefault="00646402" w:rsidP="00646402">
      <w:pPr>
        <w:autoSpaceDE w:val="0"/>
        <w:autoSpaceDN w:val="0"/>
        <w:adjustRightInd w:val="0"/>
        <w:spacing w:after="0"/>
        <w:rPr>
          <w:rFonts w:cs="Times New Roman"/>
          <w:szCs w:val="24"/>
        </w:rPr>
      </w:pPr>
      <w:r w:rsidRPr="00FC7C54">
        <w:rPr>
          <w:rFonts w:cs="Times New Roman"/>
          <w:szCs w:val="24"/>
        </w:rPr>
        <w:t>Giokas and Pentzaropoulos (2000)</w:t>
      </w:r>
      <w:r w:rsidR="00B72DDC">
        <w:rPr>
          <w:rFonts w:cs="Times New Roman"/>
          <w:szCs w:val="24"/>
        </w:rPr>
        <w:t xml:space="preserve"> [13]</w:t>
      </w:r>
      <w:r w:rsidRPr="00FC7C54">
        <w:rPr>
          <w:rFonts w:cs="Times New Roman"/>
          <w:szCs w:val="24"/>
        </w:rPr>
        <w:t xml:space="preserve"> measured the efficiency of 36 telecommunications centers of Hellenic Telecommunications Organization in Greece. The inputs selected were number of technical personnel, administrative, operations, accounting and finance personnel, general duties, special status and temporary personnel and installed network capacity. The outputs selected were tariff units for automatic local, trunk, and international telephony and number of new connections and transfer of telephone lines. Out of the 36 telecommunications centers, 15 were operating eff</w:t>
      </w:r>
      <w:r w:rsidR="004C18C3">
        <w:rPr>
          <w:rFonts w:cs="Times New Roman"/>
          <w:szCs w:val="24"/>
        </w:rPr>
        <w:t>iciently</w:t>
      </w:r>
      <w:r w:rsidRPr="00FC7C54">
        <w:rPr>
          <w:rFonts w:cs="Times New Roman"/>
          <w:szCs w:val="24"/>
        </w:rPr>
        <w:t xml:space="preserve">. </w:t>
      </w:r>
    </w:p>
    <w:p w:rsidR="00284750" w:rsidRDefault="00FB3216" w:rsidP="00602CC0">
      <w:r>
        <w:t xml:space="preserve">The development and growth in DEA is evidence to its acceptance as a valuable model for measuring efficiency in the mobile sector. </w:t>
      </w:r>
      <w:r w:rsidR="00B26634">
        <w:t>The below section</w:t>
      </w:r>
      <w:r>
        <w:t xml:space="preserve"> will first apply the PFP method and then measure the efficiency of the mobile operators in the Middle East using the DEA model. </w:t>
      </w:r>
    </w:p>
    <w:p w:rsidR="00602CC0" w:rsidRPr="00602CC0" w:rsidRDefault="00602CC0" w:rsidP="00602CC0"/>
    <w:p w:rsidR="007D33F3" w:rsidRDefault="00B26634" w:rsidP="00B26634">
      <w:pPr>
        <w:pStyle w:val="ListParagraph"/>
        <w:numPr>
          <w:ilvl w:val="0"/>
          <w:numId w:val="1"/>
        </w:numPr>
        <w:rPr>
          <w:rFonts w:cs="Times New Roman"/>
          <w:b/>
          <w:szCs w:val="24"/>
        </w:rPr>
      </w:pPr>
      <w:r>
        <w:rPr>
          <w:rFonts w:cs="Times New Roman"/>
          <w:b/>
          <w:szCs w:val="24"/>
        </w:rPr>
        <w:t>Implementation of the PFP and DEA to the Mobile Operators in the Middle East</w:t>
      </w:r>
    </w:p>
    <w:p w:rsidR="00F82F9B" w:rsidRPr="00B26634" w:rsidRDefault="00F82F9B" w:rsidP="00F82F9B">
      <w:pPr>
        <w:pStyle w:val="ListParagraph"/>
        <w:rPr>
          <w:rFonts w:cs="Times New Roman"/>
          <w:b/>
          <w:szCs w:val="24"/>
        </w:rPr>
      </w:pPr>
    </w:p>
    <w:p w:rsidR="00F82F9B" w:rsidRPr="00F82F9B" w:rsidRDefault="00F82F9B" w:rsidP="00F82F9B">
      <w:pPr>
        <w:pStyle w:val="ListParagraph"/>
        <w:numPr>
          <w:ilvl w:val="1"/>
          <w:numId w:val="1"/>
        </w:numPr>
        <w:rPr>
          <w:b/>
        </w:rPr>
      </w:pPr>
      <w:r w:rsidRPr="00F82F9B">
        <w:rPr>
          <w:b/>
        </w:rPr>
        <w:t xml:space="preserve"> Input - Output Factors </w:t>
      </w:r>
    </w:p>
    <w:p w:rsidR="00F82F9B" w:rsidRDefault="00F82F9B" w:rsidP="00F82F9B">
      <w:r>
        <w:t xml:space="preserve">As showed in section 1, </w:t>
      </w:r>
      <w:r w:rsidRPr="009A224B">
        <w:t xml:space="preserve">no common set of factors of production has been used when measuring efficiency in the mobile sector. </w:t>
      </w:r>
      <w:r>
        <w:t xml:space="preserve">We will make sure in this paper that </w:t>
      </w:r>
      <w:r w:rsidRPr="009A224B">
        <w:t>the inputs and outputs relate to the objectives</w:t>
      </w:r>
      <w:r>
        <w:t xml:space="preserve"> of the DMUs, which are th</w:t>
      </w:r>
      <w:r w:rsidR="004C18C3">
        <w:t>e mobile operators</w:t>
      </w:r>
      <w:r>
        <w:t xml:space="preserve">, are consistent across DMUs and are quantifiable. This is the most challenging step especially that few of the operators are publicly listed, and thus obtaining their financial and operational data was hard and costly.  We will use 3 input factors and 2 output factors as illustrated in Table 1. </w:t>
      </w:r>
    </w:p>
    <w:p w:rsidR="00F82F9B" w:rsidRPr="00704902" w:rsidRDefault="00F82F9B" w:rsidP="002A288C">
      <w:pPr>
        <w:pStyle w:val="Caption"/>
        <w:rPr>
          <w:b w:val="0"/>
          <w:bCs w:val="0"/>
          <w:color w:val="auto"/>
          <w:sz w:val="24"/>
          <w:szCs w:val="22"/>
          <w:u w:val="single"/>
        </w:rPr>
      </w:pPr>
      <w:bookmarkStart w:id="0" w:name="_Toc354314443"/>
      <w:r w:rsidRPr="00704902">
        <w:rPr>
          <w:b w:val="0"/>
          <w:bCs w:val="0"/>
          <w:color w:val="auto"/>
          <w:sz w:val="24"/>
          <w:szCs w:val="22"/>
          <w:u w:val="single"/>
        </w:rPr>
        <w:t xml:space="preserve">Table 1: Input and Output Factors </w:t>
      </w:r>
      <w:bookmarkEnd w:id="0"/>
    </w:p>
    <w:tbl>
      <w:tblPr>
        <w:tblW w:w="5913" w:type="dxa"/>
        <w:tblInd w:w="198" w:type="dxa"/>
        <w:tblLook w:val="04A0"/>
      </w:tblPr>
      <w:tblGrid>
        <w:gridCol w:w="3520"/>
        <w:gridCol w:w="2393"/>
      </w:tblGrid>
      <w:tr w:rsidR="00F82F9B" w:rsidRPr="009C0105" w:rsidTr="002A288C">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F9B" w:rsidRPr="005924F3" w:rsidRDefault="00F82F9B" w:rsidP="00677874">
            <w:pPr>
              <w:spacing w:after="0" w:line="240" w:lineRule="auto"/>
              <w:jc w:val="center"/>
              <w:rPr>
                <w:rFonts w:eastAsia="Times New Roman" w:cs="Times New Roman"/>
                <w:b/>
                <w:bCs/>
                <w:color w:val="000000"/>
                <w:szCs w:val="24"/>
              </w:rPr>
            </w:pPr>
            <w:r w:rsidRPr="005924F3">
              <w:rPr>
                <w:rFonts w:eastAsia="Times New Roman" w:cs="Times New Roman"/>
                <w:b/>
                <w:bCs/>
                <w:color w:val="000000"/>
                <w:szCs w:val="24"/>
              </w:rPr>
              <w:t>Input</w:t>
            </w:r>
          </w:p>
        </w:tc>
        <w:tc>
          <w:tcPr>
            <w:tcW w:w="2393" w:type="dxa"/>
            <w:tcBorders>
              <w:top w:val="single" w:sz="4" w:space="0" w:color="auto"/>
              <w:left w:val="nil"/>
              <w:bottom w:val="single" w:sz="4" w:space="0" w:color="auto"/>
              <w:right w:val="single" w:sz="4" w:space="0" w:color="auto"/>
            </w:tcBorders>
            <w:shd w:val="clear" w:color="auto" w:fill="auto"/>
            <w:noWrap/>
            <w:vAlign w:val="bottom"/>
            <w:hideMark/>
          </w:tcPr>
          <w:p w:rsidR="00F82F9B" w:rsidRPr="005924F3" w:rsidRDefault="00F82F9B" w:rsidP="00677874">
            <w:pPr>
              <w:spacing w:after="0" w:line="240" w:lineRule="auto"/>
              <w:jc w:val="center"/>
              <w:rPr>
                <w:rFonts w:eastAsia="Times New Roman" w:cs="Times New Roman"/>
                <w:b/>
                <w:bCs/>
                <w:color w:val="000000"/>
                <w:szCs w:val="24"/>
              </w:rPr>
            </w:pPr>
            <w:r w:rsidRPr="005924F3">
              <w:rPr>
                <w:rFonts w:eastAsia="Times New Roman" w:cs="Times New Roman"/>
                <w:b/>
                <w:bCs/>
                <w:color w:val="000000"/>
                <w:szCs w:val="24"/>
              </w:rPr>
              <w:t>Output</w:t>
            </w:r>
          </w:p>
        </w:tc>
      </w:tr>
      <w:tr w:rsidR="00F82F9B" w:rsidRPr="009C0105" w:rsidTr="002A288C">
        <w:trPr>
          <w:trHeight w:val="910"/>
        </w:trPr>
        <w:tc>
          <w:tcPr>
            <w:tcW w:w="3520" w:type="dxa"/>
            <w:tcBorders>
              <w:top w:val="single" w:sz="4" w:space="0" w:color="auto"/>
              <w:left w:val="single" w:sz="4" w:space="0" w:color="auto"/>
              <w:bottom w:val="single" w:sz="4" w:space="0" w:color="auto"/>
              <w:right w:val="single" w:sz="4" w:space="0" w:color="auto"/>
            </w:tcBorders>
            <w:shd w:val="clear" w:color="auto" w:fill="auto"/>
            <w:noWrap/>
            <w:hideMark/>
          </w:tcPr>
          <w:p w:rsidR="00F82F9B" w:rsidRPr="005924F3" w:rsidRDefault="00F82F9B" w:rsidP="00677874">
            <w:pPr>
              <w:spacing w:after="0" w:line="240" w:lineRule="auto"/>
              <w:rPr>
                <w:rFonts w:eastAsia="Times New Roman" w:cs="Times New Roman"/>
                <w:color w:val="000000"/>
                <w:szCs w:val="24"/>
              </w:rPr>
            </w:pPr>
            <w:r w:rsidRPr="005924F3">
              <w:rPr>
                <w:rFonts w:eastAsia="Times New Roman" w:cs="Times New Roman"/>
                <w:color w:val="000000"/>
                <w:szCs w:val="24"/>
              </w:rPr>
              <w:t>Total number of employees (Emp)</w:t>
            </w:r>
          </w:p>
          <w:p w:rsidR="00F82F9B" w:rsidRPr="005924F3" w:rsidRDefault="00F82F9B" w:rsidP="00677874">
            <w:pPr>
              <w:spacing w:after="0" w:line="240" w:lineRule="auto"/>
              <w:rPr>
                <w:rFonts w:eastAsia="Times New Roman" w:cs="Times New Roman"/>
                <w:color w:val="000000"/>
                <w:szCs w:val="24"/>
              </w:rPr>
            </w:pPr>
            <w:r w:rsidRPr="005924F3">
              <w:rPr>
                <w:rFonts w:eastAsia="Times New Roman" w:cs="Times New Roman"/>
                <w:color w:val="000000"/>
                <w:szCs w:val="24"/>
              </w:rPr>
              <w:t>Total Assets (TA)</w:t>
            </w:r>
          </w:p>
          <w:p w:rsidR="00F82F9B" w:rsidRPr="005924F3" w:rsidRDefault="00F82F9B" w:rsidP="00677874">
            <w:pPr>
              <w:spacing w:after="0" w:line="240" w:lineRule="auto"/>
              <w:rPr>
                <w:rFonts w:eastAsia="Times New Roman" w:cs="Times New Roman"/>
                <w:color w:val="000000"/>
                <w:szCs w:val="24"/>
              </w:rPr>
            </w:pPr>
            <w:r w:rsidRPr="005924F3">
              <w:rPr>
                <w:rFonts w:eastAsia="Times New Roman" w:cs="Times New Roman"/>
                <w:color w:val="000000"/>
                <w:szCs w:val="24"/>
              </w:rPr>
              <w:t>CAPEX</w:t>
            </w:r>
          </w:p>
        </w:tc>
        <w:tc>
          <w:tcPr>
            <w:tcW w:w="2393" w:type="dxa"/>
            <w:tcBorders>
              <w:top w:val="single" w:sz="4" w:space="0" w:color="auto"/>
              <w:left w:val="nil"/>
              <w:bottom w:val="single" w:sz="4" w:space="0" w:color="auto"/>
              <w:right w:val="single" w:sz="4" w:space="0" w:color="auto"/>
            </w:tcBorders>
            <w:shd w:val="clear" w:color="auto" w:fill="auto"/>
            <w:noWrap/>
            <w:hideMark/>
          </w:tcPr>
          <w:p w:rsidR="00F82F9B" w:rsidRPr="005924F3" w:rsidRDefault="00F82F9B" w:rsidP="00677874">
            <w:pPr>
              <w:spacing w:after="0" w:line="240" w:lineRule="auto"/>
              <w:rPr>
                <w:rFonts w:eastAsia="Times New Roman" w:cs="Times New Roman"/>
                <w:color w:val="000000"/>
                <w:szCs w:val="24"/>
              </w:rPr>
            </w:pPr>
            <w:r w:rsidRPr="005924F3">
              <w:rPr>
                <w:rFonts w:eastAsia="Times New Roman" w:cs="Times New Roman"/>
                <w:color w:val="000000"/>
                <w:szCs w:val="24"/>
              </w:rPr>
              <w:t>Total Revenue (TR)</w:t>
            </w:r>
          </w:p>
          <w:p w:rsidR="00F82F9B" w:rsidRPr="005924F3" w:rsidRDefault="00F82F9B" w:rsidP="00677874">
            <w:pPr>
              <w:keepNext/>
              <w:spacing w:after="0" w:line="240" w:lineRule="auto"/>
              <w:rPr>
                <w:rFonts w:eastAsia="Times New Roman" w:cs="Times New Roman"/>
                <w:color w:val="000000"/>
                <w:szCs w:val="24"/>
              </w:rPr>
            </w:pPr>
            <w:r w:rsidRPr="005924F3">
              <w:rPr>
                <w:rFonts w:eastAsia="Times New Roman" w:cs="Times New Roman"/>
                <w:color w:val="000000"/>
                <w:szCs w:val="24"/>
              </w:rPr>
              <w:t>EBITDA</w:t>
            </w:r>
          </w:p>
        </w:tc>
      </w:tr>
    </w:tbl>
    <w:p w:rsidR="00F82F9B" w:rsidRDefault="00F82F9B" w:rsidP="00F82F9B">
      <w:r>
        <w:lastRenderedPageBreak/>
        <w:t xml:space="preserve">The input factors chosen are the total number of employees, total assets and capital expenditures. Since labor is an essential input in the production function of any mobile operator, the number of employees was chosen. The capacity a mobile operator has is represented by its total assets. Total assets are all assets owned by the operator, including current assets, fixed assets, intangible assets and deferred tax assets. The mobile communication industry is capital intensive, and the operator’s capital expenditures (CAPEX) are necessary for the construction of its network. The CAPEX invested affects call quality, coverage, </w:t>
      </w:r>
      <w:proofErr w:type="gramStart"/>
      <w:r>
        <w:t>transmission</w:t>
      </w:r>
      <w:proofErr w:type="gramEnd"/>
      <w:r>
        <w:t xml:space="preserve"> speed and network capacity. This is why CAPEX was chosen as an input factor in </w:t>
      </w:r>
      <w:r w:rsidR="005F44AD">
        <w:t>our</w:t>
      </w:r>
      <w:r>
        <w:t xml:space="preserve"> study. It represents the total expenditures for the purchase of property, equipment and other assets.</w:t>
      </w:r>
    </w:p>
    <w:p w:rsidR="00F82F9B" w:rsidRDefault="00F82F9B" w:rsidP="00F82F9B">
      <w:r>
        <w:t xml:space="preserve">As for the output factors, one can use the amount of service produced by the operators which is measured in terms of  number of voice minutes, number of SMS and the data volume produced from GPRS and 3G. But those figures are not obtainable for most of the operators </w:t>
      </w:r>
      <w:r w:rsidR="005F44AD">
        <w:t>we are studying</w:t>
      </w:r>
      <w:r>
        <w:t xml:space="preserve">. </w:t>
      </w:r>
      <w:r w:rsidR="005F44AD">
        <w:t>Instead</w:t>
      </w:r>
      <w:r>
        <w:t xml:space="preserve">, </w:t>
      </w:r>
      <w:r w:rsidR="005F44AD">
        <w:t>we used</w:t>
      </w:r>
      <w:r>
        <w:t xml:space="preserve"> the revenue and earnings made by the operators as</w:t>
      </w:r>
      <w:r w:rsidR="005F44AD">
        <w:t xml:space="preserve"> output factors: </w:t>
      </w:r>
      <w:r>
        <w:t xml:space="preserve">total revenue, and earnings before interest, taxes, depreciation and amortization (EBITDA) were selected. </w:t>
      </w:r>
    </w:p>
    <w:p w:rsidR="00F82F9B" w:rsidRDefault="005F44AD" w:rsidP="00F82F9B">
      <w:r>
        <w:t xml:space="preserve">Given the fact that the input and output values should be positive, </w:t>
      </w:r>
      <w:r w:rsidR="004C18C3">
        <w:t>o</w:t>
      </w:r>
      <w:r w:rsidR="00F82F9B">
        <w:t>perating profit (EBIT) and net income were excluded as output variables because</w:t>
      </w:r>
      <w:r w:rsidR="004C18C3">
        <w:t xml:space="preserve"> of</w:t>
      </w:r>
      <w:r w:rsidR="00F82F9B">
        <w:t xml:space="preserve"> their </w:t>
      </w:r>
      <w:r w:rsidR="004C18C3">
        <w:t xml:space="preserve">negative values </w:t>
      </w:r>
      <w:r w:rsidR="00F82F9B">
        <w:t xml:space="preserve">for </w:t>
      </w:r>
      <w:r>
        <w:t>4 mobile operators</w:t>
      </w:r>
      <w:r w:rsidR="004C18C3">
        <w:t xml:space="preserve"> in 2011</w:t>
      </w:r>
      <w:r>
        <w:t>.</w:t>
      </w:r>
    </w:p>
    <w:p w:rsidR="00F82F9B" w:rsidRPr="005F44AD" w:rsidRDefault="005F44AD" w:rsidP="005F44AD">
      <w:pPr>
        <w:pStyle w:val="Heading4"/>
        <w:numPr>
          <w:ilvl w:val="2"/>
          <w:numId w:val="1"/>
        </w:numPr>
        <w:rPr>
          <w:color w:val="000000" w:themeColor="text1"/>
        </w:rPr>
      </w:pPr>
      <w:bookmarkStart w:id="1" w:name="_Toc354315303"/>
      <w:r>
        <w:rPr>
          <w:color w:val="000000" w:themeColor="text1"/>
        </w:rPr>
        <w:t>N</w:t>
      </w:r>
      <w:r w:rsidR="00F82F9B" w:rsidRPr="005F44AD">
        <w:rPr>
          <w:color w:val="000000" w:themeColor="text1"/>
        </w:rPr>
        <w:t>umber of DMUs</w:t>
      </w:r>
      <w:bookmarkEnd w:id="1"/>
      <w:r w:rsidR="00F82F9B" w:rsidRPr="005F44AD">
        <w:rPr>
          <w:color w:val="000000" w:themeColor="text1"/>
        </w:rPr>
        <w:t xml:space="preserve"> </w:t>
      </w:r>
    </w:p>
    <w:p w:rsidR="00F82F9B" w:rsidRDefault="00F82F9B" w:rsidP="00F82F9B">
      <w:r>
        <w:t xml:space="preserve">One of the restrictions when constructing a DEA model is the total number of DMUs, and the number of inputs and outputs to be selected. The basic requirement in DEA is that the number of DMUs exceeds three times the number of input plus output variables. </w:t>
      </w:r>
    </w:p>
    <w:p w:rsidR="00F82F9B" w:rsidRDefault="00F82F9B" w:rsidP="005F44AD">
      <w:r w:rsidRPr="009C0105">
        <w:rPr>
          <w:i/>
        </w:rPr>
        <w:t xml:space="preserve">n &gt; </w:t>
      </w:r>
      <w:r>
        <w:rPr>
          <w:i/>
        </w:rPr>
        <w:t>3</w:t>
      </w:r>
      <w:r w:rsidRPr="009C0105">
        <w:rPr>
          <w:i/>
        </w:rPr>
        <w:t xml:space="preserve"> (m+s)</w:t>
      </w:r>
      <w:r>
        <w:t xml:space="preserve"> </w:t>
      </w:r>
      <w:r w:rsidR="005F44AD">
        <w:tab/>
      </w:r>
      <w:r w:rsidR="005F44AD">
        <w:tab/>
      </w:r>
      <w:r w:rsidR="005F44AD">
        <w:tab/>
      </w:r>
      <w:r w:rsidR="005F44AD">
        <w:tab/>
      </w:r>
      <w:r w:rsidR="005F44AD">
        <w:tab/>
      </w:r>
      <w:r w:rsidR="005F44AD">
        <w:tab/>
      </w:r>
      <w:r w:rsidR="005F44AD">
        <w:tab/>
        <w:t>(1)</w:t>
      </w:r>
    </w:p>
    <w:p w:rsidR="005F44AD" w:rsidRDefault="00F82F9B" w:rsidP="005F44AD">
      <w:r>
        <w:t xml:space="preserve">where: </w:t>
      </w:r>
    </w:p>
    <w:p w:rsidR="005F44AD" w:rsidRDefault="00F82F9B" w:rsidP="005F44AD">
      <w:r>
        <w:t xml:space="preserve"> </w:t>
      </w:r>
      <w:r w:rsidRPr="009C0105">
        <w:rPr>
          <w:i/>
        </w:rPr>
        <w:t>n</w:t>
      </w:r>
      <w:r w:rsidR="005F44AD">
        <w:t xml:space="preserve"> is the number of DMUs</w:t>
      </w:r>
    </w:p>
    <w:p w:rsidR="00F82F9B" w:rsidRDefault="00F82F9B" w:rsidP="005F44AD">
      <w:r>
        <w:t xml:space="preserve"> </w:t>
      </w:r>
      <w:r w:rsidRPr="009C0105">
        <w:rPr>
          <w:i/>
        </w:rPr>
        <w:t>m</w:t>
      </w:r>
      <w:r>
        <w:t xml:space="preserve"> is the number of inputs </w:t>
      </w:r>
    </w:p>
    <w:p w:rsidR="00F82F9B" w:rsidRDefault="00F82F9B" w:rsidP="005F44AD">
      <w:r w:rsidRPr="009C0105">
        <w:rPr>
          <w:i/>
        </w:rPr>
        <w:t>s</w:t>
      </w:r>
      <w:r>
        <w:t xml:space="preserve"> is the number of outputs</w:t>
      </w:r>
    </w:p>
    <w:p w:rsidR="00F82F9B" w:rsidRPr="00582C31" w:rsidRDefault="005F44AD" w:rsidP="00F82F9B">
      <w:r>
        <w:t>The</w:t>
      </w:r>
      <w:r w:rsidR="00F82F9B">
        <w:t xml:space="preserve"> 16 </w:t>
      </w:r>
      <w:r>
        <w:t xml:space="preserve">selected </w:t>
      </w:r>
      <w:r w:rsidR="00F82F9B">
        <w:t xml:space="preserve">DMUs </w:t>
      </w:r>
      <w:r>
        <w:t xml:space="preserve">in our study </w:t>
      </w:r>
      <w:r w:rsidR="00F82F9B">
        <w:t xml:space="preserve">with 3 input and 2 output factors </w:t>
      </w:r>
      <w:r>
        <w:t>met</w:t>
      </w:r>
      <w:r w:rsidR="00F82F9B">
        <w:t xml:space="preserve"> the above condition {</w:t>
      </w:r>
      <w:r w:rsidR="00F82F9B" w:rsidRPr="00582C31">
        <w:t>16 &gt; 3(3+2</w:t>
      </w:r>
      <w:r w:rsidR="00F82F9B">
        <w:t>)}</w:t>
      </w:r>
      <w:r w:rsidR="00F82F9B" w:rsidRPr="00582C31">
        <w:t>.</w:t>
      </w:r>
    </w:p>
    <w:p w:rsidR="00F82F9B" w:rsidRPr="005F44AD" w:rsidRDefault="00F82F9B" w:rsidP="005F44AD">
      <w:pPr>
        <w:pStyle w:val="Heading4"/>
        <w:numPr>
          <w:ilvl w:val="2"/>
          <w:numId w:val="1"/>
        </w:numPr>
        <w:rPr>
          <w:color w:val="000000" w:themeColor="text1"/>
        </w:rPr>
      </w:pPr>
      <w:bookmarkStart w:id="2" w:name="_Toc354315304"/>
      <w:r w:rsidRPr="005F44AD">
        <w:rPr>
          <w:color w:val="000000" w:themeColor="text1"/>
        </w:rPr>
        <w:t>Isotonicity Test</w:t>
      </w:r>
      <w:bookmarkEnd w:id="2"/>
    </w:p>
    <w:p w:rsidR="00704902" w:rsidRDefault="00F82F9B" w:rsidP="00704902">
      <w:r>
        <w:t>Another restriction is the isotonicity principle which the input and output factors have to comply with. Increasing an input should result in an increase in the value of an ou</w:t>
      </w:r>
      <w:r w:rsidR="00704902">
        <w:t xml:space="preserve">tput and not cause a decrease. </w:t>
      </w:r>
      <w:r>
        <w:t xml:space="preserve">To determine this isotonicity property </w:t>
      </w:r>
      <w:r w:rsidR="00704902">
        <w:t>we performed a</w:t>
      </w:r>
      <w:r>
        <w:t xml:space="preserve"> correlation analysis on the input </w:t>
      </w:r>
      <w:r>
        <w:lastRenderedPageBreak/>
        <w:t xml:space="preserve">and output variables </w:t>
      </w:r>
      <w:r w:rsidR="00704902">
        <w:t xml:space="preserve">already </w:t>
      </w:r>
      <w:r>
        <w:t xml:space="preserve">selected. Table </w:t>
      </w:r>
      <w:r w:rsidR="00704902">
        <w:t>2</w:t>
      </w:r>
      <w:r>
        <w:t xml:space="preserve"> </w:t>
      </w:r>
      <w:r w:rsidR="00704902">
        <w:t>depicts</w:t>
      </w:r>
      <w:r>
        <w:t xml:space="preserve"> the correlation coefficients obtained and shows that all the coefficients are greater than 0.5, indicating a positive high correlation between the input and output variables. Only the correlation coefficient between EBITDA and CAPEX is 0.46, slightly below 0.5, but still indicating a </w:t>
      </w:r>
      <w:r w:rsidRPr="009A224B">
        <w:t>positive</w:t>
      </w:r>
      <w:r w:rsidR="00704902">
        <w:t xml:space="preserve"> and acceptable</w:t>
      </w:r>
      <w:r w:rsidRPr="009A224B">
        <w:t xml:space="preserve"> correlation </w:t>
      </w:r>
      <w:r w:rsidR="00704902">
        <w:t>coefficient.</w:t>
      </w:r>
      <w:bookmarkStart w:id="3" w:name="_Toc354314444"/>
      <w:r w:rsidR="00704902" w:rsidRPr="00704902">
        <w:t xml:space="preserve"> </w:t>
      </w:r>
    </w:p>
    <w:p w:rsidR="00F82F9B" w:rsidRPr="00704902" w:rsidRDefault="00704902" w:rsidP="00704902">
      <w:pPr>
        <w:rPr>
          <w:u w:val="single"/>
        </w:rPr>
      </w:pPr>
      <w:r w:rsidRPr="00704902">
        <w:rPr>
          <w:u w:val="single"/>
        </w:rPr>
        <w:t>Tabl</w:t>
      </w:r>
      <w:r w:rsidR="002A288C">
        <w:rPr>
          <w:u w:val="single"/>
        </w:rPr>
        <w:t>e 2</w:t>
      </w:r>
      <w:r w:rsidRPr="00704902">
        <w:rPr>
          <w:u w:val="single"/>
        </w:rPr>
        <w:t>: Pearson Correlation between Inputs and Outputs</w:t>
      </w:r>
      <w:bookmarkEnd w:id="3"/>
    </w:p>
    <w:tbl>
      <w:tblPr>
        <w:tblW w:w="4770" w:type="dxa"/>
        <w:tblInd w:w="198" w:type="dxa"/>
        <w:tblLook w:val="04A0"/>
      </w:tblPr>
      <w:tblGrid>
        <w:gridCol w:w="2426"/>
        <w:gridCol w:w="1174"/>
        <w:gridCol w:w="1170"/>
      </w:tblGrid>
      <w:tr w:rsidR="00F82F9B" w:rsidRPr="009A224B" w:rsidTr="00704902">
        <w:trPr>
          <w:trHeight w:val="300"/>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jc w:val="center"/>
              <w:rPr>
                <w:rFonts w:eastAsia="Times New Roman" w:cs="Times New Roman"/>
                <w:b/>
                <w:bCs/>
                <w:i/>
                <w:iCs/>
              </w:rPr>
            </w:pPr>
            <w:r w:rsidRPr="009A224B">
              <w:rPr>
                <w:rFonts w:eastAsia="Times New Roman" w:cs="Times New Roman"/>
                <w:b/>
                <w:bCs/>
                <w:i/>
                <w:iCs/>
                <w:sz w:val="22"/>
              </w:rPr>
              <w:t xml:space="preserve">r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rPr>
                <w:rFonts w:eastAsia="Times New Roman" w:cs="Times New Roman"/>
                <w:b/>
                <w:bCs/>
              </w:rPr>
            </w:pPr>
            <w:r w:rsidRPr="009A224B">
              <w:rPr>
                <w:rFonts w:eastAsia="Times New Roman" w:cs="Times New Roman"/>
                <w:b/>
                <w:bCs/>
                <w:sz w:val="22"/>
              </w:rPr>
              <w:t>TR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rPr>
                <w:rFonts w:eastAsia="Times New Roman" w:cs="Times New Roman"/>
                <w:b/>
                <w:bCs/>
              </w:rPr>
            </w:pPr>
            <w:r w:rsidRPr="009A224B">
              <w:rPr>
                <w:rFonts w:eastAsia="Times New Roman" w:cs="Times New Roman"/>
                <w:b/>
                <w:bCs/>
                <w:sz w:val="22"/>
              </w:rPr>
              <w:t>EBITDA</w:t>
            </w:r>
          </w:p>
        </w:tc>
      </w:tr>
      <w:tr w:rsidR="00F82F9B" w:rsidRPr="009A224B" w:rsidTr="00704902">
        <w:trPr>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rPr>
                <w:rFonts w:eastAsia="Times New Roman" w:cs="Times New Roman"/>
                <w:b/>
                <w:bCs/>
              </w:rPr>
            </w:pPr>
            <w:r w:rsidRPr="009A224B">
              <w:rPr>
                <w:rFonts w:eastAsia="Times New Roman" w:cs="Times New Roman"/>
                <w:b/>
                <w:bCs/>
                <w:sz w:val="22"/>
              </w:rPr>
              <w:t>TA</w:t>
            </w:r>
          </w:p>
        </w:tc>
        <w:tc>
          <w:tcPr>
            <w:tcW w:w="1174" w:type="dxa"/>
            <w:tcBorders>
              <w:top w:val="nil"/>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jc w:val="right"/>
              <w:rPr>
                <w:rFonts w:eastAsia="Times New Roman" w:cs="Times New Roman"/>
              </w:rPr>
            </w:pPr>
            <w:r w:rsidRPr="009A224B">
              <w:rPr>
                <w:rFonts w:eastAsia="Times New Roman" w:cs="Times New Roman"/>
                <w:sz w:val="22"/>
              </w:rPr>
              <w:t>0.96</w:t>
            </w:r>
          </w:p>
        </w:tc>
        <w:tc>
          <w:tcPr>
            <w:tcW w:w="1170" w:type="dxa"/>
            <w:tcBorders>
              <w:top w:val="nil"/>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jc w:val="right"/>
              <w:rPr>
                <w:rFonts w:eastAsia="Times New Roman" w:cs="Times New Roman"/>
              </w:rPr>
            </w:pPr>
            <w:r w:rsidRPr="009A224B">
              <w:rPr>
                <w:rFonts w:eastAsia="Times New Roman" w:cs="Times New Roman"/>
                <w:sz w:val="22"/>
              </w:rPr>
              <w:t>0.79</w:t>
            </w:r>
          </w:p>
        </w:tc>
      </w:tr>
      <w:tr w:rsidR="00F82F9B" w:rsidRPr="009A224B" w:rsidTr="00704902">
        <w:trPr>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rPr>
                <w:rFonts w:eastAsia="Times New Roman" w:cs="Times New Roman"/>
                <w:b/>
                <w:bCs/>
              </w:rPr>
            </w:pPr>
            <w:r w:rsidRPr="009A224B">
              <w:rPr>
                <w:rFonts w:eastAsia="Times New Roman" w:cs="Times New Roman"/>
                <w:b/>
                <w:bCs/>
                <w:sz w:val="22"/>
              </w:rPr>
              <w:t>CAPEX</w:t>
            </w:r>
          </w:p>
        </w:tc>
        <w:tc>
          <w:tcPr>
            <w:tcW w:w="1174" w:type="dxa"/>
            <w:tcBorders>
              <w:top w:val="nil"/>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jc w:val="right"/>
              <w:rPr>
                <w:rFonts w:eastAsia="Times New Roman" w:cs="Times New Roman"/>
              </w:rPr>
            </w:pPr>
            <w:r w:rsidRPr="009A224B">
              <w:rPr>
                <w:rFonts w:eastAsia="Times New Roman" w:cs="Times New Roman"/>
                <w:sz w:val="22"/>
              </w:rPr>
              <w:t>0.67</w:t>
            </w:r>
          </w:p>
        </w:tc>
        <w:tc>
          <w:tcPr>
            <w:tcW w:w="1170" w:type="dxa"/>
            <w:tcBorders>
              <w:top w:val="nil"/>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jc w:val="right"/>
              <w:rPr>
                <w:rFonts w:eastAsia="Times New Roman" w:cs="Times New Roman"/>
              </w:rPr>
            </w:pPr>
            <w:r w:rsidRPr="009A224B">
              <w:rPr>
                <w:rFonts w:eastAsia="Times New Roman" w:cs="Times New Roman"/>
                <w:sz w:val="22"/>
              </w:rPr>
              <w:t>*0.46</w:t>
            </w:r>
          </w:p>
        </w:tc>
      </w:tr>
      <w:tr w:rsidR="00F82F9B" w:rsidRPr="009A224B" w:rsidTr="00704902">
        <w:trPr>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rPr>
                <w:rFonts w:eastAsia="Times New Roman" w:cs="Times New Roman"/>
                <w:b/>
                <w:bCs/>
              </w:rPr>
            </w:pPr>
            <w:r w:rsidRPr="009A224B">
              <w:rPr>
                <w:rFonts w:eastAsia="Times New Roman" w:cs="Times New Roman"/>
                <w:b/>
                <w:bCs/>
                <w:sz w:val="22"/>
              </w:rPr>
              <w:t>Number of Employees</w:t>
            </w:r>
          </w:p>
        </w:tc>
        <w:tc>
          <w:tcPr>
            <w:tcW w:w="1174" w:type="dxa"/>
            <w:tcBorders>
              <w:top w:val="nil"/>
              <w:left w:val="nil"/>
              <w:bottom w:val="single" w:sz="4" w:space="0" w:color="auto"/>
              <w:right w:val="single" w:sz="4" w:space="0" w:color="auto"/>
            </w:tcBorders>
            <w:shd w:val="clear" w:color="auto" w:fill="auto"/>
            <w:noWrap/>
            <w:vAlign w:val="bottom"/>
            <w:hideMark/>
          </w:tcPr>
          <w:p w:rsidR="00F82F9B" w:rsidRPr="009A224B" w:rsidRDefault="00F82F9B" w:rsidP="00677874">
            <w:pPr>
              <w:spacing w:after="0" w:line="240" w:lineRule="auto"/>
              <w:jc w:val="right"/>
              <w:rPr>
                <w:rFonts w:eastAsia="Times New Roman" w:cs="Times New Roman"/>
              </w:rPr>
            </w:pPr>
            <w:r w:rsidRPr="009A224B">
              <w:rPr>
                <w:rFonts w:eastAsia="Times New Roman" w:cs="Times New Roman"/>
                <w:sz w:val="22"/>
              </w:rPr>
              <w:t>0.86</w:t>
            </w:r>
          </w:p>
        </w:tc>
        <w:tc>
          <w:tcPr>
            <w:tcW w:w="1170" w:type="dxa"/>
            <w:tcBorders>
              <w:top w:val="nil"/>
              <w:left w:val="nil"/>
              <w:bottom w:val="single" w:sz="4" w:space="0" w:color="auto"/>
              <w:right w:val="single" w:sz="4" w:space="0" w:color="auto"/>
            </w:tcBorders>
            <w:shd w:val="clear" w:color="auto" w:fill="auto"/>
            <w:noWrap/>
            <w:vAlign w:val="bottom"/>
            <w:hideMark/>
          </w:tcPr>
          <w:p w:rsidR="00F82F9B" w:rsidRPr="009A224B" w:rsidRDefault="00F82F9B" w:rsidP="00677874">
            <w:pPr>
              <w:keepNext/>
              <w:spacing w:after="0" w:line="240" w:lineRule="auto"/>
              <w:jc w:val="right"/>
              <w:rPr>
                <w:rFonts w:eastAsia="Times New Roman" w:cs="Times New Roman"/>
              </w:rPr>
            </w:pPr>
            <w:r w:rsidRPr="009A224B">
              <w:rPr>
                <w:rFonts w:eastAsia="Times New Roman" w:cs="Times New Roman"/>
                <w:sz w:val="22"/>
              </w:rPr>
              <w:t>0.70</w:t>
            </w:r>
          </w:p>
        </w:tc>
      </w:tr>
    </w:tbl>
    <w:p w:rsidR="00F82F9B" w:rsidRPr="00F726C9" w:rsidRDefault="00F82F9B" w:rsidP="00F726C9">
      <w:pPr>
        <w:pStyle w:val="ListParagraph"/>
        <w:rPr>
          <w:rFonts w:cs="Times New Roman"/>
          <w:b/>
          <w:szCs w:val="24"/>
        </w:rPr>
      </w:pPr>
    </w:p>
    <w:p w:rsidR="00461315" w:rsidRPr="00F726C9" w:rsidRDefault="00F726C9" w:rsidP="00F726C9">
      <w:pPr>
        <w:pStyle w:val="ListParagraph"/>
        <w:numPr>
          <w:ilvl w:val="1"/>
          <w:numId w:val="1"/>
        </w:numPr>
        <w:rPr>
          <w:rFonts w:cs="Times New Roman"/>
          <w:b/>
          <w:szCs w:val="24"/>
        </w:rPr>
      </w:pPr>
      <w:r>
        <w:rPr>
          <w:rFonts w:cs="Times New Roman"/>
          <w:b/>
          <w:szCs w:val="24"/>
        </w:rPr>
        <w:t xml:space="preserve"> </w:t>
      </w:r>
      <w:r w:rsidR="00461315" w:rsidRPr="00F726C9">
        <w:rPr>
          <w:rFonts w:cs="Times New Roman"/>
          <w:b/>
          <w:szCs w:val="24"/>
        </w:rPr>
        <w:t>Sample and Data Collection</w:t>
      </w:r>
    </w:p>
    <w:p w:rsidR="00D04C5A" w:rsidRDefault="00D04C5A" w:rsidP="00D04C5A">
      <w:r>
        <w:t>Table 3</w:t>
      </w:r>
      <w:r w:rsidRPr="00B77E34">
        <w:t xml:space="preserve"> </w:t>
      </w:r>
      <w:r>
        <w:t>depicts</w:t>
      </w:r>
      <w:r w:rsidRPr="00B77E34">
        <w:t xml:space="preserve"> the 16 operators </w:t>
      </w:r>
      <w:r>
        <w:t>that we included in our sample and compares them</w:t>
      </w:r>
      <w:r w:rsidRPr="00B77E34">
        <w:t xml:space="preserve"> in terms of the total</w:t>
      </w:r>
      <w:r w:rsidR="0050267E">
        <w:t xml:space="preserve"> number of mobile subscribers, </w:t>
      </w:r>
      <w:r w:rsidRPr="00B77E34">
        <w:t>the number of 3G</w:t>
      </w:r>
      <w:r w:rsidRPr="00B77E34">
        <w:rPr>
          <w:rStyle w:val="FootnoteReference"/>
        </w:rPr>
        <w:footnoteReference w:id="3"/>
      </w:r>
      <w:r w:rsidR="0050267E">
        <w:t xml:space="preserve"> subscribers and the market share.</w:t>
      </w:r>
      <w:r w:rsidRPr="00B77E34">
        <w:t xml:space="preserve"> </w:t>
      </w:r>
    </w:p>
    <w:p w:rsidR="00D04C5A" w:rsidRPr="00D04C5A" w:rsidRDefault="00D04C5A" w:rsidP="00D04C5A">
      <w:pPr>
        <w:pStyle w:val="NoSpacing"/>
        <w:rPr>
          <w:u w:val="single"/>
        </w:rPr>
      </w:pPr>
      <w:bookmarkStart w:id="4" w:name="_Toc354314434"/>
      <w:r w:rsidRPr="00D04C5A">
        <w:rPr>
          <w:u w:val="single"/>
        </w:rPr>
        <w:t>Table</w:t>
      </w:r>
      <w:r w:rsidR="002A288C">
        <w:rPr>
          <w:u w:val="single"/>
        </w:rPr>
        <w:t xml:space="preserve"> 3</w:t>
      </w:r>
      <w:r w:rsidRPr="00D04C5A">
        <w:rPr>
          <w:u w:val="single"/>
        </w:rPr>
        <w:t xml:space="preserve">: A </w:t>
      </w:r>
      <w:r w:rsidR="006834C4">
        <w:rPr>
          <w:u w:val="single"/>
        </w:rPr>
        <w:t>C</w:t>
      </w:r>
      <w:r w:rsidRPr="00D04C5A">
        <w:rPr>
          <w:u w:val="single"/>
        </w:rPr>
        <w:t xml:space="preserve">omparison between the </w:t>
      </w:r>
      <w:r w:rsidR="006834C4">
        <w:rPr>
          <w:u w:val="single"/>
        </w:rPr>
        <w:t>M</w:t>
      </w:r>
      <w:r w:rsidRPr="00D04C5A">
        <w:rPr>
          <w:u w:val="single"/>
        </w:rPr>
        <w:t xml:space="preserve">obile </w:t>
      </w:r>
      <w:r w:rsidR="006834C4">
        <w:rPr>
          <w:u w:val="single"/>
        </w:rPr>
        <w:t>O</w:t>
      </w:r>
      <w:r w:rsidRPr="00D04C5A">
        <w:rPr>
          <w:u w:val="single"/>
        </w:rPr>
        <w:t xml:space="preserve">perators’ </w:t>
      </w:r>
      <w:r w:rsidR="006834C4">
        <w:rPr>
          <w:u w:val="single"/>
        </w:rPr>
        <w:t>S</w:t>
      </w:r>
      <w:r w:rsidRPr="00D04C5A">
        <w:rPr>
          <w:u w:val="single"/>
        </w:rPr>
        <w:t xml:space="preserve">ubscribers </w:t>
      </w:r>
      <w:r w:rsidR="006834C4">
        <w:rPr>
          <w:u w:val="single"/>
        </w:rPr>
        <w:t>N</w:t>
      </w:r>
      <w:r w:rsidRPr="00D04C5A">
        <w:rPr>
          <w:u w:val="single"/>
        </w:rPr>
        <w:t>umber</w:t>
      </w:r>
      <w:bookmarkEnd w:id="4"/>
      <w:r w:rsidR="006834C4">
        <w:rPr>
          <w:u w:val="single"/>
        </w:rPr>
        <w:t xml:space="preserve"> and Market Share</w:t>
      </w:r>
    </w:p>
    <w:p w:rsidR="00D04C5A" w:rsidRPr="00B77E34" w:rsidRDefault="00D04C5A" w:rsidP="00D04C5A">
      <w:pPr>
        <w:pStyle w:val="NoSpacing"/>
      </w:pPr>
    </w:p>
    <w:tbl>
      <w:tblPr>
        <w:tblW w:w="8285" w:type="dxa"/>
        <w:tblInd w:w="103" w:type="dxa"/>
        <w:tblLook w:val="04A0"/>
      </w:tblPr>
      <w:tblGrid>
        <w:gridCol w:w="2060"/>
        <w:gridCol w:w="1200"/>
        <w:gridCol w:w="1605"/>
        <w:gridCol w:w="1710"/>
        <w:gridCol w:w="1710"/>
      </w:tblGrid>
      <w:tr w:rsidR="006834C4" w:rsidRPr="00B77E34" w:rsidTr="006834C4">
        <w:trPr>
          <w:trHeight w:val="58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b/>
                <w:bCs/>
                <w:color w:val="000000"/>
              </w:rPr>
            </w:pPr>
            <w:r w:rsidRPr="00B77E34">
              <w:rPr>
                <w:rFonts w:eastAsia="Times New Roman" w:cs="Times New Roman"/>
                <w:b/>
                <w:bCs/>
                <w:color w:val="000000"/>
                <w:sz w:val="22"/>
              </w:rPr>
              <w:t>Country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b/>
                <w:bCs/>
                <w:color w:val="000000"/>
              </w:rPr>
            </w:pPr>
            <w:r w:rsidRPr="00B77E34">
              <w:rPr>
                <w:rFonts w:eastAsia="Times New Roman" w:cs="Times New Roman"/>
                <w:b/>
                <w:bCs/>
                <w:color w:val="000000"/>
                <w:sz w:val="22"/>
              </w:rPr>
              <w:t>Operator</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rsidR="006834C4" w:rsidRPr="00B77E34" w:rsidRDefault="006834C4" w:rsidP="00677874">
            <w:pPr>
              <w:spacing w:after="0" w:line="240" w:lineRule="auto"/>
              <w:rPr>
                <w:rFonts w:eastAsia="Times New Roman" w:cs="Times New Roman"/>
                <w:b/>
                <w:bCs/>
                <w:color w:val="000000"/>
              </w:rPr>
            </w:pPr>
            <w:r w:rsidRPr="00B77E34">
              <w:rPr>
                <w:rFonts w:eastAsia="Times New Roman" w:cs="Times New Roman"/>
                <w:b/>
                <w:bCs/>
                <w:color w:val="000000"/>
                <w:sz w:val="22"/>
              </w:rPr>
              <w:t>Total number of mobile subscribers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6834C4" w:rsidRPr="00B77E34" w:rsidRDefault="006834C4" w:rsidP="00677874">
            <w:pPr>
              <w:spacing w:after="0" w:line="240" w:lineRule="auto"/>
              <w:rPr>
                <w:rFonts w:eastAsia="Times New Roman" w:cs="Times New Roman"/>
                <w:b/>
                <w:bCs/>
                <w:color w:val="000000"/>
              </w:rPr>
            </w:pPr>
            <w:r w:rsidRPr="00B77E34">
              <w:rPr>
                <w:rFonts w:eastAsia="Times New Roman" w:cs="Times New Roman"/>
                <w:b/>
                <w:bCs/>
                <w:color w:val="000000"/>
                <w:sz w:val="22"/>
              </w:rPr>
              <w:t xml:space="preserve">Number of 3G subscribers </w:t>
            </w:r>
          </w:p>
        </w:tc>
        <w:tc>
          <w:tcPr>
            <w:tcW w:w="1710" w:type="dxa"/>
            <w:tcBorders>
              <w:top w:val="single" w:sz="4" w:space="0" w:color="auto"/>
              <w:left w:val="nil"/>
              <w:bottom w:val="single" w:sz="4" w:space="0" w:color="auto"/>
              <w:right w:val="single" w:sz="4" w:space="0" w:color="auto"/>
            </w:tcBorders>
          </w:tcPr>
          <w:p w:rsidR="006834C4" w:rsidRPr="00B77E34" w:rsidRDefault="006834C4" w:rsidP="00677874">
            <w:pPr>
              <w:spacing w:after="0" w:line="240" w:lineRule="auto"/>
              <w:rPr>
                <w:rFonts w:eastAsia="Times New Roman" w:cs="Times New Roman"/>
                <w:b/>
                <w:bCs/>
                <w:color w:val="000000"/>
              </w:rPr>
            </w:pPr>
            <w:r w:rsidRPr="00B77E34">
              <w:rPr>
                <w:rFonts w:eastAsia="Times New Roman" w:cs="Times New Roman"/>
                <w:b/>
                <w:bCs/>
                <w:sz w:val="22"/>
              </w:rPr>
              <w:t>Market Share</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Turkey</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Turkcell</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34,500,000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18,500,000</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53%</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Saudi Arabia</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STC</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25,969,406</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10,203,292</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46%</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Saudi Arabia</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Mobily</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23,032,657</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11,057,603</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41%</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Turkey</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AVEA</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12,800,000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3,725,000</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20%</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rPr>
            </w:pPr>
            <w:r w:rsidRPr="00B77E34">
              <w:rPr>
                <w:rFonts w:eastAsia="Times New Roman" w:cs="Times New Roman"/>
                <w:sz w:val="22"/>
              </w:rPr>
              <w:t>UAE</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rPr>
            </w:pPr>
            <w:r w:rsidRPr="00B77E34">
              <w:rPr>
                <w:rFonts w:eastAsia="Times New Roman" w:cs="Times New Roman"/>
                <w:sz w:val="22"/>
              </w:rPr>
              <w:t>Etisalat</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7,800,000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3,779,417</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60%</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rPr>
            </w:pPr>
            <w:r w:rsidRPr="00B77E34">
              <w:rPr>
                <w:rFonts w:eastAsia="Times New Roman" w:cs="Times New Roman"/>
                <w:sz w:val="22"/>
              </w:rPr>
              <w:t>UAE</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rPr>
            </w:pPr>
            <w:r w:rsidRPr="00B77E34">
              <w:rPr>
                <w:rFonts w:eastAsia="Times New Roman" w:cs="Times New Roman"/>
                <w:sz w:val="22"/>
              </w:rPr>
              <w:t>du</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5,216,000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2,122,179</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40%</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rPr>
            </w:pPr>
            <w:r w:rsidRPr="00B77E34">
              <w:rPr>
                <w:rFonts w:eastAsia="Times New Roman" w:cs="Times New Roman"/>
                <w:sz w:val="22"/>
              </w:rPr>
              <w:t>Israel</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rPr>
            </w:pPr>
            <w:r w:rsidRPr="00B77E34">
              <w:rPr>
                <w:rFonts w:eastAsia="Times New Roman" w:cs="Times New Roman"/>
                <w:sz w:val="22"/>
              </w:rPr>
              <w:t>Cellcom</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3,349,000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3,349,000</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34%</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Israel</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Orange</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3,176,000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1,826,909</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32%</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Oman</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Omantel</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2,819,858</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605,178</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59%</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Jordan</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Orange</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color w:val="000000"/>
              </w:rPr>
            </w:pPr>
            <w:r w:rsidRPr="00B77E34">
              <w:rPr>
                <w:rFonts w:eastAsia="Times New Roman" w:cs="Times New Roman"/>
                <w:color w:val="000000"/>
                <w:sz w:val="22"/>
              </w:rPr>
              <w:t>2,694,000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color w:val="000000"/>
              </w:rPr>
            </w:pPr>
            <w:r w:rsidRPr="00B77E34">
              <w:rPr>
                <w:rFonts w:eastAsia="Times New Roman" w:cs="Times New Roman"/>
                <w:color w:val="000000"/>
                <w:sz w:val="22"/>
              </w:rPr>
              <w:t>900,000</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color w:val="000000"/>
              </w:rPr>
            </w:pPr>
            <w:r>
              <w:rPr>
                <w:rFonts w:eastAsia="Times New Roman" w:cs="Times New Roman"/>
                <w:color w:val="000000"/>
                <w:sz w:val="22"/>
              </w:rPr>
              <w:t>35%</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Palestinian Territories</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Jawwal</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2,425,000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0</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84%</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Kuwait</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Wataniya</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1,957,713</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1,026,758</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38%</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Oman</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Nawras</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1,933,061</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255,393</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41%</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lastRenderedPageBreak/>
              <w:t>Kuwait</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Viva</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1,047,000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627,054</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20%</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Qatar</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Vodafone</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797,000</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302,468</w:t>
            </w:r>
          </w:p>
        </w:tc>
        <w:tc>
          <w:tcPr>
            <w:tcW w:w="1710" w:type="dxa"/>
            <w:tcBorders>
              <w:top w:val="nil"/>
              <w:left w:val="nil"/>
              <w:bottom w:val="single" w:sz="4" w:space="0" w:color="auto"/>
              <w:right w:val="single" w:sz="4" w:space="0" w:color="auto"/>
            </w:tcBorders>
          </w:tcPr>
          <w:p w:rsidR="006834C4" w:rsidRPr="00B77E34" w:rsidRDefault="006834C4" w:rsidP="00677874">
            <w:pPr>
              <w:spacing w:after="0" w:line="240" w:lineRule="auto"/>
              <w:jc w:val="right"/>
              <w:rPr>
                <w:rFonts w:eastAsia="Times New Roman" w:cs="Times New Roman"/>
              </w:rPr>
            </w:pPr>
            <w:r>
              <w:rPr>
                <w:rFonts w:eastAsia="Times New Roman" w:cs="Times New Roman"/>
                <w:sz w:val="22"/>
              </w:rPr>
              <w:t>28%</w:t>
            </w:r>
          </w:p>
        </w:tc>
      </w:tr>
      <w:tr w:rsidR="006834C4" w:rsidRPr="00B77E34" w:rsidTr="006834C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Palestinian Territories</w:t>
            </w:r>
          </w:p>
        </w:tc>
        <w:tc>
          <w:tcPr>
            <w:tcW w:w="1200" w:type="dxa"/>
            <w:tcBorders>
              <w:top w:val="nil"/>
              <w:left w:val="nil"/>
              <w:bottom w:val="single" w:sz="4" w:space="0" w:color="auto"/>
              <w:right w:val="single" w:sz="4" w:space="0" w:color="auto"/>
            </w:tcBorders>
            <w:shd w:val="clear" w:color="auto" w:fill="auto"/>
            <w:noWrap/>
            <w:vAlign w:val="bottom"/>
            <w:hideMark/>
          </w:tcPr>
          <w:p w:rsidR="006834C4" w:rsidRPr="00B77E34" w:rsidRDefault="006834C4" w:rsidP="00677874">
            <w:pPr>
              <w:spacing w:after="0" w:line="240" w:lineRule="auto"/>
              <w:rPr>
                <w:rFonts w:eastAsia="Times New Roman" w:cs="Times New Roman"/>
                <w:color w:val="000000"/>
              </w:rPr>
            </w:pPr>
            <w:r w:rsidRPr="00B77E34">
              <w:rPr>
                <w:rFonts w:eastAsia="Times New Roman" w:cs="Times New Roman"/>
                <w:color w:val="000000"/>
                <w:sz w:val="22"/>
              </w:rPr>
              <w:t>Wataniya</w:t>
            </w:r>
          </w:p>
        </w:tc>
        <w:tc>
          <w:tcPr>
            <w:tcW w:w="1605"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spacing w:after="0" w:line="240" w:lineRule="auto"/>
              <w:jc w:val="right"/>
              <w:rPr>
                <w:rFonts w:eastAsia="Times New Roman" w:cs="Times New Roman"/>
              </w:rPr>
            </w:pPr>
            <w:r w:rsidRPr="00B77E34">
              <w:rPr>
                <w:rFonts w:eastAsia="Times New Roman" w:cs="Times New Roman"/>
                <w:sz w:val="22"/>
              </w:rPr>
              <w:t>464,964</w:t>
            </w:r>
          </w:p>
        </w:tc>
        <w:tc>
          <w:tcPr>
            <w:tcW w:w="1710" w:type="dxa"/>
            <w:tcBorders>
              <w:top w:val="nil"/>
              <w:left w:val="nil"/>
              <w:bottom w:val="single" w:sz="4" w:space="0" w:color="auto"/>
              <w:right w:val="single" w:sz="4" w:space="0" w:color="auto"/>
            </w:tcBorders>
            <w:shd w:val="clear" w:color="auto" w:fill="auto"/>
            <w:noWrap/>
            <w:vAlign w:val="center"/>
            <w:hideMark/>
          </w:tcPr>
          <w:p w:rsidR="006834C4" w:rsidRPr="00B77E34" w:rsidRDefault="006834C4" w:rsidP="00677874">
            <w:pPr>
              <w:keepNext/>
              <w:spacing w:after="0" w:line="240" w:lineRule="auto"/>
              <w:jc w:val="right"/>
              <w:rPr>
                <w:rFonts w:eastAsia="Times New Roman" w:cs="Times New Roman"/>
              </w:rPr>
            </w:pPr>
            <w:r w:rsidRPr="00B77E34">
              <w:rPr>
                <w:rFonts w:eastAsia="Times New Roman" w:cs="Times New Roman"/>
                <w:sz w:val="22"/>
              </w:rPr>
              <w:t>0</w:t>
            </w:r>
          </w:p>
        </w:tc>
        <w:tc>
          <w:tcPr>
            <w:tcW w:w="1710" w:type="dxa"/>
            <w:tcBorders>
              <w:top w:val="nil"/>
              <w:left w:val="nil"/>
              <w:bottom w:val="single" w:sz="4" w:space="0" w:color="auto"/>
              <w:right w:val="single" w:sz="4" w:space="0" w:color="auto"/>
            </w:tcBorders>
          </w:tcPr>
          <w:p w:rsidR="006834C4" w:rsidRPr="00B77E34" w:rsidRDefault="006834C4" w:rsidP="00677874">
            <w:pPr>
              <w:keepNext/>
              <w:spacing w:after="0" w:line="240" w:lineRule="auto"/>
              <w:jc w:val="right"/>
              <w:rPr>
                <w:rFonts w:eastAsia="Times New Roman" w:cs="Times New Roman"/>
              </w:rPr>
            </w:pPr>
            <w:r>
              <w:rPr>
                <w:rFonts w:eastAsia="Times New Roman" w:cs="Times New Roman"/>
                <w:sz w:val="22"/>
              </w:rPr>
              <w:t>16%</w:t>
            </w:r>
          </w:p>
        </w:tc>
      </w:tr>
    </w:tbl>
    <w:p w:rsidR="00D04C5A" w:rsidRDefault="00D04C5A" w:rsidP="00DC0DE6">
      <w:pPr>
        <w:pStyle w:val="NoSpacing"/>
      </w:pPr>
      <w:r w:rsidRPr="00B77E34">
        <w:t>Sour</w:t>
      </w:r>
      <w:r w:rsidR="00DC0DE6">
        <w:t>ce: GSMA</w:t>
      </w:r>
      <w:r w:rsidR="00DC0DE6">
        <w:rPr>
          <w:rStyle w:val="FootnoteReference"/>
        </w:rPr>
        <w:footnoteReference w:id="4"/>
      </w:r>
      <w:r w:rsidR="00C35FF1">
        <w:t>- GSMA</w:t>
      </w:r>
      <w:r w:rsidR="00DC0DE6">
        <w:t xml:space="preserve"> Intelligence</w:t>
      </w:r>
      <w:r w:rsidR="00DC0DE6">
        <w:rPr>
          <w:rStyle w:val="FootnoteReference"/>
        </w:rPr>
        <w:footnoteReference w:id="5"/>
      </w:r>
    </w:p>
    <w:p w:rsidR="00D04C5A" w:rsidRPr="00B77E34" w:rsidRDefault="00D04C5A" w:rsidP="00D04C5A">
      <w:pPr>
        <w:pStyle w:val="NoSpacing"/>
        <w:ind w:left="720"/>
      </w:pPr>
    </w:p>
    <w:p w:rsidR="00514849" w:rsidRPr="00F94710" w:rsidRDefault="00F94710" w:rsidP="00514849">
      <w:r>
        <w:t>T</w:t>
      </w:r>
      <w:r w:rsidRPr="00B77E34">
        <w:t xml:space="preserve">he circumstances and conditions </w:t>
      </w:r>
      <w:r w:rsidR="00514849" w:rsidRPr="00B77E34">
        <w:t>of the mobile</w:t>
      </w:r>
      <w:r>
        <w:t xml:space="preserve"> sector in the Middle East </w:t>
      </w:r>
      <w:r w:rsidR="00514849" w:rsidRPr="00B77E34">
        <w:t>differ between the countries. Over the past years, the region has undergone a wave of market liberalization. Several operators have been privatized and the issuance of new licenses has given way to new entrants. However, the degrees of liberalization vary between the markets. Some are currently witnessing fierce competition such as in Jordan, Kuwait, Saudi Arabia and Israel. While the competition level remains low in countries like Palestine, Qatar, and UAE.  Subject to the different regional economical and political situations and the global mobile trends, the mobile operators in the Middle East are forced to operate at full efficiency to maintain and possibly increase th</w:t>
      </w:r>
      <w:r>
        <w:t xml:space="preserve">eir profits and markets shares. This was enough to justify the objectives of our paper. </w:t>
      </w:r>
    </w:p>
    <w:p w:rsidR="0034196D" w:rsidRPr="009A224B" w:rsidRDefault="0034196D" w:rsidP="0034196D">
      <w:r>
        <w:t>The data for the above input and output factors were collected from the mobile operators’ published financial statements and the 2011 end of year reports. The major challenge was with obtaining the number of employees. Interviews were held with the operators whose number of employees is not publicly stated</w:t>
      </w:r>
      <w:r>
        <w:rPr>
          <w:rStyle w:val="FootnoteReference"/>
        </w:rPr>
        <w:footnoteReference w:id="6"/>
      </w:r>
      <w:r>
        <w:t xml:space="preserve">. All the financial figures collected where converted from the operators’ reported currencies to US </w:t>
      </w:r>
      <w:r w:rsidRPr="009A224B">
        <w:t>dollar as per the exchange rate of 16 February, 2013.</w:t>
      </w:r>
    </w:p>
    <w:p w:rsidR="0034196D" w:rsidRDefault="0034196D" w:rsidP="0034196D">
      <w:r>
        <w:t>Table 4</w:t>
      </w:r>
      <w:r w:rsidRPr="009A224B">
        <w:t xml:space="preserve"> shows the statistical </w:t>
      </w:r>
      <w:r>
        <w:t>summary</w:t>
      </w:r>
      <w:r w:rsidRPr="009A224B">
        <w:t xml:space="preserve"> of the data collected. For the number of employees, the median was used instead of the mean because one company among the 16, STC Saudi Arabia, has a huge number of employees relative to the others (21</w:t>
      </w:r>
      <w:r>
        <w:t>,</w:t>
      </w:r>
      <w:r w:rsidRPr="009A224B">
        <w:t>000 employees).</w:t>
      </w:r>
    </w:p>
    <w:p w:rsidR="0034196D" w:rsidRPr="0034196D" w:rsidRDefault="0034196D" w:rsidP="0034196D">
      <w:pPr>
        <w:pStyle w:val="Caption"/>
        <w:rPr>
          <w:b w:val="0"/>
          <w:bCs w:val="0"/>
          <w:color w:val="auto"/>
          <w:sz w:val="24"/>
          <w:szCs w:val="22"/>
          <w:u w:val="single"/>
        </w:rPr>
      </w:pPr>
      <w:bookmarkStart w:id="5" w:name="_Toc354314445"/>
      <w:r w:rsidRPr="0034196D">
        <w:rPr>
          <w:b w:val="0"/>
          <w:bCs w:val="0"/>
          <w:color w:val="auto"/>
          <w:sz w:val="24"/>
          <w:szCs w:val="22"/>
          <w:u w:val="single"/>
        </w:rPr>
        <w:t>Table</w:t>
      </w:r>
      <w:r w:rsidR="002A288C">
        <w:rPr>
          <w:b w:val="0"/>
          <w:bCs w:val="0"/>
          <w:color w:val="auto"/>
          <w:sz w:val="24"/>
          <w:szCs w:val="22"/>
          <w:u w:val="single"/>
        </w:rPr>
        <w:t xml:space="preserve"> 4</w:t>
      </w:r>
      <w:r w:rsidRPr="0034196D">
        <w:rPr>
          <w:b w:val="0"/>
          <w:bCs w:val="0"/>
          <w:color w:val="auto"/>
          <w:sz w:val="24"/>
          <w:szCs w:val="22"/>
          <w:u w:val="single"/>
        </w:rPr>
        <w:t xml:space="preserve">: Statistical </w:t>
      </w:r>
      <w:r>
        <w:rPr>
          <w:b w:val="0"/>
          <w:bCs w:val="0"/>
          <w:color w:val="auto"/>
          <w:sz w:val="24"/>
          <w:szCs w:val="22"/>
          <w:u w:val="single"/>
        </w:rPr>
        <w:t>Summary</w:t>
      </w:r>
      <w:r w:rsidRPr="0034196D">
        <w:rPr>
          <w:b w:val="0"/>
          <w:bCs w:val="0"/>
          <w:color w:val="auto"/>
          <w:sz w:val="24"/>
          <w:szCs w:val="22"/>
          <w:u w:val="single"/>
        </w:rPr>
        <w:t xml:space="preserve"> of </w:t>
      </w:r>
      <w:r>
        <w:rPr>
          <w:b w:val="0"/>
          <w:bCs w:val="0"/>
          <w:color w:val="auto"/>
          <w:sz w:val="24"/>
          <w:szCs w:val="22"/>
          <w:u w:val="single"/>
        </w:rPr>
        <w:t>I</w:t>
      </w:r>
      <w:r w:rsidRPr="0034196D">
        <w:rPr>
          <w:b w:val="0"/>
          <w:bCs w:val="0"/>
          <w:color w:val="auto"/>
          <w:sz w:val="24"/>
          <w:szCs w:val="22"/>
          <w:u w:val="single"/>
        </w:rPr>
        <w:t xml:space="preserve">nput and </w:t>
      </w:r>
      <w:r>
        <w:rPr>
          <w:b w:val="0"/>
          <w:bCs w:val="0"/>
          <w:color w:val="auto"/>
          <w:sz w:val="24"/>
          <w:szCs w:val="22"/>
          <w:u w:val="single"/>
        </w:rPr>
        <w:t>O</w:t>
      </w:r>
      <w:r w:rsidRPr="0034196D">
        <w:rPr>
          <w:b w:val="0"/>
          <w:bCs w:val="0"/>
          <w:color w:val="auto"/>
          <w:sz w:val="24"/>
          <w:szCs w:val="22"/>
          <w:u w:val="single"/>
        </w:rPr>
        <w:t xml:space="preserve">utput </w:t>
      </w:r>
      <w:r>
        <w:rPr>
          <w:b w:val="0"/>
          <w:bCs w:val="0"/>
          <w:color w:val="auto"/>
          <w:sz w:val="24"/>
          <w:szCs w:val="22"/>
          <w:u w:val="single"/>
        </w:rPr>
        <w:t>V</w:t>
      </w:r>
      <w:r w:rsidRPr="0034196D">
        <w:rPr>
          <w:b w:val="0"/>
          <w:bCs w:val="0"/>
          <w:color w:val="auto"/>
          <w:sz w:val="24"/>
          <w:szCs w:val="22"/>
          <w:u w:val="single"/>
        </w:rPr>
        <w:t>ariables</w:t>
      </w:r>
      <w:bookmarkEnd w:id="5"/>
    </w:p>
    <w:p w:rsidR="0034196D" w:rsidRPr="009A224B" w:rsidRDefault="0034196D" w:rsidP="0034196D">
      <w:pPr>
        <w:rPr>
          <w:color w:val="FF0000"/>
        </w:rPr>
      </w:pPr>
    </w:p>
    <w:tbl>
      <w:tblPr>
        <w:tblW w:w="9300" w:type="dxa"/>
        <w:tblInd w:w="93" w:type="dxa"/>
        <w:tblLook w:val="04A0"/>
      </w:tblPr>
      <w:tblGrid>
        <w:gridCol w:w="2142"/>
        <w:gridCol w:w="1158"/>
        <w:gridCol w:w="1160"/>
        <w:gridCol w:w="1260"/>
        <w:gridCol w:w="1180"/>
        <w:gridCol w:w="1220"/>
        <w:gridCol w:w="1180"/>
      </w:tblGrid>
      <w:tr w:rsidR="0034196D" w:rsidRPr="009A224B" w:rsidTr="00677874">
        <w:trPr>
          <w:trHeight w:val="776"/>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b/>
                <w:bCs/>
                <w:color w:val="000000"/>
              </w:rPr>
            </w:pPr>
            <w:r w:rsidRPr="009A224B">
              <w:rPr>
                <w:rFonts w:eastAsia="Times New Roman" w:cs="Times New Roman"/>
                <w:b/>
                <w:bCs/>
                <w:color w:val="000000"/>
                <w:sz w:val="22"/>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center"/>
              <w:rPr>
                <w:rFonts w:eastAsia="Times New Roman" w:cs="Times New Roman"/>
                <w:b/>
                <w:bCs/>
                <w:i/>
                <w:iCs/>
                <w:color w:val="000000"/>
              </w:rPr>
            </w:pPr>
            <w:r w:rsidRPr="009A224B">
              <w:rPr>
                <w:rFonts w:eastAsia="Times New Roman" w:cs="Times New Roman"/>
                <w:b/>
                <w:bCs/>
                <w:i/>
                <w:iCs/>
                <w:color w:val="000000"/>
                <w:sz w:val="22"/>
              </w:rPr>
              <w:t>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center"/>
              <w:rPr>
                <w:rFonts w:eastAsia="Times New Roman" w:cs="Times New Roman"/>
                <w:b/>
                <w:bCs/>
                <w:color w:val="000000"/>
              </w:rPr>
            </w:pPr>
            <w:r w:rsidRPr="009A224B">
              <w:rPr>
                <w:rFonts w:eastAsia="Times New Roman" w:cs="Times New Roman"/>
                <w:b/>
                <w:bCs/>
                <w:color w:val="000000"/>
                <w:sz w:val="22"/>
              </w:rPr>
              <w:t>Mean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center"/>
              <w:rPr>
                <w:rFonts w:eastAsia="Times New Roman" w:cs="Times New Roman"/>
                <w:b/>
                <w:bCs/>
                <w:color w:val="000000"/>
              </w:rPr>
            </w:pPr>
            <w:r w:rsidRPr="009A224B">
              <w:rPr>
                <w:rFonts w:eastAsia="Times New Roman" w:cs="Times New Roman"/>
                <w:b/>
                <w:bCs/>
                <w:color w:val="000000"/>
                <w:sz w:val="22"/>
              </w:rPr>
              <w:t>Median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center"/>
              <w:rPr>
                <w:rFonts w:eastAsia="Times New Roman" w:cs="Times New Roman"/>
                <w:b/>
                <w:bCs/>
                <w:color w:val="000000"/>
              </w:rPr>
            </w:pPr>
            <w:r w:rsidRPr="009A224B">
              <w:rPr>
                <w:rFonts w:eastAsia="Times New Roman" w:cs="Times New Roman"/>
                <w:b/>
                <w:bCs/>
                <w:color w:val="000000"/>
                <w:sz w:val="22"/>
              </w:rPr>
              <w:t>Minimum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center"/>
              <w:rPr>
                <w:rFonts w:eastAsia="Times New Roman" w:cs="Times New Roman"/>
                <w:b/>
                <w:bCs/>
                <w:color w:val="000000"/>
              </w:rPr>
            </w:pPr>
            <w:r w:rsidRPr="009A224B">
              <w:rPr>
                <w:rFonts w:eastAsia="Times New Roman" w:cs="Times New Roman"/>
                <w:b/>
                <w:bCs/>
                <w:color w:val="000000"/>
                <w:sz w:val="22"/>
              </w:rPr>
              <w:t>Maximum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4196D" w:rsidRPr="009A224B" w:rsidRDefault="0034196D" w:rsidP="00677874">
            <w:pPr>
              <w:spacing w:after="0" w:line="240" w:lineRule="auto"/>
              <w:jc w:val="center"/>
              <w:rPr>
                <w:rFonts w:eastAsia="Times New Roman" w:cs="Times New Roman"/>
                <w:b/>
                <w:bCs/>
                <w:color w:val="000000"/>
              </w:rPr>
            </w:pPr>
            <w:r w:rsidRPr="009A224B">
              <w:rPr>
                <w:rFonts w:eastAsia="Times New Roman" w:cs="Times New Roman"/>
                <w:b/>
                <w:bCs/>
                <w:color w:val="000000"/>
                <w:sz w:val="22"/>
              </w:rPr>
              <w:t>Standard Deviation</w:t>
            </w:r>
          </w:p>
        </w:tc>
      </w:tr>
      <w:tr w:rsidR="0034196D" w:rsidRPr="009A224B" w:rsidTr="006778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b/>
                <w:bCs/>
                <w:color w:val="000000"/>
              </w:rPr>
            </w:pPr>
            <w:r w:rsidRPr="009A224B">
              <w:rPr>
                <w:rFonts w:eastAsia="Times New Roman" w:cs="Times New Roman"/>
                <w:b/>
                <w:bCs/>
                <w:color w:val="000000"/>
                <w:sz w:val="22"/>
              </w:rPr>
              <w:t xml:space="preserve">Employees </w:t>
            </w:r>
            <w:r w:rsidRPr="009A224B">
              <w:rPr>
                <w:rFonts w:eastAsia="Times New Roman" w:cs="Times New Roman"/>
                <w:i/>
                <w:iCs/>
                <w:color w:val="000000"/>
                <w:sz w:val="22"/>
              </w:rPr>
              <w:t>(person)</w:t>
            </w:r>
          </w:p>
        </w:tc>
        <w:tc>
          <w:tcPr>
            <w:tcW w:w="1158"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right"/>
              <w:rPr>
                <w:rFonts w:eastAsia="Times New Roman" w:cs="Times New Roman"/>
                <w:color w:val="000000"/>
              </w:rPr>
            </w:pPr>
            <w:r w:rsidRPr="009A224B">
              <w:rPr>
                <w:rFonts w:eastAsia="Times New Roman" w:cs="Times New Roman"/>
                <w:color w:val="000000"/>
                <w:sz w:val="22"/>
              </w:rPr>
              <w:t>16</w:t>
            </w:r>
          </w:p>
        </w:tc>
        <w:tc>
          <w:tcPr>
            <w:tcW w:w="11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w:t>
            </w:r>
            <w:r w:rsidRPr="009A224B">
              <w:rPr>
                <w:rFonts w:eastAsia="Times New Roman" w:cs="Times New Roman"/>
                <w:color w:val="000000"/>
                <w:sz w:val="22"/>
              </w:rPr>
              <w:lastRenderedPageBreak/>
              <w:t xml:space="preserve">4,333 </w:t>
            </w:r>
          </w:p>
        </w:tc>
        <w:tc>
          <w:tcPr>
            <w:tcW w:w="12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lastRenderedPageBreak/>
              <w:t xml:space="preserve">           </w:t>
            </w:r>
            <w:r w:rsidRPr="009A224B">
              <w:rPr>
                <w:rFonts w:eastAsia="Times New Roman" w:cs="Times New Roman"/>
                <w:color w:val="000000"/>
                <w:sz w:val="22"/>
              </w:rPr>
              <w:lastRenderedPageBreak/>
              <w:t xml:space="preserve">2,726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lastRenderedPageBreak/>
              <w:t xml:space="preserve">            </w:t>
            </w:r>
            <w:r w:rsidRPr="009A224B">
              <w:rPr>
                <w:rFonts w:eastAsia="Times New Roman" w:cs="Times New Roman"/>
                <w:color w:val="000000"/>
                <w:sz w:val="22"/>
              </w:rPr>
              <w:lastRenderedPageBreak/>
              <w:t xml:space="preserve">405 </w:t>
            </w:r>
          </w:p>
        </w:tc>
        <w:tc>
          <w:tcPr>
            <w:tcW w:w="122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lastRenderedPageBreak/>
              <w:t xml:space="preserve">        </w:t>
            </w:r>
            <w:r w:rsidRPr="009A224B">
              <w:rPr>
                <w:rFonts w:eastAsia="Times New Roman" w:cs="Times New Roman"/>
                <w:color w:val="000000"/>
                <w:sz w:val="22"/>
              </w:rPr>
              <w:lastRenderedPageBreak/>
              <w:t xml:space="preserve">21,000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lastRenderedPageBreak/>
              <w:t xml:space="preserve">         </w:t>
            </w:r>
            <w:r w:rsidRPr="009A224B">
              <w:rPr>
                <w:rFonts w:eastAsia="Times New Roman" w:cs="Times New Roman"/>
                <w:color w:val="000000"/>
                <w:sz w:val="22"/>
              </w:rPr>
              <w:lastRenderedPageBreak/>
              <w:t xml:space="preserve">5,405 </w:t>
            </w:r>
          </w:p>
        </w:tc>
      </w:tr>
      <w:tr w:rsidR="0034196D" w:rsidRPr="009A224B" w:rsidTr="00677874">
        <w:trPr>
          <w:trHeight w:val="341"/>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b/>
                <w:bCs/>
                <w:color w:val="000000"/>
              </w:rPr>
            </w:pPr>
            <w:r w:rsidRPr="009A224B">
              <w:rPr>
                <w:rFonts w:eastAsia="Times New Roman" w:cs="Times New Roman"/>
                <w:b/>
                <w:bCs/>
                <w:color w:val="000000"/>
                <w:sz w:val="22"/>
              </w:rPr>
              <w:lastRenderedPageBreak/>
              <w:t xml:space="preserve">TA </w:t>
            </w:r>
            <w:r w:rsidRPr="009A224B">
              <w:rPr>
                <w:rFonts w:eastAsia="Times New Roman" w:cs="Times New Roman"/>
                <w:i/>
                <w:iCs/>
                <w:color w:val="000000"/>
                <w:sz w:val="22"/>
              </w:rPr>
              <w:t>($, million)</w:t>
            </w:r>
          </w:p>
        </w:tc>
        <w:tc>
          <w:tcPr>
            <w:tcW w:w="1158"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right"/>
              <w:rPr>
                <w:rFonts w:eastAsia="Times New Roman" w:cs="Times New Roman"/>
                <w:color w:val="000000"/>
              </w:rPr>
            </w:pPr>
            <w:r w:rsidRPr="009A224B">
              <w:rPr>
                <w:rFonts w:eastAsia="Times New Roman" w:cs="Times New Roman"/>
                <w:color w:val="000000"/>
                <w:sz w:val="22"/>
              </w:rPr>
              <w:t>16</w:t>
            </w:r>
          </w:p>
        </w:tc>
        <w:tc>
          <w:tcPr>
            <w:tcW w:w="11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5,491.70 </w:t>
            </w:r>
          </w:p>
        </w:tc>
        <w:tc>
          <w:tcPr>
            <w:tcW w:w="12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1,808.64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283.24 </w:t>
            </w:r>
          </w:p>
        </w:tc>
        <w:tc>
          <w:tcPr>
            <w:tcW w:w="122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29,699.71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8,317.17 </w:t>
            </w:r>
          </w:p>
        </w:tc>
      </w:tr>
      <w:tr w:rsidR="0034196D" w:rsidRPr="009A224B" w:rsidTr="00677874">
        <w:trPr>
          <w:trHeight w:val="4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b/>
                <w:bCs/>
                <w:color w:val="000000"/>
              </w:rPr>
            </w:pPr>
            <w:r w:rsidRPr="009A224B">
              <w:rPr>
                <w:rFonts w:eastAsia="Times New Roman" w:cs="Times New Roman"/>
                <w:b/>
                <w:bCs/>
                <w:color w:val="000000"/>
                <w:sz w:val="22"/>
              </w:rPr>
              <w:t xml:space="preserve">CAPEX </w:t>
            </w:r>
            <w:r w:rsidRPr="009A224B">
              <w:rPr>
                <w:rFonts w:eastAsia="Times New Roman" w:cs="Times New Roman"/>
                <w:i/>
                <w:iCs/>
                <w:color w:val="000000"/>
                <w:sz w:val="22"/>
              </w:rPr>
              <w:t>($, million)</w:t>
            </w:r>
          </w:p>
        </w:tc>
        <w:tc>
          <w:tcPr>
            <w:tcW w:w="1158"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right"/>
              <w:rPr>
                <w:rFonts w:eastAsia="Times New Roman" w:cs="Times New Roman"/>
                <w:color w:val="000000"/>
              </w:rPr>
            </w:pPr>
            <w:r w:rsidRPr="009A224B">
              <w:rPr>
                <w:rFonts w:eastAsia="Times New Roman" w:cs="Times New Roman"/>
                <w:color w:val="000000"/>
                <w:sz w:val="22"/>
              </w:rPr>
              <w:t>16</w:t>
            </w:r>
          </w:p>
        </w:tc>
        <w:tc>
          <w:tcPr>
            <w:tcW w:w="11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495.91 </w:t>
            </w:r>
          </w:p>
        </w:tc>
        <w:tc>
          <w:tcPr>
            <w:tcW w:w="12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254.59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44.36 </w:t>
            </w:r>
          </w:p>
        </w:tc>
        <w:tc>
          <w:tcPr>
            <w:tcW w:w="122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2,063.67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592.82 </w:t>
            </w:r>
          </w:p>
        </w:tc>
      </w:tr>
      <w:tr w:rsidR="0034196D" w:rsidRPr="009A224B" w:rsidTr="006778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b/>
                <w:bCs/>
                <w:color w:val="000000"/>
              </w:rPr>
            </w:pPr>
            <w:r w:rsidRPr="009A224B">
              <w:rPr>
                <w:rFonts w:eastAsia="Times New Roman" w:cs="Times New Roman"/>
                <w:b/>
                <w:bCs/>
                <w:color w:val="000000"/>
                <w:sz w:val="22"/>
              </w:rPr>
              <w:t xml:space="preserve">TR </w:t>
            </w:r>
            <w:r w:rsidRPr="009A224B">
              <w:rPr>
                <w:rFonts w:eastAsia="Times New Roman" w:cs="Times New Roman"/>
                <w:i/>
                <w:iCs/>
                <w:color w:val="000000"/>
                <w:sz w:val="22"/>
              </w:rPr>
              <w:t>($, million)</w:t>
            </w:r>
          </w:p>
        </w:tc>
        <w:tc>
          <w:tcPr>
            <w:tcW w:w="1158"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right"/>
              <w:rPr>
                <w:rFonts w:eastAsia="Times New Roman" w:cs="Times New Roman"/>
                <w:color w:val="000000"/>
              </w:rPr>
            </w:pPr>
            <w:r w:rsidRPr="009A224B">
              <w:rPr>
                <w:rFonts w:eastAsia="Times New Roman" w:cs="Times New Roman"/>
                <w:color w:val="000000"/>
                <w:sz w:val="22"/>
              </w:rPr>
              <w:t>16</w:t>
            </w:r>
          </w:p>
        </w:tc>
        <w:tc>
          <w:tcPr>
            <w:tcW w:w="11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2,369.38 </w:t>
            </w:r>
          </w:p>
        </w:tc>
        <w:tc>
          <w:tcPr>
            <w:tcW w:w="12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1,240.02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73.08 </w:t>
            </w:r>
          </w:p>
        </w:tc>
        <w:tc>
          <w:tcPr>
            <w:tcW w:w="122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9,991.93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2,840.03 </w:t>
            </w:r>
          </w:p>
        </w:tc>
      </w:tr>
      <w:tr w:rsidR="0034196D" w:rsidRPr="009A224B" w:rsidTr="006778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b/>
                <w:bCs/>
                <w:color w:val="000000"/>
              </w:rPr>
            </w:pPr>
            <w:r w:rsidRPr="009A224B">
              <w:rPr>
                <w:rFonts w:eastAsia="Times New Roman" w:cs="Times New Roman"/>
                <w:b/>
                <w:bCs/>
                <w:color w:val="000000"/>
                <w:sz w:val="22"/>
              </w:rPr>
              <w:t xml:space="preserve">EBITDA </w:t>
            </w:r>
            <w:r w:rsidRPr="009A224B">
              <w:rPr>
                <w:rFonts w:eastAsia="Times New Roman" w:cs="Times New Roman"/>
                <w:i/>
                <w:iCs/>
                <w:color w:val="000000"/>
                <w:sz w:val="22"/>
              </w:rPr>
              <w:t>($, million)</w:t>
            </w:r>
          </w:p>
        </w:tc>
        <w:tc>
          <w:tcPr>
            <w:tcW w:w="1158"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jc w:val="right"/>
              <w:rPr>
                <w:rFonts w:eastAsia="Times New Roman" w:cs="Times New Roman"/>
                <w:color w:val="000000"/>
              </w:rPr>
            </w:pPr>
            <w:r w:rsidRPr="009A224B">
              <w:rPr>
                <w:rFonts w:eastAsia="Times New Roman" w:cs="Times New Roman"/>
                <w:color w:val="000000"/>
                <w:sz w:val="22"/>
              </w:rPr>
              <w:t>16</w:t>
            </w:r>
          </w:p>
        </w:tc>
        <w:tc>
          <w:tcPr>
            <w:tcW w:w="11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805.13 </w:t>
            </w:r>
          </w:p>
        </w:tc>
        <w:tc>
          <w:tcPr>
            <w:tcW w:w="126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352.85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1.77 </w:t>
            </w:r>
          </w:p>
        </w:tc>
        <w:tc>
          <w:tcPr>
            <w:tcW w:w="122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spacing w:after="0" w:line="240" w:lineRule="auto"/>
              <w:rPr>
                <w:rFonts w:eastAsia="Times New Roman" w:cs="Times New Roman"/>
                <w:color w:val="000000"/>
              </w:rPr>
            </w:pPr>
            <w:r w:rsidRPr="009A224B">
              <w:rPr>
                <w:rFonts w:eastAsia="Times New Roman" w:cs="Times New Roman"/>
                <w:color w:val="000000"/>
                <w:sz w:val="22"/>
              </w:rPr>
              <w:t xml:space="preserve">     3,623.22 </w:t>
            </w:r>
          </w:p>
        </w:tc>
        <w:tc>
          <w:tcPr>
            <w:tcW w:w="1180" w:type="dxa"/>
            <w:tcBorders>
              <w:top w:val="nil"/>
              <w:left w:val="nil"/>
              <w:bottom w:val="single" w:sz="4" w:space="0" w:color="auto"/>
              <w:right w:val="single" w:sz="4" w:space="0" w:color="auto"/>
            </w:tcBorders>
            <w:shd w:val="clear" w:color="auto" w:fill="auto"/>
            <w:noWrap/>
            <w:vAlign w:val="bottom"/>
            <w:hideMark/>
          </w:tcPr>
          <w:p w:rsidR="0034196D" w:rsidRPr="009A224B" w:rsidRDefault="0034196D" w:rsidP="00677874">
            <w:pPr>
              <w:keepNext/>
              <w:spacing w:after="0" w:line="240" w:lineRule="auto"/>
              <w:rPr>
                <w:rFonts w:eastAsia="Times New Roman" w:cs="Times New Roman"/>
                <w:color w:val="000000"/>
              </w:rPr>
            </w:pPr>
            <w:r w:rsidRPr="009A224B">
              <w:rPr>
                <w:rFonts w:eastAsia="Times New Roman" w:cs="Times New Roman"/>
                <w:color w:val="000000"/>
                <w:sz w:val="22"/>
              </w:rPr>
              <w:t xml:space="preserve">     1,025.29 </w:t>
            </w:r>
          </w:p>
        </w:tc>
      </w:tr>
    </w:tbl>
    <w:p w:rsidR="0034196D" w:rsidRDefault="0034196D" w:rsidP="0034196D"/>
    <w:p w:rsidR="00E46017" w:rsidRPr="00E46017" w:rsidRDefault="00E46017" w:rsidP="00E46017">
      <w:pPr>
        <w:pStyle w:val="ListParagraph"/>
        <w:numPr>
          <w:ilvl w:val="1"/>
          <w:numId w:val="1"/>
        </w:numPr>
        <w:rPr>
          <w:rFonts w:cs="Times New Roman"/>
          <w:b/>
          <w:szCs w:val="24"/>
        </w:rPr>
      </w:pPr>
      <w:r w:rsidRPr="00E46017">
        <w:rPr>
          <w:rFonts w:cs="Times New Roman"/>
          <w:b/>
          <w:szCs w:val="24"/>
        </w:rPr>
        <w:t xml:space="preserve"> PFP </w:t>
      </w:r>
      <w:r>
        <w:rPr>
          <w:rFonts w:cs="Times New Roman"/>
          <w:b/>
          <w:szCs w:val="24"/>
        </w:rPr>
        <w:t>a</w:t>
      </w:r>
      <w:r w:rsidRPr="00E46017">
        <w:rPr>
          <w:rFonts w:cs="Times New Roman"/>
          <w:b/>
          <w:szCs w:val="24"/>
        </w:rPr>
        <w:t>nd DEA</w:t>
      </w:r>
    </w:p>
    <w:p w:rsidR="00677874" w:rsidRPr="00677874" w:rsidRDefault="00677874" w:rsidP="00677874">
      <w:pPr>
        <w:pStyle w:val="Heading2"/>
        <w:numPr>
          <w:ilvl w:val="2"/>
          <w:numId w:val="1"/>
        </w:numPr>
        <w:rPr>
          <w:rFonts w:asciiTheme="majorHAnsi" w:hAnsiTheme="majorHAnsi"/>
          <w:i/>
          <w:iCs/>
          <w:color w:val="000000" w:themeColor="text1"/>
          <w:sz w:val="24"/>
          <w:szCs w:val="22"/>
        </w:rPr>
      </w:pPr>
      <w:r w:rsidRPr="00677874">
        <w:rPr>
          <w:rFonts w:asciiTheme="majorHAnsi" w:hAnsiTheme="majorHAnsi"/>
          <w:i/>
          <w:iCs/>
          <w:color w:val="000000" w:themeColor="text1"/>
          <w:sz w:val="24"/>
          <w:szCs w:val="22"/>
        </w:rPr>
        <w:t xml:space="preserve"> Partial Factor Productivity (PFP)</w:t>
      </w:r>
    </w:p>
    <w:p w:rsidR="00677874" w:rsidRDefault="00677874" w:rsidP="00677874">
      <w:r>
        <w:t>Even if the PFP fails to measure total productivity, it plainly give</w:t>
      </w:r>
      <w:r w:rsidR="002A288C">
        <w:t>s</w:t>
      </w:r>
      <w:r>
        <w:t xml:space="preserve"> productivity indicators easy to understand. This study calculated and compared six indicators:</w:t>
      </w:r>
    </w:p>
    <w:p w:rsidR="00677874" w:rsidRDefault="00677874" w:rsidP="00677874">
      <w:pPr>
        <w:pStyle w:val="ListParagraph"/>
        <w:numPr>
          <w:ilvl w:val="0"/>
          <w:numId w:val="12"/>
        </w:numPr>
        <w:spacing w:before="0" w:line="360" w:lineRule="auto"/>
        <w:jc w:val="left"/>
      </w:pPr>
      <w:r>
        <w:t>Revenue per employee (RPE): the ratio of total revenue to the number of employees.</w:t>
      </w:r>
    </w:p>
    <w:p w:rsidR="00677874" w:rsidRDefault="00677874" w:rsidP="00677874">
      <w:pPr>
        <w:pStyle w:val="ListParagraph"/>
        <w:numPr>
          <w:ilvl w:val="0"/>
          <w:numId w:val="12"/>
        </w:numPr>
        <w:spacing w:before="0" w:line="360" w:lineRule="auto"/>
        <w:jc w:val="left"/>
      </w:pPr>
      <w:r>
        <w:t>Revenue per total asset (RPA): the ratio of total revenue to the total assets.</w:t>
      </w:r>
    </w:p>
    <w:p w:rsidR="00677874" w:rsidRDefault="00677874" w:rsidP="00677874">
      <w:pPr>
        <w:pStyle w:val="ListParagraph"/>
        <w:numPr>
          <w:ilvl w:val="0"/>
          <w:numId w:val="12"/>
        </w:numPr>
        <w:spacing w:before="0" w:line="360" w:lineRule="auto"/>
        <w:jc w:val="left"/>
      </w:pPr>
      <w:r>
        <w:t>Revenue per capital expenditure (RPC): the ratio of total revenue to the capital expenditure.</w:t>
      </w:r>
    </w:p>
    <w:p w:rsidR="00677874" w:rsidRDefault="00677874" w:rsidP="00677874">
      <w:pPr>
        <w:pStyle w:val="ListParagraph"/>
        <w:numPr>
          <w:ilvl w:val="0"/>
          <w:numId w:val="12"/>
        </w:numPr>
        <w:spacing w:before="0" w:line="360" w:lineRule="auto"/>
        <w:jc w:val="left"/>
      </w:pPr>
      <w:r>
        <w:t>EBITDA per employee (EPE): the ratio of EBITDA to the number of employees.</w:t>
      </w:r>
    </w:p>
    <w:p w:rsidR="00677874" w:rsidRDefault="00677874" w:rsidP="00677874">
      <w:pPr>
        <w:pStyle w:val="ListParagraph"/>
        <w:numPr>
          <w:ilvl w:val="0"/>
          <w:numId w:val="12"/>
        </w:numPr>
        <w:spacing w:before="0" w:line="360" w:lineRule="auto"/>
        <w:jc w:val="left"/>
      </w:pPr>
      <w:r>
        <w:t>EBITDA per total asset (EPA): the ratio of EBITDA to the total assets.</w:t>
      </w:r>
    </w:p>
    <w:p w:rsidR="00677874" w:rsidRDefault="00677874" w:rsidP="00677874">
      <w:pPr>
        <w:pStyle w:val="ListParagraph"/>
        <w:numPr>
          <w:ilvl w:val="0"/>
          <w:numId w:val="12"/>
        </w:numPr>
        <w:spacing w:before="0" w:line="360" w:lineRule="auto"/>
        <w:jc w:val="left"/>
      </w:pPr>
      <w:r>
        <w:t>EBITDA per capital expenditure (EPC): the ratio of EBITDA to the capital expenditure</w:t>
      </w:r>
      <w:bookmarkStart w:id="6" w:name="_Toc354314447"/>
      <w:r w:rsidRPr="00677874">
        <w:t xml:space="preserve"> </w:t>
      </w:r>
      <w:r w:rsidRPr="00677874">
        <w:rPr>
          <w:u w:val="single"/>
        </w:rPr>
        <w:t>Table 5: PFP ratios</w:t>
      </w:r>
      <w:bookmarkEnd w:id="6"/>
      <w:r w:rsidRPr="00677874">
        <w:rPr>
          <w:u w:val="single"/>
        </w:rPr>
        <w:t>.</w:t>
      </w:r>
    </w:p>
    <w:tbl>
      <w:tblPr>
        <w:tblW w:w="4860" w:type="dxa"/>
        <w:tblInd w:w="918" w:type="dxa"/>
        <w:tblLook w:val="04A0"/>
      </w:tblPr>
      <w:tblGrid>
        <w:gridCol w:w="2610"/>
        <w:gridCol w:w="900"/>
        <w:gridCol w:w="1350"/>
      </w:tblGrid>
      <w:tr w:rsidR="00677874" w:rsidRPr="003A269D" w:rsidTr="00677874">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EA" w:rsidRDefault="00677874" w:rsidP="00E972EA">
            <w:pPr>
              <w:spacing w:after="0" w:line="240" w:lineRule="auto"/>
              <w:jc w:val="right"/>
              <w:rPr>
                <w:rFonts w:eastAsia="Times New Roman" w:cs="Times New Roman"/>
                <w:b/>
                <w:bCs/>
                <w:color w:val="000000"/>
              </w:rPr>
            </w:pPr>
            <w:r w:rsidRPr="003A269D">
              <w:rPr>
                <w:rFonts w:eastAsia="Times New Roman" w:cs="Times New Roman"/>
                <w:b/>
                <w:bCs/>
                <w:color w:val="000000"/>
                <w:sz w:val="22"/>
              </w:rPr>
              <w:t>Outp</w:t>
            </w:r>
            <w:r w:rsidR="00E972EA">
              <w:rPr>
                <w:rFonts w:eastAsia="Times New Roman" w:cs="Times New Roman"/>
                <w:b/>
                <w:bCs/>
                <w:color w:val="000000"/>
                <w:sz w:val="22"/>
              </w:rPr>
              <w:t>ut</w:t>
            </w:r>
          </w:p>
          <w:p w:rsidR="00677874" w:rsidRPr="003A269D" w:rsidRDefault="00677874" w:rsidP="00677874">
            <w:pPr>
              <w:spacing w:after="0" w:line="240" w:lineRule="auto"/>
              <w:rPr>
                <w:rFonts w:eastAsia="Times New Roman" w:cs="Times New Roman"/>
                <w:b/>
                <w:bCs/>
                <w:color w:val="000000"/>
              </w:rPr>
            </w:pPr>
            <w:r w:rsidRPr="003A269D">
              <w:rPr>
                <w:rFonts w:eastAsia="Times New Roman" w:cs="Times New Roman"/>
                <w:b/>
                <w:bCs/>
                <w:color w:val="000000"/>
                <w:sz w:val="22"/>
              </w:rPr>
              <w:t>Input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77874" w:rsidRDefault="00677874" w:rsidP="00677874">
            <w:pPr>
              <w:spacing w:after="0" w:line="240" w:lineRule="auto"/>
              <w:rPr>
                <w:rFonts w:eastAsia="Times New Roman" w:cs="Times New Roman"/>
                <w:b/>
                <w:bCs/>
                <w:color w:val="000000"/>
              </w:rPr>
            </w:pPr>
            <w:r w:rsidRPr="003A269D">
              <w:rPr>
                <w:rFonts w:eastAsia="Times New Roman" w:cs="Times New Roman"/>
                <w:b/>
                <w:bCs/>
                <w:color w:val="000000"/>
                <w:sz w:val="22"/>
              </w:rPr>
              <w:t>TR</w:t>
            </w:r>
          </w:p>
          <w:p w:rsidR="00E972EA" w:rsidRPr="003A269D" w:rsidRDefault="00E972EA" w:rsidP="00677874">
            <w:pPr>
              <w:spacing w:after="0" w:line="240" w:lineRule="auto"/>
              <w:rPr>
                <w:rFonts w:eastAsia="Times New Roman" w:cs="Times New Roman"/>
                <w:b/>
                <w:bCs/>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7874" w:rsidRDefault="00677874" w:rsidP="00677874">
            <w:pPr>
              <w:spacing w:after="0" w:line="240" w:lineRule="auto"/>
              <w:rPr>
                <w:rFonts w:eastAsia="Times New Roman" w:cs="Times New Roman"/>
                <w:b/>
                <w:bCs/>
                <w:color w:val="000000"/>
              </w:rPr>
            </w:pPr>
            <w:r w:rsidRPr="003A269D">
              <w:rPr>
                <w:rFonts w:eastAsia="Times New Roman" w:cs="Times New Roman"/>
                <w:b/>
                <w:bCs/>
                <w:color w:val="000000"/>
                <w:sz w:val="22"/>
              </w:rPr>
              <w:t>EBITDA</w:t>
            </w:r>
          </w:p>
          <w:p w:rsidR="00E972EA" w:rsidRPr="003A269D" w:rsidRDefault="00E972EA" w:rsidP="00677874">
            <w:pPr>
              <w:spacing w:after="0" w:line="240" w:lineRule="auto"/>
              <w:rPr>
                <w:rFonts w:eastAsia="Times New Roman" w:cs="Times New Roman"/>
                <w:b/>
                <w:bCs/>
                <w:color w:val="000000"/>
              </w:rPr>
            </w:pPr>
          </w:p>
        </w:tc>
      </w:tr>
      <w:tr w:rsidR="00677874" w:rsidRPr="003A269D" w:rsidTr="00677874">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b/>
                <w:bCs/>
                <w:color w:val="000000"/>
              </w:rPr>
            </w:pPr>
            <w:r w:rsidRPr="003A269D">
              <w:rPr>
                <w:rFonts w:eastAsia="Times New Roman" w:cs="Times New Roman"/>
                <w:b/>
                <w:bCs/>
                <w:color w:val="000000"/>
                <w:sz w:val="22"/>
              </w:rPr>
              <w:t>Number of Employees</w:t>
            </w:r>
          </w:p>
        </w:tc>
        <w:tc>
          <w:tcPr>
            <w:tcW w:w="900" w:type="dxa"/>
            <w:tcBorders>
              <w:top w:val="nil"/>
              <w:left w:val="nil"/>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color w:val="000000"/>
              </w:rPr>
            </w:pPr>
            <w:r w:rsidRPr="003A269D">
              <w:rPr>
                <w:rFonts w:eastAsia="Times New Roman" w:cs="Times New Roman"/>
                <w:color w:val="000000"/>
                <w:sz w:val="22"/>
              </w:rPr>
              <w:t>RPE</w:t>
            </w:r>
          </w:p>
        </w:tc>
        <w:tc>
          <w:tcPr>
            <w:tcW w:w="1350" w:type="dxa"/>
            <w:tcBorders>
              <w:top w:val="nil"/>
              <w:left w:val="nil"/>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color w:val="000000"/>
              </w:rPr>
            </w:pPr>
            <w:r w:rsidRPr="003A269D">
              <w:rPr>
                <w:rFonts w:eastAsia="Times New Roman" w:cs="Times New Roman"/>
                <w:color w:val="000000"/>
                <w:sz w:val="22"/>
              </w:rPr>
              <w:t>EPE</w:t>
            </w:r>
          </w:p>
        </w:tc>
      </w:tr>
      <w:tr w:rsidR="00677874" w:rsidRPr="003A269D" w:rsidTr="00677874">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b/>
                <w:bCs/>
                <w:color w:val="000000"/>
              </w:rPr>
            </w:pPr>
            <w:r w:rsidRPr="003A269D">
              <w:rPr>
                <w:rFonts w:eastAsia="Times New Roman" w:cs="Times New Roman"/>
                <w:b/>
                <w:bCs/>
                <w:color w:val="000000"/>
                <w:sz w:val="22"/>
              </w:rPr>
              <w:t>TA</w:t>
            </w:r>
          </w:p>
        </w:tc>
        <w:tc>
          <w:tcPr>
            <w:tcW w:w="900" w:type="dxa"/>
            <w:tcBorders>
              <w:top w:val="nil"/>
              <w:left w:val="nil"/>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color w:val="000000"/>
              </w:rPr>
            </w:pPr>
            <w:r w:rsidRPr="003A269D">
              <w:rPr>
                <w:rFonts w:eastAsia="Times New Roman" w:cs="Times New Roman"/>
                <w:color w:val="000000"/>
                <w:sz w:val="22"/>
              </w:rPr>
              <w:t>RPA</w:t>
            </w:r>
          </w:p>
        </w:tc>
        <w:tc>
          <w:tcPr>
            <w:tcW w:w="1350" w:type="dxa"/>
            <w:tcBorders>
              <w:top w:val="nil"/>
              <w:left w:val="nil"/>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color w:val="000000"/>
              </w:rPr>
            </w:pPr>
            <w:r w:rsidRPr="003A269D">
              <w:rPr>
                <w:rFonts w:eastAsia="Times New Roman" w:cs="Times New Roman"/>
                <w:color w:val="000000"/>
                <w:sz w:val="22"/>
              </w:rPr>
              <w:t>EPA</w:t>
            </w:r>
          </w:p>
        </w:tc>
      </w:tr>
      <w:tr w:rsidR="00677874" w:rsidRPr="003A269D" w:rsidTr="00677874">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b/>
                <w:bCs/>
                <w:color w:val="000000"/>
              </w:rPr>
            </w:pPr>
            <w:r w:rsidRPr="003A269D">
              <w:rPr>
                <w:rFonts w:eastAsia="Times New Roman" w:cs="Times New Roman"/>
                <w:b/>
                <w:bCs/>
                <w:color w:val="000000"/>
                <w:sz w:val="22"/>
              </w:rPr>
              <w:t>CAPEX</w:t>
            </w:r>
          </w:p>
        </w:tc>
        <w:tc>
          <w:tcPr>
            <w:tcW w:w="900" w:type="dxa"/>
            <w:tcBorders>
              <w:top w:val="nil"/>
              <w:left w:val="nil"/>
              <w:bottom w:val="single" w:sz="4" w:space="0" w:color="auto"/>
              <w:right w:val="single" w:sz="4" w:space="0" w:color="auto"/>
            </w:tcBorders>
            <w:shd w:val="clear" w:color="auto" w:fill="auto"/>
            <w:noWrap/>
            <w:vAlign w:val="bottom"/>
            <w:hideMark/>
          </w:tcPr>
          <w:p w:rsidR="00677874" w:rsidRPr="003A269D" w:rsidRDefault="00677874" w:rsidP="00677874">
            <w:pPr>
              <w:spacing w:after="0" w:line="240" w:lineRule="auto"/>
              <w:rPr>
                <w:rFonts w:eastAsia="Times New Roman" w:cs="Times New Roman"/>
                <w:color w:val="000000"/>
              </w:rPr>
            </w:pPr>
            <w:r w:rsidRPr="003A269D">
              <w:rPr>
                <w:rFonts w:eastAsia="Times New Roman" w:cs="Times New Roman"/>
                <w:color w:val="000000"/>
                <w:sz w:val="22"/>
              </w:rPr>
              <w:t>RPC</w:t>
            </w:r>
          </w:p>
        </w:tc>
        <w:tc>
          <w:tcPr>
            <w:tcW w:w="1350" w:type="dxa"/>
            <w:tcBorders>
              <w:top w:val="nil"/>
              <w:left w:val="nil"/>
              <w:bottom w:val="single" w:sz="4" w:space="0" w:color="auto"/>
              <w:right w:val="single" w:sz="4" w:space="0" w:color="auto"/>
            </w:tcBorders>
            <w:shd w:val="clear" w:color="auto" w:fill="auto"/>
            <w:noWrap/>
            <w:vAlign w:val="bottom"/>
            <w:hideMark/>
          </w:tcPr>
          <w:p w:rsidR="00677874" w:rsidRPr="003A269D" w:rsidRDefault="00677874" w:rsidP="00677874">
            <w:pPr>
              <w:keepNext/>
              <w:spacing w:after="0" w:line="240" w:lineRule="auto"/>
              <w:rPr>
                <w:rFonts w:eastAsia="Times New Roman" w:cs="Times New Roman"/>
                <w:color w:val="000000"/>
              </w:rPr>
            </w:pPr>
            <w:r w:rsidRPr="003A269D">
              <w:rPr>
                <w:rFonts w:eastAsia="Times New Roman" w:cs="Times New Roman"/>
                <w:color w:val="000000"/>
                <w:sz w:val="22"/>
              </w:rPr>
              <w:t>EPC</w:t>
            </w:r>
          </w:p>
        </w:tc>
      </w:tr>
    </w:tbl>
    <w:p w:rsidR="00677874" w:rsidRDefault="00677874" w:rsidP="00677874">
      <w:pPr>
        <w:ind w:left="1800"/>
      </w:pPr>
      <w:r>
        <w:t xml:space="preserve"> </w:t>
      </w:r>
    </w:p>
    <w:p w:rsidR="00677874" w:rsidRPr="00677874" w:rsidRDefault="00677874" w:rsidP="00677874">
      <w:pPr>
        <w:pStyle w:val="Heading2"/>
        <w:numPr>
          <w:ilvl w:val="2"/>
          <w:numId w:val="1"/>
        </w:numPr>
        <w:rPr>
          <w:rFonts w:asciiTheme="majorHAnsi" w:hAnsiTheme="majorHAnsi"/>
          <w:i/>
          <w:iCs/>
          <w:color w:val="000000" w:themeColor="text1"/>
          <w:sz w:val="24"/>
          <w:szCs w:val="22"/>
        </w:rPr>
      </w:pPr>
      <w:bookmarkStart w:id="7" w:name="_Toc354315307"/>
      <w:r w:rsidRPr="00677874">
        <w:rPr>
          <w:rFonts w:asciiTheme="majorHAnsi" w:hAnsiTheme="majorHAnsi"/>
          <w:i/>
          <w:iCs/>
          <w:color w:val="000000" w:themeColor="text1"/>
          <w:sz w:val="24"/>
          <w:szCs w:val="22"/>
        </w:rPr>
        <w:lastRenderedPageBreak/>
        <w:t xml:space="preserve"> Data Envelopment Analysis (DEA)</w:t>
      </w:r>
      <w:bookmarkEnd w:id="7"/>
    </w:p>
    <w:p w:rsidR="00677874" w:rsidRDefault="00677874" w:rsidP="00677874">
      <w:r>
        <w:t>Following the application of the PFP to measure the productivity, three DEA models</w:t>
      </w:r>
      <w:r w:rsidR="00321600">
        <w:t>, the CCR</w:t>
      </w:r>
      <w:r w:rsidR="003A1F04">
        <w:rPr>
          <w:rStyle w:val="FootnoteReference"/>
          <w:b/>
          <w:color w:val="000000" w:themeColor="text1"/>
        </w:rPr>
        <w:footnoteReference w:id="7"/>
      </w:r>
      <w:r w:rsidR="00321600">
        <w:t>, BCC</w:t>
      </w:r>
      <w:r w:rsidR="003A1F04">
        <w:rPr>
          <w:rStyle w:val="FootnoteReference"/>
          <w:b/>
          <w:color w:val="000000" w:themeColor="text1"/>
        </w:rPr>
        <w:footnoteReference w:id="8"/>
      </w:r>
      <w:r w:rsidR="00321600">
        <w:t xml:space="preserve"> and the A&amp;P</w:t>
      </w:r>
      <w:r w:rsidR="003A1F04">
        <w:rPr>
          <w:rStyle w:val="FootnoteReference"/>
        </w:rPr>
        <w:footnoteReference w:id="9"/>
      </w:r>
      <w:r w:rsidR="00321600">
        <w:t xml:space="preserve"> are</w:t>
      </w:r>
      <w:r>
        <w:t xml:space="preserve"> applied to measure the relative technical efficiency of the </w:t>
      </w:r>
      <w:r w:rsidR="00321600">
        <w:t xml:space="preserve">16 mobile operators under study. </w:t>
      </w:r>
      <w:r>
        <w:t xml:space="preserve">The input-oriented model </w:t>
      </w:r>
      <w:r w:rsidR="00321600">
        <w:t xml:space="preserve">that </w:t>
      </w:r>
      <w:r>
        <w:t>measures how much less inputs a mobile operator can employ to produce the same amount of output</w:t>
      </w:r>
      <w:r w:rsidR="00321600">
        <w:t>, is selected in this paper. In fact</w:t>
      </w:r>
      <w:r w:rsidR="00B335A5">
        <w:t>,</w:t>
      </w:r>
      <w:r w:rsidR="00321600">
        <w:t xml:space="preserve"> </w:t>
      </w:r>
      <w:r>
        <w:t>a mobile operator has better control over its inputs. The outputs in the mobile sector may be driven by factors beyond the control of the operator such as market factors and competition.</w:t>
      </w:r>
    </w:p>
    <w:p w:rsidR="00677874" w:rsidRPr="00FE0EB5" w:rsidRDefault="00677874" w:rsidP="00FE0EB5">
      <w:pPr>
        <w:pStyle w:val="Heading3"/>
        <w:numPr>
          <w:ilvl w:val="0"/>
          <w:numId w:val="11"/>
        </w:numPr>
        <w:rPr>
          <w:b w:val="0"/>
          <w:color w:val="000000" w:themeColor="text1"/>
        </w:rPr>
      </w:pPr>
      <w:bookmarkStart w:id="8" w:name="_Toc354315308"/>
      <w:r w:rsidRPr="00FE0EB5">
        <w:rPr>
          <w:b w:val="0"/>
          <w:color w:val="000000" w:themeColor="text1"/>
        </w:rPr>
        <w:t xml:space="preserve"> The Basic CCR Model</w:t>
      </w:r>
      <w:bookmarkEnd w:id="8"/>
      <w:r w:rsidR="00B72DDC">
        <w:rPr>
          <w:b w:val="0"/>
          <w:color w:val="000000" w:themeColor="text1"/>
        </w:rPr>
        <w:t xml:space="preserve"> </w:t>
      </w:r>
    </w:p>
    <w:p w:rsidR="00677874" w:rsidRDefault="00321600" w:rsidP="00677874">
      <w:r>
        <w:t>E</w:t>
      </w:r>
      <w:r w:rsidR="00677874">
        <w:t xml:space="preserve">fficiency is measured as a ratio of weighted sum of outputs to weighted sum of inputs. </w:t>
      </w:r>
      <w:r>
        <w:t>The</w:t>
      </w:r>
      <w:r w:rsidR="00677874">
        <w:t xml:space="preserve"> efficiency formula </w:t>
      </w:r>
      <w:r>
        <w:t xml:space="preserve">applied to this study </w:t>
      </w:r>
      <w:r w:rsidR="00677874">
        <w:t>is translated into the following:</w:t>
      </w:r>
    </w:p>
    <w:p w:rsidR="00677874" w:rsidRDefault="00677874" w:rsidP="00677874">
      <m:oMath>
        <m:r>
          <w:rPr>
            <w:rFonts w:ascii="Cambria Math" w:hAnsi="Cambria Math" w:cs="Cambria Math"/>
            <w:sz w:val="28"/>
            <w:szCs w:val="24"/>
          </w:rPr>
          <m:t>Efficiency (E)</m:t>
        </m:r>
        <m:r>
          <m:rPr>
            <m:sty m:val="p"/>
          </m:rPr>
          <w:rPr>
            <w:rFonts w:ascii="Cambria Math" w:hAnsi="Cambria Math" w:cs="Cambria Math"/>
            <w:sz w:val="28"/>
            <w:szCs w:val="24"/>
          </w:rPr>
          <m:t>=</m:t>
        </m:r>
        <m:f>
          <m:fPr>
            <m:ctrlPr>
              <w:rPr>
                <w:rFonts w:ascii="Cambria Math" w:hAnsi="Cambria Math" w:cs="Times New Roman"/>
                <w:sz w:val="28"/>
                <w:szCs w:val="24"/>
              </w:rPr>
            </m:ctrlPr>
          </m:fPr>
          <m:num>
            <m:r>
              <w:rPr>
                <w:rFonts w:ascii="Cambria Math" w:hAnsi="Cambria Math" w:cs="Cambria Math"/>
                <w:sz w:val="28"/>
                <w:szCs w:val="24"/>
              </w:rPr>
              <m:t>u1</m:t>
            </m:r>
            <m:d>
              <m:dPr>
                <m:ctrlPr>
                  <w:rPr>
                    <w:rFonts w:ascii="Cambria Math" w:hAnsi="Cambria Math" w:cs="Cambria Math"/>
                    <w:i/>
                    <w:sz w:val="28"/>
                    <w:szCs w:val="24"/>
                  </w:rPr>
                </m:ctrlPr>
              </m:dPr>
              <m:e>
                <m:r>
                  <w:rPr>
                    <w:rFonts w:ascii="Cambria Math" w:hAnsi="Cambria Math" w:cs="Cambria Math"/>
                    <w:sz w:val="28"/>
                    <w:szCs w:val="24"/>
                  </w:rPr>
                  <m:t>TR</m:t>
                </m:r>
              </m:e>
            </m:d>
            <m:r>
              <w:rPr>
                <w:rFonts w:ascii="Cambria Math" w:hAnsi="Cambria Math" w:cs="Cambria Math"/>
                <w:sz w:val="28"/>
                <w:szCs w:val="24"/>
              </w:rPr>
              <m:t>+ u2(EBITDA)</m:t>
            </m:r>
          </m:num>
          <m:den>
            <m:r>
              <w:rPr>
                <w:rFonts w:ascii="Cambria Math" w:hAnsi="Cambria Math" w:cs="Cambria Math"/>
                <w:sz w:val="28"/>
                <w:szCs w:val="24"/>
              </w:rPr>
              <m:t>v1</m:t>
            </m:r>
            <m:d>
              <m:dPr>
                <m:ctrlPr>
                  <w:rPr>
                    <w:rFonts w:ascii="Cambria Math" w:hAnsi="Cambria Math" w:cs="Cambria Math"/>
                    <w:i/>
                    <w:sz w:val="28"/>
                    <w:szCs w:val="24"/>
                  </w:rPr>
                </m:ctrlPr>
              </m:dPr>
              <m:e>
                <m:r>
                  <w:rPr>
                    <w:rFonts w:ascii="Cambria Math" w:hAnsi="Cambria Math" w:cs="Cambria Math"/>
                    <w:sz w:val="28"/>
                    <w:szCs w:val="24"/>
                  </w:rPr>
                  <m:t>Emp</m:t>
                </m:r>
              </m:e>
            </m:d>
            <m:r>
              <w:rPr>
                <w:rFonts w:ascii="Cambria Math" w:hAnsi="Cambria Math" w:cs="Cambria Math"/>
                <w:sz w:val="28"/>
                <w:szCs w:val="24"/>
              </w:rPr>
              <m:t>+v2</m:t>
            </m:r>
            <m:d>
              <m:dPr>
                <m:ctrlPr>
                  <w:rPr>
                    <w:rFonts w:ascii="Cambria Math" w:hAnsi="Cambria Math" w:cs="Cambria Math"/>
                    <w:i/>
                    <w:sz w:val="28"/>
                    <w:szCs w:val="24"/>
                  </w:rPr>
                </m:ctrlPr>
              </m:dPr>
              <m:e>
                <m:r>
                  <w:rPr>
                    <w:rFonts w:ascii="Cambria Math" w:hAnsi="Cambria Math" w:cs="Cambria Math"/>
                    <w:sz w:val="28"/>
                    <w:szCs w:val="24"/>
                  </w:rPr>
                  <m:t>TA</m:t>
                </m:r>
              </m:e>
            </m:d>
            <m:r>
              <w:rPr>
                <w:rFonts w:ascii="Cambria Math" w:hAnsi="Cambria Math" w:cs="Cambria Math"/>
                <w:sz w:val="28"/>
                <w:szCs w:val="24"/>
              </w:rPr>
              <m:t>+v3(CAPEX)</m:t>
            </m:r>
          </m:den>
        </m:f>
      </m:oMath>
      <w:r>
        <w:rPr>
          <w:rFonts w:eastAsiaTheme="minorEastAsia"/>
          <w:szCs w:val="24"/>
        </w:rPr>
        <w:tab/>
      </w:r>
      <w:r>
        <w:rPr>
          <w:rFonts w:eastAsiaTheme="minorEastAsia"/>
          <w:szCs w:val="24"/>
        </w:rPr>
        <w:tab/>
      </w:r>
      <w:r>
        <w:rPr>
          <w:rFonts w:eastAsiaTheme="minorEastAsia"/>
          <w:szCs w:val="24"/>
        </w:rPr>
        <w:tab/>
      </w:r>
      <w:r>
        <w:rPr>
          <w:rFonts w:eastAsiaTheme="minorEastAsia"/>
          <w:szCs w:val="24"/>
        </w:rPr>
        <w:tab/>
        <w:t>(</w:t>
      </w:r>
      <w:r w:rsidR="00321600">
        <w:rPr>
          <w:rFonts w:eastAsiaTheme="minorEastAsia"/>
          <w:szCs w:val="24"/>
        </w:rPr>
        <w:t>2</w:t>
      </w:r>
      <w:r>
        <w:rPr>
          <w:rFonts w:eastAsiaTheme="minorEastAsia"/>
          <w:szCs w:val="24"/>
        </w:rPr>
        <w:t>)</w:t>
      </w:r>
    </w:p>
    <w:p w:rsidR="00677874" w:rsidRPr="00513586" w:rsidRDefault="00677874" w:rsidP="00677874">
      <w:pPr>
        <w:rPr>
          <w:i/>
        </w:rPr>
      </w:pPr>
      <w:r w:rsidRPr="00513586">
        <w:rPr>
          <w:i/>
        </w:rPr>
        <w:t xml:space="preserve">Where: </w:t>
      </w:r>
    </w:p>
    <w:p w:rsidR="00677874" w:rsidRDefault="00677874" w:rsidP="00321600">
      <w:pPr>
        <w:spacing w:before="0" w:line="360" w:lineRule="auto"/>
        <w:jc w:val="left"/>
      </w:pPr>
      <w:r w:rsidRPr="00321600">
        <w:rPr>
          <w:i/>
        </w:rPr>
        <w:t>u</w:t>
      </w:r>
      <w:r w:rsidRPr="00321600">
        <w:rPr>
          <w:i/>
          <w:vertAlign w:val="subscript"/>
        </w:rPr>
        <w:t>1</w:t>
      </w:r>
      <w:r>
        <w:t xml:space="preserve"> is the weight given to the total revenue output</w:t>
      </w:r>
    </w:p>
    <w:p w:rsidR="00677874" w:rsidRDefault="00677874" w:rsidP="00321600">
      <w:pPr>
        <w:spacing w:before="0" w:line="360" w:lineRule="auto"/>
        <w:jc w:val="left"/>
      </w:pPr>
      <w:r w:rsidRPr="00321600">
        <w:rPr>
          <w:i/>
        </w:rPr>
        <w:t>u</w:t>
      </w:r>
      <w:r w:rsidRPr="00321600">
        <w:rPr>
          <w:i/>
          <w:vertAlign w:val="subscript"/>
        </w:rPr>
        <w:t>2</w:t>
      </w:r>
      <w:r>
        <w:t xml:space="preserve"> is the weight given to the EBITDA output</w:t>
      </w:r>
    </w:p>
    <w:p w:rsidR="00677874" w:rsidRDefault="00677874" w:rsidP="00321600">
      <w:pPr>
        <w:spacing w:before="0" w:line="360" w:lineRule="auto"/>
        <w:jc w:val="left"/>
      </w:pPr>
      <w:r w:rsidRPr="00321600">
        <w:rPr>
          <w:i/>
        </w:rPr>
        <w:t>v</w:t>
      </w:r>
      <w:r w:rsidRPr="00321600">
        <w:rPr>
          <w:i/>
          <w:vertAlign w:val="subscript"/>
        </w:rPr>
        <w:t>1</w:t>
      </w:r>
      <w:r>
        <w:t xml:space="preserve"> is the weight given to the number of employees input</w:t>
      </w:r>
    </w:p>
    <w:p w:rsidR="00677874" w:rsidRPr="00C70EF9" w:rsidRDefault="00677874" w:rsidP="00321600">
      <w:pPr>
        <w:spacing w:before="0" w:line="360" w:lineRule="auto"/>
        <w:jc w:val="left"/>
      </w:pPr>
      <w:r w:rsidRPr="00321600">
        <w:rPr>
          <w:i/>
        </w:rPr>
        <w:t>v</w:t>
      </w:r>
      <w:r w:rsidRPr="00321600">
        <w:rPr>
          <w:i/>
          <w:vertAlign w:val="subscript"/>
        </w:rPr>
        <w:t>2</w:t>
      </w:r>
      <w:r w:rsidRPr="00321600">
        <w:rPr>
          <w:vertAlign w:val="subscript"/>
        </w:rPr>
        <w:t xml:space="preserve"> </w:t>
      </w:r>
      <w:r>
        <w:t>is the weight given to the total assets input</w:t>
      </w:r>
    </w:p>
    <w:p w:rsidR="00677874" w:rsidRDefault="00677874" w:rsidP="00321600">
      <w:pPr>
        <w:spacing w:before="0" w:line="360" w:lineRule="auto"/>
        <w:jc w:val="left"/>
      </w:pPr>
      <w:r w:rsidRPr="00321600">
        <w:rPr>
          <w:i/>
        </w:rPr>
        <w:t>v</w:t>
      </w:r>
      <w:r w:rsidRPr="00321600">
        <w:rPr>
          <w:i/>
          <w:vertAlign w:val="subscript"/>
        </w:rPr>
        <w:t>3</w:t>
      </w:r>
      <w:r w:rsidRPr="00C70EF9">
        <w:t xml:space="preserve"> </w:t>
      </w:r>
      <w:r>
        <w:t>is the weight given to the capital expenditure input</w:t>
      </w:r>
    </w:p>
    <w:p w:rsidR="00677874" w:rsidRDefault="00677874" w:rsidP="00321600">
      <w:r>
        <w:t xml:space="preserve">Without knowing the values of </w:t>
      </w:r>
      <w:r w:rsidRPr="00CC58E7">
        <w:rPr>
          <w:i/>
        </w:rPr>
        <w:t>u</w:t>
      </w:r>
      <w:r w:rsidRPr="00CC58E7">
        <w:rPr>
          <w:i/>
          <w:vertAlign w:val="subscript"/>
        </w:rPr>
        <w:t>1</w:t>
      </w:r>
      <w:r>
        <w:rPr>
          <w:i/>
        </w:rPr>
        <w:t xml:space="preserve">, </w:t>
      </w:r>
      <w:r w:rsidRPr="00CC58E7">
        <w:rPr>
          <w:i/>
        </w:rPr>
        <w:t>u</w:t>
      </w:r>
      <w:r w:rsidRPr="00CC58E7">
        <w:rPr>
          <w:i/>
          <w:vertAlign w:val="subscript"/>
        </w:rPr>
        <w:t>2</w:t>
      </w:r>
      <w:r>
        <w:rPr>
          <w:i/>
        </w:rPr>
        <w:t xml:space="preserve">, </w:t>
      </w:r>
      <w:r w:rsidRPr="00AA0EEC">
        <w:rPr>
          <w:i/>
        </w:rPr>
        <w:t>v</w:t>
      </w:r>
      <w:r w:rsidRPr="00AA0EEC">
        <w:rPr>
          <w:i/>
          <w:vertAlign w:val="subscript"/>
        </w:rPr>
        <w:t>1</w:t>
      </w:r>
      <w:r>
        <w:rPr>
          <w:i/>
        </w:rPr>
        <w:t xml:space="preserve">, </w:t>
      </w:r>
      <w:r w:rsidRPr="00AA0EEC">
        <w:rPr>
          <w:i/>
        </w:rPr>
        <w:t>v</w:t>
      </w:r>
      <w:r w:rsidRPr="00AA0EEC">
        <w:rPr>
          <w:i/>
          <w:vertAlign w:val="subscript"/>
        </w:rPr>
        <w:t>2</w:t>
      </w:r>
      <w:r>
        <w:rPr>
          <w:i/>
        </w:rPr>
        <w:t xml:space="preserve">, </w:t>
      </w:r>
      <w:r w:rsidRPr="00AA0EEC">
        <w:rPr>
          <w:i/>
        </w:rPr>
        <w:t>v</w:t>
      </w:r>
      <w:r w:rsidRPr="00AA0EEC">
        <w:rPr>
          <w:i/>
          <w:vertAlign w:val="subscript"/>
        </w:rPr>
        <w:t>3</w:t>
      </w:r>
      <w:r>
        <w:t xml:space="preserve">, equation </w:t>
      </w:r>
      <w:r w:rsidR="00321600">
        <w:t>2</w:t>
      </w:r>
      <w:r>
        <w:t xml:space="preserve"> is solved by rewriting it in the form of linear programming as done by </w:t>
      </w:r>
      <w:proofErr w:type="spellStart"/>
      <w:r>
        <w:t>Char</w:t>
      </w:r>
      <w:r w:rsidR="003A1F04">
        <w:t>n</w:t>
      </w:r>
      <w:r>
        <w:t>es</w:t>
      </w:r>
      <w:proofErr w:type="spellEnd"/>
      <w:r>
        <w:t>, Cooper and Rhodes</w:t>
      </w:r>
      <w:r w:rsidR="00B72DDC">
        <w:t xml:space="preserve"> [14]</w:t>
      </w:r>
      <w:r>
        <w:t xml:space="preserve">. One of the main advantages of </w:t>
      </w:r>
      <w:r w:rsidRPr="009A224B">
        <w:t>DEA is that it does not require prior assumptions of the production function or the weights o</w:t>
      </w:r>
      <w:r w:rsidR="00321600">
        <w:t xml:space="preserve">f the factors of production. </w:t>
      </w:r>
    </w:p>
    <w:p w:rsidR="00677874" w:rsidRDefault="00677874" w:rsidP="00677874">
      <w:pPr>
        <w:ind w:left="360" w:firstLine="360"/>
      </w:pPr>
      <w:r>
        <w:t xml:space="preserve">Maximize </w:t>
      </w:r>
      <w:r w:rsidRPr="00CC58E7">
        <w:rPr>
          <w:i/>
        </w:rPr>
        <w:t>E</w:t>
      </w:r>
      <w:r w:rsidRPr="00CC58E7">
        <w:rPr>
          <w:i/>
          <w:vertAlign w:val="subscript"/>
        </w:rPr>
        <w:t>1</w:t>
      </w:r>
      <w:r>
        <w:t xml:space="preserve">= </w:t>
      </w:r>
      <w:r w:rsidRPr="00CC58E7">
        <w:rPr>
          <w:i/>
        </w:rPr>
        <w:t>u</w:t>
      </w:r>
      <w:r w:rsidRPr="00CC58E7">
        <w:rPr>
          <w:i/>
          <w:vertAlign w:val="subscript"/>
        </w:rPr>
        <w:t>1</w:t>
      </w:r>
      <w:r>
        <w:t xml:space="preserve"> (TR) + </w:t>
      </w:r>
      <w:r w:rsidRPr="00CC58E7">
        <w:rPr>
          <w:i/>
        </w:rPr>
        <w:t>u</w:t>
      </w:r>
      <w:r w:rsidRPr="00CC58E7">
        <w:rPr>
          <w:i/>
          <w:vertAlign w:val="subscript"/>
        </w:rPr>
        <w:t>2</w:t>
      </w:r>
      <w:r>
        <w:rPr>
          <w:vertAlign w:val="subscript"/>
        </w:rPr>
        <w:t xml:space="preserve"> </w:t>
      </w:r>
      <w:r>
        <w:t>(EBITDA)</w:t>
      </w:r>
      <w:r>
        <w:tab/>
      </w:r>
      <w:r w:rsidRPr="00CC58E7">
        <w:rPr>
          <w:i/>
        </w:rPr>
        <w:t>for mobile operator 1</w:t>
      </w:r>
      <w:r>
        <w:rPr>
          <w:i/>
        </w:rPr>
        <w:t xml:space="preserve">                </w:t>
      </w:r>
      <w:r>
        <w:t>(</w:t>
      </w:r>
      <w:r w:rsidR="00CD2834">
        <w:t>3</w:t>
      </w:r>
      <w:r w:rsidRPr="00155065">
        <w:t>)</w:t>
      </w:r>
    </w:p>
    <w:p w:rsidR="00677874" w:rsidRPr="00CC58E7" w:rsidRDefault="00677874" w:rsidP="00677874">
      <w:pPr>
        <w:ind w:left="360"/>
        <w:rPr>
          <w:i/>
        </w:rPr>
      </w:pPr>
      <w:r w:rsidRPr="00CC58E7">
        <w:rPr>
          <w:i/>
        </w:rPr>
        <w:t>Subject to:</w:t>
      </w:r>
    </w:p>
    <w:p w:rsidR="00677874" w:rsidRPr="00AA0EEC" w:rsidRDefault="00677874" w:rsidP="00677874">
      <w:pPr>
        <w:pStyle w:val="ListParagraph"/>
        <w:numPr>
          <w:ilvl w:val="0"/>
          <w:numId w:val="15"/>
        </w:numPr>
        <w:spacing w:before="0" w:line="360" w:lineRule="auto"/>
        <w:jc w:val="left"/>
        <w:rPr>
          <w:i/>
        </w:rPr>
      </w:pPr>
      <w:r w:rsidRPr="00AA0EEC">
        <w:rPr>
          <w:i/>
        </w:rPr>
        <w:t>v</w:t>
      </w:r>
      <w:r w:rsidRPr="00AA0EEC">
        <w:rPr>
          <w:i/>
          <w:vertAlign w:val="subscript"/>
        </w:rPr>
        <w:t>1</w:t>
      </w:r>
      <w:r w:rsidRPr="00AA0EEC">
        <w:rPr>
          <w:vertAlign w:val="subscript"/>
        </w:rPr>
        <w:t xml:space="preserve"> </w:t>
      </w:r>
      <w:r>
        <w:t xml:space="preserve">(Emp) + </w:t>
      </w:r>
      <w:r w:rsidRPr="00AA0EEC">
        <w:rPr>
          <w:i/>
        </w:rPr>
        <w:t>v</w:t>
      </w:r>
      <w:r w:rsidRPr="00AA0EEC">
        <w:rPr>
          <w:i/>
          <w:vertAlign w:val="subscript"/>
        </w:rPr>
        <w:t>2</w:t>
      </w:r>
      <w:r>
        <w:t xml:space="preserve"> (TA) + </w:t>
      </w:r>
      <w:r w:rsidRPr="00AA0EEC">
        <w:rPr>
          <w:i/>
        </w:rPr>
        <w:t>v</w:t>
      </w:r>
      <w:r w:rsidRPr="00AA0EEC">
        <w:rPr>
          <w:i/>
          <w:vertAlign w:val="subscript"/>
        </w:rPr>
        <w:t>3</w:t>
      </w:r>
      <w:r w:rsidR="00CD2834">
        <w:t xml:space="preserve"> (CAPEX) = 1 </w:t>
      </w:r>
      <w:r w:rsidR="00CD2834">
        <w:tab/>
      </w:r>
      <w:r w:rsidRPr="00AA0EEC">
        <w:rPr>
          <w:i/>
        </w:rPr>
        <w:t>for mobile operator 1</w:t>
      </w:r>
    </w:p>
    <w:p w:rsidR="00677874" w:rsidRPr="00AA0EEC" w:rsidRDefault="00677874" w:rsidP="00677874">
      <w:pPr>
        <w:pStyle w:val="ListParagraph"/>
        <w:numPr>
          <w:ilvl w:val="0"/>
          <w:numId w:val="15"/>
        </w:numPr>
        <w:spacing w:before="0" w:line="360" w:lineRule="auto"/>
        <w:jc w:val="left"/>
      </w:pPr>
      <w:r w:rsidRPr="00AA0EEC">
        <w:rPr>
          <w:rFonts w:cs="Times New Roman"/>
          <w:i/>
        </w:rPr>
        <w:lastRenderedPageBreak/>
        <w:t>∑</w:t>
      </w:r>
      <w:r w:rsidRPr="00AA0EEC">
        <w:rPr>
          <w:i/>
        </w:rPr>
        <w:t xml:space="preserve"> u</w:t>
      </w:r>
      <w:r w:rsidRPr="00AA0EEC">
        <w:rPr>
          <w:i/>
          <w:vertAlign w:val="subscript"/>
        </w:rPr>
        <w:t>1</w:t>
      </w:r>
      <w:r>
        <w:t xml:space="preserve"> (TR) + </w:t>
      </w:r>
      <w:r w:rsidRPr="00AA0EEC">
        <w:rPr>
          <w:i/>
        </w:rPr>
        <w:t>u</w:t>
      </w:r>
      <w:r w:rsidRPr="00AA0EEC">
        <w:rPr>
          <w:i/>
          <w:vertAlign w:val="subscript"/>
        </w:rPr>
        <w:t>2</w:t>
      </w:r>
      <w:r w:rsidRPr="00AA0EEC">
        <w:rPr>
          <w:vertAlign w:val="subscript"/>
        </w:rPr>
        <w:t xml:space="preserve"> </w:t>
      </w:r>
      <w:r>
        <w:t>(EBITDA) -</w:t>
      </w:r>
      <w:r w:rsidRPr="00AA0EEC">
        <w:rPr>
          <w:rFonts w:cs="Times New Roman"/>
        </w:rPr>
        <w:t xml:space="preserve">∑ </w:t>
      </w:r>
      <w:r w:rsidRPr="00AA0EEC">
        <w:rPr>
          <w:i/>
        </w:rPr>
        <w:t>v</w:t>
      </w:r>
      <w:r w:rsidRPr="00AA0EEC">
        <w:rPr>
          <w:i/>
          <w:vertAlign w:val="subscript"/>
        </w:rPr>
        <w:t>1</w:t>
      </w:r>
      <w:r w:rsidRPr="00AA0EEC">
        <w:rPr>
          <w:vertAlign w:val="subscript"/>
        </w:rPr>
        <w:t xml:space="preserve"> </w:t>
      </w:r>
      <w:r>
        <w:t xml:space="preserve">(Emp) + </w:t>
      </w:r>
      <w:r w:rsidRPr="00AA0EEC">
        <w:rPr>
          <w:i/>
        </w:rPr>
        <w:t>v</w:t>
      </w:r>
      <w:r w:rsidRPr="00AA0EEC">
        <w:rPr>
          <w:i/>
          <w:vertAlign w:val="subscript"/>
        </w:rPr>
        <w:t>2</w:t>
      </w:r>
      <w:r>
        <w:t xml:space="preserve"> (TA) + </w:t>
      </w:r>
      <w:r w:rsidRPr="00AA0EEC">
        <w:rPr>
          <w:i/>
        </w:rPr>
        <w:t>v</w:t>
      </w:r>
      <w:r w:rsidRPr="00AA0EEC">
        <w:rPr>
          <w:i/>
          <w:vertAlign w:val="subscript"/>
        </w:rPr>
        <w:t>3</w:t>
      </w:r>
      <w:r>
        <w:t xml:space="preserve"> (CAPEX) </w:t>
      </w:r>
      <w:r w:rsidRPr="00AA0EEC">
        <w:rPr>
          <w:rFonts w:cs="Times New Roman"/>
        </w:rPr>
        <w:t>≤ 0</w:t>
      </w:r>
      <w:r>
        <w:rPr>
          <w:rFonts w:cs="Times New Roman"/>
        </w:rPr>
        <w:t xml:space="preserve"> </w:t>
      </w:r>
      <w:r w:rsidRPr="00D840E9">
        <w:rPr>
          <w:i/>
        </w:rPr>
        <w:t>for all mobile operators</w:t>
      </w:r>
    </w:p>
    <w:p w:rsidR="00677874" w:rsidRPr="00452465" w:rsidRDefault="00677874" w:rsidP="00677874">
      <w:pPr>
        <w:pStyle w:val="ListParagraph"/>
        <w:numPr>
          <w:ilvl w:val="0"/>
          <w:numId w:val="15"/>
        </w:numPr>
        <w:spacing w:before="0" w:line="360" w:lineRule="auto"/>
        <w:jc w:val="left"/>
      </w:pPr>
      <w:r w:rsidRPr="00CC58E7">
        <w:rPr>
          <w:i/>
        </w:rPr>
        <w:t>u</w:t>
      </w:r>
      <w:r w:rsidRPr="00CC58E7">
        <w:rPr>
          <w:i/>
          <w:vertAlign w:val="subscript"/>
        </w:rPr>
        <w:t>1</w:t>
      </w:r>
      <w:r>
        <w:rPr>
          <w:i/>
        </w:rPr>
        <w:t xml:space="preserve">, </w:t>
      </w:r>
      <w:r w:rsidRPr="00CC58E7">
        <w:rPr>
          <w:i/>
        </w:rPr>
        <w:t>u</w:t>
      </w:r>
      <w:r w:rsidRPr="00CC58E7">
        <w:rPr>
          <w:i/>
          <w:vertAlign w:val="subscript"/>
        </w:rPr>
        <w:t>2</w:t>
      </w:r>
      <w:r>
        <w:rPr>
          <w:i/>
        </w:rPr>
        <w:t xml:space="preserve">, </w:t>
      </w:r>
      <w:r w:rsidRPr="00AA0EEC">
        <w:rPr>
          <w:i/>
        </w:rPr>
        <w:t>v</w:t>
      </w:r>
      <w:r w:rsidRPr="00AA0EEC">
        <w:rPr>
          <w:i/>
          <w:vertAlign w:val="subscript"/>
        </w:rPr>
        <w:t>1</w:t>
      </w:r>
      <w:r>
        <w:rPr>
          <w:i/>
        </w:rPr>
        <w:t xml:space="preserve">, </w:t>
      </w:r>
      <w:r w:rsidRPr="00AA0EEC">
        <w:rPr>
          <w:i/>
        </w:rPr>
        <w:t>v</w:t>
      </w:r>
      <w:r w:rsidRPr="00AA0EEC">
        <w:rPr>
          <w:i/>
          <w:vertAlign w:val="subscript"/>
        </w:rPr>
        <w:t>2</w:t>
      </w:r>
      <w:r>
        <w:rPr>
          <w:i/>
        </w:rPr>
        <w:t xml:space="preserve">, </w:t>
      </w:r>
      <w:r w:rsidRPr="00AA0EEC">
        <w:rPr>
          <w:i/>
        </w:rPr>
        <w:t>v</w:t>
      </w:r>
      <w:r w:rsidRPr="00AA0EEC">
        <w:rPr>
          <w:i/>
          <w:vertAlign w:val="subscript"/>
        </w:rPr>
        <w:t>3</w:t>
      </w:r>
      <w:r>
        <w:rPr>
          <w:i/>
        </w:rPr>
        <w:t xml:space="preserve"> </w:t>
      </w:r>
      <w:r>
        <w:rPr>
          <w:rFonts w:cs="Times New Roman"/>
          <w:i/>
        </w:rPr>
        <w:t xml:space="preserve">≥ </w:t>
      </w:r>
      <w:r w:rsidRPr="00826EE8">
        <w:rPr>
          <w:rFonts w:cs="Times New Roman"/>
          <w:szCs w:val="24"/>
        </w:rPr>
        <w:t xml:space="preserve">ɛ </w:t>
      </w:r>
      <w:r>
        <w:rPr>
          <w:rFonts w:cs="Times New Roman"/>
          <w:szCs w:val="24"/>
        </w:rPr>
        <w:t xml:space="preserve">≥ </w:t>
      </w:r>
      <w:r>
        <w:rPr>
          <w:rFonts w:cs="Times New Roman"/>
          <w:i/>
        </w:rPr>
        <w:t>0</w:t>
      </w:r>
    </w:p>
    <w:p w:rsidR="00EA3856" w:rsidRPr="00FE0EB5" w:rsidRDefault="00EA3856" w:rsidP="00FE0EB5">
      <w:pPr>
        <w:pStyle w:val="Heading3"/>
        <w:numPr>
          <w:ilvl w:val="0"/>
          <w:numId w:val="11"/>
        </w:numPr>
        <w:rPr>
          <w:b w:val="0"/>
          <w:color w:val="000000" w:themeColor="text1"/>
        </w:rPr>
      </w:pPr>
      <w:bookmarkStart w:id="9" w:name="_Toc354315309"/>
      <w:r w:rsidRPr="00FE0EB5">
        <w:rPr>
          <w:b w:val="0"/>
          <w:color w:val="000000" w:themeColor="text1"/>
        </w:rPr>
        <w:t>The BCC Model</w:t>
      </w:r>
      <w:bookmarkEnd w:id="9"/>
      <w:r w:rsidRPr="00FE0EB5">
        <w:rPr>
          <w:b w:val="0"/>
          <w:color w:val="000000" w:themeColor="text1"/>
        </w:rPr>
        <w:t xml:space="preserve"> </w:t>
      </w:r>
    </w:p>
    <w:p w:rsidR="00EA3856" w:rsidRDefault="00EA3856" w:rsidP="00EA3856">
      <w:r>
        <w:t xml:space="preserve">The CCR model shown in equation </w:t>
      </w:r>
      <w:r w:rsidR="00FE0EB5">
        <w:t>(3)</w:t>
      </w:r>
      <w:r>
        <w:t xml:space="preserve"> only takes into account constant returns to scale (CRS). </w:t>
      </w:r>
      <w:r w:rsidR="000E0B64">
        <w:t>However</w:t>
      </w:r>
      <w:r>
        <w:t xml:space="preserve">, mobile operators are not always operating at optimal scale and are subject to variable returns to scale (VRS). To overcome the constraint of the CCR model, </w:t>
      </w:r>
      <w:r w:rsidR="00806977">
        <w:t>we will implement</w:t>
      </w:r>
      <w:r>
        <w:t xml:space="preserve"> the BCC model which introduces an extra variable, </w:t>
      </w:r>
      <w:r w:rsidRPr="007E63B2">
        <w:rPr>
          <w:i/>
        </w:rPr>
        <w:t>u</w:t>
      </w:r>
      <w:r>
        <w:rPr>
          <w:i/>
          <w:vertAlign w:val="subscript"/>
        </w:rPr>
        <w:t>o</w:t>
      </w:r>
      <w:r>
        <w:rPr>
          <w:vertAlign w:val="subscript"/>
        </w:rPr>
        <w:t>,</w:t>
      </w:r>
      <w:r>
        <w:rPr>
          <w:i/>
        </w:rPr>
        <w:t xml:space="preserve"> </w:t>
      </w:r>
      <w:r>
        <w:t>representing the variable returns to scale. The linear programming formula in the BCC model becomes as follows:</w:t>
      </w:r>
    </w:p>
    <w:p w:rsidR="00EA3856" w:rsidRDefault="00EA3856" w:rsidP="00EA3856">
      <w:r>
        <w:t xml:space="preserve">Maximize </w:t>
      </w:r>
      <w:r w:rsidRPr="00CC58E7">
        <w:rPr>
          <w:i/>
        </w:rPr>
        <w:t>E</w:t>
      </w:r>
      <w:r w:rsidRPr="00CC58E7">
        <w:rPr>
          <w:i/>
          <w:vertAlign w:val="subscript"/>
        </w:rPr>
        <w:t>1</w:t>
      </w:r>
      <w:r>
        <w:t xml:space="preserve">= </w:t>
      </w:r>
      <w:r w:rsidRPr="00CC58E7">
        <w:rPr>
          <w:i/>
        </w:rPr>
        <w:t>u</w:t>
      </w:r>
      <w:r w:rsidRPr="00CC58E7">
        <w:rPr>
          <w:i/>
          <w:vertAlign w:val="subscript"/>
        </w:rPr>
        <w:t>1</w:t>
      </w:r>
      <w:r>
        <w:t xml:space="preserve"> (TR) + </w:t>
      </w:r>
      <w:r w:rsidRPr="00CC58E7">
        <w:rPr>
          <w:i/>
        </w:rPr>
        <w:t>u</w:t>
      </w:r>
      <w:r w:rsidRPr="00CC58E7">
        <w:rPr>
          <w:i/>
          <w:vertAlign w:val="subscript"/>
        </w:rPr>
        <w:t>2</w:t>
      </w:r>
      <w:r>
        <w:rPr>
          <w:vertAlign w:val="subscript"/>
        </w:rPr>
        <w:t xml:space="preserve"> </w:t>
      </w:r>
      <w:r>
        <w:t xml:space="preserve">(EBITDA) – </w:t>
      </w:r>
      <w:r w:rsidRPr="007E63B2">
        <w:rPr>
          <w:i/>
        </w:rPr>
        <w:t>u</w:t>
      </w:r>
      <w:r w:rsidRPr="007E63B2">
        <w:rPr>
          <w:i/>
          <w:vertAlign w:val="subscript"/>
        </w:rPr>
        <w:t>o</w:t>
      </w:r>
      <w:r>
        <w:tab/>
      </w:r>
      <w:r>
        <w:tab/>
      </w:r>
      <w:r w:rsidRPr="00CC58E7">
        <w:rPr>
          <w:i/>
        </w:rPr>
        <w:t>for mobile operator 1</w:t>
      </w:r>
      <w:r>
        <w:rPr>
          <w:i/>
        </w:rPr>
        <w:t xml:space="preserve">                </w:t>
      </w:r>
      <w:r w:rsidR="00806977">
        <w:t>(4</w:t>
      </w:r>
      <w:r w:rsidRPr="00155065">
        <w:t>)</w:t>
      </w:r>
    </w:p>
    <w:p w:rsidR="00EA3856" w:rsidRPr="00CC58E7" w:rsidRDefault="00EA3856" w:rsidP="00EA3856">
      <w:pPr>
        <w:rPr>
          <w:i/>
        </w:rPr>
      </w:pPr>
      <w:r w:rsidRPr="00CC58E7">
        <w:rPr>
          <w:i/>
        </w:rPr>
        <w:t>Subject to:</w:t>
      </w:r>
    </w:p>
    <w:p w:rsidR="00EA3856" w:rsidRPr="00AA0EEC" w:rsidRDefault="00EA3856" w:rsidP="00EA3856">
      <w:pPr>
        <w:pStyle w:val="ListParagraph"/>
        <w:numPr>
          <w:ilvl w:val="0"/>
          <w:numId w:val="15"/>
        </w:numPr>
        <w:spacing w:before="0" w:line="360" w:lineRule="auto"/>
        <w:jc w:val="left"/>
        <w:rPr>
          <w:i/>
        </w:rPr>
      </w:pPr>
      <w:r w:rsidRPr="00AA0EEC">
        <w:rPr>
          <w:i/>
        </w:rPr>
        <w:t>v</w:t>
      </w:r>
      <w:r w:rsidRPr="00AA0EEC">
        <w:rPr>
          <w:i/>
          <w:vertAlign w:val="subscript"/>
        </w:rPr>
        <w:t>1</w:t>
      </w:r>
      <w:r w:rsidRPr="00AA0EEC">
        <w:rPr>
          <w:vertAlign w:val="subscript"/>
        </w:rPr>
        <w:t xml:space="preserve"> </w:t>
      </w:r>
      <w:r>
        <w:t xml:space="preserve">(Emp) + </w:t>
      </w:r>
      <w:r w:rsidRPr="00AA0EEC">
        <w:rPr>
          <w:i/>
        </w:rPr>
        <w:t>v</w:t>
      </w:r>
      <w:r w:rsidRPr="00AA0EEC">
        <w:rPr>
          <w:i/>
          <w:vertAlign w:val="subscript"/>
        </w:rPr>
        <w:t>2</w:t>
      </w:r>
      <w:r>
        <w:t xml:space="preserve"> (TA) + </w:t>
      </w:r>
      <w:r w:rsidRPr="00AA0EEC">
        <w:rPr>
          <w:i/>
        </w:rPr>
        <w:t>v</w:t>
      </w:r>
      <w:r w:rsidRPr="00AA0EEC">
        <w:rPr>
          <w:i/>
          <w:vertAlign w:val="subscript"/>
        </w:rPr>
        <w:t>3</w:t>
      </w:r>
      <w:r>
        <w:t xml:space="preserve"> (CAPEX) = 1 </w:t>
      </w:r>
      <w:r>
        <w:tab/>
      </w:r>
      <w:r>
        <w:tab/>
      </w:r>
      <w:r>
        <w:tab/>
      </w:r>
      <w:r w:rsidRPr="00AA0EEC">
        <w:rPr>
          <w:i/>
        </w:rPr>
        <w:t>for mobile operator 1</w:t>
      </w:r>
    </w:p>
    <w:p w:rsidR="00EA3856" w:rsidRPr="00AA0EEC" w:rsidRDefault="00EA3856" w:rsidP="00EA3856">
      <w:pPr>
        <w:pStyle w:val="ListParagraph"/>
        <w:numPr>
          <w:ilvl w:val="0"/>
          <w:numId w:val="15"/>
        </w:numPr>
        <w:spacing w:before="0" w:line="360" w:lineRule="auto"/>
        <w:jc w:val="left"/>
      </w:pPr>
      <w:r w:rsidRPr="00AA0EEC">
        <w:rPr>
          <w:rFonts w:cs="Times New Roman"/>
          <w:i/>
        </w:rPr>
        <w:t>∑</w:t>
      </w:r>
      <w:r w:rsidRPr="00AA0EEC">
        <w:rPr>
          <w:i/>
        </w:rPr>
        <w:t xml:space="preserve"> u</w:t>
      </w:r>
      <w:r w:rsidRPr="00AA0EEC">
        <w:rPr>
          <w:i/>
          <w:vertAlign w:val="subscript"/>
        </w:rPr>
        <w:t>1</w:t>
      </w:r>
      <w:r>
        <w:t xml:space="preserve"> (TR) + </w:t>
      </w:r>
      <w:r w:rsidRPr="00AA0EEC">
        <w:rPr>
          <w:i/>
        </w:rPr>
        <w:t>u</w:t>
      </w:r>
      <w:r w:rsidRPr="00AA0EEC">
        <w:rPr>
          <w:i/>
          <w:vertAlign w:val="subscript"/>
        </w:rPr>
        <w:t>2</w:t>
      </w:r>
      <w:r w:rsidRPr="00AA0EEC">
        <w:rPr>
          <w:vertAlign w:val="subscript"/>
        </w:rPr>
        <w:t xml:space="preserve"> </w:t>
      </w:r>
      <w:r>
        <w:t>(EBITDA) -</w:t>
      </w:r>
      <w:r w:rsidRPr="00AA0EEC">
        <w:rPr>
          <w:rFonts w:cs="Times New Roman"/>
        </w:rPr>
        <w:t xml:space="preserve">∑ </w:t>
      </w:r>
      <w:r w:rsidRPr="00AA0EEC">
        <w:rPr>
          <w:i/>
        </w:rPr>
        <w:t>v</w:t>
      </w:r>
      <w:r w:rsidRPr="00AA0EEC">
        <w:rPr>
          <w:i/>
          <w:vertAlign w:val="subscript"/>
        </w:rPr>
        <w:t>1</w:t>
      </w:r>
      <w:r w:rsidRPr="00AA0EEC">
        <w:rPr>
          <w:vertAlign w:val="subscript"/>
        </w:rPr>
        <w:t xml:space="preserve"> </w:t>
      </w:r>
      <w:r>
        <w:t xml:space="preserve">(Emp) + </w:t>
      </w:r>
      <w:r w:rsidRPr="00AA0EEC">
        <w:rPr>
          <w:i/>
        </w:rPr>
        <w:t>v</w:t>
      </w:r>
      <w:r w:rsidRPr="00AA0EEC">
        <w:rPr>
          <w:i/>
          <w:vertAlign w:val="subscript"/>
        </w:rPr>
        <w:t>2</w:t>
      </w:r>
      <w:r>
        <w:t xml:space="preserve"> (TA) + </w:t>
      </w:r>
      <w:r w:rsidRPr="00AA0EEC">
        <w:rPr>
          <w:i/>
        </w:rPr>
        <w:t>v</w:t>
      </w:r>
      <w:r w:rsidRPr="00AA0EEC">
        <w:rPr>
          <w:i/>
          <w:vertAlign w:val="subscript"/>
        </w:rPr>
        <w:t>3</w:t>
      </w:r>
      <w:r>
        <w:t xml:space="preserve"> (CAPEX) - </w:t>
      </w:r>
      <w:r w:rsidRPr="007E63B2">
        <w:rPr>
          <w:i/>
        </w:rPr>
        <w:t>u</w:t>
      </w:r>
      <w:r w:rsidRPr="007E63B2">
        <w:rPr>
          <w:i/>
          <w:vertAlign w:val="subscript"/>
        </w:rPr>
        <w:t>o</w:t>
      </w:r>
      <w:r>
        <w:rPr>
          <w:i/>
          <w:vertAlign w:val="subscript"/>
        </w:rPr>
        <w:t xml:space="preserve"> </w:t>
      </w:r>
      <w:r>
        <w:t xml:space="preserve"> </w:t>
      </w:r>
      <w:r w:rsidRPr="00AA0EEC">
        <w:rPr>
          <w:rFonts w:cs="Times New Roman"/>
        </w:rPr>
        <w:t>≤ 0</w:t>
      </w:r>
      <w:r>
        <w:rPr>
          <w:rFonts w:cs="Times New Roman"/>
        </w:rPr>
        <w:t xml:space="preserve"> </w:t>
      </w:r>
      <w:r w:rsidRPr="00D840E9">
        <w:rPr>
          <w:i/>
        </w:rPr>
        <w:t>for all mobile operators</w:t>
      </w:r>
    </w:p>
    <w:p w:rsidR="00EA3856" w:rsidRPr="007E63B2" w:rsidRDefault="00EA3856" w:rsidP="00EA3856">
      <w:pPr>
        <w:pStyle w:val="ListParagraph"/>
        <w:numPr>
          <w:ilvl w:val="0"/>
          <w:numId w:val="15"/>
        </w:numPr>
        <w:spacing w:before="0" w:line="360" w:lineRule="auto"/>
        <w:jc w:val="left"/>
      </w:pPr>
      <w:r w:rsidRPr="00CC58E7">
        <w:rPr>
          <w:i/>
        </w:rPr>
        <w:t>u</w:t>
      </w:r>
      <w:r w:rsidRPr="00CC58E7">
        <w:rPr>
          <w:i/>
          <w:vertAlign w:val="subscript"/>
        </w:rPr>
        <w:t>1</w:t>
      </w:r>
      <w:r>
        <w:rPr>
          <w:i/>
        </w:rPr>
        <w:t xml:space="preserve">, </w:t>
      </w:r>
      <w:r w:rsidRPr="00CC58E7">
        <w:rPr>
          <w:i/>
        </w:rPr>
        <w:t>u</w:t>
      </w:r>
      <w:r w:rsidRPr="00CC58E7">
        <w:rPr>
          <w:i/>
          <w:vertAlign w:val="subscript"/>
        </w:rPr>
        <w:t>2</w:t>
      </w:r>
      <w:r>
        <w:rPr>
          <w:i/>
        </w:rPr>
        <w:t xml:space="preserve">, </w:t>
      </w:r>
      <w:r w:rsidRPr="00AA0EEC">
        <w:rPr>
          <w:i/>
        </w:rPr>
        <w:t>v</w:t>
      </w:r>
      <w:r w:rsidRPr="00AA0EEC">
        <w:rPr>
          <w:i/>
          <w:vertAlign w:val="subscript"/>
        </w:rPr>
        <w:t>1</w:t>
      </w:r>
      <w:r>
        <w:rPr>
          <w:i/>
        </w:rPr>
        <w:t xml:space="preserve">, </w:t>
      </w:r>
      <w:r w:rsidRPr="00AA0EEC">
        <w:rPr>
          <w:i/>
        </w:rPr>
        <w:t>v</w:t>
      </w:r>
      <w:r w:rsidRPr="00AA0EEC">
        <w:rPr>
          <w:i/>
          <w:vertAlign w:val="subscript"/>
        </w:rPr>
        <w:t>2</w:t>
      </w:r>
      <w:r>
        <w:rPr>
          <w:i/>
        </w:rPr>
        <w:t xml:space="preserve">, </w:t>
      </w:r>
      <w:r w:rsidRPr="00AA0EEC">
        <w:rPr>
          <w:i/>
        </w:rPr>
        <w:t>v</w:t>
      </w:r>
      <w:r w:rsidRPr="00AA0EEC">
        <w:rPr>
          <w:i/>
          <w:vertAlign w:val="subscript"/>
        </w:rPr>
        <w:t>3</w:t>
      </w:r>
      <w:r>
        <w:rPr>
          <w:i/>
        </w:rPr>
        <w:t xml:space="preserve"> </w:t>
      </w:r>
      <w:r>
        <w:rPr>
          <w:rFonts w:cs="Times New Roman"/>
          <w:i/>
        </w:rPr>
        <w:t xml:space="preserve">≥ </w:t>
      </w:r>
      <w:r w:rsidRPr="00826EE8">
        <w:rPr>
          <w:rFonts w:cs="Times New Roman"/>
          <w:szCs w:val="24"/>
        </w:rPr>
        <w:t xml:space="preserve">ɛ </w:t>
      </w:r>
      <w:r>
        <w:rPr>
          <w:rFonts w:cs="Times New Roman"/>
          <w:szCs w:val="24"/>
        </w:rPr>
        <w:t xml:space="preserve">≥ </w:t>
      </w:r>
      <w:r>
        <w:rPr>
          <w:rFonts w:cs="Times New Roman"/>
          <w:i/>
        </w:rPr>
        <w:t>0</w:t>
      </w:r>
    </w:p>
    <w:p w:rsidR="00EA3856" w:rsidRDefault="00EA3856" w:rsidP="00EA3856">
      <w:pPr>
        <w:pStyle w:val="ListParagraph"/>
        <w:numPr>
          <w:ilvl w:val="0"/>
          <w:numId w:val="15"/>
        </w:numPr>
        <w:spacing w:before="0" w:line="360" w:lineRule="auto"/>
        <w:jc w:val="left"/>
        <w:rPr>
          <w:rFonts w:cs="Times New Roman"/>
          <w:szCs w:val="24"/>
        </w:rPr>
      </w:pPr>
      <w:r w:rsidRPr="00CB0D9D">
        <w:rPr>
          <w:rFonts w:cs="Times New Roman"/>
          <w:i/>
          <w:szCs w:val="24"/>
        </w:rPr>
        <w:t>u</w:t>
      </w:r>
      <w:r w:rsidRPr="00CB0D9D">
        <w:rPr>
          <w:rFonts w:cs="Times New Roman"/>
          <w:i/>
          <w:szCs w:val="24"/>
          <w:vertAlign w:val="subscript"/>
        </w:rPr>
        <w:t>o</w:t>
      </w:r>
      <w:r>
        <w:rPr>
          <w:rFonts w:cs="Times New Roman"/>
          <w:szCs w:val="24"/>
        </w:rPr>
        <w:t xml:space="preserve"> free in sign (its sign will indicate how the returns to scale are varying)</w:t>
      </w:r>
    </w:p>
    <w:p w:rsidR="00EA3856" w:rsidRDefault="00EA3856" w:rsidP="00EA3856">
      <w:pPr>
        <w:rPr>
          <w:rFonts w:cs="Times New Roman"/>
          <w:szCs w:val="24"/>
        </w:rPr>
      </w:pPr>
      <w:r>
        <w:rPr>
          <w:rFonts w:cs="Times New Roman"/>
          <w:szCs w:val="24"/>
        </w:rPr>
        <w:t>The results of both the CCR and the BCC models will be compared. If th</w:t>
      </w:r>
      <w:r w:rsidR="00806977">
        <w:rPr>
          <w:rFonts w:cs="Times New Roman"/>
          <w:szCs w:val="24"/>
        </w:rPr>
        <w:t>ey</w:t>
      </w:r>
      <w:r>
        <w:rPr>
          <w:rFonts w:cs="Times New Roman"/>
          <w:szCs w:val="24"/>
        </w:rPr>
        <w:t xml:space="preserve"> are similar, this means there is no scale </w:t>
      </w:r>
      <w:r w:rsidR="00CA74E2">
        <w:rPr>
          <w:rFonts w:cs="Times New Roman"/>
          <w:szCs w:val="24"/>
        </w:rPr>
        <w:t xml:space="preserve">efficiency. </w:t>
      </w:r>
    </w:p>
    <w:p w:rsidR="00EA3856" w:rsidRPr="00EA3856" w:rsidRDefault="00EA3856" w:rsidP="00EA3856">
      <w:pPr>
        <w:pStyle w:val="Heading3"/>
        <w:rPr>
          <w:b w:val="0"/>
          <w:color w:val="000000" w:themeColor="text1"/>
          <w:u w:val="single"/>
        </w:rPr>
      </w:pPr>
      <w:bookmarkStart w:id="10" w:name="_Toc354315310"/>
      <w:r w:rsidRPr="00EA3856">
        <w:rPr>
          <w:b w:val="0"/>
          <w:color w:val="000000" w:themeColor="text1"/>
          <w:u w:val="single"/>
        </w:rPr>
        <w:t>Scale Efficiency</w:t>
      </w:r>
      <w:bookmarkEnd w:id="10"/>
    </w:p>
    <w:p w:rsidR="00EA3856" w:rsidRDefault="00EA3856" w:rsidP="00EA3856">
      <w:pPr>
        <w:rPr>
          <w:rFonts w:cs="Times New Roman"/>
          <w:szCs w:val="24"/>
        </w:rPr>
      </w:pPr>
      <w:r>
        <w:rPr>
          <w:rFonts w:cs="Times New Roman"/>
          <w:szCs w:val="24"/>
        </w:rPr>
        <w:t xml:space="preserve">Scale Efficiency is expressed as the ratio of Overall Technical Efficiency divided by Pure Technical Efficiency. </w:t>
      </w:r>
    </w:p>
    <w:p w:rsidR="00EA3856" w:rsidRDefault="00EA3856" w:rsidP="00EA3856">
      <w:pPr>
        <w:ind w:firstLine="720"/>
        <w:rPr>
          <w:rFonts w:cs="Times New Roman"/>
          <w:szCs w:val="24"/>
        </w:rPr>
      </w:pPr>
      <w:r w:rsidRPr="00D5301C">
        <w:rPr>
          <w:rFonts w:cs="Times New Roman"/>
          <w:i/>
          <w:szCs w:val="24"/>
        </w:rPr>
        <w:t>SE=</w:t>
      </w:r>
      <w:r>
        <w:rPr>
          <w:rFonts w:cs="Times New Roman"/>
          <w:i/>
          <w:szCs w:val="24"/>
        </w:rPr>
        <w:t xml:space="preserve"> </w:t>
      </w:r>
      <m:oMath>
        <m:f>
          <m:fPr>
            <m:ctrlPr>
              <w:rPr>
                <w:rFonts w:ascii="Cambria Math" w:hAnsi="Cambria Math" w:cs="Times New Roman"/>
                <w:i/>
                <w:sz w:val="36"/>
                <w:szCs w:val="24"/>
              </w:rPr>
            </m:ctrlPr>
          </m:fPr>
          <m:num>
            <m:r>
              <w:rPr>
                <w:rFonts w:ascii="Cambria Math" w:hAnsi="Cambria Math" w:cs="Times New Roman"/>
                <w:sz w:val="36"/>
                <w:szCs w:val="24"/>
              </w:rPr>
              <m:t>OTE</m:t>
            </m:r>
          </m:num>
          <m:den>
            <m:r>
              <w:rPr>
                <w:rFonts w:ascii="Cambria Math" w:hAnsi="Cambria Math" w:cs="Times New Roman"/>
                <w:sz w:val="36"/>
                <w:szCs w:val="24"/>
              </w:rPr>
              <m:t>PTE</m:t>
            </m:r>
          </m:den>
        </m:f>
      </m:oMath>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0E17F4">
        <w:rPr>
          <w:rFonts w:cs="Times New Roman"/>
          <w:szCs w:val="24"/>
        </w:rPr>
        <w:t>(5</w:t>
      </w:r>
      <w:r>
        <w:rPr>
          <w:rFonts w:cs="Times New Roman"/>
          <w:szCs w:val="24"/>
        </w:rPr>
        <w:t>)</w:t>
      </w:r>
    </w:p>
    <w:p w:rsidR="00EA3856" w:rsidRDefault="00EA3856" w:rsidP="00EA3856">
      <w:pPr>
        <w:rPr>
          <w:rFonts w:cs="Times New Roman"/>
          <w:szCs w:val="24"/>
        </w:rPr>
      </w:pPr>
      <w:r>
        <w:rPr>
          <w:rFonts w:cs="Times New Roman"/>
          <w:szCs w:val="24"/>
        </w:rPr>
        <w:t xml:space="preserve">Once the CCR and the BCC </w:t>
      </w:r>
      <w:r w:rsidRPr="004C1B1D">
        <w:rPr>
          <w:rFonts w:cs="Times New Roman"/>
          <w:szCs w:val="24"/>
        </w:rPr>
        <w:t>results are obtained</w:t>
      </w:r>
      <w:r>
        <w:rPr>
          <w:rFonts w:cs="Times New Roman"/>
          <w:szCs w:val="24"/>
        </w:rPr>
        <w:t xml:space="preserve">, the Scale Efficiency of the 16 mobile operators </w:t>
      </w:r>
      <w:r w:rsidRPr="004C1B1D">
        <w:rPr>
          <w:rFonts w:cs="Times New Roman"/>
          <w:szCs w:val="24"/>
        </w:rPr>
        <w:t>will be calculated.</w:t>
      </w:r>
      <w:r w:rsidR="00374C14">
        <w:rPr>
          <w:rFonts w:cs="Times New Roman"/>
          <w:szCs w:val="24"/>
        </w:rPr>
        <w:t xml:space="preserve"> </w:t>
      </w:r>
      <w:r>
        <w:rPr>
          <w:rFonts w:cs="Times New Roman"/>
          <w:szCs w:val="24"/>
        </w:rPr>
        <w:t>Knowing that the CCR model provides the OTE value and the BCC model provides the PTE value, the Scale Efficiency of each mobile operator is obtained from the following formula:</w:t>
      </w:r>
    </w:p>
    <w:p w:rsidR="00EA3856" w:rsidRDefault="00EA3856" w:rsidP="00EA3856">
      <w:pPr>
        <w:ind w:firstLine="720"/>
        <w:rPr>
          <w:rFonts w:cs="Times New Roman"/>
          <w:szCs w:val="24"/>
        </w:rPr>
      </w:pPr>
      <w:r>
        <w:rPr>
          <w:rFonts w:cs="Times New Roman"/>
          <w:i/>
          <w:szCs w:val="24"/>
        </w:rPr>
        <w:t xml:space="preserve">SE= </w:t>
      </w:r>
      <w:r w:rsidRPr="00D5301C">
        <w:rPr>
          <w:rFonts w:cs="Times New Roman"/>
          <w:i/>
          <w:szCs w:val="24"/>
        </w:rPr>
        <w:t xml:space="preserve"> </w:t>
      </w:r>
      <m:oMath>
        <m:f>
          <m:fPr>
            <m:ctrlPr>
              <w:rPr>
                <w:rFonts w:ascii="Cambria Math" w:hAnsi="Cambria Math" w:cs="Times New Roman"/>
                <w:i/>
                <w:sz w:val="36"/>
                <w:szCs w:val="24"/>
              </w:rPr>
            </m:ctrlPr>
          </m:fPr>
          <m:num>
            <m:r>
              <w:rPr>
                <w:rFonts w:ascii="Cambria Math" w:hAnsi="Cambria Math" w:cs="Times New Roman"/>
                <w:sz w:val="36"/>
                <w:szCs w:val="24"/>
              </w:rPr>
              <m:t>CCR</m:t>
            </m:r>
          </m:num>
          <m:den>
            <m:r>
              <w:rPr>
                <w:rFonts w:ascii="Cambria Math" w:hAnsi="Cambria Math" w:cs="Times New Roman"/>
                <w:sz w:val="36"/>
                <w:szCs w:val="24"/>
              </w:rPr>
              <m:t>BCC</m:t>
            </m:r>
          </m:den>
        </m:f>
      </m:oMath>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374C14">
        <w:rPr>
          <w:rFonts w:cs="Times New Roman"/>
          <w:szCs w:val="24"/>
        </w:rPr>
        <w:t xml:space="preserve"> (6</w:t>
      </w:r>
      <w:r>
        <w:rPr>
          <w:rFonts w:cs="Times New Roman"/>
          <w:szCs w:val="24"/>
        </w:rPr>
        <w:t>)</w:t>
      </w:r>
    </w:p>
    <w:p w:rsidR="00EA3856" w:rsidRPr="00FE0EB5" w:rsidRDefault="00EA3856" w:rsidP="00FE0EB5">
      <w:pPr>
        <w:pStyle w:val="Heading3"/>
        <w:numPr>
          <w:ilvl w:val="0"/>
          <w:numId w:val="11"/>
        </w:numPr>
        <w:rPr>
          <w:b w:val="0"/>
          <w:color w:val="000000" w:themeColor="text1"/>
        </w:rPr>
      </w:pPr>
      <w:bookmarkStart w:id="11" w:name="_Toc354315311"/>
      <w:r w:rsidRPr="00FE0EB5">
        <w:rPr>
          <w:b w:val="0"/>
          <w:color w:val="000000" w:themeColor="text1"/>
        </w:rPr>
        <w:lastRenderedPageBreak/>
        <w:t>The Modified DEA Model</w:t>
      </w:r>
      <w:bookmarkEnd w:id="11"/>
    </w:p>
    <w:p w:rsidR="00D679E5" w:rsidRPr="009A224B" w:rsidRDefault="00EA3856" w:rsidP="00D679E5">
      <w:pPr>
        <w:rPr>
          <w:rFonts w:cs="Times New Roman"/>
          <w:szCs w:val="24"/>
        </w:rPr>
      </w:pPr>
      <w:r>
        <w:rPr>
          <w:rFonts w:cs="Times New Roman"/>
          <w:szCs w:val="24"/>
        </w:rPr>
        <w:t>The CCR and BCC models evaluate the relative efficiencies of the mobile operators and allow for the calculation of the scale efficiency, but do not rank the efficient DMUs. To overcome this weakness in the CCR and BCC models, the study will then apply the A&amp;P</w:t>
      </w:r>
      <w:r w:rsidR="003A1F04">
        <w:rPr>
          <w:rFonts w:cs="Times New Roman"/>
          <w:szCs w:val="24"/>
        </w:rPr>
        <w:t xml:space="preserve"> model </w:t>
      </w:r>
      <w:r w:rsidR="00246900">
        <w:rPr>
          <w:rFonts w:cs="Times New Roman"/>
          <w:szCs w:val="24"/>
        </w:rPr>
        <w:t xml:space="preserve">[15] </w:t>
      </w:r>
      <w:r>
        <w:rPr>
          <w:rFonts w:cs="Times New Roman"/>
          <w:szCs w:val="24"/>
        </w:rPr>
        <w:t>to be able to differentiate between the efficient DMUs.</w:t>
      </w:r>
      <w:r w:rsidR="00B335A5">
        <w:rPr>
          <w:rFonts w:cs="Times New Roman"/>
          <w:szCs w:val="24"/>
        </w:rPr>
        <w:t xml:space="preserve"> The purpose of implementing</w:t>
      </w:r>
      <w:r w:rsidR="00D679E5">
        <w:rPr>
          <w:rFonts w:cs="Times New Roman"/>
          <w:szCs w:val="24"/>
        </w:rPr>
        <w:t xml:space="preserve"> the three different DEA models is to capture the entirety of the </w:t>
      </w:r>
      <w:r w:rsidR="00CA74E2">
        <w:rPr>
          <w:rFonts w:cs="Times New Roman"/>
          <w:szCs w:val="24"/>
        </w:rPr>
        <w:t>mobile operators’ performance</w:t>
      </w:r>
      <w:r w:rsidR="00D679E5" w:rsidRPr="009A224B">
        <w:rPr>
          <w:rFonts w:cs="Times New Roman"/>
          <w:szCs w:val="24"/>
        </w:rPr>
        <w:t>.</w:t>
      </w:r>
    </w:p>
    <w:p w:rsidR="00396B6B" w:rsidRDefault="00D679E5" w:rsidP="00396B6B">
      <w:pPr>
        <w:pStyle w:val="ListParagraph"/>
        <w:numPr>
          <w:ilvl w:val="0"/>
          <w:numId w:val="1"/>
        </w:numPr>
        <w:rPr>
          <w:rFonts w:cs="Times New Roman"/>
          <w:b/>
          <w:szCs w:val="24"/>
        </w:rPr>
      </w:pPr>
      <w:r w:rsidRPr="00D679E5">
        <w:rPr>
          <w:rFonts w:cs="Times New Roman"/>
          <w:b/>
          <w:szCs w:val="24"/>
        </w:rPr>
        <w:t>Findings</w:t>
      </w:r>
    </w:p>
    <w:p w:rsidR="00396B6B" w:rsidRPr="00396B6B" w:rsidRDefault="00396B6B" w:rsidP="00396B6B">
      <w:pPr>
        <w:pStyle w:val="ListParagraph"/>
        <w:rPr>
          <w:rFonts w:cs="Times New Roman"/>
          <w:b/>
          <w:szCs w:val="24"/>
        </w:rPr>
      </w:pPr>
    </w:p>
    <w:p w:rsidR="00F82F9B" w:rsidRPr="006227B8" w:rsidRDefault="00396B6B" w:rsidP="00396B6B">
      <w:pPr>
        <w:pStyle w:val="ListParagraph"/>
        <w:numPr>
          <w:ilvl w:val="1"/>
          <w:numId w:val="1"/>
        </w:numPr>
        <w:rPr>
          <w:b/>
        </w:rPr>
      </w:pPr>
      <w:r w:rsidRPr="006227B8">
        <w:rPr>
          <w:b/>
        </w:rPr>
        <w:t>PFP Results</w:t>
      </w:r>
    </w:p>
    <w:p w:rsidR="00F604B4" w:rsidRDefault="00F604B4" w:rsidP="00F604B4">
      <w:r>
        <w:t>The results of the six indicators adopted in this study are illustrated in T</w:t>
      </w:r>
      <w:r w:rsidRPr="008C1273">
        <w:t xml:space="preserve">able </w:t>
      </w:r>
      <w:r>
        <w:t>6</w:t>
      </w:r>
      <w:r w:rsidRPr="008C1273">
        <w:t>.</w:t>
      </w:r>
      <w:r>
        <w:t xml:space="preserve"> </w:t>
      </w:r>
      <w:r w:rsidR="00C706AE">
        <w:t xml:space="preserve">It can be anticipated that Turkcell Turkey, Etisalat UAE, Avea Turkey and Wataniya Kuwait will be evaluated as fully efficient in the DEA analysis since they achieved at least one highest single-output-single-input ratio score. Nevertheless, there is a high probability that other mobile operators will be fully efficient as well when evaluating the efficiency using a multiple input and multiple output ratios. </w:t>
      </w:r>
      <w:r>
        <w:t xml:space="preserve">The PFP failed to provide a single numeric judgment for the productivity of the 16 mobile operators under study. The results did not show that one single operator has the highest ratios and thus is the most productive. On the contrary, each operator shows a different level of productivity depending on the </w:t>
      </w:r>
      <w:r w:rsidR="00C706AE">
        <w:t xml:space="preserve">measured </w:t>
      </w:r>
      <w:r>
        <w:t>indicator.</w:t>
      </w:r>
    </w:p>
    <w:p w:rsidR="00F604B4" w:rsidRPr="00F604B4" w:rsidRDefault="00F604B4" w:rsidP="00F604B4">
      <w:pPr>
        <w:pStyle w:val="Caption"/>
        <w:rPr>
          <w:b w:val="0"/>
          <w:bCs w:val="0"/>
          <w:color w:val="auto"/>
          <w:sz w:val="24"/>
          <w:szCs w:val="22"/>
          <w:u w:val="single"/>
        </w:rPr>
      </w:pPr>
      <w:bookmarkStart w:id="12" w:name="_Toc354314448"/>
      <w:r w:rsidRPr="00F604B4">
        <w:rPr>
          <w:b w:val="0"/>
          <w:bCs w:val="0"/>
          <w:color w:val="auto"/>
          <w:sz w:val="24"/>
          <w:szCs w:val="22"/>
          <w:u w:val="single"/>
        </w:rPr>
        <w:t>Table 6</w:t>
      </w:r>
      <w:r>
        <w:rPr>
          <w:b w:val="0"/>
          <w:bCs w:val="0"/>
          <w:color w:val="auto"/>
          <w:sz w:val="24"/>
          <w:szCs w:val="22"/>
          <w:u w:val="single"/>
        </w:rPr>
        <w:t>: Partial Factor Productivity R</w:t>
      </w:r>
      <w:r w:rsidRPr="00F604B4">
        <w:rPr>
          <w:b w:val="0"/>
          <w:bCs w:val="0"/>
          <w:color w:val="auto"/>
          <w:sz w:val="24"/>
          <w:szCs w:val="22"/>
          <w:u w:val="single"/>
        </w:rPr>
        <w:t>esults</w:t>
      </w:r>
      <w:bookmarkEnd w:id="12"/>
    </w:p>
    <w:tbl>
      <w:tblPr>
        <w:tblW w:w="8950" w:type="dxa"/>
        <w:tblInd w:w="93" w:type="dxa"/>
        <w:tblLook w:val="04A0"/>
      </w:tblPr>
      <w:tblGrid>
        <w:gridCol w:w="1998"/>
        <w:gridCol w:w="1878"/>
        <w:gridCol w:w="817"/>
        <w:gridCol w:w="878"/>
        <w:gridCol w:w="1880"/>
        <w:gridCol w:w="833"/>
        <w:gridCol w:w="666"/>
      </w:tblGrid>
      <w:tr w:rsidR="00F604B4" w:rsidRPr="004F0ACC" w:rsidTr="006227B8">
        <w:trPr>
          <w:trHeight w:val="795"/>
        </w:trPr>
        <w:tc>
          <w:tcPr>
            <w:tcW w:w="1998"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Operators</w:t>
            </w:r>
          </w:p>
        </w:tc>
        <w:tc>
          <w:tcPr>
            <w:tcW w:w="1878"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 xml:space="preserve">RPE </w:t>
            </w:r>
            <w:r w:rsidRPr="004F0ACC">
              <w:rPr>
                <w:rFonts w:eastAsia="Times New Roman" w:cs="Times New Roman"/>
                <w:b/>
                <w:bCs/>
                <w:color w:val="000000"/>
                <w:sz w:val="20"/>
                <w:szCs w:val="20"/>
              </w:rPr>
              <w:br/>
            </w:r>
            <w:r w:rsidRPr="004F0ACC">
              <w:rPr>
                <w:rFonts w:eastAsia="Times New Roman" w:cs="Times New Roman"/>
                <w:b/>
                <w:bCs/>
                <w:i/>
                <w:iCs/>
                <w:color w:val="000000"/>
                <w:sz w:val="20"/>
                <w:szCs w:val="20"/>
              </w:rPr>
              <w:t>($,thousand/person)</w:t>
            </w:r>
          </w:p>
        </w:tc>
        <w:tc>
          <w:tcPr>
            <w:tcW w:w="817"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RPA</w:t>
            </w:r>
          </w:p>
        </w:tc>
        <w:tc>
          <w:tcPr>
            <w:tcW w:w="878"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RPC</w:t>
            </w:r>
          </w:p>
        </w:tc>
        <w:tc>
          <w:tcPr>
            <w:tcW w:w="1880"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 xml:space="preserve">EPE </w:t>
            </w:r>
            <w:r w:rsidRPr="004F0ACC">
              <w:rPr>
                <w:rFonts w:eastAsia="Times New Roman" w:cs="Times New Roman"/>
                <w:b/>
                <w:bCs/>
                <w:color w:val="000000"/>
                <w:sz w:val="20"/>
                <w:szCs w:val="20"/>
              </w:rPr>
              <w:br/>
            </w:r>
            <w:r w:rsidRPr="004F0ACC">
              <w:rPr>
                <w:rFonts w:eastAsia="Times New Roman" w:cs="Times New Roman"/>
                <w:b/>
                <w:bCs/>
                <w:i/>
                <w:iCs/>
                <w:color w:val="000000"/>
                <w:sz w:val="20"/>
                <w:szCs w:val="20"/>
              </w:rPr>
              <w:t>($,thousand/person)</w:t>
            </w:r>
          </w:p>
        </w:tc>
        <w:tc>
          <w:tcPr>
            <w:tcW w:w="833"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EPA</w:t>
            </w:r>
          </w:p>
        </w:tc>
        <w:tc>
          <w:tcPr>
            <w:tcW w:w="666" w:type="dxa"/>
            <w:tcBorders>
              <w:top w:val="single" w:sz="4" w:space="0" w:color="auto"/>
              <w:left w:val="nil"/>
              <w:bottom w:val="nil"/>
              <w:right w:val="nil"/>
            </w:tcBorders>
            <w:shd w:val="clear" w:color="auto" w:fill="auto"/>
            <w:vAlign w:val="bottom"/>
            <w:hideMark/>
          </w:tcPr>
          <w:p w:rsidR="00F604B4" w:rsidRPr="004F0ACC" w:rsidRDefault="00F604B4" w:rsidP="006227B8">
            <w:pPr>
              <w:spacing w:after="0" w:line="240" w:lineRule="auto"/>
              <w:rPr>
                <w:rFonts w:eastAsia="Times New Roman" w:cs="Times New Roman"/>
                <w:b/>
                <w:bCs/>
                <w:color w:val="000000"/>
                <w:sz w:val="20"/>
                <w:szCs w:val="20"/>
              </w:rPr>
            </w:pPr>
            <w:r w:rsidRPr="004F0ACC">
              <w:rPr>
                <w:rFonts w:eastAsia="Times New Roman" w:cs="Times New Roman"/>
                <w:b/>
                <w:bCs/>
                <w:color w:val="000000"/>
                <w:sz w:val="20"/>
                <w:szCs w:val="20"/>
              </w:rPr>
              <w:t>EPC</w:t>
            </w:r>
          </w:p>
        </w:tc>
      </w:tr>
      <w:tr w:rsidR="00F604B4" w:rsidRPr="004F0ACC" w:rsidTr="006227B8">
        <w:trPr>
          <w:trHeight w:val="300"/>
        </w:trPr>
        <w:tc>
          <w:tcPr>
            <w:tcW w:w="1998"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Orange Jordan</w:t>
            </w:r>
          </w:p>
        </w:tc>
        <w:tc>
          <w:tcPr>
            <w:tcW w:w="1878"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263.68 </w:t>
            </w:r>
          </w:p>
        </w:tc>
        <w:tc>
          <w:tcPr>
            <w:tcW w:w="817"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0.622</w:t>
            </w:r>
          </w:p>
        </w:tc>
        <w:tc>
          <w:tcPr>
            <w:tcW w:w="878"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11.282</w:t>
            </w:r>
          </w:p>
        </w:tc>
        <w:tc>
          <w:tcPr>
            <w:tcW w:w="1880"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104.43 </w:t>
            </w:r>
          </w:p>
        </w:tc>
        <w:tc>
          <w:tcPr>
            <w:tcW w:w="833"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0.247</w:t>
            </w:r>
          </w:p>
        </w:tc>
        <w:tc>
          <w:tcPr>
            <w:tcW w:w="666" w:type="dxa"/>
            <w:tcBorders>
              <w:top w:val="single" w:sz="4" w:space="0" w:color="auto"/>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4.468</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Mobily Saudi Arabia</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1,297.24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0.535</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5.183</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482.24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0.199</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1.927</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STC Saudi Arabia</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475.81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0.336</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4.842</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107.76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0.076</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1.097</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Viva Kuwait</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702.42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0.742</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3.250</w:t>
            </w:r>
          </w:p>
        </w:tc>
        <w:tc>
          <w:tcPr>
            <w:tcW w:w="1880" w:type="dxa"/>
            <w:tcBorders>
              <w:top w:val="nil"/>
              <w:left w:val="nil"/>
              <w:bottom w:val="nil"/>
              <w:right w:val="nil"/>
            </w:tcBorders>
            <w:shd w:val="clear" w:color="000000" w:fill="A5A5A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3.75 </w:t>
            </w:r>
          </w:p>
        </w:tc>
        <w:tc>
          <w:tcPr>
            <w:tcW w:w="833" w:type="dxa"/>
            <w:tcBorders>
              <w:top w:val="nil"/>
              <w:left w:val="nil"/>
              <w:bottom w:val="nil"/>
              <w:right w:val="nil"/>
            </w:tcBorders>
            <w:shd w:val="clear" w:color="000000" w:fill="A5A5A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0.004</w:t>
            </w:r>
          </w:p>
        </w:tc>
        <w:tc>
          <w:tcPr>
            <w:tcW w:w="666" w:type="dxa"/>
            <w:tcBorders>
              <w:top w:val="nil"/>
              <w:left w:val="nil"/>
              <w:bottom w:val="nil"/>
              <w:right w:val="nil"/>
            </w:tcBorders>
            <w:shd w:val="clear" w:color="000000" w:fill="A5A5A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0.017</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Wataniya Kuwait</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865.58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1.179</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0.547</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394.73 </w:t>
            </w:r>
          </w:p>
        </w:tc>
        <w:tc>
          <w:tcPr>
            <w:tcW w:w="833" w:type="dxa"/>
            <w:tcBorders>
              <w:top w:val="nil"/>
              <w:left w:val="nil"/>
              <w:bottom w:val="nil"/>
              <w:right w:val="nil"/>
            </w:tcBorders>
            <w:shd w:val="clear" w:color="000000" w:fill="538ED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0.538</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0.250</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Nawras Oman</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502.19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0.658</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0.724</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263.77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0.345</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0.380</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Omantel Oman</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259.57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0.421</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12.544</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113.43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0.184</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5.482</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Jawwal Palestine</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425.00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0.477</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8.718</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191.52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0.215</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3.929</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Wataniya Palestine</w:t>
            </w:r>
          </w:p>
        </w:tc>
        <w:tc>
          <w:tcPr>
            <w:tcW w:w="1878" w:type="dxa"/>
            <w:tcBorders>
              <w:top w:val="nil"/>
              <w:left w:val="nil"/>
              <w:bottom w:val="nil"/>
              <w:right w:val="nil"/>
            </w:tcBorders>
            <w:shd w:val="clear" w:color="000000" w:fill="A5A5A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178.25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0.258</w:t>
            </w:r>
          </w:p>
        </w:tc>
        <w:tc>
          <w:tcPr>
            <w:tcW w:w="878" w:type="dxa"/>
            <w:tcBorders>
              <w:top w:val="nil"/>
              <w:left w:val="nil"/>
              <w:bottom w:val="nil"/>
              <w:right w:val="nil"/>
            </w:tcBorders>
            <w:shd w:val="clear" w:color="000000" w:fill="A5A5A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0.464</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8.64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0.013</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0.022</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lastRenderedPageBreak/>
              <w:t>Vodafone Qatar</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806.46 </w:t>
            </w:r>
          </w:p>
        </w:tc>
        <w:tc>
          <w:tcPr>
            <w:tcW w:w="817" w:type="dxa"/>
            <w:tcBorders>
              <w:top w:val="nil"/>
              <w:left w:val="nil"/>
              <w:bottom w:val="nil"/>
              <w:right w:val="nil"/>
            </w:tcBorders>
            <w:shd w:val="clear" w:color="000000" w:fill="A5A5A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0.141</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3.667</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71.84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0.013</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0.327</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Avea Turkey</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645.65 </w:t>
            </w:r>
          </w:p>
        </w:tc>
        <w:tc>
          <w:tcPr>
            <w:tcW w:w="817" w:type="dxa"/>
            <w:tcBorders>
              <w:top w:val="nil"/>
              <w:left w:val="nil"/>
              <w:bottom w:val="nil"/>
              <w:right w:val="nil"/>
            </w:tcBorders>
            <w:shd w:val="clear" w:color="000000" w:fill="538ED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1.840</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3.856</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79.61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0.227</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0.476</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Turkcell Turkey</w:t>
            </w:r>
          </w:p>
        </w:tc>
        <w:tc>
          <w:tcPr>
            <w:tcW w:w="1878" w:type="dxa"/>
            <w:tcBorders>
              <w:top w:val="nil"/>
              <w:left w:val="nil"/>
              <w:bottom w:val="nil"/>
              <w:right w:val="nil"/>
            </w:tcBorders>
            <w:shd w:val="clear" w:color="000000" w:fill="538ED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1,564.81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0.280</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9.587</w:t>
            </w:r>
          </w:p>
        </w:tc>
        <w:tc>
          <w:tcPr>
            <w:tcW w:w="1880" w:type="dxa"/>
            <w:tcBorders>
              <w:top w:val="nil"/>
              <w:left w:val="nil"/>
              <w:bottom w:val="nil"/>
              <w:right w:val="nil"/>
            </w:tcBorders>
            <w:shd w:val="clear" w:color="000000" w:fill="538ED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490.97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0.088</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3.008</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Etisalat UAE</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587.04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0.451</w:t>
            </w:r>
          </w:p>
        </w:tc>
        <w:tc>
          <w:tcPr>
            <w:tcW w:w="878" w:type="dxa"/>
            <w:tcBorders>
              <w:top w:val="nil"/>
              <w:left w:val="nil"/>
              <w:bottom w:val="nil"/>
              <w:right w:val="nil"/>
            </w:tcBorders>
            <w:shd w:val="clear" w:color="000000" w:fill="538ED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13.596</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324.95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0.250</w:t>
            </w:r>
          </w:p>
        </w:tc>
        <w:tc>
          <w:tcPr>
            <w:tcW w:w="666" w:type="dxa"/>
            <w:tcBorders>
              <w:top w:val="nil"/>
              <w:left w:val="nil"/>
              <w:bottom w:val="nil"/>
              <w:right w:val="nil"/>
            </w:tcBorders>
            <w:shd w:val="clear" w:color="000000" w:fill="538ED5"/>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7.526</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du UAE</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808.02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0.735</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6.859</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266.09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0.242</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2.259</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Cellcom Israel</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229.08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0.717</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11.770</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77.86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0.244</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4.000</w:t>
            </w:r>
          </w:p>
        </w:tc>
      </w:tr>
      <w:tr w:rsidR="00F604B4" w:rsidRPr="004F0ACC" w:rsidTr="006227B8">
        <w:trPr>
          <w:trHeight w:val="300"/>
        </w:trPr>
        <w:tc>
          <w:tcPr>
            <w:tcW w:w="199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rPr>
                <w:rFonts w:eastAsia="Times New Roman" w:cs="Times New Roman"/>
                <w:color w:val="000000"/>
                <w:sz w:val="20"/>
                <w:szCs w:val="20"/>
              </w:rPr>
            </w:pPr>
            <w:r w:rsidRPr="004F0ACC">
              <w:rPr>
                <w:rFonts w:eastAsia="Times New Roman" w:cs="Times New Roman"/>
                <w:color w:val="000000"/>
                <w:sz w:val="20"/>
                <w:szCs w:val="20"/>
              </w:rPr>
              <w:t>Orange Israel</w:t>
            </w:r>
          </w:p>
        </w:tc>
        <w:tc>
          <w:tcPr>
            <w:tcW w:w="1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204.92 </w:t>
            </w:r>
          </w:p>
        </w:tc>
        <w:tc>
          <w:tcPr>
            <w:tcW w:w="817"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0.842</w:t>
            </w:r>
          </w:p>
        </w:tc>
        <w:tc>
          <w:tcPr>
            <w:tcW w:w="878"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12.750</w:t>
            </w:r>
          </w:p>
        </w:tc>
        <w:tc>
          <w:tcPr>
            <w:tcW w:w="1880"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 xml:space="preserve">                            65.11 </w:t>
            </w:r>
          </w:p>
        </w:tc>
        <w:tc>
          <w:tcPr>
            <w:tcW w:w="833"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0.268</w:t>
            </w:r>
          </w:p>
        </w:tc>
        <w:tc>
          <w:tcPr>
            <w:tcW w:w="666" w:type="dxa"/>
            <w:tcBorders>
              <w:top w:val="nil"/>
              <w:left w:val="nil"/>
              <w:bottom w:val="nil"/>
              <w:right w:val="nil"/>
            </w:tcBorders>
            <w:shd w:val="clear" w:color="auto" w:fill="auto"/>
            <w:noWrap/>
            <w:vAlign w:val="bottom"/>
            <w:hideMark/>
          </w:tcPr>
          <w:p w:rsidR="00F604B4" w:rsidRPr="004F0ACC" w:rsidRDefault="00F604B4" w:rsidP="006227B8">
            <w:pPr>
              <w:spacing w:after="0" w:line="240" w:lineRule="auto"/>
              <w:jc w:val="center"/>
              <w:rPr>
                <w:rFonts w:eastAsia="Times New Roman" w:cs="Times New Roman"/>
                <w:color w:val="000000"/>
                <w:sz w:val="20"/>
                <w:szCs w:val="20"/>
              </w:rPr>
            </w:pPr>
            <w:r w:rsidRPr="004F0ACC">
              <w:rPr>
                <w:rFonts w:eastAsia="Times New Roman" w:cs="Times New Roman"/>
                <w:color w:val="000000"/>
                <w:sz w:val="20"/>
                <w:szCs w:val="20"/>
              </w:rPr>
              <w:t>4.051</w:t>
            </w:r>
          </w:p>
        </w:tc>
      </w:tr>
      <w:tr w:rsidR="00F604B4" w:rsidRPr="004F0ACC" w:rsidTr="006227B8">
        <w:trPr>
          <w:trHeight w:val="300"/>
        </w:trPr>
        <w:tc>
          <w:tcPr>
            <w:tcW w:w="8950" w:type="dxa"/>
            <w:gridSpan w:val="7"/>
            <w:tcBorders>
              <w:top w:val="nil"/>
              <w:left w:val="nil"/>
              <w:bottom w:val="nil"/>
              <w:right w:val="nil"/>
            </w:tcBorders>
            <w:shd w:val="clear" w:color="auto" w:fill="auto"/>
            <w:noWrap/>
            <w:vAlign w:val="bottom"/>
            <w:hideMark/>
          </w:tcPr>
          <w:p w:rsidR="00F604B4" w:rsidRPr="00CF089B" w:rsidRDefault="00F604B4" w:rsidP="006227B8">
            <w:pPr>
              <w:spacing w:after="0" w:line="240" w:lineRule="auto"/>
              <w:rPr>
                <w:rFonts w:eastAsia="Times New Roman" w:cs="Times New Roman"/>
                <w:color w:val="000000"/>
                <w:sz w:val="20"/>
                <w:szCs w:val="20"/>
              </w:rPr>
            </w:pPr>
          </w:p>
          <w:p w:rsidR="00F604B4" w:rsidRPr="00CF089B" w:rsidRDefault="00F604B4" w:rsidP="006227B8">
            <w:pPr>
              <w:spacing w:after="0" w:line="240" w:lineRule="auto"/>
              <w:rPr>
                <w:rFonts w:eastAsia="Times New Roman" w:cs="Times New Roman"/>
                <w:color w:val="000000"/>
                <w:sz w:val="20"/>
                <w:szCs w:val="20"/>
              </w:rPr>
            </w:pPr>
          </w:p>
          <w:p w:rsidR="00F604B4" w:rsidRPr="00CF089B" w:rsidRDefault="00F604B4"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w:t>
            </w:r>
            <w:r w:rsidRPr="00CF089B">
              <w:rPr>
                <w:rFonts w:eastAsia="Times New Roman" w:cs="Times New Roman"/>
                <w:color w:val="000000"/>
                <w:sz w:val="20"/>
                <w:szCs w:val="20"/>
                <w:u w:val="single"/>
              </w:rPr>
              <w:t>Note:</w:t>
            </w:r>
            <w:r w:rsidRPr="00CF089B">
              <w:rPr>
                <w:rFonts w:eastAsia="Times New Roman" w:cs="Times New Roman"/>
                <w:color w:val="000000"/>
                <w:sz w:val="20"/>
                <w:szCs w:val="20"/>
              </w:rPr>
              <w:t xml:space="preserve"> RPE- Revenue Per Employee. RPA- Revenue Per Total Asset. RPC- Revenue Per CAPEX</w:t>
            </w:r>
          </w:p>
          <w:p w:rsidR="00F604B4" w:rsidRPr="00CF089B" w:rsidRDefault="00F604B4"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EPE- EBITDA Per Employee. EPA- EBITDA Per Total Asset. EPC- EBITDA Per CAPEX</w:t>
            </w:r>
          </w:p>
        </w:tc>
      </w:tr>
      <w:tr w:rsidR="00F604B4" w:rsidRPr="004F0ACC" w:rsidTr="006227B8">
        <w:trPr>
          <w:trHeight w:val="300"/>
        </w:trPr>
        <w:tc>
          <w:tcPr>
            <w:tcW w:w="8950" w:type="dxa"/>
            <w:gridSpan w:val="7"/>
            <w:tcBorders>
              <w:top w:val="nil"/>
              <w:left w:val="nil"/>
              <w:bottom w:val="single" w:sz="4" w:space="0" w:color="auto"/>
              <w:right w:val="nil"/>
            </w:tcBorders>
            <w:shd w:val="clear" w:color="auto" w:fill="auto"/>
            <w:noWrap/>
            <w:vAlign w:val="bottom"/>
          </w:tcPr>
          <w:p w:rsidR="00F604B4" w:rsidRPr="00CF089B" w:rsidRDefault="00F604B4" w:rsidP="006227B8">
            <w:pPr>
              <w:keepNext/>
              <w:spacing w:after="0" w:line="240" w:lineRule="auto"/>
              <w:rPr>
                <w:rFonts w:eastAsia="Times New Roman" w:cs="Times New Roman"/>
                <w:color w:val="000000"/>
                <w:sz w:val="20"/>
                <w:szCs w:val="20"/>
              </w:rPr>
            </w:pPr>
          </w:p>
        </w:tc>
      </w:tr>
    </w:tbl>
    <w:p w:rsidR="006227B8" w:rsidRDefault="006227B8" w:rsidP="006227B8">
      <w:pPr>
        <w:pStyle w:val="ListParagraph"/>
        <w:rPr>
          <w:b/>
        </w:rPr>
      </w:pPr>
    </w:p>
    <w:p w:rsidR="006227B8" w:rsidRPr="006227B8" w:rsidRDefault="006227B8" w:rsidP="006227B8">
      <w:pPr>
        <w:pStyle w:val="ListParagraph"/>
        <w:numPr>
          <w:ilvl w:val="1"/>
          <w:numId w:val="1"/>
        </w:numPr>
        <w:rPr>
          <w:b/>
        </w:rPr>
      </w:pPr>
      <w:r w:rsidRPr="006227B8">
        <w:rPr>
          <w:b/>
        </w:rPr>
        <w:t>Data Envelopment Analysis (DEA) Results</w:t>
      </w:r>
      <w:r>
        <w:rPr>
          <w:rStyle w:val="FootnoteReference"/>
          <w:b/>
        </w:rPr>
        <w:footnoteReference w:id="10"/>
      </w:r>
    </w:p>
    <w:p w:rsidR="007967CD" w:rsidRDefault="00834D47" w:rsidP="007967CD">
      <w:r>
        <w:t xml:space="preserve">The </w:t>
      </w:r>
      <w:r w:rsidRPr="00834D47">
        <w:t>input</w:t>
      </w:r>
      <w:r>
        <w:t xml:space="preserve"> orientation was selected for </w:t>
      </w:r>
      <w:r w:rsidRPr="00CF089B">
        <w:t>the CCR, the BCC and the A&amp;P</w:t>
      </w:r>
      <w:r>
        <w:t xml:space="preserve"> as justified in section 1. Since all three models assume convexity, the </w:t>
      </w:r>
      <w:r w:rsidRPr="00834D47">
        <w:t>convex</w:t>
      </w:r>
      <w:r>
        <w:t xml:space="preserve"> </w:t>
      </w:r>
      <w:r w:rsidRPr="008C05E7">
        <w:t xml:space="preserve">structure is selected along with the </w:t>
      </w:r>
      <w:r w:rsidRPr="00834D47">
        <w:t>radial</w:t>
      </w:r>
      <w:r w:rsidRPr="001D1507">
        <w:rPr>
          <w:i/>
        </w:rPr>
        <w:t xml:space="preserve"> </w:t>
      </w:r>
      <w:r w:rsidRPr="008C05E7">
        <w:t xml:space="preserve">distance. The radial </w:t>
      </w:r>
      <w:r>
        <w:t xml:space="preserve">distance </w:t>
      </w:r>
      <w:r w:rsidRPr="008C05E7">
        <w:t>measures the DMU’s efficiency score depending</w:t>
      </w:r>
      <w:r>
        <w:t xml:space="preserve"> on its proportional distance from</w:t>
      </w:r>
      <w:r w:rsidRPr="008C05E7">
        <w:t xml:space="preserve"> the efficiency frontier.</w:t>
      </w:r>
      <w:bookmarkStart w:id="13" w:name="_Toc354315322"/>
    </w:p>
    <w:p w:rsidR="006227B8" w:rsidRPr="007967CD" w:rsidRDefault="007967CD" w:rsidP="007967CD">
      <w:r>
        <w:rPr>
          <w:color w:val="000000" w:themeColor="text1"/>
        </w:rPr>
        <w:t>1.</w:t>
      </w:r>
      <w:r w:rsidR="006227B8" w:rsidRPr="007967CD">
        <w:rPr>
          <w:color w:val="000000" w:themeColor="text1"/>
        </w:rPr>
        <w:t>CCR Model Results</w:t>
      </w:r>
      <w:bookmarkEnd w:id="13"/>
    </w:p>
    <w:p w:rsidR="006227B8" w:rsidRDefault="00CA74E2" w:rsidP="006227B8">
      <w:r>
        <w:t>The</w:t>
      </w:r>
      <w:r w:rsidR="006227B8">
        <w:t xml:space="preserve"> DEA scores showed that 7 mobile operators are fully efficient and had a CCR score equal to 1, as displayed in </w:t>
      </w:r>
      <w:r w:rsidR="000E1AD3">
        <w:t>T</w:t>
      </w:r>
      <w:r w:rsidR="006227B8">
        <w:t xml:space="preserve">able </w:t>
      </w:r>
      <w:r w:rsidR="000E1AD3">
        <w:t xml:space="preserve">7. </w:t>
      </w:r>
      <w:r w:rsidR="006227B8">
        <w:t>Turkcell Turkey, Etisalat UAE, Avea Turkey and Wataniya Kuwait are fully efficient, in addition to, Mobily Saudi Ar</w:t>
      </w:r>
      <w:r w:rsidR="000E1AD3">
        <w:t xml:space="preserve">abia, du UAE and Orange Israel. </w:t>
      </w:r>
      <w:r w:rsidR="006227B8">
        <w:t xml:space="preserve">On the contrary, 9 operators, Cellcom Israel, Orange Jordan, Nawras Oman, Omantel Oman, Jawwal Palestine, Viva Kuwait, STC Saudi Arabia, Vodafone Qatar and Wataniya Palestine, are operating on a relatively less efficient level. Their CCR efficiency scores </w:t>
      </w:r>
      <w:r w:rsidR="000E1AD3">
        <w:t>varied between 0.964 and 0.232.</w:t>
      </w:r>
    </w:p>
    <w:p w:rsidR="006227B8" w:rsidRPr="000E1AD3" w:rsidRDefault="000E1AD3" w:rsidP="000E1AD3">
      <w:pPr>
        <w:pStyle w:val="Caption"/>
        <w:rPr>
          <w:b w:val="0"/>
          <w:bCs w:val="0"/>
          <w:color w:val="auto"/>
          <w:sz w:val="24"/>
          <w:szCs w:val="22"/>
          <w:u w:val="single"/>
        </w:rPr>
      </w:pPr>
      <w:bookmarkStart w:id="14" w:name="_Toc354314450"/>
      <w:r w:rsidRPr="000E1AD3">
        <w:rPr>
          <w:b w:val="0"/>
          <w:bCs w:val="0"/>
          <w:color w:val="auto"/>
          <w:sz w:val="24"/>
          <w:szCs w:val="22"/>
          <w:u w:val="single"/>
        </w:rPr>
        <w:t xml:space="preserve">Table 7: CCR </w:t>
      </w:r>
      <w:r>
        <w:rPr>
          <w:b w:val="0"/>
          <w:bCs w:val="0"/>
          <w:color w:val="auto"/>
          <w:sz w:val="24"/>
          <w:szCs w:val="22"/>
          <w:u w:val="single"/>
        </w:rPr>
        <w:t>M</w:t>
      </w:r>
      <w:r w:rsidRPr="000E1AD3">
        <w:rPr>
          <w:b w:val="0"/>
          <w:bCs w:val="0"/>
          <w:color w:val="auto"/>
          <w:sz w:val="24"/>
          <w:szCs w:val="22"/>
          <w:u w:val="single"/>
        </w:rPr>
        <w:t xml:space="preserve">odel </w:t>
      </w:r>
      <w:r>
        <w:rPr>
          <w:b w:val="0"/>
          <w:bCs w:val="0"/>
          <w:color w:val="auto"/>
          <w:sz w:val="24"/>
          <w:szCs w:val="22"/>
          <w:u w:val="single"/>
        </w:rPr>
        <w:t>E</w:t>
      </w:r>
      <w:r w:rsidRPr="000E1AD3">
        <w:rPr>
          <w:b w:val="0"/>
          <w:bCs w:val="0"/>
          <w:color w:val="auto"/>
          <w:sz w:val="24"/>
          <w:szCs w:val="22"/>
          <w:u w:val="single"/>
        </w:rPr>
        <w:t xml:space="preserve">fficiency </w:t>
      </w:r>
      <w:r>
        <w:rPr>
          <w:b w:val="0"/>
          <w:bCs w:val="0"/>
          <w:color w:val="auto"/>
          <w:sz w:val="24"/>
          <w:szCs w:val="22"/>
          <w:u w:val="single"/>
        </w:rPr>
        <w:t>R</w:t>
      </w:r>
      <w:r w:rsidRPr="000E1AD3">
        <w:rPr>
          <w:b w:val="0"/>
          <w:bCs w:val="0"/>
          <w:color w:val="auto"/>
          <w:sz w:val="24"/>
          <w:szCs w:val="22"/>
          <w:u w:val="single"/>
        </w:rPr>
        <w:t>esults</w:t>
      </w:r>
      <w:bookmarkEnd w:id="14"/>
    </w:p>
    <w:tbl>
      <w:tblPr>
        <w:tblW w:w="8946" w:type="dxa"/>
        <w:tblInd w:w="93" w:type="dxa"/>
        <w:tblLook w:val="04A0"/>
      </w:tblPr>
      <w:tblGrid>
        <w:gridCol w:w="2425"/>
        <w:gridCol w:w="711"/>
        <w:gridCol w:w="5846"/>
      </w:tblGrid>
      <w:tr w:rsidR="006227B8" w:rsidRPr="00CF089B" w:rsidTr="006227B8">
        <w:trPr>
          <w:trHeight w:val="300"/>
        </w:trPr>
        <w:tc>
          <w:tcPr>
            <w:tcW w:w="2425"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b/>
                <w:bCs/>
                <w:color w:val="000000"/>
                <w:szCs w:val="20"/>
              </w:rPr>
            </w:pPr>
            <w:r w:rsidRPr="00CF089B">
              <w:rPr>
                <w:rFonts w:eastAsia="Times New Roman" w:cs="Times New Roman"/>
                <w:b/>
                <w:bCs/>
                <w:color w:val="000000"/>
                <w:sz w:val="22"/>
                <w:szCs w:val="20"/>
              </w:rPr>
              <w:lastRenderedPageBreak/>
              <w:t>Operator</w:t>
            </w:r>
          </w:p>
        </w:tc>
        <w:tc>
          <w:tcPr>
            <w:tcW w:w="675"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b/>
                <w:bCs/>
                <w:i/>
                <w:iCs/>
                <w:color w:val="000000"/>
                <w:szCs w:val="20"/>
              </w:rPr>
            </w:pPr>
            <w:r w:rsidRPr="00CF089B">
              <w:rPr>
                <w:rFonts w:eastAsia="Times New Roman" w:cs="Times New Roman"/>
                <w:b/>
                <w:bCs/>
                <w:i/>
                <w:iCs/>
                <w:color w:val="000000"/>
                <w:sz w:val="22"/>
                <w:szCs w:val="20"/>
              </w:rPr>
              <w:t>CCR</w:t>
            </w:r>
          </w:p>
        </w:tc>
        <w:tc>
          <w:tcPr>
            <w:tcW w:w="5846" w:type="dxa"/>
            <w:tcBorders>
              <w:top w:val="single" w:sz="4" w:space="0" w:color="auto"/>
              <w:left w:val="nil"/>
              <w:bottom w:val="single" w:sz="4" w:space="0" w:color="auto"/>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b/>
                <w:bCs/>
                <w:color w:val="000000"/>
                <w:szCs w:val="20"/>
              </w:rPr>
            </w:pPr>
            <w:r w:rsidRPr="00CF089B">
              <w:rPr>
                <w:rFonts w:eastAsia="Times New Roman" w:cs="Times New Roman"/>
                <w:b/>
                <w:bCs/>
                <w:color w:val="000000"/>
                <w:sz w:val="22"/>
                <w:szCs w:val="20"/>
              </w:rPr>
              <w:t>Benchmarks</w:t>
            </w:r>
          </w:p>
        </w:tc>
      </w:tr>
      <w:tr w:rsidR="006227B8" w:rsidRPr="00CF089B" w:rsidTr="006227B8">
        <w:trPr>
          <w:trHeight w:val="300"/>
        </w:trPr>
        <w:tc>
          <w:tcPr>
            <w:tcW w:w="2425"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Mobily Saudi Arabia</w:t>
            </w:r>
          </w:p>
        </w:tc>
        <w:tc>
          <w:tcPr>
            <w:tcW w:w="675"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2</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Wataniya Kuwait</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Cs w:val="20"/>
              </w:rPr>
            </w:pPr>
            <w:r w:rsidRPr="00CF089B">
              <w:rPr>
                <w:rFonts w:ascii="Calibri" w:eastAsia="Times New Roman" w:hAnsi="Calibri" w:cs="Times New Roman"/>
                <w:color w:val="000000"/>
                <w:sz w:val="22"/>
                <w:szCs w:val="20"/>
              </w:rPr>
              <w:t>5</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Avea Turkey</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Cs w:val="20"/>
              </w:rPr>
            </w:pPr>
            <w:r w:rsidRPr="00CF089B">
              <w:rPr>
                <w:rFonts w:ascii="Calibri" w:eastAsia="Times New Roman" w:hAnsi="Calibri" w:cs="Times New Roman"/>
                <w:color w:val="000000"/>
                <w:sz w:val="22"/>
                <w:szCs w:val="20"/>
              </w:rPr>
              <w:t>2</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Turkcell Turkey</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Cs w:val="20"/>
              </w:rPr>
            </w:pPr>
            <w:r w:rsidRPr="00CF089B">
              <w:rPr>
                <w:rFonts w:ascii="Calibri" w:eastAsia="Times New Roman" w:hAnsi="Calibri" w:cs="Times New Roman"/>
                <w:color w:val="000000"/>
                <w:sz w:val="22"/>
                <w:szCs w:val="20"/>
              </w:rPr>
              <w:t>2</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Etisalat UAE</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Cs w:val="20"/>
              </w:rPr>
            </w:pPr>
            <w:r w:rsidRPr="00CF089B">
              <w:rPr>
                <w:rFonts w:ascii="Calibri" w:eastAsia="Times New Roman" w:hAnsi="Calibri" w:cs="Times New Roman"/>
                <w:color w:val="000000"/>
                <w:sz w:val="22"/>
                <w:szCs w:val="20"/>
              </w:rPr>
              <w:t>6</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du UAE</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Cs w:val="20"/>
              </w:rPr>
            </w:pPr>
            <w:r w:rsidRPr="00CF089B">
              <w:rPr>
                <w:rFonts w:ascii="Calibri" w:eastAsia="Times New Roman" w:hAnsi="Calibri" w:cs="Times New Roman"/>
                <w:color w:val="000000"/>
                <w:sz w:val="22"/>
                <w:szCs w:val="20"/>
              </w:rPr>
              <w:t>4</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Israel</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1.000</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Cs w:val="20"/>
              </w:rPr>
            </w:pPr>
            <w:r w:rsidRPr="00CF089B">
              <w:rPr>
                <w:rFonts w:ascii="Calibri" w:eastAsia="Times New Roman" w:hAnsi="Calibri" w:cs="Times New Roman"/>
                <w:color w:val="000000"/>
                <w:sz w:val="22"/>
                <w:szCs w:val="20"/>
              </w:rPr>
              <w:t>5</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Cellcom Israel</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0.964</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Israel, Etisalat UAE, du UAE</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Jordan</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0.955</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Israel, Etisalat UAE, du UAE, Wataniya Kuwait</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Nawras Oman</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0.934</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Israel, Etisalat UAE, Wataniya Kuwait</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Omantel Oman</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0.924</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Israel, Etisalat UAE</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Jawwal Palestine</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0.861</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Orange Israel, Etisalat UAE, du UAE, Wataniya Kuwait</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Viva Kuwait</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0.842</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Mobily Saudi Arabia, Wataniya Kuwait, Avea Turkey</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STC Saudi Arabia</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0.606</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Turkcell Turkey, Etisalat UAE, du UAE</w:t>
            </w:r>
          </w:p>
        </w:tc>
      </w:tr>
      <w:tr w:rsidR="006227B8" w:rsidRPr="00CF089B" w:rsidTr="006227B8">
        <w:trPr>
          <w:trHeight w:val="300"/>
        </w:trPr>
        <w:tc>
          <w:tcPr>
            <w:tcW w:w="242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Vodafone Qatar</w:t>
            </w:r>
          </w:p>
        </w:tc>
        <w:tc>
          <w:tcPr>
            <w:tcW w:w="675"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0.515</w:t>
            </w:r>
          </w:p>
        </w:tc>
        <w:tc>
          <w:tcPr>
            <w:tcW w:w="5846"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Turkcell Turkey</w:t>
            </w:r>
          </w:p>
        </w:tc>
      </w:tr>
      <w:tr w:rsidR="006227B8" w:rsidRPr="00CF089B" w:rsidTr="006227B8">
        <w:trPr>
          <w:trHeight w:val="300"/>
        </w:trPr>
        <w:tc>
          <w:tcPr>
            <w:tcW w:w="2425" w:type="dxa"/>
            <w:tcBorders>
              <w:top w:val="nil"/>
              <w:left w:val="nil"/>
              <w:bottom w:val="single" w:sz="4" w:space="0" w:color="auto"/>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Wataniya Palestine</w:t>
            </w:r>
          </w:p>
        </w:tc>
        <w:tc>
          <w:tcPr>
            <w:tcW w:w="675" w:type="dxa"/>
            <w:tcBorders>
              <w:top w:val="nil"/>
              <w:left w:val="nil"/>
              <w:bottom w:val="single" w:sz="4" w:space="0" w:color="auto"/>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Cs w:val="20"/>
              </w:rPr>
            </w:pPr>
            <w:r w:rsidRPr="00CF089B">
              <w:rPr>
                <w:rFonts w:eastAsia="Times New Roman" w:cs="Times New Roman"/>
                <w:color w:val="000000"/>
                <w:sz w:val="22"/>
                <w:szCs w:val="20"/>
              </w:rPr>
              <w:t>0.232</w:t>
            </w:r>
          </w:p>
        </w:tc>
        <w:tc>
          <w:tcPr>
            <w:tcW w:w="5846" w:type="dxa"/>
            <w:tcBorders>
              <w:top w:val="nil"/>
              <w:left w:val="nil"/>
              <w:bottom w:val="single" w:sz="4" w:space="0" w:color="auto"/>
              <w:right w:val="nil"/>
            </w:tcBorders>
            <w:shd w:val="clear" w:color="auto" w:fill="auto"/>
            <w:noWrap/>
            <w:vAlign w:val="bottom"/>
            <w:hideMark/>
          </w:tcPr>
          <w:p w:rsidR="006227B8" w:rsidRPr="00CF089B" w:rsidRDefault="006227B8" w:rsidP="006227B8">
            <w:pPr>
              <w:keepNext/>
              <w:spacing w:after="0" w:line="240" w:lineRule="auto"/>
              <w:rPr>
                <w:rFonts w:eastAsia="Times New Roman" w:cs="Times New Roman"/>
                <w:color w:val="000000"/>
                <w:szCs w:val="20"/>
              </w:rPr>
            </w:pPr>
            <w:r w:rsidRPr="00CF089B">
              <w:rPr>
                <w:rFonts w:eastAsia="Times New Roman" w:cs="Times New Roman"/>
                <w:color w:val="000000"/>
                <w:sz w:val="22"/>
                <w:szCs w:val="20"/>
              </w:rPr>
              <w:t xml:space="preserve">    Mobily Saudi Arabia, Wataniya Kuwait, Avea Turkey</w:t>
            </w:r>
          </w:p>
        </w:tc>
      </w:tr>
    </w:tbl>
    <w:p w:rsidR="00F71275" w:rsidRDefault="00F71275" w:rsidP="006227B8">
      <w:pPr>
        <w:pStyle w:val="Heading3"/>
        <w:rPr>
          <w:b w:val="0"/>
          <w:color w:val="000000" w:themeColor="text1"/>
        </w:rPr>
      </w:pPr>
      <w:bookmarkStart w:id="15" w:name="_Toc354315323"/>
    </w:p>
    <w:p w:rsidR="006227B8" w:rsidRPr="000E1AD3" w:rsidRDefault="000E1AD3" w:rsidP="006227B8">
      <w:pPr>
        <w:pStyle w:val="Heading3"/>
        <w:rPr>
          <w:b w:val="0"/>
          <w:color w:val="000000" w:themeColor="text1"/>
        </w:rPr>
      </w:pPr>
      <w:r>
        <w:rPr>
          <w:b w:val="0"/>
          <w:color w:val="000000" w:themeColor="text1"/>
        </w:rPr>
        <w:t xml:space="preserve">2. </w:t>
      </w:r>
      <w:r w:rsidR="006227B8" w:rsidRPr="000E1AD3">
        <w:rPr>
          <w:b w:val="0"/>
          <w:color w:val="000000" w:themeColor="text1"/>
        </w:rPr>
        <w:t>BCC Model Results</w:t>
      </w:r>
      <w:bookmarkEnd w:id="15"/>
    </w:p>
    <w:p w:rsidR="006227B8" w:rsidRDefault="006227B8" w:rsidP="006227B8">
      <w:r w:rsidRPr="00CF089B">
        <w:t xml:space="preserve">To take variable returns to scale into consideration, </w:t>
      </w:r>
      <w:r w:rsidR="00F71275">
        <w:t>we ran the BCC model. T</w:t>
      </w:r>
      <w:r>
        <w:t xml:space="preserve">he results changed dramatically and the majority of the DMUs were evaluated as fully efficient. The only two inefficient operators under the </w:t>
      </w:r>
      <w:r w:rsidRPr="00CF089B">
        <w:t xml:space="preserve">BCC model were Cellcom Israel and Nawras Oman. </w:t>
      </w:r>
    </w:p>
    <w:p w:rsidR="00F71275" w:rsidRPr="00F71275" w:rsidRDefault="00F71275" w:rsidP="00F71275">
      <w:pPr>
        <w:pStyle w:val="Caption"/>
        <w:rPr>
          <w:b w:val="0"/>
          <w:bCs w:val="0"/>
          <w:color w:val="auto"/>
          <w:sz w:val="24"/>
          <w:szCs w:val="22"/>
          <w:u w:val="single"/>
        </w:rPr>
      </w:pPr>
      <w:bookmarkStart w:id="16" w:name="_Toc354314451"/>
      <w:r w:rsidRPr="00F71275">
        <w:rPr>
          <w:b w:val="0"/>
          <w:bCs w:val="0"/>
          <w:color w:val="auto"/>
          <w:sz w:val="24"/>
          <w:szCs w:val="22"/>
          <w:u w:val="single"/>
        </w:rPr>
        <w:t>Table</w:t>
      </w:r>
      <w:r w:rsidR="00CA74E2">
        <w:rPr>
          <w:b w:val="0"/>
          <w:bCs w:val="0"/>
          <w:color w:val="auto"/>
          <w:sz w:val="24"/>
          <w:szCs w:val="22"/>
          <w:u w:val="single"/>
        </w:rPr>
        <w:t xml:space="preserve"> 8</w:t>
      </w:r>
      <w:r w:rsidRPr="00F71275">
        <w:rPr>
          <w:b w:val="0"/>
          <w:bCs w:val="0"/>
          <w:color w:val="auto"/>
          <w:sz w:val="24"/>
          <w:szCs w:val="22"/>
          <w:u w:val="single"/>
        </w:rPr>
        <w:t xml:space="preserve">: BCC </w:t>
      </w:r>
      <w:r>
        <w:rPr>
          <w:b w:val="0"/>
          <w:bCs w:val="0"/>
          <w:color w:val="auto"/>
          <w:sz w:val="24"/>
          <w:szCs w:val="22"/>
          <w:u w:val="single"/>
        </w:rPr>
        <w:t>M</w:t>
      </w:r>
      <w:r w:rsidRPr="00F71275">
        <w:rPr>
          <w:b w:val="0"/>
          <w:bCs w:val="0"/>
          <w:color w:val="auto"/>
          <w:sz w:val="24"/>
          <w:szCs w:val="22"/>
          <w:u w:val="single"/>
        </w:rPr>
        <w:t xml:space="preserve">odel </w:t>
      </w:r>
      <w:r>
        <w:rPr>
          <w:b w:val="0"/>
          <w:bCs w:val="0"/>
          <w:color w:val="auto"/>
          <w:sz w:val="24"/>
          <w:szCs w:val="22"/>
          <w:u w:val="single"/>
        </w:rPr>
        <w:t>E</w:t>
      </w:r>
      <w:r w:rsidRPr="00F71275">
        <w:rPr>
          <w:b w:val="0"/>
          <w:bCs w:val="0"/>
          <w:color w:val="auto"/>
          <w:sz w:val="24"/>
          <w:szCs w:val="22"/>
          <w:u w:val="single"/>
        </w:rPr>
        <w:t xml:space="preserve">fficiency </w:t>
      </w:r>
      <w:r>
        <w:rPr>
          <w:b w:val="0"/>
          <w:bCs w:val="0"/>
          <w:color w:val="auto"/>
          <w:sz w:val="24"/>
          <w:szCs w:val="22"/>
          <w:u w:val="single"/>
        </w:rPr>
        <w:t>R</w:t>
      </w:r>
      <w:r w:rsidRPr="00F71275">
        <w:rPr>
          <w:b w:val="0"/>
          <w:bCs w:val="0"/>
          <w:color w:val="auto"/>
          <w:sz w:val="24"/>
          <w:szCs w:val="22"/>
          <w:u w:val="single"/>
        </w:rPr>
        <w:t>esults</w:t>
      </w:r>
      <w:bookmarkEnd w:id="16"/>
    </w:p>
    <w:p w:rsidR="00F71275" w:rsidRPr="00CF089B" w:rsidRDefault="00F71275" w:rsidP="006227B8"/>
    <w:tbl>
      <w:tblPr>
        <w:tblW w:w="9087" w:type="dxa"/>
        <w:tblInd w:w="93" w:type="dxa"/>
        <w:tblLook w:val="04A0"/>
      </w:tblPr>
      <w:tblGrid>
        <w:gridCol w:w="2142"/>
        <w:gridCol w:w="708"/>
        <w:gridCol w:w="6237"/>
      </w:tblGrid>
      <w:tr w:rsidR="006227B8" w:rsidRPr="00CF089B" w:rsidTr="006227B8">
        <w:trPr>
          <w:trHeight w:val="300"/>
        </w:trPr>
        <w:tc>
          <w:tcPr>
            <w:tcW w:w="2142"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b/>
                <w:bCs/>
                <w:color w:val="000000"/>
                <w:sz w:val="20"/>
                <w:szCs w:val="20"/>
              </w:rPr>
            </w:pPr>
            <w:r w:rsidRPr="00CF089B">
              <w:rPr>
                <w:rFonts w:eastAsia="Times New Roman" w:cs="Times New Roman"/>
                <w:b/>
                <w:bCs/>
                <w:color w:val="000000"/>
                <w:sz w:val="20"/>
                <w:szCs w:val="20"/>
              </w:rPr>
              <w:t>Operator</w:t>
            </w:r>
          </w:p>
        </w:tc>
        <w:tc>
          <w:tcPr>
            <w:tcW w:w="708"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b/>
                <w:bCs/>
                <w:color w:val="000000"/>
                <w:sz w:val="20"/>
                <w:szCs w:val="20"/>
              </w:rPr>
            </w:pPr>
            <w:r w:rsidRPr="00CF089B">
              <w:rPr>
                <w:rFonts w:eastAsia="Times New Roman" w:cs="Times New Roman"/>
                <w:b/>
                <w:bCs/>
                <w:color w:val="000000"/>
                <w:sz w:val="20"/>
                <w:szCs w:val="20"/>
              </w:rPr>
              <w:t>BCC</w:t>
            </w:r>
          </w:p>
        </w:tc>
        <w:tc>
          <w:tcPr>
            <w:tcW w:w="6237" w:type="dxa"/>
            <w:tcBorders>
              <w:top w:val="single" w:sz="4" w:space="0" w:color="auto"/>
              <w:left w:val="nil"/>
              <w:bottom w:val="single" w:sz="4" w:space="0" w:color="auto"/>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b/>
                <w:bCs/>
                <w:color w:val="000000"/>
                <w:sz w:val="20"/>
                <w:szCs w:val="20"/>
              </w:rPr>
            </w:pPr>
            <w:r w:rsidRPr="00CF089B">
              <w:rPr>
                <w:rFonts w:eastAsia="Times New Roman" w:cs="Times New Roman"/>
                <w:b/>
                <w:bCs/>
                <w:color w:val="000000"/>
                <w:sz w:val="20"/>
                <w:szCs w:val="20"/>
              </w:rPr>
              <w:t>Benchmarks</w:t>
            </w:r>
          </w:p>
        </w:tc>
      </w:tr>
      <w:tr w:rsidR="006227B8" w:rsidRPr="00CF089B" w:rsidTr="006227B8">
        <w:trPr>
          <w:trHeight w:val="300"/>
        </w:trPr>
        <w:tc>
          <w:tcPr>
            <w:tcW w:w="2142"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Mobily Saudi Arabia</w:t>
            </w:r>
          </w:p>
        </w:tc>
        <w:tc>
          <w:tcPr>
            <w:tcW w:w="708" w:type="dxa"/>
            <w:tcBorders>
              <w:top w:val="single" w:sz="4" w:space="0" w:color="auto"/>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Wataniya Kuwait</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 w:val="20"/>
                <w:szCs w:val="20"/>
              </w:rPr>
            </w:pPr>
            <w:r w:rsidRPr="00CF089B">
              <w:rPr>
                <w:rFonts w:ascii="Calibri" w:eastAsia="Times New Roman" w:hAnsi="Calibri" w:cs="Times New Roman"/>
                <w:color w:val="000000"/>
                <w:sz w:val="20"/>
                <w:szCs w:val="20"/>
              </w:rPr>
              <w:t>1</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Avea Turkey</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 w:val="20"/>
                <w:szCs w:val="20"/>
              </w:rPr>
            </w:pPr>
            <w:r w:rsidRPr="00CF089B">
              <w:rPr>
                <w:rFonts w:ascii="Calibri" w:eastAsia="Times New Roman" w:hAnsi="Calibri"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Turkcell Turkey</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 w:val="20"/>
                <w:szCs w:val="20"/>
              </w:rPr>
            </w:pPr>
            <w:r w:rsidRPr="00CF089B">
              <w:rPr>
                <w:rFonts w:ascii="Calibri" w:eastAsia="Times New Roman" w:hAnsi="Calibri"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Etisalat UAE</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 w:val="20"/>
                <w:szCs w:val="20"/>
              </w:rPr>
            </w:pPr>
            <w:r w:rsidRPr="00CF089B">
              <w:rPr>
                <w:rFonts w:ascii="Calibri" w:eastAsia="Times New Roman" w:hAnsi="Calibri" w:cs="Times New Roman"/>
                <w:color w:val="000000"/>
                <w:sz w:val="20"/>
                <w:szCs w:val="20"/>
              </w:rPr>
              <w:t>1</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du UAE</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 w:val="20"/>
                <w:szCs w:val="20"/>
              </w:rPr>
            </w:pPr>
            <w:r w:rsidRPr="00CF089B">
              <w:rPr>
                <w:rFonts w:ascii="Calibri" w:eastAsia="Times New Roman" w:hAnsi="Calibri" w:cs="Times New Roman"/>
                <w:color w:val="000000"/>
                <w:sz w:val="20"/>
                <w:szCs w:val="20"/>
              </w:rPr>
              <w:t>1</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Orange Israel</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ascii="Calibri" w:eastAsia="Times New Roman" w:hAnsi="Calibri" w:cs="Times New Roman"/>
                <w:color w:val="000000"/>
                <w:sz w:val="20"/>
                <w:szCs w:val="20"/>
              </w:rPr>
            </w:pPr>
            <w:r w:rsidRPr="00CF089B">
              <w:rPr>
                <w:rFonts w:ascii="Calibri" w:eastAsia="Times New Roman" w:hAnsi="Calibri" w:cs="Times New Roman"/>
                <w:color w:val="000000"/>
                <w:sz w:val="20"/>
                <w:szCs w:val="20"/>
              </w:rPr>
              <w:t>1</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lastRenderedPageBreak/>
              <w:t xml:space="preserve">    Orange Jordan</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2</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Omantel Oman</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Jawwal Palestine</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Viva Kuwait</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STC Saudi Arabia</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Vodafone Qatar</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Wataniya Palestine</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1.000</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1</w:t>
            </w:r>
          </w:p>
        </w:tc>
      </w:tr>
      <w:tr w:rsidR="006227B8" w:rsidRPr="00CF089B" w:rsidTr="006227B8">
        <w:trPr>
          <w:trHeight w:val="300"/>
        </w:trPr>
        <w:tc>
          <w:tcPr>
            <w:tcW w:w="2142"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Nawras Oman</w:t>
            </w:r>
          </w:p>
        </w:tc>
        <w:tc>
          <w:tcPr>
            <w:tcW w:w="708"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0.996</w:t>
            </w:r>
          </w:p>
        </w:tc>
        <w:tc>
          <w:tcPr>
            <w:tcW w:w="6237" w:type="dxa"/>
            <w:tcBorders>
              <w:top w:val="nil"/>
              <w:left w:val="nil"/>
              <w:bottom w:val="nil"/>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Orange Jordan, Wataniya Kuwait, Jawwal Palestine, Wataniya Palestine</w:t>
            </w:r>
          </w:p>
        </w:tc>
      </w:tr>
      <w:tr w:rsidR="006227B8" w:rsidRPr="00CF089B" w:rsidTr="006227B8">
        <w:trPr>
          <w:trHeight w:val="300"/>
        </w:trPr>
        <w:tc>
          <w:tcPr>
            <w:tcW w:w="2142" w:type="dxa"/>
            <w:tcBorders>
              <w:top w:val="nil"/>
              <w:left w:val="nil"/>
              <w:bottom w:val="single" w:sz="4" w:space="0" w:color="auto"/>
              <w:right w:val="nil"/>
            </w:tcBorders>
            <w:shd w:val="clear" w:color="auto" w:fill="auto"/>
            <w:noWrap/>
            <w:vAlign w:val="bottom"/>
            <w:hideMark/>
          </w:tcPr>
          <w:p w:rsidR="006227B8" w:rsidRPr="00CF089B" w:rsidRDefault="006227B8" w:rsidP="006227B8">
            <w:pPr>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Cellcom Israel</w:t>
            </w:r>
          </w:p>
        </w:tc>
        <w:tc>
          <w:tcPr>
            <w:tcW w:w="708" w:type="dxa"/>
            <w:tcBorders>
              <w:top w:val="nil"/>
              <w:left w:val="nil"/>
              <w:bottom w:val="single" w:sz="4" w:space="0" w:color="auto"/>
              <w:right w:val="nil"/>
            </w:tcBorders>
            <w:shd w:val="clear" w:color="auto" w:fill="auto"/>
            <w:noWrap/>
            <w:vAlign w:val="bottom"/>
            <w:hideMark/>
          </w:tcPr>
          <w:p w:rsidR="006227B8" w:rsidRPr="00CF089B" w:rsidRDefault="006227B8" w:rsidP="006227B8">
            <w:pPr>
              <w:spacing w:after="0" w:line="240" w:lineRule="auto"/>
              <w:jc w:val="center"/>
              <w:rPr>
                <w:rFonts w:eastAsia="Times New Roman" w:cs="Times New Roman"/>
                <w:color w:val="000000"/>
                <w:sz w:val="20"/>
                <w:szCs w:val="20"/>
              </w:rPr>
            </w:pPr>
            <w:r w:rsidRPr="00CF089B">
              <w:rPr>
                <w:rFonts w:eastAsia="Times New Roman" w:cs="Times New Roman"/>
                <w:color w:val="000000"/>
                <w:sz w:val="20"/>
                <w:szCs w:val="20"/>
              </w:rPr>
              <w:t>0.966</w:t>
            </w:r>
          </w:p>
        </w:tc>
        <w:tc>
          <w:tcPr>
            <w:tcW w:w="6237" w:type="dxa"/>
            <w:tcBorders>
              <w:top w:val="nil"/>
              <w:left w:val="nil"/>
              <w:bottom w:val="single" w:sz="4" w:space="0" w:color="auto"/>
              <w:right w:val="nil"/>
            </w:tcBorders>
            <w:shd w:val="clear" w:color="auto" w:fill="auto"/>
            <w:noWrap/>
            <w:vAlign w:val="bottom"/>
            <w:hideMark/>
          </w:tcPr>
          <w:p w:rsidR="006227B8" w:rsidRPr="00CF089B" w:rsidRDefault="006227B8" w:rsidP="006227B8">
            <w:pPr>
              <w:keepNext/>
              <w:spacing w:after="0" w:line="240" w:lineRule="auto"/>
              <w:rPr>
                <w:rFonts w:eastAsia="Times New Roman" w:cs="Times New Roman"/>
                <w:color w:val="000000"/>
                <w:sz w:val="20"/>
                <w:szCs w:val="20"/>
              </w:rPr>
            </w:pPr>
            <w:r w:rsidRPr="00CF089B">
              <w:rPr>
                <w:rFonts w:eastAsia="Times New Roman" w:cs="Times New Roman"/>
                <w:color w:val="000000"/>
                <w:sz w:val="20"/>
                <w:szCs w:val="20"/>
              </w:rPr>
              <w:t xml:space="preserve">    Orange Israel, Etisalat UAE, du UAE, Orange Jordan</w:t>
            </w:r>
          </w:p>
        </w:tc>
      </w:tr>
    </w:tbl>
    <w:p w:rsidR="006227B8" w:rsidRPr="00F71275" w:rsidRDefault="00F71275" w:rsidP="00F71275">
      <w:pPr>
        <w:pStyle w:val="Heading3"/>
        <w:rPr>
          <w:rFonts w:ascii="Times New Roman" w:hAnsi="Times New Roman" w:cs="Times New Roman"/>
          <w:b w:val="0"/>
          <w:color w:val="000000" w:themeColor="text1"/>
        </w:rPr>
      </w:pPr>
      <w:bookmarkStart w:id="17" w:name="_Toc354315324"/>
      <w:r w:rsidRPr="00F71275">
        <w:rPr>
          <w:rFonts w:ascii="Times New Roman" w:hAnsi="Times New Roman" w:cs="Times New Roman"/>
          <w:b w:val="0"/>
          <w:color w:val="000000" w:themeColor="text1"/>
        </w:rPr>
        <w:t>3.</w:t>
      </w:r>
      <w:r w:rsidR="006227B8" w:rsidRPr="00F71275">
        <w:rPr>
          <w:rFonts w:ascii="Times New Roman" w:hAnsi="Times New Roman" w:cs="Times New Roman"/>
          <w:b w:val="0"/>
          <w:color w:val="000000" w:themeColor="text1"/>
        </w:rPr>
        <w:t>Scale Efficiency Results</w:t>
      </w:r>
      <w:bookmarkEnd w:id="17"/>
    </w:p>
    <w:p w:rsidR="00F71275" w:rsidRDefault="006227B8" w:rsidP="00F71275">
      <w:r>
        <w:t xml:space="preserve">The results from the BCC model differed from the CCR results indicating the existence of scale efficiency. </w:t>
      </w:r>
      <w:r w:rsidR="00F71275">
        <w:t xml:space="preserve">Table 9 illustrates that the relative inefficiency the mobile operators showed under the CCR model is due to scale inefficiency rather than pure technical </w:t>
      </w:r>
      <w:r w:rsidR="00F71275" w:rsidRPr="00CF089B">
        <w:t>inefficiency. PTE purely reflects the mobile operator’s managerial performance to organize its inputs in the production process. Whereas, SE indicates the management’s ability to choose the optimum size and scale of production that will attain t</w:t>
      </w:r>
      <w:r w:rsidR="00F71275">
        <w:t xml:space="preserve">he needed level of production. </w:t>
      </w:r>
      <w:r w:rsidR="00F71275" w:rsidRPr="00CF089B">
        <w:t xml:space="preserve">The scale inefficiency the inefficient mobile operators showed is </w:t>
      </w:r>
      <w:r w:rsidR="00F71275">
        <w:t>due to</w:t>
      </w:r>
      <w:r w:rsidR="00F71275" w:rsidRPr="00CF089B">
        <w:t xml:space="preserve"> the size of the operator</w:t>
      </w:r>
      <w:r w:rsidR="00F71275">
        <w:t xml:space="preserve"> which</w:t>
      </w:r>
      <w:r w:rsidR="00F71275" w:rsidRPr="00CF089B">
        <w:t xml:space="preserve"> is either too large and is not taking full advantage of scale or too small for its scale </w:t>
      </w:r>
      <w:r w:rsidR="00F71275">
        <w:t xml:space="preserve">of operations. </w:t>
      </w:r>
      <w:r w:rsidR="00F71275" w:rsidRPr="00CF089B">
        <w:t>Only Nawras Oman and Cellcom Israel have a PTE&lt;1 indicating inefficiency in their managements’ performance and their inability to utilize resources in an optimal manner.</w:t>
      </w:r>
      <w:r w:rsidR="00F71275">
        <w:t xml:space="preserve"> </w:t>
      </w:r>
    </w:p>
    <w:p w:rsidR="006227B8" w:rsidRPr="00F71275" w:rsidRDefault="00F71275" w:rsidP="00F71275">
      <w:pPr>
        <w:pStyle w:val="Caption"/>
        <w:rPr>
          <w:b w:val="0"/>
          <w:bCs w:val="0"/>
          <w:color w:val="auto"/>
          <w:sz w:val="24"/>
          <w:szCs w:val="22"/>
          <w:u w:val="single"/>
        </w:rPr>
      </w:pPr>
      <w:bookmarkStart w:id="18" w:name="_Toc354314452"/>
      <w:r w:rsidRPr="00F71275">
        <w:rPr>
          <w:b w:val="0"/>
          <w:bCs w:val="0"/>
          <w:color w:val="auto"/>
          <w:sz w:val="24"/>
          <w:szCs w:val="22"/>
          <w:u w:val="single"/>
        </w:rPr>
        <w:t>Table 9: OTE, PTE and SE results</w:t>
      </w:r>
      <w:bookmarkEnd w:id="18"/>
    </w:p>
    <w:tbl>
      <w:tblPr>
        <w:tblW w:w="7388" w:type="dxa"/>
        <w:tblInd w:w="93" w:type="dxa"/>
        <w:tblLook w:val="04A0"/>
      </w:tblPr>
      <w:tblGrid>
        <w:gridCol w:w="2425"/>
        <w:gridCol w:w="1418"/>
        <w:gridCol w:w="1365"/>
        <w:gridCol w:w="2180"/>
      </w:tblGrid>
      <w:tr w:rsidR="006227B8" w:rsidRPr="00296BC1" w:rsidTr="006227B8">
        <w:trPr>
          <w:trHeight w:val="300"/>
        </w:trPr>
        <w:tc>
          <w:tcPr>
            <w:tcW w:w="2425"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b/>
                <w:bCs/>
                <w:color w:val="000000"/>
              </w:rPr>
            </w:pPr>
            <w:r w:rsidRPr="00296BC1">
              <w:rPr>
                <w:rFonts w:eastAsia="Times New Roman" w:cs="Times New Roman"/>
                <w:b/>
                <w:bCs/>
                <w:color w:val="000000"/>
                <w:sz w:val="22"/>
              </w:rPr>
              <w:t>Operator</w:t>
            </w:r>
          </w:p>
        </w:tc>
        <w:tc>
          <w:tcPr>
            <w:tcW w:w="1418"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b/>
                <w:bCs/>
                <w:color w:val="000000"/>
              </w:rPr>
            </w:pPr>
            <w:r w:rsidRPr="00296BC1">
              <w:rPr>
                <w:rFonts w:eastAsia="Times New Roman" w:cs="Times New Roman"/>
                <w:b/>
                <w:bCs/>
                <w:color w:val="000000"/>
                <w:sz w:val="22"/>
              </w:rPr>
              <w:t xml:space="preserve">OTE </w:t>
            </w:r>
            <w:r w:rsidRPr="00296BC1">
              <w:rPr>
                <w:rFonts w:eastAsia="Times New Roman" w:cs="Times New Roman"/>
                <w:b/>
                <w:bCs/>
                <w:i/>
                <w:iCs/>
                <w:color w:val="000000"/>
                <w:sz w:val="22"/>
              </w:rPr>
              <w:t>(CCR)</w:t>
            </w:r>
          </w:p>
        </w:tc>
        <w:tc>
          <w:tcPr>
            <w:tcW w:w="1365"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b/>
                <w:bCs/>
                <w:color w:val="000000"/>
              </w:rPr>
            </w:pPr>
            <w:r w:rsidRPr="00296BC1">
              <w:rPr>
                <w:rFonts w:eastAsia="Times New Roman" w:cs="Times New Roman"/>
                <w:b/>
                <w:bCs/>
                <w:color w:val="000000"/>
                <w:sz w:val="22"/>
              </w:rPr>
              <w:t xml:space="preserve">PTE </w:t>
            </w:r>
            <w:r w:rsidRPr="00296BC1">
              <w:rPr>
                <w:rFonts w:eastAsia="Times New Roman" w:cs="Times New Roman"/>
                <w:b/>
                <w:bCs/>
                <w:i/>
                <w:iCs/>
                <w:color w:val="000000"/>
                <w:sz w:val="22"/>
              </w:rPr>
              <w:t>(BCC)</w:t>
            </w:r>
          </w:p>
        </w:tc>
        <w:tc>
          <w:tcPr>
            <w:tcW w:w="2180"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b/>
                <w:bCs/>
                <w:color w:val="000000"/>
              </w:rPr>
            </w:pPr>
            <w:r w:rsidRPr="00296BC1">
              <w:rPr>
                <w:rFonts w:eastAsia="Times New Roman" w:cs="Times New Roman"/>
                <w:b/>
                <w:bCs/>
                <w:color w:val="000000"/>
                <w:sz w:val="22"/>
              </w:rPr>
              <w:t>SE</w:t>
            </w:r>
          </w:p>
        </w:tc>
      </w:tr>
      <w:tr w:rsidR="006227B8" w:rsidRPr="00296BC1" w:rsidTr="006227B8">
        <w:trPr>
          <w:trHeight w:val="300"/>
        </w:trPr>
        <w:tc>
          <w:tcPr>
            <w:tcW w:w="2425"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Mobily Saudi Arabia</w:t>
            </w:r>
          </w:p>
        </w:tc>
        <w:tc>
          <w:tcPr>
            <w:tcW w:w="1418"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single" w:sz="4" w:space="0" w:color="auto"/>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Wataniya Kuwait</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Avea Turkey</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Turkcell Turkey</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Etisalat UAE</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du UAE</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Orange Israel</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Cellcom Israel</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0.964</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0.966</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0.997</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Orange Jordan</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0.955</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0.955</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Nawras Oman</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0.934</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0.996</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0.938</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Omantel Oman</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0.924</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0.924</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Jawwal Palestine</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0.861</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0.861</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Viva Kuwait</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0.842</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0.842</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lastRenderedPageBreak/>
              <w:t xml:space="preserve">    STC Saudi Arabia</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0.606</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0.606</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Vodafone Qatar</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0.515</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0.515</w:t>
            </w:r>
          </w:p>
        </w:tc>
      </w:tr>
      <w:tr w:rsidR="006227B8" w:rsidRPr="00296BC1" w:rsidTr="006227B8">
        <w:trPr>
          <w:trHeight w:val="300"/>
        </w:trPr>
        <w:tc>
          <w:tcPr>
            <w:tcW w:w="2425" w:type="dxa"/>
            <w:tcBorders>
              <w:top w:val="nil"/>
              <w:left w:val="nil"/>
              <w:bottom w:val="single" w:sz="4" w:space="0" w:color="auto"/>
              <w:right w:val="nil"/>
            </w:tcBorders>
            <w:shd w:val="clear" w:color="auto" w:fill="auto"/>
            <w:noWrap/>
            <w:vAlign w:val="bottom"/>
            <w:hideMark/>
          </w:tcPr>
          <w:p w:rsidR="006227B8" w:rsidRPr="00296BC1" w:rsidRDefault="006227B8" w:rsidP="006227B8">
            <w:pPr>
              <w:spacing w:after="0" w:line="240" w:lineRule="auto"/>
              <w:rPr>
                <w:rFonts w:eastAsia="Times New Roman" w:cs="Times New Roman"/>
                <w:color w:val="000000"/>
              </w:rPr>
            </w:pPr>
            <w:r w:rsidRPr="00296BC1">
              <w:rPr>
                <w:rFonts w:eastAsia="Times New Roman" w:cs="Times New Roman"/>
                <w:color w:val="000000"/>
                <w:sz w:val="22"/>
              </w:rPr>
              <w:t xml:space="preserve">    Wataniya Palestine</w:t>
            </w:r>
          </w:p>
        </w:tc>
        <w:tc>
          <w:tcPr>
            <w:tcW w:w="1418" w:type="dxa"/>
            <w:tcBorders>
              <w:top w:val="nil"/>
              <w:left w:val="nil"/>
              <w:bottom w:val="single" w:sz="4" w:space="0" w:color="auto"/>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0.232</w:t>
            </w:r>
          </w:p>
        </w:tc>
        <w:tc>
          <w:tcPr>
            <w:tcW w:w="1365" w:type="dxa"/>
            <w:tcBorders>
              <w:top w:val="nil"/>
              <w:left w:val="nil"/>
              <w:bottom w:val="single" w:sz="4" w:space="0" w:color="auto"/>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1.000</w:t>
            </w:r>
          </w:p>
        </w:tc>
        <w:tc>
          <w:tcPr>
            <w:tcW w:w="2180" w:type="dxa"/>
            <w:tcBorders>
              <w:top w:val="nil"/>
              <w:left w:val="nil"/>
              <w:bottom w:val="single" w:sz="4" w:space="0" w:color="auto"/>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0.232</w:t>
            </w:r>
          </w:p>
        </w:tc>
      </w:tr>
      <w:tr w:rsidR="006227B8" w:rsidRPr="00296BC1" w:rsidTr="006227B8">
        <w:trPr>
          <w:trHeight w:val="300"/>
        </w:trPr>
        <w:tc>
          <w:tcPr>
            <w:tcW w:w="242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b/>
                <w:bCs/>
                <w:color w:val="000000"/>
              </w:rPr>
            </w:pPr>
            <w:r w:rsidRPr="00296BC1">
              <w:rPr>
                <w:rFonts w:eastAsia="Times New Roman" w:cs="Times New Roman"/>
                <w:b/>
                <w:bCs/>
                <w:color w:val="000000"/>
                <w:sz w:val="22"/>
              </w:rPr>
              <w:t>Mean</w:t>
            </w:r>
          </w:p>
        </w:tc>
        <w:tc>
          <w:tcPr>
            <w:tcW w:w="1418"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0.865</w:t>
            </w:r>
          </w:p>
        </w:tc>
        <w:tc>
          <w:tcPr>
            <w:tcW w:w="1365"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0.998</w:t>
            </w:r>
          </w:p>
        </w:tc>
        <w:tc>
          <w:tcPr>
            <w:tcW w:w="2180" w:type="dxa"/>
            <w:tcBorders>
              <w:top w:val="nil"/>
              <w:left w:val="nil"/>
              <w:bottom w:val="nil"/>
              <w:right w:val="nil"/>
            </w:tcBorders>
            <w:shd w:val="clear" w:color="auto" w:fill="auto"/>
            <w:noWrap/>
            <w:vAlign w:val="bottom"/>
            <w:hideMark/>
          </w:tcPr>
          <w:p w:rsidR="006227B8" w:rsidRPr="00296BC1" w:rsidRDefault="006227B8" w:rsidP="006227B8">
            <w:pPr>
              <w:spacing w:after="0" w:line="240" w:lineRule="auto"/>
              <w:jc w:val="center"/>
              <w:rPr>
                <w:rFonts w:eastAsia="Times New Roman" w:cs="Times New Roman"/>
                <w:color w:val="000000"/>
              </w:rPr>
            </w:pPr>
            <w:r w:rsidRPr="00296BC1">
              <w:rPr>
                <w:rFonts w:eastAsia="Times New Roman" w:cs="Times New Roman"/>
                <w:color w:val="000000"/>
                <w:sz w:val="22"/>
              </w:rPr>
              <w:t>0.867</w:t>
            </w:r>
          </w:p>
        </w:tc>
      </w:tr>
      <w:tr w:rsidR="006227B8" w:rsidRPr="00296BC1" w:rsidTr="006227B8">
        <w:trPr>
          <w:trHeight w:val="300"/>
        </w:trPr>
        <w:tc>
          <w:tcPr>
            <w:tcW w:w="7388" w:type="dxa"/>
            <w:gridSpan w:val="4"/>
            <w:tcBorders>
              <w:top w:val="nil"/>
              <w:left w:val="nil"/>
              <w:bottom w:val="single" w:sz="4" w:space="0" w:color="auto"/>
              <w:right w:val="nil"/>
            </w:tcBorders>
            <w:shd w:val="clear" w:color="auto" w:fill="auto"/>
            <w:noWrap/>
            <w:vAlign w:val="bottom"/>
            <w:hideMark/>
          </w:tcPr>
          <w:p w:rsidR="006227B8" w:rsidRPr="002D3EC7" w:rsidRDefault="006227B8" w:rsidP="006227B8">
            <w:pPr>
              <w:keepNext/>
              <w:spacing w:after="0" w:line="240" w:lineRule="auto"/>
              <w:rPr>
                <w:rFonts w:eastAsia="Times New Roman" w:cs="Times New Roman"/>
                <w:i/>
                <w:color w:val="000000"/>
              </w:rPr>
            </w:pPr>
            <w:r>
              <w:rPr>
                <w:rFonts w:eastAsia="Times New Roman" w:cs="Times New Roman"/>
                <w:i/>
                <w:color w:val="000000"/>
                <w:sz w:val="22"/>
              </w:rPr>
              <w:t>*</w:t>
            </w:r>
            <w:r w:rsidRPr="002D3EC7">
              <w:rPr>
                <w:rFonts w:eastAsia="Times New Roman" w:cs="Times New Roman"/>
                <w:i/>
                <w:color w:val="000000"/>
                <w:sz w:val="22"/>
              </w:rPr>
              <w:t>SE=OTE/PTE</w:t>
            </w:r>
          </w:p>
        </w:tc>
      </w:tr>
    </w:tbl>
    <w:p w:rsidR="006227B8" w:rsidRPr="00F71275" w:rsidRDefault="00F71275" w:rsidP="00F71275">
      <w:pPr>
        <w:pStyle w:val="Heading3"/>
        <w:rPr>
          <w:b w:val="0"/>
          <w:color w:val="000000" w:themeColor="text1"/>
        </w:rPr>
      </w:pPr>
      <w:bookmarkStart w:id="19" w:name="_Toc354315325"/>
      <w:r>
        <w:rPr>
          <w:b w:val="0"/>
          <w:color w:val="000000" w:themeColor="text1"/>
        </w:rPr>
        <w:t>4.</w:t>
      </w:r>
      <w:r w:rsidR="006227B8" w:rsidRPr="00F71275">
        <w:rPr>
          <w:b w:val="0"/>
          <w:color w:val="000000" w:themeColor="text1"/>
        </w:rPr>
        <w:t>A&amp;P Results</w:t>
      </w:r>
      <w:bookmarkEnd w:id="19"/>
    </w:p>
    <w:p w:rsidR="006227B8" w:rsidRDefault="006227B8" w:rsidP="006227B8">
      <w:r>
        <w:t xml:space="preserve">The results of the CCR model identified the 7 DMUs with full relative overall technical efficiency and gave each of them a score equal to 1 without differentiating between </w:t>
      </w:r>
      <w:r w:rsidR="00F71275">
        <w:t xml:space="preserve">them. </w:t>
      </w:r>
      <w:r w:rsidRPr="00CF089B">
        <w:t xml:space="preserve">To be able to rank the efficient DMUs, the A&amp;P model was ran using </w:t>
      </w:r>
      <w:r w:rsidR="00D07192">
        <w:t>the ‘Superefficiency’ field. Table 10 shows that</w:t>
      </w:r>
      <w:r w:rsidR="00B243B5">
        <w:t xml:space="preserve"> the</w:t>
      </w:r>
      <w:r w:rsidRPr="00CF089B">
        <w:t xml:space="preserve"> most efficient mobile operator among the 16 </w:t>
      </w:r>
      <w:r w:rsidR="00D07192">
        <w:t>is</w:t>
      </w:r>
      <w:r w:rsidRPr="00CF089B">
        <w:t xml:space="preserve"> </w:t>
      </w:r>
      <w:proofErr w:type="spellStart"/>
      <w:r w:rsidRPr="00CF089B">
        <w:t>Avea</w:t>
      </w:r>
      <w:proofErr w:type="spellEnd"/>
      <w:r w:rsidRPr="00CF089B">
        <w:t xml:space="preserve"> Turkey, followed by Etsialat UAE, Wataniya Kuwait, Turkcell Turkey, Mobily Saudi Arabia, Orange Israel and finally du UAE.</w:t>
      </w:r>
    </w:p>
    <w:p w:rsidR="006227B8" w:rsidRPr="00D07192" w:rsidRDefault="00D07192" w:rsidP="00D07192">
      <w:pPr>
        <w:pStyle w:val="Caption"/>
        <w:rPr>
          <w:b w:val="0"/>
          <w:bCs w:val="0"/>
          <w:color w:val="auto"/>
          <w:sz w:val="24"/>
          <w:szCs w:val="22"/>
          <w:u w:val="single"/>
        </w:rPr>
      </w:pPr>
      <w:bookmarkStart w:id="20" w:name="_Toc354314453"/>
      <w:r w:rsidRPr="00D07192">
        <w:rPr>
          <w:b w:val="0"/>
          <w:bCs w:val="0"/>
          <w:color w:val="auto"/>
          <w:sz w:val="24"/>
          <w:szCs w:val="22"/>
          <w:u w:val="single"/>
        </w:rPr>
        <w:t>Table</w:t>
      </w:r>
      <w:r w:rsidR="00B20A15">
        <w:rPr>
          <w:b w:val="0"/>
          <w:bCs w:val="0"/>
          <w:color w:val="auto"/>
          <w:sz w:val="24"/>
          <w:szCs w:val="22"/>
          <w:u w:val="single"/>
        </w:rPr>
        <w:t xml:space="preserve"> 10</w:t>
      </w:r>
      <w:r>
        <w:rPr>
          <w:b w:val="0"/>
          <w:bCs w:val="0"/>
          <w:color w:val="auto"/>
          <w:sz w:val="24"/>
          <w:szCs w:val="22"/>
          <w:u w:val="single"/>
        </w:rPr>
        <w:t>: A&amp;P Model R</w:t>
      </w:r>
      <w:r w:rsidRPr="00D07192">
        <w:rPr>
          <w:b w:val="0"/>
          <w:bCs w:val="0"/>
          <w:color w:val="auto"/>
          <w:sz w:val="24"/>
          <w:szCs w:val="22"/>
          <w:u w:val="single"/>
        </w:rPr>
        <w:t>esults</w:t>
      </w:r>
      <w:bookmarkEnd w:id="20"/>
    </w:p>
    <w:tbl>
      <w:tblPr>
        <w:tblW w:w="4324" w:type="dxa"/>
        <w:tblInd w:w="93" w:type="dxa"/>
        <w:tblLook w:val="04A0"/>
      </w:tblPr>
      <w:tblGrid>
        <w:gridCol w:w="1024"/>
        <w:gridCol w:w="2393"/>
        <w:gridCol w:w="907"/>
      </w:tblGrid>
      <w:tr w:rsidR="006227B8" w:rsidRPr="00EA204A" w:rsidTr="006227B8">
        <w:trPr>
          <w:trHeight w:val="300"/>
        </w:trPr>
        <w:tc>
          <w:tcPr>
            <w:tcW w:w="1024" w:type="dxa"/>
            <w:tcBorders>
              <w:top w:val="single" w:sz="4" w:space="0" w:color="auto"/>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b/>
                <w:bCs/>
                <w:color w:val="000000"/>
              </w:rPr>
            </w:pPr>
            <w:r w:rsidRPr="00EA204A">
              <w:rPr>
                <w:rFonts w:eastAsia="Times New Roman" w:cs="Times New Roman"/>
                <w:b/>
                <w:bCs/>
                <w:color w:val="000000"/>
                <w:sz w:val="22"/>
              </w:rPr>
              <w:t>Ranking</w:t>
            </w:r>
          </w:p>
        </w:tc>
        <w:tc>
          <w:tcPr>
            <w:tcW w:w="2393" w:type="dxa"/>
            <w:tcBorders>
              <w:top w:val="single" w:sz="4" w:space="0" w:color="auto"/>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b/>
                <w:bCs/>
                <w:color w:val="000000"/>
              </w:rPr>
            </w:pPr>
            <w:r w:rsidRPr="00EA204A">
              <w:rPr>
                <w:rFonts w:eastAsia="Times New Roman" w:cs="Times New Roman"/>
                <w:b/>
                <w:bCs/>
                <w:color w:val="000000"/>
                <w:sz w:val="22"/>
              </w:rPr>
              <w:t>Operator</w:t>
            </w:r>
          </w:p>
        </w:tc>
        <w:tc>
          <w:tcPr>
            <w:tcW w:w="907" w:type="dxa"/>
            <w:tcBorders>
              <w:top w:val="single" w:sz="4" w:space="0" w:color="auto"/>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b/>
                <w:bCs/>
                <w:color w:val="000000"/>
              </w:rPr>
            </w:pPr>
            <w:r w:rsidRPr="00EA204A">
              <w:rPr>
                <w:rFonts w:eastAsia="Times New Roman" w:cs="Times New Roman"/>
                <w:b/>
                <w:bCs/>
                <w:color w:val="000000"/>
                <w:sz w:val="22"/>
              </w:rPr>
              <w:t>Score</w:t>
            </w:r>
          </w:p>
        </w:tc>
      </w:tr>
      <w:tr w:rsidR="006227B8" w:rsidRPr="00EA204A" w:rsidTr="006227B8">
        <w:trPr>
          <w:trHeight w:val="300"/>
        </w:trPr>
        <w:tc>
          <w:tcPr>
            <w:tcW w:w="1024" w:type="dxa"/>
            <w:tcBorders>
              <w:top w:val="single" w:sz="4" w:space="0" w:color="auto"/>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w:t>
            </w:r>
          </w:p>
        </w:tc>
        <w:tc>
          <w:tcPr>
            <w:tcW w:w="2393" w:type="dxa"/>
            <w:tcBorders>
              <w:top w:val="single" w:sz="4" w:space="0" w:color="auto"/>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Avea Turkey</w:t>
            </w:r>
          </w:p>
        </w:tc>
        <w:tc>
          <w:tcPr>
            <w:tcW w:w="907" w:type="dxa"/>
            <w:tcBorders>
              <w:top w:val="single" w:sz="4" w:space="0" w:color="auto"/>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2.086</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2</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Etisalat UAE</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1.846</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3</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Wataniya Kuwait</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1.623</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4</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Turkcell Turkey</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1.567</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5</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Mobily </w:t>
            </w:r>
            <w:r>
              <w:rPr>
                <w:rFonts w:eastAsia="Times New Roman" w:cs="Times New Roman"/>
                <w:color w:val="000000"/>
                <w:sz w:val="22"/>
              </w:rPr>
              <w:t>Saudi Arabia</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1.338</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6</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Orange Israel</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1.153</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7</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du UAE</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1.145</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8</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Cellcom Israel</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0.964</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9</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Orange Jordan</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0.955</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10</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Nawras Oman</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0.934</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11</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Omantel Oman</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0.924</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12</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Jawwal Palestine</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0.861</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13</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Viva Kuwait</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0.842</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14</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STC</w:t>
            </w:r>
            <w:r>
              <w:rPr>
                <w:rFonts w:eastAsia="Times New Roman" w:cs="Times New Roman"/>
                <w:color w:val="000000"/>
                <w:sz w:val="22"/>
              </w:rPr>
              <w:t xml:space="preserve"> Saudi Arabia</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0.606</w:t>
            </w:r>
          </w:p>
        </w:tc>
      </w:tr>
      <w:tr w:rsidR="006227B8" w:rsidRPr="00EA204A" w:rsidTr="006227B8">
        <w:trPr>
          <w:trHeight w:val="300"/>
        </w:trPr>
        <w:tc>
          <w:tcPr>
            <w:tcW w:w="1024"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15</w:t>
            </w:r>
          </w:p>
        </w:tc>
        <w:tc>
          <w:tcPr>
            <w:tcW w:w="2393"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sidRPr="00EA204A">
              <w:rPr>
                <w:rFonts w:eastAsia="Times New Roman" w:cs="Times New Roman"/>
                <w:color w:val="000000"/>
                <w:sz w:val="22"/>
              </w:rPr>
              <w:t xml:space="preserve">    Vodafone Qatar</w:t>
            </w:r>
          </w:p>
        </w:tc>
        <w:tc>
          <w:tcPr>
            <w:tcW w:w="907" w:type="dxa"/>
            <w:tcBorders>
              <w:top w:val="nil"/>
              <w:left w:val="nil"/>
              <w:bottom w:val="nil"/>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0.515</w:t>
            </w:r>
          </w:p>
        </w:tc>
      </w:tr>
      <w:tr w:rsidR="006227B8" w:rsidRPr="00EA204A" w:rsidTr="006227B8">
        <w:trPr>
          <w:trHeight w:val="300"/>
        </w:trPr>
        <w:tc>
          <w:tcPr>
            <w:tcW w:w="1024" w:type="dxa"/>
            <w:tcBorders>
              <w:top w:val="nil"/>
              <w:left w:val="nil"/>
              <w:bottom w:val="single" w:sz="4" w:space="0" w:color="auto"/>
              <w:right w:val="nil"/>
            </w:tcBorders>
            <w:shd w:val="clear" w:color="auto" w:fill="auto"/>
            <w:noWrap/>
            <w:vAlign w:val="bottom"/>
            <w:hideMark/>
          </w:tcPr>
          <w:p w:rsidR="006227B8" w:rsidRPr="00EA204A" w:rsidRDefault="006227B8" w:rsidP="006227B8">
            <w:pPr>
              <w:spacing w:after="0" w:line="240" w:lineRule="auto"/>
              <w:jc w:val="center"/>
              <w:rPr>
                <w:rFonts w:eastAsia="Times New Roman" w:cs="Times New Roman"/>
                <w:color w:val="000000"/>
              </w:rPr>
            </w:pPr>
            <w:r w:rsidRPr="00EA204A">
              <w:rPr>
                <w:rFonts w:eastAsia="Times New Roman" w:cs="Times New Roman"/>
                <w:color w:val="000000"/>
                <w:sz w:val="22"/>
              </w:rPr>
              <w:t>16</w:t>
            </w:r>
          </w:p>
        </w:tc>
        <w:tc>
          <w:tcPr>
            <w:tcW w:w="2393" w:type="dxa"/>
            <w:tcBorders>
              <w:top w:val="nil"/>
              <w:left w:val="nil"/>
              <w:bottom w:val="single" w:sz="4" w:space="0" w:color="auto"/>
              <w:right w:val="nil"/>
            </w:tcBorders>
            <w:shd w:val="clear" w:color="auto" w:fill="auto"/>
            <w:noWrap/>
            <w:vAlign w:val="bottom"/>
            <w:hideMark/>
          </w:tcPr>
          <w:p w:rsidR="006227B8" w:rsidRPr="00EA204A" w:rsidRDefault="006227B8" w:rsidP="006227B8">
            <w:pPr>
              <w:spacing w:after="0" w:line="240" w:lineRule="auto"/>
              <w:rPr>
                <w:rFonts w:eastAsia="Times New Roman" w:cs="Times New Roman"/>
                <w:color w:val="000000"/>
              </w:rPr>
            </w:pPr>
            <w:r>
              <w:rPr>
                <w:rFonts w:eastAsia="Times New Roman" w:cs="Times New Roman"/>
                <w:color w:val="000000"/>
                <w:sz w:val="22"/>
              </w:rPr>
              <w:t xml:space="preserve">   Wataniya </w:t>
            </w:r>
            <w:r w:rsidRPr="00EA204A">
              <w:rPr>
                <w:rFonts w:eastAsia="Times New Roman" w:cs="Times New Roman"/>
                <w:color w:val="000000"/>
                <w:sz w:val="22"/>
              </w:rPr>
              <w:t>Palestine</w:t>
            </w:r>
          </w:p>
        </w:tc>
        <w:tc>
          <w:tcPr>
            <w:tcW w:w="907" w:type="dxa"/>
            <w:tcBorders>
              <w:top w:val="nil"/>
              <w:left w:val="nil"/>
              <w:bottom w:val="single" w:sz="4" w:space="0" w:color="auto"/>
              <w:right w:val="nil"/>
            </w:tcBorders>
            <w:shd w:val="clear" w:color="auto" w:fill="auto"/>
            <w:noWrap/>
            <w:vAlign w:val="bottom"/>
            <w:hideMark/>
          </w:tcPr>
          <w:p w:rsidR="006227B8" w:rsidRPr="00EA204A" w:rsidRDefault="006227B8" w:rsidP="006227B8">
            <w:pPr>
              <w:keepNext/>
              <w:spacing w:after="0" w:line="240" w:lineRule="auto"/>
              <w:jc w:val="center"/>
              <w:rPr>
                <w:rFonts w:eastAsia="Times New Roman" w:cs="Times New Roman"/>
                <w:color w:val="000000"/>
              </w:rPr>
            </w:pPr>
            <w:r w:rsidRPr="00EA204A">
              <w:rPr>
                <w:rFonts w:eastAsia="Times New Roman" w:cs="Times New Roman"/>
                <w:color w:val="000000"/>
                <w:sz w:val="22"/>
              </w:rPr>
              <w:t>0.232</w:t>
            </w:r>
          </w:p>
        </w:tc>
      </w:tr>
    </w:tbl>
    <w:p w:rsidR="007252BE" w:rsidRDefault="007252BE" w:rsidP="006227B8"/>
    <w:p w:rsidR="005071B0" w:rsidRDefault="005D2D4B" w:rsidP="004A1E02">
      <w:pPr>
        <w:pStyle w:val="ListParagraph"/>
        <w:numPr>
          <w:ilvl w:val="0"/>
          <w:numId w:val="1"/>
        </w:numPr>
        <w:rPr>
          <w:rFonts w:cs="Times New Roman"/>
          <w:b/>
          <w:szCs w:val="24"/>
        </w:rPr>
      </w:pPr>
      <w:r>
        <w:rPr>
          <w:rFonts w:cs="Times New Roman"/>
          <w:b/>
          <w:szCs w:val="24"/>
        </w:rPr>
        <w:t xml:space="preserve">Discussion and </w:t>
      </w:r>
      <w:r w:rsidR="00F362F9">
        <w:rPr>
          <w:rFonts w:cs="Times New Roman"/>
          <w:b/>
          <w:szCs w:val="24"/>
        </w:rPr>
        <w:t>Conclusion</w:t>
      </w:r>
    </w:p>
    <w:p w:rsidR="00391C21" w:rsidRDefault="00391C21" w:rsidP="00391C21">
      <w:r>
        <w:lastRenderedPageBreak/>
        <w:t>T</w:t>
      </w:r>
      <w:r w:rsidRPr="00F357C1">
        <w:t>he most important objective of efficiency measurement is improvement.</w:t>
      </w:r>
      <w:r>
        <w:t xml:space="preserve"> </w:t>
      </w:r>
      <w:r w:rsidRPr="00F357C1">
        <w:t xml:space="preserve">The DEA is a useful model for planning the improvements for the 9 inefficient DMUs. </w:t>
      </w:r>
      <w:r>
        <w:t xml:space="preserve">We have been able to measure </w:t>
      </w:r>
      <w:r w:rsidRPr="00F357C1">
        <w:t>the efficiency scores of the mobile operators using the three different DEA models.</w:t>
      </w:r>
      <w:r w:rsidR="00466E37">
        <w:t xml:space="preserve"> In this section we </w:t>
      </w:r>
      <w:r w:rsidRPr="00F357C1">
        <w:t xml:space="preserve"> </w:t>
      </w:r>
      <w:r w:rsidR="00466E37">
        <w:t>quantify</w:t>
      </w:r>
      <w:r w:rsidR="00466E37">
        <w:rPr>
          <w:rStyle w:val="FootnoteReference"/>
        </w:rPr>
        <w:footnoteReference w:id="11"/>
      </w:r>
      <w:r w:rsidR="00466E37">
        <w:t xml:space="preserve"> the needed improvements to optimize the output of this study. </w:t>
      </w:r>
      <w:r w:rsidRPr="00F357C1">
        <w:t xml:space="preserve">Since </w:t>
      </w:r>
      <w:r w:rsidR="00BA2636">
        <w:t>we</w:t>
      </w:r>
      <w:r w:rsidRPr="00F357C1">
        <w:t xml:space="preserve"> </w:t>
      </w:r>
      <w:r w:rsidR="00BA2636">
        <w:t>are</w:t>
      </w:r>
      <w:r w:rsidRPr="00F357C1">
        <w:t xml:space="preserve"> concerned with the input orientation, the needed improvements mainly focus on a decrease in the inputs used by the mobile operators to maintain the same </w:t>
      </w:r>
      <w:r w:rsidR="00B243B5">
        <w:t>level of output, as shown in</w:t>
      </w:r>
      <w:r w:rsidRPr="00F357C1">
        <w:t xml:space="preserve"> </w:t>
      </w:r>
      <w:r w:rsidR="00BA2636">
        <w:t>T</w:t>
      </w:r>
      <w:r w:rsidRPr="00F357C1">
        <w:t>able</w:t>
      </w:r>
      <w:r w:rsidR="00BA2636">
        <w:t xml:space="preserve"> 11</w:t>
      </w:r>
      <w:r w:rsidRPr="00F357C1">
        <w:t>.</w:t>
      </w:r>
    </w:p>
    <w:p w:rsidR="00BA2636" w:rsidRPr="00BA2636" w:rsidRDefault="00BA2636" w:rsidP="00391C21">
      <w:pPr>
        <w:rPr>
          <w:u w:val="single"/>
        </w:rPr>
      </w:pPr>
      <w:r w:rsidRPr="00BA2636">
        <w:rPr>
          <w:u w:val="single"/>
        </w:rPr>
        <w:t xml:space="preserve">Table 11: Target </w:t>
      </w:r>
      <w:r w:rsidR="00EF2B5E">
        <w:rPr>
          <w:u w:val="single"/>
        </w:rPr>
        <w:t>R</w:t>
      </w:r>
      <w:r w:rsidRPr="00BA2636">
        <w:rPr>
          <w:u w:val="single"/>
        </w:rPr>
        <w:t xml:space="preserve">eport </w:t>
      </w:r>
      <w:r w:rsidR="00EF2B5E">
        <w:rPr>
          <w:u w:val="single"/>
        </w:rPr>
        <w:t>G</w:t>
      </w:r>
      <w:r w:rsidRPr="00BA2636">
        <w:rPr>
          <w:u w:val="single"/>
        </w:rPr>
        <w:t>enerated by the DEA Frontier</w:t>
      </w:r>
    </w:p>
    <w:tbl>
      <w:tblPr>
        <w:tblW w:w="7948" w:type="dxa"/>
        <w:tblInd w:w="98" w:type="dxa"/>
        <w:tblLook w:val="04A0"/>
      </w:tblPr>
      <w:tblGrid>
        <w:gridCol w:w="908"/>
        <w:gridCol w:w="2221"/>
        <w:gridCol w:w="1417"/>
        <w:gridCol w:w="1701"/>
        <w:gridCol w:w="1701"/>
      </w:tblGrid>
      <w:tr w:rsidR="00391C21" w:rsidRPr="00F357C1" w:rsidTr="008F4353">
        <w:trPr>
          <w:trHeight w:val="315"/>
        </w:trPr>
        <w:tc>
          <w:tcPr>
            <w:tcW w:w="908" w:type="dxa"/>
            <w:tcBorders>
              <w:top w:val="single" w:sz="8" w:space="0" w:color="auto"/>
              <w:left w:val="single" w:sz="8" w:space="0" w:color="auto"/>
              <w:bottom w:val="nil"/>
              <w:right w:val="nil"/>
            </w:tcBorders>
            <w:shd w:val="clear" w:color="9999FF" w:fill="000080"/>
            <w:noWrap/>
            <w:vAlign w:val="bottom"/>
            <w:hideMark/>
          </w:tcPr>
          <w:p w:rsidR="00391C21" w:rsidRPr="00F357C1" w:rsidRDefault="00391C21" w:rsidP="008F4353">
            <w:pPr>
              <w:spacing w:after="0" w:line="240" w:lineRule="auto"/>
              <w:jc w:val="right"/>
              <w:rPr>
                <w:rFonts w:ascii="Calibri" w:eastAsia="Times New Roman" w:hAnsi="Calibri" w:cs="Times New Roman"/>
                <w:b/>
                <w:bCs/>
                <w:i/>
                <w:iCs/>
                <w:color w:val="FFFFFF"/>
                <w:sz w:val="20"/>
                <w:szCs w:val="20"/>
              </w:rPr>
            </w:pPr>
            <w:r w:rsidRPr="00F357C1">
              <w:rPr>
                <w:rFonts w:ascii="Calibri" w:eastAsia="Times New Roman" w:hAnsi="Calibri" w:cs="Times New Roman"/>
                <w:b/>
                <w:bCs/>
                <w:i/>
                <w:iCs/>
                <w:color w:val="FFFFFF"/>
                <w:sz w:val="20"/>
                <w:szCs w:val="20"/>
              </w:rPr>
              <w:t> </w:t>
            </w:r>
          </w:p>
        </w:tc>
        <w:tc>
          <w:tcPr>
            <w:tcW w:w="2221" w:type="dxa"/>
            <w:tcBorders>
              <w:top w:val="single" w:sz="8" w:space="0" w:color="auto"/>
              <w:left w:val="nil"/>
              <w:bottom w:val="nil"/>
              <w:right w:val="single" w:sz="8" w:space="0" w:color="auto"/>
            </w:tcBorders>
            <w:shd w:val="clear" w:color="9999FF" w:fill="000080"/>
            <w:noWrap/>
            <w:vAlign w:val="bottom"/>
            <w:hideMark/>
          </w:tcPr>
          <w:p w:rsidR="00391C21" w:rsidRPr="00F357C1" w:rsidRDefault="00391C21" w:rsidP="008F4353">
            <w:pPr>
              <w:spacing w:after="0" w:line="240" w:lineRule="auto"/>
              <w:rPr>
                <w:rFonts w:ascii="Calibri" w:eastAsia="Times New Roman" w:hAnsi="Calibri" w:cs="Times New Roman"/>
                <w:b/>
                <w:bCs/>
                <w:i/>
                <w:iCs/>
                <w:color w:val="FFFFFF"/>
                <w:sz w:val="20"/>
                <w:szCs w:val="20"/>
              </w:rPr>
            </w:pPr>
            <w:r w:rsidRPr="00F357C1">
              <w:rPr>
                <w:rFonts w:ascii="Calibri" w:eastAsia="Times New Roman" w:hAnsi="Calibri" w:cs="Times New Roman"/>
                <w:b/>
                <w:bCs/>
                <w:i/>
                <w:iCs/>
                <w:color w:val="FFFFFF"/>
                <w:sz w:val="20"/>
                <w:szCs w:val="20"/>
              </w:rPr>
              <w:t> </w:t>
            </w:r>
          </w:p>
        </w:tc>
        <w:tc>
          <w:tcPr>
            <w:tcW w:w="4819" w:type="dxa"/>
            <w:gridSpan w:val="3"/>
            <w:tcBorders>
              <w:top w:val="single" w:sz="12" w:space="0" w:color="008080"/>
              <w:left w:val="nil"/>
              <w:bottom w:val="single" w:sz="4" w:space="0" w:color="auto"/>
              <w:right w:val="single" w:sz="4" w:space="0" w:color="008080"/>
            </w:tcBorders>
            <w:shd w:val="clear" w:color="9999FF" w:fill="C0C0C0"/>
            <w:noWrap/>
            <w:vAlign w:val="bottom"/>
            <w:hideMark/>
          </w:tcPr>
          <w:p w:rsidR="00391C21" w:rsidRPr="00F357C1" w:rsidRDefault="00391C21" w:rsidP="008F4353">
            <w:pPr>
              <w:spacing w:after="0" w:line="240" w:lineRule="auto"/>
              <w:jc w:val="center"/>
              <w:rPr>
                <w:rFonts w:ascii="Calibri" w:eastAsia="Times New Roman" w:hAnsi="Calibri" w:cs="Times New Roman"/>
                <w:b/>
                <w:bCs/>
                <w:i/>
                <w:iCs/>
                <w:color w:val="800000"/>
              </w:rPr>
            </w:pPr>
            <w:r w:rsidRPr="00F357C1">
              <w:rPr>
                <w:rFonts w:ascii="Calibri" w:eastAsia="Times New Roman" w:hAnsi="Calibri" w:cs="Times New Roman"/>
                <w:b/>
                <w:bCs/>
                <w:i/>
                <w:iCs/>
                <w:color w:val="800000"/>
                <w:sz w:val="22"/>
              </w:rPr>
              <w:t>Efficient Input Target</w:t>
            </w:r>
          </w:p>
        </w:tc>
      </w:tr>
      <w:tr w:rsidR="00391C21" w:rsidRPr="00F357C1" w:rsidTr="008F4353">
        <w:trPr>
          <w:trHeight w:val="300"/>
        </w:trPr>
        <w:tc>
          <w:tcPr>
            <w:tcW w:w="908" w:type="dxa"/>
            <w:tcBorders>
              <w:top w:val="nil"/>
              <w:left w:val="single" w:sz="8" w:space="0" w:color="auto"/>
              <w:bottom w:val="single" w:sz="4" w:space="0" w:color="auto"/>
              <w:right w:val="nil"/>
            </w:tcBorders>
            <w:shd w:val="clear" w:color="9999FF" w:fill="000080"/>
            <w:noWrap/>
            <w:vAlign w:val="bottom"/>
            <w:hideMark/>
          </w:tcPr>
          <w:p w:rsidR="00391C21" w:rsidRPr="00F357C1" w:rsidRDefault="00391C21" w:rsidP="008F4353">
            <w:pPr>
              <w:spacing w:after="0" w:line="240" w:lineRule="auto"/>
              <w:jc w:val="right"/>
              <w:rPr>
                <w:rFonts w:ascii="Calibri" w:eastAsia="Times New Roman" w:hAnsi="Calibri" w:cs="Times New Roman"/>
                <w:b/>
                <w:bCs/>
                <w:i/>
                <w:iCs/>
                <w:color w:val="FFFFFF"/>
                <w:sz w:val="20"/>
                <w:szCs w:val="20"/>
              </w:rPr>
            </w:pPr>
            <w:r w:rsidRPr="00F357C1">
              <w:rPr>
                <w:rFonts w:ascii="Calibri" w:eastAsia="Times New Roman" w:hAnsi="Calibri" w:cs="Times New Roman"/>
                <w:b/>
                <w:bCs/>
                <w:i/>
                <w:iCs/>
                <w:color w:val="FFFFFF"/>
                <w:sz w:val="20"/>
                <w:szCs w:val="20"/>
              </w:rPr>
              <w:t>DMU No.</w:t>
            </w:r>
          </w:p>
        </w:tc>
        <w:tc>
          <w:tcPr>
            <w:tcW w:w="2221" w:type="dxa"/>
            <w:tcBorders>
              <w:top w:val="nil"/>
              <w:left w:val="nil"/>
              <w:bottom w:val="single" w:sz="4" w:space="0" w:color="auto"/>
              <w:right w:val="single" w:sz="4" w:space="0" w:color="auto"/>
            </w:tcBorders>
            <w:shd w:val="clear" w:color="9999FF" w:fill="000080"/>
            <w:noWrap/>
            <w:vAlign w:val="bottom"/>
            <w:hideMark/>
          </w:tcPr>
          <w:p w:rsidR="00391C21" w:rsidRPr="00F357C1" w:rsidRDefault="00391C21" w:rsidP="008F4353">
            <w:pPr>
              <w:spacing w:after="0" w:line="240" w:lineRule="auto"/>
              <w:rPr>
                <w:rFonts w:ascii="Calibri" w:eastAsia="Times New Roman" w:hAnsi="Calibri" w:cs="Times New Roman"/>
                <w:b/>
                <w:bCs/>
                <w:i/>
                <w:iCs/>
                <w:color w:val="FFFFFF"/>
                <w:sz w:val="20"/>
                <w:szCs w:val="20"/>
              </w:rPr>
            </w:pPr>
            <w:r w:rsidRPr="00F357C1">
              <w:rPr>
                <w:rFonts w:ascii="Calibri" w:eastAsia="Times New Roman" w:hAnsi="Calibri" w:cs="Times New Roman"/>
                <w:b/>
                <w:bCs/>
                <w:i/>
                <w:iCs/>
                <w:color w:val="FFFFFF"/>
                <w:sz w:val="20"/>
                <w:szCs w:val="20"/>
              </w:rPr>
              <w:t>DMU Name</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b/>
                <w:bCs/>
                <w:i/>
                <w:iCs/>
                <w:color w:val="800000"/>
              </w:rPr>
            </w:pPr>
            <w:r w:rsidRPr="00F357C1">
              <w:rPr>
                <w:rFonts w:ascii="Calibri" w:eastAsia="Times New Roman" w:hAnsi="Calibri" w:cs="Times New Roman"/>
                <w:b/>
                <w:bCs/>
                <w:i/>
                <w:iCs/>
                <w:color w:val="800000"/>
                <w:sz w:val="22"/>
              </w:rPr>
              <w:t>Number of Employees</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b/>
                <w:bCs/>
                <w:i/>
                <w:iCs/>
                <w:color w:val="800000"/>
              </w:rPr>
            </w:pPr>
            <w:r w:rsidRPr="00F357C1">
              <w:rPr>
                <w:rFonts w:ascii="Calibri" w:eastAsia="Times New Roman" w:hAnsi="Calibri" w:cs="Times New Roman"/>
                <w:b/>
                <w:bCs/>
                <w:i/>
                <w:iCs/>
                <w:color w:val="800000"/>
                <w:sz w:val="22"/>
              </w:rPr>
              <w:t>TA</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b/>
                <w:bCs/>
                <w:i/>
                <w:iCs/>
                <w:color w:val="800000"/>
              </w:rPr>
            </w:pPr>
            <w:r w:rsidRPr="00F357C1">
              <w:rPr>
                <w:rFonts w:ascii="Calibri" w:eastAsia="Times New Roman" w:hAnsi="Calibri" w:cs="Times New Roman"/>
                <w:b/>
                <w:bCs/>
                <w:i/>
                <w:iCs/>
                <w:color w:val="800000"/>
                <w:sz w:val="22"/>
              </w:rPr>
              <w:t>CAPEX</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Cellcom Israel</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6,989</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2,234,386,129</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136,042,441</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2</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Orange Israel</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7,891</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1,920,577,000</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126,828,000</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3</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Orange Jordan</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2,104</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891,565,023</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49,187,602</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4</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Mobily KSA</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4,121</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9,997,680,221</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1,031,368,759</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5</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STC KSA</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12,722</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17,993,300,168</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1,250,255,037</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6</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Viva Kuwait</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397</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376,023,108</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85,881,599</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7</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Wataniya Kuwait</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997</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7,321,57,987</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1,576,677,729</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8</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Nawras Oman</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952</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727,167,895</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660,626,751</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9</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Omantel Oman</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1,268</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1,567,833,610</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52,619,974</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10</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Jawwal Palestine</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783</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698,000,170</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38,185,639</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11</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Wataniya Palestine</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95</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65,834,067</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36,638,977</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12</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Vodafone Qatar</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208</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1,168,129,709</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34,068,903</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13</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Avea Turkey</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2,700</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947,316,600</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452,061,858</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14</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Turkcell Turkey</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3,071</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17,186,699,999</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501,256,000</w:t>
            </w:r>
          </w:p>
        </w:tc>
      </w:tr>
      <w:tr w:rsidR="00391C21" w:rsidRPr="00F357C1" w:rsidTr="008F4353">
        <w:trPr>
          <w:trHeight w:val="300"/>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15</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Etisalat UAE</w:t>
            </w:r>
          </w:p>
        </w:tc>
        <w:tc>
          <w:tcPr>
            <w:tcW w:w="1417"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11,150</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14,520,553,527</w:t>
            </w:r>
          </w:p>
        </w:tc>
        <w:tc>
          <w:tcPr>
            <w:tcW w:w="170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481,426,400</w:t>
            </w:r>
          </w:p>
        </w:tc>
      </w:tr>
      <w:tr w:rsidR="00391C21" w:rsidRPr="00F357C1" w:rsidTr="008F4353">
        <w:trPr>
          <w:trHeight w:val="315"/>
        </w:trPr>
        <w:tc>
          <w:tcPr>
            <w:tcW w:w="908"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jc w:val="right"/>
              <w:rPr>
                <w:rFonts w:ascii="Calibri" w:eastAsia="Times New Roman" w:hAnsi="Calibri" w:cs="Times New Roman"/>
                <w:color w:val="000080"/>
              </w:rPr>
            </w:pPr>
            <w:r w:rsidRPr="00F357C1">
              <w:rPr>
                <w:rFonts w:ascii="Calibri" w:eastAsia="Times New Roman" w:hAnsi="Calibri" w:cs="Times New Roman"/>
                <w:color w:val="000080"/>
                <w:sz w:val="22"/>
              </w:rPr>
              <w:t>16</w:t>
            </w:r>
          </w:p>
        </w:tc>
        <w:tc>
          <w:tcPr>
            <w:tcW w:w="2221" w:type="dxa"/>
            <w:tcBorders>
              <w:top w:val="single" w:sz="4" w:space="0" w:color="auto"/>
              <w:left w:val="single" w:sz="4" w:space="0" w:color="auto"/>
              <w:bottom w:val="single" w:sz="4" w:space="0" w:color="auto"/>
              <w:right w:val="single" w:sz="4" w:space="0" w:color="auto"/>
            </w:tcBorders>
            <w:shd w:val="clear" w:color="9999FF" w:fill="C0C0C0"/>
            <w:noWrap/>
            <w:vAlign w:val="bottom"/>
            <w:hideMark/>
          </w:tcPr>
          <w:p w:rsidR="00391C21" w:rsidRPr="00F357C1" w:rsidRDefault="00391C21" w:rsidP="008F4353">
            <w:pPr>
              <w:spacing w:after="0" w:line="240" w:lineRule="auto"/>
              <w:rPr>
                <w:rFonts w:ascii="Calibri" w:eastAsia="Times New Roman" w:hAnsi="Calibri" w:cs="Times New Roman"/>
                <w:color w:val="000080"/>
              </w:rPr>
            </w:pPr>
            <w:r w:rsidRPr="00F357C1">
              <w:rPr>
                <w:rFonts w:ascii="Calibri" w:eastAsia="Times New Roman" w:hAnsi="Calibri" w:cs="Times New Roman"/>
                <w:color w:val="000080"/>
                <w:sz w:val="22"/>
              </w:rPr>
              <w:t>du UAE</w:t>
            </w:r>
          </w:p>
        </w:tc>
        <w:tc>
          <w:tcPr>
            <w:tcW w:w="1417"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2,984</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3,282,623,335</w:t>
            </w:r>
          </w:p>
        </w:tc>
        <w:tc>
          <w:tcPr>
            <w:tcW w:w="1701"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keepNext/>
              <w:spacing w:after="0" w:line="240" w:lineRule="auto"/>
              <w:rPr>
                <w:rFonts w:ascii="Calibri" w:eastAsia="Times New Roman" w:hAnsi="Calibri" w:cs="Times New Roman"/>
                <w:color w:val="000000"/>
              </w:rPr>
            </w:pPr>
            <w:r w:rsidRPr="00F357C1">
              <w:rPr>
                <w:rFonts w:ascii="Calibri" w:eastAsia="Times New Roman" w:hAnsi="Calibri" w:cs="Times New Roman"/>
                <w:color w:val="000000"/>
                <w:sz w:val="22"/>
              </w:rPr>
              <w:t>351,539,300</w:t>
            </w:r>
          </w:p>
        </w:tc>
      </w:tr>
    </w:tbl>
    <w:p w:rsidR="00391C21" w:rsidRDefault="00391C21" w:rsidP="00391C21">
      <w:r>
        <w:t xml:space="preserve">The values in table </w:t>
      </w:r>
      <w:r w:rsidR="00BA2636">
        <w:t>11</w:t>
      </w:r>
      <w:r w:rsidRPr="00F357C1">
        <w:t xml:space="preserve"> are the target amount of inputs which the mobile operators should be using to become fully efficient. The report showed that the target values for the 7 fully efficient operators are the same as their actual ones.</w:t>
      </w:r>
      <w:r w:rsidR="00C45C73">
        <w:t xml:space="preserve"> </w:t>
      </w:r>
      <w:r w:rsidRPr="00F357C1">
        <w:t xml:space="preserve">For the 9 inefficient mobile operators, the target </w:t>
      </w:r>
      <w:r w:rsidRPr="00F357C1">
        <w:lastRenderedPageBreak/>
        <w:t xml:space="preserve">values were compared with the actual ones to show the improvements they need to undergo </w:t>
      </w:r>
      <w:r w:rsidR="00C45C73">
        <w:t>in order to</w:t>
      </w:r>
      <w:r w:rsidRPr="00F357C1">
        <w:t xml:space="preserve"> maximize their efficiency and reach the efficiency frontier</w:t>
      </w:r>
      <w:r w:rsidR="00C45C73">
        <w:t xml:space="preserve"> (Table 12)</w:t>
      </w:r>
      <w:r w:rsidRPr="00F357C1">
        <w:t xml:space="preserve">. </w:t>
      </w:r>
    </w:p>
    <w:p w:rsidR="00C45C73" w:rsidRPr="00C45C73" w:rsidRDefault="00C45C73" w:rsidP="00C45C73">
      <w:pPr>
        <w:pStyle w:val="Caption"/>
        <w:rPr>
          <w:b w:val="0"/>
          <w:bCs w:val="0"/>
          <w:color w:val="auto"/>
          <w:sz w:val="24"/>
          <w:szCs w:val="22"/>
          <w:u w:val="single"/>
        </w:rPr>
      </w:pPr>
      <w:bookmarkStart w:id="21" w:name="_Toc354314456"/>
      <w:r w:rsidRPr="00C45C73">
        <w:rPr>
          <w:b w:val="0"/>
          <w:bCs w:val="0"/>
          <w:color w:val="auto"/>
          <w:sz w:val="24"/>
          <w:szCs w:val="22"/>
          <w:u w:val="single"/>
        </w:rPr>
        <w:t>Table 11: Needed Improvements for the Inefficient Mobile Operators</w:t>
      </w:r>
      <w:bookmarkEnd w:id="21"/>
      <w:r w:rsidRPr="00C45C73">
        <w:rPr>
          <w:b w:val="0"/>
          <w:bCs w:val="0"/>
          <w:color w:val="auto"/>
          <w:sz w:val="24"/>
          <w:szCs w:val="22"/>
          <w:u w:val="single"/>
        </w:rPr>
        <w:t xml:space="preserve">   </w:t>
      </w:r>
    </w:p>
    <w:tbl>
      <w:tblPr>
        <w:tblW w:w="7700" w:type="dxa"/>
        <w:tblInd w:w="93" w:type="dxa"/>
        <w:tblLook w:val="04A0"/>
      </w:tblPr>
      <w:tblGrid>
        <w:gridCol w:w="1920"/>
        <w:gridCol w:w="2220"/>
        <w:gridCol w:w="2220"/>
        <w:gridCol w:w="1340"/>
      </w:tblGrid>
      <w:tr w:rsidR="00391C21" w:rsidRPr="00F357C1" w:rsidTr="008F4353">
        <w:trPr>
          <w:trHeight w:val="300"/>
        </w:trPr>
        <w:tc>
          <w:tcPr>
            <w:tcW w:w="1920" w:type="dxa"/>
            <w:tcBorders>
              <w:top w:val="nil"/>
              <w:left w:val="nil"/>
              <w:bottom w:val="nil"/>
              <w:right w:val="nil"/>
            </w:tcBorders>
            <w:shd w:val="clear" w:color="000000" w:fill="FFFFFF"/>
            <w:noWrap/>
            <w:vAlign w:val="bottom"/>
            <w:hideMark/>
          </w:tcPr>
          <w:p w:rsidR="00391C21" w:rsidRPr="00F357C1" w:rsidRDefault="00391C21" w:rsidP="008F4353">
            <w:pPr>
              <w:spacing w:after="0" w:line="240" w:lineRule="auto"/>
              <w:rPr>
                <w:rFonts w:eastAsia="Times New Roman" w:cs="Times New Roman"/>
              </w:rPr>
            </w:pPr>
            <w:r w:rsidRPr="00F357C1">
              <w:rPr>
                <w:rFonts w:eastAsia="Times New Roman" w:cs="Times New Roman"/>
                <w:sz w:val="22"/>
              </w:rPr>
              <w:t> </w:t>
            </w:r>
          </w:p>
        </w:tc>
        <w:tc>
          <w:tcPr>
            <w:tcW w:w="2220"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Employees</w:t>
            </w:r>
          </w:p>
        </w:tc>
        <w:tc>
          <w:tcPr>
            <w:tcW w:w="2220" w:type="dxa"/>
            <w:tcBorders>
              <w:top w:val="single" w:sz="4" w:space="0" w:color="auto"/>
              <w:left w:val="nil"/>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Total Asset</w:t>
            </w:r>
          </w:p>
        </w:tc>
        <w:tc>
          <w:tcPr>
            <w:tcW w:w="1340" w:type="dxa"/>
            <w:tcBorders>
              <w:top w:val="single" w:sz="4" w:space="0" w:color="auto"/>
              <w:left w:val="nil"/>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CAPEX</w:t>
            </w:r>
          </w:p>
        </w:tc>
      </w:tr>
      <w:tr w:rsidR="00391C21" w:rsidRPr="00F357C1" w:rsidTr="008F4353">
        <w:trPr>
          <w:trHeight w:val="300"/>
        </w:trPr>
        <w:tc>
          <w:tcPr>
            <w:tcW w:w="1920" w:type="dxa"/>
            <w:tcBorders>
              <w:top w:val="single" w:sz="4" w:space="0" w:color="auto"/>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Cellcom Israel</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-3.6%</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-3.6%</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-3.6%</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Orange Jordan</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-4.5%</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-4.5%</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-4.5%</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Nawras Oman</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-6.6%</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-6.6%</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-6.6%</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Omantel Oman</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-53.9%</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-7.6%</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-7.6%</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Jawwal Palestine</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-13.9%</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-13.9%</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-13.9%</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Viva Kuwait</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-15.8%</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-15.8%</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-15.8%</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STC Saudi Arabia</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-39.4%</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-39.4%</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-39.4%</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Vodafone Qatar</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-48.5%</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-49.5%</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-61.7%</w:t>
            </w:r>
          </w:p>
        </w:tc>
      </w:tr>
      <w:tr w:rsidR="00391C21" w:rsidRPr="00F357C1" w:rsidTr="008F4353">
        <w:trPr>
          <w:trHeight w:val="300"/>
        </w:trPr>
        <w:tc>
          <w:tcPr>
            <w:tcW w:w="1920" w:type="dxa"/>
            <w:tcBorders>
              <w:top w:val="nil"/>
              <w:left w:val="single" w:sz="4" w:space="0" w:color="auto"/>
              <w:bottom w:val="single" w:sz="4" w:space="0" w:color="auto"/>
              <w:right w:val="single" w:sz="4" w:space="0" w:color="auto"/>
            </w:tcBorders>
            <w:shd w:val="clear" w:color="9999FF" w:fill="FFFFFF"/>
            <w:noWrap/>
            <w:vAlign w:val="bottom"/>
            <w:hideMark/>
          </w:tcPr>
          <w:p w:rsidR="00391C21" w:rsidRPr="00F357C1" w:rsidRDefault="00391C21" w:rsidP="008F4353">
            <w:pPr>
              <w:spacing w:after="0" w:line="240" w:lineRule="auto"/>
              <w:rPr>
                <w:rFonts w:eastAsia="Times New Roman" w:cs="Times New Roman"/>
                <w:b/>
                <w:bCs/>
              </w:rPr>
            </w:pPr>
            <w:r w:rsidRPr="00F357C1">
              <w:rPr>
                <w:rFonts w:eastAsia="Times New Roman" w:cs="Times New Roman"/>
                <w:b/>
                <w:bCs/>
                <w:sz w:val="22"/>
              </w:rPr>
              <w:t>Wataniya Palestine</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-76.8%</w:t>
            </w:r>
          </w:p>
        </w:tc>
        <w:tc>
          <w:tcPr>
            <w:tcW w:w="222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spacing w:after="0" w:line="240" w:lineRule="auto"/>
              <w:jc w:val="right"/>
              <w:rPr>
                <w:rFonts w:eastAsia="Times New Roman" w:cs="Times New Roman"/>
              </w:rPr>
            </w:pPr>
            <w:r w:rsidRPr="00F357C1">
              <w:rPr>
                <w:rFonts w:eastAsia="Times New Roman" w:cs="Times New Roman"/>
                <w:sz w:val="22"/>
              </w:rPr>
              <w:t>-76.8%</w:t>
            </w:r>
          </w:p>
        </w:tc>
        <w:tc>
          <w:tcPr>
            <w:tcW w:w="1340" w:type="dxa"/>
            <w:tcBorders>
              <w:top w:val="nil"/>
              <w:left w:val="nil"/>
              <w:bottom w:val="single" w:sz="4" w:space="0" w:color="auto"/>
              <w:right w:val="single" w:sz="4" w:space="0" w:color="auto"/>
            </w:tcBorders>
            <w:shd w:val="clear" w:color="000000" w:fill="FFFFFF"/>
            <w:noWrap/>
            <w:vAlign w:val="bottom"/>
            <w:hideMark/>
          </w:tcPr>
          <w:p w:rsidR="00391C21" w:rsidRPr="00F357C1" w:rsidRDefault="00391C21" w:rsidP="008F4353">
            <w:pPr>
              <w:keepNext/>
              <w:spacing w:after="0" w:line="240" w:lineRule="auto"/>
              <w:jc w:val="right"/>
              <w:rPr>
                <w:rFonts w:eastAsia="Times New Roman" w:cs="Times New Roman"/>
              </w:rPr>
            </w:pPr>
            <w:r w:rsidRPr="00F357C1">
              <w:rPr>
                <w:rFonts w:eastAsia="Times New Roman" w:cs="Times New Roman"/>
                <w:sz w:val="22"/>
              </w:rPr>
              <w:t>-76.8%</w:t>
            </w:r>
          </w:p>
        </w:tc>
      </w:tr>
    </w:tbl>
    <w:p w:rsidR="00391C21" w:rsidRPr="00F357C1" w:rsidRDefault="00C45C73" w:rsidP="00391C21">
      <w:r>
        <w:t>In other words, t</w:t>
      </w:r>
      <w:r w:rsidR="00391C21" w:rsidRPr="00F357C1">
        <w:t>he 9 inefficient mobile operators need to decrease their input levels by the above percentages and maintain the same 2011 level of output to become fully efficient.</w:t>
      </w:r>
    </w:p>
    <w:p w:rsidR="00C86089" w:rsidRDefault="00467D07" w:rsidP="00391C21">
      <w:r>
        <w:t xml:space="preserve">In our model we assumed </w:t>
      </w:r>
      <w:r w:rsidRPr="00F357C1">
        <w:t xml:space="preserve">all DMUs </w:t>
      </w:r>
      <w:r>
        <w:t>as being</w:t>
      </w:r>
      <w:r w:rsidRPr="00F357C1">
        <w:t xml:space="preserve"> homogenous, but this in fact may not always be true</w:t>
      </w:r>
      <w:r>
        <w:t>. In addition,</w:t>
      </w:r>
      <w:r w:rsidR="008F4353">
        <w:t xml:space="preserve"> and due to the non-transparency of the mobile operators in terms of </w:t>
      </w:r>
      <w:r w:rsidR="008F4353" w:rsidRPr="00F357C1">
        <w:t xml:space="preserve">internal management strategies and input capacities, it was not possible to have the weights allocated </w:t>
      </w:r>
      <w:r w:rsidR="008F4353">
        <w:t>to the factors of production</w:t>
      </w:r>
      <w:r w:rsidR="008F4353" w:rsidRPr="00F357C1">
        <w:t xml:space="preserve"> prior to running </w:t>
      </w:r>
      <w:r w:rsidR="008F4353">
        <w:t xml:space="preserve">the </w:t>
      </w:r>
      <w:r w:rsidR="008F4353" w:rsidRPr="00F357C1">
        <w:t>models.</w:t>
      </w:r>
      <w:r w:rsidR="008F4353">
        <w:t xml:space="preserve"> Another limitation we faced is the inability </w:t>
      </w:r>
      <w:r w:rsidR="008F4353" w:rsidRPr="00F357C1">
        <w:t xml:space="preserve">to measure the absolute efficiency of a DMU. </w:t>
      </w:r>
      <w:r w:rsidR="008F4353">
        <w:t xml:space="preserve">Despite these limitations, </w:t>
      </w:r>
      <w:r w:rsidR="002F2C9E">
        <w:t>this</w:t>
      </w:r>
      <w:r w:rsidR="002F2C9E" w:rsidRPr="00F357C1">
        <w:t xml:space="preserve"> </w:t>
      </w:r>
      <w:r w:rsidR="002F2C9E">
        <w:t>paper</w:t>
      </w:r>
      <w:r w:rsidR="002F2C9E" w:rsidRPr="00F357C1">
        <w:t xml:space="preserve"> provided a framework for measuring and comparing the relative efficiencies of mobile operators in the Middle East</w:t>
      </w:r>
      <w:r w:rsidR="002F2C9E" w:rsidRPr="002F2C9E">
        <w:t xml:space="preserve"> </w:t>
      </w:r>
      <w:r w:rsidR="002F2C9E">
        <w:t xml:space="preserve">and </w:t>
      </w:r>
      <w:r w:rsidR="002F2C9E" w:rsidRPr="00F357C1">
        <w:t>for offering suggestion</w:t>
      </w:r>
      <w:r w:rsidR="002F2C9E">
        <w:t>s</w:t>
      </w:r>
      <w:r w:rsidR="002F2C9E" w:rsidRPr="00F357C1">
        <w:t xml:space="preserve"> on the improvements which the relatively inefficient mobile operators have to abide with to </w:t>
      </w:r>
      <w:r w:rsidR="00EF2B5E">
        <w:t xml:space="preserve">be </w:t>
      </w:r>
      <w:r w:rsidR="002F2C9E" w:rsidRPr="00F357C1">
        <w:t>able to compete with their regional counterparts. Mobile operators are confronting</w:t>
      </w:r>
      <w:r w:rsidR="00EF2B5E">
        <w:t xml:space="preserve"> a</w:t>
      </w:r>
      <w:r w:rsidR="002F2C9E" w:rsidRPr="00F357C1">
        <w:t xml:space="preserve"> lot of challenges, and operating as efficiently as possible is becoming very crucial. </w:t>
      </w:r>
    </w:p>
    <w:p w:rsidR="00391C21" w:rsidRPr="00F357C1" w:rsidRDefault="00C86089" w:rsidP="00391C21">
      <w:r>
        <w:t xml:space="preserve">Challenges are related to severe </w:t>
      </w:r>
      <w:r w:rsidR="00EF2B5E">
        <w:t>competition</w:t>
      </w:r>
      <w:r>
        <w:t xml:space="preserve">. </w:t>
      </w:r>
      <w:r w:rsidR="00391C21" w:rsidRPr="00F357C1">
        <w:t>Competition is coming from mobile operators among themselves and from external parties such as voice over IP (VoIP) providers and internet service providers (ISP). VoIP providers are hindering the mobile operators’ revenues from international voice calls, whereas the ISPs are threatening the mobile operators’ broadband revenue. This is why operators are going to compete for data packages and international traffic. Prices are falling, and mobile operators in highly penetrated markets will start to re-price service packages to win customers regardl</w:t>
      </w:r>
      <w:r>
        <w:t xml:space="preserve">ess if it is profitable or not. </w:t>
      </w:r>
      <w:r w:rsidR="00391C21" w:rsidRPr="00F357C1">
        <w:t xml:space="preserve">In response to competition, mobile operators are in the process of rolling out Long Term Evolution (LTE) hoping to get a premium price form the upgrade of customers from 3G to LTE. However, LTE will not bring the </w:t>
      </w:r>
      <w:r w:rsidR="00391C21" w:rsidRPr="00F357C1">
        <w:lastRenderedPageBreak/>
        <w:t>anticipated revenue. Amidst the fierce competition, mobile operators will be forced to reduce their LTE</w:t>
      </w:r>
      <w:r>
        <w:t xml:space="preserve"> prices as well. </w:t>
      </w:r>
      <w:r w:rsidR="00391C21" w:rsidRPr="00F357C1">
        <w:t>Operators will try to limit their losses by earning revenue from new value added services (VAS).  VAS might help in compensating part of the revenue</w:t>
      </w:r>
      <w:r w:rsidR="009442F0">
        <w:t>,</w:t>
      </w:r>
      <w:r w:rsidR="00391C21" w:rsidRPr="00F357C1">
        <w:t xml:space="preserve"> but it will be unlikely for it to replace all the lost revenue. The greatest value that mobile operators will gain from VAS will be more of a marketing im</w:t>
      </w:r>
      <w:r>
        <w:t xml:space="preserve">age rather than financial gain. </w:t>
      </w:r>
      <w:r w:rsidR="00391C21" w:rsidRPr="00F357C1">
        <w:t>There does not seem to be a new technology which will be able to create new revenue for mobile operators. For this reason, investors in the telco industry should be careful. They have previously enjoyed high returns, but the share prices will start to decrease. Mobile operators have invested a lot of money to obtain licenses and are now forced to offer low prices for their services. To be able to compensate for the high licenses prices paid; mobile operators will have two solutions: either massive cost cutting or consolidation. The consolidation the mobile market will witness will be of two types: light consolidation where two or more operators build an infrastructure together, or the classic consolidation where two or more operators will be merged into one.</w:t>
      </w:r>
    </w:p>
    <w:p w:rsidR="00391C21" w:rsidRDefault="00391C21" w:rsidP="00391C21">
      <w:r w:rsidRPr="00F357C1">
        <w:t xml:space="preserve">Taking the above challenges into account, mobile operators, globally and in the Middle East, do not have a choice but to be operating in the most efficient manner to be able to generate the highest revenue possible from the industry. </w:t>
      </w:r>
      <w:r w:rsidR="0055139D">
        <w:rPr>
          <w:color w:val="000000" w:themeColor="text1"/>
        </w:rPr>
        <w:t>F</w:t>
      </w:r>
      <w:r w:rsidRPr="00583BA5">
        <w:rPr>
          <w:color w:val="000000" w:themeColor="text1"/>
        </w:rPr>
        <w:t>inancial ratios</w:t>
      </w:r>
      <w:r w:rsidR="0055139D">
        <w:rPr>
          <w:color w:val="000000" w:themeColor="text1"/>
        </w:rPr>
        <w:t xml:space="preserve"> </w:t>
      </w:r>
      <w:r w:rsidRPr="00583BA5">
        <w:rPr>
          <w:color w:val="000000" w:themeColor="text1"/>
        </w:rPr>
        <w:t xml:space="preserve">do not reflect </w:t>
      </w:r>
      <w:r w:rsidR="0055139D" w:rsidRPr="00583BA5">
        <w:rPr>
          <w:color w:val="000000" w:themeColor="text1"/>
        </w:rPr>
        <w:t>efficiency;</w:t>
      </w:r>
      <w:r w:rsidRPr="00F357C1">
        <w:t xml:space="preserve"> </w:t>
      </w:r>
      <w:r w:rsidR="0055139D">
        <w:t xml:space="preserve">only models similar to the proposed DEA are able to </w:t>
      </w:r>
      <w:r w:rsidR="00D5095C">
        <w:t>evaluate</w:t>
      </w:r>
      <w:r w:rsidR="0055139D">
        <w:t xml:space="preserve"> efficiency and suggest </w:t>
      </w:r>
      <w:r w:rsidR="00D5095C">
        <w:t xml:space="preserve">quantifiable </w:t>
      </w:r>
      <w:r w:rsidR="0055139D">
        <w:t>improvements.</w:t>
      </w:r>
      <w:r w:rsidR="00F14463">
        <w:t xml:space="preserve"> T</w:t>
      </w:r>
      <w:r w:rsidRPr="00F357C1">
        <w:t xml:space="preserve">he operators’ managements and regulators </w:t>
      </w:r>
      <w:r w:rsidR="00F14463">
        <w:t>are now urged to</w:t>
      </w:r>
      <w:r w:rsidRPr="00F357C1">
        <w:t xml:space="preserve"> apply</w:t>
      </w:r>
      <w:r w:rsidR="00F14463">
        <w:t xml:space="preserve"> similar models in order to guarantee and optimize their continuity.</w:t>
      </w:r>
    </w:p>
    <w:p w:rsidR="00F14463" w:rsidRDefault="00F14463" w:rsidP="00391C21"/>
    <w:p w:rsidR="00F14463" w:rsidRPr="002C0FD0" w:rsidRDefault="00F14463" w:rsidP="00391C21"/>
    <w:p w:rsidR="00B72DDC" w:rsidRDefault="00583BA5" w:rsidP="008266E8">
      <w:pPr>
        <w:autoSpaceDE w:val="0"/>
        <w:autoSpaceDN w:val="0"/>
        <w:adjustRightInd w:val="0"/>
        <w:spacing w:after="0" w:line="240" w:lineRule="auto"/>
        <w:rPr>
          <w:rFonts w:cs="Times New Roman"/>
          <w:b/>
          <w:szCs w:val="24"/>
        </w:rPr>
      </w:pPr>
      <w:r>
        <w:rPr>
          <w:rFonts w:cs="Times New Roman"/>
          <w:b/>
          <w:szCs w:val="24"/>
        </w:rPr>
        <w:t>References</w:t>
      </w:r>
    </w:p>
    <w:p w:rsidR="00BD06F9" w:rsidRPr="00B72DDC" w:rsidRDefault="00C35FF1" w:rsidP="00FF7C88">
      <w:pPr>
        <w:rPr>
          <w:noProof/>
        </w:rPr>
      </w:pPr>
      <w:r>
        <w:rPr>
          <w:noProof/>
        </w:rPr>
        <w:t>[1] ITU, “</w:t>
      </w:r>
      <w:r w:rsidR="00BD06F9" w:rsidRPr="00B72DDC">
        <w:rPr>
          <w:iCs/>
          <w:noProof/>
        </w:rPr>
        <w:t>The Missing Link.</w:t>
      </w:r>
      <w:r w:rsidR="00BD06F9" w:rsidRPr="00B72DDC">
        <w:rPr>
          <w:noProof/>
        </w:rPr>
        <w:t xml:space="preserve"> Geneva: Independent Commission for Worldwide Telecommunications Development,” 1984.</w:t>
      </w:r>
    </w:p>
    <w:p w:rsidR="00BD06F9" w:rsidRPr="00B72DDC" w:rsidRDefault="00BD06F9" w:rsidP="00FF7C88">
      <w:pPr>
        <w:rPr>
          <w:noProof/>
        </w:rPr>
      </w:pPr>
      <w:r w:rsidRPr="00B72DDC">
        <w:rPr>
          <w:noProof/>
        </w:rPr>
        <w:t>[2] ITU, “</w:t>
      </w:r>
      <w:r w:rsidRPr="00B72DDC">
        <w:rPr>
          <w:iCs/>
          <w:noProof/>
        </w:rPr>
        <w:t>World Telecommunication Development Report,” 1999</w:t>
      </w:r>
      <w:r w:rsidRPr="00B72DDC">
        <w:rPr>
          <w:noProof/>
        </w:rPr>
        <w:t>.</w:t>
      </w:r>
    </w:p>
    <w:p w:rsidR="00246900" w:rsidRDefault="00BD06F9" w:rsidP="00FF7C88">
      <w:pPr>
        <w:rPr>
          <w:noProof/>
        </w:rPr>
      </w:pPr>
      <w:r w:rsidRPr="00B72DDC">
        <w:rPr>
          <w:noProof/>
        </w:rPr>
        <w:t xml:space="preserve">[3] </w:t>
      </w:r>
      <w:r w:rsidRPr="00B72DDC">
        <w:rPr>
          <w:rFonts w:cs="Times New Roman"/>
          <w:szCs w:val="24"/>
        </w:rPr>
        <w:t xml:space="preserve">N. </w:t>
      </w:r>
      <w:proofErr w:type="spellStart"/>
      <w:r w:rsidRPr="00B72DDC">
        <w:rPr>
          <w:rFonts w:cs="Times New Roman"/>
          <w:szCs w:val="24"/>
        </w:rPr>
        <w:t>Leff</w:t>
      </w:r>
      <w:proofErr w:type="spellEnd"/>
      <w:r w:rsidRPr="00B72DDC">
        <w:rPr>
          <w:rFonts w:cs="Times New Roman"/>
          <w:szCs w:val="24"/>
        </w:rPr>
        <w:t>, “</w:t>
      </w:r>
      <w:r w:rsidRPr="00B72DDC">
        <w:rPr>
          <w:noProof/>
        </w:rPr>
        <w:t>The output contributions of computer equipment and personnel: a firm level analysis for economic development: an example from telecommunication,” Economic Development and Cultural Change, vol. 2, 1984, pp. 255-276</w:t>
      </w:r>
    </w:p>
    <w:p w:rsidR="00BD06F9" w:rsidRPr="00B72DDC" w:rsidRDefault="00BD06F9" w:rsidP="00FF7C88">
      <w:pPr>
        <w:rPr>
          <w:noProof/>
        </w:rPr>
      </w:pPr>
      <w:r w:rsidRPr="00B72DDC">
        <w:rPr>
          <w:noProof/>
        </w:rPr>
        <w:t xml:space="preserve">[4] H. Gruber, P. Koutroumpis, “Mobile telecommunications and the impact on economic development,” </w:t>
      </w:r>
      <w:r w:rsidRPr="00B72DDC">
        <w:rPr>
          <w:iCs/>
          <w:noProof/>
        </w:rPr>
        <w:t>Panel draft for the 52nd Economic Policy Panel</w:t>
      </w:r>
      <w:r w:rsidRPr="00B72DDC">
        <w:rPr>
          <w:noProof/>
        </w:rPr>
        <w:t>, October 2010.</w:t>
      </w:r>
    </w:p>
    <w:p w:rsidR="00BD06F9" w:rsidRPr="00B72DDC" w:rsidRDefault="00BD06F9" w:rsidP="00FF7C88">
      <w:pPr>
        <w:rPr>
          <w:noProof/>
        </w:rPr>
      </w:pPr>
      <w:r w:rsidRPr="00B72DDC">
        <w:t xml:space="preserve">[5] </w:t>
      </w:r>
      <w:r w:rsidRPr="00B72DDC">
        <w:rPr>
          <w:noProof/>
        </w:rPr>
        <w:t>W. W. Cooper, L. M. Seiford, J. Zhu, “</w:t>
      </w:r>
      <w:r w:rsidRPr="00B72DDC">
        <w:rPr>
          <w:iCs/>
          <w:noProof/>
        </w:rPr>
        <w:t>Handbook on Data Envelopment Analysis,”</w:t>
      </w:r>
      <w:r w:rsidRPr="00B72DDC">
        <w:rPr>
          <w:noProof/>
        </w:rPr>
        <w:t xml:space="preserve"> Springer, London, 2011.</w:t>
      </w:r>
    </w:p>
    <w:p w:rsidR="00BD06F9" w:rsidRPr="00B72DDC" w:rsidRDefault="00BD06F9" w:rsidP="00FF7C88">
      <w:pPr>
        <w:rPr>
          <w:noProof/>
        </w:rPr>
      </w:pPr>
      <w:r w:rsidRPr="00B72DDC">
        <w:t>[6]</w:t>
      </w:r>
      <w:r w:rsidRPr="00B72DDC">
        <w:rPr>
          <w:noProof/>
        </w:rPr>
        <w:t xml:space="preserve"> H. Tsai, C. Chen, G. Tzeng, “The comparative productivity efficiency for global telecoms,” </w:t>
      </w:r>
      <w:r w:rsidRPr="00B72DDC">
        <w:rPr>
          <w:iCs/>
          <w:noProof/>
        </w:rPr>
        <w:t>International Journal of Production Economics</w:t>
      </w:r>
      <w:r w:rsidRPr="00B72DDC">
        <w:rPr>
          <w:noProof/>
        </w:rPr>
        <w:t>, vol. 103, March 2006, pp. 509-526.</w:t>
      </w:r>
    </w:p>
    <w:p w:rsidR="00BD06F9" w:rsidRPr="00B72DDC" w:rsidRDefault="00BD06F9" w:rsidP="00FF7C88">
      <w:pPr>
        <w:rPr>
          <w:noProof/>
        </w:rPr>
      </w:pPr>
      <w:r w:rsidRPr="00B72DDC">
        <w:lastRenderedPageBreak/>
        <w:t>[7]</w:t>
      </w:r>
      <w:r w:rsidRPr="00B72DDC">
        <w:rPr>
          <w:noProof/>
        </w:rPr>
        <w:t xml:space="preserve"> J. Hu, W. Chu, “Efficiency and Productivity of Major Asia-Pacific Telecom Firms,” </w:t>
      </w:r>
      <w:r w:rsidRPr="00B72DDC">
        <w:rPr>
          <w:iCs/>
          <w:noProof/>
        </w:rPr>
        <w:t>Chang Gung Journal of Humanities and Social Sciences</w:t>
      </w:r>
      <w:r w:rsidRPr="00B72DDC">
        <w:rPr>
          <w:noProof/>
        </w:rPr>
        <w:t>,  vol. 1, no. 2, October 2008, pp. 223-245.</w:t>
      </w:r>
    </w:p>
    <w:p w:rsidR="00BD06F9" w:rsidRPr="00B72DDC" w:rsidRDefault="00BD06F9" w:rsidP="00FF7C88">
      <w:pPr>
        <w:rPr>
          <w:noProof/>
        </w:rPr>
      </w:pPr>
      <w:r w:rsidRPr="00B72DDC">
        <w:t>[8]</w:t>
      </w:r>
      <w:r w:rsidRPr="00B72DDC">
        <w:rPr>
          <w:noProof/>
        </w:rPr>
        <w:t xml:space="preserve"> C. Liao, D. B. G. Jimenez, “Comparing Operational Efficiency among Mobile Operators in Brazil, Russia, India and China,” </w:t>
      </w:r>
      <w:r w:rsidRPr="00B72DDC">
        <w:rPr>
          <w:iCs/>
          <w:noProof/>
        </w:rPr>
        <w:t>China &amp; World Economy</w:t>
      </w:r>
      <w:r w:rsidRPr="00B72DDC">
        <w:rPr>
          <w:noProof/>
        </w:rPr>
        <w:t xml:space="preserve"> </w:t>
      </w:r>
      <w:r w:rsidRPr="00B72DDC">
        <w:rPr>
          <w:iCs/>
          <w:noProof/>
        </w:rPr>
        <w:t>, vol. 17</w:t>
      </w:r>
      <w:r w:rsidRPr="00B72DDC">
        <w:rPr>
          <w:noProof/>
        </w:rPr>
        <w:t>, 2009, pp. 104-120.</w:t>
      </w:r>
    </w:p>
    <w:p w:rsidR="00BD06F9" w:rsidRPr="00B72DDC" w:rsidRDefault="00BD06F9" w:rsidP="00FF7C88">
      <w:pPr>
        <w:rPr>
          <w:noProof/>
        </w:rPr>
      </w:pPr>
      <w:r w:rsidRPr="00B72DDC">
        <w:t>[9]</w:t>
      </w:r>
      <w:r w:rsidRPr="00B72DDC">
        <w:rPr>
          <w:noProof/>
        </w:rPr>
        <w:t xml:space="preserve"> C. Liao, H. Lin, “Measuring operational efficiency of mobile operators in Japan and Korea,” </w:t>
      </w:r>
      <w:r w:rsidRPr="00B72DDC">
        <w:rPr>
          <w:iCs/>
          <w:noProof/>
        </w:rPr>
        <w:t>Japan and the World Economy</w:t>
      </w:r>
      <w:r w:rsidRPr="00B72DDC">
        <w:rPr>
          <w:noProof/>
        </w:rPr>
        <w:t xml:space="preserve"> </w:t>
      </w:r>
      <w:r w:rsidRPr="00B72DDC">
        <w:rPr>
          <w:iCs/>
          <w:noProof/>
        </w:rPr>
        <w:t>, vol. 23</w:t>
      </w:r>
      <w:r w:rsidRPr="00B72DDC">
        <w:rPr>
          <w:noProof/>
        </w:rPr>
        <w:t>, no. 1, 2011, pp. 48-57.</w:t>
      </w:r>
    </w:p>
    <w:p w:rsidR="00BD06F9" w:rsidRPr="00B72DDC" w:rsidRDefault="00BD06F9" w:rsidP="00FF7C88">
      <w:pPr>
        <w:rPr>
          <w:noProof/>
        </w:rPr>
      </w:pPr>
      <w:r w:rsidRPr="00B72DDC">
        <w:t xml:space="preserve">[10] </w:t>
      </w:r>
      <w:r w:rsidRPr="00B72DDC">
        <w:rPr>
          <w:noProof/>
        </w:rPr>
        <w:t xml:space="preserve">V. Nigam, T. Thakur, V.K. Sethi, R.P. Singh, “Benchmarking of Indian mobile telecom operators using DEA with sensitivity analysis,” </w:t>
      </w:r>
      <w:r w:rsidRPr="00B72DDC">
        <w:rPr>
          <w:iCs/>
          <w:noProof/>
        </w:rPr>
        <w:t>Benchmarking: An International Journal</w:t>
      </w:r>
      <w:r w:rsidRPr="00B72DDC">
        <w:rPr>
          <w:noProof/>
        </w:rPr>
        <w:t xml:space="preserve"> </w:t>
      </w:r>
      <w:r w:rsidRPr="00B72DDC">
        <w:rPr>
          <w:iCs/>
          <w:noProof/>
        </w:rPr>
        <w:t>, vol. 19</w:t>
      </w:r>
      <w:r w:rsidRPr="00B72DDC">
        <w:rPr>
          <w:noProof/>
        </w:rPr>
        <w:t>, no.2, 2012, pp. 219-238.</w:t>
      </w:r>
    </w:p>
    <w:p w:rsidR="00BD06F9" w:rsidRPr="00B72DDC" w:rsidRDefault="00BD06F9" w:rsidP="00FF7C88">
      <w:pPr>
        <w:rPr>
          <w:noProof/>
        </w:rPr>
      </w:pPr>
      <w:r w:rsidRPr="00B72DDC">
        <w:t xml:space="preserve">[11] </w:t>
      </w:r>
      <w:r w:rsidRPr="00B72DDC">
        <w:rPr>
          <w:noProof/>
        </w:rPr>
        <w:t xml:space="preserve">Y. Lee, Y. Park, H. Oh, “The impact of competition on the efficiency of public enterprise: The case of Korea Telecom,” </w:t>
      </w:r>
      <w:r w:rsidRPr="00B72DDC">
        <w:rPr>
          <w:iCs/>
          <w:noProof/>
        </w:rPr>
        <w:t>Asia Pacific Journal of Management</w:t>
      </w:r>
      <w:r w:rsidRPr="00B72DDC">
        <w:rPr>
          <w:noProof/>
        </w:rPr>
        <w:t xml:space="preserve"> </w:t>
      </w:r>
      <w:r w:rsidRPr="00B72DDC">
        <w:rPr>
          <w:iCs/>
          <w:noProof/>
        </w:rPr>
        <w:t>, vol. 17</w:t>
      </w:r>
      <w:r w:rsidRPr="00B72DDC">
        <w:rPr>
          <w:noProof/>
        </w:rPr>
        <w:t>, December 2000, pp. 432-442.</w:t>
      </w:r>
      <w:bookmarkStart w:id="22" w:name="_GoBack"/>
      <w:bookmarkEnd w:id="22"/>
    </w:p>
    <w:p w:rsidR="00BD06F9" w:rsidRPr="00B72DDC" w:rsidRDefault="00BD06F9" w:rsidP="00FF7C88">
      <w:pPr>
        <w:rPr>
          <w:noProof/>
        </w:rPr>
      </w:pPr>
      <w:r w:rsidRPr="00B72DDC">
        <w:t xml:space="preserve">[12] </w:t>
      </w:r>
      <w:r w:rsidRPr="00B72DDC">
        <w:rPr>
          <w:noProof/>
        </w:rPr>
        <w:t xml:space="preserve">R. D. Banker, Z. Cao, N. Menon, R. Natarjan, “Technological progress and productivity growth in the U.S. mobile telecommunications industry,” </w:t>
      </w:r>
      <w:r w:rsidRPr="00B72DDC">
        <w:rPr>
          <w:iCs/>
          <w:noProof/>
        </w:rPr>
        <w:t>Annals of Operations Research</w:t>
      </w:r>
      <w:r w:rsidRPr="00B72DDC">
        <w:rPr>
          <w:noProof/>
        </w:rPr>
        <w:t xml:space="preserve"> </w:t>
      </w:r>
      <w:r w:rsidRPr="00B72DDC">
        <w:rPr>
          <w:iCs/>
          <w:noProof/>
        </w:rPr>
        <w:t>, vol. 173</w:t>
      </w:r>
      <w:r w:rsidRPr="00B72DDC">
        <w:rPr>
          <w:noProof/>
        </w:rPr>
        <w:t>, January 2010, pp. 77-87.</w:t>
      </w:r>
    </w:p>
    <w:p w:rsidR="00BD06F9" w:rsidRPr="00B72DDC" w:rsidRDefault="00BD06F9" w:rsidP="00FF7C88">
      <w:pPr>
        <w:rPr>
          <w:noProof/>
        </w:rPr>
      </w:pPr>
      <w:r w:rsidRPr="00B72DDC">
        <w:rPr>
          <w:noProof/>
        </w:rPr>
        <w:t xml:space="preserve">[13] D.I. Giokas, G. Pentzaropoulos, “Evaluation productivity efficiency in telecommunications: Evidence from Greece,” </w:t>
      </w:r>
      <w:r w:rsidRPr="00B72DDC">
        <w:rPr>
          <w:iCs/>
          <w:noProof/>
        </w:rPr>
        <w:t>Telecommunications Policy</w:t>
      </w:r>
      <w:r w:rsidRPr="00B72DDC">
        <w:rPr>
          <w:noProof/>
        </w:rPr>
        <w:t xml:space="preserve"> </w:t>
      </w:r>
      <w:r w:rsidRPr="00B72DDC">
        <w:rPr>
          <w:iCs/>
          <w:noProof/>
        </w:rPr>
        <w:t>, vol. 24</w:t>
      </w:r>
      <w:r w:rsidRPr="00B72DDC">
        <w:rPr>
          <w:noProof/>
        </w:rPr>
        <w:t>, 2000, pp. 781-794.</w:t>
      </w:r>
    </w:p>
    <w:p w:rsidR="00BD06F9" w:rsidRPr="00B72DDC" w:rsidRDefault="00BD06F9" w:rsidP="00FF7C88">
      <w:pPr>
        <w:rPr>
          <w:noProof/>
        </w:rPr>
      </w:pPr>
      <w:r w:rsidRPr="00B72DDC">
        <w:t xml:space="preserve">[14] </w:t>
      </w:r>
      <w:r w:rsidRPr="00B72DDC">
        <w:rPr>
          <w:noProof/>
        </w:rPr>
        <w:t xml:space="preserve">A. Charnes, W. W. Cooper, E. Rhodes, “Measuring the Efficiency of Decision Making Units,” </w:t>
      </w:r>
      <w:r w:rsidRPr="00B72DDC">
        <w:rPr>
          <w:iCs/>
          <w:noProof/>
        </w:rPr>
        <w:t>European Journal of Operational Research</w:t>
      </w:r>
      <w:r w:rsidRPr="00B72DDC">
        <w:rPr>
          <w:noProof/>
        </w:rPr>
        <w:t xml:space="preserve"> </w:t>
      </w:r>
      <w:r w:rsidRPr="00B72DDC">
        <w:rPr>
          <w:iCs/>
          <w:noProof/>
        </w:rPr>
        <w:t>, vol. 2</w:t>
      </w:r>
      <w:r w:rsidRPr="00B72DDC">
        <w:rPr>
          <w:noProof/>
        </w:rPr>
        <w:t>, 1978, pp. 429-444.</w:t>
      </w:r>
    </w:p>
    <w:p w:rsidR="00BD06F9" w:rsidRPr="00B72DDC" w:rsidRDefault="00BD06F9" w:rsidP="00FF7C88">
      <w:pPr>
        <w:rPr>
          <w:noProof/>
        </w:rPr>
      </w:pPr>
      <w:r w:rsidRPr="00B72DDC">
        <w:t xml:space="preserve">[15] </w:t>
      </w:r>
      <w:r w:rsidRPr="00B72DDC">
        <w:rPr>
          <w:noProof/>
        </w:rPr>
        <w:t xml:space="preserve">P. Andersen, N. C. Petersen, “A Procedure for Ranking Efficient Units in Data Envelopment Analysis,” </w:t>
      </w:r>
      <w:r w:rsidRPr="00B72DDC">
        <w:rPr>
          <w:iCs/>
          <w:noProof/>
        </w:rPr>
        <w:t>Management Science</w:t>
      </w:r>
      <w:r w:rsidRPr="00B72DDC">
        <w:rPr>
          <w:noProof/>
        </w:rPr>
        <w:t xml:space="preserve"> </w:t>
      </w:r>
      <w:r w:rsidRPr="00B72DDC">
        <w:rPr>
          <w:iCs/>
          <w:noProof/>
        </w:rPr>
        <w:t>, vol. 39</w:t>
      </w:r>
      <w:r w:rsidRPr="00B72DDC">
        <w:rPr>
          <w:noProof/>
        </w:rPr>
        <w:t>, no.10, October 1993, pp. 1261-1264.</w:t>
      </w:r>
    </w:p>
    <w:p w:rsidR="00B85EB9" w:rsidRPr="00B72DDC" w:rsidRDefault="00B85EB9" w:rsidP="008266E8">
      <w:pPr>
        <w:autoSpaceDE w:val="0"/>
        <w:autoSpaceDN w:val="0"/>
        <w:adjustRightInd w:val="0"/>
        <w:spacing w:after="0" w:line="240" w:lineRule="auto"/>
        <w:rPr>
          <w:rFonts w:cs="Times New Roman"/>
          <w:szCs w:val="24"/>
        </w:rPr>
      </w:pPr>
    </w:p>
    <w:sectPr w:rsidR="00B85EB9" w:rsidRPr="00B72DDC" w:rsidSect="00C06C3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0A" w:rsidRDefault="00A9680A" w:rsidP="00257B59">
      <w:pPr>
        <w:spacing w:before="0" w:after="0" w:line="240" w:lineRule="auto"/>
      </w:pPr>
      <w:r>
        <w:separator/>
      </w:r>
    </w:p>
  </w:endnote>
  <w:endnote w:type="continuationSeparator" w:id="0">
    <w:p w:rsidR="00A9680A" w:rsidRDefault="00A9680A" w:rsidP="00257B5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txr">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5858"/>
      <w:docPartObj>
        <w:docPartGallery w:val="Page Numbers (Bottom of Page)"/>
        <w:docPartUnique/>
      </w:docPartObj>
    </w:sdtPr>
    <w:sdtContent>
      <w:p w:rsidR="00583BA5" w:rsidRDefault="00583BA5">
        <w:pPr>
          <w:pStyle w:val="Footer"/>
          <w:jc w:val="right"/>
        </w:pPr>
        <w:fldSimple w:instr=" PAGE   \* MERGEFORMAT ">
          <w:r w:rsidR="00F14463">
            <w:rPr>
              <w:noProof/>
            </w:rPr>
            <w:t>20</w:t>
          </w:r>
        </w:fldSimple>
      </w:p>
    </w:sdtContent>
  </w:sdt>
  <w:p w:rsidR="00583BA5" w:rsidRDefault="00583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0A" w:rsidRDefault="00A9680A" w:rsidP="00257B59">
      <w:pPr>
        <w:spacing w:before="0" w:after="0" w:line="240" w:lineRule="auto"/>
      </w:pPr>
      <w:r>
        <w:separator/>
      </w:r>
    </w:p>
  </w:footnote>
  <w:footnote w:type="continuationSeparator" w:id="0">
    <w:p w:rsidR="00A9680A" w:rsidRDefault="00A9680A" w:rsidP="00257B59">
      <w:pPr>
        <w:spacing w:before="0" w:after="0" w:line="240" w:lineRule="auto"/>
      </w:pPr>
      <w:r>
        <w:continuationSeparator/>
      </w:r>
    </w:p>
  </w:footnote>
  <w:footnote w:id="1">
    <w:p w:rsidR="00583BA5" w:rsidRDefault="00583BA5">
      <w:pPr>
        <w:pStyle w:val="FootnoteText"/>
      </w:pPr>
      <w:r>
        <w:rPr>
          <w:rStyle w:val="FootnoteReference"/>
        </w:rPr>
        <w:footnoteRef/>
      </w:r>
      <w:r>
        <w:t xml:space="preserve"> The United Nations </w:t>
      </w:r>
      <w:r w:rsidRPr="00850F56">
        <w:rPr>
          <w:bCs/>
        </w:rPr>
        <w:t>specialized agency for information a</w:t>
      </w:r>
      <w:r>
        <w:rPr>
          <w:bCs/>
        </w:rPr>
        <w:t>nd communication technologies (</w:t>
      </w:r>
      <w:r w:rsidRPr="00850F56">
        <w:rPr>
          <w:bCs/>
        </w:rPr>
        <w:t>ICTs</w:t>
      </w:r>
      <w:r>
        <w:rPr>
          <w:bCs/>
        </w:rPr>
        <w:t>)</w:t>
      </w:r>
      <w:r>
        <w:t>.</w:t>
      </w:r>
    </w:p>
  </w:footnote>
  <w:footnote w:id="2">
    <w:p w:rsidR="00583BA5" w:rsidRPr="00074A79" w:rsidRDefault="00583BA5" w:rsidP="00646402">
      <w:pPr>
        <w:pStyle w:val="FootnoteText"/>
        <w:rPr>
          <w:rFonts w:cs="Times New Roman"/>
        </w:rPr>
      </w:pPr>
      <w:r w:rsidRPr="00074A79">
        <w:rPr>
          <w:rStyle w:val="FootnoteReference"/>
          <w:rFonts w:cs="Times New Roman"/>
        </w:rPr>
        <w:footnoteRef/>
      </w:r>
      <w:r w:rsidRPr="00074A79">
        <w:rPr>
          <w:rFonts w:cs="Times New Roman"/>
        </w:rPr>
        <w:t xml:space="preserve"> </w:t>
      </w:r>
      <w:r w:rsidRPr="00074A79">
        <w:rPr>
          <w:rFonts w:cs="Times New Roman"/>
          <w:color w:val="000000"/>
          <w:shd w:val="clear" w:color="auto" w:fill="FFFFFF"/>
        </w:rPr>
        <w:t>Forbes is an American media a</w:t>
      </w:r>
      <w:r>
        <w:rPr>
          <w:rFonts w:cs="Times New Roman"/>
          <w:color w:val="000000"/>
          <w:shd w:val="clear" w:color="auto" w:fill="FFFFFF"/>
        </w:rPr>
        <w:t>nd publishing company headed by</w:t>
      </w:r>
      <w:r w:rsidRPr="00074A79">
        <w:rPr>
          <w:rFonts w:cs="Times New Roman"/>
          <w:color w:val="000000"/>
          <w:shd w:val="clear" w:color="auto" w:fill="FFFFFF"/>
        </w:rPr>
        <w:t xml:space="preserve"> Steve Forbes, best known for</w:t>
      </w:r>
      <w:r w:rsidRPr="00074A79">
        <w:rPr>
          <w:rStyle w:val="apple-converted-space"/>
          <w:rFonts w:cs="Times New Roman"/>
          <w:color w:val="000000"/>
          <w:shd w:val="clear" w:color="auto" w:fill="FFFFFF"/>
        </w:rPr>
        <w:t> </w:t>
      </w:r>
      <w:r w:rsidRPr="00074A79">
        <w:rPr>
          <w:rStyle w:val="Emphasis"/>
          <w:rFonts w:cs="Times New Roman"/>
          <w:color w:val="000000"/>
        </w:rPr>
        <w:t>Forbes Magazine.</w:t>
      </w:r>
      <w:r w:rsidRPr="00074A79">
        <w:rPr>
          <w:rFonts w:cs="Times New Roman"/>
          <w:color w:val="000000"/>
          <w:shd w:val="clear" w:color="auto" w:fill="FFFFFF"/>
        </w:rPr>
        <w:t xml:space="preserve"> Forbes provides daily news coverage on business, technology, financial markets, personal finance, sports and a wide array of other topics. Forbes is also widely known for its lists of billionaires, world's richest people, world's leading companies and the richest celebrities, among others. Forbes was founded in 1917.</w:t>
      </w:r>
      <w:r w:rsidRPr="00074A79">
        <w:rPr>
          <w:rFonts w:cs="Times New Roman"/>
          <w:color w:val="000000"/>
        </w:rPr>
        <w:br/>
      </w:r>
      <w:r w:rsidRPr="00074A79">
        <w:rPr>
          <w:rFonts w:cs="Times New Roman"/>
          <w:color w:val="000000"/>
        </w:rPr>
        <w:br/>
      </w:r>
    </w:p>
  </w:footnote>
  <w:footnote w:id="3">
    <w:p w:rsidR="00583BA5" w:rsidRDefault="00583BA5" w:rsidP="00D04C5A">
      <w:pPr>
        <w:pStyle w:val="FootnoteText"/>
      </w:pPr>
      <w:r>
        <w:rPr>
          <w:rStyle w:val="FootnoteReference"/>
        </w:rPr>
        <w:footnoteRef/>
      </w:r>
      <w:r>
        <w:t xml:space="preserve"> </w:t>
      </w:r>
      <w:proofErr w:type="gramStart"/>
      <w:r>
        <w:t>Third generation of mobile telecommunications technology.</w:t>
      </w:r>
      <w:proofErr w:type="gramEnd"/>
      <w:r>
        <w:t xml:space="preserve"> 3G allows mobile operators to offer high speed internet service.</w:t>
      </w:r>
    </w:p>
  </w:footnote>
  <w:footnote w:id="4">
    <w:p w:rsidR="00583BA5" w:rsidRDefault="00583BA5">
      <w:pPr>
        <w:pStyle w:val="FootnoteText"/>
      </w:pPr>
      <w:r>
        <w:rPr>
          <w:rStyle w:val="FootnoteReference"/>
        </w:rPr>
        <w:footnoteRef/>
      </w:r>
      <w:r>
        <w:t xml:space="preserve"> GSM Association (GSMA) - </w:t>
      </w:r>
      <w:r w:rsidRPr="00940ADC">
        <w:t>Founded in 1987, The </w:t>
      </w:r>
      <w:hyperlink r:id="rId1" w:history="1">
        <w:r w:rsidRPr="00940ADC">
          <w:t>GSM Association</w:t>
        </w:r>
      </w:hyperlink>
      <w:r w:rsidRPr="00940ADC">
        <w:t> (GSMA) is a global trade association representing more than 700 GSM mobile phone operators across 217 territories and count</w:t>
      </w:r>
      <w:r>
        <w:t>ries of the world. M</w:t>
      </w:r>
      <w:r w:rsidRPr="00940ADC">
        <w:t xml:space="preserve">ore than 180 manufacturers </w:t>
      </w:r>
      <w:r w:rsidRPr="00B77E34">
        <w:t>and suppliers support the Association's initiatives as associate members.</w:t>
      </w:r>
    </w:p>
  </w:footnote>
  <w:footnote w:id="5">
    <w:p w:rsidR="00583BA5" w:rsidRDefault="00583BA5">
      <w:pPr>
        <w:pStyle w:val="FootnoteText"/>
      </w:pPr>
      <w:r>
        <w:rPr>
          <w:rStyle w:val="FootnoteReference"/>
        </w:rPr>
        <w:footnoteRef/>
      </w:r>
      <w:r>
        <w:t xml:space="preserve"> GSMA</w:t>
      </w:r>
      <w:r w:rsidRPr="00B77E34">
        <w:t xml:space="preserve"> Inte</w:t>
      </w:r>
      <w:r>
        <w:t xml:space="preserve">lligence </w:t>
      </w:r>
      <w:r w:rsidRPr="00B77E34">
        <w:t>is part of GSM Media LLC. It provides coverage and data of all 1,140 mobile operators, 3,505 networks and 236 countries from 1979–present with five-year forecasts and analysis on the mobile ecosystem</w:t>
      </w:r>
      <w:r w:rsidRPr="00B77E34">
        <w:rPr>
          <w:rFonts w:ascii="Helvetica" w:hAnsi="Helvetica"/>
          <w:sz w:val="21"/>
          <w:szCs w:val="21"/>
          <w:shd w:val="clear" w:color="auto" w:fill="FFFFFF"/>
        </w:rPr>
        <w:t>.</w:t>
      </w:r>
      <w:r w:rsidRPr="00B77E34">
        <w:t xml:space="preserve"> </w:t>
      </w:r>
      <w:hyperlink r:id="rId2" w:history="1">
        <w:r w:rsidRPr="00E41C58">
          <w:rPr>
            <w:rStyle w:val="Hyperlink"/>
          </w:rPr>
          <w:t>https://gsmaintelligence.com/</w:t>
        </w:r>
      </w:hyperlink>
      <w:r w:rsidRPr="00B77E34">
        <w:t xml:space="preserve"> </w:t>
      </w:r>
    </w:p>
  </w:footnote>
  <w:footnote w:id="6">
    <w:p w:rsidR="00583BA5" w:rsidRPr="0034196D" w:rsidRDefault="00583BA5" w:rsidP="0034196D">
      <w:pPr>
        <w:pStyle w:val="FootnoteText"/>
      </w:pPr>
      <w:r>
        <w:rPr>
          <w:rStyle w:val="FootnoteReference"/>
        </w:rPr>
        <w:footnoteRef/>
      </w:r>
      <w:r>
        <w:t xml:space="preserve"> </w:t>
      </w:r>
      <w:r w:rsidRPr="0034196D">
        <w:t>Those operators are Wataniya Kuwait, Wataniya Palestine, Vodafone Qatar, STC Saudi Arabia and Etisalat UAE.</w:t>
      </w:r>
    </w:p>
    <w:p w:rsidR="00583BA5" w:rsidRDefault="00583BA5">
      <w:pPr>
        <w:pStyle w:val="FootnoteText"/>
      </w:pPr>
    </w:p>
  </w:footnote>
  <w:footnote w:id="7">
    <w:p w:rsidR="00583BA5" w:rsidRDefault="00583BA5" w:rsidP="003A1F04">
      <w:pPr>
        <w:pStyle w:val="FootnoteText"/>
      </w:pPr>
      <w:r>
        <w:rPr>
          <w:rStyle w:val="FootnoteReference"/>
        </w:rPr>
        <w:footnoteRef/>
      </w:r>
      <w:r>
        <w:t xml:space="preserve"> Refers to the development of the first DEA model by </w:t>
      </w:r>
      <w:proofErr w:type="spellStart"/>
      <w:r>
        <w:t>Charnes</w:t>
      </w:r>
      <w:proofErr w:type="spellEnd"/>
      <w:r>
        <w:t xml:space="preserve">, Cooper and Rhodes. </w:t>
      </w:r>
    </w:p>
  </w:footnote>
  <w:footnote w:id="8">
    <w:p w:rsidR="00583BA5" w:rsidRDefault="00583BA5" w:rsidP="003A1F04">
      <w:pPr>
        <w:pStyle w:val="FootnoteText"/>
      </w:pPr>
      <w:r>
        <w:rPr>
          <w:rStyle w:val="FootnoteReference"/>
        </w:rPr>
        <w:footnoteRef/>
      </w:r>
      <w:r>
        <w:t xml:space="preserve"> </w:t>
      </w:r>
      <w:r w:rsidRPr="009B2F81">
        <w:t xml:space="preserve">In 1984, Banker, </w:t>
      </w:r>
      <w:proofErr w:type="spellStart"/>
      <w:r w:rsidRPr="009B2F81">
        <w:t>Charnes</w:t>
      </w:r>
      <w:proofErr w:type="spellEnd"/>
      <w:r w:rsidRPr="009B2F81">
        <w:t xml:space="preserve"> and Cooper proposed an extension on the CCR (CRS) model to account for variable returns to scale (VRS). The model they pro</w:t>
      </w:r>
      <w:r>
        <w:t xml:space="preserve">posed is called the BCC model. </w:t>
      </w:r>
    </w:p>
  </w:footnote>
  <w:footnote w:id="9">
    <w:p w:rsidR="00583BA5" w:rsidRDefault="00583BA5">
      <w:pPr>
        <w:pStyle w:val="FootnoteText"/>
      </w:pPr>
      <w:r>
        <w:rPr>
          <w:rStyle w:val="FootnoteReference"/>
        </w:rPr>
        <w:footnoteRef/>
      </w:r>
      <w:r>
        <w:t xml:space="preserve"> The A&amp;P model is a </w:t>
      </w:r>
      <w:r>
        <w:rPr>
          <w:rFonts w:cs="Times New Roman"/>
          <w:szCs w:val="24"/>
        </w:rPr>
        <w:t>modified DEA model proposed by Anderson and Peterson.</w:t>
      </w:r>
    </w:p>
  </w:footnote>
  <w:footnote w:id="10">
    <w:p w:rsidR="00583BA5" w:rsidRPr="006227B8" w:rsidRDefault="00583BA5" w:rsidP="006227B8">
      <w:pPr>
        <w:pStyle w:val="FootnoteText"/>
      </w:pPr>
      <w:r>
        <w:rPr>
          <w:rStyle w:val="FootnoteReference"/>
        </w:rPr>
        <w:footnoteRef/>
      </w:r>
      <w:r>
        <w:t xml:space="preserve"> </w:t>
      </w:r>
      <w:r w:rsidRPr="006227B8">
        <w:t>The DEA results were generated using the Efficiency Measurement System, EMS 1.3, software.</w:t>
      </w:r>
    </w:p>
    <w:p w:rsidR="00583BA5" w:rsidRDefault="00583BA5">
      <w:pPr>
        <w:pStyle w:val="FootnoteText"/>
      </w:pPr>
    </w:p>
  </w:footnote>
  <w:footnote w:id="11">
    <w:p w:rsidR="00583BA5" w:rsidRDefault="00583BA5" w:rsidP="00BA2636">
      <w:r>
        <w:rPr>
          <w:rStyle w:val="FootnoteReference"/>
        </w:rPr>
        <w:footnoteRef/>
      </w:r>
      <w:r>
        <w:t xml:space="preserve"> </w:t>
      </w:r>
      <w:r w:rsidRPr="00BA2636">
        <w:rPr>
          <w:sz w:val="20"/>
          <w:szCs w:val="20"/>
        </w:rPr>
        <w:t xml:space="preserve">The DEA Frontier will be used </w:t>
      </w:r>
      <w:hyperlink r:id="rId3" w:history="1">
        <w:r w:rsidRPr="00BA2636">
          <w:rPr>
            <w:rStyle w:val="Hyperlink"/>
            <w:sz w:val="20"/>
            <w:szCs w:val="20"/>
          </w:rPr>
          <w:t>http://www.deafrontier.net</w:t>
        </w:r>
      </w:hyperlink>
      <w:r w:rsidRPr="00BA2636">
        <w:rPr>
          <w:sz w:val="20"/>
          <w:szCs w:val="20"/>
        </w:rPr>
        <w:t xml:space="preserve"> .</w:t>
      </w:r>
    </w:p>
    <w:p w:rsidR="00583BA5" w:rsidRDefault="00583BA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9CC"/>
    <w:multiLevelType w:val="hybridMultilevel"/>
    <w:tmpl w:val="7E726EC8"/>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384F"/>
    <w:multiLevelType w:val="hybridMultilevel"/>
    <w:tmpl w:val="BEECFC96"/>
    <w:lvl w:ilvl="0" w:tplc="A514589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130968C4"/>
    <w:multiLevelType w:val="hybridMultilevel"/>
    <w:tmpl w:val="E7900C62"/>
    <w:lvl w:ilvl="0" w:tplc="C750DE98">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21403985"/>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1E4DC5"/>
    <w:multiLevelType w:val="hybridMultilevel"/>
    <w:tmpl w:val="AD5AE49E"/>
    <w:lvl w:ilvl="0" w:tplc="AC34D04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28F56E4C"/>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830851"/>
    <w:multiLevelType w:val="multilevel"/>
    <w:tmpl w:val="5630C04E"/>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114995"/>
    <w:multiLevelType w:val="hybridMultilevel"/>
    <w:tmpl w:val="4FF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73CD5"/>
    <w:multiLevelType w:val="hybridMultilevel"/>
    <w:tmpl w:val="0A6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91EE9"/>
    <w:multiLevelType w:val="hybridMultilevel"/>
    <w:tmpl w:val="23D0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B26D3"/>
    <w:multiLevelType w:val="hybridMultilevel"/>
    <w:tmpl w:val="4F68B95E"/>
    <w:lvl w:ilvl="0" w:tplc="BD4453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nsid w:val="46AB55AC"/>
    <w:multiLevelType w:val="hybridMultilevel"/>
    <w:tmpl w:val="0A6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41C53"/>
    <w:multiLevelType w:val="hybridMultilevel"/>
    <w:tmpl w:val="589E3048"/>
    <w:lvl w:ilvl="0" w:tplc="9F3E789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A10520"/>
    <w:multiLevelType w:val="multilevel"/>
    <w:tmpl w:val="BDE0BE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964F0A"/>
    <w:multiLevelType w:val="hybridMultilevel"/>
    <w:tmpl w:val="972CF25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E287C"/>
    <w:multiLevelType w:val="hybridMultilevel"/>
    <w:tmpl w:val="A31AA178"/>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92877"/>
    <w:multiLevelType w:val="hybridMultilevel"/>
    <w:tmpl w:val="48CA01E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823C3"/>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1"/>
  </w:num>
  <w:num w:numId="3">
    <w:abstractNumId w:val="8"/>
  </w:num>
  <w:num w:numId="4">
    <w:abstractNumId w:val="13"/>
  </w:num>
  <w:num w:numId="5">
    <w:abstractNumId w:val="3"/>
  </w:num>
  <w:num w:numId="6">
    <w:abstractNumId w:val="5"/>
  </w:num>
  <w:num w:numId="7">
    <w:abstractNumId w:val="15"/>
  </w:num>
  <w:num w:numId="8">
    <w:abstractNumId w:val="2"/>
  </w:num>
  <w:num w:numId="9">
    <w:abstractNumId w:val="0"/>
  </w:num>
  <w:num w:numId="10">
    <w:abstractNumId w:val="16"/>
  </w:num>
  <w:num w:numId="11">
    <w:abstractNumId w:val="14"/>
  </w:num>
  <w:num w:numId="12">
    <w:abstractNumId w:val="4"/>
  </w:num>
  <w:num w:numId="13">
    <w:abstractNumId w:val="6"/>
  </w:num>
  <w:num w:numId="14">
    <w:abstractNumId w:val="1"/>
  </w:num>
  <w:num w:numId="15">
    <w:abstractNumId w:val="10"/>
  </w:num>
  <w:num w:numId="16">
    <w:abstractNumId w:val="12"/>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6F28"/>
    <w:rsid w:val="0000277E"/>
    <w:rsid w:val="0000304A"/>
    <w:rsid w:val="00004B7A"/>
    <w:rsid w:val="0000543F"/>
    <w:rsid w:val="00010CA2"/>
    <w:rsid w:val="00011F91"/>
    <w:rsid w:val="0002039B"/>
    <w:rsid w:val="00026028"/>
    <w:rsid w:val="00026887"/>
    <w:rsid w:val="00026CA6"/>
    <w:rsid w:val="00035E59"/>
    <w:rsid w:val="00047D2D"/>
    <w:rsid w:val="00052FAB"/>
    <w:rsid w:val="00053051"/>
    <w:rsid w:val="0005375F"/>
    <w:rsid w:val="00055BA6"/>
    <w:rsid w:val="000720A1"/>
    <w:rsid w:val="0007247C"/>
    <w:rsid w:val="000815EC"/>
    <w:rsid w:val="000829BD"/>
    <w:rsid w:val="000965F0"/>
    <w:rsid w:val="000A1B6A"/>
    <w:rsid w:val="000A4ED7"/>
    <w:rsid w:val="000A643B"/>
    <w:rsid w:val="000B6BE3"/>
    <w:rsid w:val="000C3290"/>
    <w:rsid w:val="000C3848"/>
    <w:rsid w:val="000D1DBA"/>
    <w:rsid w:val="000D5ECD"/>
    <w:rsid w:val="000E0B64"/>
    <w:rsid w:val="000E0D2E"/>
    <w:rsid w:val="000E17F4"/>
    <w:rsid w:val="000E1AD3"/>
    <w:rsid w:val="000E4B4F"/>
    <w:rsid w:val="000E696A"/>
    <w:rsid w:val="000F067B"/>
    <w:rsid w:val="00104838"/>
    <w:rsid w:val="001056DA"/>
    <w:rsid w:val="00110A94"/>
    <w:rsid w:val="0012745D"/>
    <w:rsid w:val="001275A6"/>
    <w:rsid w:val="00144185"/>
    <w:rsid w:val="0014724A"/>
    <w:rsid w:val="00155D64"/>
    <w:rsid w:val="00166A76"/>
    <w:rsid w:val="00167798"/>
    <w:rsid w:val="00170EE3"/>
    <w:rsid w:val="00172069"/>
    <w:rsid w:val="00177733"/>
    <w:rsid w:val="00177A8D"/>
    <w:rsid w:val="00185046"/>
    <w:rsid w:val="0019202A"/>
    <w:rsid w:val="001A04AC"/>
    <w:rsid w:val="001A14BA"/>
    <w:rsid w:val="001A2609"/>
    <w:rsid w:val="001B3CDA"/>
    <w:rsid w:val="001C780C"/>
    <w:rsid w:val="001F063F"/>
    <w:rsid w:val="001F2C4D"/>
    <w:rsid w:val="001F6F98"/>
    <w:rsid w:val="001F783D"/>
    <w:rsid w:val="00203999"/>
    <w:rsid w:val="00216AC2"/>
    <w:rsid w:val="0022280B"/>
    <w:rsid w:val="00237507"/>
    <w:rsid w:val="00244D33"/>
    <w:rsid w:val="00246900"/>
    <w:rsid w:val="002500E9"/>
    <w:rsid w:val="00257B59"/>
    <w:rsid w:val="00260302"/>
    <w:rsid w:val="00260F7B"/>
    <w:rsid w:val="00262C82"/>
    <w:rsid w:val="0027724C"/>
    <w:rsid w:val="00282627"/>
    <w:rsid w:val="00282674"/>
    <w:rsid w:val="00283074"/>
    <w:rsid w:val="00284750"/>
    <w:rsid w:val="00294658"/>
    <w:rsid w:val="0029465F"/>
    <w:rsid w:val="002959DA"/>
    <w:rsid w:val="002A288C"/>
    <w:rsid w:val="002A4A69"/>
    <w:rsid w:val="002B0479"/>
    <w:rsid w:val="002B487B"/>
    <w:rsid w:val="002C0177"/>
    <w:rsid w:val="002C0C0E"/>
    <w:rsid w:val="002C68BE"/>
    <w:rsid w:val="002C76F6"/>
    <w:rsid w:val="002D6A30"/>
    <w:rsid w:val="002F2C9E"/>
    <w:rsid w:val="00306669"/>
    <w:rsid w:val="00317D91"/>
    <w:rsid w:val="00320B08"/>
    <w:rsid w:val="00321600"/>
    <w:rsid w:val="00331B8D"/>
    <w:rsid w:val="00333BE3"/>
    <w:rsid w:val="0034196D"/>
    <w:rsid w:val="0035263E"/>
    <w:rsid w:val="00374C14"/>
    <w:rsid w:val="00376C96"/>
    <w:rsid w:val="003817E2"/>
    <w:rsid w:val="00391C21"/>
    <w:rsid w:val="00395E11"/>
    <w:rsid w:val="00395F77"/>
    <w:rsid w:val="00396B6B"/>
    <w:rsid w:val="003A1F04"/>
    <w:rsid w:val="003A53BA"/>
    <w:rsid w:val="003A7A70"/>
    <w:rsid w:val="003A7CC0"/>
    <w:rsid w:val="003B1E22"/>
    <w:rsid w:val="003B2D95"/>
    <w:rsid w:val="003B5C64"/>
    <w:rsid w:val="003C4E94"/>
    <w:rsid w:val="003D2439"/>
    <w:rsid w:val="003D3BFF"/>
    <w:rsid w:val="003D4A57"/>
    <w:rsid w:val="003D6835"/>
    <w:rsid w:val="003E051F"/>
    <w:rsid w:val="003F20EC"/>
    <w:rsid w:val="003F5642"/>
    <w:rsid w:val="00403F40"/>
    <w:rsid w:val="00416754"/>
    <w:rsid w:val="00422B1C"/>
    <w:rsid w:val="00424D69"/>
    <w:rsid w:val="00425507"/>
    <w:rsid w:val="00427A58"/>
    <w:rsid w:val="00432E09"/>
    <w:rsid w:val="00432E68"/>
    <w:rsid w:val="00433360"/>
    <w:rsid w:val="004411D5"/>
    <w:rsid w:val="004452E5"/>
    <w:rsid w:val="00446FEC"/>
    <w:rsid w:val="00450761"/>
    <w:rsid w:val="004567C0"/>
    <w:rsid w:val="00461315"/>
    <w:rsid w:val="00466E37"/>
    <w:rsid w:val="00467723"/>
    <w:rsid w:val="00467D07"/>
    <w:rsid w:val="00472576"/>
    <w:rsid w:val="00483F51"/>
    <w:rsid w:val="004900F9"/>
    <w:rsid w:val="004A1E02"/>
    <w:rsid w:val="004B0EE1"/>
    <w:rsid w:val="004B1ECF"/>
    <w:rsid w:val="004B6997"/>
    <w:rsid w:val="004C18C3"/>
    <w:rsid w:val="004D0B50"/>
    <w:rsid w:val="004F014E"/>
    <w:rsid w:val="004F0B27"/>
    <w:rsid w:val="004F46DF"/>
    <w:rsid w:val="00501727"/>
    <w:rsid w:val="0050267E"/>
    <w:rsid w:val="00502B58"/>
    <w:rsid w:val="005066D5"/>
    <w:rsid w:val="005071B0"/>
    <w:rsid w:val="0051044C"/>
    <w:rsid w:val="005115C1"/>
    <w:rsid w:val="00514849"/>
    <w:rsid w:val="00530227"/>
    <w:rsid w:val="0053189F"/>
    <w:rsid w:val="00531908"/>
    <w:rsid w:val="00532880"/>
    <w:rsid w:val="00543AA6"/>
    <w:rsid w:val="00545F19"/>
    <w:rsid w:val="0055139D"/>
    <w:rsid w:val="00554717"/>
    <w:rsid w:val="00555637"/>
    <w:rsid w:val="00567A31"/>
    <w:rsid w:val="00567E71"/>
    <w:rsid w:val="00572713"/>
    <w:rsid w:val="00576915"/>
    <w:rsid w:val="00583BA5"/>
    <w:rsid w:val="005851BB"/>
    <w:rsid w:val="00585ABD"/>
    <w:rsid w:val="00585FE7"/>
    <w:rsid w:val="00590A8F"/>
    <w:rsid w:val="00595B84"/>
    <w:rsid w:val="00597D2A"/>
    <w:rsid w:val="005B21EB"/>
    <w:rsid w:val="005B2E20"/>
    <w:rsid w:val="005B7329"/>
    <w:rsid w:val="005C3B2C"/>
    <w:rsid w:val="005C6D19"/>
    <w:rsid w:val="005C7BD0"/>
    <w:rsid w:val="005D2D4B"/>
    <w:rsid w:val="005D6729"/>
    <w:rsid w:val="005E64AD"/>
    <w:rsid w:val="005F44AD"/>
    <w:rsid w:val="00602CC0"/>
    <w:rsid w:val="00603323"/>
    <w:rsid w:val="00610194"/>
    <w:rsid w:val="00610D19"/>
    <w:rsid w:val="006208BF"/>
    <w:rsid w:val="006227B8"/>
    <w:rsid w:val="00624E0E"/>
    <w:rsid w:val="00632886"/>
    <w:rsid w:val="006361E3"/>
    <w:rsid w:val="006461F7"/>
    <w:rsid w:val="00646402"/>
    <w:rsid w:val="00663681"/>
    <w:rsid w:val="006666B6"/>
    <w:rsid w:val="00667929"/>
    <w:rsid w:val="0067130C"/>
    <w:rsid w:val="00677874"/>
    <w:rsid w:val="00682BBE"/>
    <w:rsid w:val="006834C4"/>
    <w:rsid w:val="00692B4F"/>
    <w:rsid w:val="006A1C0D"/>
    <w:rsid w:val="006A3330"/>
    <w:rsid w:val="006A6447"/>
    <w:rsid w:val="006C6F28"/>
    <w:rsid w:val="006C73A7"/>
    <w:rsid w:val="006D271C"/>
    <w:rsid w:val="006D4016"/>
    <w:rsid w:val="006D4DE4"/>
    <w:rsid w:val="006E0AD2"/>
    <w:rsid w:val="006F2121"/>
    <w:rsid w:val="006F5750"/>
    <w:rsid w:val="00704902"/>
    <w:rsid w:val="00707646"/>
    <w:rsid w:val="0071045A"/>
    <w:rsid w:val="00713C3C"/>
    <w:rsid w:val="00716DA8"/>
    <w:rsid w:val="00720894"/>
    <w:rsid w:val="00720F37"/>
    <w:rsid w:val="0072522E"/>
    <w:rsid w:val="007252BE"/>
    <w:rsid w:val="00726FC9"/>
    <w:rsid w:val="00727016"/>
    <w:rsid w:val="00732B86"/>
    <w:rsid w:val="00742625"/>
    <w:rsid w:val="00745243"/>
    <w:rsid w:val="007512B5"/>
    <w:rsid w:val="00752EAA"/>
    <w:rsid w:val="00762E90"/>
    <w:rsid w:val="00772BD9"/>
    <w:rsid w:val="0078406B"/>
    <w:rsid w:val="00786556"/>
    <w:rsid w:val="00793BE0"/>
    <w:rsid w:val="007967CD"/>
    <w:rsid w:val="007A0AA5"/>
    <w:rsid w:val="007A1207"/>
    <w:rsid w:val="007A27BC"/>
    <w:rsid w:val="007A2C5E"/>
    <w:rsid w:val="007A6381"/>
    <w:rsid w:val="007B0209"/>
    <w:rsid w:val="007C2806"/>
    <w:rsid w:val="007D33F3"/>
    <w:rsid w:val="007D4B72"/>
    <w:rsid w:val="007D640C"/>
    <w:rsid w:val="007F6157"/>
    <w:rsid w:val="007F7C6B"/>
    <w:rsid w:val="00806261"/>
    <w:rsid w:val="00806977"/>
    <w:rsid w:val="008167B8"/>
    <w:rsid w:val="008223F0"/>
    <w:rsid w:val="008266E8"/>
    <w:rsid w:val="00834D47"/>
    <w:rsid w:val="0083727E"/>
    <w:rsid w:val="00845047"/>
    <w:rsid w:val="008601FB"/>
    <w:rsid w:val="00861286"/>
    <w:rsid w:val="0087365B"/>
    <w:rsid w:val="008857A3"/>
    <w:rsid w:val="008870BB"/>
    <w:rsid w:val="00893017"/>
    <w:rsid w:val="00894CF3"/>
    <w:rsid w:val="00895D07"/>
    <w:rsid w:val="0089657A"/>
    <w:rsid w:val="00896734"/>
    <w:rsid w:val="008A6E92"/>
    <w:rsid w:val="008A77FB"/>
    <w:rsid w:val="008A7DEA"/>
    <w:rsid w:val="008B1838"/>
    <w:rsid w:val="008C1208"/>
    <w:rsid w:val="008E3E31"/>
    <w:rsid w:val="008E661A"/>
    <w:rsid w:val="008F01D0"/>
    <w:rsid w:val="008F0719"/>
    <w:rsid w:val="008F1D56"/>
    <w:rsid w:val="008F4353"/>
    <w:rsid w:val="008F51E1"/>
    <w:rsid w:val="00913741"/>
    <w:rsid w:val="00915E85"/>
    <w:rsid w:val="00923507"/>
    <w:rsid w:val="00924A97"/>
    <w:rsid w:val="00925246"/>
    <w:rsid w:val="00927371"/>
    <w:rsid w:val="00935134"/>
    <w:rsid w:val="0093533A"/>
    <w:rsid w:val="00936035"/>
    <w:rsid w:val="00937673"/>
    <w:rsid w:val="009442F0"/>
    <w:rsid w:val="00950227"/>
    <w:rsid w:val="00951C29"/>
    <w:rsid w:val="0096021A"/>
    <w:rsid w:val="0096418C"/>
    <w:rsid w:val="00967A1C"/>
    <w:rsid w:val="00981536"/>
    <w:rsid w:val="00990F02"/>
    <w:rsid w:val="009917E6"/>
    <w:rsid w:val="00992133"/>
    <w:rsid w:val="009B11E1"/>
    <w:rsid w:val="009B2F81"/>
    <w:rsid w:val="009B54DE"/>
    <w:rsid w:val="009C5393"/>
    <w:rsid w:val="009F6EA8"/>
    <w:rsid w:val="009F75AB"/>
    <w:rsid w:val="00A026BF"/>
    <w:rsid w:val="00A044AE"/>
    <w:rsid w:val="00A06C8C"/>
    <w:rsid w:val="00A16039"/>
    <w:rsid w:val="00A27DE2"/>
    <w:rsid w:val="00A313AF"/>
    <w:rsid w:val="00A31AB3"/>
    <w:rsid w:val="00A345C2"/>
    <w:rsid w:val="00A4687E"/>
    <w:rsid w:val="00A52406"/>
    <w:rsid w:val="00A56217"/>
    <w:rsid w:val="00A56C5A"/>
    <w:rsid w:val="00A6060E"/>
    <w:rsid w:val="00A8546E"/>
    <w:rsid w:val="00A87A13"/>
    <w:rsid w:val="00A9680A"/>
    <w:rsid w:val="00AA6ED2"/>
    <w:rsid w:val="00AB45AA"/>
    <w:rsid w:val="00AC09AE"/>
    <w:rsid w:val="00AC1F68"/>
    <w:rsid w:val="00AC3495"/>
    <w:rsid w:val="00AD37BD"/>
    <w:rsid w:val="00AE128A"/>
    <w:rsid w:val="00AE2FBA"/>
    <w:rsid w:val="00AE31C4"/>
    <w:rsid w:val="00AE51EA"/>
    <w:rsid w:val="00AE663E"/>
    <w:rsid w:val="00AE7F28"/>
    <w:rsid w:val="00AF512A"/>
    <w:rsid w:val="00B02232"/>
    <w:rsid w:val="00B05756"/>
    <w:rsid w:val="00B140E4"/>
    <w:rsid w:val="00B2000E"/>
    <w:rsid w:val="00B20A15"/>
    <w:rsid w:val="00B20D51"/>
    <w:rsid w:val="00B21452"/>
    <w:rsid w:val="00B21B4E"/>
    <w:rsid w:val="00B241E5"/>
    <w:rsid w:val="00B243B5"/>
    <w:rsid w:val="00B26634"/>
    <w:rsid w:val="00B335A5"/>
    <w:rsid w:val="00B35D27"/>
    <w:rsid w:val="00B37412"/>
    <w:rsid w:val="00B43759"/>
    <w:rsid w:val="00B5189A"/>
    <w:rsid w:val="00B51E56"/>
    <w:rsid w:val="00B5507C"/>
    <w:rsid w:val="00B5712C"/>
    <w:rsid w:val="00B60AF6"/>
    <w:rsid w:val="00B60DD0"/>
    <w:rsid w:val="00B652C9"/>
    <w:rsid w:val="00B65A6D"/>
    <w:rsid w:val="00B72DDC"/>
    <w:rsid w:val="00B77199"/>
    <w:rsid w:val="00B80F5A"/>
    <w:rsid w:val="00B837CA"/>
    <w:rsid w:val="00B838A6"/>
    <w:rsid w:val="00B85EB9"/>
    <w:rsid w:val="00BA2636"/>
    <w:rsid w:val="00BA37F2"/>
    <w:rsid w:val="00BA59D0"/>
    <w:rsid w:val="00BA7F7D"/>
    <w:rsid w:val="00BB50BA"/>
    <w:rsid w:val="00BC4391"/>
    <w:rsid w:val="00BD0266"/>
    <w:rsid w:val="00BD06F9"/>
    <w:rsid w:val="00BD6868"/>
    <w:rsid w:val="00BD69AF"/>
    <w:rsid w:val="00BF198A"/>
    <w:rsid w:val="00BF77DA"/>
    <w:rsid w:val="00C04481"/>
    <w:rsid w:val="00C06C38"/>
    <w:rsid w:val="00C14C16"/>
    <w:rsid w:val="00C22EA6"/>
    <w:rsid w:val="00C35FF1"/>
    <w:rsid w:val="00C40E6B"/>
    <w:rsid w:val="00C456C9"/>
    <w:rsid w:val="00C45C73"/>
    <w:rsid w:val="00C50AF6"/>
    <w:rsid w:val="00C513A0"/>
    <w:rsid w:val="00C51B6C"/>
    <w:rsid w:val="00C61209"/>
    <w:rsid w:val="00C67CA5"/>
    <w:rsid w:val="00C706AE"/>
    <w:rsid w:val="00C7271E"/>
    <w:rsid w:val="00C7281F"/>
    <w:rsid w:val="00C73F7C"/>
    <w:rsid w:val="00C74726"/>
    <w:rsid w:val="00C86089"/>
    <w:rsid w:val="00C86131"/>
    <w:rsid w:val="00C90708"/>
    <w:rsid w:val="00C92295"/>
    <w:rsid w:val="00C963C1"/>
    <w:rsid w:val="00CA74E2"/>
    <w:rsid w:val="00CD2834"/>
    <w:rsid w:val="00D04C5A"/>
    <w:rsid w:val="00D04F5A"/>
    <w:rsid w:val="00D0690E"/>
    <w:rsid w:val="00D07192"/>
    <w:rsid w:val="00D22A59"/>
    <w:rsid w:val="00D24DCB"/>
    <w:rsid w:val="00D25EC8"/>
    <w:rsid w:val="00D50116"/>
    <w:rsid w:val="00D5095C"/>
    <w:rsid w:val="00D679E5"/>
    <w:rsid w:val="00D7142A"/>
    <w:rsid w:val="00D770A8"/>
    <w:rsid w:val="00D8085B"/>
    <w:rsid w:val="00D80F5E"/>
    <w:rsid w:val="00D825D8"/>
    <w:rsid w:val="00D83766"/>
    <w:rsid w:val="00D93A66"/>
    <w:rsid w:val="00D96D35"/>
    <w:rsid w:val="00DB05C8"/>
    <w:rsid w:val="00DB2BFC"/>
    <w:rsid w:val="00DC0DE6"/>
    <w:rsid w:val="00DC1AB0"/>
    <w:rsid w:val="00DE310A"/>
    <w:rsid w:val="00DE63D1"/>
    <w:rsid w:val="00DF2064"/>
    <w:rsid w:val="00E142A0"/>
    <w:rsid w:val="00E16F42"/>
    <w:rsid w:val="00E33ED0"/>
    <w:rsid w:val="00E35BD4"/>
    <w:rsid w:val="00E401B1"/>
    <w:rsid w:val="00E46017"/>
    <w:rsid w:val="00E47CA5"/>
    <w:rsid w:val="00E552F6"/>
    <w:rsid w:val="00E56E01"/>
    <w:rsid w:val="00E57870"/>
    <w:rsid w:val="00E6722B"/>
    <w:rsid w:val="00E829A3"/>
    <w:rsid w:val="00E8621F"/>
    <w:rsid w:val="00E86B38"/>
    <w:rsid w:val="00E9285A"/>
    <w:rsid w:val="00E972EA"/>
    <w:rsid w:val="00EA2F18"/>
    <w:rsid w:val="00EA34C3"/>
    <w:rsid w:val="00EA3856"/>
    <w:rsid w:val="00EB2B08"/>
    <w:rsid w:val="00EB2DC6"/>
    <w:rsid w:val="00EB7957"/>
    <w:rsid w:val="00EC10FC"/>
    <w:rsid w:val="00EC179D"/>
    <w:rsid w:val="00ED6E59"/>
    <w:rsid w:val="00EE33C1"/>
    <w:rsid w:val="00EE6600"/>
    <w:rsid w:val="00EE7C13"/>
    <w:rsid w:val="00EF2B5E"/>
    <w:rsid w:val="00EF4361"/>
    <w:rsid w:val="00F04267"/>
    <w:rsid w:val="00F050B9"/>
    <w:rsid w:val="00F14463"/>
    <w:rsid w:val="00F1508E"/>
    <w:rsid w:val="00F15FB4"/>
    <w:rsid w:val="00F234D6"/>
    <w:rsid w:val="00F23C02"/>
    <w:rsid w:val="00F2679B"/>
    <w:rsid w:val="00F33CE5"/>
    <w:rsid w:val="00F362F9"/>
    <w:rsid w:val="00F431C4"/>
    <w:rsid w:val="00F50730"/>
    <w:rsid w:val="00F53159"/>
    <w:rsid w:val="00F604B4"/>
    <w:rsid w:val="00F71275"/>
    <w:rsid w:val="00F726C9"/>
    <w:rsid w:val="00F74A32"/>
    <w:rsid w:val="00F82F9B"/>
    <w:rsid w:val="00F86D38"/>
    <w:rsid w:val="00F94710"/>
    <w:rsid w:val="00FB3216"/>
    <w:rsid w:val="00FB747A"/>
    <w:rsid w:val="00FB7A50"/>
    <w:rsid w:val="00FD43AE"/>
    <w:rsid w:val="00FD74A6"/>
    <w:rsid w:val="00FE03FC"/>
    <w:rsid w:val="00FE0EB5"/>
    <w:rsid w:val="00FE22A6"/>
    <w:rsid w:val="00FE6E5F"/>
    <w:rsid w:val="00FF7AD3"/>
    <w:rsid w:val="00FF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6B"/>
    <w:pPr>
      <w:spacing w:before="120"/>
      <w:jc w:val="both"/>
    </w:pPr>
    <w:rPr>
      <w:rFonts w:ascii="Times New Roman" w:hAnsi="Times New Roman"/>
      <w:sz w:val="24"/>
    </w:rPr>
  </w:style>
  <w:style w:type="paragraph" w:styleId="Heading2">
    <w:name w:val="heading 2"/>
    <w:basedOn w:val="Normal"/>
    <w:next w:val="Normal"/>
    <w:link w:val="Heading2Char"/>
    <w:uiPriority w:val="9"/>
    <w:unhideWhenUsed/>
    <w:qFormat/>
    <w:rsid w:val="00845047"/>
    <w:pPr>
      <w:keepNext/>
      <w:keepLines/>
      <w:spacing w:before="200" w:after="0" w:line="360" w:lineRule="auto"/>
      <w:jc w:val="lef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82F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2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7B59"/>
    <w:pPr>
      <w:spacing w:after="0" w:line="240" w:lineRule="auto"/>
    </w:pPr>
    <w:rPr>
      <w:sz w:val="20"/>
      <w:szCs w:val="20"/>
    </w:rPr>
  </w:style>
  <w:style w:type="character" w:customStyle="1" w:styleId="FootnoteTextChar">
    <w:name w:val="Footnote Text Char"/>
    <w:basedOn w:val="DefaultParagraphFont"/>
    <w:link w:val="FootnoteText"/>
    <w:uiPriority w:val="99"/>
    <w:rsid w:val="00257B59"/>
    <w:rPr>
      <w:sz w:val="20"/>
      <w:szCs w:val="20"/>
    </w:rPr>
  </w:style>
  <w:style w:type="character" w:styleId="FootnoteReference">
    <w:name w:val="footnote reference"/>
    <w:basedOn w:val="DefaultParagraphFont"/>
    <w:uiPriority w:val="99"/>
    <w:semiHidden/>
    <w:unhideWhenUsed/>
    <w:rsid w:val="00257B59"/>
    <w:rPr>
      <w:vertAlign w:val="superscript"/>
    </w:rPr>
  </w:style>
  <w:style w:type="paragraph" w:styleId="ListParagraph">
    <w:name w:val="List Paragraph"/>
    <w:basedOn w:val="Normal"/>
    <w:uiPriority w:val="34"/>
    <w:qFormat/>
    <w:rsid w:val="00502B58"/>
    <w:pPr>
      <w:ind w:left="720"/>
      <w:contextualSpacing/>
    </w:pPr>
  </w:style>
  <w:style w:type="character" w:styleId="PlaceholderText">
    <w:name w:val="Placeholder Text"/>
    <w:basedOn w:val="DefaultParagraphFont"/>
    <w:uiPriority w:val="99"/>
    <w:semiHidden/>
    <w:rsid w:val="00052FAB"/>
    <w:rPr>
      <w:color w:val="808080"/>
    </w:rPr>
  </w:style>
  <w:style w:type="paragraph" w:styleId="BalloonText">
    <w:name w:val="Balloon Text"/>
    <w:basedOn w:val="Normal"/>
    <w:link w:val="BalloonTextChar"/>
    <w:uiPriority w:val="99"/>
    <w:semiHidden/>
    <w:unhideWhenUsed/>
    <w:rsid w:val="0005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AB"/>
    <w:rPr>
      <w:rFonts w:ascii="Tahoma" w:hAnsi="Tahoma" w:cs="Tahoma"/>
      <w:sz w:val="16"/>
      <w:szCs w:val="16"/>
    </w:rPr>
  </w:style>
  <w:style w:type="paragraph" w:styleId="Header">
    <w:name w:val="header"/>
    <w:basedOn w:val="Normal"/>
    <w:link w:val="HeaderChar"/>
    <w:uiPriority w:val="99"/>
    <w:semiHidden/>
    <w:unhideWhenUsed/>
    <w:rsid w:val="001B3C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B3CDA"/>
    <w:rPr>
      <w:rFonts w:ascii="Times New Roman" w:hAnsi="Times New Roman"/>
      <w:sz w:val="24"/>
    </w:rPr>
  </w:style>
  <w:style w:type="paragraph" w:styleId="Footer">
    <w:name w:val="footer"/>
    <w:basedOn w:val="Normal"/>
    <w:link w:val="FooterChar"/>
    <w:uiPriority w:val="99"/>
    <w:unhideWhenUsed/>
    <w:rsid w:val="001B3C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3CDA"/>
    <w:rPr>
      <w:rFonts w:ascii="Times New Roman" w:hAnsi="Times New Roman"/>
      <w:sz w:val="24"/>
    </w:rPr>
  </w:style>
  <w:style w:type="table" w:styleId="TableGrid">
    <w:name w:val="Table Grid"/>
    <w:basedOn w:val="TableNormal"/>
    <w:uiPriority w:val="59"/>
    <w:rsid w:val="0031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45047"/>
    <w:rPr>
      <w:rFonts w:ascii="Times New Roman" w:eastAsiaTheme="majorEastAsia" w:hAnsi="Times New Roman" w:cstheme="majorBidi"/>
      <w:b/>
      <w:bCs/>
      <w:sz w:val="26"/>
      <w:szCs w:val="26"/>
    </w:rPr>
  </w:style>
  <w:style w:type="paragraph" w:styleId="NoSpacing">
    <w:name w:val="No Spacing"/>
    <w:uiPriority w:val="1"/>
    <w:qFormat/>
    <w:rsid w:val="00845047"/>
    <w:pPr>
      <w:spacing w:after="0" w:line="240" w:lineRule="auto"/>
    </w:pPr>
    <w:rPr>
      <w:rFonts w:ascii="Times New Roman" w:hAnsi="Times New Roman"/>
      <w:sz w:val="24"/>
    </w:rPr>
  </w:style>
  <w:style w:type="character" w:styleId="Emphasis">
    <w:name w:val="Emphasis"/>
    <w:basedOn w:val="DefaultParagraphFont"/>
    <w:uiPriority w:val="20"/>
    <w:qFormat/>
    <w:rsid w:val="00646402"/>
    <w:rPr>
      <w:i/>
      <w:iCs/>
    </w:rPr>
  </w:style>
  <w:style w:type="character" w:customStyle="1" w:styleId="apple-converted-space">
    <w:name w:val="apple-converted-space"/>
    <w:basedOn w:val="DefaultParagraphFont"/>
    <w:rsid w:val="00646402"/>
  </w:style>
  <w:style w:type="character" w:customStyle="1" w:styleId="Heading3Char">
    <w:name w:val="Heading 3 Char"/>
    <w:basedOn w:val="DefaultParagraphFont"/>
    <w:link w:val="Heading3"/>
    <w:uiPriority w:val="9"/>
    <w:rsid w:val="00F82F9B"/>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F82F9B"/>
    <w:rPr>
      <w:rFonts w:asciiTheme="majorHAnsi" w:eastAsiaTheme="majorEastAsia" w:hAnsiTheme="majorHAnsi" w:cstheme="majorBidi"/>
      <w:b/>
      <w:bCs/>
      <w:i/>
      <w:iCs/>
      <w:color w:val="4F81BD" w:themeColor="accent1"/>
      <w:sz w:val="24"/>
    </w:rPr>
  </w:style>
  <w:style w:type="paragraph" w:styleId="Caption">
    <w:name w:val="caption"/>
    <w:basedOn w:val="Normal"/>
    <w:next w:val="Normal"/>
    <w:uiPriority w:val="35"/>
    <w:unhideWhenUsed/>
    <w:qFormat/>
    <w:rsid w:val="00F82F9B"/>
    <w:pPr>
      <w:spacing w:before="0" w:line="240" w:lineRule="auto"/>
      <w:jc w:val="left"/>
    </w:pPr>
    <w:rPr>
      <w:b/>
      <w:bCs/>
      <w:color w:val="4F81BD" w:themeColor="accent1"/>
      <w:sz w:val="18"/>
      <w:szCs w:val="18"/>
    </w:rPr>
  </w:style>
  <w:style w:type="character" w:styleId="Hyperlink">
    <w:name w:val="Hyperlink"/>
    <w:basedOn w:val="DefaultParagraphFont"/>
    <w:uiPriority w:val="99"/>
    <w:unhideWhenUsed/>
    <w:rsid w:val="00DC0DE6"/>
    <w:rPr>
      <w:color w:val="0000FF"/>
      <w:u w:val="single"/>
    </w:rPr>
  </w:style>
  <w:style w:type="paragraph" w:styleId="Bibliography">
    <w:name w:val="Bibliography"/>
    <w:basedOn w:val="Normal"/>
    <w:next w:val="Normal"/>
    <w:uiPriority w:val="37"/>
    <w:unhideWhenUsed/>
    <w:rsid w:val="00BD06F9"/>
    <w:pPr>
      <w:spacing w:before="0" w:line="360" w:lineRule="auto"/>
      <w:jc w:val="left"/>
    </w:pPr>
  </w:style>
  <w:style w:type="character" w:styleId="FollowedHyperlink">
    <w:name w:val="FollowedHyperlink"/>
    <w:basedOn w:val="DefaultParagraphFont"/>
    <w:uiPriority w:val="99"/>
    <w:semiHidden/>
    <w:unhideWhenUsed/>
    <w:rsid w:val="00C35F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560488">
      <w:bodyDiv w:val="1"/>
      <w:marLeft w:val="0"/>
      <w:marRight w:val="0"/>
      <w:marTop w:val="0"/>
      <w:marBottom w:val="0"/>
      <w:divBdr>
        <w:top w:val="none" w:sz="0" w:space="0" w:color="auto"/>
        <w:left w:val="none" w:sz="0" w:space="0" w:color="auto"/>
        <w:bottom w:val="none" w:sz="0" w:space="0" w:color="auto"/>
        <w:right w:val="none" w:sz="0" w:space="0" w:color="auto"/>
      </w:divBdr>
      <w:divsChild>
        <w:div w:id="2145196164">
          <w:marLeft w:val="0"/>
          <w:marRight w:val="0"/>
          <w:marTop w:val="0"/>
          <w:marBottom w:val="300"/>
          <w:divBdr>
            <w:top w:val="none" w:sz="0" w:space="0" w:color="auto"/>
            <w:left w:val="none" w:sz="0" w:space="0" w:color="auto"/>
            <w:bottom w:val="none" w:sz="0" w:space="0" w:color="auto"/>
            <w:right w:val="none" w:sz="0" w:space="0" w:color="auto"/>
          </w:divBdr>
          <w:divsChild>
            <w:div w:id="1876575263">
              <w:marLeft w:val="0"/>
              <w:marRight w:val="0"/>
              <w:marTop w:val="0"/>
              <w:marBottom w:val="0"/>
              <w:divBdr>
                <w:top w:val="none" w:sz="0" w:space="0" w:color="auto"/>
                <w:left w:val="none" w:sz="0" w:space="0" w:color="auto"/>
                <w:bottom w:val="none" w:sz="0" w:space="0" w:color="auto"/>
                <w:right w:val="none" w:sz="0" w:space="0" w:color="auto"/>
              </w:divBdr>
              <w:divsChild>
                <w:div w:id="1547377168">
                  <w:marLeft w:val="0"/>
                  <w:marRight w:val="0"/>
                  <w:marTop w:val="0"/>
                  <w:marBottom w:val="0"/>
                  <w:divBdr>
                    <w:top w:val="none" w:sz="0" w:space="0" w:color="auto"/>
                    <w:left w:val="none" w:sz="0" w:space="0" w:color="auto"/>
                    <w:bottom w:val="none" w:sz="0" w:space="0" w:color="auto"/>
                    <w:right w:val="none" w:sz="0" w:space="0" w:color="auto"/>
                  </w:divBdr>
                  <w:divsChild>
                    <w:div w:id="1787457406">
                      <w:marLeft w:val="0"/>
                      <w:marRight w:val="0"/>
                      <w:marTop w:val="0"/>
                      <w:marBottom w:val="0"/>
                      <w:divBdr>
                        <w:top w:val="none" w:sz="0" w:space="0" w:color="auto"/>
                        <w:left w:val="none" w:sz="0" w:space="0" w:color="auto"/>
                        <w:bottom w:val="none" w:sz="0" w:space="0" w:color="auto"/>
                        <w:right w:val="none" w:sz="0" w:space="0" w:color="auto"/>
                      </w:divBdr>
                      <w:divsChild>
                        <w:div w:id="505175383">
                          <w:marLeft w:val="0"/>
                          <w:marRight w:val="0"/>
                          <w:marTop w:val="0"/>
                          <w:marBottom w:val="0"/>
                          <w:divBdr>
                            <w:top w:val="none" w:sz="0" w:space="0" w:color="auto"/>
                            <w:left w:val="none" w:sz="0" w:space="0" w:color="auto"/>
                            <w:bottom w:val="none" w:sz="0" w:space="0" w:color="auto"/>
                            <w:right w:val="none" w:sz="0" w:space="0" w:color="auto"/>
                          </w:divBdr>
                          <w:divsChild>
                            <w:div w:id="498616359">
                              <w:marLeft w:val="0"/>
                              <w:marRight w:val="0"/>
                              <w:marTop w:val="0"/>
                              <w:marBottom w:val="0"/>
                              <w:divBdr>
                                <w:top w:val="none" w:sz="0" w:space="0" w:color="auto"/>
                                <w:left w:val="none" w:sz="0" w:space="0" w:color="auto"/>
                                <w:bottom w:val="none" w:sz="0" w:space="0" w:color="auto"/>
                                <w:right w:val="none" w:sz="0" w:space="0" w:color="auto"/>
                              </w:divBdr>
                              <w:divsChild>
                                <w:div w:id="11610115">
                                  <w:marLeft w:val="0"/>
                                  <w:marRight w:val="0"/>
                                  <w:marTop w:val="0"/>
                                  <w:marBottom w:val="0"/>
                                  <w:divBdr>
                                    <w:top w:val="none" w:sz="0" w:space="0" w:color="auto"/>
                                    <w:left w:val="none" w:sz="0" w:space="0" w:color="auto"/>
                                    <w:bottom w:val="none" w:sz="0" w:space="0" w:color="auto"/>
                                    <w:right w:val="none" w:sz="0" w:space="0" w:color="auto"/>
                                  </w:divBdr>
                                  <w:divsChild>
                                    <w:div w:id="1320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51357">
      <w:bodyDiv w:val="1"/>
      <w:marLeft w:val="0"/>
      <w:marRight w:val="0"/>
      <w:marTop w:val="0"/>
      <w:marBottom w:val="0"/>
      <w:divBdr>
        <w:top w:val="none" w:sz="0" w:space="0" w:color="auto"/>
        <w:left w:val="none" w:sz="0" w:space="0" w:color="auto"/>
        <w:bottom w:val="none" w:sz="0" w:space="0" w:color="auto"/>
        <w:right w:val="none" w:sz="0" w:space="0" w:color="auto"/>
      </w:divBdr>
    </w:div>
    <w:div w:id="836964223">
      <w:bodyDiv w:val="1"/>
      <w:marLeft w:val="0"/>
      <w:marRight w:val="0"/>
      <w:marTop w:val="0"/>
      <w:marBottom w:val="0"/>
      <w:divBdr>
        <w:top w:val="none" w:sz="0" w:space="0" w:color="auto"/>
        <w:left w:val="none" w:sz="0" w:space="0" w:color="auto"/>
        <w:bottom w:val="none" w:sz="0" w:space="0" w:color="auto"/>
        <w:right w:val="none" w:sz="0" w:space="0" w:color="auto"/>
      </w:divBdr>
      <w:divsChild>
        <w:div w:id="876160080">
          <w:marLeft w:val="0"/>
          <w:marRight w:val="0"/>
          <w:marTop w:val="0"/>
          <w:marBottom w:val="0"/>
          <w:divBdr>
            <w:top w:val="none" w:sz="0" w:space="0" w:color="auto"/>
            <w:left w:val="none" w:sz="0" w:space="0" w:color="auto"/>
            <w:bottom w:val="none" w:sz="0" w:space="0" w:color="auto"/>
            <w:right w:val="none" w:sz="0" w:space="0" w:color="auto"/>
          </w:divBdr>
          <w:divsChild>
            <w:div w:id="1178733807">
              <w:marLeft w:val="0"/>
              <w:marRight w:val="0"/>
              <w:marTop w:val="0"/>
              <w:marBottom w:val="0"/>
              <w:divBdr>
                <w:top w:val="none" w:sz="0" w:space="0" w:color="auto"/>
                <w:left w:val="none" w:sz="0" w:space="0" w:color="auto"/>
                <w:bottom w:val="none" w:sz="0" w:space="0" w:color="auto"/>
                <w:right w:val="none" w:sz="0" w:space="0" w:color="auto"/>
              </w:divBdr>
              <w:divsChild>
                <w:div w:id="1113019847">
                  <w:marLeft w:val="0"/>
                  <w:marRight w:val="0"/>
                  <w:marTop w:val="0"/>
                  <w:marBottom w:val="0"/>
                  <w:divBdr>
                    <w:top w:val="none" w:sz="0" w:space="0" w:color="auto"/>
                    <w:left w:val="none" w:sz="0" w:space="0" w:color="auto"/>
                    <w:bottom w:val="none" w:sz="0" w:space="0" w:color="auto"/>
                    <w:right w:val="none" w:sz="0" w:space="0" w:color="auto"/>
                  </w:divBdr>
                  <w:divsChild>
                    <w:div w:id="1176387340">
                      <w:marLeft w:val="0"/>
                      <w:marRight w:val="0"/>
                      <w:marTop w:val="0"/>
                      <w:marBottom w:val="0"/>
                      <w:divBdr>
                        <w:top w:val="none" w:sz="0" w:space="0" w:color="auto"/>
                        <w:left w:val="none" w:sz="0" w:space="0" w:color="auto"/>
                        <w:bottom w:val="none" w:sz="0" w:space="0" w:color="auto"/>
                        <w:right w:val="none" w:sz="0" w:space="0" w:color="auto"/>
                      </w:divBdr>
                      <w:divsChild>
                        <w:div w:id="804852546">
                          <w:marLeft w:val="0"/>
                          <w:marRight w:val="0"/>
                          <w:marTop w:val="0"/>
                          <w:marBottom w:val="0"/>
                          <w:divBdr>
                            <w:top w:val="none" w:sz="0" w:space="0" w:color="auto"/>
                            <w:left w:val="none" w:sz="0" w:space="0" w:color="auto"/>
                            <w:bottom w:val="none" w:sz="0" w:space="0" w:color="auto"/>
                            <w:right w:val="none" w:sz="0" w:space="0" w:color="auto"/>
                          </w:divBdr>
                          <w:divsChild>
                            <w:div w:id="1935093911">
                              <w:marLeft w:val="0"/>
                              <w:marRight w:val="0"/>
                              <w:marTop w:val="0"/>
                              <w:marBottom w:val="0"/>
                              <w:divBdr>
                                <w:top w:val="none" w:sz="0" w:space="0" w:color="auto"/>
                                <w:left w:val="none" w:sz="0" w:space="0" w:color="auto"/>
                                <w:bottom w:val="none" w:sz="0" w:space="0" w:color="auto"/>
                                <w:right w:val="none" w:sz="0" w:space="0" w:color="auto"/>
                              </w:divBdr>
                              <w:divsChild>
                                <w:div w:id="256015474">
                                  <w:marLeft w:val="0"/>
                                  <w:marRight w:val="0"/>
                                  <w:marTop w:val="0"/>
                                  <w:marBottom w:val="0"/>
                                  <w:divBdr>
                                    <w:top w:val="none" w:sz="0" w:space="0" w:color="auto"/>
                                    <w:left w:val="none" w:sz="0" w:space="0" w:color="auto"/>
                                    <w:bottom w:val="none" w:sz="0" w:space="0" w:color="auto"/>
                                    <w:right w:val="none" w:sz="0" w:space="0" w:color="auto"/>
                                  </w:divBdr>
                                  <w:divsChild>
                                    <w:div w:id="262222818">
                                      <w:marLeft w:val="0"/>
                                      <w:marRight w:val="0"/>
                                      <w:marTop w:val="0"/>
                                      <w:marBottom w:val="0"/>
                                      <w:divBdr>
                                        <w:top w:val="none" w:sz="0" w:space="0" w:color="auto"/>
                                        <w:left w:val="none" w:sz="0" w:space="0" w:color="auto"/>
                                        <w:bottom w:val="none" w:sz="0" w:space="0" w:color="auto"/>
                                        <w:right w:val="none" w:sz="0" w:space="0" w:color="auto"/>
                                      </w:divBdr>
                                      <w:divsChild>
                                        <w:div w:id="1001667382">
                                          <w:marLeft w:val="0"/>
                                          <w:marRight w:val="0"/>
                                          <w:marTop w:val="0"/>
                                          <w:marBottom w:val="0"/>
                                          <w:divBdr>
                                            <w:top w:val="none" w:sz="0" w:space="0" w:color="auto"/>
                                            <w:left w:val="none" w:sz="0" w:space="0" w:color="auto"/>
                                            <w:bottom w:val="none" w:sz="0" w:space="0" w:color="auto"/>
                                            <w:right w:val="none" w:sz="0" w:space="0" w:color="auto"/>
                                          </w:divBdr>
                                        </w:div>
                                        <w:div w:id="1211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908092">
      <w:bodyDiv w:val="1"/>
      <w:marLeft w:val="0"/>
      <w:marRight w:val="0"/>
      <w:marTop w:val="0"/>
      <w:marBottom w:val="0"/>
      <w:divBdr>
        <w:top w:val="none" w:sz="0" w:space="0" w:color="auto"/>
        <w:left w:val="none" w:sz="0" w:space="0" w:color="auto"/>
        <w:bottom w:val="none" w:sz="0" w:space="0" w:color="auto"/>
        <w:right w:val="none" w:sz="0" w:space="0" w:color="auto"/>
      </w:divBdr>
    </w:div>
    <w:div w:id="965354594">
      <w:bodyDiv w:val="1"/>
      <w:marLeft w:val="0"/>
      <w:marRight w:val="0"/>
      <w:marTop w:val="0"/>
      <w:marBottom w:val="0"/>
      <w:divBdr>
        <w:top w:val="none" w:sz="0" w:space="0" w:color="auto"/>
        <w:left w:val="none" w:sz="0" w:space="0" w:color="auto"/>
        <w:bottom w:val="none" w:sz="0" w:space="0" w:color="auto"/>
        <w:right w:val="none" w:sz="0" w:space="0" w:color="auto"/>
      </w:divBdr>
      <w:divsChild>
        <w:div w:id="1168132389">
          <w:marLeft w:val="0"/>
          <w:marRight w:val="0"/>
          <w:marTop w:val="0"/>
          <w:marBottom w:val="300"/>
          <w:divBdr>
            <w:top w:val="none" w:sz="0" w:space="0" w:color="auto"/>
            <w:left w:val="none" w:sz="0" w:space="0" w:color="auto"/>
            <w:bottom w:val="none" w:sz="0" w:space="0" w:color="auto"/>
            <w:right w:val="none" w:sz="0" w:space="0" w:color="auto"/>
          </w:divBdr>
          <w:divsChild>
            <w:div w:id="2116630750">
              <w:marLeft w:val="0"/>
              <w:marRight w:val="0"/>
              <w:marTop w:val="0"/>
              <w:marBottom w:val="0"/>
              <w:divBdr>
                <w:top w:val="none" w:sz="0" w:space="0" w:color="auto"/>
                <w:left w:val="none" w:sz="0" w:space="0" w:color="auto"/>
                <w:bottom w:val="none" w:sz="0" w:space="0" w:color="auto"/>
                <w:right w:val="none" w:sz="0" w:space="0" w:color="auto"/>
              </w:divBdr>
              <w:divsChild>
                <w:div w:id="1754543968">
                  <w:marLeft w:val="0"/>
                  <w:marRight w:val="0"/>
                  <w:marTop w:val="0"/>
                  <w:marBottom w:val="0"/>
                  <w:divBdr>
                    <w:top w:val="none" w:sz="0" w:space="0" w:color="auto"/>
                    <w:left w:val="none" w:sz="0" w:space="0" w:color="auto"/>
                    <w:bottom w:val="none" w:sz="0" w:space="0" w:color="auto"/>
                    <w:right w:val="none" w:sz="0" w:space="0" w:color="auto"/>
                  </w:divBdr>
                  <w:divsChild>
                    <w:div w:id="1745950607">
                      <w:marLeft w:val="0"/>
                      <w:marRight w:val="0"/>
                      <w:marTop w:val="0"/>
                      <w:marBottom w:val="0"/>
                      <w:divBdr>
                        <w:top w:val="none" w:sz="0" w:space="0" w:color="auto"/>
                        <w:left w:val="none" w:sz="0" w:space="0" w:color="auto"/>
                        <w:bottom w:val="none" w:sz="0" w:space="0" w:color="auto"/>
                        <w:right w:val="none" w:sz="0" w:space="0" w:color="auto"/>
                      </w:divBdr>
                      <w:divsChild>
                        <w:div w:id="147093291">
                          <w:marLeft w:val="0"/>
                          <w:marRight w:val="0"/>
                          <w:marTop w:val="0"/>
                          <w:marBottom w:val="0"/>
                          <w:divBdr>
                            <w:top w:val="none" w:sz="0" w:space="0" w:color="auto"/>
                            <w:left w:val="none" w:sz="0" w:space="0" w:color="auto"/>
                            <w:bottom w:val="none" w:sz="0" w:space="0" w:color="auto"/>
                            <w:right w:val="none" w:sz="0" w:space="0" w:color="auto"/>
                          </w:divBdr>
                          <w:divsChild>
                            <w:div w:id="541598112">
                              <w:marLeft w:val="0"/>
                              <w:marRight w:val="0"/>
                              <w:marTop w:val="0"/>
                              <w:marBottom w:val="0"/>
                              <w:divBdr>
                                <w:top w:val="none" w:sz="0" w:space="0" w:color="auto"/>
                                <w:left w:val="none" w:sz="0" w:space="0" w:color="auto"/>
                                <w:bottom w:val="none" w:sz="0" w:space="0" w:color="auto"/>
                                <w:right w:val="none" w:sz="0" w:space="0" w:color="auto"/>
                              </w:divBdr>
                              <w:divsChild>
                                <w:div w:id="1824272315">
                                  <w:marLeft w:val="0"/>
                                  <w:marRight w:val="0"/>
                                  <w:marTop w:val="0"/>
                                  <w:marBottom w:val="0"/>
                                  <w:divBdr>
                                    <w:top w:val="none" w:sz="0" w:space="0" w:color="auto"/>
                                    <w:left w:val="none" w:sz="0" w:space="0" w:color="auto"/>
                                    <w:bottom w:val="none" w:sz="0" w:space="0" w:color="auto"/>
                                    <w:right w:val="none" w:sz="0" w:space="0" w:color="auto"/>
                                  </w:divBdr>
                                  <w:divsChild>
                                    <w:div w:id="9301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538549">
      <w:bodyDiv w:val="1"/>
      <w:marLeft w:val="0"/>
      <w:marRight w:val="0"/>
      <w:marTop w:val="0"/>
      <w:marBottom w:val="0"/>
      <w:divBdr>
        <w:top w:val="none" w:sz="0" w:space="0" w:color="auto"/>
        <w:left w:val="none" w:sz="0" w:space="0" w:color="auto"/>
        <w:bottom w:val="none" w:sz="0" w:space="0" w:color="auto"/>
        <w:right w:val="none" w:sz="0" w:space="0" w:color="auto"/>
      </w:divBdr>
    </w:div>
    <w:div w:id="1115562222">
      <w:bodyDiv w:val="1"/>
      <w:marLeft w:val="0"/>
      <w:marRight w:val="0"/>
      <w:marTop w:val="0"/>
      <w:marBottom w:val="0"/>
      <w:divBdr>
        <w:top w:val="none" w:sz="0" w:space="0" w:color="auto"/>
        <w:left w:val="none" w:sz="0" w:space="0" w:color="auto"/>
        <w:bottom w:val="none" w:sz="0" w:space="0" w:color="auto"/>
        <w:right w:val="none" w:sz="0" w:space="0" w:color="auto"/>
      </w:divBdr>
    </w:div>
    <w:div w:id="1515803795">
      <w:bodyDiv w:val="1"/>
      <w:marLeft w:val="0"/>
      <w:marRight w:val="0"/>
      <w:marTop w:val="0"/>
      <w:marBottom w:val="0"/>
      <w:divBdr>
        <w:top w:val="none" w:sz="0" w:space="0" w:color="auto"/>
        <w:left w:val="none" w:sz="0" w:space="0" w:color="auto"/>
        <w:bottom w:val="none" w:sz="0" w:space="0" w:color="auto"/>
        <w:right w:val="none" w:sz="0" w:space="0" w:color="auto"/>
      </w:divBdr>
    </w:div>
    <w:div w:id="1541235924">
      <w:bodyDiv w:val="1"/>
      <w:marLeft w:val="0"/>
      <w:marRight w:val="0"/>
      <w:marTop w:val="0"/>
      <w:marBottom w:val="0"/>
      <w:divBdr>
        <w:top w:val="none" w:sz="0" w:space="0" w:color="auto"/>
        <w:left w:val="none" w:sz="0" w:space="0" w:color="auto"/>
        <w:bottom w:val="none" w:sz="0" w:space="0" w:color="auto"/>
        <w:right w:val="none" w:sz="0" w:space="0" w:color="auto"/>
      </w:divBdr>
    </w:div>
    <w:div w:id="1572808179">
      <w:bodyDiv w:val="1"/>
      <w:marLeft w:val="0"/>
      <w:marRight w:val="0"/>
      <w:marTop w:val="0"/>
      <w:marBottom w:val="0"/>
      <w:divBdr>
        <w:top w:val="none" w:sz="0" w:space="0" w:color="auto"/>
        <w:left w:val="none" w:sz="0" w:space="0" w:color="auto"/>
        <w:bottom w:val="none" w:sz="0" w:space="0" w:color="auto"/>
        <w:right w:val="none" w:sz="0" w:space="0" w:color="auto"/>
      </w:divBdr>
      <w:divsChild>
        <w:div w:id="799155168">
          <w:marLeft w:val="0"/>
          <w:marRight w:val="0"/>
          <w:marTop w:val="0"/>
          <w:marBottom w:val="0"/>
          <w:divBdr>
            <w:top w:val="none" w:sz="0" w:space="0" w:color="auto"/>
            <w:left w:val="none" w:sz="0" w:space="0" w:color="auto"/>
            <w:bottom w:val="none" w:sz="0" w:space="0" w:color="auto"/>
            <w:right w:val="none" w:sz="0" w:space="0" w:color="auto"/>
          </w:divBdr>
          <w:divsChild>
            <w:div w:id="2082867285">
              <w:marLeft w:val="0"/>
              <w:marRight w:val="0"/>
              <w:marTop w:val="0"/>
              <w:marBottom w:val="0"/>
              <w:divBdr>
                <w:top w:val="none" w:sz="0" w:space="0" w:color="auto"/>
                <w:left w:val="none" w:sz="0" w:space="0" w:color="auto"/>
                <w:bottom w:val="none" w:sz="0" w:space="0" w:color="auto"/>
                <w:right w:val="none" w:sz="0" w:space="0" w:color="auto"/>
              </w:divBdr>
              <w:divsChild>
                <w:div w:id="1818298261">
                  <w:marLeft w:val="0"/>
                  <w:marRight w:val="0"/>
                  <w:marTop w:val="0"/>
                  <w:marBottom w:val="0"/>
                  <w:divBdr>
                    <w:top w:val="none" w:sz="0" w:space="0" w:color="auto"/>
                    <w:left w:val="none" w:sz="0" w:space="0" w:color="auto"/>
                    <w:bottom w:val="none" w:sz="0" w:space="0" w:color="auto"/>
                    <w:right w:val="none" w:sz="0" w:space="0" w:color="auto"/>
                  </w:divBdr>
                  <w:divsChild>
                    <w:div w:id="1188568883">
                      <w:marLeft w:val="0"/>
                      <w:marRight w:val="0"/>
                      <w:marTop w:val="0"/>
                      <w:marBottom w:val="0"/>
                      <w:divBdr>
                        <w:top w:val="none" w:sz="0" w:space="0" w:color="auto"/>
                        <w:left w:val="none" w:sz="0" w:space="0" w:color="auto"/>
                        <w:bottom w:val="none" w:sz="0" w:space="0" w:color="auto"/>
                        <w:right w:val="none" w:sz="0" w:space="0" w:color="auto"/>
                      </w:divBdr>
                      <w:divsChild>
                        <w:div w:id="228272363">
                          <w:marLeft w:val="0"/>
                          <w:marRight w:val="0"/>
                          <w:marTop w:val="0"/>
                          <w:marBottom w:val="0"/>
                          <w:divBdr>
                            <w:top w:val="none" w:sz="0" w:space="0" w:color="auto"/>
                            <w:left w:val="none" w:sz="0" w:space="0" w:color="auto"/>
                            <w:bottom w:val="none" w:sz="0" w:space="0" w:color="auto"/>
                            <w:right w:val="none" w:sz="0" w:space="0" w:color="auto"/>
                          </w:divBdr>
                          <w:divsChild>
                            <w:div w:id="917791898">
                              <w:marLeft w:val="0"/>
                              <w:marRight w:val="0"/>
                              <w:marTop w:val="0"/>
                              <w:marBottom w:val="0"/>
                              <w:divBdr>
                                <w:top w:val="none" w:sz="0" w:space="0" w:color="auto"/>
                                <w:left w:val="none" w:sz="0" w:space="0" w:color="auto"/>
                                <w:bottom w:val="none" w:sz="0" w:space="0" w:color="auto"/>
                                <w:right w:val="none" w:sz="0" w:space="0" w:color="auto"/>
                              </w:divBdr>
                              <w:divsChild>
                                <w:div w:id="67968190">
                                  <w:marLeft w:val="0"/>
                                  <w:marRight w:val="0"/>
                                  <w:marTop w:val="0"/>
                                  <w:marBottom w:val="0"/>
                                  <w:divBdr>
                                    <w:top w:val="none" w:sz="0" w:space="0" w:color="auto"/>
                                    <w:left w:val="none" w:sz="0" w:space="0" w:color="auto"/>
                                    <w:bottom w:val="none" w:sz="0" w:space="0" w:color="auto"/>
                                    <w:right w:val="none" w:sz="0" w:space="0" w:color="auto"/>
                                  </w:divBdr>
                                </w:div>
                                <w:div w:id="279576686">
                                  <w:marLeft w:val="0"/>
                                  <w:marRight w:val="0"/>
                                  <w:marTop w:val="0"/>
                                  <w:marBottom w:val="0"/>
                                  <w:divBdr>
                                    <w:top w:val="none" w:sz="0" w:space="0" w:color="auto"/>
                                    <w:left w:val="none" w:sz="0" w:space="0" w:color="auto"/>
                                    <w:bottom w:val="none" w:sz="0" w:space="0" w:color="auto"/>
                                    <w:right w:val="none" w:sz="0" w:space="0" w:color="auto"/>
                                  </w:divBdr>
                                  <w:divsChild>
                                    <w:div w:id="1094932496">
                                      <w:marLeft w:val="0"/>
                                      <w:marRight w:val="0"/>
                                      <w:marTop w:val="0"/>
                                      <w:marBottom w:val="0"/>
                                      <w:divBdr>
                                        <w:top w:val="none" w:sz="0" w:space="0" w:color="auto"/>
                                        <w:left w:val="none" w:sz="0" w:space="0" w:color="auto"/>
                                        <w:bottom w:val="none" w:sz="0" w:space="0" w:color="auto"/>
                                        <w:right w:val="none" w:sz="0" w:space="0" w:color="auto"/>
                                      </w:divBdr>
                                      <w:divsChild>
                                        <w:div w:id="51589649">
                                          <w:marLeft w:val="0"/>
                                          <w:marRight w:val="0"/>
                                          <w:marTop w:val="0"/>
                                          <w:marBottom w:val="0"/>
                                          <w:divBdr>
                                            <w:top w:val="none" w:sz="0" w:space="0" w:color="auto"/>
                                            <w:left w:val="none" w:sz="0" w:space="0" w:color="auto"/>
                                            <w:bottom w:val="none" w:sz="0" w:space="0" w:color="auto"/>
                                            <w:right w:val="none" w:sz="0" w:space="0" w:color="auto"/>
                                          </w:divBdr>
                                        </w:div>
                                        <w:div w:id="19338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894727">
      <w:bodyDiv w:val="1"/>
      <w:marLeft w:val="0"/>
      <w:marRight w:val="0"/>
      <w:marTop w:val="0"/>
      <w:marBottom w:val="0"/>
      <w:divBdr>
        <w:top w:val="none" w:sz="0" w:space="0" w:color="auto"/>
        <w:left w:val="none" w:sz="0" w:space="0" w:color="auto"/>
        <w:bottom w:val="none" w:sz="0" w:space="0" w:color="auto"/>
        <w:right w:val="none" w:sz="0" w:space="0" w:color="auto"/>
      </w:divBdr>
    </w:div>
    <w:div w:id="1615939970">
      <w:bodyDiv w:val="1"/>
      <w:marLeft w:val="0"/>
      <w:marRight w:val="0"/>
      <w:marTop w:val="0"/>
      <w:marBottom w:val="0"/>
      <w:divBdr>
        <w:top w:val="none" w:sz="0" w:space="0" w:color="auto"/>
        <w:left w:val="none" w:sz="0" w:space="0" w:color="auto"/>
        <w:bottom w:val="none" w:sz="0" w:space="0" w:color="auto"/>
        <w:right w:val="none" w:sz="0" w:space="0" w:color="auto"/>
      </w:divBdr>
    </w:div>
    <w:div w:id="1625962327">
      <w:bodyDiv w:val="1"/>
      <w:marLeft w:val="0"/>
      <w:marRight w:val="0"/>
      <w:marTop w:val="0"/>
      <w:marBottom w:val="0"/>
      <w:divBdr>
        <w:top w:val="none" w:sz="0" w:space="0" w:color="auto"/>
        <w:left w:val="none" w:sz="0" w:space="0" w:color="auto"/>
        <w:bottom w:val="none" w:sz="0" w:space="0" w:color="auto"/>
        <w:right w:val="none" w:sz="0" w:space="0" w:color="auto"/>
      </w:divBdr>
    </w:div>
    <w:div w:id="1765956876">
      <w:bodyDiv w:val="1"/>
      <w:marLeft w:val="0"/>
      <w:marRight w:val="0"/>
      <w:marTop w:val="0"/>
      <w:marBottom w:val="0"/>
      <w:divBdr>
        <w:top w:val="none" w:sz="0" w:space="0" w:color="auto"/>
        <w:left w:val="none" w:sz="0" w:space="0" w:color="auto"/>
        <w:bottom w:val="none" w:sz="0" w:space="0" w:color="auto"/>
        <w:right w:val="none" w:sz="0" w:space="0" w:color="auto"/>
      </w:divBdr>
    </w:div>
    <w:div w:id="1811901867">
      <w:bodyDiv w:val="1"/>
      <w:marLeft w:val="0"/>
      <w:marRight w:val="0"/>
      <w:marTop w:val="0"/>
      <w:marBottom w:val="0"/>
      <w:divBdr>
        <w:top w:val="none" w:sz="0" w:space="0" w:color="auto"/>
        <w:left w:val="none" w:sz="0" w:space="0" w:color="auto"/>
        <w:bottom w:val="none" w:sz="0" w:space="0" w:color="auto"/>
        <w:right w:val="none" w:sz="0" w:space="0" w:color="auto"/>
      </w:divBdr>
    </w:div>
    <w:div w:id="1828594475">
      <w:bodyDiv w:val="1"/>
      <w:marLeft w:val="0"/>
      <w:marRight w:val="0"/>
      <w:marTop w:val="0"/>
      <w:marBottom w:val="0"/>
      <w:divBdr>
        <w:top w:val="none" w:sz="0" w:space="0" w:color="auto"/>
        <w:left w:val="none" w:sz="0" w:space="0" w:color="auto"/>
        <w:bottom w:val="none" w:sz="0" w:space="0" w:color="auto"/>
        <w:right w:val="none" w:sz="0" w:space="0" w:color="auto"/>
      </w:divBdr>
      <w:divsChild>
        <w:div w:id="335155521">
          <w:marLeft w:val="0"/>
          <w:marRight w:val="0"/>
          <w:marTop w:val="0"/>
          <w:marBottom w:val="0"/>
          <w:divBdr>
            <w:top w:val="none" w:sz="0" w:space="0" w:color="auto"/>
            <w:left w:val="none" w:sz="0" w:space="0" w:color="auto"/>
            <w:bottom w:val="none" w:sz="0" w:space="0" w:color="auto"/>
            <w:right w:val="none" w:sz="0" w:space="0" w:color="auto"/>
          </w:divBdr>
          <w:divsChild>
            <w:div w:id="926231849">
              <w:marLeft w:val="0"/>
              <w:marRight w:val="0"/>
              <w:marTop w:val="0"/>
              <w:marBottom w:val="0"/>
              <w:divBdr>
                <w:top w:val="none" w:sz="0" w:space="0" w:color="auto"/>
                <w:left w:val="none" w:sz="0" w:space="0" w:color="auto"/>
                <w:bottom w:val="none" w:sz="0" w:space="0" w:color="auto"/>
                <w:right w:val="none" w:sz="0" w:space="0" w:color="auto"/>
              </w:divBdr>
              <w:divsChild>
                <w:div w:id="1856307618">
                  <w:marLeft w:val="0"/>
                  <w:marRight w:val="0"/>
                  <w:marTop w:val="0"/>
                  <w:marBottom w:val="0"/>
                  <w:divBdr>
                    <w:top w:val="none" w:sz="0" w:space="0" w:color="auto"/>
                    <w:left w:val="none" w:sz="0" w:space="0" w:color="auto"/>
                    <w:bottom w:val="none" w:sz="0" w:space="0" w:color="auto"/>
                    <w:right w:val="none" w:sz="0" w:space="0" w:color="auto"/>
                  </w:divBdr>
                  <w:divsChild>
                    <w:div w:id="1711760150">
                      <w:marLeft w:val="0"/>
                      <w:marRight w:val="0"/>
                      <w:marTop w:val="0"/>
                      <w:marBottom w:val="0"/>
                      <w:divBdr>
                        <w:top w:val="none" w:sz="0" w:space="0" w:color="auto"/>
                        <w:left w:val="none" w:sz="0" w:space="0" w:color="auto"/>
                        <w:bottom w:val="none" w:sz="0" w:space="0" w:color="auto"/>
                        <w:right w:val="none" w:sz="0" w:space="0" w:color="auto"/>
                      </w:divBdr>
                      <w:divsChild>
                        <w:div w:id="235748012">
                          <w:marLeft w:val="0"/>
                          <w:marRight w:val="0"/>
                          <w:marTop w:val="0"/>
                          <w:marBottom w:val="0"/>
                          <w:divBdr>
                            <w:top w:val="none" w:sz="0" w:space="0" w:color="auto"/>
                            <w:left w:val="none" w:sz="0" w:space="0" w:color="auto"/>
                            <w:bottom w:val="none" w:sz="0" w:space="0" w:color="auto"/>
                            <w:right w:val="none" w:sz="0" w:space="0" w:color="auto"/>
                          </w:divBdr>
                          <w:divsChild>
                            <w:div w:id="84349752">
                              <w:marLeft w:val="0"/>
                              <w:marRight w:val="0"/>
                              <w:marTop w:val="0"/>
                              <w:marBottom w:val="0"/>
                              <w:divBdr>
                                <w:top w:val="none" w:sz="0" w:space="0" w:color="auto"/>
                                <w:left w:val="none" w:sz="0" w:space="0" w:color="auto"/>
                                <w:bottom w:val="none" w:sz="0" w:space="0" w:color="auto"/>
                                <w:right w:val="none" w:sz="0" w:space="0" w:color="auto"/>
                              </w:divBdr>
                              <w:divsChild>
                                <w:div w:id="97725523">
                                  <w:marLeft w:val="0"/>
                                  <w:marRight w:val="0"/>
                                  <w:marTop w:val="0"/>
                                  <w:marBottom w:val="0"/>
                                  <w:divBdr>
                                    <w:top w:val="none" w:sz="0" w:space="0" w:color="auto"/>
                                    <w:left w:val="none" w:sz="0" w:space="0" w:color="auto"/>
                                    <w:bottom w:val="none" w:sz="0" w:space="0" w:color="auto"/>
                                    <w:right w:val="none" w:sz="0" w:space="0" w:color="auto"/>
                                  </w:divBdr>
                                </w:div>
                                <w:div w:id="113989736">
                                  <w:marLeft w:val="0"/>
                                  <w:marRight w:val="0"/>
                                  <w:marTop w:val="0"/>
                                  <w:marBottom w:val="0"/>
                                  <w:divBdr>
                                    <w:top w:val="none" w:sz="0" w:space="0" w:color="auto"/>
                                    <w:left w:val="none" w:sz="0" w:space="0" w:color="auto"/>
                                    <w:bottom w:val="none" w:sz="0" w:space="0" w:color="auto"/>
                                    <w:right w:val="none" w:sz="0" w:space="0" w:color="auto"/>
                                  </w:divBdr>
                                </w:div>
                                <w:div w:id="135296438">
                                  <w:marLeft w:val="0"/>
                                  <w:marRight w:val="0"/>
                                  <w:marTop w:val="0"/>
                                  <w:marBottom w:val="0"/>
                                  <w:divBdr>
                                    <w:top w:val="none" w:sz="0" w:space="0" w:color="auto"/>
                                    <w:left w:val="none" w:sz="0" w:space="0" w:color="auto"/>
                                    <w:bottom w:val="none" w:sz="0" w:space="0" w:color="auto"/>
                                    <w:right w:val="none" w:sz="0" w:space="0" w:color="auto"/>
                                  </w:divBdr>
                                </w:div>
                                <w:div w:id="502087026">
                                  <w:marLeft w:val="0"/>
                                  <w:marRight w:val="0"/>
                                  <w:marTop w:val="0"/>
                                  <w:marBottom w:val="0"/>
                                  <w:divBdr>
                                    <w:top w:val="none" w:sz="0" w:space="0" w:color="auto"/>
                                    <w:left w:val="none" w:sz="0" w:space="0" w:color="auto"/>
                                    <w:bottom w:val="none" w:sz="0" w:space="0" w:color="auto"/>
                                    <w:right w:val="none" w:sz="0" w:space="0" w:color="auto"/>
                                  </w:divBdr>
                                </w:div>
                                <w:div w:id="1747799913">
                                  <w:marLeft w:val="0"/>
                                  <w:marRight w:val="0"/>
                                  <w:marTop w:val="0"/>
                                  <w:marBottom w:val="0"/>
                                  <w:divBdr>
                                    <w:top w:val="none" w:sz="0" w:space="0" w:color="auto"/>
                                    <w:left w:val="none" w:sz="0" w:space="0" w:color="auto"/>
                                    <w:bottom w:val="none" w:sz="0" w:space="0" w:color="auto"/>
                                    <w:right w:val="none" w:sz="0" w:space="0" w:color="auto"/>
                                  </w:divBdr>
                                </w:div>
                                <w:div w:id="2083407367">
                                  <w:marLeft w:val="0"/>
                                  <w:marRight w:val="0"/>
                                  <w:marTop w:val="0"/>
                                  <w:marBottom w:val="0"/>
                                  <w:divBdr>
                                    <w:top w:val="none" w:sz="0" w:space="0" w:color="auto"/>
                                    <w:left w:val="none" w:sz="0" w:space="0" w:color="auto"/>
                                    <w:bottom w:val="none" w:sz="0" w:space="0" w:color="auto"/>
                                    <w:right w:val="none" w:sz="0" w:space="0" w:color="auto"/>
                                  </w:divBdr>
                                </w:div>
                              </w:divsChild>
                            </w:div>
                            <w:div w:id="307168260">
                              <w:marLeft w:val="0"/>
                              <w:marRight w:val="0"/>
                              <w:marTop w:val="0"/>
                              <w:marBottom w:val="0"/>
                              <w:divBdr>
                                <w:top w:val="none" w:sz="0" w:space="0" w:color="auto"/>
                                <w:left w:val="none" w:sz="0" w:space="0" w:color="auto"/>
                                <w:bottom w:val="none" w:sz="0" w:space="0" w:color="auto"/>
                                <w:right w:val="none" w:sz="0" w:space="0" w:color="auto"/>
                              </w:divBdr>
                              <w:divsChild>
                                <w:div w:id="102657222">
                                  <w:marLeft w:val="0"/>
                                  <w:marRight w:val="0"/>
                                  <w:marTop w:val="0"/>
                                  <w:marBottom w:val="0"/>
                                  <w:divBdr>
                                    <w:top w:val="none" w:sz="0" w:space="0" w:color="auto"/>
                                    <w:left w:val="none" w:sz="0" w:space="0" w:color="auto"/>
                                    <w:bottom w:val="none" w:sz="0" w:space="0" w:color="auto"/>
                                    <w:right w:val="none" w:sz="0" w:space="0" w:color="auto"/>
                                  </w:divBdr>
                                </w:div>
                                <w:div w:id="395662823">
                                  <w:marLeft w:val="0"/>
                                  <w:marRight w:val="0"/>
                                  <w:marTop w:val="0"/>
                                  <w:marBottom w:val="0"/>
                                  <w:divBdr>
                                    <w:top w:val="none" w:sz="0" w:space="0" w:color="auto"/>
                                    <w:left w:val="none" w:sz="0" w:space="0" w:color="auto"/>
                                    <w:bottom w:val="none" w:sz="0" w:space="0" w:color="auto"/>
                                    <w:right w:val="none" w:sz="0" w:space="0" w:color="auto"/>
                                  </w:divBdr>
                                </w:div>
                                <w:div w:id="696930979">
                                  <w:marLeft w:val="0"/>
                                  <w:marRight w:val="0"/>
                                  <w:marTop w:val="0"/>
                                  <w:marBottom w:val="0"/>
                                  <w:divBdr>
                                    <w:top w:val="none" w:sz="0" w:space="0" w:color="auto"/>
                                    <w:left w:val="none" w:sz="0" w:space="0" w:color="auto"/>
                                    <w:bottom w:val="none" w:sz="0" w:space="0" w:color="auto"/>
                                    <w:right w:val="none" w:sz="0" w:space="0" w:color="auto"/>
                                  </w:divBdr>
                                </w:div>
                                <w:div w:id="981890712">
                                  <w:marLeft w:val="0"/>
                                  <w:marRight w:val="0"/>
                                  <w:marTop w:val="0"/>
                                  <w:marBottom w:val="0"/>
                                  <w:divBdr>
                                    <w:top w:val="none" w:sz="0" w:space="0" w:color="auto"/>
                                    <w:left w:val="none" w:sz="0" w:space="0" w:color="auto"/>
                                    <w:bottom w:val="none" w:sz="0" w:space="0" w:color="auto"/>
                                    <w:right w:val="none" w:sz="0" w:space="0" w:color="auto"/>
                                  </w:divBdr>
                                </w:div>
                                <w:div w:id="1319572076">
                                  <w:marLeft w:val="0"/>
                                  <w:marRight w:val="0"/>
                                  <w:marTop w:val="0"/>
                                  <w:marBottom w:val="0"/>
                                  <w:divBdr>
                                    <w:top w:val="none" w:sz="0" w:space="0" w:color="auto"/>
                                    <w:left w:val="none" w:sz="0" w:space="0" w:color="auto"/>
                                    <w:bottom w:val="none" w:sz="0" w:space="0" w:color="auto"/>
                                    <w:right w:val="none" w:sz="0" w:space="0" w:color="auto"/>
                                  </w:divBdr>
                                </w:div>
                                <w:div w:id="1350982953">
                                  <w:marLeft w:val="0"/>
                                  <w:marRight w:val="0"/>
                                  <w:marTop w:val="0"/>
                                  <w:marBottom w:val="0"/>
                                  <w:divBdr>
                                    <w:top w:val="none" w:sz="0" w:space="0" w:color="auto"/>
                                    <w:left w:val="none" w:sz="0" w:space="0" w:color="auto"/>
                                    <w:bottom w:val="none" w:sz="0" w:space="0" w:color="auto"/>
                                    <w:right w:val="none" w:sz="0" w:space="0" w:color="auto"/>
                                  </w:divBdr>
                                  <w:divsChild>
                                    <w:div w:id="1652976633">
                                      <w:marLeft w:val="0"/>
                                      <w:marRight w:val="0"/>
                                      <w:marTop w:val="0"/>
                                      <w:marBottom w:val="240"/>
                                      <w:divBdr>
                                        <w:top w:val="none" w:sz="0" w:space="0" w:color="auto"/>
                                        <w:left w:val="none" w:sz="0" w:space="0" w:color="auto"/>
                                        <w:bottom w:val="none" w:sz="0" w:space="0" w:color="auto"/>
                                        <w:right w:val="none" w:sz="0" w:space="0" w:color="auto"/>
                                      </w:divBdr>
                                    </w:div>
                                  </w:divsChild>
                                </w:div>
                                <w:div w:id="1424647522">
                                  <w:marLeft w:val="0"/>
                                  <w:marRight w:val="0"/>
                                  <w:marTop w:val="0"/>
                                  <w:marBottom w:val="240"/>
                                  <w:divBdr>
                                    <w:top w:val="none" w:sz="0" w:space="0" w:color="auto"/>
                                    <w:left w:val="none" w:sz="0" w:space="0" w:color="auto"/>
                                    <w:bottom w:val="none" w:sz="0" w:space="0" w:color="auto"/>
                                    <w:right w:val="none" w:sz="0" w:space="0" w:color="auto"/>
                                  </w:divBdr>
                                </w:div>
                                <w:div w:id="1444300471">
                                  <w:marLeft w:val="0"/>
                                  <w:marRight w:val="0"/>
                                  <w:marTop w:val="0"/>
                                  <w:marBottom w:val="0"/>
                                  <w:divBdr>
                                    <w:top w:val="none" w:sz="0" w:space="0" w:color="auto"/>
                                    <w:left w:val="none" w:sz="0" w:space="0" w:color="auto"/>
                                    <w:bottom w:val="none" w:sz="0" w:space="0" w:color="auto"/>
                                    <w:right w:val="none" w:sz="0" w:space="0" w:color="auto"/>
                                  </w:divBdr>
                                </w:div>
                                <w:div w:id="1481918619">
                                  <w:marLeft w:val="0"/>
                                  <w:marRight w:val="0"/>
                                  <w:marTop w:val="0"/>
                                  <w:marBottom w:val="0"/>
                                  <w:divBdr>
                                    <w:top w:val="none" w:sz="0" w:space="0" w:color="auto"/>
                                    <w:left w:val="none" w:sz="0" w:space="0" w:color="auto"/>
                                    <w:bottom w:val="none" w:sz="0" w:space="0" w:color="auto"/>
                                    <w:right w:val="none" w:sz="0" w:space="0" w:color="auto"/>
                                  </w:divBdr>
                                  <w:divsChild>
                                    <w:div w:id="1193224174">
                                      <w:marLeft w:val="0"/>
                                      <w:marRight w:val="0"/>
                                      <w:marTop w:val="0"/>
                                      <w:marBottom w:val="240"/>
                                      <w:divBdr>
                                        <w:top w:val="none" w:sz="0" w:space="0" w:color="auto"/>
                                        <w:left w:val="none" w:sz="0" w:space="0" w:color="auto"/>
                                        <w:bottom w:val="none" w:sz="0" w:space="0" w:color="auto"/>
                                        <w:right w:val="none" w:sz="0" w:space="0" w:color="auto"/>
                                      </w:divBdr>
                                    </w:div>
                                  </w:divsChild>
                                </w:div>
                                <w:div w:id="1590385169">
                                  <w:marLeft w:val="0"/>
                                  <w:marRight w:val="0"/>
                                  <w:marTop w:val="0"/>
                                  <w:marBottom w:val="0"/>
                                  <w:divBdr>
                                    <w:top w:val="none" w:sz="0" w:space="0" w:color="auto"/>
                                    <w:left w:val="none" w:sz="0" w:space="0" w:color="auto"/>
                                    <w:bottom w:val="none" w:sz="0" w:space="0" w:color="auto"/>
                                    <w:right w:val="none" w:sz="0" w:space="0" w:color="auto"/>
                                  </w:divBdr>
                                  <w:divsChild>
                                    <w:div w:id="651759102">
                                      <w:marLeft w:val="0"/>
                                      <w:marRight w:val="0"/>
                                      <w:marTop w:val="0"/>
                                      <w:marBottom w:val="240"/>
                                      <w:divBdr>
                                        <w:top w:val="none" w:sz="0" w:space="0" w:color="auto"/>
                                        <w:left w:val="none" w:sz="0" w:space="0" w:color="auto"/>
                                        <w:bottom w:val="none" w:sz="0" w:space="0" w:color="auto"/>
                                        <w:right w:val="none" w:sz="0" w:space="0" w:color="auto"/>
                                      </w:divBdr>
                                    </w:div>
                                  </w:divsChild>
                                </w:div>
                                <w:div w:id="1632400101">
                                  <w:marLeft w:val="0"/>
                                  <w:marRight w:val="0"/>
                                  <w:marTop w:val="0"/>
                                  <w:marBottom w:val="0"/>
                                  <w:divBdr>
                                    <w:top w:val="none" w:sz="0" w:space="0" w:color="auto"/>
                                    <w:left w:val="none" w:sz="0" w:space="0" w:color="auto"/>
                                    <w:bottom w:val="none" w:sz="0" w:space="0" w:color="auto"/>
                                    <w:right w:val="none" w:sz="0" w:space="0" w:color="auto"/>
                                  </w:divBdr>
                                </w:div>
                                <w:div w:id="18307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afrontier.net" TargetMode="External"/><Relationship Id="rId2" Type="http://schemas.openxmlformats.org/officeDocument/2006/relationships/hyperlink" Target="https://gsmaintelligence.com/" TargetMode="External"/><Relationship Id="rId1" Type="http://schemas.openxmlformats.org/officeDocument/2006/relationships/hyperlink" Target="http://gs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Lef84</b:Tag>
    <b:SourceType>JournalArticle</b:SourceType>
    <b:Guid>{D8B35461-1A42-4507-A9F9-3A9BC994D1D3}</b:Guid>
    <b:Author>
      <b:Author>
        <b:NameList>
          <b:Person>
            <b:Last>Leff</b:Last>
            <b:First>N.H</b:First>
          </b:Person>
        </b:NameList>
      </b:Author>
    </b:Author>
    <b:Title>The output contributions of computer equipment and personnel: a firm level analysis for economic development: an example from telecommunication</b:Title>
    <b:JournalName>Economic Development and Cultural Change</b:JournalName>
    <b:Year>1984</b:Year>
    <b:Pages>255-276</b:Pages>
    <b:Volume>2</b:Volume>
    <b:RefOrder>1</b:RefOrder>
  </b:Source>
  <b:Source>
    <b:Tag>Her10</b:Tag>
    <b:SourceType>Misc</b:SourceType>
    <b:Guid>{3F605117-FB22-4026-8406-5F360ECAAEE5}</b:Guid>
    <b:Author>
      <b:Author>
        <b:NameList>
          <b:Person>
            <b:Last>Gruber</b:Last>
            <b:First>Herald</b:First>
          </b:Person>
          <b:Person>
            <b:Last>Koutroumpis</b:Last>
            <b:First>Pantelis</b:First>
          </b:Person>
        </b:NameList>
      </b:Author>
    </b:Author>
    <b:Title>Mobile telecommunications and the impact on economic development</b:Title>
    <b:Year>2010</b:Year>
    <b:PublicationTitle>Panel draft for the 52nd Economic Policy Panel</b:PublicationTitle>
    <b:Month>October</b:Month>
    <b:RefOrder>2</b:RefOrder>
  </b:Source>
  <b:Source>
    <b:Tag>Wil111</b:Tag>
    <b:SourceType>Book</b:SourceType>
    <b:Guid>{B942C922-2F75-4D26-A4D6-B5CB0FF5F545}</b:Guid>
    <b:Author>
      <b:Author>
        <b:NameList>
          <b:Person>
            <b:Last>William W Cooper</b:Last>
            <b:First>Lawrence</b:First>
            <b:Middle>M Seiford, Joe Zhu</b:Middle>
          </b:Person>
        </b:NameList>
      </b:Author>
    </b:Author>
    <b:Title>Handbook on Data Envelopment Analysis</b:Title>
    <b:Year>2011</b:Year>
    <b:Publisher>Springer</b:Publisher>
    <b:City>London</b:City>
    <b:RefOrder>3</b:RefOrder>
  </b:Source>
  <b:Source>
    <b:Tag>Hsi06</b:Tag>
    <b:SourceType>JournalArticle</b:SourceType>
    <b:Guid>{A937989A-4B9A-4DBC-B49D-FD9B9946F395}</b:Guid>
    <b:Title>The comparative productivity efficiency for global telecoms</b:Title>
    <b:Year>2006</b:Year>
    <b:Author>
      <b:Author>
        <b:NameList>
          <b:Person>
            <b:Last>Hsiang-Chih Tsai</b:Last>
            <b:First>Chun-Mei</b:First>
            <b:Middle>Chen, Gwo-Hshiung Tzeng</b:Middle>
          </b:Person>
        </b:NameList>
      </b:Author>
    </b:Author>
    <b:JournalName>International Journal of Production Economics</b:JournalName>
    <b:Pages>509-526</b:Pages>
    <b:RefOrder>9</b:RefOrder>
  </b:Source>
  <b:Source>
    <b:Tag>Jin08</b:Tag>
    <b:SourceType>JournalArticle</b:SourceType>
    <b:Guid>{691EC51F-E88D-46B9-8F7E-2973BE356C55}</b:Guid>
    <b:Author>
      <b:Author>
        <b:NameList>
          <b:Person>
            <b:Last>Jin-Li Hu</b:Last>
            <b:First>Wei-Kai</b:First>
            <b:Middle>Chu</b:Middle>
          </b:Person>
        </b:NameList>
      </b:Author>
    </b:Author>
    <b:Title>Efficiency and Productivity of Major Asia-Pacific Telecom Firms</b:Title>
    <b:Year>2008</b:Year>
    <b:JournalName>Chang Gung Journal of Humanities and Social Sciences</b:JournalName>
    <b:Pages>223-245</b:Pages>
    <b:RefOrder>4</b:RefOrder>
  </b:Source>
  <b:Source>
    <b:Tag>Chu</b:Tag>
    <b:SourceType>JournalArticle</b:SourceType>
    <b:Guid>{570779F3-7B37-4483-B4A2-4DDBE22D4D75}</b:Guid>
    <b:Author>
      <b:Author>
        <b:NameList>
          <b:Person>
            <b:Last>Chun-Hsiung Liao</b:Last>
            <b:First>Diana</b:First>
            <b:Middle>Beatriz González Jiménez</b:Middle>
          </b:Person>
        </b:NameList>
      </b:Author>
    </b:Author>
    <b:Title>Comparing Operational Efficiency among Mobile Operators in Brazil, Russia, India and China</b:Title>
    <b:JournalName>China &amp; World Economy</b:JournalName>
    <b:Year>2009</b:Year>
    <b:Pages>104-120</b:Pages>
    <b:Volume>17</b:Volume>
    <b:RefOrder>5</b:RefOrder>
  </b:Source>
  <b:Source>
    <b:Tag>Chu11</b:Tag>
    <b:SourceType>JournalArticle</b:SourceType>
    <b:Guid>{AA9C2F64-3798-4D0C-B2D2-A5B4D9BD3408}</b:Guid>
    <b:Author>
      <b:Author>
        <b:NameList>
          <b:Person>
            <b:Last>Chun-Hsiung Liao</b:Last>
            <b:First>Hsing-Yung</b:First>
            <b:Middle>Lin</b:Middle>
          </b:Person>
        </b:NameList>
      </b:Author>
    </b:Author>
    <b:Title>Measuring operational efficiency of mobile operators in Japan and Korea</b:Title>
    <b:JournalName>Japan and the World Economy</b:JournalName>
    <b:Year>2011</b:Year>
    <b:Pages>48-57</b:Pages>
    <b:Volume>23</b:Volume>
    <b:RefOrder>6</b:RefOrder>
  </b:Source>
  <b:Source>
    <b:Tag>Vin12</b:Tag>
    <b:SourceType>JournalArticle</b:SourceType>
    <b:Guid>{2C151084-3052-4956-9BAC-D38C292D2610}</b:Guid>
    <b:Author>
      <b:Author>
        <b:NameList>
          <b:Person>
            <b:Last>Vineeta Nigam</b:Last>
            <b:First>Tripta</b:First>
            <b:Middle>Thakur, V.K. Sethi, R.P. Singh</b:Middle>
          </b:Person>
        </b:NameList>
      </b:Author>
    </b:Author>
    <b:Title>Benchmarking of Indian mobile telecom operators using DEA with sensitivity analysis</b:Title>
    <b:JournalName>Benchmarking: An International Journal</b:JournalName>
    <b:Year>2012</b:Year>
    <b:Pages>219-238</b:Pages>
    <b:Volume>19</b:Volume>
    <b:RefOrder>7</b:RefOrder>
  </b:Source>
  <b:Source>
    <b:Tag>You00</b:Tag>
    <b:SourceType>JournalArticle</b:SourceType>
    <b:Guid>{A94FFB94-ED6E-46BC-9E18-167E28ED914A}</b:Guid>
    <b:Author>
      <b:Author>
        <b:NameList>
          <b:Person>
            <b:Last>Young-Yong Lee</b:Last>
            <b:First>Yong-Tae</b:First>
            <b:Middle>Park, Hyung-Sik Oh</b:Middle>
          </b:Person>
        </b:NameList>
      </b:Author>
    </b:Author>
    <b:Title>The impact of competition on the efficiency of public enterprise: The case of Korea Telecom</b:Title>
    <b:JournalName>Asia Pacific Journal of Management</b:JournalName>
    <b:Year>2000</b:Year>
    <b:Pages>432-442</b:Pages>
    <b:Volume>17</b:Volume>
    <b:RefOrder>8</b:RefOrder>
  </b:Source>
</b:Sources>
</file>

<file path=customXml/itemProps1.xml><?xml version="1.0" encoding="utf-8"?>
<ds:datastoreItem xmlns:ds="http://schemas.openxmlformats.org/officeDocument/2006/customXml" ds:itemID="{52DEB843-8000-464C-89A6-93B30B51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6578</Words>
  <Characters>37500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Viviane Naimy</cp:lastModifiedBy>
  <cp:revision>4</cp:revision>
  <dcterms:created xsi:type="dcterms:W3CDTF">2014-03-28T14:39:00Z</dcterms:created>
  <dcterms:modified xsi:type="dcterms:W3CDTF">2014-03-28T15:02:00Z</dcterms:modified>
</cp:coreProperties>
</file>