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270DB" w14:textId="77777777" w:rsidR="00E74776" w:rsidRPr="00027413" w:rsidRDefault="00E74776">
      <w:pPr>
        <w:pStyle w:val="Corpotesto"/>
        <w:spacing w:line="240" w:lineRule="auto"/>
        <w:rPr>
          <w:rFonts w:ascii="Times New Roman" w:hAnsi="Times New Roman"/>
          <w:b w:val="0"/>
          <w:caps/>
          <w:color w:val="000000"/>
          <w:sz w:val="36"/>
          <w:szCs w:val="36"/>
          <w:lang w:val="en-GB"/>
        </w:rPr>
      </w:pPr>
    </w:p>
    <w:p w14:paraId="38CAE745" w14:textId="14B08D21" w:rsidR="00A947A2" w:rsidRPr="00CD7FAA" w:rsidRDefault="00B87004" w:rsidP="00A947A2">
      <w:pPr>
        <w:widowControl/>
        <w:autoSpaceDE w:val="0"/>
        <w:autoSpaceDN w:val="0"/>
        <w:jc w:val="center"/>
        <w:textAlignment w:val="bottom"/>
        <w:rPr>
          <w:b/>
          <w:color w:val="000000"/>
          <w:sz w:val="36"/>
          <w:szCs w:val="36"/>
        </w:rPr>
      </w:pPr>
      <w:r w:rsidRPr="00CD7FAA">
        <w:rPr>
          <w:b/>
          <w:bCs/>
          <w:color w:val="000000"/>
          <w:sz w:val="36"/>
          <w:szCs w:val="36"/>
        </w:rPr>
        <w:t>University technology transfer and the contribution of university spin-offs in stimulating the socio-economic development of regions</w:t>
      </w:r>
    </w:p>
    <w:p w14:paraId="22093446" w14:textId="77777777" w:rsidR="00A947A2" w:rsidRPr="00CD7FAA" w:rsidRDefault="00A947A2" w:rsidP="00A947A2">
      <w:pPr>
        <w:widowControl/>
        <w:autoSpaceDE w:val="0"/>
        <w:autoSpaceDN w:val="0"/>
        <w:jc w:val="center"/>
        <w:textAlignment w:val="bottom"/>
        <w:rPr>
          <w:b/>
          <w:color w:val="000000"/>
          <w:szCs w:val="24"/>
        </w:rPr>
      </w:pPr>
    </w:p>
    <w:p w14:paraId="562719ED" w14:textId="29F38A96" w:rsidR="00A947A2" w:rsidRPr="00CD7FAA" w:rsidRDefault="00A018E9" w:rsidP="00A947A2">
      <w:pPr>
        <w:widowControl/>
        <w:autoSpaceDE w:val="0"/>
        <w:autoSpaceDN w:val="0"/>
        <w:jc w:val="center"/>
        <w:textAlignment w:val="bottom"/>
        <w:rPr>
          <w:b/>
          <w:color w:val="000000"/>
          <w:szCs w:val="24"/>
          <w:lang w:val="it-IT"/>
        </w:rPr>
      </w:pPr>
      <w:r w:rsidRPr="00CD7FAA">
        <w:rPr>
          <w:b/>
          <w:color w:val="000000"/>
          <w:szCs w:val="24"/>
          <w:lang w:val="it-IT"/>
        </w:rPr>
        <w:t>Luciano D’Amico, Danilo Bofffa and Antonio Prencipe</w:t>
      </w:r>
    </w:p>
    <w:p w14:paraId="351A714A" w14:textId="77777777" w:rsidR="00A947A2" w:rsidRPr="00CD7FAA" w:rsidRDefault="00A947A2" w:rsidP="00A947A2">
      <w:pPr>
        <w:widowControl/>
        <w:autoSpaceDE w:val="0"/>
        <w:autoSpaceDN w:val="0"/>
        <w:jc w:val="center"/>
        <w:textAlignment w:val="bottom"/>
        <w:rPr>
          <w:b/>
          <w:color w:val="000000"/>
          <w:szCs w:val="24"/>
          <w:lang w:val="it-IT"/>
        </w:rPr>
      </w:pPr>
    </w:p>
    <w:p w14:paraId="5278F5B4" w14:textId="77777777" w:rsidR="00A947A2" w:rsidRPr="00CD7FAA" w:rsidRDefault="00A947A2" w:rsidP="00A947A2">
      <w:pPr>
        <w:widowControl/>
        <w:autoSpaceDE w:val="0"/>
        <w:autoSpaceDN w:val="0"/>
        <w:textAlignment w:val="bottom"/>
        <w:rPr>
          <w:color w:val="000000"/>
          <w:szCs w:val="24"/>
          <w:lang w:val="it-IT"/>
        </w:rPr>
      </w:pPr>
    </w:p>
    <w:p w14:paraId="0576E1B8" w14:textId="77777777" w:rsidR="00A947A2" w:rsidRPr="00CD7FAA" w:rsidRDefault="00A947A2" w:rsidP="00A947A2">
      <w:pPr>
        <w:widowControl/>
        <w:autoSpaceDE w:val="0"/>
        <w:autoSpaceDN w:val="0"/>
        <w:jc w:val="center"/>
        <w:textAlignment w:val="bottom"/>
        <w:rPr>
          <w:b/>
          <w:color w:val="000000"/>
          <w:sz w:val="26"/>
          <w:szCs w:val="26"/>
        </w:rPr>
      </w:pPr>
      <w:r w:rsidRPr="00CD7FAA">
        <w:rPr>
          <w:b/>
          <w:color w:val="000000"/>
          <w:sz w:val="26"/>
          <w:szCs w:val="26"/>
        </w:rPr>
        <w:t>Abstract</w:t>
      </w:r>
    </w:p>
    <w:p w14:paraId="3CBE15D4" w14:textId="77777777" w:rsidR="00A947A2" w:rsidRPr="00CD7FAA" w:rsidRDefault="00A947A2" w:rsidP="00A947A2">
      <w:pPr>
        <w:widowControl/>
        <w:autoSpaceDE w:val="0"/>
        <w:autoSpaceDN w:val="0"/>
        <w:jc w:val="center"/>
        <w:textAlignment w:val="bottom"/>
        <w:rPr>
          <w:b/>
          <w:color w:val="000000"/>
          <w:szCs w:val="24"/>
        </w:rPr>
      </w:pPr>
    </w:p>
    <w:p w14:paraId="4996DD40" w14:textId="476962A4" w:rsidR="00A947A2" w:rsidRPr="00CD7FAA" w:rsidRDefault="00D7069F" w:rsidP="00A947A2">
      <w:pPr>
        <w:rPr>
          <w:color w:val="000000"/>
          <w:szCs w:val="24"/>
        </w:rPr>
      </w:pPr>
      <w:r w:rsidRPr="00CD7FAA">
        <w:rPr>
          <w:color w:val="000000"/>
          <w:szCs w:val="24"/>
        </w:rPr>
        <w:t>The commercialization and dissemination of knowledge technologies developed in academia have increased the attention of policy makers as strategic components to support regional socio-economic and innovative development.</w:t>
      </w:r>
      <w:r w:rsidR="00342E2B" w:rsidRPr="00CD7FAA">
        <w:rPr>
          <w:color w:val="000000"/>
          <w:szCs w:val="24"/>
        </w:rPr>
        <w:t xml:space="preserve"> </w:t>
      </w:r>
      <w:r w:rsidRPr="00CD7FAA">
        <w:rPr>
          <w:color w:val="000000"/>
          <w:szCs w:val="24"/>
        </w:rPr>
        <w:t>The emerging models of the third and fourth university missions underline the critical function of commercializing the results of academic research, innovation and entrepreneurship for the growth and competitiveness of regional areas. This study aims to investigate, both from a theoretical and empirical point of view, the role of university spin-offs as a contribution to the socio-economic and innovative development of the regions in which they are located. To this end, the contributor analyzes a longitudinal sample of 952 university spin-offs located in 20 Italian administrative regions. The results from the empirical analysis show that the knowledge and technological production of the university spin-out process generate an affective and active role in the regional context, stimulating it innovative capacities and supporting their socio-economic development</w:t>
      </w:r>
      <w:r w:rsidR="00DF3DE5" w:rsidRPr="00CD7FAA">
        <w:rPr>
          <w:color w:val="000000"/>
          <w:szCs w:val="24"/>
        </w:rPr>
        <w:t>.</w:t>
      </w:r>
    </w:p>
    <w:p w14:paraId="3380F81F" w14:textId="77777777" w:rsidR="00D7069F" w:rsidRPr="00CD7FAA" w:rsidRDefault="00D7069F" w:rsidP="00A947A2">
      <w:pPr>
        <w:rPr>
          <w:color w:val="000000"/>
          <w:szCs w:val="24"/>
          <w:lang w:val="en-GB"/>
        </w:rPr>
      </w:pPr>
    </w:p>
    <w:p w14:paraId="3BB2BE49" w14:textId="656EAF7B" w:rsidR="00A947A2" w:rsidRPr="00CD7FAA" w:rsidRDefault="00A947A2" w:rsidP="00A947A2">
      <w:pPr>
        <w:ind w:left="1" w:hanging="1"/>
        <w:rPr>
          <w:color w:val="000000"/>
          <w:szCs w:val="24"/>
          <w:lang w:val="it-IT"/>
        </w:rPr>
      </w:pPr>
      <w:r w:rsidRPr="00CD7FAA">
        <w:rPr>
          <w:b/>
          <w:color w:val="000000"/>
          <w:szCs w:val="24"/>
          <w:lang w:val="it-IT"/>
        </w:rPr>
        <w:t>JEL classification numbers:</w:t>
      </w:r>
      <w:r w:rsidRPr="00CD7FAA">
        <w:rPr>
          <w:color w:val="000000"/>
          <w:szCs w:val="24"/>
          <w:lang w:val="it-IT"/>
        </w:rPr>
        <w:t xml:space="preserve"> </w:t>
      </w:r>
      <w:r w:rsidR="00C71897" w:rsidRPr="00CD7FAA">
        <w:rPr>
          <w:color w:val="000000"/>
          <w:szCs w:val="24"/>
          <w:lang w:val="it-IT"/>
        </w:rPr>
        <w:t xml:space="preserve">M21; </w:t>
      </w:r>
      <w:r w:rsidR="008C3D0A" w:rsidRPr="00CD7FAA">
        <w:rPr>
          <w:color w:val="000000"/>
          <w:szCs w:val="24"/>
          <w:lang w:val="it-IT"/>
        </w:rPr>
        <w:t>O30; O32.</w:t>
      </w:r>
    </w:p>
    <w:p w14:paraId="533ACEC9" w14:textId="0F932F94" w:rsidR="00A947A2" w:rsidRPr="00CD7FAA" w:rsidRDefault="00A947A2" w:rsidP="00A947A2">
      <w:pPr>
        <w:ind w:left="1" w:hanging="1"/>
        <w:rPr>
          <w:b/>
          <w:color w:val="000000"/>
          <w:szCs w:val="24"/>
          <w:lang w:val="en-GB"/>
        </w:rPr>
      </w:pPr>
      <w:r w:rsidRPr="00CD7FAA">
        <w:rPr>
          <w:b/>
          <w:color w:val="000000"/>
          <w:szCs w:val="24"/>
          <w:lang w:val="en-GB"/>
        </w:rPr>
        <w:t xml:space="preserve">Keywords: </w:t>
      </w:r>
      <w:r w:rsidR="006541AD" w:rsidRPr="00CD7FAA">
        <w:rPr>
          <w:color w:val="000000"/>
          <w:szCs w:val="24"/>
        </w:rPr>
        <w:t>University technology transfer, University spin-offs; regional economic development; regional innovation.</w:t>
      </w:r>
    </w:p>
    <w:p w14:paraId="121BCDD0" w14:textId="77777777" w:rsidR="00A947A2" w:rsidRPr="00CD7FAA" w:rsidRDefault="00A947A2" w:rsidP="00A947A2">
      <w:pPr>
        <w:ind w:left="1104" w:hangingChars="460" w:hanging="1104"/>
        <w:rPr>
          <w:bCs/>
          <w:iCs/>
          <w:color w:val="000000"/>
          <w:szCs w:val="24"/>
          <w:lang w:val="en-GB"/>
        </w:rPr>
      </w:pPr>
    </w:p>
    <w:p w14:paraId="4FB36167" w14:textId="77777777" w:rsidR="00A947A2" w:rsidRPr="00CD7FAA" w:rsidRDefault="00A947A2" w:rsidP="00A947A2">
      <w:pPr>
        <w:ind w:left="1104" w:hangingChars="460" w:hanging="1104"/>
        <w:rPr>
          <w:bCs/>
          <w:iCs/>
          <w:color w:val="000000"/>
          <w:szCs w:val="24"/>
          <w:lang w:val="en-GB"/>
        </w:rPr>
      </w:pPr>
    </w:p>
    <w:p w14:paraId="2FAC9924" w14:textId="7F38A0E1" w:rsidR="00A947A2" w:rsidRPr="00CD7FAA" w:rsidRDefault="00A947A2" w:rsidP="00A947A2">
      <w:pPr>
        <w:pStyle w:val="HeadingNumbering1"/>
        <w:rPr>
          <w:lang w:val="en-GB"/>
        </w:rPr>
      </w:pPr>
      <w:r w:rsidRPr="00CD7FAA">
        <w:rPr>
          <w:lang w:val="en-GB"/>
        </w:rPr>
        <w:t xml:space="preserve">Introduction </w:t>
      </w:r>
    </w:p>
    <w:p w14:paraId="74FD1E12" w14:textId="77777777" w:rsidR="001430DD" w:rsidRPr="00CD7FAA" w:rsidRDefault="001430DD" w:rsidP="001430DD">
      <w:pPr>
        <w:tabs>
          <w:tab w:val="left" w:pos="4536"/>
        </w:tabs>
        <w:rPr>
          <w:color w:val="000000" w:themeColor="text1"/>
          <w:szCs w:val="24"/>
        </w:rPr>
      </w:pPr>
      <w:r w:rsidRPr="00CD7FAA">
        <w:rPr>
          <w:color w:val="000000" w:themeColor="text1"/>
          <w:szCs w:val="24"/>
        </w:rPr>
        <w:t xml:space="preserve">The interest and the diffusion of the university technology transfer model in the so-called knowledge society have grown considerably in recent years, although there is still a relative divergence regarding the contribution of technology and knowledge in adding value for the creation of an extensive competitive advantage (Iqbal, 2021; Cunningham et al., 2019). The generally recognized function of technology transfer in the knowledge economy is related to a model of knowledge capital accumulation for socio-economic development (Huggins &amp; Johnston, 2009; Prokop, 2021), through increasing returns to scale and the generation of knowledge clustering (Scuotto et al., 2020; Ryan &amp; Daly, 2019). These elements are critical as new technologies have generated innovative market opportunities, as well as the creation, </w:t>
      </w:r>
      <w:r w:rsidRPr="00CD7FAA">
        <w:rPr>
          <w:color w:val="000000" w:themeColor="text1"/>
          <w:szCs w:val="24"/>
        </w:rPr>
        <w:lastRenderedPageBreak/>
        <w:t>acquisition, absorption, imitation and dissemination of knowledge and technology are perceived as the central feature of entrepreneurial development at local, regional and national level (Amry et al., 2021; Audretsch et al., 2021). From this point of view, it emerges that some localization skills strengthen the economic performance of university technology transfer mainly in the promotion of innovative entrepreneurial initiatives and projects (Audretsch &amp; Belitski, 2020), since the creation of knowledge and technology at the regional level is the dominant economic explanation in regional socio-economic development (Audretsch et al., 2021).</w:t>
      </w:r>
    </w:p>
    <w:p w14:paraId="2D777D9E" w14:textId="77777777" w:rsidR="001430DD" w:rsidRPr="00CD7FAA" w:rsidRDefault="001430DD" w:rsidP="00F03BEA">
      <w:pPr>
        <w:rPr>
          <w:color w:val="000000" w:themeColor="text1"/>
          <w:szCs w:val="24"/>
        </w:rPr>
      </w:pPr>
      <w:r w:rsidRPr="00CD7FAA">
        <w:rPr>
          <w:color w:val="000000" w:themeColor="text1"/>
          <w:szCs w:val="24"/>
        </w:rPr>
        <w:t>The emerging models of the third and fourth university missions underline the critical function of commercializing the results of academic research, innovation and entrepreneurship for the growth and competitiveness of regional areas (Rodríguez-Gulías et al., 2016); Lopes et al., 2018). Indeed, the interaction between entrepreneurship and economic geography is receiving a growing interest from the academic and professional-managerial world, highlighting the importance of spreading the endogenous perspective of universities in the regions, which constitute significant spillovers of knowledge / technology that they influence the degree of regional competitiveness in the national and international economy (Álvarez-García et al., 2018).</w:t>
      </w:r>
    </w:p>
    <w:p w14:paraId="5C1AF196" w14:textId="77777777" w:rsidR="001430DD" w:rsidRPr="00CD7FAA" w:rsidRDefault="001430DD" w:rsidP="00F03BEA">
      <w:pPr>
        <w:rPr>
          <w:color w:val="000000" w:themeColor="text1"/>
          <w:szCs w:val="24"/>
        </w:rPr>
      </w:pPr>
      <w:r w:rsidRPr="00CD7FAA">
        <w:rPr>
          <w:color w:val="000000" w:themeColor="text1"/>
          <w:szCs w:val="24"/>
        </w:rPr>
        <w:t>In this context, the university function becomes more effective in the development and enhancement of innovation in the current knowledge-based economy. The continuous improvement of the university as a creator of opportunities for new forms of entrepreneurship - the so-called entrepreneurial university - has transformed the socio-economic functions of universities (De Falco, 2015; Díez-Vial &amp; Montoro-Sánchez, 2016). Undoubtedly, the increased importance of the university's influence on the socio-economic system is observed within the regional business context (Aldrich, 2012). In this line, universities are called to be more entrepreneurial with the aim of remaining competitive and innovative in the connection between the academic world and industry (Guerrero et al, 2016; Schmitz et al., 2017). Therefore, the commercialization and dissemination of knowledge technologies developed in academia have increased the attention of policy makers as strategic components to support regional socio-economic and innovative development (Meoli &amp; Vismara, 2016).</w:t>
      </w:r>
    </w:p>
    <w:p w14:paraId="10B2E382" w14:textId="77777777" w:rsidR="001430DD" w:rsidRPr="00CD7FAA" w:rsidRDefault="001430DD" w:rsidP="00F03BEA">
      <w:pPr>
        <w:rPr>
          <w:color w:val="000000" w:themeColor="text1"/>
          <w:szCs w:val="24"/>
        </w:rPr>
      </w:pPr>
      <w:r w:rsidRPr="00CD7FAA">
        <w:rPr>
          <w:color w:val="000000" w:themeColor="text1"/>
          <w:szCs w:val="24"/>
        </w:rPr>
        <w:t xml:space="preserve">This paper analyzes this issue with reference to one of the most significant university technology transfer mechanisms, namely university spin-offs that are new companies created with the aim of commercially exploiting the knowledge and technology developed within a university (Criaco et al., 2014). University spin-offs are a critical way to stimulate the growth of knowledge economies in different national and regional contexts (Ramaciotti &amp; Rizzo, 2015; Kruger &amp; Steyn, 2020). Furthermore, spin-offs represent a strategic lever for universities committed to ensuring that the latter adopt a more proactive involvement in the socio-economic and innovative growth of the regions. In this situational context, the research work investigates the role of university technology transfer through spin-offs in contributing to the socio-economic and innovative development of the local context </w:t>
      </w:r>
      <w:r w:rsidRPr="00CD7FAA">
        <w:rPr>
          <w:color w:val="000000" w:themeColor="text1"/>
          <w:szCs w:val="24"/>
        </w:rPr>
        <w:lastRenderedPageBreak/>
        <w:t>at the regional level.</w:t>
      </w:r>
    </w:p>
    <w:p w14:paraId="25F6ED25" w14:textId="18B254D1" w:rsidR="00A947A2" w:rsidRPr="00CD7FAA" w:rsidRDefault="001430DD" w:rsidP="001430DD">
      <w:pPr>
        <w:keepNext/>
        <w:tabs>
          <w:tab w:val="left" w:pos="360"/>
        </w:tabs>
        <w:ind w:right="45"/>
        <w:outlineLvl w:val="0"/>
        <w:rPr>
          <w:bCs/>
          <w:color w:val="000000"/>
          <w:szCs w:val="24"/>
          <w:lang w:val="en-GB"/>
        </w:rPr>
      </w:pPr>
      <w:r w:rsidRPr="00CD7FAA">
        <w:rPr>
          <w:color w:val="000000" w:themeColor="text1"/>
          <w:szCs w:val="24"/>
        </w:rPr>
        <w:t>To this end, the contributor analyzes a longitudinal sample of 952 university spin-offs located in 20 Italian administrative regions. Italy is one of the main European countries that is experiencing a rapid growth in the phenomenon of university spin-offs. According to the latest Netval report (Netval 2021), in Italy there are 1,830 research spin-offs, of which about 64% have been established in the last 10 years</w:t>
      </w:r>
    </w:p>
    <w:p w14:paraId="15C67992" w14:textId="77777777" w:rsidR="00A947A2" w:rsidRPr="00CD7FAA" w:rsidRDefault="00A947A2" w:rsidP="00A947A2">
      <w:pPr>
        <w:rPr>
          <w:color w:val="000000"/>
          <w:szCs w:val="24"/>
          <w:lang w:val="en-GB"/>
        </w:rPr>
      </w:pPr>
    </w:p>
    <w:p w14:paraId="510D02E6" w14:textId="130E8A86" w:rsidR="00B33D72" w:rsidRPr="00CD7FAA" w:rsidRDefault="007C5E15" w:rsidP="00B33D72">
      <w:pPr>
        <w:pStyle w:val="HeadingNumbering1"/>
        <w:rPr>
          <w:lang w:val="en-GB"/>
        </w:rPr>
      </w:pPr>
      <w:r w:rsidRPr="00CD7FAA">
        <w:rPr>
          <w:lang w:val="en-GB"/>
        </w:rPr>
        <w:t xml:space="preserve">Theoretical background </w:t>
      </w:r>
    </w:p>
    <w:p w14:paraId="2FE4EDD4" w14:textId="77777777" w:rsidR="00B33D72" w:rsidRPr="00CD7FAA" w:rsidRDefault="00B33D72" w:rsidP="00B33D72">
      <w:pPr>
        <w:pStyle w:val="HeadingNumbering1"/>
        <w:numPr>
          <w:ilvl w:val="0"/>
          <w:numId w:val="0"/>
        </w:numPr>
        <w:ind w:left="360"/>
        <w:rPr>
          <w:sz w:val="24"/>
          <w:szCs w:val="24"/>
          <w:lang w:val="en-GB"/>
        </w:rPr>
      </w:pPr>
    </w:p>
    <w:p w14:paraId="28AB5E52" w14:textId="74ECE421" w:rsidR="00EE73D9" w:rsidRPr="00CD7FAA" w:rsidRDefault="00EE73D9" w:rsidP="00EE73D9">
      <w:pPr>
        <w:pStyle w:val="HeadingNumbering2"/>
      </w:pPr>
      <w:r w:rsidRPr="00CD7FAA">
        <w:t xml:space="preserve">Technology transfer and the role of university spin-offs in the regional growth' dynamics </w:t>
      </w:r>
      <w:r w:rsidRPr="00CD7FAA">
        <w:br/>
      </w:r>
    </w:p>
    <w:p w14:paraId="29B7E245" w14:textId="77777777" w:rsidR="00705B0F" w:rsidRPr="00CD7FAA" w:rsidRDefault="00705B0F" w:rsidP="00F03BEA">
      <w:pPr>
        <w:rPr>
          <w:color w:val="000000" w:themeColor="text1"/>
          <w:szCs w:val="24"/>
        </w:rPr>
      </w:pPr>
      <w:r w:rsidRPr="00CD7FAA">
        <w:rPr>
          <w:color w:val="000000" w:themeColor="text1"/>
          <w:szCs w:val="24"/>
        </w:rPr>
        <w:t>Universities, as "knowledge factories" (Ankrah et al., 2013), play a major role in development at local and regional level (Guerrero et al., 2016). In terms of the third and fourth university missions, the university, industry and government constitute the key institutional framework of knowledge-based post-industrial societies (Etzkowitz &amp; Zhou, 2017). Spatial proximity to knowledge and technology transfer sources can confer a significant competitive advantage and co-location close to knowledge and technology-producing universities has been found to positively correlate with innovative outcomes at corporate and regional level (Batabyal &amp; Nijkamp, 2012).</w:t>
      </w:r>
    </w:p>
    <w:p w14:paraId="0E7032B5" w14:textId="77777777" w:rsidR="00705B0F" w:rsidRPr="00CD7FAA" w:rsidRDefault="00705B0F" w:rsidP="00F03BEA">
      <w:pPr>
        <w:rPr>
          <w:color w:val="000000" w:themeColor="text1"/>
          <w:szCs w:val="24"/>
        </w:rPr>
      </w:pPr>
      <w:r w:rsidRPr="00CD7FAA">
        <w:rPr>
          <w:color w:val="000000" w:themeColor="text1"/>
          <w:szCs w:val="24"/>
        </w:rPr>
        <w:t>Unsurprisingly, professionals and political actors engaged in the development and management of innovation at the contextual level are interested in universities, considering the range of roles they assume in regional social and economic development (Huggins &amp; Kitagawa, 2012; Pugh, 2017). Third mission activities, such as licensing, patents, technology transfer and the creation of spin-offs, have received considerable attention from academics and policy makers due to their significant economic impacts.</w:t>
      </w:r>
    </w:p>
    <w:p w14:paraId="015601BB" w14:textId="77777777" w:rsidR="00705B0F" w:rsidRPr="00CD7FAA" w:rsidRDefault="00705B0F" w:rsidP="00F03BEA">
      <w:pPr>
        <w:rPr>
          <w:color w:val="000000" w:themeColor="text1"/>
          <w:szCs w:val="24"/>
        </w:rPr>
      </w:pPr>
      <w:r w:rsidRPr="00CD7FAA">
        <w:rPr>
          <w:color w:val="000000" w:themeColor="text1"/>
          <w:szCs w:val="24"/>
        </w:rPr>
        <w:t>In detail, university spin-offs are an entrepreneurial phenomenon that has developed significantly in the United States and the EU over the last 20 years, representing one of the most effective initiatives of the so-called entrepreneurial university, which provides a proactive mechanism for the commercialization of knowledge and the technology generated in university (Compagnucci &amp; Spigarelli, 2020; Agasisti et al., 2019). In addition, university spin-offs are one of the most influential tools in fostering the establishment and growth of knowledge-based economies (Kruger &amp; Steyn, 2020; Carayannis et al., 2022). It follows that the growth characteristics and business models of these business cases, together with their socio-economic externalities, have been incorporated into political actions aimed at exploiting and promoting innovation, as well as socio-economic development in defined regional areas.</w:t>
      </w:r>
    </w:p>
    <w:p w14:paraId="5B8D0A58" w14:textId="77777777" w:rsidR="00705B0F" w:rsidRPr="00CD7FAA" w:rsidRDefault="00705B0F" w:rsidP="00F03BEA">
      <w:pPr>
        <w:rPr>
          <w:color w:val="000000" w:themeColor="text1"/>
          <w:szCs w:val="24"/>
        </w:rPr>
      </w:pPr>
      <w:r w:rsidRPr="00CD7FAA">
        <w:rPr>
          <w:color w:val="000000" w:themeColor="text1"/>
          <w:szCs w:val="24"/>
        </w:rPr>
        <w:t xml:space="preserve">The scientific literature has revealed that university spin-offs are important technological drivers and spillovers, essentially incorporated in externalities with added value in economic and innovative terms. Similarly, it was noted how </w:t>
      </w:r>
      <w:r w:rsidRPr="00CD7FAA">
        <w:rPr>
          <w:color w:val="000000" w:themeColor="text1"/>
          <w:szCs w:val="24"/>
        </w:rPr>
        <w:lastRenderedPageBreak/>
        <w:t xml:space="preserve">university spin-offs encourage the development of the regional context, stimulating the creation of heterogeneous entrepreneurial networks in which various actors are active at the private and institutional level, as well as at local, national and international levels (Theodoraki et al., 2022). </w:t>
      </w:r>
    </w:p>
    <w:p w14:paraId="0AE8D11E" w14:textId="07997E28" w:rsidR="0055468D" w:rsidRPr="00CD7FAA" w:rsidRDefault="00705B0F" w:rsidP="00F03BEA">
      <w:pPr>
        <w:rPr>
          <w:rFonts w:eastAsia="Calibri"/>
          <w:color w:val="000000"/>
          <w:szCs w:val="24"/>
          <w:lang w:eastAsia="en-US"/>
        </w:rPr>
      </w:pPr>
      <w:r w:rsidRPr="00CD7FAA">
        <w:rPr>
          <w:color w:val="000000" w:themeColor="text1"/>
          <w:szCs w:val="24"/>
        </w:rPr>
        <w:t>However, the effective contribution of university spin-offs to regional economic and innovative development also depends on the technology transfer policy of the parent-universities (the universities from which they originated), which lead to different regional externalities. It was noted that universities can mainly undertake three types of university spin-off promotion processes (Clarysse et al. 2005):</w:t>
      </w:r>
      <w:r w:rsidR="0055468D" w:rsidRPr="00CD7FAA">
        <w:rPr>
          <w:rFonts w:eastAsia="Calibri"/>
          <w:color w:val="000000"/>
          <w:szCs w:val="24"/>
          <w:lang w:eastAsia="en-US"/>
        </w:rPr>
        <w:t xml:space="preserve"> • unselective approaches;</w:t>
      </w:r>
    </w:p>
    <w:p w14:paraId="20AB3196" w14:textId="77777777" w:rsidR="0055468D" w:rsidRPr="00CD7FAA" w:rsidRDefault="0055468D" w:rsidP="0055468D">
      <w:pPr>
        <w:widowControl/>
        <w:adjustRightInd/>
        <w:ind w:firstLine="284"/>
        <w:textAlignment w:val="auto"/>
        <w:rPr>
          <w:rFonts w:eastAsia="Calibri"/>
          <w:color w:val="000000"/>
          <w:szCs w:val="24"/>
          <w:lang w:eastAsia="en-US"/>
        </w:rPr>
      </w:pPr>
      <w:r w:rsidRPr="00CD7FAA">
        <w:rPr>
          <w:rFonts w:eastAsia="Calibri"/>
          <w:color w:val="000000"/>
          <w:szCs w:val="24"/>
          <w:lang w:eastAsia="en-US"/>
        </w:rPr>
        <w:t>• support actions;</w:t>
      </w:r>
    </w:p>
    <w:p w14:paraId="6299F81E" w14:textId="77777777" w:rsidR="0055468D" w:rsidRPr="00CD7FAA" w:rsidRDefault="0055468D" w:rsidP="0055468D">
      <w:pPr>
        <w:widowControl/>
        <w:adjustRightInd/>
        <w:ind w:firstLine="284"/>
        <w:textAlignment w:val="auto"/>
        <w:rPr>
          <w:rFonts w:eastAsia="Calibri"/>
          <w:color w:val="000000"/>
          <w:szCs w:val="24"/>
          <w:lang w:eastAsia="en-US"/>
        </w:rPr>
      </w:pPr>
      <w:r w:rsidRPr="00CD7FAA">
        <w:rPr>
          <w:rFonts w:eastAsia="Calibri"/>
          <w:color w:val="000000"/>
          <w:szCs w:val="24"/>
          <w:lang w:eastAsia="en-US"/>
        </w:rPr>
        <w:t>• business incubation.</w:t>
      </w:r>
    </w:p>
    <w:p w14:paraId="47D092AE" w14:textId="77777777" w:rsidR="0055468D" w:rsidRPr="00CD7FAA" w:rsidRDefault="0055468D" w:rsidP="0055468D">
      <w:pPr>
        <w:widowControl/>
        <w:adjustRightInd/>
        <w:ind w:firstLine="284"/>
        <w:textAlignment w:val="auto"/>
        <w:rPr>
          <w:rFonts w:eastAsia="Calibri"/>
          <w:color w:val="000000"/>
          <w:szCs w:val="24"/>
          <w:lang w:eastAsia="en-US"/>
        </w:rPr>
      </w:pPr>
    </w:p>
    <w:p w14:paraId="2797F9C0" w14:textId="77777777" w:rsidR="0055468D" w:rsidRPr="00CD7FAA" w:rsidRDefault="0055468D" w:rsidP="0055468D">
      <w:pPr>
        <w:widowControl/>
        <w:adjustRightInd/>
        <w:textAlignment w:val="auto"/>
        <w:rPr>
          <w:rFonts w:eastAsia="Calibri"/>
          <w:color w:val="000000"/>
          <w:szCs w:val="24"/>
          <w:lang w:eastAsia="en-US"/>
        </w:rPr>
      </w:pPr>
      <w:r w:rsidRPr="00CD7FAA">
        <w:rPr>
          <w:rFonts w:eastAsia="Calibri"/>
          <w:color w:val="000000"/>
          <w:szCs w:val="24"/>
          <w:lang w:eastAsia="en-US"/>
        </w:rPr>
        <w:t>Each of these processes influences the spin-off activity and its growth trajectories, drawing on the prevailing regional contexts in different ways and, therefore, heterogeneously influencing regional innovative and socio-economic development. In this regard, Clarysse et al. note that technology transfer requires adequate relationships with local professionals, entrepreneurs and experts with the aim of supporting the spin-out process and effectively contributing to the creation of innovation and added value in the regions through the commercialization of technology and university knowledge (Davies et al., 2021).</w:t>
      </w:r>
    </w:p>
    <w:p w14:paraId="0C54FABE" w14:textId="77777777" w:rsidR="0055468D" w:rsidRPr="00CD7FAA" w:rsidRDefault="0055468D" w:rsidP="0055468D">
      <w:pPr>
        <w:widowControl/>
        <w:adjustRightInd/>
        <w:textAlignment w:val="auto"/>
        <w:rPr>
          <w:rFonts w:eastAsia="Calibri"/>
          <w:color w:val="000000"/>
          <w:szCs w:val="24"/>
          <w:lang w:eastAsia="en-US"/>
        </w:rPr>
      </w:pPr>
      <w:r w:rsidRPr="00CD7FAA">
        <w:rPr>
          <w:rFonts w:eastAsia="Calibri"/>
          <w:color w:val="000000"/>
          <w:szCs w:val="24"/>
          <w:lang w:eastAsia="en-US"/>
        </w:rPr>
        <w:t>Nonetheless, the fundamental role assumed by university spin-offs in the context of regional development is also highlighted by the Knowledge Spillover Theory of Entrepreneurship. In fact, this theory supports the need to generate new entrepreneurial opportunities to improve the effectiveness of the dissemination of knowledge and technologies, developed in the university environment, to the regional socio-economic context. It should be noted that unlike other technology transfer mechanisms, university spin-offs require an intensive allocation of resources from their parent universities, with a generally medium-low economic return, although the externalities of the spin-offs on the regional context are among the most effective (Meoli &amp; Vismara, 2016). The explanations of this process are linked to the circumstance of how university spin-offs usually remain close - in terms of geographical location - to their parent universities, providing an effective contribution to the regional community which obtains most of the spillover effects of knowledge and direct and indirect technology (Stam &amp; Van de Ven, 2021). These elements contribute to building and improving the capacity to generate innovation, as well as to improve socio-economic development capacities (Åstebro &amp; Bazzazian, 2011).</w:t>
      </w:r>
    </w:p>
    <w:p w14:paraId="4CD2C0A3" w14:textId="33240325" w:rsidR="00705B0F" w:rsidRPr="00CD7FAA" w:rsidRDefault="0055468D" w:rsidP="0055468D">
      <w:pPr>
        <w:rPr>
          <w:color w:val="000000" w:themeColor="text1"/>
          <w:szCs w:val="24"/>
        </w:rPr>
      </w:pPr>
      <w:r w:rsidRPr="00CD7FAA">
        <w:rPr>
          <w:rFonts w:eastAsia="Calibri"/>
          <w:color w:val="000000"/>
          <w:szCs w:val="24"/>
          <w:lang w:eastAsia="en-US"/>
        </w:rPr>
        <w:t>It is therefore possible to note that university spin-offs can have a significant impact on the innovative capacity and the creation of socio-economic value of the regions, and this impact may differ from regional area to another, both for the effectiveness of the spin-out activity, both for the diffusion of spin-offs in the local context; these elements are linked to the promotion actions of parent universities.</w:t>
      </w:r>
    </w:p>
    <w:p w14:paraId="0178EB9E" w14:textId="29144EFD" w:rsidR="00A947A2" w:rsidRPr="00CD7FAA" w:rsidRDefault="00A947A2" w:rsidP="00135871">
      <w:pPr>
        <w:rPr>
          <w:b/>
          <w:szCs w:val="24"/>
        </w:rPr>
      </w:pPr>
    </w:p>
    <w:p w14:paraId="70DA9B09" w14:textId="70EA9E2A" w:rsidR="00757B3B" w:rsidRPr="00CD7FAA" w:rsidRDefault="00757B3B" w:rsidP="00757B3B">
      <w:pPr>
        <w:pStyle w:val="HeadingNumbering2"/>
      </w:pPr>
      <w:r w:rsidRPr="00CD7FAA">
        <w:lastRenderedPageBreak/>
        <w:t>The contribution of university spin-offs as drivers of innovation in the region</w:t>
      </w:r>
      <w:r w:rsidR="00E013DB" w:rsidRPr="00CD7FAA">
        <w:br/>
      </w:r>
    </w:p>
    <w:p w14:paraId="70EC5620" w14:textId="77777777" w:rsidR="00945A75" w:rsidRPr="00CD7FAA" w:rsidRDefault="00945A75" w:rsidP="00945A75">
      <w:pPr>
        <w:rPr>
          <w:color w:val="000000" w:themeColor="text1"/>
          <w:szCs w:val="24"/>
        </w:rPr>
      </w:pPr>
      <w:r w:rsidRPr="00CD7FAA">
        <w:rPr>
          <w:color w:val="000000" w:themeColor="text1"/>
          <w:szCs w:val="24"/>
        </w:rPr>
        <w:t>University spin-offs - as companies generated with the aim of commercializing knowledge and technology developed in the university environment - offer their main contribution to the knowledge economy in the regional context in which they are inserted through their attitude to generate innovation (Memon et al., 2020). It should be noted that, on the other hand, the role of innovation as a key and strategic component of growth at the firm and contextual level has been well recognized among scholars, both in theoretical and empirical terms (Andreeva &amp; Kianto, 2012). The literature observes that university spin-offs typically have a better innovative performance than non-university entrepreneurial initiatives, mainly in terms of patent activities, highlighting how the distinctiveness of the university-context setting significantly affects innovative performance and the underlying forces of the company spillover (Rodríguez-Gulías et al., 2016; Criaco et al., 2014).</w:t>
      </w:r>
    </w:p>
    <w:p w14:paraId="35B0ECD5" w14:textId="77777777" w:rsidR="00945A75" w:rsidRPr="00CD7FAA" w:rsidRDefault="00945A75" w:rsidP="00945A75">
      <w:pPr>
        <w:rPr>
          <w:color w:val="000000" w:themeColor="text1"/>
          <w:szCs w:val="24"/>
        </w:rPr>
      </w:pPr>
      <w:r w:rsidRPr="00CD7FAA">
        <w:rPr>
          <w:color w:val="000000" w:themeColor="text1"/>
          <w:szCs w:val="24"/>
        </w:rPr>
        <w:t>Basically, this type of entrepreneurial initiative is necessary for a resilient development of innovative capacities in the local context (Sánchez-Barrioluengo &amp; Benneworth, 2019). This argument is justified by the circumstance that a greater innovative orientation of university spin-offs could considerably favor the absorption of knowledge and technologies by companies at the regional level, thus improving the creation of new value for the region (De Wit-de Vries et al., 2019).</w:t>
      </w:r>
    </w:p>
    <w:p w14:paraId="5F7A6DBC" w14:textId="77777777" w:rsidR="00945A75" w:rsidRPr="00CD7FAA" w:rsidRDefault="00945A75" w:rsidP="00945A75">
      <w:pPr>
        <w:rPr>
          <w:color w:val="000000" w:themeColor="text1"/>
          <w:szCs w:val="24"/>
        </w:rPr>
      </w:pPr>
      <w:r w:rsidRPr="00CD7FAA">
        <w:rPr>
          <w:color w:val="000000" w:themeColor="text1"/>
          <w:szCs w:val="24"/>
        </w:rPr>
        <w:t>However, the effect generated by technology transfer and deep innovation from university spin-offs seems to be strongly correlated with the need for geographical proximity between the university and the business context. In this emerging context, the region represents precisely this type of proximity and it should be observed how the Italian regional context is affected by limitations that devalue the value of knowledge and technology that is transferred from the university to industry (Miranda et al., 2018). These limits are mostly linked to a cultural aversion to collaboration between researchers and entrepreneurial / institutional actors at the regional level (Mason et al., 2022). The connection function performed by university initiatives is therefore fundamental, which, as mediators in the dissemination of knowledge and technologies from the academic world, create a pool of innovation opportunities for the socio-economic and innovative development of the regions (Hossinger et al., 2020), supporting the renewal of the entrepreneurial context towards high-tech sectors. It should be noted that the Knowledge Spillover Theory of Entrepreneurship also underlines the positive and effective contribution of university spin-offs in promoting innovation in the regions they operate (Scuotto et al., 2020).</w:t>
      </w:r>
    </w:p>
    <w:p w14:paraId="76D0B4A3" w14:textId="2B252C11" w:rsidR="00945A75" w:rsidRPr="00CD7FAA" w:rsidRDefault="00945A75" w:rsidP="00945A75">
      <w:pPr>
        <w:rPr>
          <w:color w:val="000000" w:themeColor="text1"/>
          <w:szCs w:val="24"/>
        </w:rPr>
      </w:pPr>
      <w:r w:rsidRPr="00CD7FAA">
        <w:rPr>
          <w:color w:val="000000" w:themeColor="text1"/>
          <w:szCs w:val="24"/>
        </w:rPr>
        <w:t>Therefore, considering the significant and potential innovative impact that university spin-offs spread in the regional context, it is possible to state that these university companies, with their technology transfer activities and their innovative results, can generate an effective and strategic impact in improving the socio-economic development of local regional contexts.</w:t>
      </w:r>
    </w:p>
    <w:p w14:paraId="6330DBBA" w14:textId="67D1A9BA" w:rsidR="007A1620" w:rsidRPr="00CD7FAA" w:rsidRDefault="007A1620" w:rsidP="00135871">
      <w:pPr>
        <w:pStyle w:val="HeadingNumbering2"/>
        <w:numPr>
          <w:ilvl w:val="0"/>
          <w:numId w:val="0"/>
        </w:numPr>
        <w:spacing w:line="240" w:lineRule="auto"/>
        <w:rPr>
          <w:b w:val="0"/>
          <w:bCs/>
          <w:szCs w:val="24"/>
        </w:rPr>
      </w:pPr>
    </w:p>
    <w:p w14:paraId="71693DBA" w14:textId="77777777" w:rsidR="00135871" w:rsidRPr="00CD7FAA" w:rsidRDefault="00135871" w:rsidP="00135871">
      <w:pPr>
        <w:pStyle w:val="HeadingNumbering2"/>
        <w:numPr>
          <w:ilvl w:val="0"/>
          <w:numId w:val="0"/>
        </w:numPr>
        <w:spacing w:line="240" w:lineRule="auto"/>
        <w:rPr>
          <w:b w:val="0"/>
          <w:bCs/>
          <w:szCs w:val="24"/>
          <w:lang w:val="en-GB"/>
        </w:rPr>
      </w:pPr>
    </w:p>
    <w:p w14:paraId="181E6FA2" w14:textId="5B53B935" w:rsidR="00C35828" w:rsidRPr="00CD7FAA" w:rsidRDefault="007A1620" w:rsidP="00B33D72">
      <w:pPr>
        <w:pStyle w:val="HeadingNumbering1"/>
        <w:spacing w:line="240" w:lineRule="auto"/>
        <w:rPr>
          <w:lang w:val="en-GB"/>
        </w:rPr>
      </w:pPr>
      <w:r w:rsidRPr="00CD7FAA">
        <w:rPr>
          <w:lang w:val="en-GB"/>
        </w:rPr>
        <w:t>Method</w:t>
      </w:r>
    </w:p>
    <w:p w14:paraId="35F50005" w14:textId="77777777" w:rsidR="00B33D72" w:rsidRPr="00CD7FAA" w:rsidRDefault="00B33D72" w:rsidP="00B33D72">
      <w:pPr>
        <w:pStyle w:val="HeadingNumbering1"/>
        <w:numPr>
          <w:ilvl w:val="0"/>
          <w:numId w:val="0"/>
        </w:numPr>
        <w:spacing w:line="240" w:lineRule="auto"/>
        <w:ind w:left="360"/>
        <w:rPr>
          <w:sz w:val="24"/>
          <w:szCs w:val="24"/>
          <w:lang w:val="en-GB"/>
        </w:rPr>
      </w:pPr>
    </w:p>
    <w:p w14:paraId="040EC9E8" w14:textId="3A8606B4" w:rsidR="00C35828" w:rsidRPr="00CD7FAA" w:rsidRDefault="00C35828" w:rsidP="00135871">
      <w:pPr>
        <w:pStyle w:val="HeadingNumbering2"/>
        <w:spacing w:line="240" w:lineRule="auto"/>
        <w:rPr>
          <w:lang w:val="en-GB"/>
        </w:rPr>
      </w:pPr>
      <w:r w:rsidRPr="00CD7FAA">
        <w:rPr>
          <w:lang w:val="en-GB"/>
        </w:rPr>
        <w:t>Sample and Data</w:t>
      </w:r>
    </w:p>
    <w:p w14:paraId="28A0A580" w14:textId="77777777" w:rsidR="00F03BEA" w:rsidRPr="00CD7FAA" w:rsidRDefault="00F03BEA" w:rsidP="00F03BEA">
      <w:pPr>
        <w:rPr>
          <w:color w:val="000000" w:themeColor="text1"/>
          <w:szCs w:val="24"/>
        </w:rPr>
      </w:pPr>
      <w:r w:rsidRPr="00CD7FAA">
        <w:rPr>
          <w:color w:val="000000" w:themeColor="text1"/>
          <w:szCs w:val="24"/>
        </w:rPr>
        <w:t>Concerning the empirical analysis, the study relies on the data collected from the Netval database at 31 December 2020, which is incorporated into the Spin-off Italy project and established in collaboration with Netval, Polytechnic University of Marche and Scuola Superiore Sant'Anna— Institute of Management. The Netval database contains updated data on the entire population of spin-off companies active in Italy (1,830 active companies). From the Netval dataset, only university spin-offs were selected, i.e., 1,275 companies. Furthermore, governance and economic-financial information on the selected companies was collected from the Aida BdV database, an Italian subset of the ORBIS database, which collects financial, biographical and historical-commodity information of approximately 700,000 active Italian companies. From the 1,275 university spin-offs, companies for which data were not available in the Aida BdV database for the period under infestation were excluded. Therefore, the final panel sample consists of 952 Italian university spin-offs, while the data cover a period from 2010 to 2019.</w:t>
      </w:r>
    </w:p>
    <w:p w14:paraId="35F9F525" w14:textId="77777777" w:rsidR="00F03BEA" w:rsidRPr="00CD7FAA" w:rsidRDefault="00F03BEA" w:rsidP="00F03BEA">
      <w:pPr>
        <w:rPr>
          <w:color w:val="000000" w:themeColor="text1"/>
          <w:szCs w:val="24"/>
        </w:rPr>
      </w:pPr>
      <w:r w:rsidRPr="00CD7FAA">
        <w:rPr>
          <w:color w:val="000000" w:themeColor="text1"/>
          <w:szCs w:val="24"/>
        </w:rPr>
        <w:t>With reference to the information on the regional socio-economic development of the 20 Italian administrative regions, this was collected by extrapolating the data from the database by the Organization for Economic Cooperation and Development (OECD).</w:t>
      </w:r>
    </w:p>
    <w:p w14:paraId="0A448008" w14:textId="242FA499" w:rsidR="007A1620" w:rsidRPr="00CD7FAA" w:rsidRDefault="007A1620" w:rsidP="007A1620">
      <w:pPr>
        <w:pStyle w:val="HeadingNumbering1"/>
        <w:numPr>
          <w:ilvl w:val="0"/>
          <w:numId w:val="0"/>
        </w:numPr>
        <w:ind w:left="360"/>
      </w:pPr>
    </w:p>
    <w:p w14:paraId="35D1EA8C" w14:textId="76AD5849" w:rsidR="006B7C94" w:rsidRPr="00CD7FAA" w:rsidRDefault="006B7C94" w:rsidP="006B7C94">
      <w:pPr>
        <w:pStyle w:val="HeadingNumbering2"/>
        <w:rPr>
          <w:lang w:val="en-GB"/>
        </w:rPr>
      </w:pPr>
      <w:r w:rsidRPr="00CD7FAA">
        <w:rPr>
          <w:lang w:val="en-GB"/>
        </w:rPr>
        <w:t xml:space="preserve">Variables </w:t>
      </w:r>
    </w:p>
    <w:p w14:paraId="7CFDE1A6" w14:textId="2DFA2138" w:rsidR="006B7C94" w:rsidRPr="00CD7FAA" w:rsidRDefault="006B7C94" w:rsidP="006B7C94">
      <w:pPr>
        <w:pStyle w:val="Paragrafoelenco"/>
        <w:numPr>
          <w:ilvl w:val="2"/>
          <w:numId w:val="15"/>
        </w:numPr>
        <w:rPr>
          <w:b/>
          <w:szCs w:val="30"/>
          <w:lang w:val="en-GB"/>
        </w:rPr>
      </w:pPr>
      <w:r w:rsidRPr="00CD7FAA">
        <w:rPr>
          <w:b/>
          <w:szCs w:val="30"/>
          <w:lang w:val="en-GB"/>
        </w:rPr>
        <w:t>Dependent variable</w:t>
      </w:r>
      <w:r w:rsidR="002E1F6F" w:rsidRPr="00CD7FAA">
        <w:rPr>
          <w:b/>
          <w:szCs w:val="30"/>
          <w:lang w:val="en-GB"/>
        </w:rPr>
        <w:t>s</w:t>
      </w:r>
      <w:r w:rsidRPr="00CD7FAA">
        <w:rPr>
          <w:b/>
          <w:szCs w:val="30"/>
          <w:lang w:val="en-GB"/>
        </w:rPr>
        <w:t xml:space="preserve"> </w:t>
      </w:r>
    </w:p>
    <w:p w14:paraId="21C31A21" w14:textId="77777777" w:rsidR="002E1F6F" w:rsidRPr="00CD7FAA" w:rsidRDefault="002E1F6F" w:rsidP="002E1F6F">
      <w:pPr>
        <w:rPr>
          <w:color w:val="000000" w:themeColor="text1"/>
          <w:szCs w:val="24"/>
        </w:rPr>
      </w:pPr>
      <w:r w:rsidRPr="00CD7FAA">
        <w:rPr>
          <w:color w:val="000000" w:themeColor="text1"/>
          <w:szCs w:val="24"/>
        </w:rPr>
        <w:t>In this study, two variables were used to measure the degree of regional socio-economic and innovative development. First, the gross domestic product per capita of the sampled regions (REGIONAL GDP) was used. Indeed, per capita GDP is considered as one of the key measures of regional socio-economic performance. In detail, GDP measures the ability of the local economy to create wealth and GDP per capita has a positive link with the average level of economic return achieved by the population.</w:t>
      </w:r>
    </w:p>
    <w:p w14:paraId="54CE2999" w14:textId="77777777" w:rsidR="002E1F6F" w:rsidRPr="00CD7FAA" w:rsidRDefault="002E1F6F" w:rsidP="002E1F6F">
      <w:pPr>
        <w:rPr>
          <w:color w:val="000000" w:themeColor="text1"/>
          <w:szCs w:val="24"/>
        </w:rPr>
      </w:pPr>
      <w:r w:rsidRPr="00CD7FAA">
        <w:rPr>
          <w:color w:val="000000" w:themeColor="text1"/>
          <w:szCs w:val="24"/>
        </w:rPr>
        <w:t>Secondly, with the aim to measure the innovative activity of the regions, the number of patents present in the sampled regions (REGIONAL PATENTS) was used. Indeed, several studies claim that patents provide a reliable measure of the innovative spillover of technology transfer, representing a fundamental proxy for regional knowledge and technology production.</w:t>
      </w:r>
    </w:p>
    <w:p w14:paraId="5F84F1FE" w14:textId="77777777" w:rsidR="007A1620" w:rsidRPr="00CD7FAA" w:rsidRDefault="007A1620" w:rsidP="007A1620">
      <w:pPr>
        <w:pStyle w:val="HeadingNumbering2"/>
        <w:numPr>
          <w:ilvl w:val="0"/>
          <w:numId w:val="0"/>
        </w:numPr>
      </w:pPr>
    </w:p>
    <w:p w14:paraId="22DC5D82" w14:textId="398F997E" w:rsidR="006B7C94" w:rsidRPr="00CD7FAA" w:rsidRDefault="00600844" w:rsidP="00600844">
      <w:pPr>
        <w:pStyle w:val="Paragrafoelenco"/>
        <w:numPr>
          <w:ilvl w:val="2"/>
          <w:numId w:val="15"/>
        </w:numPr>
        <w:rPr>
          <w:b/>
          <w:szCs w:val="30"/>
          <w:lang w:val="en-GB"/>
        </w:rPr>
      </w:pPr>
      <w:r w:rsidRPr="00CD7FAA">
        <w:rPr>
          <w:b/>
          <w:szCs w:val="30"/>
          <w:lang w:val="en-GB"/>
        </w:rPr>
        <w:t xml:space="preserve">Independent variables </w:t>
      </w:r>
    </w:p>
    <w:p w14:paraId="0A689375" w14:textId="77777777" w:rsidR="00201475" w:rsidRPr="00CD7FAA" w:rsidRDefault="00201475" w:rsidP="00201475">
      <w:pPr>
        <w:rPr>
          <w:color w:val="000000" w:themeColor="text1"/>
          <w:szCs w:val="24"/>
        </w:rPr>
      </w:pPr>
      <w:r w:rsidRPr="00CD7FAA">
        <w:rPr>
          <w:color w:val="000000" w:themeColor="text1"/>
          <w:szCs w:val="24"/>
        </w:rPr>
        <w:t xml:space="preserve">With the purpose to predict the potential effects of university spin-offs on the degree of socio-economic and innovative development of the regions, the number of spin-offs established in each university was used (NUMBER SPIN-OFF). It should be </w:t>
      </w:r>
      <w:r w:rsidRPr="00CD7FAA">
        <w:rPr>
          <w:color w:val="000000" w:themeColor="text1"/>
          <w:szCs w:val="24"/>
        </w:rPr>
        <w:lastRenderedPageBreak/>
        <w:t>noted that the number of spin-offs constitutes a suitable measure to evaluate the influence of the spillover effect on the regional context, especially in terms of local development. In addition, a dichotomous variable with a value of 1 was used if the spin-off company owns patent assets in each annuity and 0 in the other cases (SPIN-OFF PATENTS).</w:t>
      </w:r>
    </w:p>
    <w:p w14:paraId="62F93956" w14:textId="0E198019" w:rsidR="006B7C94" w:rsidRPr="00CD7FAA" w:rsidRDefault="006B7C94" w:rsidP="00A947A2">
      <w:pPr>
        <w:rPr>
          <w:szCs w:val="24"/>
        </w:rPr>
      </w:pPr>
    </w:p>
    <w:p w14:paraId="12854C5A" w14:textId="0F287B0B" w:rsidR="00600844" w:rsidRPr="00CD7FAA" w:rsidRDefault="00783FB9" w:rsidP="00600844">
      <w:pPr>
        <w:pStyle w:val="Paragrafoelenco"/>
        <w:numPr>
          <w:ilvl w:val="2"/>
          <w:numId w:val="15"/>
        </w:numPr>
        <w:rPr>
          <w:b/>
          <w:szCs w:val="30"/>
          <w:lang w:val="en-GB"/>
        </w:rPr>
      </w:pPr>
      <w:r w:rsidRPr="00CD7FAA">
        <w:rPr>
          <w:b/>
          <w:szCs w:val="30"/>
          <w:lang w:val="en-GB"/>
        </w:rPr>
        <w:t>Control</w:t>
      </w:r>
      <w:r w:rsidR="00600844" w:rsidRPr="00CD7FAA">
        <w:rPr>
          <w:b/>
          <w:szCs w:val="30"/>
          <w:lang w:val="en-GB"/>
        </w:rPr>
        <w:t xml:space="preserve"> variables </w:t>
      </w:r>
    </w:p>
    <w:p w14:paraId="1AD9E255" w14:textId="77777777" w:rsidR="00313AC6" w:rsidRPr="00CD7FAA" w:rsidRDefault="00313AC6" w:rsidP="00313AC6">
      <w:pPr>
        <w:rPr>
          <w:color w:val="000000" w:themeColor="text1"/>
          <w:szCs w:val="24"/>
        </w:rPr>
      </w:pPr>
      <w:r w:rsidRPr="00CD7FAA">
        <w:rPr>
          <w:color w:val="000000" w:themeColor="text1"/>
          <w:szCs w:val="24"/>
        </w:rPr>
        <w:t>Three control variables were used reflecting the socio-economic characteristics of the region and the possible economic advantages in terms of innovativeness. First, a variable related to urbanization economies was used, measured in terms of population density, defined as the number of inhabitants per square kilometer in the region (REGION DENSITY). Secondly, a variable linked to the main inputs in the development of regional innovation and socio-economic development was used, i.e., the number of R&amp;D employees in the region compared to the total number of employees (REGION R&amp;D EMPLOYEES).</w:t>
      </w:r>
    </w:p>
    <w:p w14:paraId="33CCA807" w14:textId="77777777" w:rsidR="00313AC6" w:rsidRPr="00CD7FAA" w:rsidRDefault="00313AC6" w:rsidP="00313AC6">
      <w:pPr>
        <w:rPr>
          <w:color w:val="000000" w:themeColor="text1"/>
          <w:szCs w:val="24"/>
        </w:rPr>
      </w:pPr>
      <w:r w:rsidRPr="00CD7FAA">
        <w:rPr>
          <w:color w:val="000000" w:themeColor="text1"/>
          <w:szCs w:val="24"/>
        </w:rPr>
        <w:t>Thirdly, since the socio-economic development of the regions is also linked to the knowledge and skills of the population living in them, a variable measuring the percentage of adult population (age 16+) with higher education in each region was used (HIGHER EDUCATION REGION).</w:t>
      </w:r>
    </w:p>
    <w:p w14:paraId="4D56E384" w14:textId="3E4B1BD7" w:rsidR="00313AC6" w:rsidRPr="00CD7FAA" w:rsidRDefault="00313AC6" w:rsidP="00313AC6">
      <w:pPr>
        <w:rPr>
          <w:color w:val="000000" w:themeColor="text1"/>
          <w:szCs w:val="24"/>
        </w:rPr>
      </w:pPr>
      <w:r w:rsidRPr="00CD7FAA">
        <w:rPr>
          <w:color w:val="000000" w:themeColor="text1"/>
          <w:szCs w:val="24"/>
        </w:rPr>
        <w:t>Fourth, a variable was used to measure the size of the Venture Capital/Private Equity sector using the total number of investment transactions in the sector by region in the reference time period of the survey (VENTURE CAPITAL REGION).</w:t>
      </w:r>
    </w:p>
    <w:p w14:paraId="19632A07" w14:textId="14360102" w:rsidR="00313AC6" w:rsidRPr="00CD7FAA" w:rsidRDefault="00313AC6" w:rsidP="00313AC6">
      <w:pPr>
        <w:rPr>
          <w:b/>
          <w:bCs/>
          <w:color w:val="000000" w:themeColor="text1"/>
          <w:szCs w:val="24"/>
        </w:rPr>
      </w:pPr>
      <w:r w:rsidRPr="00CD7FAA">
        <w:rPr>
          <w:color w:val="000000" w:themeColor="text1"/>
          <w:szCs w:val="24"/>
        </w:rPr>
        <w:t>In addition, a variable measuring the natural logarithm of the number of innovative enterprises in the region was used (COMPANIES INNOVATIVE REGION).</w:t>
      </w:r>
    </w:p>
    <w:p w14:paraId="77DEEDE5" w14:textId="77777777" w:rsidR="00600844" w:rsidRPr="00CD7FAA" w:rsidRDefault="00600844" w:rsidP="00A947A2">
      <w:pPr>
        <w:rPr>
          <w:b/>
          <w:szCs w:val="24"/>
        </w:rPr>
      </w:pPr>
    </w:p>
    <w:p w14:paraId="1ED56264" w14:textId="7EBC24D1" w:rsidR="00A947A2" w:rsidRPr="00CD7FAA" w:rsidRDefault="00A947A2" w:rsidP="00A947A2">
      <w:pPr>
        <w:pStyle w:val="HeadingNumbering1"/>
        <w:rPr>
          <w:lang w:val="en-GB"/>
        </w:rPr>
      </w:pPr>
      <w:r w:rsidRPr="00CD7FAA">
        <w:rPr>
          <w:lang w:val="en-GB"/>
        </w:rPr>
        <w:t xml:space="preserve">Main Results </w:t>
      </w:r>
    </w:p>
    <w:p w14:paraId="12DD7065" w14:textId="77777777" w:rsidR="00135871" w:rsidRPr="00CD7FAA" w:rsidRDefault="00135871" w:rsidP="00135871">
      <w:pPr>
        <w:pStyle w:val="HeadingNumbering1"/>
        <w:numPr>
          <w:ilvl w:val="0"/>
          <w:numId w:val="0"/>
        </w:numPr>
        <w:ind w:left="360"/>
        <w:rPr>
          <w:sz w:val="24"/>
          <w:szCs w:val="24"/>
          <w:lang w:val="en-GB"/>
        </w:rPr>
      </w:pPr>
    </w:p>
    <w:p w14:paraId="657037AA" w14:textId="7E5D9350" w:rsidR="00F7401C" w:rsidRPr="00CD7FAA" w:rsidRDefault="00F7401C" w:rsidP="00A947A2">
      <w:pPr>
        <w:pStyle w:val="HeadingNumbering3"/>
        <w:numPr>
          <w:ilvl w:val="1"/>
          <w:numId w:val="16"/>
        </w:numPr>
        <w:rPr>
          <w:lang w:val="en-GB"/>
        </w:rPr>
      </w:pPr>
      <w:r w:rsidRPr="00CD7FAA">
        <w:rPr>
          <w:lang w:val="en-GB"/>
        </w:rPr>
        <w:t xml:space="preserve"> Descriptive </w:t>
      </w:r>
      <w:r w:rsidR="00493C6C" w:rsidRPr="00CD7FAA">
        <w:rPr>
          <w:lang w:val="en-GB"/>
        </w:rPr>
        <w:t>statistics</w:t>
      </w:r>
    </w:p>
    <w:p w14:paraId="5AEC4BC3" w14:textId="77777777" w:rsidR="00493C6C" w:rsidRPr="00CD7FAA" w:rsidRDefault="00493C6C" w:rsidP="00493C6C">
      <w:pPr>
        <w:rPr>
          <w:color w:val="000000" w:themeColor="text1"/>
          <w:szCs w:val="24"/>
        </w:rPr>
      </w:pPr>
      <w:r w:rsidRPr="00CD7FAA">
        <w:rPr>
          <w:color w:val="000000" w:themeColor="text1"/>
          <w:szCs w:val="24"/>
        </w:rPr>
        <w:t>Table 1 shows the descriptive statistics of the variables used in the study. The results indicate that the sample shows an average degree of regional socio-economic development in terms of GDP per capita equal to € 27,754.39, with a moderate dispersion in the sample (S.D. = 5739,795). This result highlights how the sampled regions differ significantly in terms of economic value generated. As regards the second measure of regional socio-economic development used, namely the number of patents, the sample detects an average of about 413 patents. The sampled regions show a high heterogeneity (S.D. = 407,349). This evidence reveals a good potential for generating innovative outputs in the Italian context, although this intensity differs significantly between regions.</w:t>
      </w:r>
    </w:p>
    <w:p w14:paraId="1971CCCD" w14:textId="77777777" w:rsidR="00C42734" w:rsidRPr="00CD7FAA" w:rsidRDefault="00493C6C" w:rsidP="00C42734">
      <w:pPr>
        <w:rPr>
          <w:color w:val="000000" w:themeColor="text1"/>
          <w:szCs w:val="24"/>
        </w:rPr>
      </w:pPr>
      <w:r w:rsidRPr="00CD7FAA">
        <w:rPr>
          <w:color w:val="000000" w:themeColor="text1"/>
          <w:szCs w:val="24"/>
        </w:rPr>
        <w:t>In general, the descriptive statistics show the existence of a significant heterogeneity in the Italian regions sampled in terms of socio-economic development achieved, suggesting that the regional contexts are relatively heterogeneous in Italy</w:t>
      </w:r>
      <w:r w:rsidR="00C42734" w:rsidRPr="00CD7FAA">
        <w:rPr>
          <w:color w:val="000000" w:themeColor="text1"/>
          <w:szCs w:val="24"/>
        </w:rPr>
        <w:t>.</w:t>
      </w:r>
      <w:r w:rsidR="00C42734" w:rsidRPr="00CD7FAA">
        <w:rPr>
          <w:color w:val="000000" w:themeColor="text1"/>
          <w:szCs w:val="24"/>
        </w:rPr>
        <w:br/>
        <w:t xml:space="preserve">With reference to the first key explanatory variable of the study, namely the number of university spin-offs, the sample shows an average of about 28 spin-offs per </w:t>
      </w:r>
      <w:r w:rsidR="00C42734" w:rsidRPr="00CD7FAA">
        <w:rPr>
          <w:color w:val="000000" w:themeColor="text1"/>
          <w:szCs w:val="24"/>
        </w:rPr>
        <w:lastRenderedPageBreak/>
        <w:t>university. However, the number of spin-offs is affected by a high dispersion in the sample (D.S. = 16.07513). This evidence points out that university spin-offs are a widespread phenomenon in Italy, with a potentially high expected effect on the regional context, although the diffusion of this typological class of business differs significantly between regions. This may also have consequences in part in terms of the impact of the positive regional externalities of spin-offs, accentuating the divergences and socio-economic and innovative performances between regions.</w:t>
      </w:r>
    </w:p>
    <w:p w14:paraId="45C709E7" w14:textId="0C13F3DF" w:rsidR="00F7401C" w:rsidRPr="00CD7FAA" w:rsidRDefault="00C42734" w:rsidP="00493C6C">
      <w:pPr>
        <w:rPr>
          <w:color w:val="000000" w:themeColor="text1"/>
          <w:szCs w:val="24"/>
        </w:rPr>
      </w:pPr>
      <w:r w:rsidRPr="00CD7FAA">
        <w:rPr>
          <w:color w:val="000000" w:themeColor="text1"/>
          <w:szCs w:val="24"/>
        </w:rPr>
        <w:t>Furthermore, as regards the second key explanatory variable, namely the patent activity of university spin-offs, the sample shows an average of about 4% of the spin-offs with patents in the time period analyzed. This evidence highlights the limited tendency towards innovation on the part of the university start-ups sampled, although this result could only highlight a low orientation towards the protection of the innovation generated rather than a limited innovative capacity.</w:t>
      </w:r>
      <w:r w:rsidR="00980085" w:rsidRPr="00CD7FAA">
        <w:rPr>
          <w:color w:val="000000" w:themeColor="text1"/>
          <w:szCs w:val="24"/>
        </w:rPr>
        <w:br/>
      </w:r>
    </w:p>
    <w:p w14:paraId="3DAF8FA6" w14:textId="608E7460" w:rsidR="00F7401C" w:rsidRPr="00CD7FAA" w:rsidRDefault="00F7401C" w:rsidP="00F7401C">
      <w:pPr>
        <w:pStyle w:val="Tabletitle"/>
        <w:rPr>
          <w:lang w:val="en-GB"/>
        </w:rPr>
      </w:pPr>
      <w:r w:rsidRPr="00CD7FAA">
        <w:rPr>
          <w:lang w:val="en-GB"/>
        </w:rPr>
        <w:t xml:space="preserve">Table 1: Descriptive statistics </w:t>
      </w:r>
    </w:p>
    <w:p w14:paraId="1326AA99" w14:textId="77777777" w:rsidR="00F7401C" w:rsidRPr="00CD7FAA" w:rsidRDefault="00F7401C" w:rsidP="00F7401C">
      <w:pPr>
        <w:rPr>
          <w:color w:val="000000"/>
          <w:szCs w:val="24"/>
          <w:lang w:val="en-GB"/>
        </w:rPr>
      </w:pPr>
    </w:p>
    <w:tbl>
      <w:tblPr>
        <w:tblStyle w:val="Grigliatabella"/>
        <w:tblpPr w:leftFromText="141" w:rightFromText="141" w:vertAnchor="text" w:horzAnchor="page" w:tblpX="853" w:tblpY="182"/>
        <w:tblW w:w="533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9"/>
        <w:gridCol w:w="1430"/>
        <w:gridCol w:w="1400"/>
        <w:gridCol w:w="1280"/>
        <w:gridCol w:w="1520"/>
        <w:gridCol w:w="1520"/>
      </w:tblGrid>
      <w:tr w:rsidR="006D4FA7" w:rsidRPr="00CD7FAA" w14:paraId="2B0CEC31" w14:textId="77777777" w:rsidTr="00DF50D7">
        <w:trPr>
          <w:trHeight w:val="589"/>
        </w:trPr>
        <w:tc>
          <w:tcPr>
            <w:tcW w:w="1050" w:type="pct"/>
            <w:tcBorders>
              <w:top w:val="single" w:sz="4" w:space="0" w:color="auto"/>
              <w:bottom w:val="single" w:sz="12" w:space="0" w:color="auto"/>
            </w:tcBorders>
            <w:vAlign w:val="center"/>
            <w:hideMark/>
          </w:tcPr>
          <w:p w14:paraId="468E78D6" w14:textId="77777777" w:rsidR="006D4FA7" w:rsidRPr="00CD7FAA" w:rsidRDefault="006D4FA7" w:rsidP="00DF50D7">
            <w:pPr>
              <w:ind w:firstLine="284"/>
              <w:rPr>
                <w:color w:val="000000" w:themeColor="text1"/>
                <w:szCs w:val="24"/>
              </w:rPr>
            </w:pPr>
          </w:p>
        </w:tc>
        <w:tc>
          <w:tcPr>
            <w:tcW w:w="790" w:type="pct"/>
            <w:tcBorders>
              <w:top w:val="single" w:sz="4" w:space="0" w:color="auto"/>
              <w:bottom w:val="single" w:sz="12" w:space="0" w:color="auto"/>
            </w:tcBorders>
            <w:vAlign w:val="center"/>
          </w:tcPr>
          <w:p w14:paraId="62BE81C8" w14:textId="77777777" w:rsidR="006D4FA7" w:rsidRPr="00CD7FAA" w:rsidRDefault="006D4FA7" w:rsidP="00DF50D7">
            <w:pPr>
              <w:ind w:right="-299" w:firstLine="284"/>
              <w:rPr>
                <w:color w:val="000000" w:themeColor="text1"/>
                <w:szCs w:val="24"/>
              </w:rPr>
            </w:pPr>
            <w:r w:rsidRPr="00CD7FAA">
              <w:rPr>
                <w:color w:val="000000" w:themeColor="text1"/>
                <w:szCs w:val="24"/>
              </w:rPr>
              <w:t>No. observations</w:t>
            </w:r>
          </w:p>
        </w:tc>
        <w:tc>
          <w:tcPr>
            <w:tcW w:w="774" w:type="pct"/>
            <w:tcBorders>
              <w:top w:val="single" w:sz="4" w:space="0" w:color="auto"/>
              <w:bottom w:val="single" w:sz="12" w:space="0" w:color="auto"/>
            </w:tcBorders>
            <w:vAlign w:val="center"/>
          </w:tcPr>
          <w:p w14:paraId="4185BFE8" w14:textId="77777777" w:rsidR="006D4FA7" w:rsidRPr="00CD7FAA" w:rsidRDefault="006D4FA7" w:rsidP="00DF50D7">
            <w:pPr>
              <w:ind w:right="-55" w:firstLine="284"/>
              <w:rPr>
                <w:color w:val="000000" w:themeColor="text1"/>
                <w:szCs w:val="24"/>
              </w:rPr>
            </w:pPr>
            <w:r w:rsidRPr="00CD7FAA">
              <w:rPr>
                <w:color w:val="000000" w:themeColor="text1"/>
                <w:szCs w:val="24"/>
              </w:rPr>
              <w:t>Min.</w:t>
            </w:r>
          </w:p>
        </w:tc>
        <w:tc>
          <w:tcPr>
            <w:tcW w:w="709" w:type="pct"/>
            <w:tcBorders>
              <w:top w:val="single" w:sz="4" w:space="0" w:color="auto"/>
              <w:bottom w:val="single" w:sz="12" w:space="0" w:color="auto"/>
            </w:tcBorders>
            <w:vAlign w:val="center"/>
          </w:tcPr>
          <w:p w14:paraId="431FF07D" w14:textId="77777777" w:rsidR="006D4FA7" w:rsidRPr="00CD7FAA" w:rsidRDefault="006D4FA7" w:rsidP="00DF50D7">
            <w:pPr>
              <w:ind w:right="-486" w:firstLine="264"/>
              <w:rPr>
                <w:color w:val="000000" w:themeColor="text1"/>
                <w:szCs w:val="24"/>
              </w:rPr>
            </w:pPr>
            <w:r w:rsidRPr="00CD7FAA">
              <w:rPr>
                <w:color w:val="000000" w:themeColor="text1"/>
                <w:szCs w:val="24"/>
              </w:rPr>
              <w:t>Max.</w:t>
            </w:r>
          </w:p>
        </w:tc>
        <w:tc>
          <w:tcPr>
            <w:tcW w:w="838" w:type="pct"/>
            <w:tcBorders>
              <w:top w:val="single" w:sz="4" w:space="0" w:color="auto"/>
              <w:bottom w:val="single" w:sz="12" w:space="0" w:color="auto"/>
            </w:tcBorders>
            <w:vAlign w:val="center"/>
          </w:tcPr>
          <w:p w14:paraId="3B59B0A5" w14:textId="77777777" w:rsidR="006D4FA7" w:rsidRPr="00CD7FAA" w:rsidRDefault="006D4FA7" w:rsidP="00DF50D7">
            <w:pPr>
              <w:ind w:right="-430" w:firstLine="284"/>
              <w:rPr>
                <w:color w:val="000000" w:themeColor="text1"/>
                <w:szCs w:val="24"/>
              </w:rPr>
            </w:pPr>
            <w:r w:rsidRPr="00CD7FAA">
              <w:rPr>
                <w:color w:val="000000" w:themeColor="text1"/>
                <w:szCs w:val="24"/>
              </w:rPr>
              <w:t>Mean</w:t>
            </w:r>
          </w:p>
        </w:tc>
        <w:tc>
          <w:tcPr>
            <w:tcW w:w="838" w:type="pct"/>
            <w:tcBorders>
              <w:top w:val="single" w:sz="4" w:space="0" w:color="auto"/>
              <w:bottom w:val="single" w:sz="12" w:space="0" w:color="auto"/>
            </w:tcBorders>
            <w:vAlign w:val="center"/>
            <w:hideMark/>
          </w:tcPr>
          <w:p w14:paraId="7ADA7D7C" w14:textId="77777777" w:rsidR="006D4FA7" w:rsidRPr="00CD7FAA" w:rsidRDefault="006D4FA7" w:rsidP="00DF50D7">
            <w:pPr>
              <w:ind w:right="-374" w:firstLine="284"/>
              <w:rPr>
                <w:color w:val="000000" w:themeColor="text1"/>
                <w:szCs w:val="24"/>
              </w:rPr>
            </w:pPr>
            <w:r w:rsidRPr="00CD7FAA">
              <w:rPr>
                <w:color w:val="000000" w:themeColor="text1"/>
                <w:szCs w:val="24"/>
              </w:rPr>
              <w:t>S.D.</w:t>
            </w:r>
          </w:p>
        </w:tc>
      </w:tr>
      <w:tr w:rsidR="006D4FA7" w:rsidRPr="00CD7FAA" w14:paraId="10DE7E80" w14:textId="77777777" w:rsidTr="00DF50D7">
        <w:trPr>
          <w:trHeight w:val="316"/>
        </w:trPr>
        <w:tc>
          <w:tcPr>
            <w:tcW w:w="1050" w:type="pct"/>
            <w:tcBorders>
              <w:top w:val="single" w:sz="12" w:space="0" w:color="auto"/>
            </w:tcBorders>
            <w:vAlign w:val="center"/>
            <w:hideMark/>
          </w:tcPr>
          <w:p w14:paraId="29CDEE3E" w14:textId="6EFC4223" w:rsidR="006D4FA7" w:rsidRPr="00CD7FAA" w:rsidRDefault="003603B2" w:rsidP="002B369B">
            <w:pPr>
              <w:rPr>
                <w:color w:val="000000" w:themeColor="text1"/>
                <w:szCs w:val="24"/>
              </w:rPr>
            </w:pPr>
            <w:r w:rsidRPr="00CD7FAA">
              <w:rPr>
                <w:color w:val="000000" w:themeColor="text1"/>
                <w:szCs w:val="24"/>
              </w:rPr>
              <w:t>REGIONAL GDP</w:t>
            </w:r>
          </w:p>
        </w:tc>
        <w:tc>
          <w:tcPr>
            <w:tcW w:w="790" w:type="pct"/>
            <w:tcBorders>
              <w:top w:val="single" w:sz="12" w:space="0" w:color="auto"/>
            </w:tcBorders>
            <w:noWrap/>
            <w:vAlign w:val="center"/>
          </w:tcPr>
          <w:p w14:paraId="5C397D37" w14:textId="6CA050EE" w:rsidR="006D4FA7" w:rsidRPr="00CD7FAA" w:rsidRDefault="006D4FA7" w:rsidP="00DF50D7">
            <w:pPr>
              <w:ind w:firstLine="284"/>
              <w:rPr>
                <w:color w:val="000000" w:themeColor="text1"/>
                <w:szCs w:val="24"/>
              </w:rPr>
            </w:pPr>
            <w:r w:rsidRPr="00CD7FAA">
              <w:rPr>
                <w:color w:val="000000" w:themeColor="text1"/>
                <w:szCs w:val="24"/>
              </w:rPr>
              <w:t>9,4</w:t>
            </w:r>
            <w:r w:rsidR="00A018E9" w:rsidRPr="00CD7FAA">
              <w:rPr>
                <w:color w:val="000000" w:themeColor="text1"/>
                <w:szCs w:val="24"/>
              </w:rPr>
              <w:t>80</w:t>
            </w:r>
          </w:p>
        </w:tc>
        <w:tc>
          <w:tcPr>
            <w:tcW w:w="774" w:type="pct"/>
            <w:tcBorders>
              <w:top w:val="single" w:sz="12" w:space="0" w:color="auto"/>
            </w:tcBorders>
            <w:noWrap/>
            <w:vAlign w:val="center"/>
          </w:tcPr>
          <w:p w14:paraId="248585C4" w14:textId="77777777" w:rsidR="006D4FA7" w:rsidRPr="00CD7FAA" w:rsidRDefault="006D4FA7" w:rsidP="00DF50D7">
            <w:pPr>
              <w:ind w:right="-55" w:firstLine="284"/>
              <w:rPr>
                <w:color w:val="000000" w:themeColor="text1"/>
                <w:szCs w:val="24"/>
              </w:rPr>
            </w:pPr>
            <w:r w:rsidRPr="00CD7FAA">
              <w:rPr>
                <w:color w:val="000000" w:themeColor="text1"/>
                <w:szCs w:val="24"/>
              </w:rPr>
              <w:t>15800</w:t>
            </w:r>
          </w:p>
        </w:tc>
        <w:tc>
          <w:tcPr>
            <w:tcW w:w="709" w:type="pct"/>
            <w:tcBorders>
              <w:top w:val="single" w:sz="12" w:space="0" w:color="auto"/>
            </w:tcBorders>
            <w:noWrap/>
            <w:vAlign w:val="center"/>
          </w:tcPr>
          <w:p w14:paraId="3169816D" w14:textId="77777777" w:rsidR="006D4FA7" w:rsidRPr="00CD7FAA" w:rsidRDefault="006D4FA7" w:rsidP="00DF50D7">
            <w:pPr>
              <w:ind w:firstLine="284"/>
              <w:rPr>
                <w:color w:val="000000" w:themeColor="text1"/>
                <w:szCs w:val="24"/>
              </w:rPr>
            </w:pPr>
            <w:r w:rsidRPr="00CD7FAA">
              <w:rPr>
                <w:color w:val="000000" w:themeColor="text1"/>
                <w:szCs w:val="24"/>
              </w:rPr>
              <w:t>37250</w:t>
            </w:r>
          </w:p>
        </w:tc>
        <w:tc>
          <w:tcPr>
            <w:tcW w:w="838" w:type="pct"/>
            <w:tcBorders>
              <w:top w:val="single" w:sz="12" w:space="0" w:color="auto"/>
            </w:tcBorders>
            <w:noWrap/>
            <w:vAlign w:val="center"/>
          </w:tcPr>
          <w:p w14:paraId="3797088B" w14:textId="77777777" w:rsidR="006D4FA7" w:rsidRPr="00CD7FAA" w:rsidRDefault="006D4FA7" w:rsidP="00DF50D7">
            <w:pPr>
              <w:ind w:right="-430" w:firstLine="284"/>
              <w:rPr>
                <w:color w:val="000000" w:themeColor="text1"/>
                <w:szCs w:val="24"/>
              </w:rPr>
            </w:pPr>
            <w:r w:rsidRPr="00CD7FAA">
              <w:rPr>
                <w:color w:val="000000" w:themeColor="text1"/>
                <w:szCs w:val="24"/>
              </w:rPr>
              <w:t>27754.39</w:t>
            </w:r>
          </w:p>
        </w:tc>
        <w:tc>
          <w:tcPr>
            <w:tcW w:w="838" w:type="pct"/>
            <w:tcBorders>
              <w:top w:val="single" w:sz="12" w:space="0" w:color="auto"/>
            </w:tcBorders>
            <w:noWrap/>
            <w:vAlign w:val="center"/>
          </w:tcPr>
          <w:p w14:paraId="382F7D16" w14:textId="77777777" w:rsidR="006D4FA7" w:rsidRPr="00CD7FAA" w:rsidRDefault="006D4FA7" w:rsidP="00DF50D7">
            <w:pPr>
              <w:ind w:right="-374" w:firstLine="284"/>
              <w:rPr>
                <w:color w:val="000000" w:themeColor="text1"/>
                <w:szCs w:val="24"/>
              </w:rPr>
            </w:pPr>
            <w:r w:rsidRPr="00CD7FAA">
              <w:rPr>
                <w:color w:val="000000" w:themeColor="text1"/>
                <w:szCs w:val="24"/>
              </w:rPr>
              <w:t>5739.795</w:t>
            </w:r>
          </w:p>
        </w:tc>
      </w:tr>
      <w:tr w:rsidR="006D4FA7" w:rsidRPr="00CD7FAA" w14:paraId="74B2C888" w14:textId="77777777" w:rsidTr="00DF50D7">
        <w:trPr>
          <w:trHeight w:val="316"/>
        </w:trPr>
        <w:tc>
          <w:tcPr>
            <w:tcW w:w="1050" w:type="pct"/>
            <w:vAlign w:val="center"/>
            <w:hideMark/>
          </w:tcPr>
          <w:p w14:paraId="42A7AF3E" w14:textId="6DD0BB4E" w:rsidR="006D4FA7" w:rsidRPr="00CD7FAA" w:rsidRDefault="003603B2" w:rsidP="002B369B">
            <w:pPr>
              <w:rPr>
                <w:color w:val="000000" w:themeColor="text1"/>
                <w:szCs w:val="24"/>
              </w:rPr>
            </w:pPr>
            <w:r w:rsidRPr="00CD7FAA">
              <w:rPr>
                <w:color w:val="000000" w:themeColor="text1"/>
                <w:szCs w:val="24"/>
              </w:rPr>
              <w:t>REGIONAL PATENTS</w:t>
            </w:r>
          </w:p>
        </w:tc>
        <w:tc>
          <w:tcPr>
            <w:tcW w:w="790" w:type="pct"/>
            <w:noWrap/>
            <w:vAlign w:val="center"/>
          </w:tcPr>
          <w:p w14:paraId="35FAC6F3" w14:textId="77777777" w:rsidR="006D4FA7" w:rsidRPr="00CD7FAA" w:rsidRDefault="006D4FA7" w:rsidP="00DF50D7">
            <w:pPr>
              <w:ind w:firstLine="284"/>
              <w:rPr>
                <w:color w:val="000000" w:themeColor="text1"/>
                <w:szCs w:val="24"/>
              </w:rPr>
            </w:pPr>
            <w:r w:rsidRPr="00CD7FAA">
              <w:rPr>
                <w:color w:val="000000" w:themeColor="text1"/>
                <w:szCs w:val="24"/>
              </w:rPr>
              <w:t>7,592</w:t>
            </w:r>
          </w:p>
        </w:tc>
        <w:tc>
          <w:tcPr>
            <w:tcW w:w="774" w:type="pct"/>
            <w:noWrap/>
            <w:vAlign w:val="center"/>
          </w:tcPr>
          <w:p w14:paraId="70AF218E" w14:textId="77777777" w:rsidR="006D4FA7" w:rsidRPr="00CD7FAA" w:rsidRDefault="006D4FA7" w:rsidP="00DF50D7">
            <w:pPr>
              <w:ind w:right="-55" w:firstLine="284"/>
              <w:rPr>
                <w:color w:val="000000" w:themeColor="text1"/>
                <w:szCs w:val="24"/>
              </w:rPr>
            </w:pPr>
            <w:r w:rsidRPr="00CD7FAA">
              <w:rPr>
                <w:color w:val="000000" w:themeColor="text1"/>
                <w:szCs w:val="24"/>
              </w:rPr>
              <w:t>0.35</w:t>
            </w:r>
          </w:p>
        </w:tc>
        <w:tc>
          <w:tcPr>
            <w:tcW w:w="709" w:type="pct"/>
            <w:noWrap/>
            <w:vAlign w:val="center"/>
          </w:tcPr>
          <w:p w14:paraId="09A73728" w14:textId="77777777" w:rsidR="006D4FA7" w:rsidRPr="00CD7FAA" w:rsidRDefault="006D4FA7" w:rsidP="00DF50D7">
            <w:pPr>
              <w:ind w:firstLine="284"/>
              <w:rPr>
                <w:color w:val="000000" w:themeColor="text1"/>
                <w:szCs w:val="24"/>
              </w:rPr>
            </w:pPr>
            <w:r w:rsidRPr="00CD7FAA">
              <w:rPr>
                <w:color w:val="000000" w:themeColor="text1"/>
                <w:szCs w:val="24"/>
              </w:rPr>
              <w:t>1509.05</w:t>
            </w:r>
          </w:p>
        </w:tc>
        <w:tc>
          <w:tcPr>
            <w:tcW w:w="838" w:type="pct"/>
            <w:noWrap/>
            <w:vAlign w:val="center"/>
          </w:tcPr>
          <w:p w14:paraId="6EFBA2AA" w14:textId="77777777" w:rsidR="006D4FA7" w:rsidRPr="00CD7FAA" w:rsidRDefault="006D4FA7" w:rsidP="00DF50D7">
            <w:pPr>
              <w:ind w:right="-430" w:firstLine="284"/>
              <w:rPr>
                <w:color w:val="000000" w:themeColor="text1"/>
                <w:szCs w:val="24"/>
              </w:rPr>
            </w:pPr>
            <w:r w:rsidRPr="00CD7FAA">
              <w:rPr>
                <w:color w:val="000000" w:themeColor="text1"/>
                <w:szCs w:val="24"/>
              </w:rPr>
              <w:t>413.0975</w:t>
            </w:r>
          </w:p>
        </w:tc>
        <w:tc>
          <w:tcPr>
            <w:tcW w:w="838" w:type="pct"/>
            <w:noWrap/>
            <w:vAlign w:val="center"/>
          </w:tcPr>
          <w:p w14:paraId="469C493F" w14:textId="77777777" w:rsidR="006D4FA7" w:rsidRPr="00CD7FAA" w:rsidRDefault="006D4FA7" w:rsidP="00DF50D7">
            <w:pPr>
              <w:ind w:right="-374" w:firstLine="284"/>
              <w:rPr>
                <w:color w:val="000000" w:themeColor="text1"/>
                <w:szCs w:val="24"/>
              </w:rPr>
            </w:pPr>
            <w:r w:rsidRPr="00CD7FAA">
              <w:rPr>
                <w:color w:val="000000" w:themeColor="text1"/>
                <w:szCs w:val="24"/>
              </w:rPr>
              <w:t>407.349</w:t>
            </w:r>
          </w:p>
        </w:tc>
      </w:tr>
      <w:tr w:rsidR="006D4FA7" w:rsidRPr="00CD7FAA" w14:paraId="2E5BF6F2" w14:textId="77777777" w:rsidTr="00DF50D7">
        <w:trPr>
          <w:trHeight w:val="316"/>
        </w:trPr>
        <w:tc>
          <w:tcPr>
            <w:tcW w:w="1050" w:type="pct"/>
            <w:vAlign w:val="center"/>
            <w:hideMark/>
          </w:tcPr>
          <w:p w14:paraId="09C3F0A9" w14:textId="4F3A62A5" w:rsidR="006D4FA7" w:rsidRPr="00CD7FAA" w:rsidRDefault="003603B2" w:rsidP="002B369B">
            <w:pPr>
              <w:rPr>
                <w:color w:val="000000" w:themeColor="text1"/>
                <w:szCs w:val="24"/>
              </w:rPr>
            </w:pPr>
            <w:r w:rsidRPr="00CD7FAA">
              <w:rPr>
                <w:color w:val="000000" w:themeColor="text1"/>
                <w:szCs w:val="24"/>
              </w:rPr>
              <w:t>NUMBER SPIN-OFF</w:t>
            </w:r>
          </w:p>
        </w:tc>
        <w:tc>
          <w:tcPr>
            <w:tcW w:w="790" w:type="pct"/>
            <w:noWrap/>
            <w:vAlign w:val="center"/>
          </w:tcPr>
          <w:p w14:paraId="3CF4428F" w14:textId="77777777" w:rsidR="006D4FA7" w:rsidRPr="00CD7FAA" w:rsidRDefault="006D4FA7" w:rsidP="00DF50D7">
            <w:pPr>
              <w:ind w:firstLine="284"/>
              <w:rPr>
                <w:color w:val="000000" w:themeColor="text1"/>
                <w:szCs w:val="24"/>
              </w:rPr>
            </w:pPr>
            <w:r w:rsidRPr="00CD7FAA">
              <w:rPr>
                <w:color w:val="000000" w:themeColor="text1"/>
                <w:szCs w:val="24"/>
              </w:rPr>
              <w:t>9,490</w:t>
            </w:r>
          </w:p>
        </w:tc>
        <w:tc>
          <w:tcPr>
            <w:tcW w:w="774" w:type="pct"/>
            <w:noWrap/>
            <w:vAlign w:val="center"/>
          </w:tcPr>
          <w:p w14:paraId="01AA4683" w14:textId="77777777" w:rsidR="006D4FA7" w:rsidRPr="00CD7FAA" w:rsidRDefault="006D4FA7" w:rsidP="00DF50D7">
            <w:pPr>
              <w:ind w:right="-55" w:firstLine="284"/>
              <w:rPr>
                <w:color w:val="000000" w:themeColor="text1"/>
                <w:szCs w:val="24"/>
              </w:rPr>
            </w:pPr>
            <w:r w:rsidRPr="00CD7FAA">
              <w:rPr>
                <w:color w:val="000000" w:themeColor="text1"/>
                <w:szCs w:val="24"/>
              </w:rPr>
              <w:t>1</w:t>
            </w:r>
          </w:p>
        </w:tc>
        <w:tc>
          <w:tcPr>
            <w:tcW w:w="709" w:type="pct"/>
            <w:noWrap/>
            <w:vAlign w:val="center"/>
          </w:tcPr>
          <w:p w14:paraId="7C5FCBE7" w14:textId="77777777" w:rsidR="006D4FA7" w:rsidRPr="00CD7FAA" w:rsidRDefault="006D4FA7" w:rsidP="00DF50D7">
            <w:pPr>
              <w:ind w:firstLine="284"/>
              <w:rPr>
                <w:color w:val="000000" w:themeColor="text1"/>
                <w:szCs w:val="24"/>
              </w:rPr>
            </w:pPr>
            <w:r w:rsidRPr="00CD7FAA">
              <w:rPr>
                <w:color w:val="000000" w:themeColor="text1"/>
                <w:szCs w:val="24"/>
              </w:rPr>
              <w:t>70</w:t>
            </w:r>
          </w:p>
        </w:tc>
        <w:tc>
          <w:tcPr>
            <w:tcW w:w="838" w:type="pct"/>
            <w:noWrap/>
            <w:vAlign w:val="center"/>
          </w:tcPr>
          <w:p w14:paraId="021E6598" w14:textId="77777777" w:rsidR="006D4FA7" w:rsidRPr="00CD7FAA" w:rsidRDefault="006D4FA7" w:rsidP="00DF50D7">
            <w:pPr>
              <w:ind w:right="-430" w:firstLine="284"/>
              <w:rPr>
                <w:color w:val="000000" w:themeColor="text1"/>
                <w:szCs w:val="24"/>
              </w:rPr>
            </w:pPr>
            <w:r w:rsidRPr="00CD7FAA">
              <w:rPr>
                <w:color w:val="000000" w:themeColor="text1"/>
                <w:szCs w:val="24"/>
              </w:rPr>
              <w:t>27.76396</w:t>
            </w:r>
          </w:p>
        </w:tc>
        <w:tc>
          <w:tcPr>
            <w:tcW w:w="838" w:type="pct"/>
            <w:noWrap/>
            <w:vAlign w:val="center"/>
          </w:tcPr>
          <w:p w14:paraId="632C1CDB" w14:textId="77777777" w:rsidR="006D4FA7" w:rsidRPr="00CD7FAA" w:rsidRDefault="006D4FA7" w:rsidP="00DF50D7">
            <w:pPr>
              <w:ind w:right="-374" w:firstLine="284"/>
              <w:rPr>
                <w:color w:val="000000" w:themeColor="text1"/>
                <w:szCs w:val="24"/>
              </w:rPr>
            </w:pPr>
            <w:r w:rsidRPr="00CD7FAA">
              <w:rPr>
                <w:color w:val="000000" w:themeColor="text1"/>
                <w:szCs w:val="24"/>
              </w:rPr>
              <w:t xml:space="preserve">16.07513  </w:t>
            </w:r>
          </w:p>
        </w:tc>
      </w:tr>
      <w:tr w:rsidR="006D4FA7" w:rsidRPr="00CD7FAA" w14:paraId="00E46C95" w14:textId="77777777" w:rsidTr="00DF50D7">
        <w:trPr>
          <w:trHeight w:val="316"/>
        </w:trPr>
        <w:tc>
          <w:tcPr>
            <w:tcW w:w="1050" w:type="pct"/>
            <w:vAlign w:val="center"/>
          </w:tcPr>
          <w:p w14:paraId="191D7649" w14:textId="3EE34762" w:rsidR="006D4FA7" w:rsidRPr="00CD7FAA" w:rsidRDefault="003603B2" w:rsidP="002B369B">
            <w:pPr>
              <w:rPr>
                <w:color w:val="000000" w:themeColor="text1"/>
                <w:szCs w:val="24"/>
              </w:rPr>
            </w:pPr>
            <w:r w:rsidRPr="00CD7FAA">
              <w:rPr>
                <w:color w:val="000000" w:themeColor="text1"/>
                <w:szCs w:val="24"/>
              </w:rPr>
              <w:t>SPIN-OFF PATENTS</w:t>
            </w:r>
          </w:p>
        </w:tc>
        <w:tc>
          <w:tcPr>
            <w:tcW w:w="790" w:type="pct"/>
            <w:noWrap/>
            <w:vAlign w:val="center"/>
          </w:tcPr>
          <w:p w14:paraId="1A4F963B" w14:textId="77777777" w:rsidR="006D4FA7" w:rsidRPr="00CD7FAA" w:rsidRDefault="006D4FA7" w:rsidP="00DF50D7">
            <w:pPr>
              <w:ind w:firstLine="284"/>
              <w:rPr>
                <w:color w:val="000000" w:themeColor="text1"/>
                <w:szCs w:val="24"/>
              </w:rPr>
            </w:pPr>
            <w:r w:rsidRPr="00CD7FAA">
              <w:rPr>
                <w:color w:val="000000" w:themeColor="text1"/>
                <w:szCs w:val="24"/>
              </w:rPr>
              <w:t>9,490</w:t>
            </w:r>
          </w:p>
        </w:tc>
        <w:tc>
          <w:tcPr>
            <w:tcW w:w="774" w:type="pct"/>
            <w:noWrap/>
            <w:vAlign w:val="center"/>
          </w:tcPr>
          <w:p w14:paraId="7A430263" w14:textId="77777777" w:rsidR="006D4FA7" w:rsidRPr="00CD7FAA" w:rsidRDefault="006D4FA7" w:rsidP="00DF50D7">
            <w:pPr>
              <w:ind w:right="-55" w:firstLine="284"/>
              <w:rPr>
                <w:color w:val="000000" w:themeColor="text1"/>
                <w:szCs w:val="24"/>
              </w:rPr>
            </w:pPr>
            <w:r w:rsidRPr="00CD7FAA">
              <w:rPr>
                <w:color w:val="000000" w:themeColor="text1"/>
                <w:szCs w:val="24"/>
              </w:rPr>
              <w:t>0</w:t>
            </w:r>
          </w:p>
        </w:tc>
        <w:tc>
          <w:tcPr>
            <w:tcW w:w="709" w:type="pct"/>
            <w:noWrap/>
            <w:vAlign w:val="center"/>
          </w:tcPr>
          <w:p w14:paraId="77BF8F91" w14:textId="77777777" w:rsidR="006D4FA7" w:rsidRPr="00CD7FAA" w:rsidRDefault="006D4FA7" w:rsidP="00DF50D7">
            <w:pPr>
              <w:ind w:firstLine="284"/>
              <w:rPr>
                <w:color w:val="000000" w:themeColor="text1"/>
                <w:szCs w:val="24"/>
              </w:rPr>
            </w:pPr>
            <w:r w:rsidRPr="00CD7FAA">
              <w:rPr>
                <w:color w:val="000000" w:themeColor="text1"/>
                <w:szCs w:val="24"/>
              </w:rPr>
              <w:t xml:space="preserve">1 </w:t>
            </w:r>
          </w:p>
        </w:tc>
        <w:tc>
          <w:tcPr>
            <w:tcW w:w="838" w:type="pct"/>
            <w:noWrap/>
            <w:vAlign w:val="center"/>
          </w:tcPr>
          <w:p w14:paraId="0AF39468" w14:textId="77777777" w:rsidR="006D4FA7" w:rsidRPr="00CD7FAA" w:rsidRDefault="006D4FA7" w:rsidP="00DF50D7">
            <w:pPr>
              <w:ind w:right="-430" w:firstLine="284"/>
              <w:rPr>
                <w:color w:val="000000" w:themeColor="text1"/>
                <w:szCs w:val="24"/>
              </w:rPr>
            </w:pPr>
            <w:r w:rsidRPr="00CD7FAA">
              <w:rPr>
                <w:color w:val="000000" w:themeColor="text1"/>
                <w:szCs w:val="24"/>
              </w:rPr>
              <w:t>0.0415174</w:t>
            </w:r>
          </w:p>
        </w:tc>
        <w:tc>
          <w:tcPr>
            <w:tcW w:w="838" w:type="pct"/>
            <w:noWrap/>
            <w:vAlign w:val="center"/>
          </w:tcPr>
          <w:p w14:paraId="3D910E75" w14:textId="77777777" w:rsidR="006D4FA7" w:rsidRPr="00CD7FAA" w:rsidRDefault="006D4FA7" w:rsidP="00DF50D7">
            <w:pPr>
              <w:ind w:right="-374" w:firstLine="284"/>
              <w:rPr>
                <w:color w:val="000000" w:themeColor="text1"/>
                <w:szCs w:val="24"/>
              </w:rPr>
            </w:pPr>
            <w:r w:rsidRPr="00CD7FAA">
              <w:rPr>
                <w:color w:val="000000" w:themeColor="text1"/>
                <w:szCs w:val="24"/>
              </w:rPr>
              <w:t>0.1994941</w:t>
            </w:r>
          </w:p>
        </w:tc>
      </w:tr>
      <w:tr w:rsidR="006D4FA7" w:rsidRPr="00CD7FAA" w14:paraId="1F54DF28" w14:textId="77777777" w:rsidTr="00DF50D7">
        <w:trPr>
          <w:trHeight w:val="316"/>
        </w:trPr>
        <w:tc>
          <w:tcPr>
            <w:tcW w:w="1050" w:type="pct"/>
            <w:vAlign w:val="center"/>
            <w:hideMark/>
          </w:tcPr>
          <w:p w14:paraId="56264DF2" w14:textId="0F464147" w:rsidR="006D4FA7" w:rsidRPr="00CD7FAA" w:rsidRDefault="003603B2" w:rsidP="002B369B">
            <w:pPr>
              <w:rPr>
                <w:color w:val="000000" w:themeColor="text1"/>
                <w:szCs w:val="24"/>
              </w:rPr>
            </w:pPr>
            <w:r w:rsidRPr="00CD7FAA">
              <w:rPr>
                <w:color w:val="000000" w:themeColor="text1"/>
                <w:szCs w:val="24"/>
              </w:rPr>
              <w:t>REGION DENSITY</w:t>
            </w:r>
          </w:p>
        </w:tc>
        <w:tc>
          <w:tcPr>
            <w:tcW w:w="790" w:type="pct"/>
            <w:noWrap/>
            <w:vAlign w:val="center"/>
          </w:tcPr>
          <w:p w14:paraId="16891123" w14:textId="77777777" w:rsidR="006D4FA7" w:rsidRPr="00CD7FAA" w:rsidRDefault="006D4FA7" w:rsidP="00DF50D7">
            <w:pPr>
              <w:ind w:firstLine="284"/>
              <w:rPr>
                <w:color w:val="000000" w:themeColor="text1"/>
                <w:szCs w:val="24"/>
              </w:rPr>
            </w:pPr>
            <w:r w:rsidRPr="00CD7FAA">
              <w:rPr>
                <w:color w:val="000000" w:themeColor="text1"/>
                <w:szCs w:val="24"/>
              </w:rPr>
              <w:t>7,575</w:t>
            </w:r>
          </w:p>
        </w:tc>
        <w:tc>
          <w:tcPr>
            <w:tcW w:w="774" w:type="pct"/>
            <w:noWrap/>
            <w:vAlign w:val="center"/>
          </w:tcPr>
          <w:p w14:paraId="236330F3" w14:textId="77777777" w:rsidR="006D4FA7" w:rsidRPr="00CD7FAA" w:rsidRDefault="006D4FA7" w:rsidP="00DF50D7">
            <w:pPr>
              <w:ind w:right="-55" w:firstLine="284"/>
              <w:rPr>
                <w:color w:val="000000" w:themeColor="text1"/>
                <w:szCs w:val="24"/>
              </w:rPr>
            </w:pPr>
            <w:r w:rsidRPr="00CD7FAA">
              <w:rPr>
                <w:color w:val="000000" w:themeColor="text1"/>
                <w:szCs w:val="24"/>
              </w:rPr>
              <w:t xml:space="preserve">0.54 </w:t>
            </w:r>
          </w:p>
        </w:tc>
        <w:tc>
          <w:tcPr>
            <w:tcW w:w="709" w:type="pct"/>
            <w:noWrap/>
            <w:vAlign w:val="center"/>
          </w:tcPr>
          <w:p w14:paraId="2F59ADD3" w14:textId="77777777" w:rsidR="006D4FA7" w:rsidRPr="00CD7FAA" w:rsidRDefault="006D4FA7" w:rsidP="00DF50D7">
            <w:pPr>
              <w:ind w:firstLine="284"/>
              <w:rPr>
                <w:color w:val="000000" w:themeColor="text1"/>
                <w:szCs w:val="24"/>
              </w:rPr>
            </w:pPr>
            <w:r w:rsidRPr="00CD7FAA">
              <w:rPr>
                <w:color w:val="000000" w:themeColor="text1"/>
                <w:szCs w:val="24"/>
              </w:rPr>
              <w:t xml:space="preserve">112.24 </w:t>
            </w:r>
          </w:p>
        </w:tc>
        <w:tc>
          <w:tcPr>
            <w:tcW w:w="838" w:type="pct"/>
            <w:noWrap/>
            <w:vAlign w:val="center"/>
          </w:tcPr>
          <w:p w14:paraId="1E6E3F70" w14:textId="77777777" w:rsidR="006D4FA7" w:rsidRPr="00CD7FAA" w:rsidRDefault="006D4FA7" w:rsidP="00DF50D7">
            <w:pPr>
              <w:ind w:right="-430" w:firstLine="284"/>
              <w:rPr>
                <w:color w:val="000000" w:themeColor="text1"/>
                <w:szCs w:val="24"/>
              </w:rPr>
            </w:pPr>
            <w:r w:rsidRPr="00CD7FAA">
              <w:rPr>
                <w:color w:val="000000" w:themeColor="text1"/>
                <w:szCs w:val="24"/>
              </w:rPr>
              <w:t>6.083564</w:t>
            </w:r>
          </w:p>
        </w:tc>
        <w:tc>
          <w:tcPr>
            <w:tcW w:w="838" w:type="pct"/>
            <w:noWrap/>
            <w:vAlign w:val="center"/>
          </w:tcPr>
          <w:p w14:paraId="06845F9E" w14:textId="77777777" w:rsidR="006D4FA7" w:rsidRPr="00CD7FAA" w:rsidRDefault="006D4FA7" w:rsidP="00DF50D7">
            <w:pPr>
              <w:ind w:right="-374" w:firstLine="284"/>
              <w:rPr>
                <w:color w:val="000000" w:themeColor="text1"/>
                <w:szCs w:val="24"/>
              </w:rPr>
            </w:pPr>
            <w:r w:rsidRPr="00CD7FAA">
              <w:rPr>
                <w:color w:val="000000" w:themeColor="text1"/>
                <w:szCs w:val="24"/>
              </w:rPr>
              <w:t>15.67485</w:t>
            </w:r>
          </w:p>
        </w:tc>
      </w:tr>
      <w:tr w:rsidR="006D4FA7" w:rsidRPr="00CD7FAA" w14:paraId="755D709F" w14:textId="77777777" w:rsidTr="00DF50D7">
        <w:trPr>
          <w:trHeight w:val="316"/>
        </w:trPr>
        <w:tc>
          <w:tcPr>
            <w:tcW w:w="1050" w:type="pct"/>
            <w:vAlign w:val="center"/>
            <w:hideMark/>
          </w:tcPr>
          <w:p w14:paraId="1601C232" w14:textId="3ABEA19F" w:rsidR="006D4FA7" w:rsidRPr="00CD7FAA" w:rsidRDefault="003603B2" w:rsidP="002B369B">
            <w:pPr>
              <w:rPr>
                <w:color w:val="000000" w:themeColor="text1"/>
                <w:szCs w:val="24"/>
              </w:rPr>
            </w:pPr>
            <w:r w:rsidRPr="00CD7FAA">
              <w:rPr>
                <w:color w:val="000000" w:themeColor="text1"/>
                <w:szCs w:val="24"/>
              </w:rPr>
              <w:t>HIGHER EDUCATION REGION</w:t>
            </w:r>
          </w:p>
        </w:tc>
        <w:tc>
          <w:tcPr>
            <w:tcW w:w="790" w:type="pct"/>
            <w:noWrap/>
            <w:vAlign w:val="center"/>
          </w:tcPr>
          <w:p w14:paraId="5C83C8A3" w14:textId="77777777" w:rsidR="006D4FA7" w:rsidRPr="00CD7FAA" w:rsidRDefault="006D4FA7" w:rsidP="00DF50D7">
            <w:pPr>
              <w:ind w:firstLine="284"/>
              <w:rPr>
                <w:color w:val="000000" w:themeColor="text1"/>
                <w:szCs w:val="24"/>
              </w:rPr>
            </w:pPr>
            <w:r w:rsidRPr="00CD7FAA">
              <w:rPr>
                <w:color w:val="000000" w:themeColor="text1"/>
                <w:szCs w:val="24"/>
              </w:rPr>
              <w:t>9,490</w:t>
            </w:r>
          </w:p>
        </w:tc>
        <w:tc>
          <w:tcPr>
            <w:tcW w:w="774" w:type="pct"/>
            <w:noWrap/>
            <w:vAlign w:val="center"/>
          </w:tcPr>
          <w:p w14:paraId="46B4F233" w14:textId="77777777" w:rsidR="006D4FA7" w:rsidRPr="00CD7FAA" w:rsidRDefault="006D4FA7" w:rsidP="00DF50D7">
            <w:pPr>
              <w:ind w:right="-55" w:firstLine="284"/>
              <w:rPr>
                <w:color w:val="000000" w:themeColor="text1"/>
                <w:szCs w:val="24"/>
              </w:rPr>
            </w:pPr>
            <w:r w:rsidRPr="00CD7FAA">
              <w:rPr>
                <w:color w:val="000000" w:themeColor="text1"/>
                <w:szCs w:val="24"/>
              </w:rPr>
              <w:t xml:space="preserve">11.1 </w:t>
            </w:r>
          </w:p>
        </w:tc>
        <w:tc>
          <w:tcPr>
            <w:tcW w:w="709" w:type="pct"/>
            <w:noWrap/>
            <w:vAlign w:val="center"/>
          </w:tcPr>
          <w:p w14:paraId="26BC7854" w14:textId="77777777" w:rsidR="006D4FA7" w:rsidRPr="00CD7FAA" w:rsidRDefault="006D4FA7" w:rsidP="00DF50D7">
            <w:pPr>
              <w:ind w:firstLine="284"/>
              <w:rPr>
                <w:color w:val="000000" w:themeColor="text1"/>
                <w:szCs w:val="24"/>
              </w:rPr>
            </w:pPr>
            <w:r w:rsidRPr="00CD7FAA">
              <w:rPr>
                <w:color w:val="000000" w:themeColor="text1"/>
                <w:szCs w:val="24"/>
              </w:rPr>
              <w:t xml:space="preserve">36.1 </w:t>
            </w:r>
          </w:p>
        </w:tc>
        <w:tc>
          <w:tcPr>
            <w:tcW w:w="838" w:type="pct"/>
            <w:noWrap/>
            <w:vAlign w:val="center"/>
          </w:tcPr>
          <w:p w14:paraId="2760F447" w14:textId="77777777" w:rsidR="006D4FA7" w:rsidRPr="00CD7FAA" w:rsidRDefault="006D4FA7" w:rsidP="00DF50D7">
            <w:pPr>
              <w:ind w:right="-430" w:firstLine="284"/>
              <w:rPr>
                <w:color w:val="000000" w:themeColor="text1"/>
                <w:szCs w:val="24"/>
              </w:rPr>
            </w:pPr>
            <w:r w:rsidRPr="00CD7FAA">
              <w:rPr>
                <w:color w:val="000000" w:themeColor="text1"/>
                <w:szCs w:val="24"/>
              </w:rPr>
              <w:t>17.06889</w:t>
            </w:r>
          </w:p>
        </w:tc>
        <w:tc>
          <w:tcPr>
            <w:tcW w:w="838" w:type="pct"/>
            <w:noWrap/>
            <w:vAlign w:val="center"/>
          </w:tcPr>
          <w:p w14:paraId="4D87FF64" w14:textId="77777777" w:rsidR="006D4FA7" w:rsidRPr="00CD7FAA" w:rsidRDefault="006D4FA7" w:rsidP="00DF50D7">
            <w:pPr>
              <w:ind w:right="-374" w:firstLine="284"/>
              <w:rPr>
                <w:color w:val="000000" w:themeColor="text1"/>
                <w:szCs w:val="24"/>
              </w:rPr>
            </w:pPr>
            <w:r w:rsidRPr="00CD7FAA">
              <w:rPr>
                <w:color w:val="000000" w:themeColor="text1"/>
                <w:szCs w:val="24"/>
              </w:rPr>
              <w:t>2.961109</w:t>
            </w:r>
          </w:p>
        </w:tc>
      </w:tr>
      <w:tr w:rsidR="006D4FA7" w:rsidRPr="00CD7FAA" w14:paraId="5E8461B3" w14:textId="77777777" w:rsidTr="00DF50D7">
        <w:trPr>
          <w:trHeight w:val="316"/>
        </w:trPr>
        <w:tc>
          <w:tcPr>
            <w:tcW w:w="1050" w:type="pct"/>
            <w:vAlign w:val="center"/>
          </w:tcPr>
          <w:p w14:paraId="1CB6870A" w14:textId="03665663" w:rsidR="006D4FA7" w:rsidRPr="00CD7FAA" w:rsidRDefault="003603B2" w:rsidP="002B369B">
            <w:pPr>
              <w:rPr>
                <w:color w:val="000000" w:themeColor="text1"/>
                <w:szCs w:val="24"/>
              </w:rPr>
            </w:pPr>
            <w:r w:rsidRPr="00CD7FAA">
              <w:rPr>
                <w:color w:val="000000" w:themeColor="text1"/>
                <w:szCs w:val="24"/>
              </w:rPr>
              <w:t>REGION R&amp;D EMPLOYEES</w:t>
            </w:r>
          </w:p>
        </w:tc>
        <w:tc>
          <w:tcPr>
            <w:tcW w:w="790" w:type="pct"/>
            <w:noWrap/>
            <w:vAlign w:val="center"/>
          </w:tcPr>
          <w:p w14:paraId="2167471A" w14:textId="77777777" w:rsidR="006D4FA7" w:rsidRPr="00CD7FAA" w:rsidRDefault="006D4FA7" w:rsidP="00DF50D7">
            <w:pPr>
              <w:ind w:firstLine="284"/>
              <w:rPr>
                <w:color w:val="000000" w:themeColor="text1"/>
                <w:szCs w:val="24"/>
              </w:rPr>
            </w:pPr>
            <w:r w:rsidRPr="00CD7FAA">
              <w:rPr>
                <w:color w:val="000000" w:themeColor="text1"/>
                <w:szCs w:val="24"/>
              </w:rPr>
              <w:t>9,190</w:t>
            </w:r>
          </w:p>
        </w:tc>
        <w:tc>
          <w:tcPr>
            <w:tcW w:w="774" w:type="pct"/>
            <w:noWrap/>
            <w:vAlign w:val="center"/>
          </w:tcPr>
          <w:p w14:paraId="121F7A54" w14:textId="77777777" w:rsidR="006D4FA7" w:rsidRPr="00CD7FAA" w:rsidRDefault="006D4FA7" w:rsidP="00DF50D7">
            <w:pPr>
              <w:ind w:right="-55" w:firstLine="284"/>
              <w:rPr>
                <w:color w:val="000000" w:themeColor="text1"/>
                <w:szCs w:val="24"/>
              </w:rPr>
            </w:pPr>
            <w:r w:rsidRPr="00CD7FAA">
              <w:rPr>
                <w:color w:val="000000" w:themeColor="text1"/>
                <w:szCs w:val="24"/>
              </w:rPr>
              <w:t xml:space="preserve">38.1 </w:t>
            </w:r>
          </w:p>
        </w:tc>
        <w:tc>
          <w:tcPr>
            <w:tcW w:w="709" w:type="pct"/>
            <w:noWrap/>
            <w:vAlign w:val="center"/>
          </w:tcPr>
          <w:p w14:paraId="5CA49FBD" w14:textId="77777777" w:rsidR="006D4FA7" w:rsidRPr="00CD7FAA" w:rsidRDefault="006D4FA7" w:rsidP="00DF50D7">
            <w:pPr>
              <w:ind w:firstLine="284"/>
              <w:rPr>
                <w:color w:val="000000" w:themeColor="text1"/>
                <w:szCs w:val="24"/>
              </w:rPr>
            </w:pPr>
            <w:r w:rsidRPr="00CD7FAA">
              <w:rPr>
                <w:color w:val="000000" w:themeColor="text1"/>
                <w:szCs w:val="24"/>
              </w:rPr>
              <w:t xml:space="preserve">430.6 </w:t>
            </w:r>
          </w:p>
        </w:tc>
        <w:tc>
          <w:tcPr>
            <w:tcW w:w="838" w:type="pct"/>
            <w:noWrap/>
            <w:vAlign w:val="center"/>
          </w:tcPr>
          <w:p w14:paraId="3290EA7B" w14:textId="77777777" w:rsidR="006D4FA7" w:rsidRPr="00CD7FAA" w:rsidRDefault="006D4FA7" w:rsidP="00DF50D7">
            <w:pPr>
              <w:ind w:right="-430" w:firstLine="284"/>
              <w:rPr>
                <w:color w:val="000000" w:themeColor="text1"/>
                <w:szCs w:val="24"/>
              </w:rPr>
            </w:pPr>
            <w:r w:rsidRPr="00CD7FAA">
              <w:rPr>
                <w:color w:val="000000" w:themeColor="text1"/>
                <w:szCs w:val="24"/>
              </w:rPr>
              <w:t>223.8266</w:t>
            </w:r>
          </w:p>
        </w:tc>
        <w:tc>
          <w:tcPr>
            <w:tcW w:w="838" w:type="pct"/>
            <w:noWrap/>
            <w:vAlign w:val="center"/>
          </w:tcPr>
          <w:p w14:paraId="7C803BD5" w14:textId="77777777" w:rsidR="006D4FA7" w:rsidRPr="00CD7FAA" w:rsidRDefault="006D4FA7" w:rsidP="00DF50D7">
            <w:pPr>
              <w:ind w:right="-374" w:firstLine="284"/>
              <w:rPr>
                <w:color w:val="000000" w:themeColor="text1"/>
                <w:szCs w:val="24"/>
              </w:rPr>
            </w:pPr>
            <w:r w:rsidRPr="00CD7FAA">
              <w:rPr>
                <w:color w:val="000000" w:themeColor="text1"/>
                <w:szCs w:val="24"/>
              </w:rPr>
              <w:t>103.2297</w:t>
            </w:r>
          </w:p>
        </w:tc>
      </w:tr>
      <w:tr w:rsidR="006D4FA7" w:rsidRPr="00CD7FAA" w14:paraId="6B3A42A1" w14:textId="77777777" w:rsidTr="00DF50D7">
        <w:trPr>
          <w:trHeight w:val="316"/>
        </w:trPr>
        <w:tc>
          <w:tcPr>
            <w:tcW w:w="1050" w:type="pct"/>
            <w:vAlign w:val="center"/>
          </w:tcPr>
          <w:p w14:paraId="17A4EBAB" w14:textId="305050BC" w:rsidR="006D4FA7" w:rsidRPr="00CD7FAA" w:rsidRDefault="003603B2" w:rsidP="002B369B">
            <w:pPr>
              <w:rPr>
                <w:color w:val="000000" w:themeColor="text1"/>
                <w:szCs w:val="24"/>
              </w:rPr>
            </w:pPr>
            <w:r w:rsidRPr="00CD7FAA">
              <w:rPr>
                <w:color w:val="000000" w:themeColor="text1"/>
                <w:szCs w:val="24"/>
              </w:rPr>
              <w:t>VENTURE CAPITAL REGION</w:t>
            </w:r>
          </w:p>
        </w:tc>
        <w:tc>
          <w:tcPr>
            <w:tcW w:w="790" w:type="pct"/>
            <w:noWrap/>
            <w:vAlign w:val="center"/>
          </w:tcPr>
          <w:p w14:paraId="2CF1B838" w14:textId="77777777" w:rsidR="006D4FA7" w:rsidRPr="00CD7FAA" w:rsidRDefault="006D4FA7" w:rsidP="00DF50D7">
            <w:pPr>
              <w:ind w:firstLine="284"/>
              <w:rPr>
                <w:color w:val="000000" w:themeColor="text1"/>
                <w:szCs w:val="24"/>
              </w:rPr>
            </w:pPr>
            <w:r w:rsidRPr="00CD7FAA">
              <w:rPr>
                <w:color w:val="000000" w:themeColor="text1"/>
                <w:szCs w:val="24"/>
              </w:rPr>
              <w:t>9,490</w:t>
            </w:r>
          </w:p>
        </w:tc>
        <w:tc>
          <w:tcPr>
            <w:tcW w:w="774" w:type="pct"/>
            <w:noWrap/>
            <w:vAlign w:val="center"/>
          </w:tcPr>
          <w:p w14:paraId="5034FF8E" w14:textId="77777777" w:rsidR="006D4FA7" w:rsidRPr="00CD7FAA" w:rsidRDefault="006D4FA7" w:rsidP="00DF50D7">
            <w:pPr>
              <w:ind w:right="-55" w:firstLine="284"/>
              <w:rPr>
                <w:color w:val="000000" w:themeColor="text1"/>
                <w:szCs w:val="24"/>
              </w:rPr>
            </w:pPr>
            <w:r w:rsidRPr="00CD7FAA">
              <w:rPr>
                <w:color w:val="000000" w:themeColor="text1"/>
                <w:szCs w:val="24"/>
              </w:rPr>
              <w:t xml:space="preserve">0 </w:t>
            </w:r>
          </w:p>
        </w:tc>
        <w:tc>
          <w:tcPr>
            <w:tcW w:w="709" w:type="pct"/>
            <w:noWrap/>
            <w:vAlign w:val="center"/>
          </w:tcPr>
          <w:p w14:paraId="1C3CC1CE" w14:textId="77777777" w:rsidR="006D4FA7" w:rsidRPr="00CD7FAA" w:rsidRDefault="006D4FA7" w:rsidP="00DF50D7">
            <w:pPr>
              <w:ind w:firstLine="284"/>
              <w:rPr>
                <w:color w:val="000000" w:themeColor="text1"/>
                <w:szCs w:val="24"/>
              </w:rPr>
            </w:pPr>
            <w:r w:rsidRPr="00CD7FAA">
              <w:rPr>
                <w:color w:val="000000" w:themeColor="text1"/>
                <w:szCs w:val="24"/>
              </w:rPr>
              <w:t xml:space="preserve">464 </w:t>
            </w:r>
          </w:p>
        </w:tc>
        <w:tc>
          <w:tcPr>
            <w:tcW w:w="838" w:type="pct"/>
            <w:noWrap/>
            <w:vAlign w:val="center"/>
          </w:tcPr>
          <w:p w14:paraId="61E3BFCB" w14:textId="77777777" w:rsidR="006D4FA7" w:rsidRPr="00CD7FAA" w:rsidRDefault="006D4FA7" w:rsidP="00DF50D7">
            <w:pPr>
              <w:ind w:right="-430" w:firstLine="284"/>
              <w:rPr>
                <w:color w:val="000000" w:themeColor="text1"/>
                <w:szCs w:val="24"/>
              </w:rPr>
            </w:pPr>
            <w:r w:rsidRPr="00CD7FAA">
              <w:rPr>
                <w:color w:val="000000" w:themeColor="text1"/>
                <w:szCs w:val="24"/>
              </w:rPr>
              <w:t>115.4659</w:t>
            </w:r>
          </w:p>
        </w:tc>
        <w:tc>
          <w:tcPr>
            <w:tcW w:w="838" w:type="pct"/>
            <w:noWrap/>
            <w:vAlign w:val="center"/>
          </w:tcPr>
          <w:p w14:paraId="7941C548" w14:textId="77777777" w:rsidR="006D4FA7" w:rsidRPr="00CD7FAA" w:rsidRDefault="006D4FA7" w:rsidP="00DF50D7">
            <w:pPr>
              <w:ind w:right="-374" w:firstLine="284"/>
              <w:rPr>
                <w:color w:val="000000" w:themeColor="text1"/>
                <w:szCs w:val="24"/>
              </w:rPr>
            </w:pPr>
            <w:r w:rsidRPr="00CD7FAA">
              <w:rPr>
                <w:color w:val="000000" w:themeColor="text1"/>
                <w:szCs w:val="24"/>
              </w:rPr>
              <w:t>137.957</w:t>
            </w:r>
          </w:p>
        </w:tc>
      </w:tr>
      <w:tr w:rsidR="006D4FA7" w:rsidRPr="00CD7FAA" w14:paraId="13312A64" w14:textId="77777777" w:rsidTr="00DF50D7">
        <w:trPr>
          <w:trHeight w:val="316"/>
        </w:trPr>
        <w:tc>
          <w:tcPr>
            <w:tcW w:w="1050" w:type="pct"/>
            <w:tcBorders>
              <w:bottom w:val="single" w:sz="4" w:space="0" w:color="auto"/>
            </w:tcBorders>
            <w:vAlign w:val="center"/>
          </w:tcPr>
          <w:p w14:paraId="351B14D9" w14:textId="341A1816" w:rsidR="006D4FA7" w:rsidRPr="00CD7FAA" w:rsidRDefault="003603B2" w:rsidP="002B369B">
            <w:pPr>
              <w:rPr>
                <w:color w:val="000000" w:themeColor="text1"/>
                <w:szCs w:val="24"/>
              </w:rPr>
            </w:pPr>
            <w:r w:rsidRPr="00CD7FAA">
              <w:rPr>
                <w:color w:val="000000" w:themeColor="text1"/>
                <w:szCs w:val="24"/>
              </w:rPr>
              <w:t>COMPANIES INNOVATIVE REGION</w:t>
            </w:r>
          </w:p>
        </w:tc>
        <w:tc>
          <w:tcPr>
            <w:tcW w:w="790" w:type="pct"/>
            <w:tcBorders>
              <w:bottom w:val="single" w:sz="4" w:space="0" w:color="auto"/>
            </w:tcBorders>
            <w:noWrap/>
            <w:vAlign w:val="center"/>
          </w:tcPr>
          <w:p w14:paraId="6AFB9422" w14:textId="77777777" w:rsidR="006D4FA7" w:rsidRPr="00CD7FAA" w:rsidRDefault="006D4FA7" w:rsidP="00DF50D7">
            <w:pPr>
              <w:ind w:firstLine="284"/>
              <w:rPr>
                <w:color w:val="000000" w:themeColor="text1"/>
                <w:szCs w:val="24"/>
              </w:rPr>
            </w:pPr>
            <w:r w:rsidRPr="00CD7FAA">
              <w:rPr>
                <w:color w:val="000000" w:themeColor="text1"/>
                <w:szCs w:val="24"/>
              </w:rPr>
              <w:t>9,490</w:t>
            </w:r>
          </w:p>
        </w:tc>
        <w:tc>
          <w:tcPr>
            <w:tcW w:w="774" w:type="pct"/>
            <w:tcBorders>
              <w:bottom w:val="single" w:sz="4" w:space="0" w:color="auto"/>
            </w:tcBorders>
            <w:noWrap/>
            <w:vAlign w:val="center"/>
          </w:tcPr>
          <w:p w14:paraId="506ECB3F" w14:textId="77777777" w:rsidR="006D4FA7" w:rsidRPr="00CD7FAA" w:rsidRDefault="006D4FA7" w:rsidP="00DF50D7">
            <w:pPr>
              <w:ind w:right="-55" w:firstLine="284"/>
              <w:rPr>
                <w:color w:val="000000" w:themeColor="text1"/>
                <w:szCs w:val="24"/>
              </w:rPr>
            </w:pPr>
            <w:r w:rsidRPr="00CD7FAA">
              <w:rPr>
                <w:color w:val="000000" w:themeColor="text1"/>
                <w:szCs w:val="24"/>
              </w:rPr>
              <w:t xml:space="preserve">4.682131 </w:t>
            </w:r>
          </w:p>
        </w:tc>
        <w:tc>
          <w:tcPr>
            <w:tcW w:w="709" w:type="pct"/>
            <w:tcBorders>
              <w:bottom w:val="single" w:sz="4" w:space="0" w:color="auto"/>
            </w:tcBorders>
            <w:noWrap/>
            <w:vAlign w:val="center"/>
          </w:tcPr>
          <w:p w14:paraId="45780322" w14:textId="77777777" w:rsidR="006D4FA7" w:rsidRPr="00CD7FAA" w:rsidRDefault="006D4FA7" w:rsidP="00DF50D7">
            <w:pPr>
              <w:ind w:firstLine="284"/>
              <w:rPr>
                <w:color w:val="000000" w:themeColor="text1"/>
                <w:szCs w:val="24"/>
              </w:rPr>
            </w:pPr>
            <w:r w:rsidRPr="00CD7FAA">
              <w:rPr>
                <w:color w:val="000000" w:themeColor="text1"/>
                <w:szCs w:val="24"/>
              </w:rPr>
              <w:t xml:space="preserve">9.95123 </w:t>
            </w:r>
          </w:p>
        </w:tc>
        <w:tc>
          <w:tcPr>
            <w:tcW w:w="838" w:type="pct"/>
            <w:tcBorders>
              <w:bottom w:val="single" w:sz="4" w:space="0" w:color="auto"/>
            </w:tcBorders>
            <w:noWrap/>
            <w:vAlign w:val="center"/>
          </w:tcPr>
          <w:p w14:paraId="281D01A0" w14:textId="77777777" w:rsidR="006D4FA7" w:rsidRPr="00CD7FAA" w:rsidRDefault="006D4FA7" w:rsidP="00DF50D7">
            <w:pPr>
              <w:ind w:right="-430" w:firstLine="284"/>
              <w:rPr>
                <w:color w:val="000000" w:themeColor="text1"/>
                <w:szCs w:val="24"/>
              </w:rPr>
            </w:pPr>
            <w:r w:rsidRPr="00CD7FAA">
              <w:rPr>
                <w:color w:val="000000" w:themeColor="text1"/>
                <w:szCs w:val="24"/>
              </w:rPr>
              <w:t>8.479181</w:t>
            </w:r>
          </w:p>
        </w:tc>
        <w:tc>
          <w:tcPr>
            <w:tcW w:w="838" w:type="pct"/>
            <w:tcBorders>
              <w:bottom w:val="single" w:sz="4" w:space="0" w:color="auto"/>
            </w:tcBorders>
            <w:noWrap/>
            <w:vAlign w:val="center"/>
          </w:tcPr>
          <w:p w14:paraId="7BD41B88" w14:textId="77777777" w:rsidR="006D4FA7" w:rsidRPr="00CD7FAA" w:rsidRDefault="006D4FA7" w:rsidP="00DF50D7">
            <w:pPr>
              <w:ind w:right="-374" w:firstLine="284"/>
              <w:rPr>
                <w:color w:val="000000" w:themeColor="text1"/>
                <w:szCs w:val="24"/>
              </w:rPr>
            </w:pPr>
            <w:r w:rsidRPr="00CD7FAA">
              <w:rPr>
                <w:color w:val="000000" w:themeColor="text1"/>
                <w:szCs w:val="24"/>
              </w:rPr>
              <w:t>0.9366398</w:t>
            </w:r>
          </w:p>
        </w:tc>
      </w:tr>
    </w:tbl>
    <w:p w14:paraId="785677A5" w14:textId="77777777" w:rsidR="00F7401C" w:rsidRPr="00CD7FAA" w:rsidRDefault="00F7401C" w:rsidP="00F7401C">
      <w:pPr>
        <w:rPr>
          <w:szCs w:val="24"/>
          <w:lang w:val="en-GB"/>
        </w:rPr>
      </w:pPr>
    </w:p>
    <w:p w14:paraId="3E54D525" w14:textId="77777777" w:rsidR="00F7401C" w:rsidRPr="00CD7FAA" w:rsidRDefault="00F7401C" w:rsidP="00F7401C">
      <w:pPr>
        <w:rPr>
          <w:szCs w:val="24"/>
          <w:lang w:val="en-GB"/>
        </w:rPr>
      </w:pPr>
    </w:p>
    <w:p w14:paraId="5ABFCBC7" w14:textId="775153F0" w:rsidR="00A947A2" w:rsidRPr="00CD7FAA" w:rsidRDefault="00F7401C" w:rsidP="006A131F">
      <w:pPr>
        <w:pStyle w:val="Paragrafoelenco"/>
        <w:numPr>
          <w:ilvl w:val="1"/>
          <w:numId w:val="16"/>
        </w:numPr>
        <w:rPr>
          <w:b/>
          <w:szCs w:val="30"/>
          <w:lang w:val="en-GB"/>
        </w:rPr>
      </w:pPr>
      <w:r w:rsidRPr="00CD7FAA">
        <w:rPr>
          <w:lang w:val="en-GB"/>
        </w:rPr>
        <w:t xml:space="preserve"> </w:t>
      </w:r>
      <w:r w:rsidR="006A131F" w:rsidRPr="00CD7FAA">
        <w:rPr>
          <w:b/>
          <w:szCs w:val="30"/>
          <w:lang w:val="en-GB"/>
        </w:rPr>
        <w:t xml:space="preserve">Estimation of </w:t>
      </w:r>
      <w:r w:rsidR="0001178E" w:rsidRPr="00CD7FAA">
        <w:rPr>
          <w:b/>
          <w:szCs w:val="30"/>
          <w:lang w:val="en-GB"/>
        </w:rPr>
        <w:t>linear mixed</w:t>
      </w:r>
      <w:r w:rsidR="006A131F" w:rsidRPr="00CD7FAA">
        <w:rPr>
          <w:b/>
          <w:szCs w:val="30"/>
          <w:lang w:val="en-GB"/>
        </w:rPr>
        <w:t xml:space="preserve"> model</w:t>
      </w:r>
      <w:r w:rsidR="0001178E" w:rsidRPr="00CD7FAA">
        <w:rPr>
          <w:b/>
          <w:szCs w:val="30"/>
          <w:lang w:val="en-GB"/>
        </w:rPr>
        <w:t>s</w:t>
      </w:r>
      <w:r w:rsidR="006A131F" w:rsidRPr="00CD7FAA">
        <w:rPr>
          <w:b/>
          <w:szCs w:val="30"/>
          <w:lang w:val="en-GB"/>
        </w:rPr>
        <w:t xml:space="preserve"> </w:t>
      </w:r>
    </w:p>
    <w:p w14:paraId="18953244" w14:textId="77777777" w:rsidR="00F85AF5" w:rsidRPr="00CD7FAA" w:rsidRDefault="00F85AF5" w:rsidP="00F85AF5">
      <w:pPr>
        <w:rPr>
          <w:color w:val="000000" w:themeColor="text1"/>
          <w:szCs w:val="24"/>
        </w:rPr>
      </w:pPr>
      <w:r w:rsidRPr="00CD7FAA">
        <w:rPr>
          <w:color w:val="000000" w:themeColor="text1"/>
          <w:szCs w:val="24"/>
        </w:rPr>
        <w:lastRenderedPageBreak/>
        <w:t>Table 2 shows the results of the Model (1), Model (2) and Model (3) in order to evaluate the impact of university spin-offs on regional competitiveness.</w:t>
      </w:r>
    </w:p>
    <w:p w14:paraId="2EB61BF8" w14:textId="77777777" w:rsidR="00F85AF5" w:rsidRPr="00CD7FAA" w:rsidRDefault="00F85AF5" w:rsidP="00F85AF5">
      <w:pPr>
        <w:rPr>
          <w:color w:val="000000" w:themeColor="text1"/>
          <w:szCs w:val="24"/>
        </w:rPr>
      </w:pPr>
      <w:r w:rsidRPr="00CD7FAA">
        <w:rPr>
          <w:color w:val="000000" w:themeColor="text1"/>
          <w:szCs w:val="24"/>
        </w:rPr>
        <w:t>In Model (2), which predicts the effect of the number of university spin-offs on regional GDP per capita, the coefficient estimated on the variable NUMBER SPIN-OFF is positive and statistically significant (column ii, coeff. = 50.40646, p &lt; 0.001). Instead, in Model (3), which predicts the effect of the innovative degree of university spin-offs in terms of patenting on regional GDP per capita, the coefficient estimated on the SPIN-OFF PATENT variable is negative and not statically significant.</w:t>
      </w:r>
    </w:p>
    <w:p w14:paraId="1B5BB497" w14:textId="77777777" w:rsidR="00F85AF5" w:rsidRPr="00CD7FAA" w:rsidRDefault="00F85AF5" w:rsidP="00F85AF5">
      <w:pPr>
        <w:ind w:firstLine="284"/>
        <w:rPr>
          <w:color w:val="000000" w:themeColor="text1"/>
          <w:szCs w:val="24"/>
        </w:rPr>
      </w:pPr>
    </w:p>
    <w:p w14:paraId="282BC0E0" w14:textId="77777777" w:rsidR="00F85AF5" w:rsidRPr="00CD7FAA" w:rsidRDefault="00F85AF5" w:rsidP="00F85AF5">
      <w:pPr>
        <w:rPr>
          <w:color w:val="000000" w:themeColor="text1"/>
          <w:szCs w:val="24"/>
        </w:rPr>
      </w:pPr>
      <w:r w:rsidRPr="00CD7FAA">
        <w:rPr>
          <w:color w:val="000000" w:themeColor="text1"/>
          <w:szCs w:val="24"/>
        </w:rPr>
        <w:t>In all models (Model (1), Model (2) and Model (3)), the estimated control variables used (DENSITY REGION, HIGHER EDUCATION REGION, R&amp;D EMPLOYEES REGION, VENTURE CAPITAL REGION, INNOVATIVE COMPANIES REGION) show a high statistical significance.</w:t>
      </w:r>
    </w:p>
    <w:p w14:paraId="319317CF" w14:textId="77777777" w:rsidR="00F85AF5" w:rsidRPr="00CD7FAA" w:rsidRDefault="00F85AF5" w:rsidP="00F85AF5">
      <w:pPr>
        <w:rPr>
          <w:color w:val="000000" w:themeColor="text1"/>
          <w:szCs w:val="24"/>
        </w:rPr>
      </w:pPr>
      <w:r w:rsidRPr="00CD7FAA">
        <w:rPr>
          <w:color w:val="000000" w:themeColor="text1"/>
          <w:szCs w:val="24"/>
        </w:rPr>
        <w:t>The results of the estimated models suggest that the presence of university spin-offs partly contributes to determining the competitive advantage of the regions in which they are located. However, the innovative degree of university spin-offs does not contribute to determining the competitive advantage in terms of per capita GDP of the regions in which they are located. This evidence highlights some concerns about the effectiveness of the innovative potential of university spin-offs to improve the level of socio-economic performance at the regional level.</w:t>
      </w:r>
    </w:p>
    <w:p w14:paraId="73053025" w14:textId="77777777" w:rsidR="00F85AF5" w:rsidRPr="00CD7FAA" w:rsidRDefault="00F85AF5" w:rsidP="00F85AF5">
      <w:pPr>
        <w:ind w:firstLine="284"/>
        <w:rPr>
          <w:color w:val="000000" w:themeColor="text1"/>
          <w:szCs w:val="24"/>
        </w:rPr>
      </w:pPr>
    </w:p>
    <w:p w14:paraId="2914F461" w14:textId="77777777" w:rsidR="00F85AF5" w:rsidRPr="00CD7FAA" w:rsidRDefault="00F85AF5" w:rsidP="00F85AF5">
      <w:pPr>
        <w:rPr>
          <w:color w:val="000000" w:themeColor="text1"/>
          <w:szCs w:val="24"/>
        </w:rPr>
      </w:pPr>
      <w:r w:rsidRPr="00CD7FAA">
        <w:rPr>
          <w:color w:val="000000" w:themeColor="text1"/>
          <w:szCs w:val="24"/>
        </w:rPr>
        <w:t>Table 2 shows the results of the Model (4), Model (5) and Model (6) to evaluate the impact of university spin-offs on the innovative degree of the regions measured in terms of patenting activities. In Model (5), which predicts the effect of the number of university spin-offs on the number of patent applications at regional level, the coefficient estimated on the variable NUMBER SPIN-OFF is positive and statistically significant (column ii, coeff. = 1.122843, p &lt;0.001).</w:t>
      </w:r>
    </w:p>
    <w:p w14:paraId="23EFE74F" w14:textId="77777777" w:rsidR="00F85AF5" w:rsidRPr="00CD7FAA" w:rsidRDefault="00F85AF5" w:rsidP="00F85AF5">
      <w:pPr>
        <w:rPr>
          <w:color w:val="000000" w:themeColor="text1"/>
          <w:szCs w:val="24"/>
        </w:rPr>
      </w:pPr>
      <w:r w:rsidRPr="00CD7FAA">
        <w:rPr>
          <w:color w:val="000000" w:themeColor="text1"/>
          <w:szCs w:val="24"/>
        </w:rPr>
        <w:t>In Model (6), which notes the effect of the innovative degree achieved by university spin-offs on the number of patent applications at regional level, the coefficient estimated on the SPIN-OFF PATENT variable is positive and statistically significant (column iii, coeff . = 5.568895, p &lt;0.1).</w:t>
      </w:r>
    </w:p>
    <w:p w14:paraId="458992C6" w14:textId="77777777" w:rsidR="00F85AF5" w:rsidRPr="00CD7FAA" w:rsidRDefault="00F85AF5" w:rsidP="00F85AF5">
      <w:pPr>
        <w:rPr>
          <w:color w:val="000000" w:themeColor="text1"/>
          <w:szCs w:val="24"/>
        </w:rPr>
      </w:pPr>
      <w:r w:rsidRPr="00CD7FAA">
        <w:rPr>
          <w:color w:val="000000" w:themeColor="text1"/>
          <w:szCs w:val="24"/>
        </w:rPr>
        <w:t>It should be noted that this evidence reveal that the presence of university spin-offs and their degree of innovation contribute to determining the innovative performance of the regions in which they are located. This highlights a higher contribution of the spin-offs on the innovation of the regional context rather than on its competitiveness in terms of socio-economic performance.</w:t>
      </w:r>
    </w:p>
    <w:p w14:paraId="531B16D8" w14:textId="77777777" w:rsidR="002129BD" w:rsidRPr="00CD7FAA" w:rsidRDefault="002129BD" w:rsidP="002129BD">
      <w:pPr>
        <w:rPr>
          <w:szCs w:val="24"/>
        </w:rPr>
      </w:pPr>
    </w:p>
    <w:p w14:paraId="22999E43" w14:textId="7CF3BA17" w:rsidR="002129BD" w:rsidRPr="00CD7FAA" w:rsidRDefault="002129BD" w:rsidP="00B33D72">
      <w:pPr>
        <w:pStyle w:val="Tabletitle"/>
        <w:rPr>
          <w:lang w:val="en-GB"/>
        </w:rPr>
      </w:pPr>
      <w:r w:rsidRPr="00CD7FAA">
        <w:rPr>
          <w:lang w:val="en-GB"/>
        </w:rPr>
        <w:t xml:space="preserve">Table </w:t>
      </w:r>
      <w:r w:rsidR="00027413" w:rsidRPr="00CD7FAA">
        <w:rPr>
          <w:lang w:val="en-GB"/>
        </w:rPr>
        <w:t>2</w:t>
      </w:r>
      <w:r w:rsidRPr="00CD7FAA">
        <w:rPr>
          <w:lang w:val="en-GB"/>
        </w:rPr>
        <w:t xml:space="preserve">: </w:t>
      </w:r>
      <w:r w:rsidR="00027413" w:rsidRPr="00CD7FAA">
        <w:rPr>
          <w:lang w:val="en-GB"/>
        </w:rPr>
        <w:t>Estimation of the</w:t>
      </w:r>
      <w:r w:rsidR="002B369B" w:rsidRPr="00CD7FAA">
        <w:rPr>
          <w:lang w:val="en-GB"/>
        </w:rPr>
        <w:t xml:space="preserve"> linear</w:t>
      </w:r>
      <w:r w:rsidR="00027413" w:rsidRPr="00CD7FAA">
        <w:rPr>
          <w:lang w:val="en-GB"/>
        </w:rPr>
        <w:t xml:space="preserve"> regression model </w:t>
      </w:r>
      <w:r w:rsidR="002B369B" w:rsidRPr="00CD7FAA">
        <w:rPr>
          <w:lang w:val="en-GB"/>
        </w:rPr>
        <w:t>of regional GDP</w:t>
      </w:r>
    </w:p>
    <w:tbl>
      <w:tblPr>
        <w:tblW w:w="5000" w:type="pct"/>
        <w:jc w:val="center"/>
        <w:tblCellMar>
          <w:left w:w="6" w:type="dxa"/>
          <w:right w:w="6" w:type="dxa"/>
        </w:tblCellMar>
        <w:tblLook w:val="04A0" w:firstRow="1" w:lastRow="0" w:firstColumn="1" w:lastColumn="0" w:noHBand="0" w:noVBand="1"/>
      </w:tblPr>
      <w:tblGrid>
        <w:gridCol w:w="2618"/>
        <w:gridCol w:w="1781"/>
        <w:gridCol w:w="1781"/>
        <w:gridCol w:w="1780"/>
      </w:tblGrid>
      <w:tr w:rsidR="009127CA" w:rsidRPr="00CD7FAA" w14:paraId="54763652" w14:textId="77777777" w:rsidTr="00DF50D7">
        <w:trPr>
          <w:jc w:val="center"/>
        </w:trPr>
        <w:tc>
          <w:tcPr>
            <w:tcW w:w="1644" w:type="pct"/>
            <w:tcBorders>
              <w:top w:val="single" w:sz="4" w:space="0" w:color="auto"/>
            </w:tcBorders>
            <w:shd w:val="clear" w:color="auto" w:fill="auto"/>
            <w:vAlign w:val="center"/>
          </w:tcPr>
          <w:p w14:paraId="5360ED1F" w14:textId="77777777" w:rsidR="009127CA" w:rsidRPr="00CD7FAA" w:rsidRDefault="009127CA" w:rsidP="00DF50D7">
            <w:pPr>
              <w:ind w:firstLine="284"/>
              <w:rPr>
                <w:b/>
                <w:bCs/>
                <w:color w:val="000000" w:themeColor="text1"/>
                <w:szCs w:val="24"/>
              </w:rPr>
            </w:pPr>
          </w:p>
        </w:tc>
        <w:tc>
          <w:tcPr>
            <w:tcW w:w="1119" w:type="pct"/>
            <w:tcBorders>
              <w:top w:val="single" w:sz="4" w:space="0" w:color="auto"/>
            </w:tcBorders>
            <w:shd w:val="clear" w:color="auto" w:fill="auto"/>
            <w:vAlign w:val="center"/>
          </w:tcPr>
          <w:p w14:paraId="48759301" w14:textId="77777777" w:rsidR="009127CA" w:rsidRPr="00CD7FAA" w:rsidRDefault="009127CA" w:rsidP="00DF50D7">
            <w:pPr>
              <w:ind w:firstLine="284"/>
              <w:rPr>
                <w:color w:val="000000" w:themeColor="text1"/>
                <w:szCs w:val="24"/>
              </w:rPr>
            </w:pPr>
            <w:r w:rsidRPr="00CD7FAA">
              <w:rPr>
                <w:color w:val="000000" w:themeColor="text1"/>
                <w:szCs w:val="24"/>
              </w:rPr>
              <w:t>Model 1</w:t>
            </w:r>
          </w:p>
        </w:tc>
        <w:tc>
          <w:tcPr>
            <w:tcW w:w="1119" w:type="pct"/>
            <w:tcBorders>
              <w:top w:val="single" w:sz="4" w:space="0" w:color="auto"/>
            </w:tcBorders>
            <w:shd w:val="clear" w:color="auto" w:fill="auto"/>
            <w:vAlign w:val="center"/>
          </w:tcPr>
          <w:p w14:paraId="619577E9" w14:textId="77777777" w:rsidR="009127CA" w:rsidRPr="00CD7FAA" w:rsidRDefault="009127CA" w:rsidP="00DF50D7">
            <w:pPr>
              <w:ind w:firstLine="284"/>
              <w:rPr>
                <w:color w:val="000000" w:themeColor="text1"/>
                <w:szCs w:val="24"/>
              </w:rPr>
            </w:pPr>
            <w:r w:rsidRPr="00CD7FAA">
              <w:rPr>
                <w:color w:val="000000" w:themeColor="text1"/>
                <w:szCs w:val="24"/>
              </w:rPr>
              <w:t>Model 2</w:t>
            </w:r>
          </w:p>
        </w:tc>
        <w:tc>
          <w:tcPr>
            <w:tcW w:w="1118" w:type="pct"/>
            <w:tcBorders>
              <w:top w:val="single" w:sz="4" w:space="0" w:color="auto"/>
            </w:tcBorders>
          </w:tcPr>
          <w:p w14:paraId="3E260AB9" w14:textId="77777777" w:rsidR="009127CA" w:rsidRPr="00CD7FAA" w:rsidRDefault="009127CA" w:rsidP="00DF50D7">
            <w:pPr>
              <w:ind w:firstLine="284"/>
              <w:rPr>
                <w:color w:val="000000" w:themeColor="text1"/>
                <w:szCs w:val="24"/>
              </w:rPr>
            </w:pPr>
            <w:r w:rsidRPr="00CD7FAA">
              <w:rPr>
                <w:color w:val="000000" w:themeColor="text1"/>
                <w:szCs w:val="24"/>
              </w:rPr>
              <w:t>Model 3</w:t>
            </w:r>
          </w:p>
        </w:tc>
      </w:tr>
      <w:tr w:rsidR="009127CA" w:rsidRPr="00CD7FAA" w14:paraId="46B25286" w14:textId="77777777" w:rsidTr="00DF50D7">
        <w:trPr>
          <w:jc w:val="center"/>
        </w:trPr>
        <w:tc>
          <w:tcPr>
            <w:tcW w:w="1644" w:type="pct"/>
            <w:tcBorders>
              <w:bottom w:val="single" w:sz="4" w:space="0" w:color="auto"/>
            </w:tcBorders>
            <w:shd w:val="clear" w:color="auto" w:fill="auto"/>
            <w:tcMar>
              <w:top w:w="57" w:type="dxa"/>
              <w:bottom w:w="57" w:type="dxa"/>
            </w:tcMar>
            <w:vAlign w:val="center"/>
          </w:tcPr>
          <w:p w14:paraId="560EBCD5" w14:textId="77777777" w:rsidR="009127CA" w:rsidRPr="00CD7FAA" w:rsidRDefault="009127CA" w:rsidP="00DF50D7">
            <w:pPr>
              <w:ind w:firstLine="284"/>
              <w:rPr>
                <w:b/>
                <w:bCs/>
                <w:color w:val="000000" w:themeColor="text1"/>
                <w:szCs w:val="24"/>
              </w:rPr>
            </w:pPr>
          </w:p>
        </w:tc>
        <w:tc>
          <w:tcPr>
            <w:tcW w:w="1119" w:type="pct"/>
            <w:tcBorders>
              <w:bottom w:val="single" w:sz="4" w:space="0" w:color="auto"/>
            </w:tcBorders>
            <w:shd w:val="clear" w:color="auto" w:fill="auto"/>
            <w:vAlign w:val="center"/>
          </w:tcPr>
          <w:p w14:paraId="0E6F1771" w14:textId="77777777" w:rsidR="009127CA" w:rsidRPr="00CD7FAA" w:rsidRDefault="009127CA" w:rsidP="00DF50D7">
            <w:pPr>
              <w:ind w:firstLine="284"/>
              <w:rPr>
                <w:color w:val="000000" w:themeColor="text1"/>
                <w:szCs w:val="24"/>
              </w:rPr>
            </w:pPr>
            <w:r w:rsidRPr="00CD7FAA">
              <w:rPr>
                <w:color w:val="000000" w:themeColor="text1"/>
                <w:szCs w:val="24"/>
              </w:rPr>
              <w:t>(i)</w:t>
            </w:r>
          </w:p>
        </w:tc>
        <w:tc>
          <w:tcPr>
            <w:tcW w:w="1119" w:type="pct"/>
            <w:tcBorders>
              <w:bottom w:val="single" w:sz="4" w:space="0" w:color="auto"/>
            </w:tcBorders>
            <w:shd w:val="clear" w:color="auto" w:fill="auto"/>
            <w:tcMar>
              <w:top w:w="57" w:type="dxa"/>
              <w:bottom w:w="57" w:type="dxa"/>
            </w:tcMar>
            <w:vAlign w:val="center"/>
          </w:tcPr>
          <w:p w14:paraId="56E2F848" w14:textId="77777777" w:rsidR="009127CA" w:rsidRPr="00CD7FAA" w:rsidRDefault="009127CA" w:rsidP="00DF50D7">
            <w:pPr>
              <w:ind w:firstLine="284"/>
              <w:rPr>
                <w:color w:val="000000" w:themeColor="text1"/>
                <w:szCs w:val="24"/>
              </w:rPr>
            </w:pPr>
            <w:r w:rsidRPr="00CD7FAA">
              <w:rPr>
                <w:color w:val="000000" w:themeColor="text1"/>
                <w:szCs w:val="24"/>
              </w:rPr>
              <w:t>(ii)</w:t>
            </w:r>
          </w:p>
        </w:tc>
        <w:tc>
          <w:tcPr>
            <w:tcW w:w="1118" w:type="pct"/>
            <w:tcBorders>
              <w:bottom w:val="single" w:sz="4" w:space="0" w:color="auto"/>
            </w:tcBorders>
          </w:tcPr>
          <w:p w14:paraId="5C5BBEC4" w14:textId="77777777" w:rsidR="009127CA" w:rsidRPr="00CD7FAA" w:rsidRDefault="009127CA" w:rsidP="00DF50D7">
            <w:pPr>
              <w:ind w:firstLine="284"/>
              <w:rPr>
                <w:color w:val="000000" w:themeColor="text1"/>
                <w:szCs w:val="24"/>
              </w:rPr>
            </w:pPr>
            <w:r w:rsidRPr="00CD7FAA">
              <w:rPr>
                <w:color w:val="000000" w:themeColor="text1"/>
                <w:szCs w:val="24"/>
              </w:rPr>
              <w:t>(ii)</w:t>
            </w:r>
          </w:p>
        </w:tc>
      </w:tr>
      <w:tr w:rsidR="003603B2" w:rsidRPr="00CD7FAA" w14:paraId="6C3E487A" w14:textId="77777777" w:rsidTr="00DF50D7">
        <w:trPr>
          <w:trHeight w:val="581"/>
          <w:jc w:val="center"/>
        </w:trPr>
        <w:tc>
          <w:tcPr>
            <w:tcW w:w="1644" w:type="pct"/>
            <w:shd w:val="clear" w:color="auto" w:fill="auto"/>
            <w:tcMar>
              <w:top w:w="57" w:type="dxa"/>
              <w:bottom w:w="57" w:type="dxa"/>
            </w:tcMar>
            <w:vAlign w:val="center"/>
          </w:tcPr>
          <w:p w14:paraId="4214B90B" w14:textId="6771F813" w:rsidR="003603B2" w:rsidRPr="00CD7FAA" w:rsidRDefault="003603B2" w:rsidP="003603B2">
            <w:pPr>
              <w:rPr>
                <w:color w:val="000000" w:themeColor="text1"/>
                <w:szCs w:val="24"/>
              </w:rPr>
            </w:pPr>
            <w:r w:rsidRPr="00CD7FAA">
              <w:rPr>
                <w:color w:val="000000" w:themeColor="text1"/>
                <w:szCs w:val="24"/>
              </w:rPr>
              <w:lastRenderedPageBreak/>
              <w:t>NUMBER SPIN-OFF</w:t>
            </w:r>
          </w:p>
        </w:tc>
        <w:tc>
          <w:tcPr>
            <w:tcW w:w="1119" w:type="pct"/>
            <w:shd w:val="clear" w:color="auto" w:fill="auto"/>
            <w:vAlign w:val="center"/>
          </w:tcPr>
          <w:p w14:paraId="300BB716" w14:textId="77777777" w:rsidR="003603B2" w:rsidRPr="00CD7FAA" w:rsidRDefault="003603B2" w:rsidP="003603B2">
            <w:pPr>
              <w:ind w:firstLine="284"/>
              <w:rPr>
                <w:color w:val="000000" w:themeColor="text1"/>
                <w:szCs w:val="24"/>
              </w:rPr>
            </w:pPr>
          </w:p>
        </w:tc>
        <w:tc>
          <w:tcPr>
            <w:tcW w:w="1119" w:type="pct"/>
            <w:shd w:val="clear" w:color="auto" w:fill="auto"/>
            <w:tcMar>
              <w:top w:w="57" w:type="dxa"/>
              <w:bottom w:w="57" w:type="dxa"/>
            </w:tcMar>
            <w:vAlign w:val="center"/>
          </w:tcPr>
          <w:p w14:paraId="4C7B8389" w14:textId="77777777" w:rsidR="003603B2" w:rsidRPr="00CD7FAA" w:rsidRDefault="003603B2" w:rsidP="003603B2">
            <w:pPr>
              <w:ind w:firstLine="284"/>
              <w:rPr>
                <w:color w:val="000000" w:themeColor="text1"/>
                <w:szCs w:val="24"/>
              </w:rPr>
            </w:pPr>
            <w:r w:rsidRPr="00CD7FAA">
              <w:rPr>
                <w:color w:val="000000" w:themeColor="text1"/>
                <w:szCs w:val="24"/>
              </w:rPr>
              <w:t>50.40646***</w:t>
            </w:r>
          </w:p>
          <w:p w14:paraId="3971EF9E" w14:textId="77777777" w:rsidR="003603B2" w:rsidRPr="00CD7FAA" w:rsidRDefault="003603B2" w:rsidP="003603B2">
            <w:pPr>
              <w:ind w:firstLine="284"/>
              <w:rPr>
                <w:color w:val="000000" w:themeColor="text1"/>
                <w:szCs w:val="24"/>
              </w:rPr>
            </w:pPr>
            <w:r w:rsidRPr="00CD7FAA">
              <w:rPr>
                <w:color w:val="000000" w:themeColor="text1"/>
                <w:szCs w:val="24"/>
              </w:rPr>
              <w:t>(2.811904)</w:t>
            </w:r>
          </w:p>
        </w:tc>
        <w:tc>
          <w:tcPr>
            <w:tcW w:w="1118" w:type="pct"/>
          </w:tcPr>
          <w:p w14:paraId="630259DC" w14:textId="77777777" w:rsidR="003603B2" w:rsidRPr="00CD7FAA" w:rsidRDefault="003603B2" w:rsidP="003603B2">
            <w:pPr>
              <w:ind w:firstLine="284"/>
              <w:rPr>
                <w:color w:val="000000" w:themeColor="text1"/>
                <w:szCs w:val="24"/>
              </w:rPr>
            </w:pPr>
          </w:p>
        </w:tc>
      </w:tr>
      <w:tr w:rsidR="003603B2" w:rsidRPr="00CD7FAA" w14:paraId="1F2C06CC" w14:textId="77777777" w:rsidTr="00DF50D7">
        <w:trPr>
          <w:jc w:val="center"/>
        </w:trPr>
        <w:tc>
          <w:tcPr>
            <w:tcW w:w="1644" w:type="pct"/>
            <w:shd w:val="clear" w:color="auto" w:fill="auto"/>
            <w:tcMar>
              <w:top w:w="57" w:type="dxa"/>
              <w:bottom w:w="57" w:type="dxa"/>
            </w:tcMar>
            <w:vAlign w:val="center"/>
          </w:tcPr>
          <w:p w14:paraId="2C6F5E51" w14:textId="2CB0E099" w:rsidR="003603B2" w:rsidRPr="00CD7FAA" w:rsidRDefault="003603B2" w:rsidP="003603B2">
            <w:pPr>
              <w:rPr>
                <w:color w:val="000000" w:themeColor="text1"/>
                <w:szCs w:val="24"/>
              </w:rPr>
            </w:pPr>
            <w:r w:rsidRPr="00CD7FAA">
              <w:rPr>
                <w:color w:val="000000" w:themeColor="text1"/>
                <w:szCs w:val="24"/>
              </w:rPr>
              <w:t>SPIN-OFF PATENTS</w:t>
            </w:r>
          </w:p>
        </w:tc>
        <w:tc>
          <w:tcPr>
            <w:tcW w:w="1119" w:type="pct"/>
            <w:shd w:val="clear" w:color="auto" w:fill="auto"/>
            <w:vAlign w:val="center"/>
          </w:tcPr>
          <w:p w14:paraId="478215C7" w14:textId="77777777" w:rsidR="003603B2" w:rsidRPr="00CD7FAA" w:rsidRDefault="003603B2" w:rsidP="003603B2">
            <w:pPr>
              <w:ind w:firstLine="284"/>
              <w:rPr>
                <w:color w:val="000000" w:themeColor="text1"/>
                <w:szCs w:val="24"/>
              </w:rPr>
            </w:pPr>
          </w:p>
        </w:tc>
        <w:tc>
          <w:tcPr>
            <w:tcW w:w="1119" w:type="pct"/>
            <w:shd w:val="clear" w:color="auto" w:fill="auto"/>
            <w:tcMar>
              <w:top w:w="57" w:type="dxa"/>
              <w:bottom w:w="57" w:type="dxa"/>
            </w:tcMar>
            <w:vAlign w:val="center"/>
          </w:tcPr>
          <w:p w14:paraId="648A50A7" w14:textId="77777777" w:rsidR="003603B2" w:rsidRPr="00CD7FAA" w:rsidRDefault="003603B2" w:rsidP="003603B2">
            <w:pPr>
              <w:ind w:firstLine="284"/>
              <w:rPr>
                <w:color w:val="000000" w:themeColor="text1"/>
                <w:szCs w:val="24"/>
              </w:rPr>
            </w:pPr>
          </w:p>
        </w:tc>
        <w:tc>
          <w:tcPr>
            <w:tcW w:w="1118" w:type="pct"/>
          </w:tcPr>
          <w:p w14:paraId="2944FCF2" w14:textId="77777777" w:rsidR="003603B2" w:rsidRPr="00CD7FAA" w:rsidRDefault="003603B2" w:rsidP="003603B2">
            <w:pPr>
              <w:ind w:firstLine="284"/>
              <w:rPr>
                <w:color w:val="000000" w:themeColor="text1"/>
                <w:szCs w:val="24"/>
              </w:rPr>
            </w:pPr>
            <w:r w:rsidRPr="00CD7FAA">
              <w:rPr>
                <w:color w:val="000000" w:themeColor="text1"/>
                <w:szCs w:val="24"/>
              </w:rPr>
              <w:t>-532.907</w:t>
            </w:r>
          </w:p>
          <w:p w14:paraId="56A8A76E" w14:textId="77777777" w:rsidR="003603B2" w:rsidRPr="00CD7FAA" w:rsidRDefault="003603B2" w:rsidP="003603B2">
            <w:pPr>
              <w:ind w:firstLine="284"/>
              <w:rPr>
                <w:color w:val="000000" w:themeColor="text1"/>
                <w:szCs w:val="24"/>
              </w:rPr>
            </w:pPr>
            <w:r w:rsidRPr="00CD7FAA">
              <w:rPr>
                <w:color w:val="000000" w:themeColor="text1"/>
                <w:szCs w:val="24"/>
              </w:rPr>
              <w:t>(171.7702)</w:t>
            </w:r>
          </w:p>
        </w:tc>
      </w:tr>
      <w:tr w:rsidR="009127CA" w:rsidRPr="00CD7FAA" w14:paraId="30409132" w14:textId="77777777" w:rsidTr="00DF50D7">
        <w:trPr>
          <w:jc w:val="center"/>
        </w:trPr>
        <w:tc>
          <w:tcPr>
            <w:tcW w:w="1644" w:type="pct"/>
            <w:shd w:val="clear" w:color="auto" w:fill="auto"/>
            <w:tcMar>
              <w:top w:w="57" w:type="dxa"/>
              <w:bottom w:w="57" w:type="dxa"/>
            </w:tcMar>
            <w:vAlign w:val="center"/>
          </w:tcPr>
          <w:p w14:paraId="770D7FCC" w14:textId="77777777" w:rsidR="009127CA" w:rsidRPr="00CD7FAA" w:rsidRDefault="009127CA" w:rsidP="00DF50D7">
            <w:pPr>
              <w:ind w:firstLine="284"/>
              <w:rPr>
                <w:color w:val="000000" w:themeColor="text1"/>
                <w:szCs w:val="24"/>
              </w:rPr>
            </w:pPr>
          </w:p>
        </w:tc>
        <w:tc>
          <w:tcPr>
            <w:tcW w:w="1119" w:type="pct"/>
            <w:shd w:val="clear" w:color="auto" w:fill="auto"/>
            <w:vAlign w:val="center"/>
          </w:tcPr>
          <w:p w14:paraId="5BEC9E15" w14:textId="77777777" w:rsidR="009127CA" w:rsidRPr="00CD7FAA" w:rsidRDefault="009127CA" w:rsidP="00DF50D7">
            <w:pPr>
              <w:ind w:firstLine="284"/>
              <w:rPr>
                <w:color w:val="000000" w:themeColor="text1"/>
                <w:szCs w:val="24"/>
              </w:rPr>
            </w:pPr>
          </w:p>
        </w:tc>
        <w:tc>
          <w:tcPr>
            <w:tcW w:w="1119" w:type="pct"/>
            <w:shd w:val="clear" w:color="auto" w:fill="auto"/>
            <w:tcMar>
              <w:top w:w="57" w:type="dxa"/>
              <w:bottom w:w="57" w:type="dxa"/>
            </w:tcMar>
            <w:vAlign w:val="center"/>
          </w:tcPr>
          <w:p w14:paraId="1F7977E7" w14:textId="77777777" w:rsidR="009127CA" w:rsidRPr="00CD7FAA" w:rsidRDefault="009127CA" w:rsidP="00DF50D7">
            <w:pPr>
              <w:ind w:firstLine="284"/>
              <w:rPr>
                <w:color w:val="000000" w:themeColor="text1"/>
                <w:szCs w:val="24"/>
              </w:rPr>
            </w:pPr>
          </w:p>
        </w:tc>
        <w:tc>
          <w:tcPr>
            <w:tcW w:w="1118" w:type="pct"/>
          </w:tcPr>
          <w:p w14:paraId="11F99E74" w14:textId="77777777" w:rsidR="009127CA" w:rsidRPr="00CD7FAA" w:rsidRDefault="009127CA" w:rsidP="00DF50D7">
            <w:pPr>
              <w:ind w:firstLine="284"/>
              <w:rPr>
                <w:color w:val="000000" w:themeColor="text1"/>
                <w:szCs w:val="24"/>
              </w:rPr>
            </w:pPr>
          </w:p>
        </w:tc>
      </w:tr>
      <w:tr w:rsidR="009127CA" w:rsidRPr="00CD7FAA" w14:paraId="7A45B354" w14:textId="77777777" w:rsidTr="00DF50D7">
        <w:trPr>
          <w:jc w:val="center"/>
        </w:trPr>
        <w:tc>
          <w:tcPr>
            <w:tcW w:w="1644" w:type="pct"/>
            <w:shd w:val="clear" w:color="auto" w:fill="auto"/>
            <w:tcMar>
              <w:top w:w="57" w:type="dxa"/>
              <w:bottom w:w="57" w:type="dxa"/>
            </w:tcMar>
            <w:vAlign w:val="center"/>
          </w:tcPr>
          <w:p w14:paraId="380F08D3" w14:textId="77777777" w:rsidR="009127CA" w:rsidRPr="00CD7FAA" w:rsidRDefault="009127CA" w:rsidP="00DF50D7">
            <w:pPr>
              <w:ind w:firstLine="284"/>
              <w:rPr>
                <w:color w:val="000000" w:themeColor="text1"/>
                <w:szCs w:val="24"/>
              </w:rPr>
            </w:pPr>
          </w:p>
        </w:tc>
        <w:tc>
          <w:tcPr>
            <w:tcW w:w="1119" w:type="pct"/>
            <w:shd w:val="clear" w:color="auto" w:fill="auto"/>
            <w:vAlign w:val="center"/>
          </w:tcPr>
          <w:p w14:paraId="33D26271" w14:textId="77777777" w:rsidR="009127CA" w:rsidRPr="00CD7FAA" w:rsidRDefault="009127CA" w:rsidP="00DF50D7">
            <w:pPr>
              <w:ind w:firstLine="284"/>
              <w:rPr>
                <w:color w:val="000000" w:themeColor="text1"/>
                <w:szCs w:val="24"/>
              </w:rPr>
            </w:pPr>
          </w:p>
        </w:tc>
        <w:tc>
          <w:tcPr>
            <w:tcW w:w="1119" w:type="pct"/>
            <w:shd w:val="clear" w:color="auto" w:fill="auto"/>
            <w:tcMar>
              <w:top w:w="57" w:type="dxa"/>
              <w:bottom w:w="57" w:type="dxa"/>
            </w:tcMar>
            <w:vAlign w:val="center"/>
          </w:tcPr>
          <w:p w14:paraId="29175016" w14:textId="77777777" w:rsidR="009127CA" w:rsidRPr="00CD7FAA" w:rsidRDefault="009127CA" w:rsidP="00DF50D7">
            <w:pPr>
              <w:ind w:firstLine="284"/>
              <w:rPr>
                <w:color w:val="000000" w:themeColor="text1"/>
                <w:szCs w:val="24"/>
              </w:rPr>
            </w:pPr>
          </w:p>
        </w:tc>
        <w:tc>
          <w:tcPr>
            <w:tcW w:w="1118" w:type="pct"/>
          </w:tcPr>
          <w:p w14:paraId="7E6816F5" w14:textId="77777777" w:rsidR="009127CA" w:rsidRPr="00CD7FAA" w:rsidRDefault="009127CA" w:rsidP="00DF50D7">
            <w:pPr>
              <w:ind w:firstLine="284"/>
              <w:rPr>
                <w:color w:val="000000" w:themeColor="text1"/>
                <w:szCs w:val="24"/>
              </w:rPr>
            </w:pPr>
          </w:p>
        </w:tc>
      </w:tr>
      <w:tr w:rsidR="009127CA" w:rsidRPr="00CD7FAA" w14:paraId="5E8F1959" w14:textId="77777777" w:rsidTr="00DF50D7">
        <w:trPr>
          <w:jc w:val="center"/>
        </w:trPr>
        <w:tc>
          <w:tcPr>
            <w:tcW w:w="1644" w:type="pct"/>
            <w:shd w:val="clear" w:color="auto" w:fill="auto"/>
            <w:tcMar>
              <w:top w:w="57" w:type="dxa"/>
              <w:bottom w:w="57" w:type="dxa"/>
            </w:tcMar>
            <w:vAlign w:val="center"/>
          </w:tcPr>
          <w:p w14:paraId="5EFDA74F" w14:textId="77777777" w:rsidR="009127CA" w:rsidRPr="00CD7FAA" w:rsidRDefault="009127CA" w:rsidP="009127CA">
            <w:pPr>
              <w:rPr>
                <w:color w:val="000000" w:themeColor="text1"/>
                <w:szCs w:val="24"/>
              </w:rPr>
            </w:pPr>
            <w:r w:rsidRPr="00CD7FAA">
              <w:rPr>
                <w:color w:val="000000" w:themeColor="text1"/>
                <w:szCs w:val="24"/>
              </w:rPr>
              <w:t>Control variables:</w:t>
            </w:r>
          </w:p>
        </w:tc>
        <w:tc>
          <w:tcPr>
            <w:tcW w:w="1119" w:type="pct"/>
            <w:shd w:val="clear" w:color="auto" w:fill="auto"/>
            <w:vAlign w:val="center"/>
          </w:tcPr>
          <w:p w14:paraId="44085D09" w14:textId="77777777" w:rsidR="009127CA" w:rsidRPr="00CD7FAA" w:rsidRDefault="009127CA" w:rsidP="00DF50D7">
            <w:pPr>
              <w:ind w:firstLine="284"/>
              <w:rPr>
                <w:color w:val="000000" w:themeColor="text1"/>
                <w:szCs w:val="24"/>
              </w:rPr>
            </w:pPr>
          </w:p>
        </w:tc>
        <w:tc>
          <w:tcPr>
            <w:tcW w:w="1119" w:type="pct"/>
            <w:shd w:val="clear" w:color="auto" w:fill="auto"/>
            <w:tcMar>
              <w:top w:w="57" w:type="dxa"/>
              <w:bottom w:w="57" w:type="dxa"/>
            </w:tcMar>
            <w:vAlign w:val="center"/>
          </w:tcPr>
          <w:p w14:paraId="0FE60C39" w14:textId="77777777" w:rsidR="009127CA" w:rsidRPr="00CD7FAA" w:rsidRDefault="009127CA" w:rsidP="00DF50D7">
            <w:pPr>
              <w:ind w:firstLine="284"/>
              <w:rPr>
                <w:color w:val="000000" w:themeColor="text1"/>
                <w:szCs w:val="24"/>
              </w:rPr>
            </w:pPr>
          </w:p>
        </w:tc>
        <w:tc>
          <w:tcPr>
            <w:tcW w:w="1118" w:type="pct"/>
          </w:tcPr>
          <w:p w14:paraId="076F940B" w14:textId="77777777" w:rsidR="009127CA" w:rsidRPr="00CD7FAA" w:rsidRDefault="009127CA" w:rsidP="00DF50D7">
            <w:pPr>
              <w:ind w:firstLine="284"/>
              <w:rPr>
                <w:color w:val="000000" w:themeColor="text1"/>
                <w:szCs w:val="24"/>
              </w:rPr>
            </w:pPr>
          </w:p>
        </w:tc>
      </w:tr>
      <w:tr w:rsidR="003603B2" w:rsidRPr="00CD7FAA" w14:paraId="510606B7" w14:textId="77777777" w:rsidTr="00DF50D7">
        <w:trPr>
          <w:jc w:val="center"/>
        </w:trPr>
        <w:tc>
          <w:tcPr>
            <w:tcW w:w="1644" w:type="pct"/>
            <w:shd w:val="clear" w:color="auto" w:fill="auto"/>
            <w:tcMar>
              <w:top w:w="57" w:type="dxa"/>
              <w:bottom w:w="57" w:type="dxa"/>
            </w:tcMar>
            <w:vAlign w:val="center"/>
          </w:tcPr>
          <w:p w14:paraId="32CC63BE" w14:textId="3AB7E498" w:rsidR="003603B2" w:rsidRPr="00CD7FAA" w:rsidRDefault="003603B2" w:rsidP="003603B2">
            <w:pPr>
              <w:rPr>
                <w:color w:val="000000" w:themeColor="text1"/>
                <w:szCs w:val="24"/>
              </w:rPr>
            </w:pPr>
            <w:r w:rsidRPr="00CD7FAA">
              <w:rPr>
                <w:color w:val="000000" w:themeColor="text1"/>
                <w:szCs w:val="24"/>
              </w:rPr>
              <w:t>REGION DENSITY</w:t>
            </w:r>
          </w:p>
        </w:tc>
        <w:tc>
          <w:tcPr>
            <w:tcW w:w="1119" w:type="pct"/>
            <w:shd w:val="clear" w:color="auto" w:fill="auto"/>
            <w:vAlign w:val="center"/>
          </w:tcPr>
          <w:p w14:paraId="661B45E4" w14:textId="77777777" w:rsidR="003603B2" w:rsidRPr="00CD7FAA" w:rsidRDefault="003603B2" w:rsidP="003603B2">
            <w:pPr>
              <w:ind w:firstLine="284"/>
              <w:rPr>
                <w:color w:val="000000" w:themeColor="text1"/>
                <w:szCs w:val="24"/>
              </w:rPr>
            </w:pPr>
            <w:r w:rsidRPr="00CD7FAA">
              <w:rPr>
                <w:color w:val="000000" w:themeColor="text1"/>
                <w:szCs w:val="24"/>
              </w:rPr>
              <w:t>-16.87817***</w:t>
            </w:r>
          </w:p>
          <w:p w14:paraId="3F551BD0" w14:textId="77777777" w:rsidR="003603B2" w:rsidRPr="00CD7FAA" w:rsidRDefault="003603B2" w:rsidP="003603B2">
            <w:pPr>
              <w:ind w:firstLine="284"/>
              <w:rPr>
                <w:color w:val="000000" w:themeColor="text1"/>
                <w:szCs w:val="24"/>
              </w:rPr>
            </w:pPr>
            <w:r w:rsidRPr="00CD7FAA">
              <w:rPr>
                <w:color w:val="000000" w:themeColor="text1"/>
                <w:szCs w:val="24"/>
              </w:rPr>
              <w:t>(0.607554)</w:t>
            </w:r>
          </w:p>
        </w:tc>
        <w:tc>
          <w:tcPr>
            <w:tcW w:w="1119" w:type="pct"/>
            <w:shd w:val="clear" w:color="auto" w:fill="auto"/>
            <w:tcMar>
              <w:top w:w="57" w:type="dxa"/>
              <w:bottom w:w="57" w:type="dxa"/>
            </w:tcMar>
            <w:vAlign w:val="center"/>
          </w:tcPr>
          <w:p w14:paraId="3F18C830" w14:textId="77777777" w:rsidR="003603B2" w:rsidRPr="00CD7FAA" w:rsidRDefault="003603B2" w:rsidP="003603B2">
            <w:pPr>
              <w:ind w:firstLine="284"/>
              <w:rPr>
                <w:color w:val="000000" w:themeColor="text1"/>
                <w:szCs w:val="24"/>
              </w:rPr>
            </w:pPr>
            <w:r w:rsidRPr="00CD7FAA">
              <w:rPr>
                <w:color w:val="000000" w:themeColor="text1"/>
                <w:szCs w:val="24"/>
              </w:rPr>
              <w:t>-14.39137***</w:t>
            </w:r>
          </w:p>
          <w:p w14:paraId="34C4BA2C" w14:textId="77777777" w:rsidR="003603B2" w:rsidRPr="00CD7FAA" w:rsidRDefault="003603B2" w:rsidP="003603B2">
            <w:pPr>
              <w:ind w:firstLine="284"/>
              <w:rPr>
                <w:color w:val="000000" w:themeColor="text1"/>
                <w:szCs w:val="24"/>
              </w:rPr>
            </w:pPr>
            <w:r w:rsidRPr="00CD7FAA">
              <w:rPr>
                <w:color w:val="000000" w:themeColor="text1"/>
                <w:szCs w:val="24"/>
              </w:rPr>
              <w:t>(0.5770554)</w:t>
            </w:r>
          </w:p>
        </w:tc>
        <w:tc>
          <w:tcPr>
            <w:tcW w:w="1118" w:type="pct"/>
          </w:tcPr>
          <w:p w14:paraId="7A26F090" w14:textId="77777777" w:rsidR="003603B2" w:rsidRPr="00CD7FAA" w:rsidRDefault="003603B2" w:rsidP="003603B2">
            <w:pPr>
              <w:ind w:firstLine="284"/>
              <w:rPr>
                <w:color w:val="000000" w:themeColor="text1"/>
                <w:szCs w:val="24"/>
              </w:rPr>
            </w:pPr>
            <w:r w:rsidRPr="00CD7FAA">
              <w:rPr>
                <w:color w:val="000000" w:themeColor="text1"/>
                <w:szCs w:val="24"/>
              </w:rPr>
              <w:t>-16.88463***</w:t>
            </w:r>
          </w:p>
          <w:p w14:paraId="42E7C890" w14:textId="77777777" w:rsidR="003603B2" w:rsidRPr="00CD7FAA" w:rsidRDefault="003603B2" w:rsidP="003603B2">
            <w:pPr>
              <w:ind w:firstLine="284"/>
              <w:rPr>
                <w:color w:val="000000" w:themeColor="text1"/>
                <w:szCs w:val="24"/>
              </w:rPr>
            </w:pPr>
            <w:r w:rsidRPr="00CD7FAA">
              <w:rPr>
                <w:color w:val="000000" w:themeColor="text1"/>
                <w:szCs w:val="24"/>
              </w:rPr>
              <w:t>(0.6064762)</w:t>
            </w:r>
          </w:p>
        </w:tc>
      </w:tr>
      <w:tr w:rsidR="003603B2" w:rsidRPr="00CD7FAA" w14:paraId="2667AABF" w14:textId="77777777" w:rsidTr="00DF50D7">
        <w:trPr>
          <w:jc w:val="center"/>
        </w:trPr>
        <w:tc>
          <w:tcPr>
            <w:tcW w:w="1644" w:type="pct"/>
            <w:shd w:val="clear" w:color="auto" w:fill="auto"/>
            <w:tcMar>
              <w:top w:w="57" w:type="dxa"/>
              <w:bottom w:w="57" w:type="dxa"/>
            </w:tcMar>
            <w:vAlign w:val="center"/>
          </w:tcPr>
          <w:p w14:paraId="6F3C827A" w14:textId="3B93C700" w:rsidR="003603B2" w:rsidRPr="00CD7FAA" w:rsidRDefault="003603B2" w:rsidP="003603B2">
            <w:pPr>
              <w:jc w:val="left"/>
              <w:rPr>
                <w:color w:val="000000" w:themeColor="text1"/>
                <w:szCs w:val="24"/>
              </w:rPr>
            </w:pPr>
            <w:r w:rsidRPr="00CD7FAA">
              <w:rPr>
                <w:color w:val="000000" w:themeColor="text1"/>
                <w:szCs w:val="24"/>
              </w:rPr>
              <w:t>HIGHER EDUCATION REGION</w:t>
            </w:r>
          </w:p>
        </w:tc>
        <w:tc>
          <w:tcPr>
            <w:tcW w:w="1119" w:type="pct"/>
            <w:shd w:val="clear" w:color="auto" w:fill="auto"/>
            <w:vAlign w:val="center"/>
          </w:tcPr>
          <w:p w14:paraId="7F668704" w14:textId="77777777" w:rsidR="003603B2" w:rsidRPr="00CD7FAA" w:rsidRDefault="003603B2" w:rsidP="003603B2">
            <w:pPr>
              <w:ind w:firstLine="284"/>
              <w:rPr>
                <w:color w:val="000000" w:themeColor="text1"/>
                <w:szCs w:val="24"/>
              </w:rPr>
            </w:pPr>
            <w:r w:rsidRPr="00CD7FAA">
              <w:rPr>
                <w:color w:val="000000" w:themeColor="text1"/>
                <w:szCs w:val="24"/>
              </w:rPr>
              <w:t>985.7484***</w:t>
            </w:r>
          </w:p>
          <w:p w14:paraId="1B5698AB" w14:textId="77777777" w:rsidR="003603B2" w:rsidRPr="00CD7FAA" w:rsidRDefault="003603B2" w:rsidP="003603B2">
            <w:pPr>
              <w:ind w:firstLine="284"/>
              <w:rPr>
                <w:color w:val="000000" w:themeColor="text1"/>
                <w:szCs w:val="24"/>
              </w:rPr>
            </w:pPr>
            <w:r w:rsidRPr="00CD7FAA">
              <w:rPr>
                <w:color w:val="000000" w:themeColor="text1"/>
                <w:szCs w:val="24"/>
              </w:rPr>
              <w:t>(14.05979)</w:t>
            </w:r>
          </w:p>
        </w:tc>
        <w:tc>
          <w:tcPr>
            <w:tcW w:w="1119" w:type="pct"/>
            <w:shd w:val="clear" w:color="auto" w:fill="auto"/>
            <w:tcMar>
              <w:top w:w="57" w:type="dxa"/>
              <w:bottom w:w="57" w:type="dxa"/>
            </w:tcMar>
            <w:vAlign w:val="center"/>
          </w:tcPr>
          <w:p w14:paraId="642BA778" w14:textId="77777777" w:rsidR="003603B2" w:rsidRPr="00CD7FAA" w:rsidRDefault="003603B2" w:rsidP="003603B2">
            <w:pPr>
              <w:ind w:firstLine="284"/>
              <w:rPr>
                <w:color w:val="000000" w:themeColor="text1"/>
                <w:szCs w:val="24"/>
              </w:rPr>
            </w:pPr>
            <w:r w:rsidRPr="00CD7FAA">
              <w:rPr>
                <w:color w:val="000000" w:themeColor="text1"/>
                <w:szCs w:val="24"/>
              </w:rPr>
              <w:t>1025.904***</w:t>
            </w:r>
          </w:p>
          <w:p w14:paraId="79C48E24" w14:textId="77777777" w:rsidR="003603B2" w:rsidRPr="00CD7FAA" w:rsidRDefault="003603B2" w:rsidP="003603B2">
            <w:pPr>
              <w:ind w:firstLine="284"/>
              <w:rPr>
                <w:color w:val="000000" w:themeColor="text1"/>
                <w:szCs w:val="24"/>
              </w:rPr>
            </w:pPr>
            <w:r w:rsidRPr="00CD7FAA">
              <w:rPr>
                <w:color w:val="000000" w:themeColor="text1"/>
                <w:szCs w:val="24"/>
              </w:rPr>
              <w:t>(13.66245)</w:t>
            </w:r>
          </w:p>
        </w:tc>
        <w:tc>
          <w:tcPr>
            <w:tcW w:w="1118" w:type="pct"/>
          </w:tcPr>
          <w:p w14:paraId="048DFC55" w14:textId="77777777" w:rsidR="003603B2" w:rsidRPr="00CD7FAA" w:rsidRDefault="003603B2" w:rsidP="003603B2">
            <w:pPr>
              <w:ind w:firstLine="284"/>
              <w:rPr>
                <w:color w:val="000000" w:themeColor="text1"/>
                <w:szCs w:val="24"/>
              </w:rPr>
            </w:pPr>
            <w:r w:rsidRPr="00CD7FAA">
              <w:rPr>
                <w:color w:val="000000" w:themeColor="text1"/>
                <w:szCs w:val="24"/>
              </w:rPr>
              <w:t>986.0205***</w:t>
            </w:r>
          </w:p>
          <w:p w14:paraId="56160917" w14:textId="77777777" w:rsidR="003603B2" w:rsidRPr="00CD7FAA" w:rsidRDefault="003603B2" w:rsidP="003603B2">
            <w:pPr>
              <w:ind w:firstLine="284"/>
              <w:rPr>
                <w:color w:val="000000" w:themeColor="text1"/>
                <w:szCs w:val="24"/>
              </w:rPr>
            </w:pPr>
            <w:r w:rsidRPr="00CD7FAA">
              <w:rPr>
                <w:color w:val="000000" w:themeColor="text1"/>
                <w:szCs w:val="24"/>
              </w:rPr>
              <w:t>(14.04593)</w:t>
            </w:r>
          </w:p>
        </w:tc>
      </w:tr>
      <w:tr w:rsidR="003603B2" w:rsidRPr="00CD7FAA" w14:paraId="049BE3BF" w14:textId="77777777" w:rsidTr="00DF50D7">
        <w:trPr>
          <w:jc w:val="center"/>
        </w:trPr>
        <w:tc>
          <w:tcPr>
            <w:tcW w:w="1644" w:type="pct"/>
            <w:shd w:val="clear" w:color="auto" w:fill="auto"/>
            <w:tcMar>
              <w:top w:w="57" w:type="dxa"/>
              <w:bottom w:w="57" w:type="dxa"/>
            </w:tcMar>
            <w:vAlign w:val="center"/>
          </w:tcPr>
          <w:p w14:paraId="720E30BC" w14:textId="2F902E55" w:rsidR="003603B2" w:rsidRPr="00CD7FAA" w:rsidRDefault="003603B2" w:rsidP="003603B2">
            <w:pPr>
              <w:jc w:val="left"/>
              <w:rPr>
                <w:color w:val="000000" w:themeColor="text1"/>
                <w:szCs w:val="24"/>
              </w:rPr>
            </w:pPr>
            <w:r w:rsidRPr="00CD7FAA">
              <w:rPr>
                <w:color w:val="000000" w:themeColor="text1"/>
                <w:szCs w:val="24"/>
              </w:rPr>
              <w:t>REGION R&amp;D EMPLOYEES</w:t>
            </w:r>
          </w:p>
        </w:tc>
        <w:tc>
          <w:tcPr>
            <w:tcW w:w="1119" w:type="pct"/>
            <w:shd w:val="clear" w:color="auto" w:fill="auto"/>
            <w:vAlign w:val="center"/>
          </w:tcPr>
          <w:p w14:paraId="257083DA" w14:textId="77777777" w:rsidR="003603B2" w:rsidRPr="00CD7FAA" w:rsidRDefault="003603B2" w:rsidP="003603B2">
            <w:pPr>
              <w:ind w:firstLine="284"/>
              <w:rPr>
                <w:color w:val="000000" w:themeColor="text1"/>
                <w:szCs w:val="24"/>
              </w:rPr>
            </w:pPr>
            <w:r w:rsidRPr="00CD7FAA">
              <w:rPr>
                <w:color w:val="000000" w:themeColor="text1"/>
                <w:szCs w:val="24"/>
              </w:rPr>
              <w:t>23.61073***</w:t>
            </w:r>
          </w:p>
          <w:p w14:paraId="687EF6DE" w14:textId="77777777" w:rsidR="003603B2" w:rsidRPr="00CD7FAA" w:rsidRDefault="003603B2" w:rsidP="003603B2">
            <w:pPr>
              <w:ind w:firstLine="284"/>
              <w:rPr>
                <w:color w:val="000000" w:themeColor="text1"/>
                <w:szCs w:val="24"/>
              </w:rPr>
            </w:pPr>
            <w:r w:rsidRPr="00CD7FAA">
              <w:rPr>
                <w:color w:val="000000" w:themeColor="text1"/>
                <w:szCs w:val="24"/>
              </w:rPr>
              <w:t>(2.066761)</w:t>
            </w:r>
          </w:p>
        </w:tc>
        <w:tc>
          <w:tcPr>
            <w:tcW w:w="1119" w:type="pct"/>
            <w:shd w:val="clear" w:color="auto" w:fill="auto"/>
            <w:tcMar>
              <w:top w:w="57" w:type="dxa"/>
              <w:bottom w:w="57" w:type="dxa"/>
            </w:tcMar>
            <w:vAlign w:val="center"/>
          </w:tcPr>
          <w:p w14:paraId="69D19716" w14:textId="77777777" w:rsidR="003603B2" w:rsidRPr="00CD7FAA" w:rsidRDefault="003603B2" w:rsidP="003603B2">
            <w:pPr>
              <w:ind w:firstLine="284"/>
              <w:rPr>
                <w:color w:val="000000" w:themeColor="text1"/>
                <w:szCs w:val="24"/>
              </w:rPr>
            </w:pPr>
            <w:r w:rsidRPr="00CD7FAA">
              <w:rPr>
                <w:color w:val="000000" w:themeColor="text1"/>
                <w:szCs w:val="24"/>
              </w:rPr>
              <w:t>23.90057***</w:t>
            </w:r>
          </w:p>
          <w:p w14:paraId="289E0B2C" w14:textId="77777777" w:rsidR="003603B2" w:rsidRPr="00CD7FAA" w:rsidRDefault="003603B2" w:rsidP="003603B2">
            <w:pPr>
              <w:ind w:firstLine="284"/>
              <w:rPr>
                <w:color w:val="000000" w:themeColor="text1"/>
                <w:szCs w:val="24"/>
              </w:rPr>
            </w:pPr>
            <w:r w:rsidRPr="00CD7FAA">
              <w:rPr>
                <w:color w:val="000000" w:themeColor="text1"/>
                <w:szCs w:val="24"/>
              </w:rPr>
              <w:t>(1.982426)</w:t>
            </w:r>
          </w:p>
        </w:tc>
        <w:tc>
          <w:tcPr>
            <w:tcW w:w="1118" w:type="pct"/>
          </w:tcPr>
          <w:p w14:paraId="521F6B34" w14:textId="77777777" w:rsidR="003603B2" w:rsidRPr="00CD7FAA" w:rsidRDefault="003603B2" w:rsidP="003603B2">
            <w:pPr>
              <w:ind w:firstLine="284"/>
              <w:rPr>
                <w:color w:val="000000" w:themeColor="text1"/>
                <w:szCs w:val="24"/>
              </w:rPr>
            </w:pPr>
            <w:r w:rsidRPr="00CD7FAA">
              <w:rPr>
                <w:color w:val="000000" w:themeColor="text1"/>
                <w:szCs w:val="24"/>
              </w:rPr>
              <w:t>23.31029***</w:t>
            </w:r>
          </w:p>
          <w:p w14:paraId="1A608A07" w14:textId="77777777" w:rsidR="003603B2" w:rsidRPr="00CD7FAA" w:rsidRDefault="003603B2" w:rsidP="003603B2">
            <w:pPr>
              <w:ind w:firstLine="284"/>
              <w:rPr>
                <w:color w:val="000000" w:themeColor="text1"/>
                <w:szCs w:val="24"/>
              </w:rPr>
            </w:pPr>
            <w:r w:rsidRPr="00CD7FAA">
              <w:rPr>
                <w:color w:val="000000" w:themeColor="text1"/>
                <w:szCs w:val="24"/>
              </w:rPr>
              <w:t>(2.067936)</w:t>
            </w:r>
          </w:p>
        </w:tc>
      </w:tr>
      <w:tr w:rsidR="003603B2" w:rsidRPr="00CD7FAA" w14:paraId="28243C46" w14:textId="77777777" w:rsidTr="00DF50D7">
        <w:trPr>
          <w:jc w:val="center"/>
        </w:trPr>
        <w:tc>
          <w:tcPr>
            <w:tcW w:w="1644" w:type="pct"/>
            <w:shd w:val="clear" w:color="auto" w:fill="auto"/>
            <w:tcMar>
              <w:top w:w="57" w:type="dxa"/>
              <w:bottom w:w="57" w:type="dxa"/>
            </w:tcMar>
            <w:vAlign w:val="center"/>
          </w:tcPr>
          <w:p w14:paraId="6B7CC883" w14:textId="5A60D1D8" w:rsidR="003603B2" w:rsidRPr="00CD7FAA" w:rsidRDefault="003603B2" w:rsidP="003603B2">
            <w:pPr>
              <w:jc w:val="left"/>
              <w:rPr>
                <w:color w:val="000000" w:themeColor="text1"/>
                <w:szCs w:val="24"/>
              </w:rPr>
            </w:pPr>
            <w:r w:rsidRPr="00CD7FAA">
              <w:rPr>
                <w:color w:val="000000" w:themeColor="text1"/>
                <w:szCs w:val="24"/>
              </w:rPr>
              <w:t>VENTURE CAPITAL REGION</w:t>
            </w:r>
          </w:p>
        </w:tc>
        <w:tc>
          <w:tcPr>
            <w:tcW w:w="1119" w:type="pct"/>
            <w:shd w:val="clear" w:color="auto" w:fill="auto"/>
            <w:vAlign w:val="center"/>
          </w:tcPr>
          <w:p w14:paraId="2D253749" w14:textId="77777777" w:rsidR="003603B2" w:rsidRPr="00CD7FAA" w:rsidRDefault="003603B2" w:rsidP="003603B2">
            <w:pPr>
              <w:ind w:firstLine="284"/>
              <w:rPr>
                <w:color w:val="000000" w:themeColor="text1"/>
                <w:szCs w:val="24"/>
              </w:rPr>
            </w:pPr>
            <w:r w:rsidRPr="00CD7FAA">
              <w:rPr>
                <w:color w:val="000000" w:themeColor="text1"/>
                <w:szCs w:val="24"/>
              </w:rPr>
              <w:t>20.69531***</w:t>
            </w:r>
          </w:p>
          <w:p w14:paraId="07C6C25D" w14:textId="77777777" w:rsidR="003603B2" w:rsidRPr="00CD7FAA" w:rsidRDefault="003603B2" w:rsidP="003603B2">
            <w:pPr>
              <w:ind w:firstLine="284"/>
              <w:rPr>
                <w:color w:val="000000" w:themeColor="text1"/>
                <w:szCs w:val="24"/>
              </w:rPr>
            </w:pPr>
            <w:r w:rsidRPr="00CD7FAA">
              <w:rPr>
                <w:color w:val="000000" w:themeColor="text1"/>
                <w:szCs w:val="24"/>
              </w:rPr>
              <w:t>(0.5682783)</w:t>
            </w:r>
          </w:p>
        </w:tc>
        <w:tc>
          <w:tcPr>
            <w:tcW w:w="1119" w:type="pct"/>
            <w:shd w:val="clear" w:color="auto" w:fill="auto"/>
            <w:tcMar>
              <w:top w:w="57" w:type="dxa"/>
              <w:bottom w:w="57" w:type="dxa"/>
            </w:tcMar>
            <w:vAlign w:val="center"/>
          </w:tcPr>
          <w:p w14:paraId="6F1B3144" w14:textId="77777777" w:rsidR="003603B2" w:rsidRPr="00CD7FAA" w:rsidRDefault="003603B2" w:rsidP="003603B2">
            <w:pPr>
              <w:ind w:firstLine="284"/>
              <w:rPr>
                <w:color w:val="000000" w:themeColor="text1"/>
                <w:szCs w:val="24"/>
              </w:rPr>
            </w:pPr>
            <w:r w:rsidRPr="00CD7FAA">
              <w:rPr>
                <w:color w:val="000000" w:themeColor="text1"/>
                <w:szCs w:val="24"/>
              </w:rPr>
              <w:t>21.35191***</w:t>
            </w:r>
          </w:p>
          <w:p w14:paraId="013DE27C" w14:textId="77777777" w:rsidR="003603B2" w:rsidRPr="00CD7FAA" w:rsidRDefault="003603B2" w:rsidP="003603B2">
            <w:pPr>
              <w:ind w:firstLine="284"/>
              <w:rPr>
                <w:color w:val="000000" w:themeColor="text1"/>
                <w:szCs w:val="24"/>
              </w:rPr>
            </w:pPr>
            <w:r w:rsidRPr="00CD7FAA">
              <w:rPr>
                <w:color w:val="000000" w:themeColor="text1"/>
                <w:szCs w:val="24"/>
              </w:rPr>
              <w:t>(0.5511905)</w:t>
            </w:r>
          </w:p>
        </w:tc>
        <w:tc>
          <w:tcPr>
            <w:tcW w:w="1118" w:type="pct"/>
          </w:tcPr>
          <w:p w14:paraId="3E266E5D" w14:textId="77777777" w:rsidR="003603B2" w:rsidRPr="00CD7FAA" w:rsidRDefault="003603B2" w:rsidP="003603B2">
            <w:pPr>
              <w:ind w:firstLine="284"/>
              <w:rPr>
                <w:color w:val="000000" w:themeColor="text1"/>
                <w:szCs w:val="24"/>
              </w:rPr>
            </w:pPr>
            <w:r w:rsidRPr="00CD7FAA">
              <w:rPr>
                <w:color w:val="000000" w:themeColor="text1"/>
                <w:szCs w:val="24"/>
              </w:rPr>
              <w:t>20.73522***</w:t>
            </w:r>
          </w:p>
          <w:p w14:paraId="6364ABEB" w14:textId="77777777" w:rsidR="003603B2" w:rsidRPr="00CD7FAA" w:rsidRDefault="003603B2" w:rsidP="003603B2">
            <w:pPr>
              <w:ind w:firstLine="284"/>
              <w:rPr>
                <w:color w:val="000000" w:themeColor="text1"/>
                <w:szCs w:val="24"/>
              </w:rPr>
            </w:pPr>
            <w:r w:rsidRPr="00CD7FAA">
              <w:rPr>
                <w:color w:val="000000" w:themeColor="text1"/>
                <w:szCs w:val="24"/>
              </w:rPr>
              <w:t>(0.5678107)</w:t>
            </w:r>
          </w:p>
        </w:tc>
      </w:tr>
      <w:tr w:rsidR="003603B2" w:rsidRPr="00CD7FAA" w14:paraId="5B4E0334" w14:textId="77777777" w:rsidTr="00DF50D7">
        <w:trPr>
          <w:jc w:val="center"/>
        </w:trPr>
        <w:tc>
          <w:tcPr>
            <w:tcW w:w="1644" w:type="pct"/>
            <w:shd w:val="clear" w:color="auto" w:fill="auto"/>
            <w:tcMar>
              <w:top w:w="57" w:type="dxa"/>
              <w:bottom w:w="57" w:type="dxa"/>
            </w:tcMar>
            <w:vAlign w:val="center"/>
          </w:tcPr>
          <w:p w14:paraId="11292479" w14:textId="125A8007" w:rsidR="003603B2" w:rsidRPr="00CD7FAA" w:rsidRDefault="003603B2" w:rsidP="003603B2">
            <w:pPr>
              <w:jc w:val="left"/>
              <w:rPr>
                <w:color w:val="000000" w:themeColor="text1"/>
                <w:szCs w:val="24"/>
              </w:rPr>
            </w:pPr>
            <w:r w:rsidRPr="00CD7FAA">
              <w:rPr>
                <w:color w:val="000000" w:themeColor="text1"/>
                <w:szCs w:val="24"/>
              </w:rPr>
              <w:t>COMPANIES INNOVATIVE REGION</w:t>
            </w:r>
          </w:p>
        </w:tc>
        <w:tc>
          <w:tcPr>
            <w:tcW w:w="1119" w:type="pct"/>
            <w:shd w:val="clear" w:color="auto" w:fill="auto"/>
            <w:vAlign w:val="center"/>
          </w:tcPr>
          <w:p w14:paraId="7268DDAB" w14:textId="77777777" w:rsidR="003603B2" w:rsidRPr="00CD7FAA" w:rsidRDefault="003603B2" w:rsidP="003603B2">
            <w:pPr>
              <w:ind w:firstLine="284"/>
              <w:rPr>
                <w:color w:val="000000" w:themeColor="text1"/>
                <w:szCs w:val="24"/>
              </w:rPr>
            </w:pPr>
            <w:r w:rsidRPr="00CD7FAA">
              <w:rPr>
                <w:color w:val="000000" w:themeColor="text1"/>
                <w:szCs w:val="24"/>
              </w:rPr>
              <w:t>2885.246***</w:t>
            </w:r>
          </w:p>
          <w:p w14:paraId="3C0CCD4D" w14:textId="77777777" w:rsidR="003603B2" w:rsidRPr="00CD7FAA" w:rsidRDefault="003603B2" w:rsidP="003603B2">
            <w:pPr>
              <w:ind w:firstLine="284"/>
              <w:rPr>
                <w:color w:val="000000" w:themeColor="text1"/>
                <w:szCs w:val="24"/>
              </w:rPr>
            </w:pPr>
            <w:r w:rsidRPr="00CD7FAA">
              <w:rPr>
                <w:color w:val="000000" w:themeColor="text1"/>
                <w:szCs w:val="24"/>
              </w:rPr>
              <w:t>(100.7263)</w:t>
            </w:r>
          </w:p>
        </w:tc>
        <w:tc>
          <w:tcPr>
            <w:tcW w:w="1119" w:type="pct"/>
            <w:shd w:val="clear" w:color="auto" w:fill="auto"/>
            <w:tcMar>
              <w:top w:w="57" w:type="dxa"/>
              <w:bottom w:w="57" w:type="dxa"/>
            </w:tcMar>
            <w:vAlign w:val="center"/>
          </w:tcPr>
          <w:p w14:paraId="522CD744" w14:textId="77777777" w:rsidR="003603B2" w:rsidRPr="00CD7FAA" w:rsidRDefault="003603B2" w:rsidP="003603B2">
            <w:pPr>
              <w:ind w:firstLine="284"/>
              <w:rPr>
                <w:color w:val="000000" w:themeColor="text1"/>
                <w:szCs w:val="24"/>
              </w:rPr>
            </w:pPr>
            <w:r w:rsidRPr="00CD7FAA">
              <w:rPr>
                <w:color w:val="000000" w:themeColor="text1"/>
                <w:szCs w:val="24"/>
              </w:rPr>
              <w:t>2516.847***</w:t>
            </w:r>
          </w:p>
          <w:p w14:paraId="1D4B32CF" w14:textId="77777777" w:rsidR="003603B2" w:rsidRPr="00CD7FAA" w:rsidRDefault="003603B2" w:rsidP="003603B2">
            <w:pPr>
              <w:ind w:firstLine="284"/>
              <w:rPr>
                <w:color w:val="000000" w:themeColor="text1"/>
                <w:szCs w:val="24"/>
              </w:rPr>
            </w:pPr>
            <w:r w:rsidRPr="00CD7FAA">
              <w:rPr>
                <w:color w:val="000000" w:themeColor="text1"/>
                <w:szCs w:val="24"/>
              </w:rPr>
              <w:t>(104.5308)</w:t>
            </w:r>
          </w:p>
        </w:tc>
        <w:tc>
          <w:tcPr>
            <w:tcW w:w="1118" w:type="pct"/>
          </w:tcPr>
          <w:p w14:paraId="68E8E046" w14:textId="77777777" w:rsidR="003603B2" w:rsidRPr="00CD7FAA" w:rsidRDefault="003603B2" w:rsidP="003603B2">
            <w:pPr>
              <w:ind w:firstLine="284"/>
              <w:rPr>
                <w:color w:val="000000" w:themeColor="text1"/>
                <w:szCs w:val="24"/>
              </w:rPr>
            </w:pPr>
            <w:r w:rsidRPr="00CD7FAA">
              <w:rPr>
                <w:color w:val="000000" w:themeColor="text1"/>
                <w:szCs w:val="24"/>
              </w:rPr>
              <w:t>2887.612***</w:t>
            </w:r>
          </w:p>
          <w:p w14:paraId="48F0DCA8" w14:textId="77777777" w:rsidR="003603B2" w:rsidRPr="00CD7FAA" w:rsidRDefault="003603B2" w:rsidP="003603B2">
            <w:pPr>
              <w:ind w:firstLine="284"/>
              <w:rPr>
                <w:color w:val="000000" w:themeColor="text1"/>
                <w:szCs w:val="24"/>
              </w:rPr>
            </w:pPr>
            <w:r w:rsidRPr="00CD7FAA">
              <w:rPr>
                <w:color w:val="000000" w:themeColor="text1"/>
                <w:szCs w:val="24"/>
              </w:rPr>
              <w:t>(100.6318)</w:t>
            </w:r>
          </w:p>
        </w:tc>
      </w:tr>
      <w:tr w:rsidR="009127CA" w:rsidRPr="00CD7FAA" w14:paraId="7C888B21" w14:textId="77777777" w:rsidTr="00DF50D7">
        <w:trPr>
          <w:jc w:val="center"/>
        </w:trPr>
        <w:tc>
          <w:tcPr>
            <w:tcW w:w="1644" w:type="pct"/>
            <w:shd w:val="clear" w:color="auto" w:fill="auto"/>
            <w:tcMar>
              <w:top w:w="57" w:type="dxa"/>
              <w:bottom w:w="57" w:type="dxa"/>
            </w:tcMar>
            <w:vAlign w:val="center"/>
          </w:tcPr>
          <w:p w14:paraId="5ADDCA7D" w14:textId="77777777" w:rsidR="009127CA" w:rsidRPr="00CD7FAA" w:rsidRDefault="009127CA" w:rsidP="00DF50D7">
            <w:pPr>
              <w:ind w:firstLine="284"/>
              <w:rPr>
                <w:color w:val="000000" w:themeColor="text1"/>
                <w:szCs w:val="24"/>
              </w:rPr>
            </w:pPr>
          </w:p>
        </w:tc>
        <w:tc>
          <w:tcPr>
            <w:tcW w:w="1119" w:type="pct"/>
            <w:shd w:val="clear" w:color="auto" w:fill="auto"/>
            <w:vAlign w:val="center"/>
          </w:tcPr>
          <w:p w14:paraId="09AE0D22" w14:textId="77777777" w:rsidR="009127CA" w:rsidRPr="00CD7FAA" w:rsidRDefault="009127CA" w:rsidP="00DF50D7">
            <w:pPr>
              <w:ind w:firstLine="284"/>
              <w:rPr>
                <w:color w:val="000000" w:themeColor="text1"/>
                <w:szCs w:val="24"/>
              </w:rPr>
            </w:pPr>
          </w:p>
        </w:tc>
        <w:tc>
          <w:tcPr>
            <w:tcW w:w="1119" w:type="pct"/>
            <w:shd w:val="clear" w:color="auto" w:fill="auto"/>
            <w:tcMar>
              <w:top w:w="57" w:type="dxa"/>
              <w:bottom w:w="57" w:type="dxa"/>
            </w:tcMar>
            <w:vAlign w:val="center"/>
          </w:tcPr>
          <w:p w14:paraId="753A7E28" w14:textId="77777777" w:rsidR="009127CA" w:rsidRPr="00CD7FAA" w:rsidRDefault="009127CA" w:rsidP="00DF50D7">
            <w:pPr>
              <w:ind w:firstLine="284"/>
              <w:rPr>
                <w:color w:val="000000" w:themeColor="text1"/>
                <w:szCs w:val="24"/>
              </w:rPr>
            </w:pPr>
          </w:p>
        </w:tc>
        <w:tc>
          <w:tcPr>
            <w:tcW w:w="1118" w:type="pct"/>
          </w:tcPr>
          <w:p w14:paraId="6006B632" w14:textId="77777777" w:rsidR="009127CA" w:rsidRPr="00CD7FAA" w:rsidRDefault="009127CA" w:rsidP="00DF50D7">
            <w:pPr>
              <w:ind w:firstLine="284"/>
              <w:rPr>
                <w:color w:val="000000" w:themeColor="text1"/>
                <w:szCs w:val="24"/>
              </w:rPr>
            </w:pPr>
          </w:p>
        </w:tc>
      </w:tr>
      <w:tr w:rsidR="009127CA" w:rsidRPr="00CD7FAA" w14:paraId="14ADA38D" w14:textId="77777777" w:rsidTr="00DF50D7">
        <w:trPr>
          <w:jc w:val="center"/>
        </w:trPr>
        <w:tc>
          <w:tcPr>
            <w:tcW w:w="1644" w:type="pct"/>
            <w:shd w:val="clear" w:color="auto" w:fill="auto"/>
            <w:tcMar>
              <w:top w:w="57" w:type="dxa"/>
              <w:bottom w:w="57" w:type="dxa"/>
            </w:tcMar>
            <w:vAlign w:val="center"/>
          </w:tcPr>
          <w:p w14:paraId="1D4E7191" w14:textId="77777777" w:rsidR="009127CA" w:rsidRPr="00CD7FAA" w:rsidRDefault="009127CA" w:rsidP="009127CA">
            <w:pPr>
              <w:rPr>
                <w:color w:val="000000" w:themeColor="text1"/>
                <w:szCs w:val="24"/>
              </w:rPr>
            </w:pPr>
            <w:r w:rsidRPr="00CD7FAA">
              <w:rPr>
                <w:color w:val="000000" w:themeColor="text1"/>
                <w:szCs w:val="24"/>
              </w:rPr>
              <w:t xml:space="preserve">N. observations </w:t>
            </w:r>
          </w:p>
        </w:tc>
        <w:tc>
          <w:tcPr>
            <w:tcW w:w="1119" w:type="pct"/>
            <w:shd w:val="clear" w:color="auto" w:fill="auto"/>
            <w:vAlign w:val="center"/>
          </w:tcPr>
          <w:p w14:paraId="656795D3" w14:textId="77777777" w:rsidR="009127CA" w:rsidRPr="00CD7FAA" w:rsidRDefault="009127CA" w:rsidP="00DF50D7">
            <w:pPr>
              <w:ind w:firstLine="284"/>
              <w:rPr>
                <w:color w:val="000000" w:themeColor="text1"/>
                <w:szCs w:val="24"/>
              </w:rPr>
            </w:pPr>
            <w:r w:rsidRPr="00CD7FAA">
              <w:rPr>
                <w:color w:val="000000" w:themeColor="text1"/>
                <w:szCs w:val="24"/>
              </w:rPr>
              <w:t>7,426</w:t>
            </w:r>
          </w:p>
        </w:tc>
        <w:tc>
          <w:tcPr>
            <w:tcW w:w="1119" w:type="pct"/>
            <w:shd w:val="clear" w:color="auto" w:fill="auto"/>
            <w:tcMar>
              <w:top w:w="57" w:type="dxa"/>
              <w:bottom w:w="57" w:type="dxa"/>
            </w:tcMar>
            <w:vAlign w:val="center"/>
          </w:tcPr>
          <w:p w14:paraId="51EBAACD" w14:textId="77777777" w:rsidR="009127CA" w:rsidRPr="00CD7FAA" w:rsidRDefault="009127CA" w:rsidP="00DF50D7">
            <w:pPr>
              <w:ind w:firstLine="284"/>
              <w:rPr>
                <w:color w:val="000000" w:themeColor="text1"/>
                <w:szCs w:val="24"/>
              </w:rPr>
            </w:pPr>
            <w:r w:rsidRPr="00CD7FAA">
              <w:rPr>
                <w:color w:val="000000" w:themeColor="text1"/>
                <w:szCs w:val="24"/>
              </w:rPr>
              <w:t>7,426</w:t>
            </w:r>
          </w:p>
        </w:tc>
        <w:tc>
          <w:tcPr>
            <w:tcW w:w="1118" w:type="pct"/>
          </w:tcPr>
          <w:p w14:paraId="59044A92" w14:textId="77777777" w:rsidR="009127CA" w:rsidRPr="00CD7FAA" w:rsidRDefault="009127CA" w:rsidP="00DF50D7">
            <w:pPr>
              <w:ind w:firstLine="284"/>
              <w:rPr>
                <w:color w:val="000000" w:themeColor="text1"/>
                <w:szCs w:val="24"/>
              </w:rPr>
            </w:pPr>
            <w:r w:rsidRPr="00CD7FAA">
              <w:rPr>
                <w:color w:val="000000" w:themeColor="text1"/>
                <w:szCs w:val="24"/>
              </w:rPr>
              <w:t>7,426</w:t>
            </w:r>
          </w:p>
        </w:tc>
      </w:tr>
      <w:tr w:rsidR="009127CA" w:rsidRPr="00CD7FAA" w14:paraId="6EC6AFFA" w14:textId="77777777" w:rsidTr="00DF50D7">
        <w:trPr>
          <w:jc w:val="center"/>
        </w:trPr>
        <w:tc>
          <w:tcPr>
            <w:tcW w:w="1644" w:type="pct"/>
            <w:shd w:val="clear" w:color="auto" w:fill="auto"/>
            <w:tcMar>
              <w:top w:w="57" w:type="dxa"/>
              <w:bottom w:w="57" w:type="dxa"/>
            </w:tcMar>
            <w:vAlign w:val="center"/>
          </w:tcPr>
          <w:p w14:paraId="646809E6" w14:textId="77777777" w:rsidR="009127CA" w:rsidRPr="00CD7FAA" w:rsidRDefault="009127CA" w:rsidP="009127CA">
            <w:pPr>
              <w:rPr>
                <w:color w:val="000000" w:themeColor="text1"/>
                <w:szCs w:val="24"/>
              </w:rPr>
            </w:pPr>
            <w:r w:rsidRPr="00CD7FAA">
              <w:rPr>
                <w:color w:val="000000" w:themeColor="text1"/>
                <w:szCs w:val="24"/>
              </w:rPr>
              <w:t>F</w:t>
            </w:r>
          </w:p>
        </w:tc>
        <w:tc>
          <w:tcPr>
            <w:tcW w:w="1119" w:type="pct"/>
            <w:shd w:val="clear" w:color="auto" w:fill="auto"/>
            <w:vAlign w:val="center"/>
          </w:tcPr>
          <w:p w14:paraId="0650A6CF" w14:textId="77777777" w:rsidR="009127CA" w:rsidRPr="00CD7FAA" w:rsidRDefault="009127CA" w:rsidP="00DF50D7">
            <w:pPr>
              <w:ind w:firstLine="284"/>
              <w:rPr>
                <w:color w:val="000000" w:themeColor="text1"/>
                <w:szCs w:val="24"/>
              </w:rPr>
            </w:pPr>
            <w:r w:rsidRPr="00CD7FAA">
              <w:rPr>
                <w:color w:val="000000" w:themeColor="text1"/>
                <w:szCs w:val="24"/>
              </w:rPr>
              <w:t>4476.85***</w:t>
            </w:r>
          </w:p>
        </w:tc>
        <w:tc>
          <w:tcPr>
            <w:tcW w:w="1119" w:type="pct"/>
            <w:shd w:val="clear" w:color="auto" w:fill="auto"/>
            <w:tcMar>
              <w:top w:w="57" w:type="dxa"/>
              <w:bottom w:w="57" w:type="dxa"/>
            </w:tcMar>
            <w:vAlign w:val="center"/>
          </w:tcPr>
          <w:p w14:paraId="5F1BF60A" w14:textId="77777777" w:rsidR="009127CA" w:rsidRPr="00CD7FAA" w:rsidRDefault="009127CA" w:rsidP="00DF50D7">
            <w:pPr>
              <w:ind w:firstLine="284"/>
              <w:rPr>
                <w:color w:val="000000" w:themeColor="text1"/>
                <w:szCs w:val="24"/>
              </w:rPr>
            </w:pPr>
            <w:r w:rsidRPr="00CD7FAA">
              <w:rPr>
                <w:color w:val="000000" w:themeColor="text1"/>
                <w:szCs w:val="24"/>
              </w:rPr>
              <w:t>3944.86***</w:t>
            </w:r>
          </w:p>
        </w:tc>
        <w:tc>
          <w:tcPr>
            <w:tcW w:w="1118" w:type="pct"/>
          </w:tcPr>
          <w:p w14:paraId="4EBAC93B" w14:textId="77777777" w:rsidR="009127CA" w:rsidRPr="00CD7FAA" w:rsidRDefault="009127CA" w:rsidP="00DF50D7">
            <w:pPr>
              <w:ind w:firstLine="284"/>
              <w:rPr>
                <w:color w:val="000000" w:themeColor="text1"/>
                <w:szCs w:val="24"/>
              </w:rPr>
            </w:pPr>
            <w:r w:rsidRPr="00CD7FAA">
              <w:rPr>
                <w:color w:val="000000" w:themeColor="text1"/>
                <w:szCs w:val="24"/>
              </w:rPr>
              <w:t>3728.18***</w:t>
            </w:r>
          </w:p>
        </w:tc>
      </w:tr>
      <w:tr w:rsidR="009127CA" w:rsidRPr="00CD7FAA" w14:paraId="47CCC813" w14:textId="77777777" w:rsidTr="00DF50D7">
        <w:trPr>
          <w:trHeight w:val="24"/>
          <w:jc w:val="center"/>
        </w:trPr>
        <w:tc>
          <w:tcPr>
            <w:tcW w:w="1644" w:type="pct"/>
            <w:shd w:val="clear" w:color="auto" w:fill="auto"/>
            <w:tcMar>
              <w:top w:w="57" w:type="dxa"/>
              <w:bottom w:w="57" w:type="dxa"/>
            </w:tcMar>
            <w:vAlign w:val="center"/>
          </w:tcPr>
          <w:p w14:paraId="5759F7F7" w14:textId="77777777" w:rsidR="009127CA" w:rsidRPr="00CD7FAA" w:rsidRDefault="009127CA" w:rsidP="009127CA">
            <w:pPr>
              <w:rPr>
                <w:color w:val="000000" w:themeColor="text1"/>
                <w:szCs w:val="24"/>
              </w:rPr>
            </w:pPr>
            <w:r w:rsidRPr="00CD7FAA">
              <w:rPr>
                <w:color w:val="000000" w:themeColor="text1"/>
                <w:szCs w:val="24"/>
              </w:rPr>
              <w:t>R</w:t>
            </w:r>
            <w:r w:rsidRPr="00CD7FAA">
              <w:rPr>
                <w:color w:val="000000" w:themeColor="text1"/>
                <w:szCs w:val="24"/>
                <w:vertAlign w:val="superscript"/>
              </w:rPr>
              <w:t>2</w:t>
            </w:r>
          </w:p>
        </w:tc>
        <w:tc>
          <w:tcPr>
            <w:tcW w:w="1119" w:type="pct"/>
            <w:shd w:val="clear" w:color="auto" w:fill="auto"/>
            <w:vAlign w:val="center"/>
          </w:tcPr>
          <w:p w14:paraId="318A992C" w14:textId="77777777" w:rsidR="009127CA" w:rsidRPr="00CD7FAA" w:rsidRDefault="009127CA" w:rsidP="00DF50D7">
            <w:pPr>
              <w:ind w:firstLine="284"/>
              <w:rPr>
                <w:color w:val="000000" w:themeColor="text1"/>
                <w:szCs w:val="24"/>
              </w:rPr>
            </w:pPr>
            <w:r w:rsidRPr="00CD7FAA">
              <w:rPr>
                <w:color w:val="000000" w:themeColor="text1"/>
                <w:szCs w:val="24"/>
              </w:rPr>
              <w:t>0.6965</w:t>
            </w:r>
          </w:p>
        </w:tc>
        <w:tc>
          <w:tcPr>
            <w:tcW w:w="1119" w:type="pct"/>
            <w:shd w:val="clear" w:color="auto" w:fill="auto"/>
            <w:tcMar>
              <w:top w:w="57" w:type="dxa"/>
              <w:bottom w:w="57" w:type="dxa"/>
            </w:tcMar>
            <w:vAlign w:val="center"/>
          </w:tcPr>
          <w:p w14:paraId="2D22E9AE" w14:textId="77777777" w:rsidR="009127CA" w:rsidRPr="00CD7FAA" w:rsidRDefault="009127CA" w:rsidP="00DF50D7">
            <w:pPr>
              <w:ind w:firstLine="284"/>
              <w:rPr>
                <w:color w:val="000000" w:themeColor="text1"/>
                <w:szCs w:val="24"/>
              </w:rPr>
            </w:pPr>
            <w:r w:rsidRPr="00CD7FAA">
              <w:rPr>
                <w:color w:val="000000" w:themeColor="text1"/>
                <w:szCs w:val="24"/>
              </w:rPr>
              <w:t>0.7136</w:t>
            </w:r>
          </w:p>
        </w:tc>
        <w:tc>
          <w:tcPr>
            <w:tcW w:w="1118" w:type="pct"/>
          </w:tcPr>
          <w:p w14:paraId="2F6B70A2" w14:textId="77777777" w:rsidR="009127CA" w:rsidRPr="00CD7FAA" w:rsidRDefault="009127CA" w:rsidP="00DF50D7">
            <w:pPr>
              <w:ind w:firstLine="284"/>
              <w:rPr>
                <w:color w:val="000000" w:themeColor="text1"/>
                <w:szCs w:val="24"/>
              </w:rPr>
            </w:pPr>
            <w:r w:rsidRPr="00CD7FAA">
              <w:rPr>
                <w:color w:val="000000" w:themeColor="text1"/>
                <w:szCs w:val="24"/>
              </w:rPr>
              <w:t>0.6968</w:t>
            </w:r>
          </w:p>
        </w:tc>
      </w:tr>
      <w:tr w:rsidR="009127CA" w:rsidRPr="00CD7FAA" w14:paraId="029916A2" w14:textId="77777777" w:rsidTr="00DF50D7">
        <w:trPr>
          <w:jc w:val="center"/>
        </w:trPr>
        <w:tc>
          <w:tcPr>
            <w:tcW w:w="1644" w:type="pct"/>
            <w:tcBorders>
              <w:bottom w:val="single" w:sz="4" w:space="0" w:color="auto"/>
            </w:tcBorders>
            <w:shd w:val="clear" w:color="auto" w:fill="auto"/>
            <w:tcMar>
              <w:top w:w="57" w:type="dxa"/>
              <w:bottom w:w="57" w:type="dxa"/>
            </w:tcMar>
            <w:vAlign w:val="center"/>
          </w:tcPr>
          <w:p w14:paraId="162456D9" w14:textId="77777777" w:rsidR="009127CA" w:rsidRPr="00CD7FAA" w:rsidRDefault="009127CA" w:rsidP="009127CA">
            <w:pPr>
              <w:rPr>
                <w:color w:val="000000" w:themeColor="text1"/>
                <w:szCs w:val="24"/>
              </w:rPr>
            </w:pPr>
            <w:r w:rsidRPr="00CD7FAA">
              <w:rPr>
                <w:color w:val="000000" w:themeColor="text1"/>
                <w:szCs w:val="24"/>
              </w:rPr>
              <w:t>Root MSE</w:t>
            </w:r>
          </w:p>
        </w:tc>
        <w:tc>
          <w:tcPr>
            <w:tcW w:w="1119" w:type="pct"/>
            <w:tcBorders>
              <w:bottom w:val="single" w:sz="4" w:space="0" w:color="auto"/>
            </w:tcBorders>
            <w:shd w:val="clear" w:color="auto" w:fill="auto"/>
            <w:vAlign w:val="center"/>
          </w:tcPr>
          <w:p w14:paraId="0B24836C" w14:textId="77777777" w:rsidR="009127CA" w:rsidRPr="00CD7FAA" w:rsidRDefault="009127CA" w:rsidP="00DF50D7">
            <w:pPr>
              <w:ind w:firstLine="284"/>
              <w:rPr>
                <w:color w:val="000000" w:themeColor="text1"/>
                <w:szCs w:val="24"/>
              </w:rPr>
            </w:pPr>
            <w:r w:rsidRPr="00CD7FAA">
              <w:rPr>
                <w:color w:val="000000" w:themeColor="text1"/>
                <w:szCs w:val="24"/>
              </w:rPr>
              <w:t>3200.8</w:t>
            </w:r>
          </w:p>
        </w:tc>
        <w:tc>
          <w:tcPr>
            <w:tcW w:w="1119" w:type="pct"/>
            <w:tcBorders>
              <w:bottom w:val="single" w:sz="4" w:space="0" w:color="auto"/>
            </w:tcBorders>
            <w:shd w:val="clear" w:color="auto" w:fill="auto"/>
            <w:tcMar>
              <w:top w:w="57" w:type="dxa"/>
              <w:bottom w:w="57" w:type="dxa"/>
            </w:tcMar>
            <w:vAlign w:val="center"/>
          </w:tcPr>
          <w:p w14:paraId="12D28FBE" w14:textId="77777777" w:rsidR="009127CA" w:rsidRPr="00CD7FAA" w:rsidRDefault="009127CA" w:rsidP="00DF50D7">
            <w:pPr>
              <w:ind w:firstLine="284"/>
              <w:rPr>
                <w:color w:val="000000" w:themeColor="text1"/>
                <w:szCs w:val="24"/>
              </w:rPr>
            </w:pPr>
            <w:r w:rsidRPr="00CD7FAA">
              <w:rPr>
                <w:color w:val="000000" w:themeColor="text1"/>
                <w:szCs w:val="24"/>
              </w:rPr>
              <w:t>3109.4</w:t>
            </w:r>
          </w:p>
        </w:tc>
        <w:tc>
          <w:tcPr>
            <w:tcW w:w="1118" w:type="pct"/>
            <w:tcBorders>
              <w:bottom w:val="single" w:sz="4" w:space="0" w:color="auto"/>
            </w:tcBorders>
          </w:tcPr>
          <w:p w14:paraId="32E126C5" w14:textId="77777777" w:rsidR="009127CA" w:rsidRPr="00CD7FAA" w:rsidRDefault="009127CA" w:rsidP="00DF50D7">
            <w:pPr>
              <w:ind w:firstLine="284"/>
              <w:rPr>
                <w:color w:val="000000" w:themeColor="text1"/>
                <w:szCs w:val="24"/>
              </w:rPr>
            </w:pPr>
            <w:r w:rsidRPr="00CD7FAA">
              <w:rPr>
                <w:color w:val="000000" w:themeColor="text1"/>
                <w:szCs w:val="24"/>
              </w:rPr>
              <w:t>3199.2</w:t>
            </w:r>
          </w:p>
        </w:tc>
      </w:tr>
    </w:tbl>
    <w:p w14:paraId="1D286878" w14:textId="77777777" w:rsidR="00B33D72" w:rsidRPr="00CD7FAA" w:rsidRDefault="00B33D72" w:rsidP="00B33D72">
      <w:pPr>
        <w:pStyle w:val="Tabletitle"/>
        <w:rPr>
          <w:b w:val="0"/>
          <w:bCs/>
          <w:sz w:val="24"/>
          <w:szCs w:val="24"/>
          <w:lang w:val="en-GB"/>
        </w:rPr>
      </w:pPr>
    </w:p>
    <w:p w14:paraId="4CB0CD34" w14:textId="3A3161F2" w:rsidR="002129BD" w:rsidRPr="00CD7FAA" w:rsidRDefault="009F74ED" w:rsidP="009F74ED">
      <w:pPr>
        <w:rPr>
          <w:b/>
          <w:bCs/>
          <w:color w:val="000000" w:themeColor="text1"/>
          <w:sz w:val="22"/>
          <w:szCs w:val="22"/>
        </w:rPr>
      </w:pPr>
      <w:r w:rsidRPr="00CD7FAA">
        <w:rPr>
          <w:b/>
          <w:bCs/>
          <w:color w:val="000000" w:themeColor="text1"/>
          <w:sz w:val="22"/>
          <w:szCs w:val="22"/>
        </w:rPr>
        <w:t>Table 3. Estimation of the linear regression model of the regional patenting activity</w:t>
      </w:r>
    </w:p>
    <w:p w14:paraId="13874121" w14:textId="46DA5C04" w:rsidR="009F74ED" w:rsidRPr="00CD7FAA" w:rsidRDefault="009F74ED" w:rsidP="009F74ED">
      <w:pPr>
        <w:rPr>
          <w:b/>
          <w:bCs/>
          <w:color w:val="000000" w:themeColor="text1"/>
          <w:sz w:val="22"/>
          <w:szCs w:val="22"/>
        </w:rPr>
      </w:pPr>
    </w:p>
    <w:tbl>
      <w:tblPr>
        <w:tblW w:w="5000" w:type="pct"/>
        <w:jc w:val="center"/>
        <w:tblCellMar>
          <w:left w:w="6" w:type="dxa"/>
          <w:right w:w="6" w:type="dxa"/>
        </w:tblCellMar>
        <w:tblLook w:val="04A0" w:firstRow="1" w:lastRow="0" w:firstColumn="1" w:lastColumn="0" w:noHBand="0" w:noVBand="1"/>
      </w:tblPr>
      <w:tblGrid>
        <w:gridCol w:w="2618"/>
        <w:gridCol w:w="1781"/>
        <w:gridCol w:w="1781"/>
        <w:gridCol w:w="1780"/>
      </w:tblGrid>
      <w:tr w:rsidR="00EB7E90" w:rsidRPr="00CD7FAA" w14:paraId="60DA5E0E" w14:textId="77777777" w:rsidTr="00DF50D7">
        <w:trPr>
          <w:jc w:val="center"/>
        </w:trPr>
        <w:tc>
          <w:tcPr>
            <w:tcW w:w="1644" w:type="pct"/>
            <w:tcBorders>
              <w:top w:val="single" w:sz="4" w:space="0" w:color="auto"/>
            </w:tcBorders>
            <w:shd w:val="clear" w:color="auto" w:fill="auto"/>
            <w:vAlign w:val="center"/>
          </w:tcPr>
          <w:p w14:paraId="7D0FE3DC" w14:textId="77777777" w:rsidR="00EB7E90" w:rsidRPr="00CD7FAA" w:rsidRDefault="00EB7E90" w:rsidP="00DF50D7">
            <w:pPr>
              <w:ind w:firstLine="284"/>
              <w:rPr>
                <w:b/>
                <w:bCs/>
                <w:color w:val="000000" w:themeColor="text1"/>
                <w:szCs w:val="24"/>
              </w:rPr>
            </w:pPr>
          </w:p>
        </w:tc>
        <w:tc>
          <w:tcPr>
            <w:tcW w:w="1119" w:type="pct"/>
            <w:tcBorders>
              <w:top w:val="single" w:sz="4" w:space="0" w:color="auto"/>
            </w:tcBorders>
            <w:shd w:val="clear" w:color="auto" w:fill="auto"/>
            <w:vAlign w:val="center"/>
          </w:tcPr>
          <w:p w14:paraId="65A56814" w14:textId="77777777" w:rsidR="00EB7E90" w:rsidRPr="00CD7FAA" w:rsidRDefault="00EB7E90" w:rsidP="00DF50D7">
            <w:pPr>
              <w:ind w:firstLine="284"/>
              <w:rPr>
                <w:color w:val="000000" w:themeColor="text1"/>
                <w:szCs w:val="24"/>
              </w:rPr>
            </w:pPr>
            <w:r w:rsidRPr="00CD7FAA">
              <w:rPr>
                <w:color w:val="000000" w:themeColor="text1"/>
                <w:szCs w:val="24"/>
              </w:rPr>
              <w:t>Model 4</w:t>
            </w:r>
          </w:p>
        </w:tc>
        <w:tc>
          <w:tcPr>
            <w:tcW w:w="1119" w:type="pct"/>
            <w:tcBorders>
              <w:top w:val="single" w:sz="4" w:space="0" w:color="auto"/>
            </w:tcBorders>
            <w:shd w:val="clear" w:color="auto" w:fill="auto"/>
            <w:vAlign w:val="center"/>
          </w:tcPr>
          <w:p w14:paraId="1596BC88" w14:textId="77777777" w:rsidR="00EB7E90" w:rsidRPr="00CD7FAA" w:rsidRDefault="00EB7E90" w:rsidP="00DF50D7">
            <w:pPr>
              <w:ind w:firstLine="284"/>
              <w:rPr>
                <w:color w:val="000000" w:themeColor="text1"/>
                <w:szCs w:val="24"/>
              </w:rPr>
            </w:pPr>
            <w:r w:rsidRPr="00CD7FAA">
              <w:rPr>
                <w:color w:val="000000" w:themeColor="text1"/>
                <w:szCs w:val="24"/>
              </w:rPr>
              <w:t>Model 5</w:t>
            </w:r>
          </w:p>
        </w:tc>
        <w:tc>
          <w:tcPr>
            <w:tcW w:w="1118" w:type="pct"/>
            <w:tcBorders>
              <w:top w:val="single" w:sz="4" w:space="0" w:color="auto"/>
            </w:tcBorders>
          </w:tcPr>
          <w:p w14:paraId="52CB6B25" w14:textId="77777777" w:rsidR="00EB7E90" w:rsidRPr="00CD7FAA" w:rsidRDefault="00EB7E90" w:rsidP="00DF50D7">
            <w:pPr>
              <w:ind w:firstLine="284"/>
              <w:rPr>
                <w:color w:val="000000" w:themeColor="text1"/>
                <w:szCs w:val="24"/>
              </w:rPr>
            </w:pPr>
            <w:r w:rsidRPr="00CD7FAA">
              <w:rPr>
                <w:color w:val="000000" w:themeColor="text1"/>
                <w:szCs w:val="24"/>
              </w:rPr>
              <w:t>Model 6</w:t>
            </w:r>
          </w:p>
        </w:tc>
      </w:tr>
      <w:tr w:rsidR="00EB7E90" w:rsidRPr="00CD7FAA" w14:paraId="4BEBF37A" w14:textId="77777777" w:rsidTr="00DF50D7">
        <w:trPr>
          <w:jc w:val="center"/>
        </w:trPr>
        <w:tc>
          <w:tcPr>
            <w:tcW w:w="1644" w:type="pct"/>
            <w:tcBorders>
              <w:bottom w:val="single" w:sz="4" w:space="0" w:color="auto"/>
            </w:tcBorders>
            <w:shd w:val="clear" w:color="auto" w:fill="auto"/>
            <w:tcMar>
              <w:top w:w="57" w:type="dxa"/>
              <w:bottom w:w="57" w:type="dxa"/>
            </w:tcMar>
            <w:vAlign w:val="center"/>
          </w:tcPr>
          <w:p w14:paraId="34572357" w14:textId="77777777" w:rsidR="00EB7E90" w:rsidRPr="00CD7FAA" w:rsidRDefault="00EB7E90" w:rsidP="00DF50D7">
            <w:pPr>
              <w:ind w:firstLine="284"/>
              <w:rPr>
                <w:b/>
                <w:bCs/>
                <w:color w:val="000000" w:themeColor="text1"/>
                <w:szCs w:val="24"/>
              </w:rPr>
            </w:pPr>
          </w:p>
        </w:tc>
        <w:tc>
          <w:tcPr>
            <w:tcW w:w="1119" w:type="pct"/>
            <w:tcBorders>
              <w:bottom w:val="single" w:sz="4" w:space="0" w:color="auto"/>
            </w:tcBorders>
            <w:shd w:val="clear" w:color="auto" w:fill="auto"/>
            <w:vAlign w:val="center"/>
          </w:tcPr>
          <w:p w14:paraId="0DF39BCC" w14:textId="77777777" w:rsidR="00EB7E90" w:rsidRPr="00CD7FAA" w:rsidRDefault="00EB7E90" w:rsidP="00DF50D7">
            <w:pPr>
              <w:ind w:firstLine="284"/>
              <w:rPr>
                <w:color w:val="000000" w:themeColor="text1"/>
                <w:szCs w:val="24"/>
              </w:rPr>
            </w:pPr>
            <w:r w:rsidRPr="00CD7FAA">
              <w:rPr>
                <w:color w:val="000000" w:themeColor="text1"/>
                <w:szCs w:val="24"/>
              </w:rPr>
              <w:t>(i)</w:t>
            </w:r>
          </w:p>
        </w:tc>
        <w:tc>
          <w:tcPr>
            <w:tcW w:w="1119" w:type="pct"/>
            <w:tcBorders>
              <w:bottom w:val="single" w:sz="4" w:space="0" w:color="auto"/>
            </w:tcBorders>
            <w:shd w:val="clear" w:color="auto" w:fill="auto"/>
            <w:tcMar>
              <w:top w:w="57" w:type="dxa"/>
              <w:bottom w:w="57" w:type="dxa"/>
            </w:tcMar>
            <w:vAlign w:val="center"/>
          </w:tcPr>
          <w:p w14:paraId="55AC96C2" w14:textId="77777777" w:rsidR="00EB7E90" w:rsidRPr="00CD7FAA" w:rsidRDefault="00EB7E90" w:rsidP="00DF50D7">
            <w:pPr>
              <w:ind w:firstLine="284"/>
              <w:rPr>
                <w:color w:val="000000" w:themeColor="text1"/>
                <w:szCs w:val="24"/>
              </w:rPr>
            </w:pPr>
            <w:r w:rsidRPr="00CD7FAA">
              <w:rPr>
                <w:color w:val="000000" w:themeColor="text1"/>
                <w:szCs w:val="24"/>
              </w:rPr>
              <w:t>(ii)</w:t>
            </w:r>
          </w:p>
        </w:tc>
        <w:tc>
          <w:tcPr>
            <w:tcW w:w="1118" w:type="pct"/>
            <w:tcBorders>
              <w:bottom w:val="single" w:sz="4" w:space="0" w:color="auto"/>
            </w:tcBorders>
          </w:tcPr>
          <w:p w14:paraId="59206C6A" w14:textId="77777777" w:rsidR="00EB7E90" w:rsidRPr="00CD7FAA" w:rsidRDefault="00EB7E90" w:rsidP="00DF50D7">
            <w:pPr>
              <w:ind w:firstLine="284"/>
              <w:rPr>
                <w:color w:val="000000" w:themeColor="text1"/>
                <w:szCs w:val="24"/>
              </w:rPr>
            </w:pPr>
            <w:r w:rsidRPr="00CD7FAA">
              <w:rPr>
                <w:color w:val="000000" w:themeColor="text1"/>
                <w:szCs w:val="24"/>
              </w:rPr>
              <w:t>(ii)</w:t>
            </w:r>
          </w:p>
        </w:tc>
      </w:tr>
      <w:tr w:rsidR="003603B2" w:rsidRPr="00CD7FAA" w14:paraId="019ECEFA" w14:textId="77777777" w:rsidTr="00DF50D7">
        <w:trPr>
          <w:trHeight w:val="581"/>
          <w:jc w:val="center"/>
        </w:trPr>
        <w:tc>
          <w:tcPr>
            <w:tcW w:w="1644" w:type="pct"/>
            <w:shd w:val="clear" w:color="auto" w:fill="auto"/>
            <w:tcMar>
              <w:top w:w="57" w:type="dxa"/>
              <w:bottom w:w="57" w:type="dxa"/>
            </w:tcMar>
            <w:vAlign w:val="center"/>
          </w:tcPr>
          <w:p w14:paraId="35E86869" w14:textId="3F7ADA3D" w:rsidR="003603B2" w:rsidRPr="00CD7FAA" w:rsidRDefault="003603B2" w:rsidP="003603B2">
            <w:pPr>
              <w:ind w:firstLine="284"/>
              <w:rPr>
                <w:color w:val="000000" w:themeColor="text1"/>
                <w:szCs w:val="24"/>
              </w:rPr>
            </w:pPr>
            <w:r w:rsidRPr="00CD7FAA">
              <w:rPr>
                <w:color w:val="000000" w:themeColor="text1"/>
                <w:szCs w:val="24"/>
              </w:rPr>
              <w:t>NUMBER SPIN-OFF</w:t>
            </w:r>
          </w:p>
        </w:tc>
        <w:tc>
          <w:tcPr>
            <w:tcW w:w="1119" w:type="pct"/>
            <w:shd w:val="clear" w:color="auto" w:fill="auto"/>
            <w:vAlign w:val="center"/>
          </w:tcPr>
          <w:p w14:paraId="2FFA5CDC" w14:textId="77777777" w:rsidR="003603B2" w:rsidRPr="00CD7FAA" w:rsidRDefault="003603B2" w:rsidP="003603B2">
            <w:pPr>
              <w:ind w:firstLine="284"/>
              <w:rPr>
                <w:color w:val="000000" w:themeColor="text1"/>
                <w:szCs w:val="24"/>
              </w:rPr>
            </w:pPr>
          </w:p>
        </w:tc>
        <w:tc>
          <w:tcPr>
            <w:tcW w:w="1119" w:type="pct"/>
            <w:shd w:val="clear" w:color="auto" w:fill="auto"/>
            <w:tcMar>
              <w:top w:w="57" w:type="dxa"/>
              <w:bottom w:w="57" w:type="dxa"/>
            </w:tcMar>
            <w:vAlign w:val="center"/>
          </w:tcPr>
          <w:p w14:paraId="32C94029" w14:textId="77777777" w:rsidR="003603B2" w:rsidRPr="00CD7FAA" w:rsidRDefault="003603B2" w:rsidP="003603B2">
            <w:pPr>
              <w:ind w:firstLine="284"/>
              <w:rPr>
                <w:color w:val="000000" w:themeColor="text1"/>
                <w:szCs w:val="24"/>
              </w:rPr>
            </w:pPr>
            <w:r w:rsidRPr="00CD7FAA">
              <w:rPr>
                <w:color w:val="000000" w:themeColor="text1"/>
                <w:szCs w:val="24"/>
              </w:rPr>
              <w:t>1.122843***</w:t>
            </w:r>
          </w:p>
          <w:p w14:paraId="6DAF2F5F" w14:textId="77777777" w:rsidR="003603B2" w:rsidRPr="00CD7FAA" w:rsidRDefault="003603B2" w:rsidP="003603B2">
            <w:pPr>
              <w:ind w:firstLine="284"/>
              <w:rPr>
                <w:color w:val="000000" w:themeColor="text1"/>
                <w:szCs w:val="24"/>
              </w:rPr>
            </w:pPr>
            <w:r w:rsidRPr="00CD7FAA">
              <w:rPr>
                <w:color w:val="000000" w:themeColor="text1"/>
                <w:szCs w:val="24"/>
              </w:rPr>
              <w:t>(.0624514)</w:t>
            </w:r>
          </w:p>
        </w:tc>
        <w:tc>
          <w:tcPr>
            <w:tcW w:w="1118" w:type="pct"/>
          </w:tcPr>
          <w:p w14:paraId="74B93E7A" w14:textId="77777777" w:rsidR="003603B2" w:rsidRPr="00CD7FAA" w:rsidRDefault="003603B2" w:rsidP="003603B2">
            <w:pPr>
              <w:ind w:firstLine="284"/>
              <w:rPr>
                <w:color w:val="000000" w:themeColor="text1"/>
                <w:szCs w:val="24"/>
              </w:rPr>
            </w:pPr>
          </w:p>
        </w:tc>
      </w:tr>
      <w:tr w:rsidR="003603B2" w:rsidRPr="00CD7FAA" w14:paraId="1341A610" w14:textId="77777777" w:rsidTr="00DF50D7">
        <w:trPr>
          <w:jc w:val="center"/>
        </w:trPr>
        <w:tc>
          <w:tcPr>
            <w:tcW w:w="1644" w:type="pct"/>
            <w:shd w:val="clear" w:color="auto" w:fill="auto"/>
            <w:tcMar>
              <w:top w:w="57" w:type="dxa"/>
              <w:bottom w:w="57" w:type="dxa"/>
            </w:tcMar>
            <w:vAlign w:val="center"/>
          </w:tcPr>
          <w:p w14:paraId="4476FBA7" w14:textId="648FF3E8" w:rsidR="003603B2" w:rsidRPr="00CD7FAA" w:rsidRDefault="003603B2" w:rsidP="003603B2">
            <w:pPr>
              <w:ind w:firstLine="284"/>
              <w:rPr>
                <w:color w:val="000000" w:themeColor="text1"/>
                <w:szCs w:val="24"/>
              </w:rPr>
            </w:pPr>
            <w:r w:rsidRPr="00CD7FAA">
              <w:rPr>
                <w:color w:val="000000" w:themeColor="text1"/>
                <w:szCs w:val="24"/>
              </w:rPr>
              <w:t>SPIN-OFF PATENTS</w:t>
            </w:r>
          </w:p>
        </w:tc>
        <w:tc>
          <w:tcPr>
            <w:tcW w:w="1119" w:type="pct"/>
            <w:shd w:val="clear" w:color="auto" w:fill="auto"/>
            <w:vAlign w:val="center"/>
          </w:tcPr>
          <w:p w14:paraId="23A0FD4D" w14:textId="77777777" w:rsidR="003603B2" w:rsidRPr="00CD7FAA" w:rsidRDefault="003603B2" w:rsidP="003603B2">
            <w:pPr>
              <w:ind w:firstLine="284"/>
              <w:rPr>
                <w:color w:val="000000" w:themeColor="text1"/>
                <w:szCs w:val="24"/>
              </w:rPr>
            </w:pPr>
          </w:p>
        </w:tc>
        <w:tc>
          <w:tcPr>
            <w:tcW w:w="1119" w:type="pct"/>
            <w:shd w:val="clear" w:color="auto" w:fill="auto"/>
            <w:tcMar>
              <w:top w:w="57" w:type="dxa"/>
              <w:bottom w:w="57" w:type="dxa"/>
            </w:tcMar>
            <w:vAlign w:val="center"/>
          </w:tcPr>
          <w:p w14:paraId="72224AC9" w14:textId="77777777" w:rsidR="003603B2" w:rsidRPr="00CD7FAA" w:rsidRDefault="003603B2" w:rsidP="003603B2">
            <w:pPr>
              <w:ind w:firstLine="284"/>
              <w:rPr>
                <w:color w:val="000000" w:themeColor="text1"/>
                <w:szCs w:val="24"/>
              </w:rPr>
            </w:pPr>
          </w:p>
        </w:tc>
        <w:tc>
          <w:tcPr>
            <w:tcW w:w="1118" w:type="pct"/>
          </w:tcPr>
          <w:p w14:paraId="289BFCBA" w14:textId="77777777" w:rsidR="003603B2" w:rsidRPr="00CD7FAA" w:rsidRDefault="003603B2" w:rsidP="003603B2">
            <w:pPr>
              <w:ind w:firstLine="284"/>
              <w:rPr>
                <w:color w:val="000000" w:themeColor="text1"/>
                <w:szCs w:val="24"/>
              </w:rPr>
            </w:pPr>
            <w:r w:rsidRPr="00CD7FAA">
              <w:rPr>
                <w:color w:val="000000" w:themeColor="text1"/>
                <w:szCs w:val="24"/>
              </w:rPr>
              <w:t>5.568895*</w:t>
            </w:r>
          </w:p>
          <w:p w14:paraId="033B4138" w14:textId="77777777" w:rsidR="003603B2" w:rsidRPr="00CD7FAA" w:rsidRDefault="003603B2" w:rsidP="003603B2">
            <w:pPr>
              <w:ind w:firstLine="284"/>
              <w:rPr>
                <w:color w:val="000000" w:themeColor="text1"/>
                <w:szCs w:val="24"/>
              </w:rPr>
            </w:pPr>
            <w:r w:rsidRPr="00CD7FAA">
              <w:rPr>
                <w:color w:val="000000" w:themeColor="text1"/>
                <w:szCs w:val="24"/>
              </w:rPr>
              <w:t>(4.855806)</w:t>
            </w:r>
          </w:p>
        </w:tc>
      </w:tr>
      <w:tr w:rsidR="00EB7E90" w:rsidRPr="00CD7FAA" w14:paraId="68894519" w14:textId="77777777" w:rsidTr="00DF50D7">
        <w:trPr>
          <w:jc w:val="center"/>
        </w:trPr>
        <w:tc>
          <w:tcPr>
            <w:tcW w:w="1644" w:type="pct"/>
            <w:shd w:val="clear" w:color="auto" w:fill="auto"/>
            <w:tcMar>
              <w:top w:w="57" w:type="dxa"/>
              <w:bottom w:w="57" w:type="dxa"/>
            </w:tcMar>
            <w:vAlign w:val="center"/>
          </w:tcPr>
          <w:p w14:paraId="588C6770" w14:textId="77777777" w:rsidR="00EB7E90" w:rsidRPr="00CD7FAA" w:rsidRDefault="00EB7E90" w:rsidP="00DF50D7">
            <w:pPr>
              <w:ind w:firstLine="284"/>
              <w:rPr>
                <w:color w:val="000000" w:themeColor="text1"/>
                <w:szCs w:val="24"/>
              </w:rPr>
            </w:pPr>
          </w:p>
        </w:tc>
        <w:tc>
          <w:tcPr>
            <w:tcW w:w="1119" w:type="pct"/>
            <w:shd w:val="clear" w:color="auto" w:fill="auto"/>
            <w:vAlign w:val="center"/>
          </w:tcPr>
          <w:p w14:paraId="1D692A4D" w14:textId="77777777" w:rsidR="00EB7E90" w:rsidRPr="00CD7FAA" w:rsidRDefault="00EB7E90" w:rsidP="00DF50D7">
            <w:pPr>
              <w:ind w:firstLine="284"/>
              <w:rPr>
                <w:color w:val="000000" w:themeColor="text1"/>
                <w:szCs w:val="24"/>
              </w:rPr>
            </w:pPr>
          </w:p>
        </w:tc>
        <w:tc>
          <w:tcPr>
            <w:tcW w:w="1119" w:type="pct"/>
            <w:shd w:val="clear" w:color="auto" w:fill="auto"/>
            <w:tcMar>
              <w:top w:w="57" w:type="dxa"/>
              <w:bottom w:w="57" w:type="dxa"/>
            </w:tcMar>
            <w:vAlign w:val="center"/>
          </w:tcPr>
          <w:p w14:paraId="6688940D" w14:textId="77777777" w:rsidR="00EB7E90" w:rsidRPr="00CD7FAA" w:rsidRDefault="00EB7E90" w:rsidP="00DF50D7">
            <w:pPr>
              <w:ind w:firstLine="284"/>
              <w:rPr>
                <w:color w:val="000000" w:themeColor="text1"/>
                <w:szCs w:val="24"/>
              </w:rPr>
            </w:pPr>
          </w:p>
        </w:tc>
        <w:tc>
          <w:tcPr>
            <w:tcW w:w="1118" w:type="pct"/>
          </w:tcPr>
          <w:p w14:paraId="20A4ACE3" w14:textId="77777777" w:rsidR="00EB7E90" w:rsidRPr="00CD7FAA" w:rsidRDefault="00EB7E90" w:rsidP="00DF50D7">
            <w:pPr>
              <w:ind w:firstLine="284"/>
              <w:rPr>
                <w:color w:val="000000" w:themeColor="text1"/>
                <w:szCs w:val="24"/>
              </w:rPr>
            </w:pPr>
          </w:p>
        </w:tc>
      </w:tr>
      <w:tr w:rsidR="00EB7E90" w:rsidRPr="00CD7FAA" w14:paraId="055AB47A" w14:textId="77777777" w:rsidTr="00DF50D7">
        <w:trPr>
          <w:jc w:val="center"/>
        </w:trPr>
        <w:tc>
          <w:tcPr>
            <w:tcW w:w="1644" w:type="pct"/>
            <w:shd w:val="clear" w:color="auto" w:fill="auto"/>
            <w:tcMar>
              <w:top w:w="57" w:type="dxa"/>
              <w:bottom w:w="57" w:type="dxa"/>
            </w:tcMar>
            <w:vAlign w:val="center"/>
          </w:tcPr>
          <w:p w14:paraId="752CB89B" w14:textId="77777777" w:rsidR="00EB7E90" w:rsidRPr="00CD7FAA" w:rsidRDefault="00EB7E90" w:rsidP="00DF50D7">
            <w:pPr>
              <w:ind w:firstLine="284"/>
              <w:rPr>
                <w:color w:val="000000" w:themeColor="text1"/>
                <w:szCs w:val="24"/>
              </w:rPr>
            </w:pPr>
          </w:p>
        </w:tc>
        <w:tc>
          <w:tcPr>
            <w:tcW w:w="1119" w:type="pct"/>
            <w:shd w:val="clear" w:color="auto" w:fill="auto"/>
            <w:vAlign w:val="center"/>
          </w:tcPr>
          <w:p w14:paraId="4FB2FB0F" w14:textId="77777777" w:rsidR="00EB7E90" w:rsidRPr="00CD7FAA" w:rsidRDefault="00EB7E90" w:rsidP="00DF50D7">
            <w:pPr>
              <w:ind w:firstLine="284"/>
              <w:rPr>
                <w:color w:val="000000" w:themeColor="text1"/>
                <w:szCs w:val="24"/>
              </w:rPr>
            </w:pPr>
          </w:p>
        </w:tc>
        <w:tc>
          <w:tcPr>
            <w:tcW w:w="1119" w:type="pct"/>
            <w:shd w:val="clear" w:color="auto" w:fill="auto"/>
            <w:tcMar>
              <w:top w:w="57" w:type="dxa"/>
              <w:bottom w:w="57" w:type="dxa"/>
            </w:tcMar>
            <w:vAlign w:val="center"/>
          </w:tcPr>
          <w:p w14:paraId="205645E5" w14:textId="77777777" w:rsidR="00EB7E90" w:rsidRPr="00CD7FAA" w:rsidRDefault="00EB7E90" w:rsidP="00DF50D7">
            <w:pPr>
              <w:ind w:firstLine="284"/>
              <w:rPr>
                <w:color w:val="000000" w:themeColor="text1"/>
                <w:szCs w:val="24"/>
              </w:rPr>
            </w:pPr>
          </w:p>
        </w:tc>
        <w:tc>
          <w:tcPr>
            <w:tcW w:w="1118" w:type="pct"/>
          </w:tcPr>
          <w:p w14:paraId="28C414B2" w14:textId="77777777" w:rsidR="00EB7E90" w:rsidRPr="00CD7FAA" w:rsidRDefault="00EB7E90" w:rsidP="00DF50D7">
            <w:pPr>
              <w:ind w:firstLine="284"/>
              <w:rPr>
                <w:color w:val="000000" w:themeColor="text1"/>
                <w:szCs w:val="24"/>
              </w:rPr>
            </w:pPr>
          </w:p>
        </w:tc>
      </w:tr>
      <w:tr w:rsidR="00EB7E90" w:rsidRPr="00CD7FAA" w14:paraId="3E5D53F0" w14:textId="77777777" w:rsidTr="00DF50D7">
        <w:trPr>
          <w:jc w:val="center"/>
        </w:trPr>
        <w:tc>
          <w:tcPr>
            <w:tcW w:w="1644" w:type="pct"/>
            <w:shd w:val="clear" w:color="auto" w:fill="auto"/>
            <w:tcMar>
              <w:top w:w="57" w:type="dxa"/>
              <w:bottom w:w="57" w:type="dxa"/>
            </w:tcMar>
            <w:vAlign w:val="center"/>
          </w:tcPr>
          <w:p w14:paraId="03CA6E90" w14:textId="77777777" w:rsidR="00EB7E90" w:rsidRPr="00CD7FAA" w:rsidRDefault="00EB7E90" w:rsidP="00DF50D7">
            <w:pPr>
              <w:ind w:firstLine="284"/>
              <w:rPr>
                <w:color w:val="000000" w:themeColor="text1"/>
                <w:szCs w:val="24"/>
              </w:rPr>
            </w:pPr>
            <w:r w:rsidRPr="00CD7FAA">
              <w:rPr>
                <w:color w:val="000000" w:themeColor="text1"/>
                <w:szCs w:val="24"/>
              </w:rPr>
              <w:t>Control variables:</w:t>
            </w:r>
          </w:p>
        </w:tc>
        <w:tc>
          <w:tcPr>
            <w:tcW w:w="1119" w:type="pct"/>
            <w:shd w:val="clear" w:color="auto" w:fill="auto"/>
            <w:vAlign w:val="center"/>
          </w:tcPr>
          <w:p w14:paraId="08002D4F" w14:textId="77777777" w:rsidR="00EB7E90" w:rsidRPr="00CD7FAA" w:rsidRDefault="00EB7E90" w:rsidP="00DF50D7">
            <w:pPr>
              <w:ind w:firstLine="284"/>
              <w:rPr>
                <w:color w:val="000000" w:themeColor="text1"/>
                <w:szCs w:val="24"/>
              </w:rPr>
            </w:pPr>
          </w:p>
        </w:tc>
        <w:tc>
          <w:tcPr>
            <w:tcW w:w="1119" w:type="pct"/>
            <w:shd w:val="clear" w:color="auto" w:fill="auto"/>
            <w:tcMar>
              <w:top w:w="57" w:type="dxa"/>
              <w:bottom w:w="57" w:type="dxa"/>
            </w:tcMar>
            <w:vAlign w:val="center"/>
          </w:tcPr>
          <w:p w14:paraId="09D6DC83" w14:textId="77777777" w:rsidR="00EB7E90" w:rsidRPr="00CD7FAA" w:rsidRDefault="00EB7E90" w:rsidP="00DF50D7">
            <w:pPr>
              <w:ind w:firstLine="284"/>
              <w:rPr>
                <w:color w:val="000000" w:themeColor="text1"/>
                <w:szCs w:val="24"/>
              </w:rPr>
            </w:pPr>
          </w:p>
        </w:tc>
        <w:tc>
          <w:tcPr>
            <w:tcW w:w="1118" w:type="pct"/>
          </w:tcPr>
          <w:p w14:paraId="12D63288" w14:textId="77777777" w:rsidR="00EB7E90" w:rsidRPr="00CD7FAA" w:rsidRDefault="00EB7E90" w:rsidP="00DF50D7">
            <w:pPr>
              <w:ind w:firstLine="284"/>
              <w:rPr>
                <w:color w:val="000000" w:themeColor="text1"/>
                <w:szCs w:val="24"/>
              </w:rPr>
            </w:pPr>
          </w:p>
        </w:tc>
      </w:tr>
      <w:tr w:rsidR="003603B2" w:rsidRPr="00CD7FAA" w14:paraId="4C483DBF" w14:textId="77777777" w:rsidTr="00DF50D7">
        <w:trPr>
          <w:jc w:val="center"/>
        </w:trPr>
        <w:tc>
          <w:tcPr>
            <w:tcW w:w="1644" w:type="pct"/>
            <w:shd w:val="clear" w:color="auto" w:fill="auto"/>
            <w:tcMar>
              <w:top w:w="57" w:type="dxa"/>
              <w:bottom w:w="57" w:type="dxa"/>
            </w:tcMar>
            <w:vAlign w:val="center"/>
          </w:tcPr>
          <w:p w14:paraId="1D69F16F" w14:textId="7FC20E50" w:rsidR="003603B2" w:rsidRPr="00CD7FAA" w:rsidRDefault="003603B2" w:rsidP="003603B2">
            <w:pPr>
              <w:jc w:val="left"/>
              <w:rPr>
                <w:color w:val="000000" w:themeColor="text1"/>
                <w:szCs w:val="24"/>
              </w:rPr>
            </w:pPr>
            <w:r w:rsidRPr="00CD7FAA">
              <w:rPr>
                <w:color w:val="000000" w:themeColor="text1"/>
                <w:szCs w:val="24"/>
              </w:rPr>
              <w:lastRenderedPageBreak/>
              <w:t>REGION DENSITY</w:t>
            </w:r>
          </w:p>
        </w:tc>
        <w:tc>
          <w:tcPr>
            <w:tcW w:w="1119" w:type="pct"/>
            <w:shd w:val="clear" w:color="auto" w:fill="auto"/>
            <w:vAlign w:val="center"/>
          </w:tcPr>
          <w:p w14:paraId="04600199" w14:textId="77777777" w:rsidR="003603B2" w:rsidRPr="00CD7FAA" w:rsidRDefault="003603B2" w:rsidP="003603B2">
            <w:pPr>
              <w:ind w:firstLine="284"/>
              <w:rPr>
                <w:color w:val="000000" w:themeColor="text1"/>
                <w:szCs w:val="24"/>
              </w:rPr>
            </w:pPr>
            <w:r w:rsidRPr="00CD7FAA">
              <w:rPr>
                <w:color w:val="000000" w:themeColor="text1"/>
                <w:szCs w:val="24"/>
              </w:rPr>
              <w:t>-.5191761***</w:t>
            </w:r>
          </w:p>
          <w:p w14:paraId="722A0EFD" w14:textId="77777777" w:rsidR="003603B2" w:rsidRPr="00CD7FAA" w:rsidRDefault="003603B2" w:rsidP="003603B2">
            <w:pPr>
              <w:ind w:firstLine="284"/>
              <w:rPr>
                <w:color w:val="000000" w:themeColor="text1"/>
                <w:szCs w:val="24"/>
              </w:rPr>
            </w:pPr>
            <w:r w:rsidRPr="00CD7FAA">
              <w:rPr>
                <w:color w:val="000000" w:themeColor="text1"/>
                <w:szCs w:val="24"/>
              </w:rPr>
              <w:t>(0.0106035)</w:t>
            </w:r>
          </w:p>
        </w:tc>
        <w:tc>
          <w:tcPr>
            <w:tcW w:w="1119" w:type="pct"/>
            <w:shd w:val="clear" w:color="auto" w:fill="auto"/>
            <w:tcMar>
              <w:top w:w="57" w:type="dxa"/>
              <w:bottom w:w="57" w:type="dxa"/>
            </w:tcMar>
            <w:vAlign w:val="center"/>
          </w:tcPr>
          <w:p w14:paraId="528DF9E5" w14:textId="77777777" w:rsidR="003603B2" w:rsidRPr="00CD7FAA" w:rsidRDefault="003603B2" w:rsidP="003603B2">
            <w:pPr>
              <w:ind w:firstLine="284"/>
              <w:rPr>
                <w:color w:val="000000" w:themeColor="text1"/>
                <w:szCs w:val="24"/>
              </w:rPr>
            </w:pPr>
            <w:r w:rsidRPr="00CD7FAA">
              <w:rPr>
                <w:color w:val="000000" w:themeColor="text1"/>
                <w:szCs w:val="24"/>
              </w:rPr>
              <w:t>-0.4647525***</w:t>
            </w:r>
          </w:p>
          <w:p w14:paraId="2BB894F1" w14:textId="77777777" w:rsidR="003603B2" w:rsidRPr="00CD7FAA" w:rsidRDefault="003603B2" w:rsidP="003603B2">
            <w:pPr>
              <w:ind w:firstLine="284"/>
              <w:rPr>
                <w:color w:val="000000" w:themeColor="text1"/>
                <w:szCs w:val="24"/>
              </w:rPr>
            </w:pPr>
            <w:r w:rsidRPr="00CD7FAA">
              <w:rPr>
                <w:color w:val="000000" w:themeColor="text1"/>
                <w:szCs w:val="24"/>
              </w:rPr>
              <w:t>(0.0108275)</w:t>
            </w:r>
          </w:p>
        </w:tc>
        <w:tc>
          <w:tcPr>
            <w:tcW w:w="1118" w:type="pct"/>
          </w:tcPr>
          <w:p w14:paraId="6336B7B7" w14:textId="77777777" w:rsidR="003603B2" w:rsidRPr="00CD7FAA" w:rsidRDefault="003603B2" w:rsidP="003603B2">
            <w:pPr>
              <w:ind w:firstLine="284"/>
              <w:rPr>
                <w:color w:val="000000" w:themeColor="text1"/>
                <w:szCs w:val="24"/>
              </w:rPr>
            </w:pPr>
            <w:r w:rsidRPr="00CD7FAA">
              <w:rPr>
                <w:color w:val="000000" w:themeColor="text1"/>
                <w:szCs w:val="24"/>
              </w:rPr>
              <w:t>-0.5189626***</w:t>
            </w:r>
          </w:p>
          <w:p w14:paraId="4532E356" w14:textId="77777777" w:rsidR="003603B2" w:rsidRPr="00CD7FAA" w:rsidRDefault="003603B2" w:rsidP="003603B2">
            <w:pPr>
              <w:ind w:firstLine="284"/>
              <w:rPr>
                <w:color w:val="000000" w:themeColor="text1"/>
                <w:szCs w:val="24"/>
              </w:rPr>
            </w:pPr>
            <w:r w:rsidRPr="00CD7FAA">
              <w:rPr>
                <w:color w:val="000000" w:themeColor="text1"/>
                <w:szCs w:val="24"/>
              </w:rPr>
              <w:t>(.0105974)</w:t>
            </w:r>
          </w:p>
        </w:tc>
      </w:tr>
      <w:tr w:rsidR="003603B2" w:rsidRPr="00CD7FAA" w14:paraId="4082098D" w14:textId="77777777" w:rsidTr="00DF50D7">
        <w:trPr>
          <w:jc w:val="center"/>
        </w:trPr>
        <w:tc>
          <w:tcPr>
            <w:tcW w:w="1644" w:type="pct"/>
            <w:shd w:val="clear" w:color="auto" w:fill="auto"/>
            <w:tcMar>
              <w:top w:w="57" w:type="dxa"/>
              <w:bottom w:w="57" w:type="dxa"/>
            </w:tcMar>
            <w:vAlign w:val="center"/>
          </w:tcPr>
          <w:p w14:paraId="0A75AA9F" w14:textId="2DDF0FDD" w:rsidR="003603B2" w:rsidRPr="00CD7FAA" w:rsidRDefault="003603B2" w:rsidP="003603B2">
            <w:pPr>
              <w:jc w:val="left"/>
              <w:rPr>
                <w:color w:val="000000" w:themeColor="text1"/>
                <w:szCs w:val="24"/>
              </w:rPr>
            </w:pPr>
            <w:r w:rsidRPr="00CD7FAA">
              <w:rPr>
                <w:color w:val="000000" w:themeColor="text1"/>
                <w:szCs w:val="24"/>
              </w:rPr>
              <w:t>HIGHER EDUCATION REGION</w:t>
            </w:r>
          </w:p>
        </w:tc>
        <w:tc>
          <w:tcPr>
            <w:tcW w:w="1119" w:type="pct"/>
            <w:shd w:val="clear" w:color="auto" w:fill="auto"/>
            <w:vAlign w:val="center"/>
          </w:tcPr>
          <w:p w14:paraId="5F1F4E42" w14:textId="77777777" w:rsidR="003603B2" w:rsidRPr="00CD7FAA" w:rsidRDefault="003603B2" w:rsidP="003603B2">
            <w:pPr>
              <w:ind w:firstLine="284"/>
              <w:rPr>
                <w:color w:val="000000" w:themeColor="text1"/>
                <w:szCs w:val="24"/>
              </w:rPr>
            </w:pPr>
            <w:r w:rsidRPr="00CD7FAA">
              <w:rPr>
                <w:color w:val="000000" w:themeColor="text1"/>
                <w:szCs w:val="24"/>
              </w:rPr>
              <w:t>-8.460468***</w:t>
            </w:r>
          </w:p>
          <w:p w14:paraId="4F0A122B" w14:textId="77777777" w:rsidR="003603B2" w:rsidRPr="00CD7FAA" w:rsidRDefault="003603B2" w:rsidP="003603B2">
            <w:pPr>
              <w:ind w:firstLine="284"/>
              <w:rPr>
                <w:color w:val="000000" w:themeColor="text1"/>
                <w:szCs w:val="24"/>
              </w:rPr>
            </w:pPr>
            <w:r w:rsidRPr="00CD7FAA">
              <w:rPr>
                <w:color w:val="000000" w:themeColor="text1"/>
                <w:szCs w:val="24"/>
              </w:rPr>
              <w:t>(0.2814388)</w:t>
            </w:r>
          </w:p>
        </w:tc>
        <w:tc>
          <w:tcPr>
            <w:tcW w:w="1119" w:type="pct"/>
            <w:shd w:val="clear" w:color="auto" w:fill="auto"/>
            <w:tcMar>
              <w:top w:w="57" w:type="dxa"/>
              <w:bottom w:w="57" w:type="dxa"/>
            </w:tcMar>
            <w:vAlign w:val="center"/>
          </w:tcPr>
          <w:p w14:paraId="5067CD71" w14:textId="77777777" w:rsidR="003603B2" w:rsidRPr="00CD7FAA" w:rsidRDefault="003603B2" w:rsidP="003603B2">
            <w:pPr>
              <w:ind w:firstLine="284"/>
              <w:rPr>
                <w:color w:val="000000" w:themeColor="text1"/>
                <w:szCs w:val="24"/>
              </w:rPr>
            </w:pPr>
            <w:r w:rsidRPr="00CD7FAA">
              <w:rPr>
                <w:color w:val="000000" w:themeColor="text1"/>
                <w:szCs w:val="24"/>
              </w:rPr>
              <w:t>-7.45948***</w:t>
            </w:r>
          </w:p>
          <w:p w14:paraId="39414F61" w14:textId="77777777" w:rsidR="003603B2" w:rsidRPr="00CD7FAA" w:rsidRDefault="003603B2" w:rsidP="003603B2">
            <w:pPr>
              <w:ind w:firstLine="284"/>
              <w:rPr>
                <w:color w:val="000000" w:themeColor="text1"/>
                <w:szCs w:val="24"/>
              </w:rPr>
            </w:pPr>
            <w:r w:rsidRPr="00CD7FAA">
              <w:rPr>
                <w:color w:val="000000" w:themeColor="text1"/>
                <w:szCs w:val="24"/>
              </w:rPr>
              <w:t>(0.2790006)</w:t>
            </w:r>
          </w:p>
        </w:tc>
        <w:tc>
          <w:tcPr>
            <w:tcW w:w="1118" w:type="pct"/>
          </w:tcPr>
          <w:p w14:paraId="198F0239" w14:textId="77777777" w:rsidR="003603B2" w:rsidRPr="00CD7FAA" w:rsidRDefault="003603B2" w:rsidP="003603B2">
            <w:pPr>
              <w:ind w:firstLine="284"/>
              <w:rPr>
                <w:color w:val="000000" w:themeColor="text1"/>
                <w:szCs w:val="24"/>
              </w:rPr>
            </w:pPr>
            <w:r w:rsidRPr="00CD7FAA">
              <w:rPr>
                <w:color w:val="000000" w:themeColor="text1"/>
                <w:szCs w:val="24"/>
              </w:rPr>
              <w:t>-8.464117***</w:t>
            </w:r>
          </w:p>
          <w:p w14:paraId="1E551136" w14:textId="77777777" w:rsidR="003603B2" w:rsidRPr="00CD7FAA" w:rsidRDefault="003603B2" w:rsidP="003603B2">
            <w:pPr>
              <w:ind w:firstLine="284"/>
              <w:rPr>
                <w:color w:val="000000" w:themeColor="text1"/>
                <w:szCs w:val="24"/>
              </w:rPr>
            </w:pPr>
            <w:r w:rsidRPr="00CD7FAA">
              <w:rPr>
                <w:color w:val="000000" w:themeColor="text1"/>
                <w:szCs w:val="24"/>
              </w:rPr>
              <w:t>(0.2813778)</w:t>
            </w:r>
          </w:p>
        </w:tc>
      </w:tr>
      <w:tr w:rsidR="003603B2" w:rsidRPr="00CD7FAA" w14:paraId="6C479C4D" w14:textId="77777777" w:rsidTr="00DF50D7">
        <w:trPr>
          <w:jc w:val="center"/>
        </w:trPr>
        <w:tc>
          <w:tcPr>
            <w:tcW w:w="1644" w:type="pct"/>
            <w:shd w:val="clear" w:color="auto" w:fill="auto"/>
            <w:tcMar>
              <w:top w:w="57" w:type="dxa"/>
              <w:bottom w:w="57" w:type="dxa"/>
            </w:tcMar>
            <w:vAlign w:val="center"/>
          </w:tcPr>
          <w:p w14:paraId="57B54442" w14:textId="2E9435C7" w:rsidR="003603B2" w:rsidRPr="00CD7FAA" w:rsidRDefault="003603B2" w:rsidP="003603B2">
            <w:pPr>
              <w:jc w:val="left"/>
              <w:rPr>
                <w:color w:val="000000" w:themeColor="text1"/>
                <w:szCs w:val="24"/>
              </w:rPr>
            </w:pPr>
            <w:r w:rsidRPr="00CD7FAA">
              <w:rPr>
                <w:color w:val="000000" w:themeColor="text1"/>
                <w:szCs w:val="24"/>
              </w:rPr>
              <w:t>REGION R&amp;D EMPLOYEES</w:t>
            </w:r>
          </w:p>
        </w:tc>
        <w:tc>
          <w:tcPr>
            <w:tcW w:w="1119" w:type="pct"/>
            <w:shd w:val="clear" w:color="auto" w:fill="auto"/>
            <w:vAlign w:val="center"/>
          </w:tcPr>
          <w:p w14:paraId="6008703E" w14:textId="77777777" w:rsidR="003603B2" w:rsidRPr="00CD7FAA" w:rsidRDefault="003603B2" w:rsidP="003603B2">
            <w:pPr>
              <w:ind w:firstLine="284"/>
              <w:rPr>
                <w:color w:val="000000" w:themeColor="text1"/>
                <w:szCs w:val="24"/>
              </w:rPr>
            </w:pPr>
            <w:r w:rsidRPr="00CD7FAA">
              <w:rPr>
                <w:color w:val="000000" w:themeColor="text1"/>
                <w:szCs w:val="24"/>
              </w:rPr>
              <w:t>0.7117253***</w:t>
            </w:r>
          </w:p>
          <w:p w14:paraId="3EC6D350" w14:textId="77777777" w:rsidR="003603B2" w:rsidRPr="00CD7FAA" w:rsidRDefault="003603B2" w:rsidP="003603B2">
            <w:pPr>
              <w:ind w:firstLine="284"/>
              <w:rPr>
                <w:color w:val="000000" w:themeColor="text1"/>
                <w:szCs w:val="24"/>
              </w:rPr>
            </w:pPr>
            <w:r w:rsidRPr="00CD7FAA">
              <w:rPr>
                <w:color w:val="000000" w:themeColor="text1"/>
                <w:szCs w:val="24"/>
              </w:rPr>
              <w:t>(0.0744497)</w:t>
            </w:r>
          </w:p>
        </w:tc>
        <w:tc>
          <w:tcPr>
            <w:tcW w:w="1119" w:type="pct"/>
            <w:shd w:val="clear" w:color="auto" w:fill="auto"/>
            <w:tcMar>
              <w:top w:w="57" w:type="dxa"/>
              <w:bottom w:w="57" w:type="dxa"/>
            </w:tcMar>
            <w:vAlign w:val="center"/>
          </w:tcPr>
          <w:p w14:paraId="6CA58744" w14:textId="77777777" w:rsidR="003603B2" w:rsidRPr="00CD7FAA" w:rsidRDefault="003603B2" w:rsidP="003603B2">
            <w:pPr>
              <w:ind w:firstLine="284"/>
              <w:rPr>
                <w:color w:val="000000" w:themeColor="text1"/>
                <w:szCs w:val="24"/>
              </w:rPr>
            </w:pPr>
            <w:r w:rsidRPr="00CD7FAA">
              <w:rPr>
                <w:color w:val="000000" w:themeColor="text1"/>
                <w:szCs w:val="24"/>
              </w:rPr>
              <w:t>0.7192622***</w:t>
            </w:r>
          </w:p>
          <w:p w14:paraId="2543286D" w14:textId="77777777" w:rsidR="003603B2" w:rsidRPr="00CD7FAA" w:rsidRDefault="003603B2" w:rsidP="003603B2">
            <w:pPr>
              <w:ind w:firstLine="284"/>
              <w:rPr>
                <w:color w:val="000000" w:themeColor="text1"/>
                <w:szCs w:val="24"/>
              </w:rPr>
            </w:pPr>
            <w:r w:rsidRPr="00CD7FAA">
              <w:rPr>
                <w:color w:val="000000" w:themeColor="text1"/>
                <w:szCs w:val="24"/>
              </w:rPr>
              <w:t>(0.0715925)</w:t>
            </w:r>
          </w:p>
        </w:tc>
        <w:tc>
          <w:tcPr>
            <w:tcW w:w="1118" w:type="pct"/>
          </w:tcPr>
          <w:p w14:paraId="1C72A6A8" w14:textId="77777777" w:rsidR="003603B2" w:rsidRPr="00CD7FAA" w:rsidRDefault="003603B2" w:rsidP="003603B2">
            <w:pPr>
              <w:ind w:firstLine="284"/>
              <w:rPr>
                <w:color w:val="000000" w:themeColor="text1"/>
                <w:szCs w:val="24"/>
              </w:rPr>
            </w:pPr>
            <w:r w:rsidRPr="00CD7FAA">
              <w:rPr>
                <w:color w:val="000000" w:themeColor="text1"/>
                <w:szCs w:val="24"/>
              </w:rPr>
              <w:t>0.714676***</w:t>
            </w:r>
          </w:p>
          <w:p w14:paraId="75703253" w14:textId="77777777" w:rsidR="003603B2" w:rsidRPr="00CD7FAA" w:rsidRDefault="003603B2" w:rsidP="003603B2">
            <w:pPr>
              <w:ind w:firstLine="284"/>
              <w:rPr>
                <w:color w:val="000000" w:themeColor="text1"/>
                <w:szCs w:val="24"/>
              </w:rPr>
            </w:pPr>
            <w:r w:rsidRPr="00CD7FAA">
              <w:rPr>
                <w:color w:val="000000" w:themeColor="text1"/>
                <w:szCs w:val="24"/>
              </w:rPr>
              <w:t>(0.0745647)</w:t>
            </w:r>
          </w:p>
        </w:tc>
      </w:tr>
      <w:tr w:rsidR="003603B2" w:rsidRPr="00CD7FAA" w14:paraId="3C133768" w14:textId="77777777" w:rsidTr="00DF50D7">
        <w:trPr>
          <w:jc w:val="center"/>
        </w:trPr>
        <w:tc>
          <w:tcPr>
            <w:tcW w:w="1644" w:type="pct"/>
            <w:shd w:val="clear" w:color="auto" w:fill="auto"/>
            <w:tcMar>
              <w:top w:w="57" w:type="dxa"/>
              <w:bottom w:w="57" w:type="dxa"/>
            </w:tcMar>
            <w:vAlign w:val="center"/>
          </w:tcPr>
          <w:p w14:paraId="12442372" w14:textId="52B69B48" w:rsidR="003603B2" w:rsidRPr="00CD7FAA" w:rsidRDefault="003603B2" w:rsidP="003603B2">
            <w:pPr>
              <w:jc w:val="left"/>
              <w:rPr>
                <w:color w:val="000000" w:themeColor="text1"/>
                <w:szCs w:val="24"/>
              </w:rPr>
            </w:pPr>
            <w:r w:rsidRPr="00CD7FAA">
              <w:rPr>
                <w:color w:val="000000" w:themeColor="text1"/>
                <w:szCs w:val="24"/>
              </w:rPr>
              <w:t>VENTURE CAPITAL REGION</w:t>
            </w:r>
          </w:p>
        </w:tc>
        <w:tc>
          <w:tcPr>
            <w:tcW w:w="1119" w:type="pct"/>
            <w:shd w:val="clear" w:color="auto" w:fill="auto"/>
            <w:vAlign w:val="center"/>
          </w:tcPr>
          <w:p w14:paraId="5B108E6D" w14:textId="77777777" w:rsidR="003603B2" w:rsidRPr="00CD7FAA" w:rsidRDefault="003603B2" w:rsidP="003603B2">
            <w:pPr>
              <w:ind w:firstLine="284"/>
              <w:rPr>
                <w:color w:val="000000" w:themeColor="text1"/>
                <w:szCs w:val="24"/>
              </w:rPr>
            </w:pPr>
            <w:r w:rsidRPr="00CD7FAA">
              <w:rPr>
                <w:color w:val="000000" w:themeColor="text1"/>
                <w:szCs w:val="24"/>
              </w:rPr>
              <w:t xml:space="preserve">  2.4804***</w:t>
            </w:r>
          </w:p>
          <w:p w14:paraId="2534C66A" w14:textId="77777777" w:rsidR="003603B2" w:rsidRPr="00CD7FAA" w:rsidRDefault="003603B2" w:rsidP="003603B2">
            <w:pPr>
              <w:ind w:firstLine="284"/>
              <w:rPr>
                <w:color w:val="000000" w:themeColor="text1"/>
                <w:szCs w:val="24"/>
              </w:rPr>
            </w:pPr>
            <w:r w:rsidRPr="00CD7FAA">
              <w:rPr>
                <w:color w:val="000000" w:themeColor="text1"/>
                <w:szCs w:val="24"/>
              </w:rPr>
              <w:t>(0.0166571)</w:t>
            </w:r>
          </w:p>
        </w:tc>
        <w:tc>
          <w:tcPr>
            <w:tcW w:w="1119" w:type="pct"/>
            <w:shd w:val="clear" w:color="auto" w:fill="auto"/>
            <w:tcMar>
              <w:top w:w="57" w:type="dxa"/>
              <w:bottom w:w="57" w:type="dxa"/>
            </w:tcMar>
            <w:vAlign w:val="center"/>
          </w:tcPr>
          <w:p w14:paraId="74AC89AD" w14:textId="77777777" w:rsidR="003603B2" w:rsidRPr="00CD7FAA" w:rsidRDefault="003603B2" w:rsidP="003603B2">
            <w:pPr>
              <w:ind w:firstLine="284"/>
              <w:rPr>
                <w:color w:val="000000" w:themeColor="text1"/>
                <w:szCs w:val="24"/>
              </w:rPr>
            </w:pPr>
            <w:r w:rsidRPr="00CD7FAA">
              <w:rPr>
                <w:color w:val="000000" w:themeColor="text1"/>
                <w:szCs w:val="24"/>
              </w:rPr>
              <w:t xml:space="preserve">2.495109*** </w:t>
            </w:r>
          </w:p>
          <w:p w14:paraId="1A2AA265" w14:textId="77777777" w:rsidR="003603B2" w:rsidRPr="00CD7FAA" w:rsidRDefault="003603B2" w:rsidP="003603B2">
            <w:pPr>
              <w:ind w:firstLine="284"/>
              <w:rPr>
                <w:color w:val="000000" w:themeColor="text1"/>
                <w:szCs w:val="24"/>
              </w:rPr>
            </w:pPr>
            <w:r w:rsidRPr="00CD7FAA">
              <w:rPr>
                <w:color w:val="000000" w:themeColor="text1"/>
                <w:szCs w:val="24"/>
              </w:rPr>
              <w:t>(0.0165633)</w:t>
            </w:r>
          </w:p>
        </w:tc>
        <w:tc>
          <w:tcPr>
            <w:tcW w:w="1118" w:type="pct"/>
          </w:tcPr>
          <w:p w14:paraId="70A4A992" w14:textId="77777777" w:rsidR="003603B2" w:rsidRPr="00CD7FAA" w:rsidRDefault="003603B2" w:rsidP="003603B2">
            <w:pPr>
              <w:ind w:firstLine="284"/>
              <w:rPr>
                <w:color w:val="000000" w:themeColor="text1"/>
                <w:szCs w:val="24"/>
              </w:rPr>
            </w:pPr>
            <w:r w:rsidRPr="00CD7FAA">
              <w:rPr>
                <w:color w:val="000000" w:themeColor="text1"/>
                <w:szCs w:val="24"/>
              </w:rPr>
              <w:t>2.479967***</w:t>
            </w:r>
          </w:p>
          <w:p w14:paraId="780A3EAC" w14:textId="77777777" w:rsidR="003603B2" w:rsidRPr="00CD7FAA" w:rsidRDefault="003603B2" w:rsidP="003603B2">
            <w:pPr>
              <w:ind w:firstLine="284"/>
              <w:rPr>
                <w:color w:val="000000" w:themeColor="text1"/>
                <w:szCs w:val="24"/>
              </w:rPr>
            </w:pPr>
            <w:r w:rsidRPr="00CD7FAA">
              <w:rPr>
                <w:color w:val="000000" w:themeColor="text1"/>
                <w:szCs w:val="24"/>
              </w:rPr>
              <w:t>(0.016691)</w:t>
            </w:r>
          </w:p>
        </w:tc>
      </w:tr>
      <w:tr w:rsidR="003603B2" w:rsidRPr="00CD7FAA" w14:paraId="3C133D74" w14:textId="77777777" w:rsidTr="00DF50D7">
        <w:trPr>
          <w:jc w:val="center"/>
        </w:trPr>
        <w:tc>
          <w:tcPr>
            <w:tcW w:w="1644" w:type="pct"/>
            <w:shd w:val="clear" w:color="auto" w:fill="auto"/>
            <w:tcMar>
              <w:top w:w="57" w:type="dxa"/>
              <w:bottom w:w="57" w:type="dxa"/>
            </w:tcMar>
            <w:vAlign w:val="center"/>
          </w:tcPr>
          <w:p w14:paraId="4841726A" w14:textId="5A29250F" w:rsidR="003603B2" w:rsidRPr="00CD7FAA" w:rsidRDefault="003603B2" w:rsidP="003603B2">
            <w:pPr>
              <w:jc w:val="left"/>
              <w:rPr>
                <w:color w:val="000000" w:themeColor="text1"/>
                <w:szCs w:val="24"/>
              </w:rPr>
            </w:pPr>
            <w:r w:rsidRPr="00CD7FAA">
              <w:rPr>
                <w:color w:val="000000" w:themeColor="text1"/>
                <w:szCs w:val="24"/>
              </w:rPr>
              <w:t>COMPANIES INNOVATIVE REGION</w:t>
            </w:r>
          </w:p>
        </w:tc>
        <w:tc>
          <w:tcPr>
            <w:tcW w:w="1119" w:type="pct"/>
            <w:shd w:val="clear" w:color="auto" w:fill="auto"/>
            <w:vAlign w:val="center"/>
          </w:tcPr>
          <w:p w14:paraId="11CF19FD" w14:textId="77777777" w:rsidR="003603B2" w:rsidRPr="00CD7FAA" w:rsidRDefault="003603B2" w:rsidP="003603B2">
            <w:pPr>
              <w:ind w:firstLine="284"/>
              <w:rPr>
                <w:color w:val="000000" w:themeColor="text1"/>
                <w:szCs w:val="24"/>
              </w:rPr>
            </w:pPr>
            <w:r w:rsidRPr="00CD7FAA">
              <w:rPr>
                <w:color w:val="000000" w:themeColor="text1"/>
                <w:szCs w:val="24"/>
              </w:rPr>
              <w:t>100.2985***</w:t>
            </w:r>
          </w:p>
          <w:p w14:paraId="5124AB58" w14:textId="77777777" w:rsidR="003603B2" w:rsidRPr="00CD7FAA" w:rsidRDefault="003603B2" w:rsidP="003603B2">
            <w:pPr>
              <w:ind w:firstLine="284"/>
              <w:rPr>
                <w:color w:val="000000" w:themeColor="text1"/>
                <w:szCs w:val="24"/>
              </w:rPr>
            </w:pPr>
            <w:r w:rsidRPr="00CD7FAA">
              <w:rPr>
                <w:color w:val="000000" w:themeColor="text1"/>
                <w:szCs w:val="24"/>
              </w:rPr>
              <w:t>(1.904135)</w:t>
            </w:r>
          </w:p>
        </w:tc>
        <w:tc>
          <w:tcPr>
            <w:tcW w:w="1119" w:type="pct"/>
            <w:shd w:val="clear" w:color="auto" w:fill="auto"/>
            <w:tcMar>
              <w:top w:w="57" w:type="dxa"/>
              <w:bottom w:w="57" w:type="dxa"/>
            </w:tcMar>
            <w:vAlign w:val="center"/>
          </w:tcPr>
          <w:p w14:paraId="06CE1DCC" w14:textId="77777777" w:rsidR="003603B2" w:rsidRPr="00CD7FAA" w:rsidRDefault="003603B2" w:rsidP="003603B2">
            <w:pPr>
              <w:ind w:firstLine="284"/>
              <w:rPr>
                <w:color w:val="000000" w:themeColor="text1"/>
                <w:szCs w:val="24"/>
              </w:rPr>
            </w:pPr>
            <w:r w:rsidRPr="00CD7FAA">
              <w:rPr>
                <w:color w:val="000000" w:themeColor="text1"/>
                <w:szCs w:val="24"/>
              </w:rPr>
              <w:t>92.14016***</w:t>
            </w:r>
          </w:p>
          <w:p w14:paraId="2C59D1E2" w14:textId="77777777" w:rsidR="003603B2" w:rsidRPr="00CD7FAA" w:rsidRDefault="003603B2" w:rsidP="003603B2">
            <w:pPr>
              <w:ind w:firstLine="284"/>
              <w:rPr>
                <w:color w:val="000000" w:themeColor="text1"/>
                <w:szCs w:val="24"/>
              </w:rPr>
            </w:pPr>
            <w:r w:rsidRPr="00CD7FAA">
              <w:rPr>
                <w:color w:val="000000" w:themeColor="text1"/>
                <w:szCs w:val="24"/>
              </w:rPr>
              <w:t>(1.887247)</w:t>
            </w:r>
          </w:p>
        </w:tc>
        <w:tc>
          <w:tcPr>
            <w:tcW w:w="1118" w:type="pct"/>
          </w:tcPr>
          <w:p w14:paraId="0CD59C7A" w14:textId="77777777" w:rsidR="003603B2" w:rsidRPr="00CD7FAA" w:rsidRDefault="003603B2" w:rsidP="003603B2">
            <w:pPr>
              <w:ind w:firstLine="284"/>
              <w:rPr>
                <w:color w:val="000000" w:themeColor="text1"/>
                <w:szCs w:val="24"/>
              </w:rPr>
            </w:pPr>
            <w:r w:rsidRPr="00CD7FAA">
              <w:rPr>
                <w:color w:val="000000" w:themeColor="text1"/>
                <w:szCs w:val="24"/>
              </w:rPr>
              <w:t>100.277***</w:t>
            </w:r>
          </w:p>
          <w:p w14:paraId="79E0B1D5" w14:textId="77777777" w:rsidR="003603B2" w:rsidRPr="00CD7FAA" w:rsidRDefault="003603B2" w:rsidP="003603B2">
            <w:pPr>
              <w:ind w:firstLine="284"/>
              <w:rPr>
                <w:color w:val="000000" w:themeColor="text1"/>
                <w:szCs w:val="24"/>
              </w:rPr>
            </w:pPr>
            <w:r w:rsidRPr="00CD7FAA">
              <w:rPr>
                <w:color w:val="000000" w:themeColor="text1"/>
                <w:szCs w:val="24"/>
              </w:rPr>
              <w:t>(1.90384)</w:t>
            </w:r>
          </w:p>
        </w:tc>
      </w:tr>
      <w:tr w:rsidR="00EB7E90" w:rsidRPr="00CD7FAA" w14:paraId="44F1BFDD" w14:textId="77777777" w:rsidTr="00DF50D7">
        <w:trPr>
          <w:jc w:val="center"/>
        </w:trPr>
        <w:tc>
          <w:tcPr>
            <w:tcW w:w="1644" w:type="pct"/>
            <w:shd w:val="clear" w:color="auto" w:fill="auto"/>
            <w:tcMar>
              <w:top w:w="57" w:type="dxa"/>
              <w:bottom w:w="57" w:type="dxa"/>
            </w:tcMar>
            <w:vAlign w:val="center"/>
          </w:tcPr>
          <w:p w14:paraId="49295565" w14:textId="77777777" w:rsidR="00EB7E90" w:rsidRPr="00CD7FAA" w:rsidRDefault="00EB7E90" w:rsidP="00DF50D7">
            <w:pPr>
              <w:ind w:firstLine="284"/>
              <w:rPr>
                <w:color w:val="000000" w:themeColor="text1"/>
                <w:szCs w:val="24"/>
              </w:rPr>
            </w:pPr>
          </w:p>
        </w:tc>
        <w:tc>
          <w:tcPr>
            <w:tcW w:w="1119" w:type="pct"/>
            <w:shd w:val="clear" w:color="auto" w:fill="auto"/>
            <w:vAlign w:val="center"/>
          </w:tcPr>
          <w:p w14:paraId="51BDDDC1" w14:textId="77777777" w:rsidR="00EB7E90" w:rsidRPr="00CD7FAA" w:rsidRDefault="00EB7E90" w:rsidP="00DF50D7">
            <w:pPr>
              <w:ind w:firstLine="284"/>
              <w:rPr>
                <w:color w:val="000000" w:themeColor="text1"/>
                <w:szCs w:val="24"/>
              </w:rPr>
            </w:pPr>
          </w:p>
        </w:tc>
        <w:tc>
          <w:tcPr>
            <w:tcW w:w="1119" w:type="pct"/>
            <w:shd w:val="clear" w:color="auto" w:fill="auto"/>
            <w:tcMar>
              <w:top w:w="57" w:type="dxa"/>
              <w:bottom w:w="57" w:type="dxa"/>
            </w:tcMar>
            <w:vAlign w:val="center"/>
          </w:tcPr>
          <w:p w14:paraId="7BF11BB0" w14:textId="77777777" w:rsidR="00EB7E90" w:rsidRPr="00CD7FAA" w:rsidRDefault="00EB7E90" w:rsidP="00DF50D7">
            <w:pPr>
              <w:ind w:firstLine="284"/>
              <w:rPr>
                <w:color w:val="000000" w:themeColor="text1"/>
                <w:szCs w:val="24"/>
              </w:rPr>
            </w:pPr>
          </w:p>
        </w:tc>
        <w:tc>
          <w:tcPr>
            <w:tcW w:w="1118" w:type="pct"/>
          </w:tcPr>
          <w:p w14:paraId="6BC02253" w14:textId="77777777" w:rsidR="00EB7E90" w:rsidRPr="00CD7FAA" w:rsidRDefault="00EB7E90" w:rsidP="00DF50D7">
            <w:pPr>
              <w:ind w:firstLine="284"/>
              <w:rPr>
                <w:color w:val="000000" w:themeColor="text1"/>
                <w:szCs w:val="24"/>
              </w:rPr>
            </w:pPr>
          </w:p>
        </w:tc>
      </w:tr>
      <w:tr w:rsidR="00EB7E90" w:rsidRPr="00CD7FAA" w14:paraId="55603F96" w14:textId="77777777" w:rsidTr="00DF50D7">
        <w:trPr>
          <w:jc w:val="center"/>
        </w:trPr>
        <w:tc>
          <w:tcPr>
            <w:tcW w:w="1644" w:type="pct"/>
            <w:shd w:val="clear" w:color="auto" w:fill="auto"/>
            <w:tcMar>
              <w:top w:w="57" w:type="dxa"/>
              <w:bottom w:w="57" w:type="dxa"/>
            </w:tcMar>
            <w:vAlign w:val="center"/>
          </w:tcPr>
          <w:p w14:paraId="095A68EA" w14:textId="77777777" w:rsidR="00EB7E90" w:rsidRPr="00CD7FAA" w:rsidRDefault="00EB7E90" w:rsidP="00EB7E90">
            <w:pPr>
              <w:rPr>
                <w:color w:val="000000" w:themeColor="text1"/>
                <w:szCs w:val="24"/>
              </w:rPr>
            </w:pPr>
            <w:r w:rsidRPr="00CD7FAA">
              <w:rPr>
                <w:color w:val="000000" w:themeColor="text1"/>
                <w:szCs w:val="24"/>
              </w:rPr>
              <w:t xml:space="preserve">N. observations </w:t>
            </w:r>
          </w:p>
        </w:tc>
        <w:tc>
          <w:tcPr>
            <w:tcW w:w="1119" w:type="pct"/>
            <w:shd w:val="clear" w:color="auto" w:fill="auto"/>
            <w:vAlign w:val="center"/>
          </w:tcPr>
          <w:p w14:paraId="6C779480" w14:textId="77777777" w:rsidR="00EB7E90" w:rsidRPr="00CD7FAA" w:rsidRDefault="00EB7E90" w:rsidP="00DF50D7">
            <w:pPr>
              <w:ind w:firstLine="284"/>
              <w:rPr>
                <w:color w:val="000000" w:themeColor="text1"/>
                <w:szCs w:val="24"/>
              </w:rPr>
            </w:pPr>
            <w:r w:rsidRPr="00CD7FAA">
              <w:rPr>
                <w:color w:val="000000" w:themeColor="text1"/>
                <w:szCs w:val="24"/>
              </w:rPr>
              <w:t xml:space="preserve">  6,480</w:t>
            </w:r>
          </w:p>
        </w:tc>
        <w:tc>
          <w:tcPr>
            <w:tcW w:w="1119" w:type="pct"/>
            <w:shd w:val="clear" w:color="auto" w:fill="auto"/>
            <w:tcMar>
              <w:top w:w="57" w:type="dxa"/>
              <w:bottom w:w="57" w:type="dxa"/>
            </w:tcMar>
            <w:vAlign w:val="center"/>
          </w:tcPr>
          <w:p w14:paraId="4288D4E2" w14:textId="77777777" w:rsidR="00EB7E90" w:rsidRPr="00CD7FAA" w:rsidRDefault="00EB7E90" w:rsidP="00DF50D7">
            <w:pPr>
              <w:ind w:firstLine="284"/>
              <w:rPr>
                <w:color w:val="000000" w:themeColor="text1"/>
                <w:szCs w:val="24"/>
              </w:rPr>
            </w:pPr>
            <w:r w:rsidRPr="00CD7FAA">
              <w:rPr>
                <w:color w:val="000000" w:themeColor="text1"/>
                <w:szCs w:val="24"/>
              </w:rPr>
              <w:t>6,480</w:t>
            </w:r>
          </w:p>
        </w:tc>
        <w:tc>
          <w:tcPr>
            <w:tcW w:w="1118" w:type="pct"/>
          </w:tcPr>
          <w:p w14:paraId="165BA89D" w14:textId="77777777" w:rsidR="00EB7E90" w:rsidRPr="00CD7FAA" w:rsidRDefault="00EB7E90" w:rsidP="00DF50D7">
            <w:pPr>
              <w:ind w:firstLine="284"/>
              <w:rPr>
                <w:color w:val="000000" w:themeColor="text1"/>
                <w:szCs w:val="24"/>
              </w:rPr>
            </w:pPr>
            <w:r w:rsidRPr="00CD7FAA">
              <w:rPr>
                <w:color w:val="000000" w:themeColor="text1"/>
                <w:szCs w:val="24"/>
              </w:rPr>
              <w:t>6,480</w:t>
            </w:r>
          </w:p>
        </w:tc>
      </w:tr>
      <w:tr w:rsidR="00EB7E90" w:rsidRPr="00CD7FAA" w14:paraId="08C78AEF" w14:textId="77777777" w:rsidTr="00DF50D7">
        <w:trPr>
          <w:jc w:val="center"/>
        </w:trPr>
        <w:tc>
          <w:tcPr>
            <w:tcW w:w="1644" w:type="pct"/>
            <w:shd w:val="clear" w:color="auto" w:fill="auto"/>
            <w:tcMar>
              <w:top w:w="57" w:type="dxa"/>
              <w:bottom w:w="57" w:type="dxa"/>
            </w:tcMar>
            <w:vAlign w:val="center"/>
          </w:tcPr>
          <w:p w14:paraId="6874524E" w14:textId="77777777" w:rsidR="00EB7E90" w:rsidRPr="00CD7FAA" w:rsidRDefault="00EB7E90" w:rsidP="00EB7E90">
            <w:pPr>
              <w:rPr>
                <w:color w:val="000000" w:themeColor="text1"/>
                <w:szCs w:val="24"/>
              </w:rPr>
            </w:pPr>
            <w:r w:rsidRPr="00CD7FAA">
              <w:rPr>
                <w:color w:val="000000" w:themeColor="text1"/>
                <w:szCs w:val="24"/>
              </w:rPr>
              <w:t>F</w:t>
            </w:r>
          </w:p>
        </w:tc>
        <w:tc>
          <w:tcPr>
            <w:tcW w:w="1119" w:type="pct"/>
            <w:shd w:val="clear" w:color="auto" w:fill="auto"/>
            <w:vAlign w:val="center"/>
          </w:tcPr>
          <w:p w14:paraId="51865AFE" w14:textId="77777777" w:rsidR="00EB7E90" w:rsidRPr="00CD7FAA" w:rsidRDefault="00EB7E90" w:rsidP="00DF50D7">
            <w:pPr>
              <w:ind w:firstLine="284"/>
              <w:rPr>
                <w:color w:val="000000" w:themeColor="text1"/>
                <w:szCs w:val="24"/>
              </w:rPr>
            </w:pPr>
            <w:r w:rsidRPr="00CD7FAA">
              <w:rPr>
                <w:color w:val="000000" w:themeColor="text1"/>
                <w:szCs w:val="24"/>
              </w:rPr>
              <w:t>16040.49***</w:t>
            </w:r>
          </w:p>
        </w:tc>
        <w:tc>
          <w:tcPr>
            <w:tcW w:w="1119" w:type="pct"/>
            <w:shd w:val="clear" w:color="auto" w:fill="auto"/>
            <w:tcMar>
              <w:top w:w="57" w:type="dxa"/>
              <w:bottom w:w="57" w:type="dxa"/>
            </w:tcMar>
            <w:vAlign w:val="center"/>
          </w:tcPr>
          <w:p w14:paraId="2A5DA841" w14:textId="77777777" w:rsidR="00EB7E90" w:rsidRPr="00CD7FAA" w:rsidRDefault="00EB7E90" w:rsidP="00DF50D7">
            <w:pPr>
              <w:ind w:firstLine="284"/>
              <w:rPr>
                <w:color w:val="000000" w:themeColor="text1"/>
                <w:szCs w:val="24"/>
              </w:rPr>
            </w:pPr>
            <w:r w:rsidRPr="00CD7FAA">
              <w:rPr>
                <w:color w:val="000000" w:themeColor="text1"/>
                <w:szCs w:val="24"/>
              </w:rPr>
              <w:t xml:space="preserve">  15218.55***</w:t>
            </w:r>
          </w:p>
        </w:tc>
        <w:tc>
          <w:tcPr>
            <w:tcW w:w="1118" w:type="pct"/>
          </w:tcPr>
          <w:p w14:paraId="660C8141" w14:textId="77777777" w:rsidR="00EB7E90" w:rsidRPr="00CD7FAA" w:rsidRDefault="00EB7E90" w:rsidP="00DF50D7">
            <w:pPr>
              <w:ind w:firstLine="284"/>
              <w:rPr>
                <w:color w:val="000000" w:themeColor="text1"/>
                <w:szCs w:val="24"/>
              </w:rPr>
            </w:pPr>
            <w:r w:rsidRPr="00CD7FAA">
              <w:rPr>
                <w:color w:val="000000" w:themeColor="text1"/>
                <w:szCs w:val="24"/>
              </w:rPr>
              <w:t>13442.52***</w:t>
            </w:r>
          </w:p>
        </w:tc>
      </w:tr>
      <w:tr w:rsidR="00EB7E90" w:rsidRPr="00CD7FAA" w14:paraId="6A365C53" w14:textId="77777777" w:rsidTr="00DF50D7">
        <w:trPr>
          <w:trHeight w:val="24"/>
          <w:jc w:val="center"/>
        </w:trPr>
        <w:tc>
          <w:tcPr>
            <w:tcW w:w="1644" w:type="pct"/>
            <w:shd w:val="clear" w:color="auto" w:fill="auto"/>
            <w:tcMar>
              <w:top w:w="57" w:type="dxa"/>
              <w:bottom w:w="57" w:type="dxa"/>
            </w:tcMar>
            <w:vAlign w:val="center"/>
          </w:tcPr>
          <w:p w14:paraId="6A29B103" w14:textId="77777777" w:rsidR="00EB7E90" w:rsidRPr="00CD7FAA" w:rsidRDefault="00EB7E90" w:rsidP="00EB7E90">
            <w:pPr>
              <w:rPr>
                <w:color w:val="000000" w:themeColor="text1"/>
                <w:szCs w:val="24"/>
              </w:rPr>
            </w:pPr>
            <w:r w:rsidRPr="00CD7FAA">
              <w:rPr>
                <w:color w:val="000000" w:themeColor="text1"/>
                <w:szCs w:val="24"/>
              </w:rPr>
              <w:t>R</w:t>
            </w:r>
            <w:r w:rsidRPr="00CD7FAA">
              <w:rPr>
                <w:color w:val="000000" w:themeColor="text1"/>
                <w:szCs w:val="24"/>
                <w:vertAlign w:val="superscript"/>
              </w:rPr>
              <w:t>2</w:t>
            </w:r>
          </w:p>
        </w:tc>
        <w:tc>
          <w:tcPr>
            <w:tcW w:w="1119" w:type="pct"/>
            <w:shd w:val="clear" w:color="auto" w:fill="auto"/>
            <w:vAlign w:val="center"/>
          </w:tcPr>
          <w:p w14:paraId="5C78B726" w14:textId="77777777" w:rsidR="00EB7E90" w:rsidRPr="00CD7FAA" w:rsidRDefault="00EB7E90" w:rsidP="00DF50D7">
            <w:pPr>
              <w:ind w:firstLine="284"/>
              <w:rPr>
                <w:color w:val="000000" w:themeColor="text1"/>
                <w:szCs w:val="24"/>
              </w:rPr>
            </w:pPr>
            <w:r w:rsidRPr="00CD7FAA">
              <w:rPr>
                <w:color w:val="000000" w:themeColor="text1"/>
                <w:szCs w:val="24"/>
              </w:rPr>
              <w:t>0.9560</w:t>
            </w:r>
          </w:p>
        </w:tc>
        <w:tc>
          <w:tcPr>
            <w:tcW w:w="1119" w:type="pct"/>
            <w:shd w:val="clear" w:color="auto" w:fill="auto"/>
            <w:tcMar>
              <w:top w:w="57" w:type="dxa"/>
              <w:bottom w:w="57" w:type="dxa"/>
            </w:tcMar>
            <w:vAlign w:val="center"/>
          </w:tcPr>
          <w:p w14:paraId="1E171EB3" w14:textId="77777777" w:rsidR="00EB7E90" w:rsidRPr="00CD7FAA" w:rsidRDefault="00EB7E90" w:rsidP="00DF50D7">
            <w:pPr>
              <w:ind w:firstLine="284"/>
              <w:rPr>
                <w:color w:val="000000" w:themeColor="text1"/>
                <w:szCs w:val="24"/>
              </w:rPr>
            </w:pPr>
            <w:r w:rsidRPr="00CD7FAA">
              <w:rPr>
                <w:color w:val="000000" w:themeColor="text1"/>
                <w:szCs w:val="24"/>
              </w:rPr>
              <w:t>0.9578</w:t>
            </w:r>
          </w:p>
        </w:tc>
        <w:tc>
          <w:tcPr>
            <w:tcW w:w="1118" w:type="pct"/>
          </w:tcPr>
          <w:p w14:paraId="78017019" w14:textId="77777777" w:rsidR="00EB7E90" w:rsidRPr="00CD7FAA" w:rsidRDefault="00EB7E90" w:rsidP="00DF50D7">
            <w:pPr>
              <w:ind w:firstLine="284"/>
              <w:rPr>
                <w:color w:val="000000" w:themeColor="text1"/>
                <w:szCs w:val="24"/>
              </w:rPr>
            </w:pPr>
            <w:r w:rsidRPr="00CD7FAA">
              <w:rPr>
                <w:color w:val="000000" w:themeColor="text1"/>
                <w:szCs w:val="24"/>
              </w:rPr>
              <w:t>0.9560</w:t>
            </w:r>
          </w:p>
        </w:tc>
      </w:tr>
      <w:tr w:rsidR="00EB7E90" w:rsidRPr="00CD7FAA" w14:paraId="584A26FE" w14:textId="77777777" w:rsidTr="00DF50D7">
        <w:trPr>
          <w:jc w:val="center"/>
        </w:trPr>
        <w:tc>
          <w:tcPr>
            <w:tcW w:w="1644" w:type="pct"/>
            <w:tcBorders>
              <w:bottom w:val="single" w:sz="4" w:space="0" w:color="auto"/>
            </w:tcBorders>
            <w:shd w:val="clear" w:color="auto" w:fill="auto"/>
            <w:tcMar>
              <w:top w:w="57" w:type="dxa"/>
              <w:bottom w:w="57" w:type="dxa"/>
            </w:tcMar>
            <w:vAlign w:val="center"/>
          </w:tcPr>
          <w:p w14:paraId="4280D610" w14:textId="77777777" w:rsidR="00EB7E90" w:rsidRPr="00CD7FAA" w:rsidRDefault="00EB7E90" w:rsidP="00EB7E90">
            <w:pPr>
              <w:rPr>
                <w:color w:val="000000" w:themeColor="text1"/>
                <w:szCs w:val="24"/>
              </w:rPr>
            </w:pPr>
            <w:r w:rsidRPr="00CD7FAA">
              <w:rPr>
                <w:color w:val="000000" w:themeColor="text1"/>
                <w:szCs w:val="24"/>
              </w:rPr>
              <w:t>Root MSE</w:t>
            </w:r>
          </w:p>
        </w:tc>
        <w:tc>
          <w:tcPr>
            <w:tcW w:w="1119" w:type="pct"/>
            <w:tcBorders>
              <w:bottom w:val="single" w:sz="4" w:space="0" w:color="auto"/>
            </w:tcBorders>
            <w:shd w:val="clear" w:color="auto" w:fill="auto"/>
            <w:vAlign w:val="center"/>
          </w:tcPr>
          <w:p w14:paraId="63A0EB98" w14:textId="77777777" w:rsidR="00EB7E90" w:rsidRPr="00CD7FAA" w:rsidRDefault="00EB7E90" w:rsidP="00DF50D7">
            <w:pPr>
              <w:ind w:firstLine="284"/>
              <w:rPr>
                <w:color w:val="000000" w:themeColor="text1"/>
                <w:szCs w:val="24"/>
              </w:rPr>
            </w:pPr>
            <w:r w:rsidRPr="00CD7FAA">
              <w:rPr>
                <w:color w:val="000000" w:themeColor="text1"/>
                <w:szCs w:val="24"/>
              </w:rPr>
              <w:t>83.627</w:t>
            </w:r>
          </w:p>
        </w:tc>
        <w:tc>
          <w:tcPr>
            <w:tcW w:w="1119" w:type="pct"/>
            <w:tcBorders>
              <w:bottom w:val="single" w:sz="4" w:space="0" w:color="auto"/>
            </w:tcBorders>
            <w:shd w:val="clear" w:color="auto" w:fill="auto"/>
            <w:tcMar>
              <w:top w:w="57" w:type="dxa"/>
              <w:bottom w:w="57" w:type="dxa"/>
            </w:tcMar>
            <w:vAlign w:val="center"/>
          </w:tcPr>
          <w:p w14:paraId="2F7B0082" w14:textId="77777777" w:rsidR="00EB7E90" w:rsidRPr="00CD7FAA" w:rsidRDefault="00EB7E90" w:rsidP="00DF50D7">
            <w:pPr>
              <w:ind w:firstLine="284"/>
              <w:rPr>
                <w:color w:val="000000" w:themeColor="text1"/>
                <w:szCs w:val="24"/>
              </w:rPr>
            </w:pPr>
            <w:r w:rsidRPr="00CD7FAA">
              <w:rPr>
                <w:color w:val="000000" w:themeColor="text1"/>
                <w:szCs w:val="24"/>
              </w:rPr>
              <w:t>81.9</w:t>
            </w:r>
          </w:p>
        </w:tc>
        <w:tc>
          <w:tcPr>
            <w:tcW w:w="1118" w:type="pct"/>
            <w:tcBorders>
              <w:bottom w:val="single" w:sz="4" w:space="0" w:color="auto"/>
            </w:tcBorders>
          </w:tcPr>
          <w:p w14:paraId="1CCF5059" w14:textId="77777777" w:rsidR="00EB7E90" w:rsidRPr="00CD7FAA" w:rsidRDefault="00EB7E90" w:rsidP="00DF50D7">
            <w:pPr>
              <w:ind w:firstLine="284"/>
              <w:rPr>
                <w:color w:val="000000" w:themeColor="text1"/>
                <w:szCs w:val="24"/>
              </w:rPr>
            </w:pPr>
            <w:r w:rsidRPr="00CD7FAA">
              <w:rPr>
                <w:color w:val="000000" w:themeColor="text1"/>
                <w:szCs w:val="24"/>
              </w:rPr>
              <w:t>83.626</w:t>
            </w:r>
          </w:p>
        </w:tc>
      </w:tr>
    </w:tbl>
    <w:p w14:paraId="4208D4CD" w14:textId="77777777" w:rsidR="009F74ED" w:rsidRPr="00CD7FAA" w:rsidRDefault="009F74ED" w:rsidP="009F74ED">
      <w:pPr>
        <w:rPr>
          <w:b/>
          <w:bCs/>
          <w:color w:val="000000" w:themeColor="text1"/>
          <w:sz w:val="22"/>
          <w:szCs w:val="22"/>
        </w:rPr>
      </w:pPr>
    </w:p>
    <w:p w14:paraId="1C2592F3" w14:textId="77777777" w:rsidR="00135871" w:rsidRPr="00CD7FAA" w:rsidRDefault="00135871" w:rsidP="00A947A2">
      <w:pPr>
        <w:rPr>
          <w:color w:val="000000"/>
          <w:szCs w:val="24"/>
          <w:lang w:val="en-GB"/>
        </w:rPr>
      </w:pPr>
    </w:p>
    <w:p w14:paraId="016C426A" w14:textId="16FD075D" w:rsidR="00135871" w:rsidRPr="00CD7FAA" w:rsidRDefault="00135871" w:rsidP="00135871">
      <w:pPr>
        <w:pStyle w:val="Paragrafoelenco"/>
        <w:numPr>
          <w:ilvl w:val="0"/>
          <w:numId w:val="16"/>
        </w:numPr>
        <w:rPr>
          <w:b/>
          <w:sz w:val="30"/>
          <w:szCs w:val="30"/>
          <w:lang w:val="en-GB"/>
        </w:rPr>
      </w:pPr>
      <w:r w:rsidRPr="00CD7FAA">
        <w:rPr>
          <w:b/>
          <w:sz w:val="30"/>
          <w:szCs w:val="30"/>
          <w:lang w:val="en-GB"/>
        </w:rPr>
        <w:t xml:space="preserve">Conclusions </w:t>
      </w:r>
    </w:p>
    <w:p w14:paraId="6568DC99" w14:textId="77777777" w:rsidR="0065296A" w:rsidRPr="00CD7FAA" w:rsidRDefault="0065296A" w:rsidP="0065296A">
      <w:pPr>
        <w:rPr>
          <w:color w:val="000000" w:themeColor="text1"/>
          <w:szCs w:val="24"/>
        </w:rPr>
      </w:pPr>
      <w:r w:rsidRPr="00CD7FAA">
        <w:rPr>
          <w:color w:val="000000" w:themeColor="text1"/>
          <w:szCs w:val="24"/>
        </w:rPr>
        <w:t>This study aimed to investigate, both from a theoretical and empirical point of view, the role of university spin-offs as a contribution to the socio-economic and innovative development of the regions in which they are located. In this perspective, the study aimed to assist the emerging literature gap in our understanding of the elements that stimulate competitiveness and socio-economic growth at the regional level.</w:t>
      </w:r>
    </w:p>
    <w:p w14:paraId="02E3C901" w14:textId="77777777" w:rsidR="0065296A" w:rsidRPr="00CD7FAA" w:rsidRDefault="0065296A" w:rsidP="0065296A">
      <w:pPr>
        <w:rPr>
          <w:color w:val="000000" w:themeColor="text1"/>
          <w:szCs w:val="24"/>
        </w:rPr>
      </w:pPr>
      <w:r w:rsidRPr="00CD7FAA">
        <w:rPr>
          <w:color w:val="000000" w:themeColor="text1"/>
          <w:szCs w:val="24"/>
        </w:rPr>
        <w:t>The analysis of the role of university technology transfer through spin-off companies in actively contributing to the generation of renewed socio-economic and innovative value of the regions assumes a central role for the definition of policies and targeted actions to support technology processes and knowledge transfer from the university to the local context.</w:t>
      </w:r>
    </w:p>
    <w:p w14:paraId="77A2E2A8" w14:textId="77777777" w:rsidR="0065296A" w:rsidRPr="00CD7FAA" w:rsidRDefault="0065296A" w:rsidP="0065296A">
      <w:pPr>
        <w:rPr>
          <w:color w:val="000000" w:themeColor="text1"/>
          <w:szCs w:val="24"/>
        </w:rPr>
      </w:pPr>
      <w:r w:rsidRPr="00CD7FAA">
        <w:rPr>
          <w:color w:val="000000" w:themeColor="text1"/>
          <w:szCs w:val="24"/>
        </w:rPr>
        <w:t xml:space="preserve">The results emerging from the empirical analysis of a longitudinal sample of 952 university spin-offs located in 20 Italian administrative regions reveal that the knowledge and technological production of the university spin-out process can have an affective and active role in the regional context, stimulating it innovative capacities and supporting their socio-economic development, acting as fundamental intermediaries in the generation of territorial competitive advantage. However, it should be noted that the greater added value produced by spin-off companies is linked to the effect they have on the dynamics of innovative development of the regions in which they are located. This evidence is in line with the proactive role of </w:t>
      </w:r>
      <w:r w:rsidRPr="00CD7FAA">
        <w:rPr>
          <w:color w:val="000000" w:themeColor="text1"/>
          <w:szCs w:val="24"/>
        </w:rPr>
        <w:lastRenderedPageBreak/>
        <w:t>university spin-offs as a key link between universities and industry in the transfer of innovations fundamental to the development of the so-called knowledge economy, the results of which certainly pass through the region in which the spin-off company operates and maintains major inter-organizational relationships with heterogeneous actors in the process of technology transfer, both in the public and private sectors.</w:t>
      </w:r>
    </w:p>
    <w:p w14:paraId="3EDE492F" w14:textId="77777777" w:rsidR="0065296A" w:rsidRPr="00CD7FAA" w:rsidRDefault="0065296A" w:rsidP="0065296A">
      <w:pPr>
        <w:ind w:firstLine="284"/>
        <w:rPr>
          <w:color w:val="000000" w:themeColor="text1"/>
          <w:szCs w:val="24"/>
        </w:rPr>
      </w:pPr>
    </w:p>
    <w:p w14:paraId="70AA6E1B" w14:textId="77777777" w:rsidR="0065296A" w:rsidRPr="00CD7FAA" w:rsidRDefault="0065296A" w:rsidP="0065296A">
      <w:pPr>
        <w:rPr>
          <w:color w:val="000000" w:themeColor="text1"/>
          <w:szCs w:val="24"/>
        </w:rPr>
      </w:pPr>
      <w:r w:rsidRPr="00CD7FAA">
        <w:rPr>
          <w:color w:val="000000" w:themeColor="text1"/>
          <w:szCs w:val="24"/>
        </w:rPr>
        <w:t>Based on the evidence emerging from this research work, the study aims to provide a potential contribution to the knowledge, both theoretical and practical, about the role of the entrepreneurial university in stimulating and assisting the generation of socio-economic value by supporting the competitiveness and innovation of local contexts, with specific regard to the proactive role of university spin-offs. Furthermore, the study aims to encourage suitable strategic planning together with policies and actions targeted at increasing regional development, encouraging the economic exploitation of innovation, the role of the university and its spin-off companies as agents systematically integrated in the development models of regional competitiveness.</w:t>
      </w:r>
    </w:p>
    <w:p w14:paraId="3DE4DFE8" w14:textId="48858CCA" w:rsidR="00EB3EAB" w:rsidRPr="00CD7FAA" w:rsidRDefault="00EB3EAB" w:rsidP="00EB3EAB">
      <w:pPr>
        <w:rPr>
          <w:szCs w:val="24"/>
        </w:rPr>
      </w:pPr>
    </w:p>
    <w:p w14:paraId="4676F4EE" w14:textId="77777777" w:rsidR="00135871" w:rsidRPr="00CD7FAA" w:rsidRDefault="00135871" w:rsidP="00EB3EAB">
      <w:pPr>
        <w:rPr>
          <w:color w:val="000000"/>
          <w:szCs w:val="24"/>
          <w:lang w:val="en-GB"/>
        </w:rPr>
      </w:pPr>
    </w:p>
    <w:p w14:paraId="106E94AF" w14:textId="77777777" w:rsidR="00EB3EAB" w:rsidRPr="00CD7FAA" w:rsidRDefault="00EB3EAB" w:rsidP="00EB3EAB">
      <w:pPr>
        <w:pStyle w:val="Referencestitle0"/>
        <w:rPr>
          <w:lang w:val="en-GB"/>
        </w:rPr>
      </w:pPr>
      <w:r w:rsidRPr="00CD7FAA">
        <w:rPr>
          <w:lang w:val="en-GB"/>
        </w:rPr>
        <w:t>References</w:t>
      </w:r>
    </w:p>
    <w:p w14:paraId="42001EE5" w14:textId="0A6A713F" w:rsidR="00293B66" w:rsidRPr="00CD7FAA" w:rsidRDefault="00250464" w:rsidP="00293B66">
      <w:pPr>
        <w:pStyle w:val="ReferencesText"/>
        <w:rPr>
          <w:lang w:val="en-GB"/>
        </w:rPr>
      </w:pPr>
      <w:r w:rsidRPr="00CD7FAA">
        <w:t xml:space="preserve">T. Agasisti, C. Barra, and R. Zotti, </w:t>
      </w:r>
      <w:r w:rsidR="00EB487C" w:rsidRPr="00CD7FAA">
        <w:t>“</w:t>
      </w:r>
      <w:r w:rsidRPr="00CD7FAA">
        <w:t>Research, knowledge transfer, and innovation: The effect of Italian universities’ efficiency on local economic development</w:t>
      </w:r>
      <w:r w:rsidR="00EB487C" w:rsidRPr="00CD7FAA">
        <w:t xml:space="preserve"> 2006-2012”, Journal of Regional Science, vol</w:t>
      </w:r>
      <w:r w:rsidR="00C06BB7" w:rsidRPr="00CD7FAA">
        <w:t>.</w:t>
      </w:r>
      <w:r w:rsidR="00EB487C" w:rsidRPr="00CD7FAA">
        <w:t xml:space="preserve"> 59, no. 5, 2019, pp. 819-849.</w:t>
      </w:r>
    </w:p>
    <w:p w14:paraId="19AE0E1C" w14:textId="4BFC3025" w:rsidR="00293B66" w:rsidRPr="00CD7FAA" w:rsidRDefault="0091133F" w:rsidP="00293B66">
      <w:pPr>
        <w:pStyle w:val="ReferencesText"/>
        <w:rPr>
          <w:lang w:val="en-GB"/>
        </w:rPr>
      </w:pPr>
      <w:r w:rsidRPr="00CD7FAA">
        <w:t>H. E</w:t>
      </w:r>
      <w:r w:rsidR="00293B66" w:rsidRPr="00CD7FAA">
        <w:rPr>
          <w:lang w:val="en-GB"/>
        </w:rPr>
        <w:t>.</w:t>
      </w:r>
      <w:r w:rsidRPr="00CD7FAA">
        <w:rPr>
          <w:lang w:val="en-GB"/>
        </w:rPr>
        <w:t xml:space="preserve"> Aldrich, “</w:t>
      </w:r>
      <w:r w:rsidRPr="00CD7FAA">
        <w:t xml:space="preserve">The emergence of entrepreneurship as an academic field: A personal essay on institutional entrepreneurship”, </w:t>
      </w:r>
      <w:r w:rsidR="00C06BB7" w:rsidRPr="00CD7FAA">
        <w:t>Research Policy, vol. 41, no. 7, 2012, pp. 1240-1248.</w:t>
      </w:r>
    </w:p>
    <w:p w14:paraId="4560169F" w14:textId="79B8F82A" w:rsidR="00293B66" w:rsidRPr="00CD7FAA" w:rsidRDefault="00E31453" w:rsidP="00293B66">
      <w:pPr>
        <w:pStyle w:val="ReferencesText"/>
      </w:pPr>
      <w:r w:rsidRPr="00CD7FAA">
        <w:t>J</w:t>
      </w:r>
      <w:r w:rsidR="00293B66" w:rsidRPr="00CD7FAA">
        <w:t>.</w:t>
      </w:r>
      <w:r w:rsidRPr="00CD7FAA">
        <w:t xml:space="preserve"> Álvarez-García, C. P. Maldonado-Erazo, M. D. L. C. D. Río-Rama and </w:t>
      </w:r>
      <w:r w:rsidR="000D13F8" w:rsidRPr="00CD7FAA">
        <w:t>P. O. Sarango-Lalangui</w:t>
      </w:r>
      <w:r w:rsidR="00321C29" w:rsidRPr="00CD7FAA">
        <w:t xml:space="preserve">, “Entrepreneurship and regional development: Study of academic publications in Scientific Journals”, Entrepreneurship and Structural Change in Dynamic Territories, </w:t>
      </w:r>
      <w:r w:rsidR="00381E4A" w:rsidRPr="00CD7FAA">
        <w:t>2018, pp. 29-51</w:t>
      </w:r>
      <w:r w:rsidR="0011165A" w:rsidRPr="00CD7FAA">
        <w:t>.</w:t>
      </w:r>
    </w:p>
    <w:p w14:paraId="1250B26C" w14:textId="7797DD6F" w:rsidR="00293B66" w:rsidRPr="00CD7FAA" w:rsidRDefault="0011165A" w:rsidP="00293B66">
      <w:pPr>
        <w:pStyle w:val="ReferencesText"/>
        <w:rPr>
          <w:lang w:val="en-GB"/>
        </w:rPr>
      </w:pPr>
      <w:r w:rsidRPr="00CD7FAA">
        <w:rPr>
          <w:lang w:val="en-GB"/>
        </w:rPr>
        <w:t>D</w:t>
      </w:r>
      <w:r w:rsidR="00293B66" w:rsidRPr="00CD7FAA">
        <w:rPr>
          <w:lang w:val="en-GB"/>
        </w:rPr>
        <w:t>.</w:t>
      </w:r>
      <w:r w:rsidRPr="00CD7FAA">
        <w:rPr>
          <w:lang w:val="en-GB"/>
        </w:rPr>
        <w:t xml:space="preserve"> K. </w:t>
      </w:r>
      <w:r w:rsidRPr="00CD7FAA">
        <w:t>Amry, A. J. Ahmad and D. Lu, “</w:t>
      </w:r>
      <w:r w:rsidR="001B5A36" w:rsidRPr="00CD7FAA">
        <w:t xml:space="preserve">The new inclusive role of university technology transfer: Setting an agenda for further research”, International Journal of Innovation Studies, </w:t>
      </w:r>
      <w:r w:rsidR="0025113B" w:rsidRPr="00CD7FAA">
        <w:t>vol. 5, no. 1, 2021, pp. 9-22.</w:t>
      </w:r>
    </w:p>
    <w:p w14:paraId="3CD998D9" w14:textId="70E279A5" w:rsidR="00293B66" w:rsidRPr="00CD7FAA" w:rsidRDefault="008B572D" w:rsidP="00293B66">
      <w:pPr>
        <w:pStyle w:val="ReferencesText"/>
        <w:rPr>
          <w:lang w:val="en-GB"/>
        </w:rPr>
      </w:pPr>
      <w:r w:rsidRPr="00CD7FAA">
        <w:rPr>
          <w:lang w:val="en-GB"/>
        </w:rPr>
        <w:t>T</w:t>
      </w:r>
      <w:r w:rsidR="00293B66" w:rsidRPr="00CD7FAA">
        <w:rPr>
          <w:lang w:val="en-GB"/>
        </w:rPr>
        <w:t>.</w:t>
      </w:r>
      <w:r w:rsidRPr="00CD7FAA">
        <w:rPr>
          <w:lang w:val="en-GB"/>
        </w:rPr>
        <w:t xml:space="preserve"> </w:t>
      </w:r>
      <w:r w:rsidRPr="00CD7FAA">
        <w:t xml:space="preserve">Andreeva and A. Kianto, “Does knowledge management really matter? Linking knowledge management practices, competitiveness and economic performance”, </w:t>
      </w:r>
      <w:r w:rsidR="00BF4F2F" w:rsidRPr="00CD7FAA">
        <w:t>Journal of knowledge management, 2012.</w:t>
      </w:r>
    </w:p>
    <w:p w14:paraId="02C99ED8" w14:textId="5EDCCB19" w:rsidR="00293B66" w:rsidRPr="00CD7FAA" w:rsidRDefault="009F35B4" w:rsidP="00293B66">
      <w:pPr>
        <w:pStyle w:val="ReferencesText"/>
        <w:rPr>
          <w:lang w:val="en-GB"/>
        </w:rPr>
      </w:pPr>
      <w:r w:rsidRPr="00CD7FAA">
        <w:rPr>
          <w:lang w:val="en-GB"/>
        </w:rPr>
        <w:t>S</w:t>
      </w:r>
      <w:r w:rsidR="00293B66" w:rsidRPr="00CD7FAA">
        <w:rPr>
          <w:lang w:val="en-GB"/>
        </w:rPr>
        <w:t>.</w:t>
      </w:r>
      <w:r w:rsidRPr="00CD7FAA">
        <w:rPr>
          <w:lang w:val="en-GB"/>
        </w:rPr>
        <w:t xml:space="preserve"> N. </w:t>
      </w:r>
      <w:r w:rsidRPr="00CD7FAA">
        <w:t>Ankrah, T. F. Burgess, P. Grimshaw and N. E. Shaw</w:t>
      </w:r>
      <w:r w:rsidR="00FC0D2F" w:rsidRPr="00CD7FAA">
        <w:t xml:space="preserve">, “Asking both university and industry actors about their engagement in knowledge transfer: What single-group studies of motives omit”, Technovation, </w:t>
      </w:r>
      <w:r w:rsidR="00DC7533" w:rsidRPr="00CD7FAA">
        <w:t>vol. 33, no. 2-3, 2013, pp. 50-65.</w:t>
      </w:r>
    </w:p>
    <w:p w14:paraId="0BDF6810" w14:textId="70F76F0F" w:rsidR="00293B66" w:rsidRPr="00CD7FAA" w:rsidRDefault="00293B66" w:rsidP="00293B66">
      <w:pPr>
        <w:pStyle w:val="ReferencesText"/>
      </w:pPr>
      <w:r w:rsidRPr="00CD7FAA">
        <w:lastRenderedPageBreak/>
        <w:t xml:space="preserve">T. </w:t>
      </w:r>
      <w:r w:rsidR="00E36523" w:rsidRPr="00CD7FAA">
        <w:t>Åstebro and N</w:t>
      </w:r>
      <w:r w:rsidRPr="00CD7FAA">
        <w:t>.</w:t>
      </w:r>
      <w:r w:rsidR="00E36523" w:rsidRPr="00CD7FAA">
        <w:t xml:space="preserve"> Bazzazian, “</w:t>
      </w:r>
      <w:r w:rsidR="00BD745D" w:rsidRPr="00CD7FAA">
        <w:t xml:space="preserve">Universities, entrepreneurship, and local economic development”, </w:t>
      </w:r>
      <w:r w:rsidR="002B4533" w:rsidRPr="00CD7FAA">
        <w:t xml:space="preserve">Handbook of research on entrepreneurship and regional development, </w:t>
      </w:r>
      <w:r w:rsidR="00A52729" w:rsidRPr="00CD7FAA">
        <w:t>2011.</w:t>
      </w:r>
    </w:p>
    <w:p w14:paraId="14A7EC02" w14:textId="0211CF0A" w:rsidR="00293B66" w:rsidRPr="00CD7FAA" w:rsidRDefault="00B05855" w:rsidP="00293B66">
      <w:pPr>
        <w:pStyle w:val="ReferencesText"/>
        <w:rPr>
          <w:lang w:val="en-GB"/>
        </w:rPr>
      </w:pPr>
      <w:r w:rsidRPr="00CD7FAA">
        <w:rPr>
          <w:lang w:val="en-GB"/>
        </w:rPr>
        <w:t>D</w:t>
      </w:r>
      <w:r w:rsidR="00293B66" w:rsidRPr="00CD7FAA">
        <w:rPr>
          <w:lang w:val="en-GB"/>
        </w:rPr>
        <w:t>.</w:t>
      </w:r>
      <w:r w:rsidRPr="00CD7FAA">
        <w:rPr>
          <w:lang w:val="en-GB"/>
        </w:rPr>
        <w:t xml:space="preserve"> B</w:t>
      </w:r>
      <w:r w:rsidR="00293B66" w:rsidRPr="00CD7FAA">
        <w:rPr>
          <w:lang w:val="en-GB"/>
        </w:rPr>
        <w:t>.</w:t>
      </w:r>
      <w:r w:rsidRPr="00CD7FAA">
        <w:rPr>
          <w:lang w:val="en-GB"/>
        </w:rPr>
        <w:t xml:space="preserve"> </w:t>
      </w:r>
      <w:r w:rsidRPr="00CD7FAA">
        <w:t xml:space="preserve">Audretsch and M. Belitski, “The role of R&amp;D and knowledge spillovers in innovation and productivity”, European Economic Review, </w:t>
      </w:r>
      <w:r w:rsidR="00EC412D" w:rsidRPr="00CD7FAA">
        <w:t>vol. 123,</w:t>
      </w:r>
      <w:r w:rsidR="009636BD" w:rsidRPr="00CD7FAA">
        <w:t xml:space="preserve"> 2020,</w:t>
      </w:r>
      <w:r w:rsidR="00EC412D" w:rsidRPr="00CD7FAA">
        <w:t xml:space="preserve"> 103391</w:t>
      </w:r>
      <w:r w:rsidR="004F4335" w:rsidRPr="00CD7FAA">
        <w:t>.</w:t>
      </w:r>
    </w:p>
    <w:p w14:paraId="0915CA0F" w14:textId="570C8FFB" w:rsidR="00293B66" w:rsidRPr="00CD7FAA" w:rsidRDefault="00A74CEB" w:rsidP="00293B66">
      <w:pPr>
        <w:pStyle w:val="ReferencesText"/>
        <w:rPr>
          <w:lang w:val="en-GB"/>
        </w:rPr>
      </w:pPr>
      <w:r w:rsidRPr="00CD7FAA">
        <w:rPr>
          <w:lang w:val="en-GB"/>
        </w:rPr>
        <w:t xml:space="preserve">D. B. </w:t>
      </w:r>
      <w:r w:rsidRPr="00CD7FAA">
        <w:t>Audretsch, M. Belitski</w:t>
      </w:r>
      <w:r w:rsidRPr="00CD7FAA">
        <w:rPr>
          <w:lang w:val="en-GB"/>
        </w:rPr>
        <w:t xml:space="preserve"> and R. Caiazza, “</w:t>
      </w:r>
      <w:r w:rsidR="0079316B" w:rsidRPr="00CD7FAA">
        <w:t xml:space="preserve">Start-ups, innovation and knowledge spillovers”, The Journal of Technology Transfer, </w:t>
      </w:r>
      <w:r w:rsidR="00F879E0" w:rsidRPr="00CD7FAA">
        <w:t>vol. 46, no. 6, 2021, pp. 1995-2016.</w:t>
      </w:r>
    </w:p>
    <w:p w14:paraId="23F554AA" w14:textId="79CFDCFF" w:rsidR="00293B66" w:rsidRPr="00CD7FAA" w:rsidRDefault="00803D07" w:rsidP="00293B66">
      <w:pPr>
        <w:pStyle w:val="ReferencesText"/>
      </w:pPr>
      <w:r w:rsidRPr="00CD7FAA">
        <w:t>D. B. Audretsch, M. Belitski, R. Caiazza, C. Günther and M. Menter, “From latent to emergent entrepreneurship: The importance of context”, Technological Forecasting and Social Change,</w:t>
      </w:r>
      <w:r w:rsidR="00F84830" w:rsidRPr="00CD7FAA">
        <w:t xml:space="preserve"> 2021,</w:t>
      </w:r>
      <w:r w:rsidRPr="00CD7FAA">
        <w:t xml:space="preserve"> </w:t>
      </w:r>
      <w:r w:rsidR="005A05E6" w:rsidRPr="00CD7FAA">
        <w:t>121356</w:t>
      </w:r>
      <w:r w:rsidR="004F4335" w:rsidRPr="00CD7FAA">
        <w:t>.</w:t>
      </w:r>
    </w:p>
    <w:p w14:paraId="15BDCA3A" w14:textId="222B99C2" w:rsidR="00293B66" w:rsidRPr="00CD7FAA" w:rsidRDefault="00BF3019" w:rsidP="00293B66">
      <w:pPr>
        <w:pStyle w:val="ReferencesText"/>
        <w:rPr>
          <w:lang w:val="en-GB"/>
        </w:rPr>
      </w:pPr>
      <w:r w:rsidRPr="00CD7FAA">
        <w:rPr>
          <w:lang w:val="en-GB"/>
        </w:rPr>
        <w:t>A</w:t>
      </w:r>
      <w:r w:rsidR="00293B66" w:rsidRPr="00CD7FAA">
        <w:rPr>
          <w:lang w:val="en-GB"/>
        </w:rPr>
        <w:t>.</w:t>
      </w:r>
      <w:r w:rsidRPr="00CD7FAA">
        <w:rPr>
          <w:lang w:val="en-GB"/>
        </w:rPr>
        <w:t xml:space="preserve"> A. </w:t>
      </w:r>
      <w:r w:rsidRPr="00CD7FAA">
        <w:t>Batabyal and P. Nijkamp, “</w:t>
      </w:r>
      <w:r w:rsidR="00E828E9" w:rsidRPr="00CD7FAA">
        <w:t xml:space="preserve">Retraction of “a Schumpeterian model of entrepreneurship, innovation, and regional economic growth”, International Regional Science Review, </w:t>
      </w:r>
      <w:r w:rsidR="00CC05C0" w:rsidRPr="00CD7FAA">
        <w:t>vol. 35, no. 4, 2012, pp. 464-486.</w:t>
      </w:r>
    </w:p>
    <w:p w14:paraId="2D03C157" w14:textId="7863DB36" w:rsidR="00293B66" w:rsidRPr="00CD7FAA" w:rsidRDefault="00D85725" w:rsidP="00293B66">
      <w:pPr>
        <w:pStyle w:val="ReferencesText"/>
        <w:rPr>
          <w:lang w:val="en-GB"/>
        </w:rPr>
      </w:pPr>
      <w:r w:rsidRPr="00CD7FAA">
        <w:rPr>
          <w:lang w:val="en-GB"/>
        </w:rPr>
        <w:t>E</w:t>
      </w:r>
      <w:r w:rsidR="00293B66" w:rsidRPr="00CD7FAA">
        <w:rPr>
          <w:lang w:val="en-GB"/>
        </w:rPr>
        <w:t>.</w:t>
      </w:r>
      <w:r w:rsidRPr="00CD7FAA">
        <w:rPr>
          <w:lang w:val="en-GB"/>
        </w:rPr>
        <w:t xml:space="preserve"> G. </w:t>
      </w:r>
      <w:r w:rsidRPr="00CD7FAA">
        <w:t>Carayannis, K. Christodoulou, P. Christodoulou, S. A. Chatzichristofis and Z. Zinonos, “</w:t>
      </w:r>
      <w:r w:rsidR="005C4274" w:rsidRPr="00CD7FAA">
        <w:t>Known unknowns in an era of technological and viral disruptions—implications for theory, policy, and practice”, Journal of the knowledge economy, vol. 13, no. 1, 2022, pp. 587-610.</w:t>
      </w:r>
    </w:p>
    <w:p w14:paraId="041CF386" w14:textId="79B2D433" w:rsidR="00293B66" w:rsidRPr="00CD7FAA" w:rsidRDefault="006B745B" w:rsidP="00293B66">
      <w:pPr>
        <w:pStyle w:val="ReferencesText"/>
      </w:pPr>
      <w:r w:rsidRPr="00CD7FAA">
        <w:t>B. Clarysse, M. Wright, A. Lockett, E. Van de Velde and A. Vohora, “</w:t>
      </w:r>
      <w:r w:rsidR="00C43887" w:rsidRPr="00CD7FAA">
        <w:t>Spinning out new ventures: a typology of incubation strategies from European research institutions”, Journal of Business venturing, vol. 20, no. 2, 2005, pp. 183-216.</w:t>
      </w:r>
    </w:p>
    <w:p w14:paraId="65B70D65" w14:textId="52D65BC0" w:rsidR="00293B66" w:rsidRPr="00CD7FAA" w:rsidRDefault="00B30B97" w:rsidP="00293B66">
      <w:pPr>
        <w:pStyle w:val="ReferencesText"/>
      </w:pPr>
      <w:r w:rsidRPr="00CD7FAA">
        <w:t>L. Compagnucci and F. Spigarelli, “</w:t>
      </w:r>
      <w:r w:rsidR="009D7794" w:rsidRPr="00CD7FAA">
        <w:t xml:space="preserve">The Third Mission of the university: A systematic literature review on potentials and constraints”, </w:t>
      </w:r>
      <w:r w:rsidR="00AB34CE" w:rsidRPr="00CD7FAA">
        <w:t xml:space="preserve">Technological Forecasting and Social Change, </w:t>
      </w:r>
      <w:r w:rsidR="00B726CF" w:rsidRPr="00CD7FAA">
        <w:t>vol. 161,</w:t>
      </w:r>
      <w:r w:rsidR="00F84830" w:rsidRPr="00CD7FAA">
        <w:t xml:space="preserve"> 2020,</w:t>
      </w:r>
      <w:r w:rsidR="00B726CF" w:rsidRPr="00CD7FAA">
        <w:t xml:space="preserve"> 120284</w:t>
      </w:r>
      <w:r w:rsidR="004F4335" w:rsidRPr="00CD7FAA">
        <w:t>.</w:t>
      </w:r>
    </w:p>
    <w:p w14:paraId="3A89B63E" w14:textId="57F6EA36" w:rsidR="00293B66" w:rsidRPr="00CD7FAA" w:rsidRDefault="00050203" w:rsidP="00293B66">
      <w:pPr>
        <w:pStyle w:val="ReferencesText"/>
      </w:pPr>
      <w:r w:rsidRPr="00CD7FAA">
        <w:t>G. Criaco, T. Minola, C. Serarols-Tarres and A. Y. Bhatiya, “</w:t>
      </w:r>
      <w:r w:rsidR="002C27C4" w:rsidRPr="00CD7FAA">
        <w:t>Companies spun out of universities: Different typologies for different performance patterns”, Handbook of Research on Techno-Entrepreneurship, Second Edition</w:t>
      </w:r>
      <w:r w:rsidR="005444BB" w:rsidRPr="00CD7FAA">
        <w:t>, Edward Elgar Publishing</w:t>
      </w:r>
      <w:r w:rsidR="00FD4A21" w:rsidRPr="00CD7FAA">
        <w:t>, 2014.</w:t>
      </w:r>
    </w:p>
    <w:p w14:paraId="502142E3" w14:textId="24D8627F" w:rsidR="00293B66" w:rsidRPr="00CD7FAA" w:rsidRDefault="00723F36" w:rsidP="00293B66">
      <w:pPr>
        <w:pStyle w:val="ReferencesText"/>
        <w:rPr>
          <w:lang w:val="en-GB"/>
        </w:rPr>
      </w:pPr>
      <w:r w:rsidRPr="00CD7FAA">
        <w:t>J. A. Cunningham, E. E. Lehmann, M. Menter and N. Seitz, “</w:t>
      </w:r>
      <w:r w:rsidR="00416CEE" w:rsidRPr="00CD7FAA">
        <w:t xml:space="preserve">The impact of university focused technology transfer policies on regional innovation and entrepreneurship”, The Journal of Technology Transfer, </w:t>
      </w:r>
      <w:r w:rsidR="00741659" w:rsidRPr="00CD7FAA">
        <w:t>vol. 44, no. 5, 2019, pp. 1451-1475.</w:t>
      </w:r>
    </w:p>
    <w:p w14:paraId="270FDA8E" w14:textId="28014760" w:rsidR="00293B66" w:rsidRPr="00CD7FAA" w:rsidRDefault="00484CDE" w:rsidP="00293B66">
      <w:pPr>
        <w:pStyle w:val="ReferencesText"/>
        <w:rPr>
          <w:lang w:val="en-GB"/>
        </w:rPr>
      </w:pPr>
      <w:r w:rsidRPr="00CD7FAA">
        <w:t>G. H. Davies, J. Flanagan, D. Bolton, S. Roderick and N. Joyce, “</w:t>
      </w:r>
      <w:r w:rsidR="00877500" w:rsidRPr="00CD7FAA">
        <w:t xml:space="preserve">University knowledge spillover from an open innovation technology transfer context”, Knowledge Management Research &amp; Practice, </w:t>
      </w:r>
      <w:r w:rsidR="00214D28" w:rsidRPr="00CD7FAA">
        <w:t>vol. 19, no. 1, 2021, pp. 84-93.</w:t>
      </w:r>
    </w:p>
    <w:p w14:paraId="26403621" w14:textId="73455D75" w:rsidR="00293B66" w:rsidRPr="00CD7FAA" w:rsidRDefault="002F6258" w:rsidP="00293B66">
      <w:pPr>
        <w:pStyle w:val="ReferencesText"/>
        <w:rPr>
          <w:lang w:val="en-GB"/>
        </w:rPr>
      </w:pPr>
      <w:r w:rsidRPr="00CD7FAA">
        <w:rPr>
          <w:lang w:val="en-GB"/>
        </w:rPr>
        <w:t>S</w:t>
      </w:r>
      <w:r w:rsidR="00293B66" w:rsidRPr="00CD7FAA">
        <w:rPr>
          <w:lang w:val="en-GB"/>
        </w:rPr>
        <w:t>.</w:t>
      </w:r>
      <w:r w:rsidRPr="00CD7FAA">
        <w:rPr>
          <w:lang w:val="en-GB"/>
        </w:rPr>
        <w:t xml:space="preserve"> De Falco, “</w:t>
      </w:r>
      <w:r w:rsidRPr="00CD7FAA">
        <w:t>The role of geographical proximity from universities and research centers in growing resilience of marginal areas: the case of the east area of Naples”, TRIA-TERRITORIO DELLA RICERCA SU INSEDIAMENTI E AMBIENTE, vol. 8, no. 2, 2015, pp. 127-149.</w:t>
      </w:r>
    </w:p>
    <w:p w14:paraId="086960D7" w14:textId="75245BBB" w:rsidR="00293B66" w:rsidRPr="00CD7FAA" w:rsidRDefault="002F6258" w:rsidP="00293B66">
      <w:pPr>
        <w:pStyle w:val="ReferencesText"/>
        <w:rPr>
          <w:lang w:val="en-GB"/>
        </w:rPr>
      </w:pPr>
      <w:r w:rsidRPr="00CD7FAA">
        <w:t>E. De Wit-de Vries, W. A. Dolfsma, H. J. van der Windt and M. P. Gerkema, “</w:t>
      </w:r>
      <w:r w:rsidR="006B538F" w:rsidRPr="00CD7FAA">
        <w:t xml:space="preserve">Knowledge transfer in university–industry research partnerships: a review”, The Journal of Technology Transfer, </w:t>
      </w:r>
      <w:r w:rsidR="00C8798B" w:rsidRPr="00CD7FAA">
        <w:t>vol. 44, no. 4, 2019, pp. 1236-1255.</w:t>
      </w:r>
    </w:p>
    <w:p w14:paraId="4DB4CB35" w14:textId="3552FC7C" w:rsidR="00293B66" w:rsidRPr="00CD7FAA" w:rsidRDefault="00C8798B" w:rsidP="00293B66">
      <w:pPr>
        <w:pStyle w:val="ReferencesText"/>
        <w:rPr>
          <w:lang w:val="en-GB"/>
        </w:rPr>
      </w:pPr>
      <w:r w:rsidRPr="00CD7FAA">
        <w:lastRenderedPageBreak/>
        <w:t>H. Etzkowitz and C. Zhou, “The triple helix: University–industry–government innovation and entrepreneurship</w:t>
      </w:r>
      <w:r w:rsidRPr="00CD7FAA">
        <w:rPr>
          <w:i/>
          <w:iCs/>
        </w:rPr>
        <w:t>”</w:t>
      </w:r>
      <w:r w:rsidRPr="00CD7FAA">
        <w:t>, Routledge, 2017.</w:t>
      </w:r>
    </w:p>
    <w:p w14:paraId="2BE48573" w14:textId="13B2A3F6" w:rsidR="00293B66" w:rsidRPr="00CD7FAA" w:rsidRDefault="006D5342" w:rsidP="00293B66">
      <w:pPr>
        <w:pStyle w:val="ReferencesText"/>
      </w:pPr>
      <w:r w:rsidRPr="00CD7FAA">
        <w:t>M. Guerrero, D. Urbano, A. Fayolle, M. Klofsten and S. Mian, “</w:t>
      </w:r>
      <w:r w:rsidR="006B62CC" w:rsidRPr="00CD7FAA">
        <w:t xml:space="preserve">Entrepreneurial universities: emerging models in the new social and economic landscape”, Small business economics, </w:t>
      </w:r>
      <w:r w:rsidR="00142413" w:rsidRPr="00CD7FAA">
        <w:t>vol. 47, no. 3, 2016, pp. 551-563.</w:t>
      </w:r>
    </w:p>
    <w:p w14:paraId="78E05468" w14:textId="48272058" w:rsidR="00293B66" w:rsidRPr="00CD7FAA" w:rsidRDefault="00142413" w:rsidP="00293B66">
      <w:pPr>
        <w:pStyle w:val="ReferencesText"/>
        <w:rPr>
          <w:lang w:val="en-GB"/>
        </w:rPr>
      </w:pPr>
      <w:r w:rsidRPr="00CD7FAA">
        <w:t>S. M. Hossinger, X. Chen and A. Werner, “Drivers, barriers and success factors of academic spin-offs: a systematic literature review”, Management Review Quarterly, vol. 70, no. 1, 2020, pp. 97-134.</w:t>
      </w:r>
    </w:p>
    <w:p w14:paraId="51130C7F" w14:textId="75B85264" w:rsidR="00293B66" w:rsidRPr="00CD7FAA" w:rsidRDefault="00EC7F48" w:rsidP="00293B66">
      <w:pPr>
        <w:pStyle w:val="ReferencesText"/>
        <w:rPr>
          <w:lang w:val="en-GB"/>
        </w:rPr>
      </w:pPr>
      <w:r w:rsidRPr="00CD7FAA">
        <w:t>R. Huggins and A. Johnston, “The economic and innovation contribution of universities: a regional perspective”, Environment and Planning C: Government and Policy, vol. 27, no. 6, 2009, pp. 1088-1106.</w:t>
      </w:r>
    </w:p>
    <w:p w14:paraId="62D34192" w14:textId="2BE7E000" w:rsidR="00293B66" w:rsidRPr="00CD7FAA" w:rsidRDefault="00EC7F48" w:rsidP="00293B66">
      <w:pPr>
        <w:pStyle w:val="ReferencesText"/>
        <w:rPr>
          <w:lang w:val="en-GB"/>
        </w:rPr>
      </w:pPr>
      <w:r w:rsidRPr="00CD7FAA">
        <w:t>R. Huggins and F. Kitagawa, “Regional policy and university knowledge transfer: perspectives from devolved regions in the UK”, Regional Studies, vol. 46, no. 6, 2012, pp. 817-832.</w:t>
      </w:r>
    </w:p>
    <w:p w14:paraId="5D876B48" w14:textId="655E3179" w:rsidR="00293B66" w:rsidRPr="00CD7FAA" w:rsidRDefault="00EC7F48" w:rsidP="00293B66">
      <w:pPr>
        <w:pStyle w:val="ReferencesText"/>
        <w:rPr>
          <w:lang w:val="en-GB"/>
        </w:rPr>
      </w:pPr>
      <w:r w:rsidRPr="00CD7FAA">
        <w:rPr>
          <w:lang w:val="en-GB"/>
        </w:rPr>
        <w:t>A</w:t>
      </w:r>
      <w:r w:rsidR="00293B66" w:rsidRPr="00CD7FAA">
        <w:rPr>
          <w:lang w:val="en-GB"/>
        </w:rPr>
        <w:t>.</w:t>
      </w:r>
      <w:r w:rsidRPr="00CD7FAA">
        <w:rPr>
          <w:lang w:val="en-GB"/>
        </w:rPr>
        <w:t xml:space="preserve"> Iqbal, “</w:t>
      </w:r>
      <w:r w:rsidRPr="00CD7FAA">
        <w:t>Innovation speed and quality in higher education institutions: the role of knowledge management enablers and knowledge sharing process”, Journal of Knowledge Management, 2021.</w:t>
      </w:r>
    </w:p>
    <w:p w14:paraId="2F2BA2EB" w14:textId="77314530" w:rsidR="00293B66" w:rsidRPr="00CD7FAA" w:rsidRDefault="00EC7F48" w:rsidP="00293B66">
      <w:pPr>
        <w:pStyle w:val="ReferencesText"/>
        <w:rPr>
          <w:lang w:val="en-GB"/>
        </w:rPr>
      </w:pPr>
      <w:r w:rsidRPr="00CD7FAA">
        <w:t>S. Kruger and A. A. Steyn, “Enhancing technology transfer through entrepreneurial development: practices from innovation spaces”, The Journal of Technology Transfer, vol. 45, no. 6, 2020, pp. 1655-1689.</w:t>
      </w:r>
    </w:p>
    <w:p w14:paraId="3815CB37" w14:textId="7C95E027" w:rsidR="00293B66" w:rsidRPr="00CD7FAA" w:rsidRDefault="0012570C" w:rsidP="00293B66">
      <w:pPr>
        <w:pStyle w:val="ReferencesText"/>
      </w:pPr>
      <w:r w:rsidRPr="00CD7FAA">
        <w:t>J. N. Lopes, L. M. Farinha, J. J. Ferreira and F. A. Ferreira, “</w:t>
      </w:r>
      <w:r w:rsidR="008A4764" w:rsidRPr="00CD7FAA">
        <w:t>Peeking beyond the wall: Analysing university technology transfer and commercialisation processes”, International Journal of Technology Management</w:t>
      </w:r>
      <w:r w:rsidR="0066017D" w:rsidRPr="00CD7FAA">
        <w:t>, vol. 78, no. 1-2, 2018, pp. 107-132.</w:t>
      </w:r>
    </w:p>
    <w:p w14:paraId="3721DF83" w14:textId="05D6F4D9" w:rsidR="00293B66" w:rsidRPr="00CD7FAA" w:rsidRDefault="0066017D" w:rsidP="00293B66">
      <w:pPr>
        <w:pStyle w:val="ReferencesText"/>
      </w:pPr>
      <w:r w:rsidRPr="00CD7FAA">
        <w:t>M. C. Mason, A. Paggiaro, G. Zamparo and F. Visintin, “Entrepreneurial scales in the Italian academia context: a comparison between university spin-offs and high-tech start-ups”, International Journal of Entrepreneurship and Small Business, vol. 45, no. 2, 2022, pp. 210-234.</w:t>
      </w:r>
    </w:p>
    <w:p w14:paraId="298878F6" w14:textId="72DD48E9" w:rsidR="00293B66" w:rsidRPr="00CD7FAA" w:rsidRDefault="0066017D" w:rsidP="00293B66">
      <w:pPr>
        <w:pStyle w:val="ReferencesText"/>
        <w:rPr>
          <w:lang w:val="en-GB"/>
        </w:rPr>
      </w:pPr>
      <w:r w:rsidRPr="00CD7FAA">
        <w:t xml:space="preserve">A. Memon, Z. Yong An and M. Q. Memon, “Does financial availability sustain financial, innovative, and environmental performance? Relation via opportunity recognition”, Corporate Social Responsibility and Environmental Management, </w:t>
      </w:r>
      <w:r w:rsidR="007035DA" w:rsidRPr="00CD7FAA">
        <w:t>vol. 27, no. 2, 2020, pp. 562-575.</w:t>
      </w:r>
    </w:p>
    <w:p w14:paraId="73953D12" w14:textId="7B85520B" w:rsidR="00293B66" w:rsidRPr="00CD7FAA" w:rsidRDefault="007035DA" w:rsidP="00293B66">
      <w:pPr>
        <w:pStyle w:val="ReferencesText"/>
      </w:pPr>
      <w:r w:rsidRPr="00CD7FAA">
        <w:t>M. Meoli and S. Vismara, “</w:t>
      </w:r>
      <w:r w:rsidR="001938FE" w:rsidRPr="00CD7FAA">
        <w:t>University support and the creation of technology and non-technology academic spin-offs”, Small Business Economics, vol. 47, no. 2, 2016, pp. 345-362.</w:t>
      </w:r>
    </w:p>
    <w:p w14:paraId="3F54D539" w14:textId="2DEC25A0" w:rsidR="00293B66" w:rsidRPr="00CD7FAA" w:rsidRDefault="00103315" w:rsidP="00293B66">
      <w:pPr>
        <w:pStyle w:val="ReferencesText"/>
      </w:pPr>
      <w:r w:rsidRPr="00CD7FAA">
        <w:t>F. J. Miranda, A. Chamorro and S. Rubio, “Re-thinking university spin-off: A critical literature review and a research agenda”, The Journal of Technology Transfer, vol. 43, no. 4, 2018, pp. 1007-1038.</w:t>
      </w:r>
    </w:p>
    <w:p w14:paraId="3484C4F3" w14:textId="72EBBEA6" w:rsidR="00293B66" w:rsidRPr="00CD7FAA" w:rsidRDefault="00116BBC" w:rsidP="00293B66">
      <w:pPr>
        <w:pStyle w:val="ReferencesText"/>
        <w:rPr>
          <w:lang w:val="en-GB"/>
        </w:rPr>
      </w:pPr>
      <w:r w:rsidRPr="00CD7FAA">
        <w:rPr>
          <w:lang w:val="en-GB"/>
        </w:rPr>
        <w:t>D. Prokop, “</w:t>
      </w:r>
      <w:r w:rsidRPr="00CD7FAA">
        <w:t>University entrepreneurial ecosystems and spinoff companies: Configurations, developments and outcomes”, Technovation, vol. 107,</w:t>
      </w:r>
      <w:r w:rsidR="00F84830" w:rsidRPr="00CD7FAA">
        <w:t xml:space="preserve"> 2021,</w:t>
      </w:r>
      <w:r w:rsidR="00134DBF" w:rsidRPr="00CD7FAA">
        <w:t xml:space="preserve"> </w:t>
      </w:r>
      <w:r w:rsidRPr="00CD7FAA">
        <w:t xml:space="preserve"> 102286.</w:t>
      </w:r>
    </w:p>
    <w:p w14:paraId="74950BE2" w14:textId="0F599695" w:rsidR="00C62A12" w:rsidRPr="00CD7FAA" w:rsidRDefault="00116BBC" w:rsidP="00293B66">
      <w:pPr>
        <w:pStyle w:val="ReferencesText"/>
        <w:rPr>
          <w:lang w:val="en-GB"/>
        </w:rPr>
      </w:pPr>
      <w:r w:rsidRPr="00CD7FAA">
        <w:rPr>
          <w:lang w:val="en-GB"/>
        </w:rPr>
        <w:t>R</w:t>
      </w:r>
      <w:r w:rsidR="00C62A12" w:rsidRPr="00CD7FAA">
        <w:rPr>
          <w:lang w:val="en-GB"/>
        </w:rPr>
        <w:t>.</w:t>
      </w:r>
      <w:r w:rsidRPr="00CD7FAA">
        <w:rPr>
          <w:lang w:val="en-GB"/>
        </w:rPr>
        <w:t xml:space="preserve"> Pugh, “</w:t>
      </w:r>
      <w:r w:rsidRPr="00CD7FAA">
        <w:t>Universities and economic development in lagging regions:‘Triple helix’policy in Wales”, Regional studies, vol. 51, no. 7, 2017, pp. 982-993.</w:t>
      </w:r>
    </w:p>
    <w:p w14:paraId="64845E90" w14:textId="61E5151E" w:rsidR="00293B66" w:rsidRPr="00CD7FAA" w:rsidRDefault="00116BBC" w:rsidP="00293B66">
      <w:pPr>
        <w:pStyle w:val="ReferencesText"/>
      </w:pPr>
      <w:r w:rsidRPr="00CD7FAA">
        <w:lastRenderedPageBreak/>
        <w:t>L. Ramaciotti and U. Rizzo, “The determinants of academic spin‐off creation by Italian universities”, R&amp;D Management, vol. 45, no. 5, 2015, pp. 501-514.</w:t>
      </w:r>
    </w:p>
    <w:p w14:paraId="452CB4AC" w14:textId="1B9E9E4F" w:rsidR="00293B66" w:rsidRPr="00CD7FAA" w:rsidRDefault="00116BBC" w:rsidP="00293B66">
      <w:pPr>
        <w:pStyle w:val="ReferencesText"/>
        <w:rPr>
          <w:lang w:val="en-GB"/>
        </w:rPr>
      </w:pPr>
      <w:r w:rsidRPr="00CD7FAA">
        <w:t xml:space="preserve">M. J. Rodríguez-Gulías, D. Rodeiro-Pazos and S. Fernández-López, “The regional effect on the innovative performance of university spin-offs: a multilevel approach”, Journal of the Knowledge Economy, vol. 7, no. 4, </w:t>
      </w:r>
      <w:r w:rsidR="00947857" w:rsidRPr="00CD7FAA">
        <w:t>2016, pp. 869-889.</w:t>
      </w:r>
    </w:p>
    <w:p w14:paraId="5F1BF5B6" w14:textId="7D839DF4" w:rsidR="00293B66" w:rsidRPr="00CD7FAA" w:rsidRDefault="00542710" w:rsidP="00293B66">
      <w:pPr>
        <w:pStyle w:val="ReferencesText"/>
        <w:rPr>
          <w:lang w:val="en-GB"/>
        </w:rPr>
      </w:pPr>
      <w:r w:rsidRPr="00CD7FAA">
        <w:t>J. C. Ryan and T. M. Daly, “Barriers to innovation and knowledge generation: The challenges of conducting business and social research in an emerging country context”, Journal of Innovation &amp; Knowledge, vol. 4, no. 1, 2019, pp. 47-54.</w:t>
      </w:r>
    </w:p>
    <w:p w14:paraId="4EAE2F0B" w14:textId="53BF6225" w:rsidR="00293B66" w:rsidRPr="00CD7FAA" w:rsidRDefault="00542710" w:rsidP="00293B66">
      <w:pPr>
        <w:pStyle w:val="ReferencesText"/>
        <w:rPr>
          <w:lang w:val="en-GB"/>
        </w:rPr>
      </w:pPr>
      <w:r w:rsidRPr="00CD7FAA">
        <w:t>M. Sánchez-Barrioluengo and P. Benneworth, “Is the entrepreneurial university also regionally engaged? Analysing the influence of university's structural configuration on third mission performance”, Technological forecasting and social change, vol. 141, 2019, pp. 206-218.</w:t>
      </w:r>
    </w:p>
    <w:p w14:paraId="0B4F905E" w14:textId="4AFE01C8" w:rsidR="00293B66" w:rsidRPr="00CD7FAA" w:rsidRDefault="00542710" w:rsidP="00293B66">
      <w:pPr>
        <w:pStyle w:val="ReferencesText"/>
      </w:pPr>
      <w:r w:rsidRPr="00CD7FAA">
        <w:t>A. Schmitz, D. Urbano, G. A. Dandolini, J. A. de Souza and M. Guerrero, “Innovation and entrepreneurship in the academic setting: a systematic literature review”, International Entrepreneurship and Management Journal, vol. 13, no. 2, 2017, pp. 369-395.</w:t>
      </w:r>
    </w:p>
    <w:p w14:paraId="066211B0" w14:textId="6CA82AFF" w:rsidR="00293B66" w:rsidRPr="00CD7FAA" w:rsidRDefault="00542710" w:rsidP="00293B66">
      <w:pPr>
        <w:pStyle w:val="ReferencesText"/>
      </w:pPr>
      <w:r w:rsidRPr="00CD7FAA">
        <w:t>V. Scuotto, O. Beatrice, C. Valentina, M. Nicotra, L. Di Gioia and M. F. Briamonte, “</w:t>
      </w:r>
      <w:r w:rsidR="002B194B" w:rsidRPr="00CD7FAA">
        <w:t>Uncovering the micro-foundations of knowledge sharing in open innovation partnerships: An intention-based perspective of technology transfer”, Technological forecasting and social change, vol. 152, 2020, 119906.</w:t>
      </w:r>
    </w:p>
    <w:p w14:paraId="7B4D2E81" w14:textId="3B5B118C" w:rsidR="00293B66" w:rsidRPr="00CD7FAA" w:rsidRDefault="002B194B" w:rsidP="00293B66">
      <w:pPr>
        <w:pStyle w:val="ReferencesText"/>
      </w:pPr>
      <w:r w:rsidRPr="00CD7FAA">
        <w:t xml:space="preserve">V. Scuotto, M. Del Giudice, A. Garcia-Perez, B. Orlando and F. Ciampi, “A spill over effect of entrepreneurial orientation on technological innovativeness: an outlook of universities and research based spin offs”, </w:t>
      </w:r>
      <w:r w:rsidR="00E24361" w:rsidRPr="00CD7FAA">
        <w:t>The Journal of Technology Transfer, vol. 45, no. 6, 2020, pp. 1634-1654.</w:t>
      </w:r>
    </w:p>
    <w:p w14:paraId="5AFDF316" w14:textId="3AF8200A" w:rsidR="00293B66" w:rsidRPr="00CD7FAA" w:rsidRDefault="00E24361" w:rsidP="00293B66">
      <w:pPr>
        <w:pStyle w:val="ReferencesText"/>
        <w:rPr>
          <w:lang w:val="en-GB"/>
        </w:rPr>
      </w:pPr>
      <w:r w:rsidRPr="00CD7FAA">
        <w:t>E. Stam and A. Van de Ven, “Entrepreneurial ecosystem elements”, Small Business Economics, vol. 56, no. 2, 2021, pp. 809-832.</w:t>
      </w:r>
    </w:p>
    <w:p w14:paraId="2DFCF207" w14:textId="6C691977" w:rsidR="00A947A2" w:rsidRPr="00CD7FAA" w:rsidRDefault="00E24361" w:rsidP="00E43005">
      <w:pPr>
        <w:pStyle w:val="ReferencesText"/>
      </w:pPr>
      <w:r w:rsidRPr="00CD7FAA">
        <w:t>C. Theodoraki, L. P. Dana and A. Caputo, “Building sustainable entrepreneurial ecosystems: A holistic approach”, Journal of Business Research, vol. 140, 2022, pp. 346-360.</w:t>
      </w:r>
    </w:p>
    <w:sectPr w:rsidR="00A947A2" w:rsidRPr="00CD7FAA" w:rsidSect="000375F9">
      <w:headerReference w:type="even" r:id="rId8"/>
      <w:headerReference w:type="default" r:id="rId9"/>
      <w:headerReference w:type="first" r:id="rId10"/>
      <w:pgSz w:w="10840" w:h="15060" w:code="9"/>
      <w:pgMar w:top="1440" w:right="1440" w:bottom="1440" w:left="1440" w:header="720" w:footer="720" w:gutter="0"/>
      <w:pgNumType w:start="1"/>
      <w:cols w:space="425"/>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6C1F9" w14:textId="77777777" w:rsidR="00171AD3" w:rsidRDefault="00171AD3">
      <w:r>
        <w:separator/>
      </w:r>
    </w:p>
  </w:endnote>
  <w:endnote w:type="continuationSeparator" w:id="0">
    <w:p w14:paraId="229AC533" w14:textId="77777777" w:rsidR="00171AD3" w:rsidRDefault="00171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ms Rmn">
    <w:panose1 w:val="020B0604020202020204"/>
    <w:charset w:val="00"/>
    <w:family w:val="roman"/>
    <w:notTrueType/>
    <w:pitch w:val="variable"/>
    <w:sig w:usb0="00000003" w:usb1="00000000" w:usb2="00000000" w:usb3="00000000" w:csb0="00000001" w:csb1="00000000"/>
  </w:font>
  <w:font w:name="DFKai-SB">
    <w:altName w:val="PMingLiU"/>
    <w:panose1 w:val="020B0604020202020204"/>
    <w:charset w:val="88"/>
    <w:family w:val="script"/>
    <w:pitch w:val="fixed"/>
    <w:sig w:usb0="00000000" w:usb1="080E0000"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DAA35" w14:textId="77777777" w:rsidR="00171AD3" w:rsidRDefault="00171AD3">
      <w:r>
        <w:separator/>
      </w:r>
    </w:p>
  </w:footnote>
  <w:footnote w:type="continuationSeparator" w:id="0">
    <w:p w14:paraId="4867CBDA" w14:textId="77777777" w:rsidR="00171AD3" w:rsidRDefault="00171A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E1D55" w14:textId="19B01D21" w:rsidR="00347F24" w:rsidRDefault="00347F24" w:rsidP="00644287">
    <w:pPr>
      <w:pStyle w:val="Intestazione"/>
      <w:framePr w:wrap="around" w:vAnchor="text" w:hAnchor="page" w:x="8050" w:y="1"/>
      <w:ind w:right="360" w:firstLine="360"/>
      <w:rPr>
        <w:rStyle w:val="Numeropagina"/>
      </w:rPr>
    </w:pPr>
  </w:p>
  <w:p w14:paraId="669C5FA4" w14:textId="3D2ECA3F" w:rsidR="00644287" w:rsidRPr="00AD30BE" w:rsidRDefault="009A60C2" w:rsidP="00347F24">
    <w:pPr>
      <w:pStyle w:val="Intestazione"/>
      <w:ind w:right="360"/>
      <w:rPr>
        <w:i/>
        <w:sz w:val="22"/>
        <w:szCs w:val="22"/>
        <w:lang w:val="it-IT"/>
      </w:rPr>
    </w:pPr>
    <w:r>
      <w:fldChar w:fldCharType="begin"/>
    </w:r>
    <w:r w:rsidRPr="00AD30BE">
      <w:rPr>
        <w:lang w:val="it-IT"/>
      </w:rPr>
      <w:instrText xml:space="preserve"> PAGE   \* MERGEFORMAT </w:instrText>
    </w:r>
    <w:r>
      <w:fldChar w:fldCharType="separate"/>
    </w:r>
    <w:r w:rsidRPr="00AD30BE">
      <w:rPr>
        <w:noProof/>
        <w:lang w:val="it-IT"/>
      </w:rPr>
      <w:t>1</w:t>
    </w:r>
    <w:r>
      <w:rPr>
        <w:noProof/>
      </w:rPr>
      <w:fldChar w:fldCharType="end"/>
    </w:r>
    <w:r w:rsidR="004A218D" w:rsidRPr="00AD30BE">
      <w:rPr>
        <w:lang w:val="it-IT"/>
      </w:rPr>
      <w:t xml:space="preserve">             </w:t>
    </w:r>
    <w:r w:rsidR="00AD30BE">
      <w:rPr>
        <w:lang w:val="it-IT"/>
      </w:rPr>
      <w:t xml:space="preserve"> </w:t>
    </w:r>
    <w:r w:rsidRPr="00AD30BE">
      <w:rPr>
        <w:lang w:val="it-IT"/>
      </w:rPr>
      <w:tab/>
    </w:r>
  </w:p>
  <w:p w14:paraId="6A08299B" w14:textId="180E03D4" w:rsidR="00347F24" w:rsidRPr="00AD30BE" w:rsidRDefault="00347F24" w:rsidP="00347F24">
    <w:pPr>
      <w:pStyle w:val="Intestazione"/>
      <w:ind w:right="360"/>
      <w:rPr>
        <w:i/>
        <w:sz w:val="22"/>
        <w:szCs w:val="22"/>
        <w:lang w:val="it-I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6E5E9" w14:textId="77777777" w:rsidR="004A218D" w:rsidRPr="00C15591" w:rsidRDefault="004A218D" w:rsidP="00425D81">
    <w:pPr>
      <w:pStyle w:val="Intestazione"/>
      <w:framePr w:wrap="around" w:vAnchor="text" w:hAnchor="margin" w:xAlign="outside" w:y="1"/>
      <w:rPr>
        <w:rStyle w:val="Numeropagina"/>
        <w:sz w:val="22"/>
        <w:szCs w:val="22"/>
      </w:rPr>
    </w:pPr>
    <w:r w:rsidRPr="00C15591">
      <w:rPr>
        <w:rStyle w:val="Numeropagina"/>
        <w:sz w:val="22"/>
        <w:szCs w:val="22"/>
      </w:rPr>
      <w:fldChar w:fldCharType="begin"/>
    </w:r>
    <w:r w:rsidRPr="00C15591">
      <w:rPr>
        <w:rStyle w:val="Numeropagina"/>
        <w:sz w:val="22"/>
        <w:szCs w:val="22"/>
      </w:rPr>
      <w:instrText xml:space="preserve">PAGE  </w:instrText>
    </w:r>
    <w:r w:rsidRPr="00C15591">
      <w:rPr>
        <w:rStyle w:val="Numeropagina"/>
        <w:sz w:val="22"/>
        <w:szCs w:val="22"/>
      </w:rPr>
      <w:fldChar w:fldCharType="separate"/>
    </w:r>
    <w:r w:rsidR="00B56AC3">
      <w:rPr>
        <w:rStyle w:val="Numeropagina"/>
        <w:noProof/>
        <w:sz w:val="22"/>
        <w:szCs w:val="22"/>
      </w:rPr>
      <w:t>3</w:t>
    </w:r>
    <w:r w:rsidRPr="00C15591">
      <w:rPr>
        <w:rStyle w:val="Numeropagina"/>
        <w:sz w:val="22"/>
        <w:szCs w:val="22"/>
      </w:rPr>
      <w:fldChar w:fldCharType="end"/>
    </w:r>
  </w:p>
  <w:p w14:paraId="391EF4F6" w14:textId="77777777" w:rsidR="00347F24" w:rsidRDefault="00347F24" w:rsidP="00C15591">
    <w:pPr>
      <w:pStyle w:val="Intestazione"/>
      <w:framePr w:wrap="around" w:vAnchor="text" w:hAnchor="page" w:x="9421" w:y="-48"/>
      <w:ind w:right="360"/>
      <w:rPr>
        <w:rStyle w:val="Numeropagina"/>
      </w:rPr>
    </w:pPr>
  </w:p>
  <w:p w14:paraId="73A8489F" w14:textId="63441AB5" w:rsidR="00347F24" w:rsidRPr="00C15591" w:rsidRDefault="00347F24" w:rsidP="00347F24">
    <w:pPr>
      <w:pStyle w:val="Intestazione"/>
      <w:ind w:right="360"/>
      <w:rPr>
        <w:i/>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88687" w14:textId="420A0EBB" w:rsidR="00796E03" w:rsidRPr="00796E03" w:rsidRDefault="00796E03" w:rsidP="00796E03">
    <w:pPr>
      <w:pStyle w:val="Corpotesto"/>
      <w:spacing w:line="240" w:lineRule="auto"/>
      <w:jc w:val="left"/>
      <w:rPr>
        <w:rFonts w:ascii="Times New Roman" w:eastAsia="MS Mincho" w:hAnsi="Times New Roman"/>
        <w:b w:val="0"/>
        <w:i/>
        <w:color w:val="000000"/>
        <w:sz w:val="24"/>
        <w:szCs w:val="24"/>
        <w:lang w:eastAsia="ja-JP"/>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BA0FC9"/>
    <w:multiLevelType w:val="multilevel"/>
    <w:tmpl w:val="10084A48"/>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upperRoman"/>
      <w:isLgl/>
      <w:lvlText w:val="%1.%2.%3."/>
      <w:lvlJc w:val="left"/>
      <w:pPr>
        <w:ind w:left="1080" w:hanging="1080"/>
      </w:pPr>
      <w:rPr>
        <w:rFonts w:hint="default"/>
      </w:rPr>
    </w:lvl>
    <w:lvl w:ilvl="3">
      <w:start w:val="1"/>
      <w:numFmt w:val="upperRoman"/>
      <w:isLgl/>
      <w:lvlText w:val="%1.%2.%3.%4."/>
      <w:lvlJc w:val="left"/>
      <w:pPr>
        <w:ind w:left="1440" w:hanging="144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1402B5F"/>
    <w:multiLevelType w:val="hybridMultilevel"/>
    <w:tmpl w:val="0AEAF7B6"/>
    <w:lvl w:ilvl="0" w:tplc="8820A646">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15:restartNumberingAfterBreak="0">
    <w:nsid w:val="111C0667"/>
    <w:multiLevelType w:val="multilevel"/>
    <w:tmpl w:val="BCC8FC1A"/>
    <w:lvl w:ilvl="0">
      <w:start w:val="1"/>
      <w:numFmt w:val="decimal"/>
      <w:pStyle w:val="HeadingNumbering1"/>
      <w:lvlText w:val="%1."/>
      <w:lvlJc w:val="left"/>
      <w:pPr>
        <w:ind w:left="720" w:hanging="360"/>
      </w:pPr>
      <w:rPr>
        <w:rFonts w:hint="default"/>
      </w:rPr>
    </w:lvl>
    <w:lvl w:ilvl="1">
      <w:start w:val="1"/>
      <w:numFmt w:val="decimal"/>
      <w:pStyle w:val="HeadingNumbering2"/>
      <w:isLgl/>
      <w:lvlText w:val="%1.%2"/>
      <w:lvlJc w:val="left"/>
      <w:pPr>
        <w:ind w:left="1440" w:hanging="720"/>
      </w:pPr>
      <w:rPr>
        <w:rFonts w:hint="default"/>
      </w:rPr>
    </w:lvl>
    <w:lvl w:ilvl="2">
      <w:start w:val="1"/>
      <w:numFmt w:val="decimal"/>
      <w:pStyle w:val="HeadingNumbering3"/>
      <w:isLgl/>
      <w:lvlText w:val="%1.%2.%3"/>
      <w:lvlJc w:val="left"/>
      <w:pPr>
        <w:ind w:left="1712"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15:restartNumberingAfterBreak="0">
    <w:nsid w:val="16B84475"/>
    <w:multiLevelType w:val="multilevel"/>
    <w:tmpl w:val="01961344"/>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8BB7105"/>
    <w:multiLevelType w:val="hybridMultilevel"/>
    <w:tmpl w:val="1CE28952"/>
    <w:lvl w:ilvl="0" w:tplc="92B82156">
      <w:start w:val="1"/>
      <w:numFmt w:val="decimal"/>
      <w:lvlText w:val="Step %1: "/>
      <w:lvlJc w:val="left"/>
      <w:pPr>
        <w:tabs>
          <w:tab w:val="num" w:pos="851"/>
        </w:tabs>
        <w:ind w:left="851" w:hanging="851"/>
      </w:pPr>
      <w:rPr>
        <w:rFonts w:ascii="Times New Roman" w:hAnsi="Times New Roman" w:hint="default"/>
        <w:b w:val="0"/>
        <w:i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B401C47"/>
    <w:multiLevelType w:val="hybridMultilevel"/>
    <w:tmpl w:val="B22CBCCE"/>
    <w:lvl w:ilvl="0" w:tplc="7610BD74">
      <w:start w:val="1"/>
      <w:numFmt w:val="decimal"/>
      <w:lvlText w:val="[%1]"/>
      <w:lvlJc w:val="left"/>
      <w:pPr>
        <w:tabs>
          <w:tab w:val="num" w:pos="480"/>
        </w:tabs>
        <w:ind w:left="480" w:hanging="480"/>
      </w:pPr>
      <w:rPr>
        <w:rFonts w:hint="eastAsia"/>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15:restartNumberingAfterBreak="0">
    <w:nsid w:val="2339019F"/>
    <w:multiLevelType w:val="singleLevel"/>
    <w:tmpl w:val="D96A76EE"/>
    <w:lvl w:ilvl="0">
      <w:start w:val="1"/>
      <w:numFmt w:val="decimal"/>
      <w:lvlText w:val="Step %1:"/>
      <w:lvlJc w:val="left"/>
      <w:pPr>
        <w:tabs>
          <w:tab w:val="num" w:pos="851"/>
        </w:tabs>
        <w:ind w:left="851" w:hanging="851"/>
      </w:pPr>
      <w:rPr>
        <w:rFonts w:ascii="Times New Roman" w:hAnsi="Times New Roman" w:hint="default"/>
      </w:rPr>
    </w:lvl>
  </w:abstractNum>
  <w:abstractNum w:abstractNumId="8" w15:restartNumberingAfterBreak="0">
    <w:nsid w:val="2FED5882"/>
    <w:multiLevelType w:val="multilevel"/>
    <w:tmpl w:val="E47E361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388F7583"/>
    <w:multiLevelType w:val="singleLevel"/>
    <w:tmpl w:val="E9AAE31E"/>
    <w:lvl w:ilvl="0">
      <w:start w:val="1"/>
      <w:numFmt w:val="decimal"/>
      <w:pStyle w:val="Titolo4"/>
      <w:lvlText w:val="4.%1."/>
      <w:lvlJc w:val="left"/>
      <w:pPr>
        <w:tabs>
          <w:tab w:val="num" w:pos="360"/>
        </w:tabs>
        <w:ind w:left="180" w:hanging="180"/>
      </w:pPr>
      <w:rPr>
        <w:rFonts w:hint="eastAsia"/>
      </w:rPr>
    </w:lvl>
  </w:abstractNum>
  <w:abstractNum w:abstractNumId="10" w15:restartNumberingAfterBreak="0">
    <w:nsid w:val="40890F67"/>
    <w:multiLevelType w:val="singleLevel"/>
    <w:tmpl w:val="1E7E4C2C"/>
    <w:lvl w:ilvl="0">
      <w:start w:val="1"/>
      <w:numFmt w:val="decimal"/>
      <w:pStyle w:val="ReferencesText"/>
      <w:lvlText w:val="[%1]"/>
      <w:lvlJc w:val="left"/>
      <w:pPr>
        <w:tabs>
          <w:tab w:val="num" w:pos="480"/>
        </w:tabs>
        <w:ind w:left="480" w:hanging="480"/>
      </w:pPr>
      <w:rPr>
        <w:rFonts w:hint="eastAsia"/>
      </w:rPr>
    </w:lvl>
  </w:abstractNum>
  <w:abstractNum w:abstractNumId="11" w15:restartNumberingAfterBreak="0">
    <w:nsid w:val="4AAD1EE3"/>
    <w:multiLevelType w:val="multilevel"/>
    <w:tmpl w:val="416AF9B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7D25220"/>
    <w:multiLevelType w:val="hybridMultilevel"/>
    <w:tmpl w:val="BD64376E"/>
    <w:lvl w:ilvl="0" w:tplc="D96A76EE">
      <w:start w:val="1"/>
      <w:numFmt w:val="decimal"/>
      <w:lvlText w:val="Step %1:"/>
      <w:lvlJc w:val="left"/>
      <w:pPr>
        <w:tabs>
          <w:tab w:val="num" w:pos="851"/>
        </w:tabs>
        <w:ind w:left="851" w:hanging="851"/>
      </w:pPr>
      <w:rPr>
        <w:rFonts w:ascii="Times New Roman"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5D171124"/>
    <w:multiLevelType w:val="singleLevel"/>
    <w:tmpl w:val="7F962684"/>
    <w:lvl w:ilvl="0">
      <w:start w:val="1"/>
      <w:numFmt w:val="decimal"/>
      <w:pStyle w:val="Titolo2"/>
      <w:lvlText w:val="2.%1."/>
      <w:lvlJc w:val="left"/>
      <w:pPr>
        <w:tabs>
          <w:tab w:val="num" w:pos="360"/>
        </w:tabs>
        <w:ind w:left="180" w:hanging="180"/>
      </w:pPr>
      <w:rPr>
        <w:rFonts w:ascii="Times New Roman" w:hAnsi="Times New Roman" w:hint="default"/>
        <w:b/>
        <w:i w:val="0"/>
        <w:sz w:val="24"/>
      </w:rPr>
    </w:lvl>
  </w:abstractNum>
  <w:abstractNum w:abstractNumId="14" w15:restartNumberingAfterBreak="0">
    <w:nsid w:val="7F053A68"/>
    <w:multiLevelType w:val="hybridMultilevel"/>
    <w:tmpl w:val="DAD82DE4"/>
    <w:lvl w:ilvl="0" w:tplc="A24A674E">
      <w:start w:val="1"/>
      <w:numFmt w:val="decimal"/>
      <w:lvlText w:val="Step %1:"/>
      <w:lvlJc w:val="left"/>
      <w:pPr>
        <w:tabs>
          <w:tab w:val="num" w:pos="851"/>
        </w:tabs>
        <w:ind w:left="851" w:hanging="851"/>
      </w:pPr>
      <w:rPr>
        <w:rFonts w:ascii="Times New Roman"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16cid:durableId="234360519">
    <w:abstractNumId w:val="0"/>
    <w:lvlOverride w:ilvl="0">
      <w:lvl w:ilvl="0">
        <w:start w:val="1"/>
        <w:numFmt w:val="bullet"/>
        <w:lvlText w:val="‧"/>
        <w:legacy w:legacy="1" w:legacySpace="0" w:legacyIndent="240"/>
        <w:lvlJc w:val="left"/>
        <w:pPr>
          <w:ind w:left="742" w:hanging="240"/>
        </w:pPr>
        <w:rPr>
          <w:rFonts w:ascii="MingLiU" w:eastAsia="MingLiU" w:hint="eastAsia"/>
          <w:b w:val="0"/>
          <w:i w:val="0"/>
          <w:sz w:val="24"/>
          <w:u w:val="none"/>
        </w:rPr>
      </w:lvl>
    </w:lvlOverride>
  </w:num>
  <w:num w:numId="2" w16cid:durableId="1752501349">
    <w:abstractNumId w:val="13"/>
  </w:num>
  <w:num w:numId="3" w16cid:durableId="224991384">
    <w:abstractNumId w:val="9"/>
  </w:num>
  <w:num w:numId="4" w16cid:durableId="1934585451">
    <w:abstractNumId w:val="10"/>
  </w:num>
  <w:num w:numId="5" w16cid:durableId="1569685424">
    <w:abstractNumId w:val="7"/>
  </w:num>
  <w:num w:numId="6" w16cid:durableId="62145295">
    <w:abstractNumId w:val="12"/>
  </w:num>
  <w:num w:numId="7" w16cid:durableId="686030877">
    <w:abstractNumId w:val="5"/>
  </w:num>
  <w:num w:numId="8" w16cid:durableId="1389719221">
    <w:abstractNumId w:val="14"/>
  </w:num>
  <w:num w:numId="9" w16cid:durableId="49156002">
    <w:abstractNumId w:val="8"/>
  </w:num>
  <w:num w:numId="10" w16cid:durableId="746802566">
    <w:abstractNumId w:val="6"/>
  </w:num>
  <w:num w:numId="11" w16cid:durableId="1648700038">
    <w:abstractNumId w:val="10"/>
    <w:lvlOverride w:ilvl="0">
      <w:startOverride w:val="1"/>
    </w:lvlOverride>
  </w:num>
  <w:num w:numId="12" w16cid:durableId="1150705396">
    <w:abstractNumId w:val="3"/>
  </w:num>
  <w:num w:numId="13" w16cid:durableId="1221357915">
    <w:abstractNumId w:val="3"/>
  </w:num>
  <w:num w:numId="14" w16cid:durableId="1791779483">
    <w:abstractNumId w:val="2"/>
  </w:num>
  <w:num w:numId="15" w16cid:durableId="1918243949">
    <w:abstractNumId w:val="4"/>
  </w:num>
  <w:num w:numId="16" w16cid:durableId="201331829">
    <w:abstractNumId w:val="11"/>
  </w:num>
  <w:num w:numId="17" w16cid:durableId="1831323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embedSystemFonts/>
  <w:mirrorMargins/>
  <w:bordersDoNotSurroundHeader/>
  <w:bordersDoNotSurroundFooter/>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2"/>
  <w:hyphenationZone w:val="283"/>
  <w:evenAndOddHeaders/>
  <w:displayHorizontalDrawingGridEvery w:val="0"/>
  <w:displayVerticalDrawingGridEvery w:val="2"/>
  <w:characterSpacingControl w:val="compressPunctuation"/>
  <w:noLineBreaksAfter w:lang="zh-TW" w:val="([{‘“‵〈《「『【〔〝︵︷︹︻︽︿﹁﹃﹙﹛﹝（｛"/>
  <w:noLineBreaksBefore w:lang="zh-TW" w:va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c0MzA0NjMyMzK3NLBQ0lEKTi0uzszPAykwrwUAWI82kywAAAA="/>
  </w:docVars>
  <w:rsids>
    <w:rsidRoot w:val="00671586"/>
    <w:rsid w:val="0000260F"/>
    <w:rsid w:val="00003779"/>
    <w:rsid w:val="0001178E"/>
    <w:rsid w:val="00024360"/>
    <w:rsid w:val="00027413"/>
    <w:rsid w:val="00034661"/>
    <w:rsid w:val="00036C85"/>
    <w:rsid w:val="000375F9"/>
    <w:rsid w:val="00037D84"/>
    <w:rsid w:val="00047F33"/>
    <w:rsid w:val="00050203"/>
    <w:rsid w:val="00050501"/>
    <w:rsid w:val="000574E9"/>
    <w:rsid w:val="000758C9"/>
    <w:rsid w:val="00085C4B"/>
    <w:rsid w:val="00096CFE"/>
    <w:rsid w:val="000A3B56"/>
    <w:rsid w:val="000A4DFB"/>
    <w:rsid w:val="000D13F8"/>
    <w:rsid w:val="000E2214"/>
    <w:rsid w:val="00103315"/>
    <w:rsid w:val="0011165A"/>
    <w:rsid w:val="00111C36"/>
    <w:rsid w:val="00116BBC"/>
    <w:rsid w:val="0012570C"/>
    <w:rsid w:val="00125EF9"/>
    <w:rsid w:val="00134DBF"/>
    <w:rsid w:val="00135871"/>
    <w:rsid w:val="00142413"/>
    <w:rsid w:val="00142F62"/>
    <w:rsid w:val="001430DD"/>
    <w:rsid w:val="001610A0"/>
    <w:rsid w:val="001637F6"/>
    <w:rsid w:val="00171AD3"/>
    <w:rsid w:val="00183750"/>
    <w:rsid w:val="001938FE"/>
    <w:rsid w:val="001A54F7"/>
    <w:rsid w:val="001B25C5"/>
    <w:rsid w:val="001B5A36"/>
    <w:rsid w:val="001D099D"/>
    <w:rsid w:val="00201475"/>
    <w:rsid w:val="002129BD"/>
    <w:rsid w:val="00214D28"/>
    <w:rsid w:val="00224EC9"/>
    <w:rsid w:val="00234CDB"/>
    <w:rsid w:val="00236096"/>
    <w:rsid w:val="00245F54"/>
    <w:rsid w:val="00250464"/>
    <w:rsid w:val="0025113B"/>
    <w:rsid w:val="00291478"/>
    <w:rsid w:val="00293B66"/>
    <w:rsid w:val="002A0D6F"/>
    <w:rsid w:val="002B194B"/>
    <w:rsid w:val="002B369B"/>
    <w:rsid w:val="002B4533"/>
    <w:rsid w:val="002C27C4"/>
    <w:rsid w:val="002E1F6F"/>
    <w:rsid w:val="002E218C"/>
    <w:rsid w:val="002E3749"/>
    <w:rsid w:val="002F6258"/>
    <w:rsid w:val="00303353"/>
    <w:rsid w:val="00310E1C"/>
    <w:rsid w:val="00313AC6"/>
    <w:rsid w:val="00321C29"/>
    <w:rsid w:val="00322DA7"/>
    <w:rsid w:val="003378F8"/>
    <w:rsid w:val="00342E2B"/>
    <w:rsid w:val="00347F24"/>
    <w:rsid w:val="003603B2"/>
    <w:rsid w:val="00363D63"/>
    <w:rsid w:val="00374FF9"/>
    <w:rsid w:val="003760E0"/>
    <w:rsid w:val="00381E4A"/>
    <w:rsid w:val="0038682B"/>
    <w:rsid w:val="00395B5C"/>
    <w:rsid w:val="003A281F"/>
    <w:rsid w:val="003A3D8F"/>
    <w:rsid w:val="003C5BCA"/>
    <w:rsid w:val="003D3BD5"/>
    <w:rsid w:val="003E59D5"/>
    <w:rsid w:val="003F1E7F"/>
    <w:rsid w:val="003F3ED0"/>
    <w:rsid w:val="003F5422"/>
    <w:rsid w:val="004009AC"/>
    <w:rsid w:val="00407CE8"/>
    <w:rsid w:val="00411AF5"/>
    <w:rsid w:val="00412D8C"/>
    <w:rsid w:val="00415105"/>
    <w:rsid w:val="00416CEE"/>
    <w:rsid w:val="00425D81"/>
    <w:rsid w:val="00434FAA"/>
    <w:rsid w:val="00444F1B"/>
    <w:rsid w:val="00457C1C"/>
    <w:rsid w:val="00471FEC"/>
    <w:rsid w:val="00474E09"/>
    <w:rsid w:val="00483B5D"/>
    <w:rsid w:val="00484CDE"/>
    <w:rsid w:val="0048722E"/>
    <w:rsid w:val="004879B5"/>
    <w:rsid w:val="00493C6C"/>
    <w:rsid w:val="004A01CD"/>
    <w:rsid w:val="004A218D"/>
    <w:rsid w:val="004C7006"/>
    <w:rsid w:val="004C7D31"/>
    <w:rsid w:val="004F3B0E"/>
    <w:rsid w:val="004F4335"/>
    <w:rsid w:val="005064F8"/>
    <w:rsid w:val="005141B4"/>
    <w:rsid w:val="00515E1E"/>
    <w:rsid w:val="00516CD5"/>
    <w:rsid w:val="005234B3"/>
    <w:rsid w:val="00542710"/>
    <w:rsid w:val="005444BB"/>
    <w:rsid w:val="0055468D"/>
    <w:rsid w:val="0056424E"/>
    <w:rsid w:val="0057377A"/>
    <w:rsid w:val="00583C12"/>
    <w:rsid w:val="0058563E"/>
    <w:rsid w:val="00585BD2"/>
    <w:rsid w:val="00592501"/>
    <w:rsid w:val="005A05E6"/>
    <w:rsid w:val="005C4274"/>
    <w:rsid w:val="005E7929"/>
    <w:rsid w:val="005F5EDB"/>
    <w:rsid w:val="00600844"/>
    <w:rsid w:val="00616B05"/>
    <w:rsid w:val="00641F7D"/>
    <w:rsid w:val="00642C03"/>
    <w:rsid w:val="00644287"/>
    <w:rsid w:val="0065296A"/>
    <w:rsid w:val="006541AD"/>
    <w:rsid w:val="0066017D"/>
    <w:rsid w:val="00671586"/>
    <w:rsid w:val="00680B18"/>
    <w:rsid w:val="00691E2E"/>
    <w:rsid w:val="006A131F"/>
    <w:rsid w:val="006A4676"/>
    <w:rsid w:val="006B538F"/>
    <w:rsid w:val="006B62CC"/>
    <w:rsid w:val="006B745B"/>
    <w:rsid w:val="006B7C94"/>
    <w:rsid w:val="006C164D"/>
    <w:rsid w:val="006C55B9"/>
    <w:rsid w:val="006D4FA7"/>
    <w:rsid w:val="006D5342"/>
    <w:rsid w:val="006E7D8D"/>
    <w:rsid w:val="006F57E2"/>
    <w:rsid w:val="007024DA"/>
    <w:rsid w:val="007035DA"/>
    <w:rsid w:val="00705B0F"/>
    <w:rsid w:val="00707DAB"/>
    <w:rsid w:val="00723F36"/>
    <w:rsid w:val="007276D2"/>
    <w:rsid w:val="00732C64"/>
    <w:rsid w:val="00735E85"/>
    <w:rsid w:val="00741659"/>
    <w:rsid w:val="00745359"/>
    <w:rsid w:val="00754DCB"/>
    <w:rsid w:val="00757B3B"/>
    <w:rsid w:val="00761B9D"/>
    <w:rsid w:val="0077016D"/>
    <w:rsid w:val="00771753"/>
    <w:rsid w:val="00783FB9"/>
    <w:rsid w:val="0078479F"/>
    <w:rsid w:val="0079316B"/>
    <w:rsid w:val="00796E03"/>
    <w:rsid w:val="007A1620"/>
    <w:rsid w:val="007A26A1"/>
    <w:rsid w:val="007B5F0C"/>
    <w:rsid w:val="007B7A49"/>
    <w:rsid w:val="007B7FB3"/>
    <w:rsid w:val="007C434A"/>
    <w:rsid w:val="007C5E15"/>
    <w:rsid w:val="007D1267"/>
    <w:rsid w:val="007D4CD5"/>
    <w:rsid w:val="007D5776"/>
    <w:rsid w:val="007E0FC9"/>
    <w:rsid w:val="007E3666"/>
    <w:rsid w:val="007F7431"/>
    <w:rsid w:val="0080318C"/>
    <w:rsid w:val="00803D07"/>
    <w:rsid w:val="00827E9C"/>
    <w:rsid w:val="0084329C"/>
    <w:rsid w:val="008656E4"/>
    <w:rsid w:val="00871522"/>
    <w:rsid w:val="00877500"/>
    <w:rsid w:val="00881C04"/>
    <w:rsid w:val="00884246"/>
    <w:rsid w:val="008878A0"/>
    <w:rsid w:val="008A4764"/>
    <w:rsid w:val="008B2C5D"/>
    <w:rsid w:val="008B572D"/>
    <w:rsid w:val="008C3D0A"/>
    <w:rsid w:val="008C661C"/>
    <w:rsid w:val="008D0267"/>
    <w:rsid w:val="008F2A27"/>
    <w:rsid w:val="008F5BB1"/>
    <w:rsid w:val="008F5E37"/>
    <w:rsid w:val="0091133F"/>
    <w:rsid w:val="009127CA"/>
    <w:rsid w:val="00924E0E"/>
    <w:rsid w:val="00934E09"/>
    <w:rsid w:val="00945A75"/>
    <w:rsid w:val="00947857"/>
    <w:rsid w:val="00960A8C"/>
    <w:rsid w:val="009625FC"/>
    <w:rsid w:val="009636BD"/>
    <w:rsid w:val="00973579"/>
    <w:rsid w:val="00980085"/>
    <w:rsid w:val="00986DD1"/>
    <w:rsid w:val="009A1C0D"/>
    <w:rsid w:val="009A60C2"/>
    <w:rsid w:val="009A6DA1"/>
    <w:rsid w:val="009C6C50"/>
    <w:rsid w:val="009D449F"/>
    <w:rsid w:val="009D7794"/>
    <w:rsid w:val="009D7D09"/>
    <w:rsid w:val="009F30B1"/>
    <w:rsid w:val="009F35B4"/>
    <w:rsid w:val="009F74ED"/>
    <w:rsid w:val="00A013CB"/>
    <w:rsid w:val="00A018E9"/>
    <w:rsid w:val="00A04EB2"/>
    <w:rsid w:val="00A31F3C"/>
    <w:rsid w:val="00A413D2"/>
    <w:rsid w:val="00A50A2F"/>
    <w:rsid w:val="00A52729"/>
    <w:rsid w:val="00A74CEB"/>
    <w:rsid w:val="00A805EA"/>
    <w:rsid w:val="00A947A2"/>
    <w:rsid w:val="00A95D65"/>
    <w:rsid w:val="00AA3116"/>
    <w:rsid w:val="00AA77DB"/>
    <w:rsid w:val="00AB34CE"/>
    <w:rsid w:val="00AB4201"/>
    <w:rsid w:val="00AB7CCB"/>
    <w:rsid w:val="00AD169E"/>
    <w:rsid w:val="00AD30BE"/>
    <w:rsid w:val="00AD6A2F"/>
    <w:rsid w:val="00B05855"/>
    <w:rsid w:val="00B101D4"/>
    <w:rsid w:val="00B30B97"/>
    <w:rsid w:val="00B33D72"/>
    <w:rsid w:val="00B431E5"/>
    <w:rsid w:val="00B4436C"/>
    <w:rsid w:val="00B56AC3"/>
    <w:rsid w:val="00B579C8"/>
    <w:rsid w:val="00B726CF"/>
    <w:rsid w:val="00B85B16"/>
    <w:rsid w:val="00B87004"/>
    <w:rsid w:val="00B90059"/>
    <w:rsid w:val="00B93E0D"/>
    <w:rsid w:val="00BA328F"/>
    <w:rsid w:val="00BB3756"/>
    <w:rsid w:val="00BC006F"/>
    <w:rsid w:val="00BC1A01"/>
    <w:rsid w:val="00BD04D6"/>
    <w:rsid w:val="00BD0793"/>
    <w:rsid w:val="00BD745D"/>
    <w:rsid w:val="00BF3019"/>
    <w:rsid w:val="00BF4F2F"/>
    <w:rsid w:val="00BF6D84"/>
    <w:rsid w:val="00C06BB7"/>
    <w:rsid w:val="00C07ADB"/>
    <w:rsid w:val="00C07BC7"/>
    <w:rsid w:val="00C15591"/>
    <w:rsid w:val="00C35828"/>
    <w:rsid w:val="00C40901"/>
    <w:rsid w:val="00C42734"/>
    <w:rsid w:val="00C43887"/>
    <w:rsid w:val="00C45279"/>
    <w:rsid w:val="00C62A12"/>
    <w:rsid w:val="00C6565A"/>
    <w:rsid w:val="00C662E0"/>
    <w:rsid w:val="00C67EAF"/>
    <w:rsid w:val="00C71897"/>
    <w:rsid w:val="00C8798B"/>
    <w:rsid w:val="00CC05C0"/>
    <w:rsid w:val="00CC100A"/>
    <w:rsid w:val="00CC2733"/>
    <w:rsid w:val="00CC47C9"/>
    <w:rsid w:val="00CD7FAA"/>
    <w:rsid w:val="00CE6B5B"/>
    <w:rsid w:val="00D04744"/>
    <w:rsid w:val="00D1571E"/>
    <w:rsid w:val="00D4164C"/>
    <w:rsid w:val="00D631C7"/>
    <w:rsid w:val="00D6487E"/>
    <w:rsid w:val="00D7069F"/>
    <w:rsid w:val="00D765DE"/>
    <w:rsid w:val="00D85725"/>
    <w:rsid w:val="00DC7533"/>
    <w:rsid w:val="00DD0455"/>
    <w:rsid w:val="00DE3D30"/>
    <w:rsid w:val="00DF3DDE"/>
    <w:rsid w:val="00DF3DE5"/>
    <w:rsid w:val="00E013DB"/>
    <w:rsid w:val="00E24361"/>
    <w:rsid w:val="00E25B8E"/>
    <w:rsid w:val="00E31453"/>
    <w:rsid w:val="00E36523"/>
    <w:rsid w:val="00E41E84"/>
    <w:rsid w:val="00E43005"/>
    <w:rsid w:val="00E509ED"/>
    <w:rsid w:val="00E74776"/>
    <w:rsid w:val="00E828E9"/>
    <w:rsid w:val="00E851D2"/>
    <w:rsid w:val="00EA735E"/>
    <w:rsid w:val="00EB3EAB"/>
    <w:rsid w:val="00EB487C"/>
    <w:rsid w:val="00EB5E6E"/>
    <w:rsid w:val="00EB7E90"/>
    <w:rsid w:val="00EC412D"/>
    <w:rsid w:val="00EC7F48"/>
    <w:rsid w:val="00EE73D9"/>
    <w:rsid w:val="00EF1A9C"/>
    <w:rsid w:val="00EF3670"/>
    <w:rsid w:val="00F0206E"/>
    <w:rsid w:val="00F03418"/>
    <w:rsid w:val="00F03BEA"/>
    <w:rsid w:val="00F05772"/>
    <w:rsid w:val="00F162D0"/>
    <w:rsid w:val="00F371A1"/>
    <w:rsid w:val="00F4037A"/>
    <w:rsid w:val="00F43E70"/>
    <w:rsid w:val="00F52343"/>
    <w:rsid w:val="00F537F4"/>
    <w:rsid w:val="00F7401C"/>
    <w:rsid w:val="00F84830"/>
    <w:rsid w:val="00F85AF5"/>
    <w:rsid w:val="00F879E0"/>
    <w:rsid w:val="00F97F14"/>
    <w:rsid w:val="00FC0D2F"/>
    <w:rsid w:val="00FD4A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B03167"/>
  <w15:chartTrackingRefBased/>
  <w15:docId w15:val="{E17FF7B5-1B25-4770-B8D1-2626DA213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aliases w:val="Normal Text"/>
    <w:qFormat/>
    <w:rsid w:val="00DF3DDE"/>
    <w:pPr>
      <w:widowControl w:val="0"/>
      <w:adjustRightInd w:val="0"/>
      <w:jc w:val="both"/>
      <w:textAlignment w:val="baseline"/>
    </w:pPr>
    <w:rPr>
      <w:sz w:val="24"/>
      <w:lang w:val="en-US" w:eastAsia="zh-TW"/>
    </w:rPr>
  </w:style>
  <w:style w:type="paragraph" w:styleId="Titolo1">
    <w:name w:val="heading 1"/>
    <w:basedOn w:val="Normale"/>
    <w:next w:val="Normale"/>
    <w:autoRedefine/>
    <w:rsid w:val="00F03418"/>
    <w:pPr>
      <w:keepNext/>
      <w:tabs>
        <w:tab w:val="left" w:pos="360"/>
      </w:tabs>
      <w:ind w:right="45"/>
      <w:outlineLvl w:val="0"/>
    </w:pPr>
    <w:rPr>
      <w:bCs/>
      <w:color w:val="000000"/>
      <w:szCs w:val="24"/>
    </w:rPr>
  </w:style>
  <w:style w:type="paragraph" w:styleId="Titolo2">
    <w:name w:val="heading 2"/>
    <w:basedOn w:val="Normale"/>
    <w:next w:val="Normale"/>
    <w:pPr>
      <w:numPr>
        <w:numId w:val="2"/>
      </w:numPr>
      <w:tabs>
        <w:tab w:val="clear" w:pos="360"/>
        <w:tab w:val="left" w:pos="454"/>
      </w:tabs>
      <w:jc w:val="left"/>
      <w:outlineLvl w:val="1"/>
    </w:pPr>
    <w:rPr>
      <w:rFonts w:eastAsia="MingLiU"/>
      <w:b/>
    </w:rPr>
  </w:style>
  <w:style w:type="paragraph" w:styleId="Titolo3">
    <w:name w:val="heading 3"/>
    <w:basedOn w:val="Normale"/>
    <w:next w:val="Rientronormale"/>
    <w:pPr>
      <w:keepNext/>
      <w:outlineLvl w:val="2"/>
    </w:pPr>
    <w:rPr>
      <w:b/>
    </w:rPr>
  </w:style>
  <w:style w:type="paragraph" w:styleId="Titolo4">
    <w:name w:val="heading 4"/>
    <w:basedOn w:val="Normale"/>
    <w:next w:val="Rientronormale"/>
    <w:pPr>
      <w:numPr>
        <w:numId w:val="3"/>
      </w:numPr>
      <w:ind w:left="397" w:hanging="397"/>
      <w:jc w:val="left"/>
      <w:outlineLvl w:val="3"/>
    </w:pPr>
    <w:rPr>
      <w:rFonts w:eastAsia="MingLiU"/>
      <w:b/>
    </w:rPr>
  </w:style>
  <w:style w:type="paragraph" w:styleId="Titolo5">
    <w:name w:val="heading 5"/>
    <w:basedOn w:val="Normale"/>
    <w:next w:val="Rientronormale"/>
    <w:pPr>
      <w:keepNext/>
      <w:widowControl/>
      <w:autoSpaceDE w:val="0"/>
      <w:autoSpaceDN w:val="0"/>
      <w:jc w:val="center"/>
      <w:textAlignment w:val="bottom"/>
      <w:outlineLvl w:val="4"/>
    </w:pPr>
    <w:rPr>
      <w:b/>
    </w:rPr>
  </w:style>
  <w:style w:type="paragraph" w:styleId="Titolo6">
    <w:name w:val="heading 6"/>
    <w:basedOn w:val="Normale"/>
    <w:next w:val="Rientronormale"/>
    <w:pPr>
      <w:keepNext/>
      <w:spacing w:before="120"/>
      <w:ind w:left="851" w:right="45"/>
      <w:jc w:val="center"/>
      <w:outlineLvl w:val="5"/>
    </w:pPr>
    <w:rPr>
      <w:b/>
    </w:rPr>
  </w:style>
  <w:style w:type="paragraph" w:styleId="Titolo7">
    <w:name w:val="heading 7"/>
    <w:basedOn w:val="Normale"/>
    <w:next w:val="Normale"/>
    <w:pPr>
      <w:keepNext/>
      <w:outlineLvl w:val="6"/>
    </w:pPr>
    <w:rPr>
      <w:b/>
      <w:color w:val="FF0000"/>
    </w:rPr>
  </w:style>
  <w:style w:type="paragraph" w:styleId="Titolo8">
    <w:name w:val="heading 8"/>
    <w:basedOn w:val="Normale"/>
    <w:next w:val="Normale"/>
    <w:pPr>
      <w:keepNext/>
      <w:ind w:firstLine="480"/>
      <w:jc w:val="center"/>
      <w:outlineLvl w:val="7"/>
    </w:pPr>
    <w:rPr>
      <w:i/>
      <w:iCs/>
    </w:rPr>
  </w:style>
  <w:style w:type="paragraph" w:styleId="Titolo9">
    <w:name w:val="heading 9"/>
    <w:basedOn w:val="Normale"/>
    <w:next w:val="Normale"/>
    <w:pPr>
      <w:keepNext/>
      <w:snapToGrid w:val="0"/>
      <w:jc w:val="center"/>
      <w:outlineLvl w:val="8"/>
    </w:pPr>
    <w:rPr>
      <w:i/>
      <w:color w:val="FF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normale">
    <w:name w:val="Normal Indent"/>
    <w:basedOn w:val="Normale"/>
    <w:pPr>
      <w:spacing w:line="480" w:lineRule="atLeast"/>
      <w:ind w:left="475"/>
      <w:jc w:val="left"/>
    </w:pPr>
    <w:rPr>
      <w:rFonts w:ascii="MingLiU" w:eastAsia="MingLiU"/>
    </w:rPr>
  </w:style>
  <w:style w:type="paragraph" w:styleId="Rientrocorpodeltesto">
    <w:name w:val="Body Text Indent"/>
    <w:basedOn w:val="Normale"/>
    <w:pPr>
      <w:widowControl/>
      <w:autoSpaceDE w:val="0"/>
      <w:autoSpaceDN w:val="0"/>
      <w:spacing w:line="480" w:lineRule="auto"/>
      <w:ind w:firstLine="540"/>
      <w:textAlignment w:val="bottom"/>
    </w:pPr>
    <w:rPr>
      <w:rFonts w:eastAsia="MingLiU"/>
    </w:rPr>
  </w:style>
  <w:style w:type="paragraph" w:styleId="Rientrocorpodeltesto2">
    <w:name w:val="Body Text Indent 2"/>
    <w:basedOn w:val="Normale"/>
    <w:pPr>
      <w:widowControl/>
      <w:autoSpaceDE w:val="0"/>
      <w:autoSpaceDN w:val="0"/>
      <w:spacing w:line="480" w:lineRule="auto"/>
      <w:ind w:firstLine="540"/>
      <w:textAlignment w:val="bottom"/>
    </w:pPr>
    <w:rPr>
      <w:rFonts w:eastAsia="MingLiU"/>
      <w:color w:val="FF0000"/>
    </w:rPr>
  </w:style>
  <w:style w:type="paragraph" w:customStyle="1" w:styleId="Print-FromToSubjectDate">
    <w:name w:val="Print- From: To: Subject: Date:"/>
    <w:basedOn w:val="Normale"/>
    <w:pPr>
      <w:pBdr>
        <w:left w:val="single" w:sz="18" w:space="1" w:color="auto"/>
      </w:pBdr>
    </w:pPr>
  </w:style>
  <w:style w:type="paragraph" w:customStyle="1" w:styleId="Print-ReverseHeader">
    <w:name w:val="Print- Reverse Header"/>
    <w:basedOn w:val="Normale"/>
    <w:next w:val="Print-FromToSubjectDate"/>
    <w:pPr>
      <w:pBdr>
        <w:left w:val="single" w:sz="18" w:space="1" w:color="auto"/>
      </w:pBdr>
      <w:shd w:val="pct12" w:color="auto" w:fill="auto"/>
    </w:pPr>
    <w:rPr>
      <w:b/>
      <w:sz w:val="22"/>
    </w:rPr>
  </w:style>
  <w:style w:type="paragraph" w:customStyle="1" w:styleId="ReplyForwardHeaders">
    <w:name w:val="Reply/Forward Headers"/>
    <w:basedOn w:val="Normale"/>
    <w:next w:val="ReplyForwardToFromDate"/>
    <w:pPr>
      <w:pBdr>
        <w:left w:val="single" w:sz="18" w:space="1" w:color="auto"/>
      </w:pBdr>
      <w:shd w:val="pct10" w:color="auto" w:fill="auto"/>
    </w:pPr>
    <w:rPr>
      <w:b/>
      <w:noProof/>
    </w:rPr>
  </w:style>
  <w:style w:type="paragraph" w:customStyle="1" w:styleId="ReplyForwardToFromDate">
    <w:name w:val="Reply/Forward To: From: Date:"/>
    <w:basedOn w:val="Normale"/>
    <w:pPr>
      <w:pBdr>
        <w:left w:val="single" w:sz="18" w:space="1" w:color="auto"/>
      </w:pBdr>
    </w:pPr>
  </w:style>
  <w:style w:type="paragraph" w:styleId="Didascalia">
    <w:name w:val="caption"/>
    <w:basedOn w:val="Normale"/>
    <w:next w:val="Normale"/>
    <w:pPr>
      <w:spacing w:before="120" w:after="120"/>
    </w:pPr>
  </w:style>
  <w:style w:type="paragraph" w:styleId="Pidipagina">
    <w:name w:val="footer"/>
    <w:basedOn w:val="Normale"/>
    <w:pPr>
      <w:tabs>
        <w:tab w:val="center" w:pos="4153"/>
        <w:tab w:val="right" w:pos="8306"/>
      </w:tabs>
      <w:spacing w:line="480" w:lineRule="atLeast"/>
    </w:pPr>
    <w:rPr>
      <w:rFonts w:ascii="MingLiU" w:eastAsia="MingLiU"/>
      <w:sz w:val="20"/>
    </w:rPr>
  </w:style>
  <w:style w:type="character" w:styleId="Numeropagina">
    <w:name w:val="page number"/>
    <w:basedOn w:val="Carpredefinitoparagrafo"/>
  </w:style>
  <w:style w:type="paragraph" w:styleId="Mappadocumento">
    <w:name w:val="Document Map"/>
    <w:basedOn w:val="Normale"/>
    <w:semiHidden/>
    <w:pPr>
      <w:shd w:val="clear" w:color="auto" w:fill="000080"/>
    </w:pPr>
    <w:rPr>
      <w:rFonts w:ascii="Arial" w:hAnsi="Arial"/>
    </w:rPr>
  </w:style>
  <w:style w:type="paragraph" w:styleId="Rientrocorpodeltesto3">
    <w:name w:val="Body Text Indent 3"/>
    <w:basedOn w:val="Normale"/>
    <w:pPr>
      <w:ind w:firstLine="426"/>
    </w:pPr>
  </w:style>
  <w:style w:type="paragraph" w:styleId="Corpotesto">
    <w:name w:val="Body Text"/>
    <w:basedOn w:val="Normale"/>
    <w:link w:val="CorpotestoCarattere"/>
    <w:pPr>
      <w:widowControl/>
      <w:autoSpaceDE w:val="0"/>
      <w:autoSpaceDN w:val="0"/>
      <w:spacing w:line="300" w:lineRule="atLeast"/>
      <w:jc w:val="center"/>
      <w:textAlignment w:val="bottom"/>
    </w:pPr>
    <w:rPr>
      <w:rFonts w:ascii="Tms Rmn" w:hAnsi="Tms Rmn"/>
      <w:b/>
      <w:sz w:val="32"/>
    </w:rPr>
  </w:style>
  <w:style w:type="paragraph" w:styleId="Corpodeltesto2">
    <w:name w:val="Body Text 2"/>
    <w:basedOn w:val="Normale"/>
    <w:pPr>
      <w:spacing w:before="480" w:line="360" w:lineRule="atLeast"/>
      <w:jc w:val="left"/>
    </w:pPr>
    <w:rPr>
      <w:b/>
      <w:i/>
    </w:rPr>
  </w:style>
  <w:style w:type="paragraph" w:styleId="Corpodeltesto3">
    <w:name w:val="Body Text 3"/>
    <w:basedOn w:val="Normale"/>
    <w:pPr>
      <w:widowControl/>
      <w:autoSpaceDE w:val="0"/>
      <w:autoSpaceDN w:val="0"/>
      <w:ind w:rightChars="-64" w:right="-154"/>
      <w:textAlignment w:val="bottom"/>
    </w:pPr>
  </w:style>
  <w:style w:type="character" w:styleId="Collegamentoipertestuale">
    <w:name w:val="Hyperlink"/>
    <w:rPr>
      <w:color w:val="0000FF"/>
      <w:u w:val="single"/>
    </w:rPr>
  </w:style>
  <w:style w:type="character" w:styleId="Collegamentovisitato">
    <w:name w:val="FollowedHyperlink"/>
    <w:rPr>
      <w:color w:val="800080"/>
      <w:u w:val="single"/>
    </w:rPr>
  </w:style>
  <w:style w:type="paragraph" w:styleId="Testonotaapidipagina">
    <w:name w:val="footnote text"/>
    <w:basedOn w:val="Normale"/>
    <w:link w:val="TestonotaapidipaginaCarattere"/>
    <w:semiHidden/>
    <w:pPr>
      <w:snapToGrid w:val="0"/>
      <w:jc w:val="left"/>
    </w:pPr>
    <w:rPr>
      <w:sz w:val="20"/>
    </w:rPr>
  </w:style>
  <w:style w:type="character" w:styleId="Rimandonotaapidipagina">
    <w:name w:val="footnote reference"/>
    <w:semiHidden/>
    <w:rPr>
      <w:vertAlign w:val="superscript"/>
    </w:rPr>
  </w:style>
  <w:style w:type="paragraph" w:styleId="Testodelblocco">
    <w:name w:val="Block Text"/>
    <w:basedOn w:val="Normale"/>
    <w:pPr>
      <w:ind w:left="312" w:right="28" w:hangingChars="130" w:hanging="312"/>
    </w:pPr>
    <w:rPr>
      <w:b/>
      <w:color w:val="003366"/>
    </w:rPr>
  </w:style>
  <w:style w:type="character" w:styleId="Enfasigrassetto">
    <w:name w:val="Strong"/>
    <w:rPr>
      <w:b/>
      <w:bCs/>
    </w:rPr>
  </w:style>
  <w:style w:type="paragraph" w:styleId="Intestazione">
    <w:name w:val="header"/>
    <w:basedOn w:val="Normale"/>
    <w:pPr>
      <w:tabs>
        <w:tab w:val="center" w:pos="4536"/>
        <w:tab w:val="right" w:pos="9072"/>
      </w:tabs>
    </w:pPr>
  </w:style>
  <w:style w:type="paragraph" w:customStyle="1" w:styleId="Titleofpaper-line1">
    <w:name w:val="Title of paper-line 1"/>
    <w:basedOn w:val="Corpotesto"/>
    <w:link w:val="Titleofpaper-line1Char"/>
    <w:qFormat/>
    <w:rsid w:val="008F5E37"/>
    <w:pPr>
      <w:spacing w:line="240" w:lineRule="auto"/>
    </w:pPr>
    <w:rPr>
      <w:rFonts w:ascii="Times New Roman" w:hAnsi="Times New Roman"/>
      <w:color w:val="000000"/>
      <w:sz w:val="36"/>
      <w:szCs w:val="36"/>
      <w:lang w:val="bg-BG"/>
    </w:rPr>
  </w:style>
  <w:style w:type="paragraph" w:customStyle="1" w:styleId="Titleofpaper-line2">
    <w:name w:val="Title of paper-line 2"/>
    <w:basedOn w:val="Corpotesto"/>
    <w:link w:val="Titleofpaper-line2Char"/>
    <w:qFormat/>
    <w:rsid w:val="008F5E37"/>
    <w:pPr>
      <w:spacing w:line="240" w:lineRule="auto"/>
    </w:pPr>
    <w:rPr>
      <w:rFonts w:ascii="Times New Roman" w:hAnsi="Times New Roman"/>
      <w:color w:val="000000"/>
      <w:sz w:val="36"/>
      <w:szCs w:val="36"/>
    </w:rPr>
  </w:style>
  <w:style w:type="character" w:customStyle="1" w:styleId="CorpotestoCarattere">
    <w:name w:val="Corpo testo Carattere"/>
    <w:link w:val="Corpotesto"/>
    <w:rsid w:val="008F5E37"/>
    <w:rPr>
      <w:rFonts w:ascii="Tms Rmn" w:hAnsi="Tms Rmn"/>
      <w:b/>
      <w:sz w:val="32"/>
      <w:lang w:val="en-US" w:eastAsia="zh-TW"/>
    </w:rPr>
  </w:style>
  <w:style w:type="character" w:customStyle="1" w:styleId="Titleofpaper-line1Char">
    <w:name w:val="Title of paper-line 1 Char"/>
    <w:link w:val="Titleofpaper-line1"/>
    <w:rsid w:val="008F5E37"/>
    <w:rPr>
      <w:rFonts w:ascii="Tms Rmn" w:hAnsi="Tms Rmn"/>
      <w:b/>
      <w:color w:val="000000"/>
      <w:sz w:val="36"/>
      <w:szCs w:val="36"/>
      <w:lang w:val="bg-BG" w:eastAsia="zh-TW"/>
    </w:rPr>
  </w:style>
  <w:style w:type="paragraph" w:customStyle="1" w:styleId="Authorsnames">
    <w:name w:val="Authors names"/>
    <w:basedOn w:val="Normale"/>
    <w:link w:val="AuthorsnamesChar"/>
    <w:rsid w:val="008F5E37"/>
    <w:pPr>
      <w:widowControl/>
      <w:autoSpaceDE w:val="0"/>
      <w:autoSpaceDN w:val="0"/>
      <w:jc w:val="center"/>
      <w:textAlignment w:val="bottom"/>
    </w:pPr>
    <w:rPr>
      <w:b/>
      <w:color w:val="000000"/>
      <w:szCs w:val="24"/>
    </w:rPr>
  </w:style>
  <w:style w:type="character" w:customStyle="1" w:styleId="Titleofpaper-line2Char">
    <w:name w:val="Title of paper-line 2 Char"/>
    <w:link w:val="Titleofpaper-line2"/>
    <w:rsid w:val="008F5E37"/>
    <w:rPr>
      <w:rFonts w:ascii="Tms Rmn" w:hAnsi="Tms Rmn"/>
      <w:b/>
      <w:color w:val="000000"/>
      <w:sz w:val="36"/>
      <w:szCs w:val="36"/>
      <w:lang w:val="en-US" w:eastAsia="zh-TW"/>
    </w:rPr>
  </w:style>
  <w:style w:type="paragraph" w:customStyle="1" w:styleId="Abstract">
    <w:name w:val="Abstract"/>
    <w:basedOn w:val="Normale"/>
    <w:link w:val="AbstractChar"/>
    <w:qFormat/>
    <w:rsid w:val="008F5E37"/>
    <w:pPr>
      <w:widowControl/>
      <w:autoSpaceDE w:val="0"/>
      <w:autoSpaceDN w:val="0"/>
      <w:jc w:val="center"/>
      <w:textAlignment w:val="bottom"/>
    </w:pPr>
    <w:rPr>
      <w:b/>
      <w:color w:val="000000"/>
      <w:sz w:val="26"/>
      <w:szCs w:val="26"/>
    </w:rPr>
  </w:style>
  <w:style w:type="character" w:customStyle="1" w:styleId="AuthorsnamesChar">
    <w:name w:val="Authors names Char"/>
    <w:link w:val="Authorsnames"/>
    <w:rsid w:val="008F5E37"/>
    <w:rPr>
      <w:b/>
      <w:color w:val="000000"/>
      <w:sz w:val="24"/>
      <w:szCs w:val="24"/>
      <w:lang w:val="en-US" w:eastAsia="zh-TW"/>
    </w:rPr>
  </w:style>
  <w:style w:type="paragraph" w:customStyle="1" w:styleId="Abstracttext">
    <w:name w:val="Abstract text"/>
    <w:basedOn w:val="Normale"/>
    <w:link w:val="AbstracttextChar"/>
    <w:qFormat/>
    <w:rsid w:val="008F5E37"/>
    <w:rPr>
      <w:color w:val="000000"/>
      <w:szCs w:val="24"/>
    </w:rPr>
  </w:style>
  <w:style w:type="character" w:customStyle="1" w:styleId="AbstractChar">
    <w:name w:val="Abstract Char"/>
    <w:link w:val="Abstract"/>
    <w:rsid w:val="008F5E37"/>
    <w:rPr>
      <w:b/>
      <w:color w:val="000000"/>
      <w:sz w:val="26"/>
      <w:szCs w:val="26"/>
      <w:lang w:val="en-US" w:eastAsia="zh-TW"/>
    </w:rPr>
  </w:style>
  <w:style w:type="paragraph" w:customStyle="1" w:styleId="HeadingNumbering1">
    <w:name w:val="Heading Numbering 1"/>
    <w:basedOn w:val="Normale"/>
    <w:link w:val="HeadingNumbering1Char"/>
    <w:qFormat/>
    <w:rsid w:val="003F3ED0"/>
    <w:pPr>
      <w:numPr>
        <w:numId w:val="13"/>
      </w:numPr>
      <w:spacing w:line="276" w:lineRule="auto"/>
      <w:ind w:left="360"/>
    </w:pPr>
    <w:rPr>
      <w:b/>
      <w:sz w:val="30"/>
      <w:szCs w:val="30"/>
    </w:rPr>
  </w:style>
  <w:style w:type="character" w:customStyle="1" w:styleId="AbstracttextChar">
    <w:name w:val="Abstract text Char"/>
    <w:link w:val="Abstracttext"/>
    <w:rsid w:val="008F5E37"/>
    <w:rPr>
      <w:color w:val="000000"/>
      <w:sz w:val="24"/>
      <w:szCs w:val="24"/>
      <w:lang w:val="en-US" w:eastAsia="zh-TW"/>
    </w:rPr>
  </w:style>
  <w:style w:type="paragraph" w:customStyle="1" w:styleId="HeadingNumbering2">
    <w:name w:val="Heading Numbering 2"/>
    <w:basedOn w:val="HeadingNumbering1"/>
    <w:qFormat/>
    <w:rsid w:val="008878A0"/>
    <w:pPr>
      <w:numPr>
        <w:ilvl w:val="1"/>
      </w:numPr>
      <w:ind w:left="720"/>
    </w:pPr>
    <w:rPr>
      <w:sz w:val="24"/>
    </w:rPr>
  </w:style>
  <w:style w:type="character" w:customStyle="1" w:styleId="HeadingNumbering1Char">
    <w:name w:val="Heading Numbering 1 Char"/>
    <w:link w:val="HeadingNumbering1"/>
    <w:rsid w:val="003F3ED0"/>
    <w:rPr>
      <w:b/>
      <w:sz w:val="30"/>
      <w:szCs w:val="30"/>
      <w:lang w:val="en-US" w:eastAsia="zh-TW"/>
    </w:rPr>
  </w:style>
  <w:style w:type="paragraph" w:customStyle="1" w:styleId="HeadingNumbering3">
    <w:name w:val="Heading Numbering 3"/>
    <w:basedOn w:val="HeadingNumbering1"/>
    <w:qFormat/>
    <w:rsid w:val="008878A0"/>
    <w:pPr>
      <w:numPr>
        <w:ilvl w:val="2"/>
      </w:numPr>
      <w:ind w:left="720"/>
    </w:pPr>
    <w:rPr>
      <w:sz w:val="24"/>
    </w:rPr>
  </w:style>
  <w:style w:type="paragraph" w:customStyle="1" w:styleId="References">
    <w:name w:val="References"/>
    <w:basedOn w:val="Normale"/>
    <w:link w:val="ReferencesChar"/>
    <w:rsid w:val="00BC006F"/>
    <w:pPr>
      <w:widowControl/>
      <w:autoSpaceDE w:val="0"/>
      <w:autoSpaceDN w:val="0"/>
      <w:spacing w:line="480" w:lineRule="auto"/>
      <w:textAlignment w:val="bottom"/>
    </w:pPr>
    <w:rPr>
      <w:color w:val="000000"/>
      <w:szCs w:val="30"/>
    </w:rPr>
  </w:style>
  <w:style w:type="paragraph" w:customStyle="1" w:styleId="ReferencesTitle">
    <w:name w:val="References Title"/>
    <w:basedOn w:val="References"/>
    <w:link w:val="ReferencesTitleChar"/>
    <w:rsid w:val="00471FEC"/>
    <w:pPr>
      <w:spacing w:line="240" w:lineRule="auto"/>
    </w:pPr>
    <w:rPr>
      <w:b/>
    </w:rPr>
  </w:style>
  <w:style w:type="paragraph" w:customStyle="1" w:styleId="ReferencesText">
    <w:name w:val="References Text"/>
    <w:basedOn w:val="Normale"/>
    <w:qFormat/>
    <w:rsid w:val="00BC006F"/>
    <w:pPr>
      <w:widowControl/>
      <w:numPr>
        <w:numId w:val="4"/>
      </w:numPr>
      <w:autoSpaceDE w:val="0"/>
      <w:autoSpaceDN w:val="0"/>
      <w:textAlignment w:val="bottom"/>
    </w:pPr>
    <w:rPr>
      <w:rFonts w:eastAsia="DFKai-SB"/>
      <w:color w:val="000000"/>
      <w:szCs w:val="24"/>
    </w:rPr>
  </w:style>
  <w:style w:type="paragraph" w:customStyle="1" w:styleId="Referencestitle0">
    <w:name w:val="References title"/>
    <w:basedOn w:val="ReferencesTitle"/>
    <w:link w:val="ReferencestitleChar0"/>
    <w:qFormat/>
    <w:rsid w:val="007F7431"/>
    <w:pPr>
      <w:spacing w:line="276" w:lineRule="auto"/>
    </w:pPr>
    <w:rPr>
      <w:sz w:val="30"/>
    </w:rPr>
  </w:style>
  <w:style w:type="paragraph" w:customStyle="1" w:styleId="Authors">
    <w:name w:val="Authors"/>
    <w:basedOn w:val="Authorsnames"/>
    <w:link w:val="AuthorsChar"/>
    <w:qFormat/>
    <w:rsid w:val="00707DAB"/>
    <w:rPr>
      <w:szCs w:val="18"/>
    </w:rPr>
  </w:style>
  <w:style w:type="character" w:customStyle="1" w:styleId="ReferencesChar">
    <w:name w:val="References Char"/>
    <w:link w:val="References"/>
    <w:rsid w:val="007E0FC9"/>
    <w:rPr>
      <w:color w:val="000000"/>
      <w:sz w:val="24"/>
      <w:szCs w:val="30"/>
      <w:lang w:val="en-US" w:eastAsia="zh-TW"/>
    </w:rPr>
  </w:style>
  <w:style w:type="character" w:customStyle="1" w:styleId="ReferencesTitleChar">
    <w:name w:val="References Title Char"/>
    <w:link w:val="ReferencesTitle"/>
    <w:rsid w:val="007E0FC9"/>
    <w:rPr>
      <w:b/>
      <w:color w:val="000000"/>
      <w:sz w:val="24"/>
      <w:szCs w:val="30"/>
      <w:lang w:val="en-US" w:eastAsia="zh-TW"/>
    </w:rPr>
  </w:style>
  <w:style w:type="character" w:customStyle="1" w:styleId="ReferencestitleChar0">
    <w:name w:val="References title Char"/>
    <w:basedOn w:val="ReferencesTitleChar"/>
    <w:link w:val="Referencestitle0"/>
    <w:rsid w:val="007F7431"/>
    <w:rPr>
      <w:b/>
      <w:color w:val="000000"/>
      <w:sz w:val="30"/>
      <w:szCs w:val="30"/>
      <w:lang w:val="en-US" w:eastAsia="zh-TW"/>
    </w:rPr>
  </w:style>
  <w:style w:type="character" w:customStyle="1" w:styleId="AuthorsChar">
    <w:name w:val="Authors Char"/>
    <w:link w:val="Authors"/>
    <w:rsid w:val="00707DAB"/>
    <w:rPr>
      <w:b/>
      <w:color w:val="000000"/>
      <w:sz w:val="24"/>
      <w:szCs w:val="18"/>
      <w:lang w:val="en-US" w:eastAsia="zh-TW"/>
    </w:rPr>
  </w:style>
  <w:style w:type="paragraph" w:customStyle="1" w:styleId="Scienpress">
    <w:name w:val="Scienpress"/>
    <w:basedOn w:val="Corpotesto"/>
    <w:link w:val="ScienpressChar"/>
    <w:qFormat/>
    <w:rsid w:val="00585BD2"/>
    <w:pPr>
      <w:spacing w:line="240" w:lineRule="auto"/>
      <w:jc w:val="both"/>
    </w:pPr>
    <w:rPr>
      <w:rFonts w:ascii="Times New Roman" w:eastAsia="MS Mincho" w:hAnsi="Times New Roman"/>
      <w:b w:val="0"/>
      <w:i/>
      <w:color w:val="000000"/>
      <w:sz w:val="24"/>
      <w:szCs w:val="24"/>
      <w:lang w:eastAsia="ja-JP"/>
    </w:rPr>
  </w:style>
  <w:style w:type="paragraph" w:customStyle="1" w:styleId="Detailsforauthors">
    <w:name w:val="Details for authors"/>
    <w:basedOn w:val="Testonotaapidipagina"/>
    <w:link w:val="DetailsforauthorsChar"/>
    <w:qFormat/>
    <w:rsid w:val="00024360"/>
  </w:style>
  <w:style w:type="character" w:customStyle="1" w:styleId="ScienpressChar">
    <w:name w:val="Scienpress Char"/>
    <w:basedOn w:val="CorpotestoCarattere"/>
    <w:link w:val="Scienpress"/>
    <w:rsid w:val="00585BD2"/>
    <w:rPr>
      <w:rFonts w:ascii="Tms Rmn" w:eastAsia="MS Mincho" w:hAnsi="Tms Rmn"/>
      <w:b w:val="0"/>
      <w:i/>
      <w:color w:val="000000"/>
      <w:sz w:val="24"/>
      <w:szCs w:val="24"/>
      <w:lang w:val="en-US" w:eastAsia="ja-JP"/>
    </w:rPr>
  </w:style>
  <w:style w:type="character" w:customStyle="1" w:styleId="TestonotaapidipaginaCarattere">
    <w:name w:val="Testo nota a piè di pagina Carattere"/>
    <w:basedOn w:val="Carpredefinitoparagrafo"/>
    <w:link w:val="Testonotaapidipagina"/>
    <w:semiHidden/>
    <w:rsid w:val="00024360"/>
    <w:rPr>
      <w:lang w:val="en-US" w:eastAsia="zh-TW"/>
    </w:rPr>
  </w:style>
  <w:style w:type="character" w:customStyle="1" w:styleId="DetailsforauthorsChar">
    <w:name w:val="Details for authors Char"/>
    <w:basedOn w:val="TestonotaapidipaginaCarattere"/>
    <w:link w:val="Detailsforauthors"/>
    <w:rsid w:val="00024360"/>
    <w:rPr>
      <w:lang w:val="en-US" w:eastAsia="zh-TW"/>
    </w:rPr>
  </w:style>
  <w:style w:type="paragraph" w:customStyle="1" w:styleId="TablesHeading">
    <w:name w:val="Tables Heading"/>
    <w:basedOn w:val="Normale"/>
    <w:link w:val="TablesHeadingChar"/>
    <w:rsid w:val="00474E09"/>
    <w:pPr>
      <w:spacing w:after="120"/>
      <w:jc w:val="center"/>
    </w:pPr>
    <w:rPr>
      <w:b/>
      <w:sz w:val="22"/>
    </w:rPr>
  </w:style>
  <w:style w:type="paragraph" w:customStyle="1" w:styleId="Tabletext">
    <w:name w:val="Table text"/>
    <w:basedOn w:val="Normale"/>
    <w:link w:val="TabletextChar"/>
    <w:qFormat/>
    <w:rsid w:val="009C6C50"/>
    <w:pPr>
      <w:widowControl/>
      <w:adjustRightInd/>
      <w:spacing w:after="120"/>
      <w:jc w:val="center"/>
      <w:textAlignment w:val="auto"/>
    </w:pPr>
    <w:rPr>
      <w:rFonts w:eastAsia="Times New Roman"/>
      <w:bCs/>
      <w:szCs w:val="24"/>
      <w:lang w:val="en-NZ" w:eastAsia="el-GR"/>
    </w:rPr>
  </w:style>
  <w:style w:type="character" w:customStyle="1" w:styleId="TablesHeadingChar">
    <w:name w:val="Tables Heading Char"/>
    <w:basedOn w:val="Carpredefinitoparagrafo"/>
    <w:link w:val="TablesHeading"/>
    <w:rsid w:val="00474E09"/>
    <w:rPr>
      <w:b/>
      <w:sz w:val="22"/>
      <w:lang w:val="en-US" w:eastAsia="zh-TW"/>
    </w:rPr>
  </w:style>
  <w:style w:type="paragraph" w:customStyle="1" w:styleId="Figure">
    <w:name w:val="Figure"/>
    <w:basedOn w:val="Didascalia"/>
    <w:link w:val="FigureChar"/>
    <w:qFormat/>
    <w:rsid w:val="00183750"/>
    <w:pPr>
      <w:jc w:val="center"/>
    </w:pPr>
    <w:rPr>
      <w:b/>
      <w:bCs/>
    </w:rPr>
  </w:style>
  <w:style w:type="character" w:customStyle="1" w:styleId="TabletextChar">
    <w:name w:val="Table text Char"/>
    <w:basedOn w:val="Carpredefinitoparagrafo"/>
    <w:link w:val="Tabletext"/>
    <w:rsid w:val="009C6C50"/>
    <w:rPr>
      <w:rFonts w:eastAsia="Times New Roman"/>
      <w:bCs/>
      <w:sz w:val="24"/>
      <w:szCs w:val="24"/>
      <w:lang w:val="en-NZ" w:eastAsia="el-GR"/>
    </w:rPr>
  </w:style>
  <w:style w:type="character" w:customStyle="1" w:styleId="FigureChar">
    <w:name w:val="Figure Char"/>
    <w:basedOn w:val="Carpredefinitoparagrafo"/>
    <w:link w:val="Figure"/>
    <w:rsid w:val="00183750"/>
    <w:rPr>
      <w:b/>
      <w:bCs/>
      <w:sz w:val="24"/>
      <w:lang w:val="en-US" w:eastAsia="zh-TW"/>
    </w:rPr>
  </w:style>
  <w:style w:type="paragraph" w:customStyle="1" w:styleId="Tabletitle">
    <w:name w:val="Table title"/>
    <w:basedOn w:val="TablesHeading"/>
    <w:link w:val="TabletitleChar"/>
    <w:qFormat/>
    <w:rsid w:val="00D1571E"/>
  </w:style>
  <w:style w:type="character" w:customStyle="1" w:styleId="TabletitleChar">
    <w:name w:val="Table title Char"/>
    <w:basedOn w:val="TablesHeadingChar"/>
    <w:link w:val="Tabletitle"/>
    <w:rsid w:val="00D1571E"/>
    <w:rPr>
      <w:b/>
      <w:sz w:val="22"/>
      <w:lang w:val="en-US" w:eastAsia="zh-TW"/>
    </w:rPr>
  </w:style>
  <w:style w:type="character" w:customStyle="1" w:styleId="TextoArticuloCar">
    <w:name w:val="TextoArticulo Car"/>
    <w:link w:val="TextoArticulo"/>
    <w:locked/>
    <w:rsid w:val="00583C12"/>
    <w:rPr>
      <w:rFonts w:ascii="Verdana" w:eastAsia="Times New Roman" w:hAnsi="Verdana"/>
      <w:lang w:val="es-ES" w:eastAsia="es-ES"/>
    </w:rPr>
  </w:style>
  <w:style w:type="paragraph" w:customStyle="1" w:styleId="TextoArticulo">
    <w:name w:val="TextoArticulo"/>
    <w:basedOn w:val="Normale"/>
    <w:link w:val="TextoArticuloCar"/>
    <w:rsid w:val="00583C12"/>
    <w:pPr>
      <w:widowControl/>
      <w:adjustRightInd/>
      <w:spacing w:after="240" w:line="360" w:lineRule="auto"/>
      <w:ind w:right="45"/>
      <w:textAlignment w:val="auto"/>
    </w:pPr>
    <w:rPr>
      <w:rFonts w:ascii="Verdana" w:eastAsia="Times New Roman" w:hAnsi="Verdana"/>
      <w:sz w:val="20"/>
      <w:lang w:val="es-ES" w:eastAsia="es-ES"/>
    </w:rPr>
  </w:style>
  <w:style w:type="paragraph" w:styleId="Bibliografia">
    <w:name w:val="Bibliography"/>
    <w:basedOn w:val="Normale"/>
    <w:next w:val="Normale"/>
    <w:uiPriority w:val="37"/>
    <w:unhideWhenUsed/>
    <w:rsid w:val="00583C12"/>
    <w:pPr>
      <w:widowControl/>
      <w:adjustRightInd/>
      <w:spacing w:after="160" w:line="259" w:lineRule="auto"/>
      <w:jc w:val="left"/>
      <w:textAlignment w:val="auto"/>
    </w:pPr>
    <w:rPr>
      <w:rFonts w:asciiTheme="minorHAnsi" w:eastAsiaTheme="minorHAnsi" w:hAnsiTheme="minorHAnsi" w:cstheme="minorBidi"/>
      <w:sz w:val="22"/>
      <w:szCs w:val="22"/>
      <w:lang w:val="es-MX" w:eastAsia="en-US"/>
    </w:rPr>
  </w:style>
  <w:style w:type="paragraph" w:styleId="Paragrafoelenco">
    <w:name w:val="List Paragraph"/>
    <w:basedOn w:val="Normale"/>
    <w:uiPriority w:val="34"/>
    <w:rsid w:val="006B7C94"/>
    <w:pPr>
      <w:ind w:left="720"/>
      <w:contextualSpacing/>
    </w:pPr>
  </w:style>
  <w:style w:type="paragraph" w:customStyle="1" w:styleId="Paragraph">
    <w:name w:val="Paragraph"/>
    <w:basedOn w:val="Normale"/>
    <w:next w:val="Normale"/>
    <w:qFormat/>
    <w:rsid w:val="00600844"/>
    <w:pPr>
      <w:adjustRightInd/>
      <w:spacing w:before="240" w:line="480" w:lineRule="auto"/>
      <w:jc w:val="left"/>
      <w:textAlignment w:val="auto"/>
    </w:pPr>
    <w:rPr>
      <w:rFonts w:eastAsia="Times New Roman"/>
      <w:szCs w:val="24"/>
      <w:lang w:val="en-GB" w:eastAsia="en-GB"/>
    </w:rPr>
  </w:style>
  <w:style w:type="table" w:styleId="Grigliatabella">
    <w:name w:val="Table Grid"/>
    <w:basedOn w:val="Tabellanormale"/>
    <w:uiPriority w:val="39"/>
    <w:rsid w:val="002129BD"/>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wparagraph">
    <w:name w:val="New paragraph"/>
    <w:basedOn w:val="Normale"/>
    <w:qFormat/>
    <w:rsid w:val="002129BD"/>
    <w:pPr>
      <w:widowControl/>
      <w:adjustRightInd/>
      <w:spacing w:line="480" w:lineRule="auto"/>
      <w:ind w:firstLine="720"/>
      <w:jc w:val="left"/>
      <w:textAlignment w:val="auto"/>
    </w:pPr>
    <w:rPr>
      <w:rFonts w:eastAsia="Times New Roman"/>
      <w:szCs w:val="24"/>
      <w:lang w:val="en-GB" w:eastAsia="en-GB"/>
    </w:rPr>
  </w:style>
  <w:style w:type="character" w:styleId="Menzionenonrisolta">
    <w:name w:val="Unresolved Mention"/>
    <w:basedOn w:val="Carpredefinitoparagrafo"/>
    <w:uiPriority w:val="99"/>
    <w:semiHidden/>
    <w:unhideWhenUsed/>
    <w:rsid w:val="007276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797411">
      <w:bodyDiv w:val="1"/>
      <w:marLeft w:val="0"/>
      <w:marRight w:val="0"/>
      <w:marTop w:val="0"/>
      <w:marBottom w:val="0"/>
      <w:divBdr>
        <w:top w:val="none" w:sz="0" w:space="0" w:color="auto"/>
        <w:left w:val="none" w:sz="0" w:space="0" w:color="auto"/>
        <w:bottom w:val="none" w:sz="0" w:space="0" w:color="auto"/>
        <w:right w:val="none" w:sz="0" w:space="0" w:color="auto"/>
      </w:divBdr>
    </w:div>
    <w:div w:id="1525629856">
      <w:bodyDiv w:val="1"/>
      <w:marLeft w:val="0"/>
      <w:marRight w:val="0"/>
      <w:marTop w:val="0"/>
      <w:marBottom w:val="0"/>
      <w:divBdr>
        <w:top w:val="none" w:sz="0" w:space="0" w:color="auto"/>
        <w:left w:val="none" w:sz="0" w:space="0" w:color="auto"/>
        <w:bottom w:val="none" w:sz="0" w:space="0" w:color="auto"/>
        <w:right w:val="none" w:sz="0" w:space="0" w:color="auto"/>
      </w:divBdr>
    </w:div>
    <w:div w:id="1778793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Ala06</b:Tag>
    <b:SourceType>Book</b:SourceType>
    <b:Guid>{1D87B3E4-59A8-4B7E-9543-6D95195EB9A0}</b:Guid>
    <b:Title>Elaboración, análisis e interpretación de encuestas, cuestionarios y escalas de opinión</b:Title>
    <b:Year>2006</b:Year>
    <b:Author>
      <b:Author>
        <b:NameList>
          <b:Person>
            <b:Last>Alaminos</b:Last>
            <b:First>A.</b:First>
          </b:Person>
          <b:Person>
            <b:Last>Castejón</b:Last>
            <b:First>J.</b:First>
          </b:Person>
        </b:NameList>
      </b:Author>
    </b:Author>
    <b:City>Alicante, España</b:City>
    <b:Publisher>Editorial Marfil, S.A.</b:Publisher>
    <b:RefOrder>1</b:RefOrder>
  </b:Source>
  <b:Source>
    <b:Tag>And88</b:Tag>
    <b:SourceType>JournalArticle</b:SourceType>
    <b:Guid>{1C1FAB4B-09BB-4E67-817C-9668076817C7}</b:Guid>
    <b:Title>Structural equation modeling in practice: a review and recommended two-step approach</b:Title>
    <b:Year>1988</b:Year>
    <b:JournalName>Psychological Bulletin</b:JournalName>
    <b:Pages>411-423</b:Pages>
    <b:Author>
      <b:Author>
        <b:NameList>
          <b:Person>
            <b:Last>Anderson</b:Last>
            <b:First>J.</b:First>
          </b:Person>
          <b:Person>
            <b:Last>Gerbing</b:Last>
            <b:First>D.</b:First>
          </b:Person>
        </b:NameList>
      </b:Author>
    </b:Author>
    <b:Issue>13</b:Issue>
    <b:RefOrder>2</b:RefOrder>
  </b:Source>
  <b:Source>
    <b:Tag>Ant08</b:Tag>
    <b:SourceType>JournalArticle</b:SourceType>
    <b:Guid>{EA9318FE-DE15-4D40-85E4-273947E0A1C4}</b:Guid>
    <b:Title>Reducing ongoing product design decision-making bias</b:Title>
    <b:JournalName>Journal of Product Innovation Management</b:JournalName>
    <b:Year>2008</b:Year>
    <b:Pages>528-545</b:Pages>
    <b:Author>
      <b:Author>
        <b:NameList>
          <b:Person>
            <b:Last>Antioco</b:Last>
            <b:First>M.</b:First>
          </b:Person>
          <b:Person>
            <b:Last>Moenaert</b:Last>
            <b:First>R.</b:First>
          </b:Person>
          <b:Person>
            <b:Last>Lindgreen</b:Last>
            <b:First>A.</b:First>
          </b:Person>
        </b:NameList>
      </b:Author>
    </b:Author>
    <b:Volume>25</b:Volume>
    <b:Issue>6</b:Issue>
    <b:RefOrder>3</b:RefOrder>
  </b:Source>
  <b:Source>
    <b:Tag>Arr04</b:Tag>
    <b:SourceType>JournalArticle</b:SourceType>
    <b:Guid>{11905836-EE91-4077-9C2C-A9B210A32029}</b:Guid>
    <b:Title>Diseño y validación de cuestionarios</b:Title>
    <b:Year>2004</b:Year>
    <b:Pages>23-29</b:Pages>
    <b:InternetSiteTitle>Matronas Profesión</b:InternetSiteTitle>
    <b:URL>http://ebevidencia.com/wp-content/uploads/2014/07/validacion_cuestionarios.pdf</b:URL>
    <b:Author>
      <b:Author>
        <b:NameList>
          <b:Person>
            <b:Last>Arribas</b:Last>
            <b:First>M.</b:First>
          </b:Person>
        </b:NameList>
      </b:Author>
    </b:Author>
    <b:Volume>5</b:Volume>
    <b:Issue>17</b:Issue>
    <b:RefOrder>4</b:RefOrder>
  </b:Source>
  <b:Source>
    <b:Tag>Bag88</b:Tag>
    <b:SourceType>JournalArticle</b:SourceType>
    <b:Guid>{558A5C7B-FB93-441F-B4A2-5278C29D0820}</b:Guid>
    <b:Title>On the evaluation of structural equation models</b:Title>
    <b:JournalName>Journal of the Academy of Marketing Science</b:JournalName>
    <b:Year>1988</b:Year>
    <b:Pages>74-94</b:Pages>
    <b:Author>
      <b:Author>
        <b:NameList>
          <b:Person>
            <b:Last>Bagozzi</b:Last>
            <b:First>R.</b:First>
          </b:Person>
          <b:Person>
            <b:Last>Yi</b:Last>
            <b:First>Y.</b:First>
          </b:Person>
        </b:NameList>
      </b:Author>
    </b:Author>
    <b:Volume>16</b:Volume>
    <b:Issue>1</b:Issue>
    <b:RefOrder>5</b:RefOrder>
  </b:Source>
  <b:Source>
    <b:Tag>Bar09</b:Tag>
    <b:SourceType>JournalArticle</b:SourceType>
    <b:Guid>{91D7B67F-90FC-44AF-8DBD-375EAAEA9993}</b:Guid>
    <b:Title>Towards a multidisciplinary definition of innovation</b:Title>
    <b:JournalName>Management Decision</b:JournalName>
    <b:Year>2009</b:Year>
    <b:Pages>1323-1339</b:Pages>
    <b:Author>
      <b:Author>
        <b:NameList>
          <b:Person>
            <b:Last>Baregheh</b:Last>
            <b:First>A.</b:First>
          </b:Person>
          <b:Person>
            <b:Last>Rowley</b:Last>
            <b:First>J.</b:First>
          </b:Person>
          <b:Person>
            <b:Last>Sambrook</b:Last>
            <b:First>S.</b:First>
          </b:Person>
        </b:NameList>
      </b:Author>
    </b:Author>
    <b:Volume>47</b:Volume>
    <b:Issue>8</b:Issue>
    <b:RefOrder>6</b:RefOrder>
  </b:Source>
  <b:Source>
    <b:Tag>Ben05</b:Tag>
    <b:SourceType>Book</b:SourceType>
    <b:Guid>{85BDDBAA-59B0-4E87-BAA4-26DB3DF6223C}</b:Guid>
    <b:Title>EQS 6 structural equations program manual</b:Title>
    <b:Year>2005</b:Year>
    <b:City>Encino, USA</b:City>
    <b:Publisher>Multivariate Software</b:Publisher>
    <b:Author>
      <b:Author>
        <b:NameList>
          <b:Person>
            <b:Last>Bentler</b:Last>
            <b:First>P.</b:First>
          </b:Person>
        </b:NameList>
      </b:Author>
    </b:Author>
    <b:RefOrder>7</b:RefOrder>
  </b:Source>
  <b:Source>
    <b:Tag>Bha10</b:Tag>
    <b:SourceType>JournalArticle</b:SourceType>
    <b:Guid>{BD454A01-22D7-4891-9549-B801E371B55D}</b:Guid>
    <b:Title>Managing innovation: understanding how continuity and change are interlinked</b:Title>
    <b:Year>2010</b:Year>
    <b:JournalName>Global Journal of Flexible Systems Management</b:JournalName>
    <b:Pages>63-74</b:Pages>
    <b:Author>
      <b:Author>
        <b:NameList>
          <b:Person>
            <b:Last>Bhat</b:Last>
            <b:First>J.</b:First>
          </b:Person>
        </b:NameList>
      </b:Author>
    </b:Author>
    <b:Volume>11</b:Volume>
    <b:Issue>1 y 2</b:Issue>
    <b:RefOrder>8</b:RefOrder>
  </b:Source>
  <b:Source>
    <b:Tag>Boy04</b:Tag>
    <b:SourceType>JournalArticle</b:SourceType>
    <b:Guid>{3684410E-118B-4C5C-A2A5-7A0B073AA26E}</b:Guid>
    <b:Title>Introduction to the special issue on service strategy and technology application</b:Title>
    <b:JournalName>Production and Operations Management</b:JournalName>
    <b:Year>2004</b:Year>
    <b:Pages>201-204</b:Pages>
    <b:Author>
      <b:Author>
        <b:NameList>
          <b:Person>
            <b:Last>Boyer</b:Last>
            <b:First>K.</b:First>
          </b:Person>
          <b:Person>
            <b:Last>Metters</b:Last>
            <b:First>R.</b:First>
          </b:Person>
        </b:NameList>
      </b:Author>
    </b:Author>
    <b:Volume>13</b:Volume>
    <b:Issue>3</b:Issue>
    <b:RefOrder>9</b:RefOrder>
  </b:Source>
  <b:Source>
    <b:Tag>Bra08</b:Tag>
    <b:SourceType>JournalArticle</b:SourceType>
    <b:Guid>{BEF42913-75BE-455A-9077-39852F4B35C7}</b:Guid>
    <b:Title>Knowledge, innovation and institutions: global and local dimensions of the ICT cluster in Waterloo, Canada</b:Title>
    <b:JournalName>Regional Studies</b:JournalName>
    <b:Year>2008</b:Year>
    <b:Pages>101-116</b:Pages>
    <b:Author>
      <b:Author>
        <b:NameList>
          <b:Person>
            <b:Last>Bramwell</b:Last>
            <b:First>A.</b:First>
          </b:Person>
          <b:Person>
            <b:Last>Nelles</b:Last>
            <b:First>J.</b:First>
          </b:Person>
          <b:Person>
            <b:Last>Wolfe</b:Last>
            <b:First>D.</b:First>
          </b:Person>
        </b:NameList>
      </b:Author>
    </b:Author>
    <b:Volume>42</b:Volume>
    <b:Issue>1</b:Issue>
    <b:RefOrder>10</b:RefOrder>
  </b:Source>
  <b:Source>
    <b:Tag>Bro06</b:Tag>
    <b:SourceType>Book</b:SourceType>
    <b:Guid>{B3AAE4DA-E88B-4753-B0FC-16C8F3232DFE}</b:Guid>
    <b:Title>Confirmatory factor analysis for applied research</b:Title>
    <b:Year>2006</b:Year>
    <b:City>New York, USA</b:City>
    <b:Publisher>The Guilford Press</b:Publisher>
    <b:Author>
      <b:Author>
        <b:NameList>
          <b:Person>
            <b:Last>Brown</b:Last>
            <b:First>T.</b:First>
          </b:Person>
        </b:NameList>
      </b:Author>
    </b:Author>
    <b:RefOrder>11</b:RefOrder>
  </b:Source>
  <b:Source>
    <b:Tag>Bur04</b:Tag>
    <b:SourceType>Book</b:SourceType>
    <b:Guid>{6D48A6FC-1A00-443C-99B2-A8618031FDF7}</b:Guid>
    <b:Title>Strategic management of technology and innovation</b:Title>
    <b:Year>2004</b:Year>
    <b:City>Nueva York</b:City>
    <b:Publisher>McGraw-Hill</b:Publisher>
    <b:Author>
      <b:Author>
        <b:NameList>
          <b:Person>
            <b:Last>Burgelman</b:Last>
            <b:First>R.</b:First>
          </b:Person>
          <b:Person>
            <b:Last>Maidique</b:Last>
            <b:First>M.</b:First>
          </b:Person>
          <b:Person>
            <b:Last>Wheelwright</b:Last>
            <b:First>S.</b:First>
          </b:Person>
        </b:NameList>
      </b:Author>
    </b:Author>
    <b:RefOrder>12</b:RefOrder>
  </b:Source>
  <b:Source>
    <b:Tag>Byr06</b:Tag>
    <b:SourceType>Book</b:SourceType>
    <b:Guid>{090FFA4C-D127-453E-86F0-2E06EE5735A0}</b:Guid>
    <b:Title>Structural equation modeling with EQS, basic concepts, applications, and programming</b:Title>
    <b:Year>2006</b:Year>
    <b:City>London, UK</b:City>
    <b:Publisher>LEA Publishers</b:Publisher>
    <b:Author>
      <b:Author>
        <b:NameList>
          <b:Person>
            <b:Last>Byrne</b:Last>
            <b:First>B.</b:First>
          </b:Person>
        </b:NameList>
      </b:Author>
    </b:Author>
    <b:Edition>2</b:Edition>
    <b:RefOrder>13</b:RefOrder>
  </b:Source>
  <b:Source>
    <b:Tag>Can05</b:Tag>
    <b:SourceType>Book</b:SourceType>
    <b:Guid>{93AE2E9A-A58B-4097-804C-E2F45BAFBEE5}</b:Guid>
    <b:Title>Innovation and competitiveness</b:Title>
    <b:Year>2005</b:Year>
    <b:City>Nueva York</b:City>
    <b:Publisher>Oxford University Press</b:Publisher>
    <b:Author>
      <b:Author>
        <b:NameList>
          <b:Person>
            <b:Last>Cantwell</b:Last>
            <b:First>J.</b:First>
          </b:Person>
        </b:NameList>
      </b:Author>
    </b:Author>
    <b:RefOrder>14</b:RefOrder>
  </b:Source>
  <b:Source>
    <b:Tag>Car14</b:Tag>
    <b:SourceType>JournalArticle</b:SourceType>
    <b:Guid>{A1978C1D-4F33-4B3F-8AAB-52CE0BD3A8AC}</b:Guid>
    <b:Title>Linking innovation, productivity, and competitiveness: implications for policy and practice</b:Title>
    <b:Year>2014</b:Year>
    <b:JournalName>Journal of Technology Transfer</b:JournalName>
    <b:Pages>199-218</b:Pages>
    <b:Author>
      <b:Author>
        <b:NameList>
          <b:Person>
            <b:Last>Carayannis</b:Last>
            <b:First>E.</b:First>
          </b:Person>
          <b:Person>
            <b:Last>Grigoroudis</b:Last>
            <b:First>E.</b:First>
          </b:Person>
        </b:NameList>
      </b:Author>
    </b:Author>
    <b:Volume>39</b:Volume>
    <b:Issue>SN</b:Issue>
    <b:RefOrder>15</b:RefOrder>
  </b:Source>
  <b:Source>
    <b:Tag>Che13</b:Tag>
    <b:SourceType>JournalArticle</b:SourceType>
    <b:Guid>{A0B3306A-1DC9-46D6-80D4-89F364C5B01D}</b:Guid>
    <b:Title>A theory of innovation resource synergy</b:Title>
    <b:JournalName>Innovation: management, policy and practice</b:JournalName>
    <b:Year>2013</b:Year>
    <b:Pages>368-392</b:Pages>
    <b:Author>
      <b:Author>
        <b:NameList>
          <b:Person>
            <b:Last>Chen</b:Last>
            <b:First>J.K.</b:First>
          </b:Person>
          <b:Person>
            <b:Last>Chen</b:Last>
            <b:First>I.S.</b:First>
          </b:Person>
        </b:NameList>
      </b:Author>
    </b:Author>
    <b:Volume>15</b:Volume>
    <b:Issue>3</b:Issue>
    <b:RefOrder>16</b:RefOrder>
  </b:Source>
  <b:Source>
    <b:Tag>Cho12</b:Tag>
    <b:SourceType>JournalArticle</b:SourceType>
    <b:Guid>{8BD60B85-A6B7-4538-BE5A-6C1CB98F2019}</b:Guid>
    <b:Title>The moderating effect of innovation protection mechanisms on the competitiveness of service firms</b:Title>
    <b:JournalName>Springer-Verlag</b:JournalName>
    <b:Year>2012</b:Year>
    <b:Pages>369-386</b:Pages>
    <b:Author>
      <b:Author>
        <b:NameList>
          <b:Person>
            <b:Last>Cho</b:Last>
            <b:First>I.</b:First>
          </b:Person>
          <b:Person>
            <b:Last>Park</b:Last>
            <b:First>H.</b:First>
          </b:Person>
          <b:Person>
            <b:Last>Kichul</b:Last>
            <b:First>J.</b:First>
          </b:Person>
        </b:NameList>
      </b:Author>
    </b:Author>
    <b:Volume>6</b:Volume>
    <b:RefOrder>17</b:RefOrder>
  </b:Source>
  <b:Source>
    <b:Tag>Col15</b:Tag>
    <b:SourceType>JournalArticle</b:SourceType>
    <b:Guid>{691183B6-BD0D-4FBE-9A4F-12BB4EED34AF}</b:Guid>
    <b:Title>National factor effects on firm competitiveness and innovation</b:Title>
    <b:JournalName>Competitiveness Review</b:JournalName>
    <b:Year>2015</b:Year>
    <b:Pages>392-409</b:Pages>
    <b:Author>
      <b:Author>
        <b:NameList>
          <b:Person>
            <b:Last>Collins</b:Last>
            <b:First>J.</b:First>
          </b:Person>
          <b:Person>
            <b:Last>Troilo</b:Last>
            <b:First>M.</b:First>
          </b:Person>
        </b:NameList>
      </b:Author>
    </b:Author>
    <b:Volume>25</b:Volume>
    <b:Issue>4</b:Issue>
    <b:RefOrder>18</b:RefOrder>
  </b:Source>
  <b:Source>
    <b:Tag>Com15</b:Tag>
    <b:SourceType>JournalArticle</b:SourceType>
    <b:Guid>{50CBB273-6F1A-40F4-86A5-0B855A1B85BB}</b:Guid>
    <b:Title>How early implementations influence later adoptions of innovation: social positioning and skill reproduction in the difussion of robotic surgery</b:Title>
    <b:JournalName>Academy of Management Journal</b:JournalName>
    <b:Year>2015</b:Year>
    <b:Pages>242-278</b:Pages>
    <b:Author>
      <b:Author>
        <b:NameList>
          <b:Person>
            <b:Last>Compagni</b:Last>
            <b:First>A.</b:First>
          </b:Person>
          <b:Person>
            <b:Last>Mele</b:Last>
            <b:First>V.</b:First>
          </b:Person>
          <b:Person>
            <b:Last>Ravasi</b:Last>
            <b:First>D.</b:First>
          </b:Person>
        </b:NameList>
      </b:Author>
    </b:Author>
    <b:Volume>58</b:Volume>
    <b:Issue>1</b:Issue>
    <b:RefOrder>19</b:RefOrder>
  </b:Source>
  <b:Source>
    <b:Tag>Cos14</b:Tag>
    <b:SourceType>JournalArticle</b:SourceType>
    <b:Guid>{A4271A44-AD75-4D52-A98C-8B573254A0ED}</b:Guid>
    <b:Title>Critical elements for produc innovation at Portuguese innovative SMEs: an intellectual capital perspective</b:Title>
    <b:JournalName>Knowledge Management Research &amp; Practice</b:JournalName>
    <b:Year>2014</b:Year>
    <b:Pages>322-338</b:Pages>
    <b:Author>
      <b:Author>
        <b:NameList>
          <b:Person>
            <b:Last>Costa</b:Last>
            <b:First>R.</b:First>
          </b:Person>
          <b:Person>
            <b:Last>Fernández-Jardon</b:Last>
            <b:First>C.</b:First>
          </b:Person>
          <b:Person>
            <b:Last>Figueroa</b:Last>
            <b:First>P.</b:First>
          </b:Person>
        </b:NameList>
      </b:Author>
    </b:Author>
    <b:Volume>12</b:Volume>
    <b:RefOrder>20</b:RefOrder>
  </b:Source>
  <b:Source>
    <b:Tag>deB01</b:Tag>
    <b:SourceType>JournalArticle</b:SourceType>
    <b:Guid>{795E5CE8-97FC-4892-9A70-EC0083AC6ECE}</b:Guid>
    <b:Title>Innovative versus incremental new business services: different keys for achieving success</b:Title>
    <b:JournalName>Journal of Product Innovation Management</b:JournalName>
    <b:Year>2001</b:Year>
    <b:Pages>169-187</b:Pages>
    <b:Author>
      <b:Author>
        <b:NameList>
          <b:Person>
            <b:Last>de Brentani</b:Last>
            <b:First>U.</b:First>
          </b:Person>
        </b:NameList>
      </b:Author>
    </b:Author>
    <b:Volume>18</b:Volume>
    <b:Issue>3</b:Issue>
    <b:RefOrder>21</b:RefOrder>
  </b:Source>
  <b:Source>
    <b:Tag>Dog08</b:Tag>
    <b:SourceType>JournalArticle</b:SourceType>
    <b:Guid>{75EBDD95-F2AB-49D2-ACF5-10F7623344C6}</b:Guid>
    <b:Title>The evolving nature of Taiwan´s national innovation system: the case of biotechnology innovation networks</b:Title>
    <b:JournalName>Research Policy</b:JournalName>
    <b:Year>2008</b:Year>
    <b:Pages>430-445</b:Pages>
    <b:Author>
      <b:Author>
        <b:NameList>
          <b:Person>
            <b:Last>Dogson</b:Last>
            <b:First>M.</b:First>
          </b:Person>
          <b:Person>
            <b:Last>Mathews</b:Last>
            <b:First>J.</b:First>
          </b:Person>
          <b:Person>
            <b:Last>Kastelle</b:Last>
            <b:First>T.</b:First>
          </b:Person>
          <b:Person>
            <b:Last>Hu</b:Last>
            <b:First>M.</b:First>
          </b:Person>
        </b:NameList>
      </b:Author>
    </b:Author>
    <b:Volume>37</b:Volume>
    <b:Issue>3</b:Issue>
    <b:RefOrder>22</b:RefOrder>
  </b:Source>
  <b:Source>
    <b:Tag>Dru95</b:Tag>
    <b:SourceType>Book</b:SourceType>
    <b:Guid>{280ADAB3-3450-4641-A79C-4943F81A1A17}</b:Guid>
    <b:Title>Innovation and entrepreneurship</b:Title>
    <b:Year>1995</b:Year>
    <b:City>Nueva York</b:City>
    <b:Publisher>Harper Collins</b:Publisher>
    <b:Author>
      <b:Author>
        <b:NameList>
          <b:Person>
            <b:Last>Drucker</b:Last>
            <b:First>P.</b:First>
          </b:Person>
        </b:NameList>
      </b:Author>
    </b:Author>
    <b:RefOrder>23</b:RefOrder>
  </b:Source>
  <b:Source>
    <b:Tag>The14</b:Tag>
    <b:SourceType>JournalArticle</b:SourceType>
    <b:Guid>{AA144A21-C7B0-4E1D-A646-168F293D8344}</b:Guid>
    <b:Title>The impact of a creativity-supporting work environment on a firm´s product innovation performance</b:Title>
    <b:Year>2014</b:Year>
    <b:JournalName>Production Innovation Management</b:JournalName>
    <b:Pages>1254-1267</b:Pages>
    <b:Volume>31</b:Volume>
    <b:Issue>6</b:Issue>
    <b:Author>
      <b:Author>
        <b:NameList>
          <b:Person>
            <b:Last>Dul</b:Last>
            <b:First>J.</b:First>
          </b:Person>
          <b:Person>
            <b:Last>Ceylan</b:Last>
            <b:First>C.</b:First>
          </b:Person>
        </b:NameList>
      </b:Author>
    </b:Author>
    <b:RefOrder>24</b:RefOrder>
  </b:Source>
  <b:Source>
    <b:Tag>Dur16</b:Tag>
    <b:SourceType>JournalArticle</b:SourceType>
    <b:Guid>{91369A05-DEE1-495C-B135-8ADE9DA08409}</b:Guid>
    <b:Title>Doing more with less: innovation input and output in family firms</b:Title>
    <b:JournalName>Academy of Management Journal</b:JournalName>
    <b:Year>2016</b:Year>
    <b:Pages>1224-1264</b:Pages>
    <b:Author>
      <b:Author>
        <b:NameList>
          <b:Person>
            <b:Last>Duran</b:Last>
            <b:First>P.</b:First>
          </b:Person>
          <b:Person>
            <b:Last>Kammerlander</b:Last>
            <b:First>N.</b:First>
          </b:Person>
          <b:Person>
            <b:Last>van Essen</b:Last>
            <b:First>M.</b:First>
          </b:Person>
          <b:Person>
            <b:Last>Zellweger</b:Last>
            <b:First>T.</b:First>
          </b:Person>
        </b:NameList>
      </b:Author>
    </b:Author>
    <b:Volume>59</b:Volume>
    <b:Issue>4</b:Issue>
    <b:RefOrder>25</b:RefOrder>
  </b:Source>
  <b:Source>
    <b:Tag>Flo15</b:Tag>
    <b:SourceType>JournalArticle</b:SourceType>
    <b:Guid>{34B7AE54-7428-4414-A6B2-83C64041F506}</b:Guid>
    <b:Title>Rural competitiveness through innovation in Romania: opportunities and risks</b:Title>
    <b:JournalName>. Agricultural Management property of Banat University of Agricultural Sciences &amp; Veterinary Medicine Timisoara</b:JournalName>
    <b:Year>2015</b:Year>
    <b:Pages>186-193</b:Pages>
    <b:Author>
      <b:Author>
        <b:NameList>
          <b:Person>
            <b:Last>Florian</b:Last>
            <b:First>V.</b:First>
          </b:Person>
          <b:Person>
            <b:Last>Tudor</b:Last>
            <b:First>M.</b:First>
          </b:Person>
        </b:NameList>
      </b:Author>
    </b:Author>
    <b:Volume>XVII</b:Volume>
    <b:Issue>2</b:Issue>
    <b:RefOrder>26</b:RefOrder>
  </b:Source>
  <b:Source>
    <b:Tag>For81</b:Tag>
    <b:SourceType>JournalArticle</b:SourceType>
    <b:Guid>{3B9B0564-5E63-4090-ACC8-5B057E8891B0}</b:Guid>
    <b:Title>Evaluating structural equation models with unobservable variablesand measurement error</b:Title>
    <b:JournalName>Journal of Marketing Research</b:JournalName>
    <b:Year>1981</b:Year>
    <b:Pages>39-50</b:Pages>
    <b:Author>
      <b:Author>
        <b:NameList>
          <b:Person>
            <b:Last>Fornell</b:Last>
            <b:First>C.</b:First>
          </b:Person>
          <b:Person>
            <b:Last>Larcker</b:Last>
            <b:First>D.</b:First>
          </b:Person>
        </b:NameList>
      </b:Author>
    </b:Author>
    <b:Volume>18</b:Volume>
    <b:RefOrder>27</b:RefOrder>
  </b:Source>
  <b:Source>
    <b:Tag>Gaj14</b:Tag>
    <b:SourceType>JournalArticle</b:SourceType>
    <b:Guid>{A8A869F3-C528-40DC-8755-AA292367CB3D}</b:Guid>
    <b:Title>Deconstructing dynamic capabilities: the role of cognitive and organizational routines in the innovation process</b:Title>
    <b:JournalName>Construction Management and Economics</b:JournalName>
    <b:Year>2014</b:Year>
    <b:Pages>246-261</b:Pages>
    <b:Author>
      <b:Author>
        <b:NameList>
          <b:Person>
            <b:Last>Gajendran</b:Last>
            <b:First>T.</b:First>
          </b:Person>
          <b:Person>
            <b:Last>Brewer</b:Last>
            <b:First>G.</b:First>
          </b:Person>
          <b:Person>
            <b:Last>Gudergan</b:Last>
            <b:First>S.</b:First>
          </b:Person>
          <b:Person>
            <b:Last>Sankaran</b:Last>
            <b:First>S.</b:First>
          </b:Person>
        </b:NameList>
      </b:Author>
    </b:Author>
    <b:Volume>32</b:Volume>
    <b:Issue>3</b:Issue>
    <b:RefOrder>28</b:RefOrder>
  </b:Source>
  <b:Source>
    <b:Tag>Gal97</b:Tag>
    <b:SourceType>JournalArticle</b:SourceType>
    <b:Guid>{58C9D69E-2B44-41A7-BF13-86F318CE63CD}</b:Guid>
    <b:Title>Innovation in services</b:Title>
    <b:JournalName>Research Policy</b:JournalName>
    <b:Year>1997</b:Year>
    <b:Pages>537-556</b:Pages>
    <b:Author>
      <b:Author>
        <b:NameList>
          <b:Person>
            <b:Last>Gallouj</b:Last>
            <b:First>F.</b:First>
          </b:Person>
          <b:Person>
            <b:Last>Weinstein</b:Last>
            <b:First>O.</b:First>
          </b:Person>
        </b:NameList>
      </b:Author>
    </b:Author>
    <b:Volume>26</b:Volume>
    <b:RefOrder>29</b:RefOrder>
  </b:Source>
  <b:Source>
    <b:Tag>Gre12</b:Tag>
    <b:SourceType>JournalArticle</b:SourceType>
    <b:Guid>{995CC2EA-6307-4D54-A6F6-9A83C670E248}</b:Guid>
    <b:Title>Trade marks and performance in services and manufacturing firms: evidence of schumpeterian competition through innovation</b:Title>
    <b:JournalName>The Australian Economic Review</b:JournalName>
    <b:Year>2012</b:Year>
    <b:Pages>50-76</b:Pages>
    <b:Author>
      <b:Author>
        <b:NameList>
          <b:Person>
            <b:Last>Greenhalgh</b:Last>
            <b:First>C.</b:First>
          </b:Person>
          <b:Person>
            <b:Last>Rogers</b:Last>
            <b:First>M.</b:First>
          </b:Person>
        </b:NameList>
      </b:Author>
    </b:Author>
    <b:Volume>45</b:Volume>
    <b:Issue>1</b:Issue>
    <b:RefOrder>30</b:RefOrder>
  </b:Source>
  <b:Source>
    <b:Tag>Hen12</b:Tag>
    <b:SourceType>JournalArticle</b:SourceType>
    <b:Guid>{586431BE-E9FA-4DC9-99A5-F6AEC4AF0A75}</b:Guid>
    <b:Title>Resource dedication and new product performance: a resource-based view</b:Title>
    <b:JournalName>Product Development and Management Association</b:JournalName>
    <b:Year>2012</b:Year>
    <b:Pages>193-204</b:Pages>
    <b:Author>
      <b:Author>
        <b:NameList>
          <b:Person>
            <b:Last>Henard</b:Last>
            <b:First>D.</b:First>
          </b:Person>
          <b:Person>
            <b:Last>McFayden</b:Last>
            <b:First>M.</b:First>
          </b:Person>
        </b:NameList>
      </b:Author>
    </b:Author>
    <b:Volume>29</b:Volume>
    <b:Issue>2</b:Issue>
    <b:RefOrder>31</b:RefOrder>
  </b:Source>
  <b:Source>
    <b:Tag>Hil07</b:Tag>
    <b:SourceType>JournalArticle</b:SourceType>
    <b:Guid>{4E20D172-55E8-48EE-82B4-E86B15C6E305}</b:Guid>
    <b:Title>Strategic profiling: A visual representation of internal strategic fit in service organisations</b:Title>
    <b:JournalName>International Journal of Operations &amp; Production Management</b:JournalName>
    <b:Year>2007</b:Year>
    <b:Pages>1333-1361</b:Pages>
    <b:Author>
      <b:Author>
        <b:NameList>
          <b:Person>
            <b:Last>Hill</b:Last>
            <b:First>A.</b:First>
          </b:Person>
          <b:Person>
            <b:Last>Brown</b:Last>
            <b:First>S.</b:First>
          </b:Person>
        </b:NameList>
      </b:Author>
    </b:Author>
    <b:Volume>27</b:Volume>
    <b:RefOrder>32</b:RefOrder>
  </b:Source>
  <b:Source>
    <b:Tag>Hon15</b:Tag>
    <b:SourceType>JournalArticle</b:SourceType>
    <b:Guid>{5E86D1B3-69B3-4252-B58F-E4A675BB1B84}</b:Guid>
    <b:Title>Product-service system and firm performance: the mediating role of product and process technological innovation</b:Title>
    <b:JournalName>Emerging Markets Finance &amp; Trade</b:JournalName>
    <b:Year>2015</b:Year>
    <b:Pages>975-984</b:Pages>
    <b:Author>
      <b:Author>
        <b:NameList>
          <b:Person>
            <b:Last>Hong</b:Last>
            <b:First>Y.</b:First>
          </b:Person>
          <b:Person>
            <b:Last>Kim</b:Last>
            <b:First>Y.</b:First>
          </b:Person>
          <b:Person>
            <b:Last>Cin</b:Last>
            <b:First>B.</b:First>
          </b:Person>
        </b:NameList>
      </b:Author>
    </b:Author>
    <b:Volume>51</b:Volume>
    <b:RefOrder>33</b:RefOrder>
  </b:Source>
  <b:Source>
    <b:Tag>Hun13</b:Tag>
    <b:SourceType>JournalArticle</b:SourceType>
    <b:Guid>{888C6E5E-5BF3-4E87-AD14-F753E5E3418E}</b:Guid>
    <b:Title>The impact of open innovation on firm performance: The moderating effects of internal R&amp;D and environmental turbulence</b:Title>
    <b:JournalName>Technovation</b:JournalName>
    <b:Year>2013</b:Year>
    <b:Pages>368-80</b:Pages>
    <b:Author>
      <b:Author>
        <b:NameList>
          <b:Person>
            <b:Last>Hung</b:Last>
            <b:First>K.</b:First>
          </b:Person>
          <b:Person>
            <b:Last>Chou</b:Last>
            <b:First>C.</b:First>
          </b:Person>
        </b:NameList>
      </b:Author>
    </b:Author>
    <b:Volume>33</b:Volume>
    <b:Issue>10-11</b:Issue>
    <b:RefOrder>34</b:RefOrder>
  </b:Source>
  <b:Source>
    <b:Tag>Kar15</b:Tag>
    <b:SourceType>JournalArticle</b:SourceType>
    <b:Guid>{E9669BFF-19B8-48A2-96A6-DC2536D694AC}</b:Guid>
    <b:Title>The influence of HR practices on business strategy and firm performance: the case of banking industry in Iran</b:Title>
    <b:JournalName>IUP Journal of Management Research property of IUP Publications</b:JournalName>
    <b:Year>2015</b:Year>
    <b:Pages>30-53</b:Pages>
    <b:Author>
      <b:Author>
        <b:NameList>
          <b:Person>
            <b:Last>Karami</b:Last>
            <b:First>A.</b:First>
          </b:Person>
          <b:Person>
            <b:Last>Sahebalzamani</b:Last>
            <b:First>S.</b:First>
          </b:Person>
          <b:Person>
            <b:Last>Sarabi</b:Last>
            <b:First>B.</b:First>
          </b:Person>
        </b:NameList>
      </b:Author>
    </b:Author>
    <b:Volume>XIV</b:Volume>
    <b:Issue>1</b:Issue>
    <b:RefOrder>35</b:RefOrder>
  </b:Source>
  <b:Source>
    <b:Tag>Kum14</b:Tag>
    <b:SourceType>JournalArticle</b:SourceType>
    <b:Guid>{C0D4EB2A-A0B8-4CFF-98DB-C2E6E494C200}</b:Guid>
    <b:Title>Understanding cultural differences in innovation: a conceptual framework and future research directions</b:Title>
    <b:JournalName>Journal of International Marketing, American Marketing Association</b:JournalName>
    <b:Year>2014</b:Year>
    <b:Pages>1-29</b:Pages>
    <b:Author>
      <b:Author>
        <b:NameList>
          <b:Person>
            <b:Last>Kumar</b:Last>
            <b:First>V.</b:First>
          </b:Person>
        </b:NameList>
      </b:Author>
    </b:Author>
    <b:Volume>22</b:Volume>
    <b:Issue>3</b:Issue>
    <b:RefOrder>36</b:RefOrder>
  </b:Source>
  <b:Source>
    <b:Tag>Kuz14</b:Tag>
    <b:SourceType>JournalArticle</b:SourceType>
    <b:Guid>{CC8ADDB2-9B09-4061-B7ED-B4F51E84BFE5}</b:Guid>
    <b:Title>Competition, innovation and strategy</b:Title>
    <b:JournalName>Problems of Economic Transition</b:JournalName>
    <b:Year>2014</b:Year>
    <b:Pages>3-36</b:Pages>
    <b:Author>
      <b:Author>
        <b:NameList>
          <b:Person>
            <b:Last>Kuznetsova</b:Last>
            <b:First>T.</b:First>
          </b:Person>
          <b:Person>
            <b:Last>Roud</b:Last>
            <b:First>V.</b:First>
          </b:Person>
        </b:NameList>
      </b:Author>
    </b:Author>
    <b:Volume>57</b:Volume>
    <b:Issue>2</b:Issue>
    <b:RefOrder>37</b:RefOrder>
  </b:Source>
  <b:Source>
    <b:Tag>Kve15</b:Tag>
    <b:SourceType>JournalArticle</b:SourceType>
    <b:Guid>{62A3D43A-3E55-48E6-AFA6-168BB5FFA38C}</b:Guid>
    <b:Title>Technological innovations in the context of contemporary challenges: sustainability and competitiveness</b:Title>
    <b:JournalName>Public Administration property of Lithuanian Public Administration Training Association</b:JournalName>
    <b:Year>2015</b:Year>
    <b:Pages>121-127</b:Pages>
    <b:Author>
      <b:Author>
        <b:NameList>
          <b:Person>
            <b:Last>Kvedariene</b:Last>
            <b:First>A.</b:First>
          </b:Person>
        </b:NameList>
      </b:Author>
    </b:Author>
    <b:Volume>3-4</b:Volume>
    <b:Issue>47-48</b:Issue>
    <b:RefOrder>38</b:RefOrder>
  </b:Source>
  <b:Source>
    <b:Tag>Lem17</b:Tag>
    <b:SourceType>InternetSite</b:SourceType>
    <b:Guid>{8B84E82F-8AA9-44F9-BE04-F983C46A5AF5}</b:Guid>
    <b:Title>Cómo elaborar una encuesta o cuestionario de investigación de mercados</b:Title>
    <b:Year>2017</b:Year>
    <b:InternetSiteTitle>Gestion.org</b:InternetSiteTitle>
    <b:Month>Mayo</b:Month>
    <b:Day>21</b:Day>
    <b:URL>https://www.gestion.org/marketing/investigacion-mercados/31823/como-elaborar-una-encuesta-o-cuestionario-de-investigacion-de-mercados/</b:URL>
    <b:Author>
      <b:Author>
        <b:NameList>
          <b:Person>
            <b:Last>Lema</b:Last>
            <b:First>S.</b:First>
          </b:Person>
        </b:NameList>
      </b:Author>
    </b:Author>
    <b:RefOrder>39</b:RefOrder>
  </b:Source>
  <b:Source>
    <b:Tag>Lew14</b:Tag>
    <b:SourceType>JournalArticle</b:SourceType>
    <b:Guid>{7CFADD8B-D67F-40AC-91DA-E017948ED10E}</b:Guid>
    <b:Title>Innovation barriers and international competitiveness of enterprises from Polish food processing industry. Research results.</b:Title>
    <b:Year>2014</b:Year>
    <b:JournalName>Acta Scientiarum Polonorum</b:JournalName>
    <b:Pages>103-113</b:Pages>
    <b:Author>
      <b:Author>
        <b:NameList>
          <b:Person>
            <b:Last>Lewandowska</b:Last>
            <b:First>M.</b:First>
          </b:Person>
        </b:NameList>
      </b:Author>
    </b:Author>
    <b:Volume>13</b:Volume>
    <b:Issue>4</b:Issue>
    <b:RefOrder>40</b:RefOrder>
  </b:Source>
  <b:Source>
    <b:Tag>Mar11</b:Tag>
    <b:SourceType>JournalArticle</b:SourceType>
    <b:Guid>{ED9BFDAE-00A5-430F-97F8-EF1C22ED5164}</b:Guid>
    <b:Title>Innovation and competitiveness in SMEs: the local experience in San Luis Potosí</b:Title>
    <b:JournalName>Journal of Marketing and Management</b:JournalName>
    <b:Year>2011</b:Year>
    <b:Pages>74-92</b:Pages>
    <b:Author>
      <b:Author>
        <b:NameList>
          <b:Person>
            <b:Last>Martínez</b:Last>
            <b:First>M.</b:First>
          </b:Person>
          <b:Person>
            <b:Last>Palos</b:Last>
            <b:First>G.</b:First>
          </b:Person>
          <b:Person>
            <b:Last>León</b:Last>
            <b:First>B.</b:First>
          </b:Person>
          <b:Person>
            <b:Last>Ramos</b:Last>
            <b:First>R.</b:First>
          </b:Person>
        </b:NameList>
      </b:Author>
    </b:Author>
    <b:Volume>4</b:Volume>
    <b:Issue>1</b:Issue>
    <b:RefOrder>41</b:RefOrder>
  </b:Source>
  <b:Source>
    <b:Tag>McD12</b:Tag>
    <b:SourceType>JournalArticle</b:SourceType>
    <b:Guid>{D9675FA7-55C0-43F8-A396-F0EC2E564E37}</b:Guid>
    <b:Title>Service innovation and performance in SMEs</b:Title>
    <b:JournalName>International Journal of Operations &amp; Production Management</b:JournalName>
    <b:Year>2012</b:Year>
    <b:Pages>216-237</b:Pages>
    <b:Author>
      <b:Author>
        <b:NameList>
          <b:Person>
            <b:Last>McDermott</b:Last>
            <b:First>C.</b:First>
          </b:Person>
          <b:Person>
            <b:Last>Prajogo</b:Last>
            <b:First>D.</b:First>
          </b:Person>
        </b:NameList>
      </b:Author>
    </b:Author>
    <b:Volume>32</b:Volume>
    <b:Issue>2</b:Issue>
    <b:RefOrder>42</b:RefOrder>
  </b:Source>
  <b:Source>
    <b:Tag>Moe10</b:Tag>
    <b:SourceType>JournalArticle</b:SourceType>
    <b:Guid>{498AC6FB-2BC1-4047-8259-2C3E7844AD26}</b:Guid>
    <b:Title>Strategic innovation decisions: what you foresee is not what you get</b:Title>
    <b:JournalName>Journal of Product Innovation Management</b:JournalName>
    <b:Year>2010</b:Year>
    <b:Pages>840-855</b:Pages>
    <b:Author>
      <b:Author>
        <b:NameList>
          <b:Person>
            <b:Last>Moenaert</b:Last>
            <b:First>R.</b:First>
          </b:Person>
          <b:Person>
            <b:Last>Robben</b:Last>
            <b:First>H.</b:First>
          </b:Person>
          <b:Person>
            <b:Last>Antioco</b:Last>
            <b:First>M.</b:First>
          </b:Person>
          <b:Person>
            <b:Last>De Schamphelaere</b:Last>
            <b:First>V.</b:First>
          </b:Person>
          <b:Person>
            <b:Last>Roks</b:Last>
            <b:First>E.</b:First>
          </b:Person>
        </b:NameList>
      </b:Author>
    </b:Author>
    <b:Volume>27</b:Volume>
    <b:RefOrder>43</b:RefOrder>
  </b:Source>
  <b:Source>
    <b:Tag>Naj14</b:Tag>
    <b:SourceType>JournalArticle</b:SourceType>
    <b:Guid>{047975FF-FD98-4936-9AF5-82194476D280}</b:Guid>
    <b:Title>Collaborative networks as a soruce of innovation and sustainable competitiveness for small and medium food processing enterprises in Indonesia</b:Title>
    <b:JournalName>International Journal of Business and Management</b:JournalName>
    <b:Year>2014</b:Year>
    <b:Pages>147-159</b:Pages>
    <b:Author>
      <b:Author>
        <b:NameList>
          <b:Person>
            <b:Last>Najib</b:Last>
            <b:First>M.</b:First>
          </b:Person>
          <b:Person>
            <b:Last>Ratna</b:Last>
            <b:First>F.</b:First>
          </b:Person>
          <b:Person>
            <b:Last>Widyastuti</b:Last>
            <b:First>H.</b:First>
          </b:Person>
        </b:NameList>
      </b:Author>
    </b:Author>
    <b:Volume>9</b:Volume>
    <b:Issue>9</b:Issue>
    <b:RefOrder>44</b:RefOrder>
  </b:Source>
  <b:Source>
    <b:Tag>OMa08</b:Tag>
    <b:SourceType>JournalArticle</b:SourceType>
    <b:Guid>{625B45AC-A543-4CDD-B7FA-402D10BCCB4B}</b:Guid>
    <b:Title>Transactions sector, innovation and competitiveness</b:Title>
    <b:Year>2008</b:Year>
    <b:JournalName>Australian Journal of Regional Studies</b:JournalName>
    <b:Pages>335-356</b:Pages>
    <b:Author>
      <b:Author>
        <b:NameList>
          <b:Person>
            <b:Last>O´Malley</b:Last>
            <b:First>D.</b:First>
          </b:Person>
        </b:NameList>
      </b:Author>
    </b:Author>
    <b:Volume>14</b:Volume>
    <b:Issue>3</b:Issue>
    <b:RefOrder>45</b:RefOrder>
  </b:Source>
  <b:Source>
    <b:Tag>Psy94</b:Tag>
    <b:SourceType>Book</b:SourceType>
    <b:Guid>{3DA379E9-B394-40F3-AC50-2408EFB8D23C}</b:Guid>
    <b:Title>Psychometric theory</b:Title>
    <b:Year>1994</b:Year>
    <b:City>New York, USA</b:City>
    <b:Publisher>McGraw-Hill</b:Publisher>
    <b:Edition>3</b:Edition>
    <b:Author>
      <b:Author>
        <b:NameList>
          <b:Person>
            <b:Last>Nunnally</b:Last>
            <b:First>J.</b:First>
          </b:Person>
          <b:Person>
            <b:Last>Bernstein</b:Last>
            <b:First>I.</b:First>
          </b:Person>
        </b:NameList>
      </b:Author>
    </b:Author>
    <b:RefOrder>46</b:RefOrder>
  </b:Source>
  <b:Source>
    <b:Tag>Par13</b:Tag>
    <b:SourceType>JournalArticle</b:SourceType>
    <b:Guid>{14FF6F77-223E-4285-9985-203F2408422D}</b:Guid>
    <b:Title>Competitiveness through innovation at national and european level under the circumstances of the economic and financial crisis</b:Title>
    <b:JournalName>Knowledge Horizons - Economics</b:JournalName>
    <b:Year>2013</b:Year>
    <b:Pages>112-114</b:Pages>
    <b:Author>
      <b:Author>
        <b:NameList>
          <b:Person>
            <b:Last>Paraian</b:Last>
            <b:First>E.</b:First>
          </b:Person>
        </b:NameList>
      </b:Author>
    </b:Author>
    <b:Volume>5</b:Volume>
    <b:Issue>3</b:Issue>
    <b:RefOrder>47</b:RefOrder>
  </b:Source>
  <b:Source>
    <b:Tag>Pat14</b:Tag>
    <b:SourceType>JournalArticle</b:SourceType>
    <b:Guid>{8DB26B21-2210-406A-8E83-6B3420FECABD}</b:Guid>
    <b:Title>Structural power equality between family and non-family TMT members and the performance of family firms</b:Title>
    <b:JournalName>Academy of Management Journal property of Academy of Management</b:JournalName>
    <b:Year>2014</b:Year>
    <b:Pages>1624-1649</b:Pages>
    <b:Author>
      <b:Author>
        <b:NameList>
          <b:Person>
            <b:Last>Patel</b:Last>
            <b:First>P.C.</b:First>
          </b:Person>
          <b:Person>
            <b:Last>Cooper</b:Last>
            <b:First>D.</b:First>
          </b:Person>
        </b:NameList>
      </b:Author>
    </b:Author>
    <b:Volume>57</b:Volume>
    <b:Issue>6</b:Issue>
    <b:RefOrder>48</b:RefOrder>
  </b:Source>
  <b:Source>
    <b:Tag>Pel10</b:Tag>
    <b:SourceType>JournalArticle</b:SourceType>
    <b:Guid>{BC9640B2-1A35-4605-8641-E154F11D719D}</b:Guid>
    <b:Title>Innovation and competitiveness in construction companies</b:Title>
    <b:JournalName>Journal of Management Research</b:JournalName>
    <b:Year>2010</b:Year>
    <b:Pages>103-115</b:Pages>
    <b:Author>
      <b:Author>
        <b:NameList>
          <b:Person>
            <b:Last>Pellicer</b:Last>
            <b:First>E.</b:First>
          </b:Person>
          <b:Person>
            <b:Last>Yepes</b:Last>
            <b:First>V.</b:First>
          </b:Person>
          <b:Person>
            <b:Last>Rojas</b:Last>
            <b:First>R.</b:First>
          </b:Person>
        </b:NameList>
      </b:Author>
    </b:Author>
    <b:Volume>10</b:Volume>
    <b:Issue>2</b:Issue>
    <b:RefOrder>49</b:RefOrder>
  </b:Source>
  <b:Source>
    <b:Tag>Por90</b:Tag>
    <b:SourceType>Book</b:SourceType>
    <b:Guid>{5FF8600C-953E-4C23-B93A-FF7B5D2B5095}</b:Guid>
    <b:Title>The Competitive Advantage of Nations.</b:Title>
    <b:Year>1990</b:Year>
    <b:City>New York</b:City>
    <b:Publisher>Macmillan Press</b:Publisher>
    <b:Author>
      <b:Author>
        <b:NameList>
          <b:Person>
            <b:Last>Porter</b:Last>
            <b:First>M.</b:First>
          </b:Person>
        </b:NameList>
      </b:Author>
    </b:Author>
    <b:RefOrder>50</b:RefOrder>
  </b:Source>
  <b:Source>
    <b:Tag>Por04</b:Tag>
    <b:SourceType>Book</b:SourceType>
    <b:Guid>{9D0A7FCA-A9AD-45B5-ABB2-545D0DEAD7BF}</b:Guid>
    <b:Title>Ranking national innovative capacity: findings from the national innovative capacity index</b:Title>
    <b:Year>2004</b:Year>
    <b:City>New York</b:City>
    <b:Publisher>Oxford University Press</b:Publisher>
    <b:Author>
      <b:Author>
        <b:NameList>
          <b:Person>
            <b:Last>Porter</b:Last>
            <b:First>M.</b:First>
          </b:Person>
          <b:Person>
            <b:Last>Stern</b:Last>
            <b:First>S.</b:First>
          </b:Person>
        </b:NameList>
      </b:Author>
    </b:Author>
    <b:RefOrder>51</b:RefOrder>
  </b:Source>
  <b:Source>
    <b:Tag>Ram12</b:Tag>
    <b:SourceType>JournalArticle</b:SourceType>
    <b:Guid>{00123363-66D5-4FA6-A1FC-7B0DB2BF33B2}</b:Guid>
    <b:Title>Service innovation in banks of sustainability</b:Title>
    <b:Year>2012</b:Year>
    <b:JournalName>International Journal of Management &amp; Business Studies</b:JournalName>
    <b:Pages>80-83</b:Pages>
    <b:Author>
      <b:Author>
        <b:NameList>
          <b:Person>
            <b:Last>Ramakrishna</b:Last>
            <b:First>Y.</b:First>
          </b:Person>
        </b:NameList>
      </b:Author>
    </b:Author>
    <b:Volume>2</b:Volume>
    <b:Issue>2</b:Issue>
    <b:RefOrder>52</b:RefOrder>
  </b:Source>
  <b:Source>
    <b:Tag>Rez15</b:Tag>
    <b:SourceType>JournalArticle</b:SourceType>
    <b:Guid>{EFBA3EFB-17BC-4306-BB2D-BD3BCF8F0543}</b:Guid>
    <b:Title>Identification of service innovation dimensions in service organizations</b:Title>
    <b:JournalName>International Journal of Management, Accounting and Economics</b:JournalName>
    <b:Year>2015</b:Year>
    <b:Pages>737-747</b:Pages>
    <b:Author>
      <b:Author>
        <b:NameList>
          <b:Person>
            <b:Last>Reza</b:Last>
            <b:First>M.</b:First>
          </b:Person>
          <b:Person>
            <b:Last>Rezvani</b:Last>
            <b:First>M.</b:First>
          </b:Person>
          <b:Person>
            <b:Last>Afshar</b:Last>
            <b:First>M.</b:First>
          </b:Person>
        </b:NameList>
      </b:Author>
    </b:Author>
    <b:Volume>2</b:Volume>
    <b:Issue>7</b:Issue>
    <b:RefOrder>53</b:RefOrder>
  </b:Source>
  <b:Source>
    <b:Tag>Rub12</b:Tag>
    <b:SourceType>JournalArticle</b:SourceType>
    <b:Guid>{636318A7-5F2D-4113-B936-DE93315AFA42}</b:Guid>
    <b:Title>Technological and design innovation effects in regional new product rollouts: a european illustration</b:Title>
    <b:JournalName>Production Innovation Management</b:JournalName>
    <b:Year>2012</b:Year>
    <b:Pages>1047-1060</b:Pages>
    <b:Author>
      <b:Author>
        <b:NameList>
          <b:Person>
            <b:Last>Rubera</b:Last>
            <b:First>G.</b:First>
          </b:Person>
          <b:Person>
            <b:Last>Griffith</b:Last>
            <b:First>D.</b:First>
          </b:Person>
          <b:Person>
            <b:Last>Yalcinkaya</b:Last>
            <b:First>G.</b:First>
          </b:Person>
        </b:NameList>
      </b:Author>
    </b:Author>
    <b:Volume>29</b:Volume>
    <b:Issue>6</b:Issue>
    <b:RefOrder>54</b:RefOrder>
  </b:Source>
  <b:Source>
    <b:Tag>Rui13</b:Tag>
    <b:SourceType>JournalArticle</b:SourceType>
    <b:Guid>{00A87D9D-8648-4365-B4ED-1B9D0984AC14}</b:Guid>
    <b:Title>Determinants of proactive innovative behaviour in new services: empirical investigation of service versus manufacturing firms</b:Title>
    <b:JournalName>The Service Industries Journal</b:JournalName>
    <b:Year>2013</b:Year>
    <b:Pages>977-1002</b:Pages>
    <b:Author>
      <b:Author>
        <b:NameList>
          <b:Person>
            <b:Last>Ruiz</b:Last>
            <b:First>A.</b:First>
          </b:Person>
          <b:Person>
            <b:Last>García-Morales</b:Last>
            <b:First>V.</b:First>
          </b:Person>
          <b:Person>
            <b:Last>Llorens</b:Last>
            <b:First>F.</b:First>
          </b:Person>
        </b:NameList>
      </b:Author>
    </b:Author>
    <b:Volume>33</b:Volume>
    <b:Issue>11</b:Issue>
    <b:RefOrder>55</b:RefOrder>
  </b:Source>
  <b:Source>
    <b:Tag>Rui10</b:Tag>
    <b:SourceType>JournalArticle</b:SourceType>
    <b:Guid>{C5DDE8F8-629E-4A38-8C26-03FA5CFA0B68}</b:Guid>
    <b:Title>Modelos de ecuaciones estructurales</b:Title>
    <b:JournalName>Papeles del Psicólogo</b:JournalName>
    <b:Year>2010</b:Year>
    <b:Pages>34-45</b:Pages>
    <b:Author>
      <b:Author>
        <b:NameList>
          <b:Person>
            <b:Last>Ruiz</b:Last>
            <b:First>M.</b:First>
          </b:Person>
          <b:Person>
            <b:Last>Pardo</b:Last>
            <b:First>A.</b:First>
          </b:Person>
          <b:Person>
            <b:Last>San Martin</b:Last>
            <b:First>R.</b:First>
          </b:Person>
        </b:NameList>
      </b:Author>
    </b:Author>
    <b:Volume>31</b:Volume>
    <b:Issue>1</b:Issue>
    <b:RefOrder>56</b:RefOrder>
  </b:Source>
  <b:Source>
    <b:Tag>Sán12</b:Tag>
    <b:SourceType>JournalArticle</b:SourceType>
    <b:Guid>{A812A5F6-167F-4F09-BCEC-B9BD74C0C772}</b:Guid>
    <b:Title>The effects of intelectual capital and innovation on competitiveness: an analysis of the restaurant industry in Guadalajara, Mexico</b:Title>
    <b:JournalName>Advances in Competitiveness Research</b:JournalName>
    <b:Year>2012</b:Year>
    <b:Pages>32-46</b:Pages>
    <b:Author>
      <b:Author>
        <b:NameList>
          <b:Person>
            <b:Last>Sánchez</b:Last>
            <b:First>J.</b:First>
          </b:Person>
          <b:Person>
            <b:Last>González</b:Last>
            <b:First>E.</b:First>
          </b:Person>
          <b:Person>
            <b:Last>Gutiérrez</b:Last>
            <b:First>A.</b:First>
          </b:Person>
          <b:Person>
            <b:Last>García</b:Last>
            <b:First>E.</b:First>
          </b:Person>
        </b:NameList>
      </b:Author>
    </b:Author>
    <b:Volume>30</b:Volume>
    <b:Issue>3 y 4</b:Issue>
    <b:RefOrder>57</b:RefOrder>
  </b:Source>
  <b:Source>
    <b:Tag>Sch341</b:Tag>
    <b:SourceType>Book</b:SourceType>
    <b:Guid>{00220DFE-B23C-4E17-9B62-1EBA744B5B0C}</b:Guid>
    <b:Title>The theory of economic development</b:Title>
    <b:Year>1934</b:Year>
    <b:City>New York</b:City>
    <b:Publisher>Oxford University Press</b:Publisher>
    <b:Author>
      <b:Author>
        <b:NameList>
          <b:Person>
            <b:Last>Schumpeter</b:Last>
            <b:First>J.</b:First>
          </b:Person>
        </b:NameList>
      </b:Author>
    </b:Author>
    <b:RefOrder>58</b:RefOrder>
  </b:Source>
  <b:Source>
    <b:Tag>Sin15</b:Tag>
    <b:SourceType>JournalArticle</b:SourceType>
    <b:Guid>{0F50FA09-C7C7-44D8-AA96-4E22B980E249}</b:Guid>
    <b:Title>Organizational path constitution in technological innovation: evidence from rural telehealth</b:Title>
    <b:Year>2015</b:Year>
    <b:JournalName>MIS Quarterly</b:JournalName>
    <b:Pages>643-665</b:Pages>
    <b:Author>
      <b:Author>
        <b:NameList>
          <b:Person>
            <b:Last>Singh</b:Last>
            <b:First>R.</b:First>
          </b:Person>
          <b:Person>
            <b:Last>Mathiassen</b:Last>
            <b:First>L.</b:First>
          </b:Person>
          <b:Person>
            <b:Last>Mishra</b:Last>
            <b:First>A.</b:First>
          </b:Person>
        </b:NameList>
      </b:Author>
    </b:Author>
    <b:Volume>39</b:Volume>
    <b:Issue>3</b:Issue>
    <b:RefOrder>59</b:RefOrder>
  </b:Source>
  <b:Source>
    <b:Tag>Sor03</b:Tag>
    <b:SourceType>JournalArticle</b:SourceType>
    <b:Guid>{549F1FE2-9E75-4034-81B3-15C25141113A}</b:Guid>
    <b:Title>Sources and financial consequences of radical innovation: insights from pharmaceuticals</b:Title>
    <b:JournalName>Journal of Marketing</b:JournalName>
    <b:Year>2003</b:Year>
    <b:Pages>82-102</b:Pages>
    <b:Author>
      <b:Author>
        <b:NameList>
          <b:Person>
            <b:Last>Sorescu</b:Last>
            <b:First>A.</b:First>
          </b:Person>
          <b:Person>
            <b:Last>Chandy</b:Last>
            <b:First>R.</b:First>
          </b:Person>
          <b:Person>
            <b:Last>Prabhu</b:Last>
            <b:First>J.</b:First>
          </b:Person>
        </b:NameList>
      </b:Author>
    </b:Author>
    <b:Volume>67</b:Volume>
    <b:Issue>4</b:Issue>
    <b:RefOrder>60</b:RefOrder>
  </b:Source>
  <b:Source>
    <b:Tag>Sta94</b:Tag>
    <b:SourceType>JournalArticle</b:SourceType>
    <b:Guid>{18211790-2FB3-42F3-87F2-F2905C39FB3C}</b:Guid>
    <b:Title>Towards a simple, visual representation of fit in service organisations: The contribution of the service template</b:Title>
    <b:JournalName>International Journal of Operations and Production Management</b:JournalName>
    <b:Year>1994</b:Year>
    <b:Pages>76-85</b:Pages>
    <b:Author>
      <b:Author>
        <b:NameList>
          <b:Person>
            <b:Last>Staughton</b:Last>
            <b:First>R.</b:First>
          </b:Person>
          <b:Person>
            <b:Last>Williams</b:Last>
            <b:First>C.</b:First>
          </b:Person>
        </b:NameList>
      </b:Author>
    </b:Author>
    <b:Volume>14</b:Volume>
    <b:Issue>5</b:Issue>
    <b:RefOrder>61</b:RefOrder>
  </b:Source>
  <b:Source>
    <b:Tag>Exe09</b:Tag>
    <b:SourceType>JournalArticle</b:SourceType>
    <b:Guid>{786AF4E3-3C69-4CA2-BA71-6BBB52C22EF4}</b:Guid>
    <b:Title>Execution excellence</b:Title>
    <b:JournalName>Global Journal of Flexible Systems</b:JournalName>
    <b:Year>2009</b:Year>
    <b:Volume>10</b:Volume>
    <b:Issue>2:iii</b:Issue>
    <b:Author>
      <b:Author>
        <b:NameList>
          <b:Person>
            <b:Last>Sushil</b:Last>
          </b:Person>
        </b:NameList>
      </b:Author>
    </b:Author>
    <b:RefOrder>62</b:RefOrder>
  </b:Source>
  <b:Source>
    <b:Tag>Tar13</b:Tag>
    <b:SourceType>JournalArticle</b:SourceType>
    <b:Guid>{DEFCB1FA-962C-4E65-A6F2-189BFB319FA6}</b:Guid>
    <b:Title>Strategic analysis of innovation - based competitiveness in the global economy</b:Title>
    <b:JournalName>Montenegrin Journal of Economics</b:JournalName>
    <b:Year>2013</b:Year>
    <b:Pages>127-133</b:Pages>
    <b:Author>
      <b:Author>
        <b:NameList>
          <b:Person>
            <b:Last>Taranenko</b:Last>
            <b:First>I.</b:First>
          </b:Person>
        </b:NameList>
      </b:Author>
    </b:Author>
    <b:Volume>9</b:Volume>
    <b:Issue>1</b:Issue>
    <b:RefOrder>63</b:RefOrder>
  </b:Source>
  <b:Source>
    <b:Tag>Tor90</b:Tag>
    <b:SourceType>Book</b:SourceType>
    <b:Guid>{3558EDE4-CE57-4EBB-B3BE-BEB638054DF6}</b:Guid>
    <b:Title>The processes of technological innovation</b:Title>
    <b:Year>1990</b:Year>
    <b:City>Lexington, MA</b:City>
    <b:Publisher>Lexington Books</b:Publisher>
    <b:Author>
      <b:Author>
        <b:NameList>
          <b:Person>
            <b:Last>Tornatzky</b:Last>
            <b:First>L.</b:First>
          </b:Person>
          <b:Person>
            <b:Last>Fleischer</b:Last>
            <b:First>M.</b:First>
          </b:Person>
        </b:NameList>
      </b:Author>
    </b:Author>
    <b:RefOrder>64</b:RefOrder>
  </b:Source>
  <b:Source>
    <b:Tag>Var15</b:Tag>
    <b:SourceType>JournalArticle</b:SourceType>
    <b:Guid>{5C04C88F-AA52-4C5E-8CCC-1B4A885F3040}</b:Guid>
    <b:Title>Innovation capacity as a factor that affects the competitiveness of software industry Jalisco</b:Title>
    <b:Year>2015</b:Year>
    <b:JournalName>Global Journal of Enterprise Information System</b:JournalName>
    <b:Pages>25-38</b:Pages>
    <b:Author>
      <b:Author>
        <b:NameList>
          <b:Person>
            <b:Last>Vargas-Hernández</b:Last>
            <b:First>J.</b:First>
          </b:Person>
          <b:Person>
            <b:Last>Vargas-González</b:Last>
            <b:First>O.</b:First>
          </b:Person>
        </b:NameList>
      </b:Author>
    </b:Author>
    <b:Volume>7</b:Volume>
    <b:Issue>2</b:Issue>
    <b:RefOrder>65</b:RefOrder>
  </b:Source>
  <b:Source>
    <b:Tag>Ven90</b:Tag>
    <b:SourceType>JournalArticle</b:SourceType>
    <b:Guid>{E1196BBA-372A-418E-9DF5-002C1A485D88}</b:Guid>
    <b:Title>Environment-strategy coalignment: An empirical test of its performance implications</b:Title>
    <b:JournalName>Strategic Management Journal</b:JournalName>
    <b:Year>1990</b:Year>
    <b:Pages>1-23</b:Pages>
    <b:Author>
      <b:Author>
        <b:NameList>
          <b:Person>
            <b:Last>Venkatraman</b:Last>
            <b:First>N.</b:First>
          </b:Person>
          <b:Person>
            <b:Last>Prescott</b:Last>
            <b:First>J.</b:First>
          </b:Person>
        </b:NameList>
      </b:Author>
    </b:Author>
    <b:Volume>11</b:Volume>
    <b:RefOrder>66</b:RefOrder>
  </b:Source>
  <b:Source>
    <b:Tag>Vos92</b:Tag>
    <b:SourceType>JournalArticle</b:SourceType>
    <b:Guid>{EDCF6319-3664-4843-9F38-0C5C58325CBE}</b:Guid>
    <b:Title>Measurement of innovation and design performance in services</b:Title>
    <b:JournalName>Design Management Journal</b:JournalName>
    <b:Year>1992</b:Year>
    <b:Pages>40-6</b:Pages>
    <b:Author>
      <b:Author>
        <b:NameList>
          <b:Person>
            <b:Last>Voss</b:Last>
            <b:First>C.</b:First>
          </b:Person>
          <b:Person>
            <b:Last>Johnston</b:Last>
            <b:First>R.</b:First>
          </b:Person>
          <b:Person>
            <b:Last>Silvestro</b:Last>
            <b:First>R.</b:First>
          </b:Person>
          <b:Person>
            <b:Last>Fitzgerald</b:Last>
            <b:First>L.</b:First>
          </b:Person>
          <b:Person>
            <b:Last>Brignall</b:Last>
            <b:First>T.</b:First>
          </b:Person>
        </b:NameList>
      </b:Author>
    </b:Author>
    <b:Volume>31</b:Volume>
    <b:Issue>1</b:Issue>
    <b:RefOrder>67</b:RefOrder>
  </b:Source>
  <b:Source>
    <b:Tag>Wor15</b:Tag>
    <b:SourceType>InternetSite</b:SourceType>
    <b:Guid>{1332F223-5C99-4F90-8585-3100A0DCBA41}</b:Guid>
    <b:Title>The Global Competitiveness Report 2014 - 2015</b:Title>
    <b:Year>2015</b:Year>
    <b:Month>Diciembre</b:Month>
    <b:Day>6</b:Day>
    <b:URL>http://www.weforum.org/reports/global-competitiveness-report-2014-2015</b:URL>
    <b:Author>
      <b:Author>
        <b:Corporate>World Economic Forum;</b:Corporate>
      </b:Author>
    </b:Author>
    <b:RefOrder>68</b:RefOrder>
  </b:Source>
  <b:Source>
    <b:Tag>Xia13</b:Tag>
    <b:SourceType>JournalArticle</b:SourceType>
    <b:Guid>{20A5AB43-DB94-4AA3-9635-E812880434F1}</b:Guid>
    <b:Title>ICTt innovation in emerging economies: a review of the existing literature and a framework for future research</b:Title>
    <b:Year>2013</b:Year>
    <b:JournalName>Journal of Information Technology</b:JournalName>
    <b:Pages>264-278</b:Pages>
    <b:Author>
      <b:Author>
        <b:NameList>
          <b:Person>
            <b:Last>Xiao</b:Last>
            <b:First>X.</b:First>
          </b:Person>
          <b:Person>
            <b:Last>Starker</b:Last>
            <b:First>S.</b:First>
          </b:Person>
          <b:Person>
            <b:Last>Sarker</b:Last>
            <b:First>S.</b:First>
          </b:Person>
        </b:NameList>
      </b:Author>
    </b:Author>
    <b:Volume>28</b:Volume>
    <b:Issue>4</b:Issue>
    <b:RefOrder>69</b:RefOrder>
  </b:Source>
  <b:Source>
    <b:Tag>Zam14</b:Tag>
    <b:SourceType>JournalArticle</b:SourceType>
    <b:Guid>{7B295C5A-A5C6-4275-86B5-2A3CCB47BE34}</b:Guid>
    <b:Title>Innovation and technology as a factor of countries competitiveness: a multidimensional and multivariate analysis</b:Title>
    <b:JournalName>Global Conference on Business and Finance Proceedings</b:JournalName>
    <b:Year>2014</b:Year>
    <b:Pages>577-584</b:Pages>
    <b:Author>
      <b:Author>
        <b:NameList>
          <b:Person>
            <b:Last>Zamora</b:Last>
            <b:First>A.</b:First>
          </b:Person>
        </b:NameList>
      </b:Author>
    </b:Author>
    <b:Volume>9</b:Volume>
    <b:Issue>1</b:Issue>
    <b:RefOrder>70</b:RefOrder>
  </b:Source>
  <b:Source>
    <b:Tag>Zhu99</b:Tag>
    <b:SourceType>JournalArticle</b:SourceType>
    <b:Guid>{8F0993BB-AAC8-4061-BB62-0DA7B29AEF9E}</b:Guid>
    <b:Title>Innovate or liquidate - are all organisations convinced? A two-phased study into the innovation process</b:Title>
    <b:JournalName>Management Decision</b:JournalName>
    <b:Year>1999</b:Year>
    <b:Pages>57-71</b:Pages>
    <b:Author>
      <b:Author>
        <b:NameList>
          <b:Person>
            <b:Last>Zhuang</b:Last>
            <b:First>L.</b:First>
          </b:Person>
          <b:Person>
            <b:Last>Williamson</b:Last>
            <b:First>D.</b:First>
          </b:Person>
          <b:Person>
            <b:Last>Carter</b:Last>
            <b:First>M.</b:First>
          </b:Person>
        </b:NameList>
      </b:Author>
    </b:Author>
    <b:Volume>37</b:Volume>
    <b:Issue>1</b:Issue>
    <b:RefOrder>71</b:RefOrder>
  </b:Source>
  <b:Source>
    <b:Tag>Lau13</b:Tag>
    <b:SourceType>Book</b:SourceType>
    <b:Guid>{B726E319-B1D9-4846-B6E6-276229EC240C}</b:Guid>
    <b:Title>Mexico Central Region Automotive Cluster: Microeconomics of Competitiveness</b:Title>
    <b:Year>2013</b:Year>
    <b:City>Cambridge, Mass.</b:City>
    <b:Publisher>Student Project, Harvard Business School</b:Publisher>
    <b:Author>
      <b:Author>
        <b:NameList>
          <b:Person>
            <b:Last>Lauridsen</b:Last>
            <b:First>C.</b:First>
          </b:Person>
          <b:Person>
            <b:Last>Lerdo de Tejada</b:Last>
            <b:First>G.</b:First>
          </b:Person>
          <b:Person>
            <b:Last>Petersen</b:Last>
            <b:First>K.</b:First>
          </b:Person>
          <b:Person>
            <b:Last>Puyana</b:Last>
            <b:First>R.</b:First>
          </b:Person>
          <b:Person>
            <b:Last>Rosales</b:Last>
            <b:First>E.</b:First>
          </b:Person>
        </b:NameList>
      </b:Author>
    </b:Author>
    <b:RefOrder>72</b:RefOrder>
  </b:Source>
  <b:Source>
    <b:Tag>Men181</b:Tag>
    <b:SourceType>JournalArticle</b:SourceType>
    <b:Guid>{94B77AED-FF0E-4AA8-8BBE-9246E4F01C3C}</b:Guid>
    <b:Title>Labor congestion in the automotive cluster: the role of wages</b:Title>
    <b:Year>2018</b:Year>
    <b:JournalName>Competitiveness Review: An International Business Journal</b:JournalName>
    <b:Pages>386-407</b:Pages>
    <b:Author>
      <b:Author>
        <b:NameList>
          <b:Person>
            <b:Last>Mendoza-Velazquez</b:Last>
            <b:First>Alfonso</b:First>
          </b:Person>
          <b:Person>
            <b:Last>Santillana</b:Last>
            <b:First>José Antonio</b:First>
          </b:Person>
          <b:Person>
            <b:Last>Zárate-Mirón</b:Last>
            <b:First>Viviana Elizabeth</b:First>
          </b:Person>
          <b:Person>
            <b:Last>Cabanas</b:Last>
            <b:First>Martha</b:First>
          </b:Person>
        </b:NameList>
      </b:Author>
    </b:Author>
    <b:Volume>28</b:Volume>
    <b:Issue>4</b:Issue>
    <b:RefOrder>73</b:RefOrder>
  </b:Source>
  <b:Source>
    <b:Tag>ElF20</b:Tag>
    <b:SourceType>InternetSite</b:SourceType>
    <b:Guid>{ACC93F77-B828-4A10-9802-D36D016D4541}</b:Guid>
    <b:Title>Toyota inaugurará planta en Apaseo el Alto, Guanajuato</b:Title>
    <b:Year>2020</b:Year>
    <b:Month>Febrero</b:Month>
    <b:Day>05</b:Day>
    <b:URL>https://www.elfinanciero.com.mx/bajio/toyota-inaugurara-planta-en-apaseo-el-alto-guanajuato</b:URL>
    <b:Author>
      <b:Author>
        <b:Corporate>El Financiero</b:Corporate>
      </b:Author>
    </b:Author>
    <b:YearAccessed>2020</b:YearAccessed>
    <b:MonthAccessed>Febrero</b:MonthAccessed>
    <b:DayAccessed>12</b:DayAccessed>
    <b:RefOrder>74</b:RefOrder>
  </b:Source>
  <b:Source>
    <b:Tag>Mar173</b:Tag>
    <b:SourceType>JournalArticle</b:SourceType>
    <b:Guid>{5C5C3D7B-F1FC-4341-B7CA-D40D60D56899}</b:Guid>
    <b:Title>Productive Specialization and Relational Analysis: The Automotive Industry in Guanajuato</b:Title>
    <b:Year>2017</b:Year>
    <b:Month>Julio-Diciembre</b:Month>
    <b:JournalName>Frontera Norte</b:JournalName>
    <b:Pages>121-140</b:Pages>
    <b:Author>
      <b:Author>
        <b:NameList>
          <b:Person>
            <b:Last>Martínez-Martínez</b:Last>
            <b:First>Adriana</b:First>
          </b:Person>
          <b:Person>
            <b:Last>Santos-Navarro</b:Last>
            <b:First>Gabriel</b:First>
          </b:Person>
          <b:Person>
            <b:Last>García-Garnica</b:Last>
            <b:First>Alejandro</b:First>
          </b:Person>
        </b:NameList>
      </b:Author>
    </b:Author>
    <b:Volume>29</b:Volume>
    <b:Issue>58</b:Issue>
    <b:RefOrder>75</b:RefOrder>
  </b:Source>
  <b:Source>
    <b:Tag>Tog161</b:Tag>
    <b:SourceType>Book</b:SourceType>
    <b:Guid>{56E67812-5F1B-4EE0-BF9A-5D4E7E3CB852}</b:Guid>
    <b:Title>México Automotive Review 2016</b:Title>
    <b:Year>2016</b:Year>
    <b:City>Mexico</b:City>
    <b:Publisher>Toguna</b:Publisher>
    <b:Author>
      <b:Author>
        <b:NameList>
          <b:Person>
            <b:Last>Toguna</b:Last>
          </b:Person>
        </b:NameList>
      </b:Author>
    </b:Author>
    <b:RefOrder>76</b:RefOrder>
  </b:Source>
  <b:Source>
    <b:Tag>Flo151</b:Tag>
    <b:SourceType>InternetSite</b:SourceType>
    <b:Guid>{13C84F3B-EE96-4CF4-9512-EAF6B58D483C}</b:Guid>
    <b:Title>Crece industria automotriz en Guanajuato cada año, la entidad presenta incrementos del 20 por ciento</b:Title>
    <b:Year>2015</b:Year>
    <b:Author>
      <b:Author>
        <b:NameList>
          <b:Person>
            <b:Last>Flores</b:Last>
            <b:First>F.</b:First>
          </b:Person>
        </b:NameList>
      </b:Author>
    </b:Author>
    <b:URL>https://www.somosindustria.com/articulo/crece-industria-automotriz-en-guanajuato/</b:URL>
    <b:RefOrder>77</b:RefOrder>
  </b:Source>
  <b:Source>
    <b:Tag>Gar02</b:Tag>
    <b:SourceType>BookSection</b:SourceType>
    <b:Guid>{39693B14-BF7A-4ED7-A22B-75BB40B235D9}</b:Guid>
    <b:Title>Del paradigma fordista-taylorista al toyotista en la industria automotriz terminal: los casos de General Motors Distrito Federal y Silao</b:Title>
    <b:Year>2002</b:Year>
    <b:City>Mexico</b:City>
    <b:Publisher>Plaza y Valdéz</b:Publisher>
    <b:Author>
      <b:Author>
        <b:NameList>
          <b:Person>
            <b:Last>García</b:Last>
            <b:First>A.</b:First>
          </b:Person>
        </b:NameList>
      </b:Author>
      <b:BookAuthor>
        <b:NameList>
          <b:Person>
            <b:Last>Corona</b:Last>
            <b:First>L.</b:First>
          </b:Person>
          <b:Person>
            <b:Last>Hernández</b:Last>
            <b:First>R.</b:First>
          </b:Person>
        </b:NameList>
      </b:BookAuthor>
    </b:Author>
    <b:BookTitle>Innovación, universidad e industria en el desarrollo regional</b:BookTitle>
    <b:Pages>323-343</b:Pages>
    <b:RefOrder>78</b:RefOrder>
  </b:Source>
  <b:Source>
    <b:Tag>Gar98</b:Tag>
    <b:SourceType>BookSection</b:SourceType>
    <b:Guid>{99327BEA-8AED-4991-BDEE-25D1F9F04A86}</b:Guid>
    <b:Title>Cambio tecnológico y aprendizaje laboral en GM: los casos del DF y Silao</b:Title>
    <b:Year>1998</b:Year>
    <b:City>Mexico</b:City>
    <b:Author>
      <b:Author>
        <b:NameList>
          <b:Person>
            <b:Last>García</b:Last>
            <b:First>A.</b:First>
          </b:Person>
          <b:Person>
            <b:Last>Lara</b:Last>
            <b:First>A.</b:First>
          </b:Person>
        </b:NameList>
      </b:Author>
      <b:BookAuthor>
        <b:NameList>
          <b:Person>
            <b:Last>Núñez</b:Last>
            <b:First>H.</b:First>
          </b:Person>
          <b:Person>
            <b:Last>Babson</b:Last>
            <b:First>S.</b:First>
          </b:Person>
        </b:NameList>
      </b:BookAuthor>
    </b:Author>
    <b:Publisher>BUAP</b:Publisher>
    <b:BookTitle>Confronting Change: Auto Labor and Lean Production in North America</b:BookTitle>
    <b:Pages>207-222</b:Pages>
    <b:RefOrder>79</b:RefOrder>
  </b:Source>
  <b:Source>
    <b:Tag>Mar091</b:Tag>
    <b:SourceType>JournalArticle</b:SourceType>
    <b:Guid>{021CD8B0-E160-44D4-A187-EF3EEE348F03}</b:Guid>
    <b:Title>Trayectoria productiva y tecnológica de General Motors en Mexico: el caso del complejo de Silao, Guanajuato</b:Title>
    <b:Year>2009</b:Year>
    <b:Pages>79-93</b:Pages>
    <b:JournalName>Ciencia@uaq</b:JournalName>
    <b:Author>
      <b:Author>
        <b:NameList>
          <b:Person>
            <b:Last>Martínez</b:Last>
            <b:First>A.</b:First>
          </b:Person>
          <b:Person>
            <b:Last>García</b:Last>
            <b:First>A.</b:First>
          </b:Person>
          <b:Person>
            <b:Last>Murguía</b:Last>
            <b:First>J.</b:First>
          </b:Person>
        </b:NameList>
      </b:Author>
    </b:Author>
    <b:Volume>2</b:Volume>
    <b:Issue>2</b:Issue>
    <b:RefOrder>80</b:RefOrder>
  </b:Source>
  <b:Source>
    <b:Tag>Mic161</b:Tag>
    <b:SourceType>JournalArticle</b:SourceType>
    <b:Guid>{5817F75D-A202-46CC-AD58-339D82FF5852}</b:Guid>
    <b:Title>Desarrollo regional y terciarización: los casos de Guanajuato y Querétaro</b:Title>
    <b:JournalName>Estudios Regionales en economía, población y desarrollo</b:JournalName>
    <b:Year>2016</b:Year>
    <b:Pages>2-22</b:Pages>
    <b:Author>
      <b:Author>
        <b:NameList>
          <b:Person>
            <b:Last>Micheli</b:Last>
            <b:First>J.T.</b:First>
          </b:Person>
        </b:NameList>
      </b:Author>
    </b:Author>
    <b:Volume>6</b:Volume>
    <b:Issue>36</b:Issue>
    <b:RefOrder>81</b:RefOrder>
  </b:Source>
</b:Sources>
</file>

<file path=customXml/itemProps1.xml><?xml version="1.0" encoding="utf-8"?>
<ds:datastoreItem xmlns:ds="http://schemas.openxmlformats.org/officeDocument/2006/customXml" ds:itemID="{C3FFA1AF-E563-49FC-A03A-7B00EB39C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15</Pages>
  <Words>5658</Words>
  <Characters>32251</Characters>
  <Application>Microsoft Office Word</Application>
  <DocSecurity>0</DocSecurity>
  <Lines>268</Lines>
  <Paragraphs>75</Paragraphs>
  <ScaleCrop>false</ScaleCrop>
  <HeadingPairs>
    <vt:vector size="6" baseType="variant">
      <vt:variant>
        <vt:lpstr>Titolo</vt:lpstr>
      </vt:variant>
      <vt:variant>
        <vt:i4>1</vt:i4>
      </vt:variant>
      <vt:variant>
        <vt:lpstr>Title</vt:lpstr>
      </vt:variant>
      <vt:variant>
        <vt:i4>1</vt:i4>
      </vt:variant>
      <vt:variant>
        <vt:lpstr>Τίτλος</vt:lpstr>
      </vt:variant>
      <vt:variant>
        <vt:i4>1</vt:i4>
      </vt:variant>
    </vt:vector>
  </HeadingPairs>
  <TitlesOfParts>
    <vt:vector size="3" baseType="lpstr">
      <vt:lpstr>Style ISP</vt:lpstr>
      <vt:lpstr>Style ISP</vt:lpstr>
      <vt:lpstr>Style ISP</vt:lpstr>
    </vt:vector>
  </TitlesOfParts>
  <Company>csie</Company>
  <LinksUpToDate>false</LinksUpToDate>
  <CharactersWithSpaces>37834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Style ISP</dc:title>
  <dc:subject/>
  <dc:creator>madam</dc:creator>
  <cp:keywords/>
  <cp:lastModifiedBy>Antonio Prencipe</cp:lastModifiedBy>
  <cp:revision>174</cp:revision>
  <cp:lastPrinted>2022-04-08T14:43:00Z</cp:lastPrinted>
  <dcterms:created xsi:type="dcterms:W3CDTF">2020-06-04T04:08:00Z</dcterms:created>
  <dcterms:modified xsi:type="dcterms:W3CDTF">2022-04-14T11:22:00Z</dcterms:modified>
</cp:coreProperties>
</file>