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32" w:rsidRPr="00860E14" w:rsidRDefault="000E0A32" w:rsidP="000E0A32">
      <w:pPr>
        <w:jc w:val="center"/>
        <w:rPr>
          <w:b/>
          <w:sz w:val="28"/>
          <w:szCs w:val="28"/>
        </w:rPr>
      </w:pPr>
      <w:r w:rsidRPr="00860E14">
        <w:rPr>
          <w:b/>
          <w:sz w:val="28"/>
          <w:szCs w:val="28"/>
        </w:rPr>
        <w:t>Parvovirus B19</w:t>
      </w:r>
      <w:r w:rsidR="00714B01">
        <w:rPr>
          <w:b/>
          <w:sz w:val="28"/>
          <w:szCs w:val="28"/>
        </w:rPr>
        <w:t>: Epidemiology and</w:t>
      </w:r>
      <w:bookmarkStart w:id="0" w:name="_GoBack"/>
      <w:bookmarkEnd w:id="0"/>
      <w:r>
        <w:rPr>
          <w:b/>
          <w:sz w:val="28"/>
          <w:szCs w:val="28"/>
        </w:rPr>
        <w:t xml:space="preserve"> Risk factors among seropositive </w:t>
      </w:r>
      <w:r w:rsidRPr="00860E14">
        <w:rPr>
          <w:b/>
          <w:sz w:val="28"/>
          <w:szCs w:val="28"/>
        </w:rPr>
        <w:t>Drug Experience HIV Pregnant Women in Nasarawa State, North Central, Nigeria.</w:t>
      </w:r>
    </w:p>
    <w:p w:rsidR="000E0A32" w:rsidRPr="00DC7F1B" w:rsidRDefault="000E0A32" w:rsidP="000E0A32">
      <w:pPr>
        <w:ind w:firstLine="720"/>
        <w:rPr>
          <w:sz w:val="18"/>
          <w:szCs w:val="18"/>
        </w:rPr>
      </w:pPr>
    </w:p>
    <w:p w:rsidR="000E0A32" w:rsidRPr="008B4740" w:rsidRDefault="000E0A32" w:rsidP="000E0A32">
      <w:pPr>
        <w:spacing w:after="200"/>
        <w:jc w:val="center"/>
        <w:rPr>
          <w:sz w:val="22"/>
          <w:szCs w:val="22"/>
          <w:lang w:val="en-GB" w:eastAsia="en-GB"/>
        </w:rPr>
      </w:pPr>
      <w:r w:rsidRPr="008B4740">
        <w:rPr>
          <w:rFonts w:eastAsia="Calibri"/>
          <w:sz w:val="22"/>
          <w:szCs w:val="22"/>
        </w:rPr>
        <w:t>Ishaku A</w:t>
      </w:r>
      <w:r>
        <w:rPr>
          <w:rFonts w:eastAsia="Calibri"/>
          <w:sz w:val="22"/>
          <w:szCs w:val="22"/>
        </w:rPr>
        <w:t>kyala</w:t>
      </w:r>
      <w:r>
        <w:rPr>
          <w:sz w:val="22"/>
          <w:szCs w:val="22"/>
          <w:vertAlign w:val="superscript"/>
        </w:rPr>
        <w:t xml:space="preserve"> </w:t>
      </w:r>
      <w:r w:rsidRPr="008B4740">
        <w:rPr>
          <w:rFonts w:eastAsia="Calibri"/>
          <w:sz w:val="22"/>
          <w:szCs w:val="22"/>
        </w:rPr>
        <w:t>, Olufemi Ajumobi , Adebola Olayinka</w:t>
      </w:r>
      <w:r w:rsidRPr="008B4740">
        <w:rPr>
          <w:sz w:val="22"/>
          <w:szCs w:val="22"/>
          <w:lang w:val="en-GB" w:eastAsia="en-GB"/>
        </w:rPr>
        <w:t xml:space="preserve"> </w:t>
      </w:r>
      <w:r w:rsidRPr="008B4740">
        <w:rPr>
          <w:rFonts w:eastAsia="Calibri"/>
          <w:sz w:val="22"/>
          <w:szCs w:val="22"/>
        </w:rPr>
        <w:t>,</w:t>
      </w:r>
      <w:r w:rsidRPr="008B4740">
        <w:rPr>
          <w:sz w:val="22"/>
          <w:szCs w:val="22"/>
          <w:lang w:val="en-GB" w:eastAsia="en-GB"/>
        </w:rPr>
        <w:t xml:space="preserve"> Patrick Nguku.</w:t>
      </w:r>
    </w:p>
    <w:p w:rsidR="000E0A32" w:rsidRPr="008B4740" w:rsidRDefault="000E0A32" w:rsidP="000E0A32">
      <w:pPr>
        <w:spacing w:after="200"/>
        <w:jc w:val="center"/>
        <w:rPr>
          <w:sz w:val="22"/>
          <w:szCs w:val="22"/>
          <w:lang w:val="en-GB" w:eastAsia="en-GB"/>
        </w:rPr>
      </w:pPr>
      <w:r w:rsidRPr="008B4740">
        <w:rPr>
          <w:sz w:val="22"/>
          <w:szCs w:val="22"/>
          <w:lang w:val="en-GB" w:eastAsia="en-GB"/>
        </w:rPr>
        <w:t>Nigeria Field Laboratory Epidemiology Training Program, Abuja. Nigeria.</w:t>
      </w:r>
    </w:p>
    <w:p w:rsidR="000E0A32" w:rsidRPr="00860E14" w:rsidRDefault="000E0A32" w:rsidP="000E0A32">
      <w:pPr>
        <w:rPr>
          <w:b/>
          <w:lang w:val="en-GB"/>
        </w:rPr>
      </w:pPr>
      <w:r w:rsidRPr="00860E14">
        <w:rPr>
          <w:b/>
          <w:lang w:val="en-GB"/>
        </w:rPr>
        <w:t xml:space="preserve">                                               </w:t>
      </w:r>
      <w:r>
        <w:rPr>
          <w:b/>
          <w:lang w:val="en-GB"/>
        </w:rPr>
        <w:t xml:space="preserve">              </w:t>
      </w:r>
      <w:r w:rsidRPr="00860E14">
        <w:rPr>
          <w:b/>
          <w:lang w:val="en-GB"/>
        </w:rPr>
        <w:t>ABSTRACT</w:t>
      </w:r>
    </w:p>
    <w:p w:rsidR="000E0A32" w:rsidRPr="00860E14" w:rsidRDefault="000E0A32" w:rsidP="000E0A32">
      <w:pPr>
        <w:rPr>
          <w:b/>
          <w:lang w:val="en-GB"/>
        </w:rPr>
      </w:pPr>
    </w:p>
    <w:p w:rsidR="000E0A32" w:rsidRDefault="000E0A32" w:rsidP="000E0A32">
      <w:pPr>
        <w:spacing w:line="360" w:lineRule="auto"/>
        <w:jc w:val="both"/>
        <w:rPr>
          <w:b/>
        </w:rPr>
      </w:pPr>
      <w:r w:rsidRPr="00860E14">
        <w:rPr>
          <w:b/>
          <w:lang w:val="en-GB"/>
        </w:rPr>
        <w:t xml:space="preserve">Background:  </w:t>
      </w:r>
      <w:r>
        <w:t>Trans-</w:t>
      </w:r>
      <w:r w:rsidRPr="00860E14">
        <w:t>placental transmission of parvovir</w:t>
      </w:r>
      <w:r>
        <w:t xml:space="preserve">us B19 during pregnancy among </w:t>
      </w:r>
      <w:r w:rsidRPr="00860E14">
        <w:t>has been reported as one of t</w:t>
      </w:r>
      <w:r>
        <w:t xml:space="preserve">he leading causes of </w:t>
      </w:r>
      <w:r w:rsidRPr="00860E14">
        <w:t>fetal hydrops, spontaneous abortion or intra-uterine fetal death</w:t>
      </w:r>
      <w:r>
        <w:t xml:space="preserve">, and </w:t>
      </w:r>
      <w:r w:rsidRPr="00860E14">
        <w:t xml:space="preserve">aplastic </w:t>
      </w:r>
      <w:r>
        <w:t>anaemia.</w:t>
      </w:r>
      <w:r w:rsidRPr="00860E14">
        <w:t>We</w:t>
      </w:r>
      <w:r>
        <w:t xml:space="preserve"> </w:t>
      </w:r>
      <w:r w:rsidRPr="00860E14">
        <w:t>determine the presence</w:t>
      </w:r>
      <w:r>
        <w:t xml:space="preserve"> of parvovirus B19 antibodies and </w:t>
      </w:r>
      <w:r w:rsidRPr="00860E14">
        <w:t>fact</w:t>
      </w:r>
      <w:r>
        <w:t>ors associated with the presence of Parvo B19 infection among seropositive drug-e</w:t>
      </w:r>
      <w:r w:rsidRPr="000615DD">
        <w:t>xperience HIV</w:t>
      </w:r>
      <w:r>
        <w:t xml:space="preserve"> pregnant w</w:t>
      </w:r>
      <w:r w:rsidRPr="000615DD">
        <w:t>omen</w:t>
      </w:r>
      <w:r>
        <w:t xml:space="preserve"> pregnant women attending ante-natal clinic </w:t>
      </w:r>
      <w:r w:rsidRPr="00860E14">
        <w:t>at Federal Medical Center, Keffi, Nasarawa State, Nigeria.</w:t>
      </w:r>
      <w:r w:rsidRPr="00860E14">
        <w:rPr>
          <w:b/>
        </w:rPr>
        <w:t xml:space="preserve"> </w:t>
      </w:r>
    </w:p>
    <w:p w:rsidR="000E0A32" w:rsidRDefault="000E0A32" w:rsidP="000E0A32">
      <w:pPr>
        <w:spacing w:line="360" w:lineRule="auto"/>
        <w:jc w:val="both"/>
        <w:rPr>
          <w:b/>
        </w:rPr>
      </w:pPr>
      <w:r>
        <w:rPr>
          <w:b/>
        </w:rPr>
        <w:t>Method</w:t>
      </w:r>
      <w:r w:rsidRPr="00860E14">
        <w:rPr>
          <w:b/>
        </w:rPr>
        <w:t xml:space="preserve">: </w:t>
      </w:r>
      <w:r w:rsidRPr="00860E14">
        <w:t>The study subjects included 251</w:t>
      </w:r>
      <w:r>
        <w:t xml:space="preserve"> seropositive d</w:t>
      </w:r>
      <w:r w:rsidRPr="00860E14">
        <w:t>rug</w:t>
      </w:r>
      <w:r>
        <w:t xml:space="preserve"> experienced HIV pregnant women Aged between 15-40 years. Data on demographic indices, history of blood transfusion, occupation, number of children in a household were collected by</w:t>
      </w:r>
      <w:r w:rsidRPr="00860E14">
        <w:t xml:space="preserve"> a self-administered questionna</w:t>
      </w:r>
      <w:r>
        <w:t>ire.</w:t>
      </w:r>
      <w:r w:rsidRPr="00860E14">
        <w:t xml:space="preserve"> </w:t>
      </w:r>
      <w:r>
        <w:t xml:space="preserve">Assay was done using </w:t>
      </w:r>
      <w:r w:rsidRPr="00860E14">
        <w:t>recombinant parvovirus B19 Ig</w:t>
      </w:r>
      <w:r>
        <w:t>M and IgG ELISA</w:t>
      </w:r>
      <w:r w:rsidRPr="00860E14">
        <w:t>.</w:t>
      </w:r>
      <w:r>
        <w:t xml:space="preserve"> Data were analyzed using proportion, chi-square test; Bi-variate logistic regression was used to compute for Odd ratio (OR) at 95% confidence interval.</w:t>
      </w:r>
      <w:r w:rsidRPr="00860E14">
        <w:rPr>
          <w:b/>
        </w:rPr>
        <w:t xml:space="preserve"> </w:t>
      </w:r>
    </w:p>
    <w:p w:rsidR="000E0A32" w:rsidRPr="00860E14" w:rsidRDefault="000E0A32" w:rsidP="000E0A32">
      <w:pPr>
        <w:spacing w:line="360" w:lineRule="auto"/>
        <w:jc w:val="both"/>
      </w:pPr>
      <w:r w:rsidRPr="00860E14">
        <w:rPr>
          <w:b/>
        </w:rPr>
        <w:t>Results:</w:t>
      </w:r>
      <w:r>
        <w:t xml:space="preserve"> Of the 251 participants, 14.3 % </w:t>
      </w:r>
      <w:r w:rsidRPr="00860E14">
        <w:t>had IgM</w:t>
      </w:r>
      <w:r>
        <w:t xml:space="preserve"> antibodies, while 29.9% </w:t>
      </w:r>
      <w:r w:rsidRPr="00860E14">
        <w:t>had IgG antibodies with those aged 15-20 an</w:t>
      </w:r>
      <w:r>
        <w:t>d 30-45 years having</w:t>
      </w:r>
      <w:r w:rsidRPr="00860E14">
        <w:t xml:space="preserve"> incidence</w:t>
      </w:r>
      <w:r>
        <w:t xml:space="preserve"> 14.3%</w:t>
      </w:r>
      <w:r w:rsidRPr="00860E14">
        <w:t xml:space="preserve"> and prevalence rates</w:t>
      </w:r>
      <w:r>
        <w:t xml:space="preserve"> of 29.9%</w:t>
      </w:r>
      <w:r w:rsidRPr="00860E14">
        <w:t>. Being a house wife</w:t>
      </w:r>
      <w:r w:rsidRPr="00CD3C54">
        <w:t xml:space="preserve"> </w:t>
      </w:r>
      <w:r>
        <w:t>with OR=1.73; 95%CI: 0.64-4.77</w:t>
      </w:r>
      <w:r w:rsidRPr="00860E14">
        <w:t>, ha</w:t>
      </w:r>
      <w:r>
        <w:t>ving more children with OR=0.90 95%CI: 0.44-1.82, history</w:t>
      </w:r>
      <w:r w:rsidRPr="00860E14">
        <w:t xml:space="preserve"> of blood transfusion</w:t>
      </w:r>
      <w:r>
        <w:t xml:space="preserve"> with OR=3.23; 95%CI: 2.15-5.00</w:t>
      </w:r>
      <w:r w:rsidRPr="00860E14">
        <w:t>, miscarriage</w:t>
      </w:r>
      <w:r w:rsidRPr="00FF71BE">
        <w:t xml:space="preserve"> </w:t>
      </w:r>
      <w:r>
        <w:t>with OR=1.96; 95%CI: 1.75-2.20</w:t>
      </w:r>
      <w:r w:rsidRPr="00860E14">
        <w:t xml:space="preserve"> and still birt</w:t>
      </w:r>
      <w:r>
        <w:t>h</w:t>
      </w:r>
      <w:r w:rsidRPr="00FF71BE">
        <w:t xml:space="preserve"> </w:t>
      </w:r>
      <w:r>
        <w:t>with OR=1.42; 95%CI: 1.21-1.66 were associated with Parvo B19 infection</w:t>
      </w:r>
      <w:r w:rsidRPr="00860E14">
        <w:t>.</w:t>
      </w:r>
    </w:p>
    <w:p w:rsidR="000E0A32" w:rsidRDefault="000E0A32" w:rsidP="000E0A32">
      <w:pPr>
        <w:spacing w:line="360" w:lineRule="auto"/>
        <w:jc w:val="both"/>
      </w:pPr>
      <w:r w:rsidRPr="00860E14">
        <w:rPr>
          <w:b/>
        </w:rPr>
        <w:t xml:space="preserve">Conclusion: </w:t>
      </w:r>
      <w:r>
        <w:t>The studies reveal</w:t>
      </w:r>
      <w:r w:rsidRPr="00E5738A">
        <w:t xml:space="preserve"> parvovirus B19 </w:t>
      </w:r>
      <w:r>
        <w:t xml:space="preserve">human </w:t>
      </w:r>
      <w:r w:rsidRPr="00E5738A">
        <w:t>infe</w:t>
      </w:r>
      <w:r>
        <w:t>ction among the sero-positive pregnant women</w:t>
      </w:r>
      <w:r w:rsidRPr="00E5738A">
        <w:t>. Our findings have important implications for transfusion and foeto-mat</w:t>
      </w:r>
      <w:r>
        <w:t>ernal health policy in Nigeria.</w:t>
      </w:r>
      <w:r w:rsidRPr="00E5738A">
        <w:t xml:space="preserve"> Routine screening for B19 IgM antibodies and accompanying clinical management of positive cases should be made mandatory for all Nigerian blood donors and women of childbearing age.</w:t>
      </w:r>
      <w:r w:rsidRPr="00860E14">
        <w:t xml:space="preserve"> </w:t>
      </w:r>
    </w:p>
    <w:p w:rsidR="000E0A32" w:rsidRPr="002C53E9" w:rsidRDefault="000E0A32" w:rsidP="000E0A32">
      <w:pPr>
        <w:spacing w:line="360" w:lineRule="auto"/>
        <w:jc w:val="both"/>
      </w:pPr>
      <w:r w:rsidRPr="008C03B0">
        <w:rPr>
          <w:b/>
        </w:rPr>
        <w:t>K</w:t>
      </w:r>
      <w:r>
        <w:rPr>
          <w:b/>
        </w:rPr>
        <w:t>eyword</w:t>
      </w:r>
      <w:r>
        <w:t>. Parvo B19, Trans-placental, Fetal death,Infections</w:t>
      </w:r>
      <w:r w:rsidRPr="00860E14">
        <w:t>, Pregnancy</w:t>
      </w:r>
      <w:r>
        <w:t>.</w:t>
      </w:r>
      <w:r w:rsidRPr="00860E14">
        <w:t xml:space="preserve">     </w:t>
      </w:r>
    </w:p>
    <w:p w:rsidR="00983155" w:rsidRPr="00944902" w:rsidRDefault="00983155" w:rsidP="00983155">
      <w:pPr>
        <w:rPr>
          <w:b/>
          <w:sz w:val="22"/>
          <w:szCs w:val="22"/>
        </w:rPr>
      </w:pPr>
    </w:p>
    <w:p w:rsidR="006533E8" w:rsidRPr="00944902" w:rsidRDefault="00983155" w:rsidP="006533E8">
      <w:pPr>
        <w:rPr>
          <w:sz w:val="22"/>
          <w:szCs w:val="22"/>
        </w:rPr>
      </w:pPr>
      <w:r w:rsidRPr="00944902">
        <w:rPr>
          <w:b/>
          <w:sz w:val="22"/>
          <w:szCs w:val="22"/>
        </w:rPr>
        <w:t xml:space="preserve">                </w:t>
      </w:r>
      <w:r w:rsidR="006533E8" w:rsidRPr="00944902">
        <w:rPr>
          <w:b/>
          <w:sz w:val="22"/>
          <w:szCs w:val="22"/>
        </w:rPr>
        <w:t xml:space="preserve">                                                          INTRODUCTION</w:t>
      </w:r>
    </w:p>
    <w:p w:rsidR="006533E8" w:rsidRPr="00944902" w:rsidRDefault="006533E8" w:rsidP="006533E8">
      <w:pPr>
        <w:spacing w:line="480" w:lineRule="auto"/>
        <w:jc w:val="both"/>
        <w:rPr>
          <w:sz w:val="22"/>
          <w:szCs w:val="22"/>
        </w:rPr>
      </w:pPr>
      <w:r w:rsidRPr="00944902">
        <w:rPr>
          <w:sz w:val="22"/>
          <w:szCs w:val="22"/>
        </w:rPr>
        <w:lastRenderedPageBreak/>
        <w:t xml:space="preserve">         </w:t>
      </w:r>
    </w:p>
    <w:p w:rsidR="006533E8" w:rsidRPr="00944902" w:rsidRDefault="006533E8" w:rsidP="006533E8">
      <w:pPr>
        <w:spacing w:line="480" w:lineRule="auto"/>
        <w:jc w:val="both"/>
        <w:rPr>
          <w:sz w:val="22"/>
          <w:szCs w:val="22"/>
        </w:rPr>
      </w:pPr>
      <w:r w:rsidRPr="00944902">
        <w:rPr>
          <w:sz w:val="22"/>
          <w:szCs w:val="22"/>
        </w:rPr>
        <w:t xml:space="preserve">Human parvovirus B19 is the only known parvovirus pathogenic to human [1,2]. The infection during pregnancy may account for thousands of incidences of fetal loss per annum in Europe, North America and beyond [3]. </w:t>
      </w:r>
    </w:p>
    <w:p w:rsidR="006533E8" w:rsidRPr="00944902" w:rsidRDefault="006533E8" w:rsidP="006533E8">
      <w:pPr>
        <w:spacing w:line="480" w:lineRule="auto"/>
        <w:ind w:firstLine="720"/>
        <w:jc w:val="both"/>
        <w:rPr>
          <w:sz w:val="22"/>
          <w:szCs w:val="22"/>
        </w:rPr>
      </w:pPr>
      <w:r w:rsidRPr="00944902">
        <w:rPr>
          <w:sz w:val="22"/>
          <w:szCs w:val="22"/>
        </w:rPr>
        <w:t xml:space="preserve"> Trans</w:t>
      </w:r>
      <w:r w:rsidR="00B151A2">
        <w:rPr>
          <w:sz w:val="22"/>
          <w:szCs w:val="22"/>
        </w:rPr>
        <w:t>-</w:t>
      </w:r>
      <w:r w:rsidR="00B151A2" w:rsidRPr="00944902">
        <w:rPr>
          <w:sz w:val="22"/>
          <w:szCs w:val="22"/>
        </w:rPr>
        <w:t>placental</w:t>
      </w:r>
      <w:r w:rsidRPr="00944902">
        <w:rPr>
          <w:sz w:val="22"/>
          <w:szCs w:val="22"/>
        </w:rPr>
        <w:t xml:space="preserve"> transmission of parvovirus B19 during pregnancy is one of the leading causes of non-immune fetal hydrops, spontaneous abortion or intra uterine fetal death [4,5]. The disease which was first discovered in 1975 [6] was first associated with disease in 1981, when it was linked to aplastic crisis, fifth disease, spontaneous abortion and some form of acute arthritis [7]. It also has a 33% vertical transmission rate with a 2-3 incidences in all spontaneous abortion [8].</w:t>
      </w:r>
    </w:p>
    <w:p w:rsidR="006533E8" w:rsidRPr="00944902" w:rsidRDefault="006533E8" w:rsidP="006533E8">
      <w:pPr>
        <w:spacing w:line="456" w:lineRule="auto"/>
        <w:ind w:firstLine="720"/>
        <w:jc w:val="both"/>
        <w:rPr>
          <w:sz w:val="22"/>
          <w:szCs w:val="22"/>
        </w:rPr>
      </w:pPr>
      <w:r w:rsidRPr="00944902">
        <w:rPr>
          <w:sz w:val="22"/>
          <w:szCs w:val="22"/>
        </w:rPr>
        <w:t>B19 may also stimulate a cellular process initiating apoptosis [9]. This may account for the minimal inflammatory response noted in tissues infected with B19 [10].The virus infection of megakaryocytes, placental cells, fetal liver cells and myocardial cells results in anemia, which can lead to high output congestive heart failure, causing fetal circulatory compromise. The risk of fetal demise is highest in the first trimester and is thought to be as high as 10% in women who are infected prior to 20 weeks of gestation [11]. The P blood group antigen, which serves as a receptor for B19, has been detected on cells of the villous trophoblast of placental tissues in varying amount during the course of pregnancy. And in the first trimester of pregnancy, the level of the P-antigen is very high. This high level of globoside receptor on placental cells in early pregnancy may act as a pathway for B19 to be transmitted from the mother to the fetus where by the virus can then infect erythroid progenitor cells for replication [12]. There are limited data on the incidence and prevalence of parvovirus B19 in Nigeria in spite of the importance of such data in health policy formulation. We therefore, undertook a survey to establish the incidence, prevalence and risk factors of this agent among pregnant women attending Plateau specialist hospital in Jos.</w:t>
      </w:r>
    </w:p>
    <w:p w:rsidR="00416BD2" w:rsidRDefault="00416BD2" w:rsidP="006533E8">
      <w:pPr>
        <w:spacing w:line="456" w:lineRule="auto"/>
        <w:ind w:firstLine="720"/>
        <w:jc w:val="both"/>
        <w:rPr>
          <w:sz w:val="22"/>
          <w:szCs w:val="22"/>
        </w:rPr>
      </w:pPr>
    </w:p>
    <w:p w:rsidR="00B82CCC" w:rsidRDefault="00B82CCC" w:rsidP="006533E8">
      <w:pPr>
        <w:spacing w:line="456" w:lineRule="auto"/>
        <w:ind w:firstLine="720"/>
        <w:jc w:val="both"/>
        <w:rPr>
          <w:sz w:val="22"/>
          <w:szCs w:val="22"/>
        </w:rPr>
      </w:pPr>
    </w:p>
    <w:p w:rsidR="00416BD2" w:rsidRPr="00944902" w:rsidRDefault="00416BD2" w:rsidP="006533E8">
      <w:pPr>
        <w:spacing w:line="456" w:lineRule="auto"/>
        <w:ind w:firstLine="720"/>
        <w:jc w:val="both"/>
        <w:rPr>
          <w:sz w:val="22"/>
          <w:szCs w:val="22"/>
        </w:rPr>
      </w:pPr>
    </w:p>
    <w:p w:rsidR="006533E8" w:rsidRPr="00944902" w:rsidRDefault="006533E8" w:rsidP="006533E8">
      <w:pPr>
        <w:spacing w:line="480" w:lineRule="auto"/>
        <w:jc w:val="both"/>
        <w:rPr>
          <w:b/>
          <w:sz w:val="22"/>
          <w:szCs w:val="22"/>
        </w:rPr>
      </w:pPr>
      <w:r w:rsidRPr="00944902">
        <w:rPr>
          <w:b/>
          <w:sz w:val="22"/>
          <w:szCs w:val="22"/>
        </w:rPr>
        <w:t xml:space="preserve">                               MATERIALS AND METHODS</w:t>
      </w:r>
    </w:p>
    <w:p w:rsidR="006533E8" w:rsidRPr="00944902" w:rsidRDefault="006533E8" w:rsidP="006533E8">
      <w:pPr>
        <w:jc w:val="both"/>
        <w:rPr>
          <w:sz w:val="22"/>
          <w:szCs w:val="22"/>
        </w:rPr>
      </w:pPr>
    </w:p>
    <w:p w:rsidR="006533E8" w:rsidRPr="00944902" w:rsidRDefault="006533E8" w:rsidP="006533E8">
      <w:pPr>
        <w:spacing w:line="480" w:lineRule="auto"/>
        <w:jc w:val="both"/>
        <w:rPr>
          <w:b/>
          <w:sz w:val="22"/>
          <w:szCs w:val="22"/>
        </w:rPr>
      </w:pPr>
      <w:r w:rsidRPr="00944902">
        <w:rPr>
          <w:b/>
          <w:sz w:val="22"/>
          <w:szCs w:val="22"/>
        </w:rPr>
        <w:t xml:space="preserve"> STUDY AREA </w:t>
      </w:r>
    </w:p>
    <w:p w:rsidR="005375A9" w:rsidRPr="005375A9" w:rsidRDefault="006533E8" w:rsidP="005375A9">
      <w:pPr>
        <w:tabs>
          <w:tab w:val="left" w:pos="720"/>
        </w:tabs>
        <w:spacing w:before="240" w:line="480" w:lineRule="auto"/>
        <w:jc w:val="both"/>
        <w:rPr>
          <w:rFonts w:eastAsia="Calibri"/>
          <w:sz w:val="22"/>
          <w:szCs w:val="22"/>
          <w:lang w:val="en-GB"/>
        </w:rPr>
      </w:pPr>
      <w:r w:rsidRPr="00944902">
        <w:rPr>
          <w:b/>
          <w:sz w:val="22"/>
          <w:szCs w:val="22"/>
        </w:rPr>
        <w:t xml:space="preserve">         </w:t>
      </w:r>
      <w:r w:rsidR="005375A9" w:rsidRPr="005375A9">
        <w:rPr>
          <w:rFonts w:eastAsia="Calibri"/>
          <w:sz w:val="22"/>
          <w:szCs w:val="22"/>
          <w:lang w:val="en-GB"/>
        </w:rPr>
        <w:t>The study was conducted in Nasarawa State. Nasarawa State is located in the north central geopolitical zone of Nigeria. It lies between latitude 80</w:t>
      </w:r>
      <w:r w:rsidR="005375A9" w:rsidRPr="005375A9">
        <w:rPr>
          <w:rFonts w:eastAsia="Calibri"/>
          <w:sz w:val="22"/>
          <w:szCs w:val="22"/>
          <w:vertAlign w:val="superscript"/>
          <w:lang w:val="en-GB"/>
        </w:rPr>
        <w:t>0</w:t>
      </w:r>
      <w:r w:rsidR="005375A9" w:rsidRPr="005375A9">
        <w:rPr>
          <w:rFonts w:eastAsia="Calibri"/>
          <w:sz w:val="22"/>
          <w:szCs w:val="22"/>
          <w:lang w:val="en-GB"/>
        </w:rPr>
        <w:t>35</w:t>
      </w:r>
      <w:r w:rsidR="005375A9" w:rsidRPr="005375A9">
        <w:rPr>
          <w:rFonts w:eastAsia="Calibri"/>
          <w:sz w:val="22"/>
          <w:szCs w:val="22"/>
          <w:vertAlign w:val="superscript"/>
          <w:lang w:val="en-GB"/>
        </w:rPr>
        <w:t>’</w:t>
      </w:r>
      <w:r w:rsidR="005375A9" w:rsidRPr="005375A9">
        <w:rPr>
          <w:rFonts w:eastAsia="Calibri"/>
          <w:sz w:val="22"/>
          <w:szCs w:val="22"/>
          <w:lang w:val="en-GB"/>
        </w:rPr>
        <w:t>N and longitude 08</w:t>
      </w:r>
      <w:r w:rsidR="005375A9" w:rsidRPr="005375A9">
        <w:rPr>
          <w:rFonts w:eastAsia="Calibri"/>
          <w:sz w:val="22"/>
          <w:szCs w:val="22"/>
          <w:vertAlign w:val="superscript"/>
          <w:lang w:val="en-GB"/>
        </w:rPr>
        <w:t>0</w:t>
      </w:r>
      <w:r w:rsidR="005375A9" w:rsidRPr="005375A9">
        <w:rPr>
          <w:rFonts w:eastAsia="Calibri"/>
          <w:sz w:val="22"/>
          <w:szCs w:val="22"/>
          <w:lang w:val="en-GB"/>
        </w:rPr>
        <w:t>36</w:t>
      </w:r>
      <w:r w:rsidR="005375A9" w:rsidRPr="005375A9">
        <w:rPr>
          <w:rFonts w:eastAsia="Calibri"/>
          <w:sz w:val="22"/>
          <w:szCs w:val="22"/>
          <w:vertAlign w:val="superscript"/>
          <w:lang w:val="en-GB"/>
        </w:rPr>
        <w:t>’</w:t>
      </w:r>
      <w:r w:rsidR="005375A9" w:rsidRPr="005375A9">
        <w:rPr>
          <w:rFonts w:eastAsia="Calibri"/>
          <w:sz w:val="22"/>
          <w:szCs w:val="22"/>
          <w:lang w:val="en-GB"/>
        </w:rPr>
        <w:t>E. It is bounded to the North West by Federal capital territory (FCT), Abuja, and to the North-east by Plateau state, to the southeast by Taraba and to the north by Kaduna State, to the south by Benue State and to the southwest by Kogi State. It has a land mass of 21, 117 square kilometres with a population of 2,100,000, making it the 10</w:t>
      </w:r>
      <w:r w:rsidR="005375A9" w:rsidRPr="005375A9">
        <w:rPr>
          <w:rFonts w:eastAsia="Calibri"/>
          <w:sz w:val="22"/>
          <w:szCs w:val="22"/>
          <w:vertAlign w:val="superscript"/>
          <w:lang w:val="en-GB"/>
        </w:rPr>
        <w:t>th</w:t>
      </w:r>
      <w:r w:rsidR="005375A9" w:rsidRPr="005375A9">
        <w:rPr>
          <w:rFonts w:eastAsia="Calibri"/>
          <w:sz w:val="22"/>
          <w:szCs w:val="22"/>
          <w:lang w:val="en-GB"/>
        </w:rPr>
        <w:t xml:space="preserve"> largest state in Nigeria (2006 census).</w:t>
      </w:r>
      <w:r w:rsidR="005375A9" w:rsidRPr="005375A9">
        <w:rPr>
          <w:rFonts w:eastAsia="Calibri"/>
          <w:b/>
          <w:sz w:val="22"/>
          <w:szCs w:val="22"/>
          <w:lang w:val="en-GB"/>
        </w:rPr>
        <w:t xml:space="preserve"> </w:t>
      </w:r>
    </w:p>
    <w:p w:rsidR="006533E8" w:rsidRPr="00944902" w:rsidRDefault="006533E8" w:rsidP="006533E8">
      <w:pPr>
        <w:spacing w:line="480" w:lineRule="auto"/>
        <w:jc w:val="both"/>
        <w:rPr>
          <w:sz w:val="22"/>
          <w:szCs w:val="22"/>
        </w:rPr>
      </w:pPr>
      <w:r w:rsidRPr="00944902">
        <w:rPr>
          <w:sz w:val="22"/>
          <w:szCs w:val="22"/>
        </w:rPr>
        <w:t>. It enjoys a more temperate climate than the rest of Nigeria and has an average monthly temperature range from 70</w:t>
      </w:r>
      <w:r w:rsidRPr="00944902">
        <w:rPr>
          <w:sz w:val="22"/>
          <w:szCs w:val="22"/>
          <w:vertAlign w:val="superscript"/>
        </w:rPr>
        <w:t>o</w:t>
      </w:r>
      <w:r w:rsidRPr="00944902">
        <w:rPr>
          <w:sz w:val="22"/>
          <w:szCs w:val="22"/>
        </w:rPr>
        <w:t xml:space="preserve"> to 77</w:t>
      </w:r>
      <w:r w:rsidRPr="00944902">
        <w:rPr>
          <w:sz w:val="22"/>
          <w:szCs w:val="22"/>
          <w:vertAlign w:val="superscript"/>
        </w:rPr>
        <w:t>o</w:t>
      </w:r>
      <w:r w:rsidRPr="00944902">
        <w:rPr>
          <w:sz w:val="22"/>
          <w:szCs w:val="22"/>
        </w:rPr>
        <w:t>F or 21</w:t>
      </w:r>
      <w:r w:rsidRPr="00944902">
        <w:rPr>
          <w:sz w:val="22"/>
          <w:szCs w:val="22"/>
          <w:vertAlign w:val="superscript"/>
        </w:rPr>
        <w:t>o</w:t>
      </w:r>
      <w:r w:rsidRPr="00944902">
        <w:rPr>
          <w:sz w:val="22"/>
          <w:szCs w:val="22"/>
        </w:rPr>
        <w:t xml:space="preserve"> to 25</w:t>
      </w:r>
      <w:r w:rsidRPr="00944902">
        <w:rPr>
          <w:sz w:val="22"/>
          <w:szCs w:val="22"/>
          <w:vertAlign w:val="superscript"/>
        </w:rPr>
        <w:t>o</w:t>
      </w:r>
      <w:r w:rsidRPr="00944902">
        <w:rPr>
          <w:sz w:val="22"/>
          <w:szCs w:val="22"/>
        </w:rPr>
        <w:t>C [13].</w:t>
      </w:r>
    </w:p>
    <w:p w:rsidR="006533E8" w:rsidRPr="00944902" w:rsidRDefault="006533E8" w:rsidP="006533E8">
      <w:pPr>
        <w:spacing w:line="480" w:lineRule="auto"/>
        <w:jc w:val="both"/>
        <w:rPr>
          <w:b/>
          <w:sz w:val="22"/>
          <w:szCs w:val="22"/>
        </w:rPr>
      </w:pPr>
    </w:p>
    <w:p w:rsidR="006533E8" w:rsidRPr="00944902" w:rsidRDefault="006533E8" w:rsidP="006533E8">
      <w:pPr>
        <w:spacing w:line="480" w:lineRule="auto"/>
        <w:jc w:val="both"/>
        <w:rPr>
          <w:b/>
          <w:sz w:val="22"/>
          <w:szCs w:val="22"/>
        </w:rPr>
      </w:pPr>
      <w:r w:rsidRPr="00944902">
        <w:rPr>
          <w:b/>
          <w:sz w:val="22"/>
          <w:szCs w:val="22"/>
        </w:rPr>
        <w:t>STUDY POPULATION</w:t>
      </w:r>
    </w:p>
    <w:p w:rsidR="00E60A93" w:rsidRPr="00944902" w:rsidRDefault="006533E8" w:rsidP="00AD50CC">
      <w:pPr>
        <w:spacing w:line="480" w:lineRule="auto"/>
        <w:jc w:val="both"/>
        <w:rPr>
          <w:b/>
          <w:sz w:val="22"/>
          <w:szCs w:val="22"/>
        </w:rPr>
      </w:pPr>
      <w:r w:rsidRPr="00944902">
        <w:rPr>
          <w:b/>
          <w:sz w:val="22"/>
          <w:szCs w:val="22"/>
        </w:rPr>
        <w:t xml:space="preserve">        </w:t>
      </w:r>
      <w:r w:rsidRPr="00944902">
        <w:rPr>
          <w:sz w:val="22"/>
          <w:szCs w:val="22"/>
        </w:rPr>
        <w:t xml:space="preserve"> This consisted of pregnant women </w:t>
      </w:r>
      <w:r w:rsidR="00AD50CC">
        <w:rPr>
          <w:sz w:val="22"/>
          <w:szCs w:val="22"/>
        </w:rPr>
        <w:t xml:space="preserve">attending ante-natal clinic in Federal Medical Center, Keffi, </w:t>
      </w:r>
      <w:r w:rsidRPr="00944902">
        <w:rPr>
          <w:sz w:val="22"/>
          <w:szCs w:val="22"/>
        </w:rPr>
        <w:t xml:space="preserve"> b</w:t>
      </w:r>
      <w:r w:rsidR="00AD50CC">
        <w:rPr>
          <w:sz w:val="22"/>
          <w:szCs w:val="22"/>
        </w:rPr>
        <w:t>etween January and August, 2012</w:t>
      </w:r>
      <w:r w:rsidRPr="00944902">
        <w:rPr>
          <w:sz w:val="22"/>
          <w:szCs w:val="22"/>
        </w:rPr>
        <w:t xml:space="preserve">. The hospital has an average of 70 pregnant women attending ante-natal clinic weekly and population of two hundred and seventy three (273) subjects participated in this study. </w:t>
      </w:r>
    </w:p>
    <w:p w:rsidR="006533E8" w:rsidRPr="00944902" w:rsidRDefault="006533E8" w:rsidP="006533E8">
      <w:pPr>
        <w:spacing w:line="480" w:lineRule="auto"/>
        <w:rPr>
          <w:b/>
          <w:sz w:val="22"/>
          <w:szCs w:val="22"/>
        </w:rPr>
      </w:pPr>
      <w:r w:rsidRPr="00944902">
        <w:rPr>
          <w:b/>
          <w:sz w:val="22"/>
          <w:szCs w:val="22"/>
        </w:rPr>
        <w:t>ETHICAL CONSIDERATIONS</w:t>
      </w:r>
    </w:p>
    <w:p w:rsidR="006533E8" w:rsidRPr="00944902" w:rsidRDefault="006533E8" w:rsidP="00E60A93">
      <w:pPr>
        <w:spacing w:line="480" w:lineRule="auto"/>
        <w:jc w:val="both"/>
        <w:rPr>
          <w:sz w:val="22"/>
          <w:szCs w:val="22"/>
        </w:rPr>
      </w:pPr>
      <w:r w:rsidRPr="00944902">
        <w:rPr>
          <w:sz w:val="22"/>
          <w:szCs w:val="22"/>
        </w:rPr>
        <w:t xml:space="preserve">        Clearance from the health</w:t>
      </w:r>
      <w:r w:rsidR="00AD50CC">
        <w:rPr>
          <w:sz w:val="22"/>
          <w:szCs w:val="22"/>
        </w:rPr>
        <w:t xml:space="preserve"> research ethical committee of Federal Medical </w:t>
      </w:r>
      <w:r w:rsidR="00A6486E">
        <w:rPr>
          <w:sz w:val="22"/>
          <w:szCs w:val="22"/>
        </w:rPr>
        <w:t>Center, Keffi</w:t>
      </w:r>
      <w:r w:rsidRPr="00944902">
        <w:rPr>
          <w:sz w:val="22"/>
          <w:szCs w:val="22"/>
        </w:rPr>
        <w:t xml:space="preserve"> was obtained in accordance with the code of ethics for biomedical research involving human subjects. Signed informed consent was also obtained from each of the subjects.</w:t>
      </w:r>
      <w:r w:rsidRPr="00944902">
        <w:rPr>
          <w:b/>
          <w:sz w:val="22"/>
          <w:szCs w:val="22"/>
        </w:rPr>
        <w:t xml:space="preserve">                                 </w:t>
      </w:r>
    </w:p>
    <w:p w:rsidR="006533E8" w:rsidRPr="00944902" w:rsidRDefault="006533E8" w:rsidP="006533E8">
      <w:pPr>
        <w:spacing w:line="480" w:lineRule="auto"/>
        <w:jc w:val="both"/>
        <w:rPr>
          <w:b/>
          <w:sz w:val="22"/>
          <w:szCs w:val="22"/>
        </w:rPr>
      </w:pPr>
      <w:r w:rsidRPr="00944902">
        <w:rPr>
          <w:b/>
          <w:sz w:val="22"/>
          <w:szCs w:val="22"/>
        </w:rPr>
        <w:t>EXCLUSION AND INCLUSION CRITERIA</w:t>
      </w:r>
    </w:p>
    <w:p w:rsidR="006533E8" w:rsidRPr="00944902" w:rsidRDefault="006533E8" w:rsidP="006533E8">
      <w:pPr>
        <w:spacing w:line="480" w:lineRule="auto"/>
        <w:jc w:val="both"/>
        <w:rPr>
          <w:b/>
          <w:sz w:val="22"/>
          <w:szCs w:val="22"/>
        </w:rPr>
      </w:pPr>
      <w:r w:rsidRPr="00944902">
        <w:rPr>
          <w:b/>
          <w:sz w:val="22"/>
          <w:szCs w:val="22"/>
        </w:rPr>
        <w:t xml:space="preserve">              </w:t>
      </w:r>
      <w:r w:rsidRPr="00944902">
        <w:rPr>
          <w:sz w:val="22"/>
          <w:szCs w:val="22"/>
        </w:rPr>
        <w:t>The study inclusion criteria were being pregnant, ante-natal clinic attendance records and signed informed consent; while the exclusion criteria included absence of pregnancy, age below 15 and above 40years and failure to sign a consent form.</w:t>
      </w:r>
    </w:p>
    <w:p w:rsidR="006533E8" w:rsidRPr="00944902" w:rsidRDefault="006533E8" w:rsidP="006533E8">
      <w:pPr>
        <w:spacing w:line="480" w:lineRule="auto"/>
        <w:jc w:val="both"/>
        <w:rPr>
          <w:b/>
          <w:sz w:val="22"/>
          <w:szCs w:val="22"/>
        </w:rPr>
      </w:pPr>
      <w:r w:rsidRPr="00944902">
        <w:rPr>
          <w:b/>
          <w:sz w:val="22"/>
          <w:szCs w:val="22"/>
        </w:rPr>
        <w:t xml:space="preserve">SPECIMEN COLLECTION </w:t>
      </w:r>
    </w:p>
    <w:p w:rsidR="006533E8" w:rsidRPr="00944902" w:rsidRDefault="006533E8" w:rsidP="00E60A93">
      <w:pPr>
        <w:spacing w:line="480" w:lineRule="auto"/>
        <w:jc w:val="both"/>
        <w:rPr>
          <w:sz w:val="22"/>
          <w:szCs w:val="22"/>
        </w:rPr>
      </w:pPr>
      <w:r w:rsidRPr="00944902">
        <w:rPr>
          <w:sz w:val="22"/>
          <w:szCs w:val="22"/>
        </w:rPr>
        <w:t xml:space="preserve">         After collection of the signed informed consent form, and the </w:t>
      </w:r>
      <w:r w:rsidR="0076129D" w:rsidRPr="00944902">
        <w:rPr>
          <w:sz w:val="22"/>
          <w:szCs w:val="22"/>
        </w:rPr>
        <w:t>self-administered</w:t>
      </w:r>
      <w:r w:rsidRPr="00944902">
        <w:rPr>
          <w:sz w:val="22"/>
          <w:szCs w:val="22"/>
        </w:rPr>
        <w:t xml:space="preserve"> questionnaires with the relevant personal information, 5mls of blood sample from each subject was aseptically collected by </w:t>
      </w:r>
      <w:r w:rsidR="002625F7" w:rsidRPr="00944902">
        <w:rPr>
          <w:sz w:val="22"/>
          <w:szCs w:val="22"/>
        </w:rPr>
        <w:t>venipuncture</w:t>
      </w:r>
      <w:r w:rsidRPr="00944902">
        <w:rPr>
          <w:sz w:val="22"/>
          <w:szCs w:val="22"/>
        </w:rPr>
        <w:t xml:space="preserve"> of the cubital vein using disposable needles and syringes. The samples were collected between January </w:t>
      </w:r>
      <w:r w:rsidR="0093325F" w:rsidRPr="00944902">
        <w:rPr>
          <w:sz w:val="22"/>
          <w:szCs w:val="22"/>
        </w:rPr>
        <w:t>and August, 2012</w:t>
      </w:r>
      <w:r w:rsidRPr="00944902">
        <w:rPr>
          <w:sz w:val="22"/>
          <w:szCs w:val="22"/>
        </w:rPr>
        <w:t xml:space="preserve">, and then taken to Innovative Biotech </w:t>
      </w:r>
      <w:r w:rsidR="0093325F" w:rsidRPr="00944902">
        <w:rPr>
          <w:sz w:val="22"/>
          <w:szCs w:val="22"/>
        </w:rPr>
        <w:t>Virology Laboratory</w:t>
      </w:r>
      <w:r w:rsidRPr="00944902">
        <w:rPr>
          <w:sz w:val="22"/>
          <w:szCs w:val="22"/>
        </w:rPr>
        <w:t xml:space="preserve"> where the sera were separated, put into sample vials and stored at -20</w:t>
      </w:r>
      <w:r w:rsidRPr="00944902">
        <w:rPr>
          <w:sz w:val="22"/>
          <w:szCs w:val="22"/>
          <w:vertAlign w:val="superscript"/>
        </w:rPr>
        <w:t>o</w:t>
      </w:r>
      <w:r w:rsidRPr="00944902">
        <w:rPr>
          <w:sz w:val="22"/>
          <w:szCs w:val="22"/>
        </w:rPr>
        <w:t>c until assayed.</w:t>
      </w:r>
    </w:p>
    <w:p w:rsidR="006533E8" w:rsidRPr="00944902" w:rsidRDefault="006533E8" w:rsidP="006533E8">
      <w:pPr>
        <w:spacing w:line="480" w:lineRule="auto"/>
        <w:jc w:val="both"/>
        <w:rPr>
          <w:sz w:val="22"/>
          <w:szCs w:val="22"/>
        </w:rPr>
      </w:pPr>
      <w:r w:rsidRPr="00944902">
        <w:rPr>
          <w:sz w:val="22"/>
          <w:szCs w:val="22"/>
        </w:rPr>
        <w:t xml:space="preserve"> </w:t>
      </w:r>
      <w:r w:rsidRPr="00944902">
        <w:rPr>
          <w:b/>
          <w:sz w:val="22"/>
          <w:szCs w:val="22"/>
        </w:rPr>
        <w:t>ASSAYING TECHNIQUE</w:t>
      </w:r>
    </w:p>
    <w:p w:rsidR="00E60A93" w:rsidRPr="00944902" w:rsidRDefault="006533E8" w:rsidP="006533E8">
      <w:pPr>
        <w:spacing w:line="480" w:lineRule="auto"/>
        <w:jc w:val="both"/>
        <w:rPr>
          <w:sz w:val="22"/>
          <w:szCs w:val="22"/>
        </w:rPr>
      </w:pPr>
      <w:r w:rsidRPr="00944902">
        <w:rPr>
          <w:sz w:val="22"/>
          <w:szCs w:val="22"/>
        </w:rPr>
        <w:t xml:space="preserve">         The </w:t>
      </w:r>
      <w:r w:rsidRPr="00944902">
        <w:rPr>
          <w:b/>
          <w:sz w:val="22"/>
          <w:szCs w:val="22"/>
        </w:rPr>
        <w:t>DeMeditec</w:t>
      </w:r>
      <w:r w:rsidRPr="00944902">
        <w:rPr>
          <w:sz w:val="22"/>
          <w:szCs w:val="22"/>
        </w:rPr>
        <w:t xml:space="preserve"> parvovirus B19 IgM and IgG (Recombinant) Enzyme immunoassay kit [Lot; 123G/K038] USA was used for the in-vitro qualitative and semi-quantitative determination of immunoglobulin class antibodies assay for parvovirus B19 in serum, according to the manufacturer’s instructions.</w:t>
      </w:r>
    </w:p>
    <w:p w:rsidR="006533E8" w:rsidRPr="00944902" w:rsidRDefault="006533E8" w:rsidP="006533E8">
      <w:pPr>
        <w:spacing w:line="480" w:lineRule="auto"/>
        <w:jc w:val="both"/>
        <w:rPr>
          <w:sz w:val="22"/>
          <w:szCs w:val="22"/>
        </w:rPr>
      </w:pPr>
      <w:r w:rsidRPr="00944902">
        <w:rPr>
          <w:b/>
          <w:sz w:val="22"/>
          <w:szCs w:val="22"/>
        </w:rPr>
        <w:t>INTERPRETATION OF RESULTS</w:t>
      </w:r>
    </w:p>
    <w:p w:rsidR="006533E8" w:rsidRPr="00944902" w:rsidRDefault="006533E8" w:rsidP="006533E8">
      <w:pPr>
        <w:spacing w:line="480" w:lineRule="auto"/>
        <w:jc w:val="both"/>
        <w:rPr>
          <w:sz w:val="22"/>
          <w:szCs w:val="22"/>
        </w:rPr>
      </w:pPr>
      <w:r w:rsidRPr="00944902">
        <w:rPr>
          <w:sz w:val="22"/>
          <w:szCs w:val="22"/>
        </w:rPr>
        <w:t>Incidence was defined as the presence of IgM antibodies to parvovirus B19 in the tested subjects, while prevalence was defined as the presence of parvovirus B19 IgG antibodies. The presences of IgM or IgG antibodies were determined by comparing the absorbance value of each sample to that of the cut-off value. Specimens with absorbance values less than the cut-off values were recorded as negative while those above are recorded as positive according to the manufacturer’s instructions.</w:t>
      </w:r>
    </w:p>
    <w:p w:rsidR="006533E8" w:rsidRPr="00944902" w:rsidRDefault="006533E8" w:rsidP="006533E8">
      <w:pPr>
        <w:spacing w:line="480" w:lineRule="auto"/>
        <w:rPr>
          <w:b/>
          <w:sz w:val="22"/>
          <w:szCs w:val="22"/>
        </w:rPr>
      </w:pPr>
      <w:r w:rsidRPr="00944902">
        <w:rPr>
          <w:b/>
          <w:sz w:val="22"/>
          <w:szCs w:val="22"/>
        </w:rPr>
        <w:t>STATISTICAL ANALYSIS</w:t>
      </w:r>
    </w:p>
    <w:p w:rsidR="006533E8" w:rsidRPr="00944902" w:rsidRDefault="006533E8" w:rsidP="006533E8">
      <w:pPr>
        <w:spacing w:line="480" w:lineRule="auto"/>
        <w:rPr>
          <w:sz w:val="22"/>
          <w:szCs w:val="22"/>
        </w:rPr>
      </w:pPr>
      <w:r w:rsidRPr="00944902">
        <w:rPr>
          <w:sz w:val="22"/>
          <w:szCs w:val="22"/>
        </w:rPr>
        <w:t xml:space="preserve"> Pearson chi-squares were calculated and compared with values on a chi-square table at 95% confidence interval. P values ≤ 0.05 were considered statistically significant.</w:t>
      </w:r>
    </w:p>
    <w:p w:rsidR="00B82CCC" w:rsidRDefault="00983155" w:rsidP="00E60A93">
      <w:pPr>
        <w:spacing w:line="480" w:lineRule="auto"/>
        <w:rPr>
          <w:sz w:val="22"/>
          <w:szCs w:val="22"/>
        </w:rPr>
      </w:pPr>
      <w:r w:rsidRPr="00944902">
        <w:rPr>
          <w:b/>
          <w:sz w:val="22"/>
          <w:szCs w:val="22"/>
        </w:rPr>
        <w:t xml:space="preserve">        </w:t>
      </w:r>
      <w:r w:rsidR="00E60A93" w:rsidRPr="00944902">
        <w:rPr>
          <w:sz w:val="22"/>
          <w:szCs w:val="22"/>
        </w:rPr>
        <w:t xml:space="preserve">                                                      </w:t>
      </w:r>
    </w:p>
    <w:p w:rsidR="00E60A93" w:rsidRPr="00944902" w:rsidRDefault="00E60A93" w:rsidP="00E60A93">
      <w:pPr>
        <w:spacing w:line="480" w:lineRule="auto"/>
        <w:rPr>
          <w:sz w:val="22"/>
          <w:szCs w:val="22"/>
        </w:rPr>
      </w:pPr>
      <w:r w:rsidRPr="00944902">
        <w:rPr>
          <w:sz w:val="22"/>
          <w:szCs w:val="22"/>
        </w:rPr>
        <w:t xml:space="preserve">   </w:t>
      </w:r>
      <w:r w:rsidRPr="00944902">
        <w:rPr>
          <w:b/>
          <w:sz w:val="22"/>
          <w:szCs w:val="22"/>
        </w:rPr>
        <w:t xml:space="preserve">RESULTS </w:t>
      </w:r>
    </w:p>
    <w:p w:rsidR="00E60A93" w:rsidRPr="00944902" w:rsidRDefault="00E60A93" w:rsidP="00E60A93">
      <w:pPr>
        <w:spacing w:line="360" w:lineRule="auto"/>
        <w:ind w:firstLine="720"/>
        <w:jc w:val="both"/>
        <w:rPr>
          <w:sz w:val="22"/>
          <w:szCs w:val="22"/>
        </w:rPr>
      </w:pPr>
      <w:r w:rsidRPr="00944902">
        <w:rPr>
          <w:sz w:val="22"/>
          <w:szCs w:val="22"/>
        </w:rPr>
        <w:t xml:space="preserve">Blood samples were collected from 273 pregnant women. The serum samples were analyzed for parvovirus B19 (IgM and IgG) antibodies. Of the 273 samples assayed, 36(13.2%) were positive for Parvovirus B19 IgM and 75(27.5%) for B19 IgG. </w:t>
      </w:r>
    </w:p>
    <w:p w:rsidR="00E60A93" w:rsidRPr="00944902" w:rsidRDefault="006D2EBE" w:rsidP="00E60A93">
      <w:pPr>
        <w:spacing w:line="456" w:lineRule="auto"/>
        <w:jc w:val="both"/>
        <w:rPr>
          <w:sz w:val="22"/>
          <w:szCs w:val="22"/>
        </w:rPr>
      </w:pPr>
      <w:r>
        <w:rPr>
          <w:sz w:val="22"/>
          <w:szCs w:val="22"/>
        </w:rPr>
        <w:t xml:space="preserve">           Figure</w:t>
      </w:r>
      <w:r w:rsidR="00E60A93" w:rsidRPr="00944902">
        <w:rPr>
          <w:sz w:val="22"/>
          <w:szCs w:val="22"/>
        </w:rPr>
        <w:t xml:space="preserve"> 1 shows the distribution of parvovirus B19 antibodies according to age. The highest IgM antibodies (16.7%) and IgG antibodies (37.5%) antibodies were observed in the age groups 15-20 and 36-40 years respectively, while the lowest Parvovirus B19 IgM antibodies and IgG antibodies were observed in the age group 36-40 and 15-20 years respectively (P&gt;0.05). </w:t>
      </w:r>
    </w:p>
    <w:p w:rsidR="00E60A93" w:rsidRPr="00944902" w:rsidRDefault="000050D0" w:rsidP="00E60A93">
      <w:pPr>
        <w:spacing w:line="456" w:lineRule="auto"/>
        <w:ind w:firstLine="720"/>
        <w:jc w:val="both"/>
        <w:rPr>
          <w:sz w:val="22"/>
          <w:szCs w:val="22"/>
        </w:rPr>
      </w:pPr>
      <w:r>
        <w:rPr>
          <w:sz w:val="22"/>
          <w:szCs w:val="22"/>
        </w:rPr>
        <w:t xml:space="preserve"> Table 1</w:t>
      </w:r>
      <w:r w:rsidR="00E60A93" w:rsidRPr="00944902">
        <w:rPr>
          <w:sz w:val="22"/>
          <w:szCs w:val="22"/>
        </w:rPr>
        <w:t xml:space="preserve"> shows the distribution of parvovirus B19 antibodies according to gestational age. The highest IgM antibodies (13.3%) and IgG antibodies (31.1%) were observed among pregnant women in their second trimester, followed by those in their first trimester. Those in their third trimester gave the least prevalence (For IgM, P&gt;0.05 while for IgG, P=0.05). </w:t>
      </w:r>
    </w:p>
    <w:p w:rsidR="00E60A93" w:rsidRPr="00944902" w:rsidRDefault="000050D0" w:rsidP="00E60A93">
      <w:pPr>
        <w:spacing w:line="456" w:lineRule="auto"/>
        <w:ind w:firstLine="720"/>
        <w:jc w:val="both"/>
        <w:rPr>
          <w:sz w:val="22"/>
          <w:szCs w:val="22"/>
        </w:rPr>
      </w:pPr>
      <w:r>
        <w:rPr>
          <w:sz w:val="22"/>
          <w:szCs w:val="22"/>
        </w:rPr>
        <w:t>Table 2</w:t>
      </w:r>
      <w:r w:rsidR="00E60A93" w:rsidRPr="00944902">
        <w:rPr>
          <w:sz w:val="22"/>
          <w:szCs w:val="22"/>
        </w:rPr>
        <w:t xml:space="preserve"> shows the distribution of parvovirus B19 antibodies according to history of pregnancy complications (miscarriage and stillbirth). The highest IgM antibodies (20.0%) and IgG antibodies (40.0%) were observed among those who have had history of both miscarriage and still birth. The lowest IgM antibodies (10.5%) and IgG antibodies (22.8%) were observed among pregnant women with no history of pregnancy complications (P&gt;0.05).</w:t>
      </w:r>
    </w:p>
    <w:p w:rsidR="00E60A93" w:rsidRPr="00944902" w:rsidRDefault="00B53D12" w:rsidP="00E60A93">
      <w:pPr>
        <w:spacing w:line="456" w:lineRule="auto"/>
        <w:ind w:firstLine="720"/>
        <w:jc w:val="both"/>
        <w:rPr>
          <w:sz w:val="22"/>
          <w:szCs w:val="22"/>
        </w:rPr>
      </w:pPr>
      <w:r>
        <w:rPr>
          <w:sz w:val="22"/>
          <w:szCs w:val="22"/>
        </w:rPr>
        <w:t xml:space="preserve"> Table 2</w:t>
      </w:r>
      <w:r w:rsidR="00E60A93" w:rsidRPr="00944902">
        <w:rPr>
          <w:sz w:val="22"/>
          <w:szCs w:val="22"/>
        </w:rPr>
        <w:t xml:space="preserve"> shows the distribution of parvovirus B19 antibodies according to the number of children in the household. The highest IgM antibodies (19.5%) and IgG antibodies (42.9%) were observed among those with 5 or more children. The lowest IgM antibodies (10.6%) and IgG antibodies (19.2%) were observed among those with 0-2 children (For IgM, P&gt;0.05, while for IgG, P&lt;0.05).</w:t>
      </w:r>
    </w:p>
    <w:p w:rsidR="00E60A93" w:rsidRPr="00944902" w:rsidRDefault="00E60A93" w:rsidP="00E60A93">
      <w:pPr>
        <w:spacing w:line="456" w:lineRule="auto"/>
        <w:ind w:firstLine="720"/>
        <w:jc w:val="both"/>
        <w:rPr>
          <w:sz w:val="22"/>
          <w:szCs w:val="22"/>
        </w:rPr>
      </w:pPr>
      <w:r w:rsidRPr="00944902">
        <w:rPr>
          <w:sz w:val="22"/>
          <w:szCs w:val="22"/>
        </w:rPr>
        <w:t xml:space="preserve"> Table </w:t>
      </w:r>
      <w:r w:rsidR="00B53D12">
        <w:rPr>
          <w:sz w:val="22"/>
          <w:szCs w:val="22"/>
        </w:rPr>
        <w:t>2</w:t>
      </w:r>
      <w:r w:rsidRPr="00944902">
        <w:rPr>
          <w:sz w:val="22"/>
          <w:szCs w:val="22"/>
        </w:rPr>
        <w:t xml:space="preserve"> shows the distribution of B19 antibodies according to history of blood transfusion. The highest IgM antibodies (23.1%) and IgG antibodies (30.8%) were observed among those who has been transfused with blood at one occasion or another, while the lowest IgM antibodies (26.9%) and IgG antibodies (11.5%) respectively were found among those who have not received blood transfusion (For IgM, P&lt;0.05, while for IgG, P&gt;0.05).</w:t>
      </w:r>
    </w:p>
    <w:p w:rsidR="00E60A93" w:rsidRPr="00944902" w:rsidRDefault="00B53D12" w:rsidP="00E60A93">
      <w:pPr>
        <w:spacing w:line="456" w:lineRule="auto"/>
        <w:ind w:firstLine="720"/>
        <w:jc w:val="both"/>
        <w:rPr>
          <w:sz w:val="22"/>
          <w:szCs w:val="22"/>
        </w:rPr>
      </w:pPr>
      <w:r>
        <w:rPr>
          <w:sz w:val="22"/>
          <w:szCs w:val="22"/>
        </w:rPr>
        <w:t>Table 2</w:t>
      </w:r>
      <w:r w:rsidR="00E60A93" w:rsidRPr="00944902">
        <w:rPr>
          <w:sz w:val="22"/>
          <w:szCs w:val="22"/>
        </w:rPr>
        <w:t xml:space="preserve"> shows the distribution of parvovirus B19 antibodies according to occupation of the subjects. The highest IgM antibodies (26.7%) and IgG antibodies (40.0%) were observed among pregnant women who are housewives. The lowest IgM antibodies (7.4%) and IgG antibodies (24.4%) were observed among those who are civil servants and business women respectively (For IgM, P&lt;0.05, while for IgG, P&gt;0.05).</w:t>
      </w:r>
    </w:p>
    <w:p w:rsidR="00E60A93" w:rsidRPr="00944902" w:rsidRDefault="00E60A93" w:rsidP="00E60A93">
      <w:pPr>
        <w:spacing w:line="456" w:lineRule="auto"/>
        <w:ind w:firstLine="720"/>
        <w:jc w:val="both"/>
        <w:rPr>
          <w:sz w:val="22"/>
          <w:szCs w:val="22"/>
        </w:rPr>
      </w:pPr>
    </w:p>
    <w:p w:rsidR="005B3DC1" w:rsidRDefault="005B3DC1" w:rsidP="00B25363">
      <w:pPr>
        <w:spacing w:line="456" w:lineRule="auto"/>
        <w:ind w:firstLine="720"/>
        <w:jc w:val="both"/>
        <w:rPr>
          <w:sz w:val="22"/>
          <w:szCs w:val="22"/>
        </w:rPr>
      </w:pPr>
    </w:p>
    <w:p w:rsidR="00E60A93" w:rsidRPr="00944902" w:rsidRDefault="005375A9" w:rsidP="00E60A93">
      <w:pPr>
        <w:rPr>
          <w:sz w:val="22"/>
          <w:szCs w:val="22"/>
        </w:rPr>
      </w:pPr>
      <w:r>
        <w:rPr>
          <w:noProof/>
        </w:rPr>
        <w:drawing>
          <wp:inline distT="0" distB="0" distL="0" distR="0">
            <wp:extent cx="5943600" cy="6444824"/>
            <wp:effectExtent l="0" t="0" r="19050"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0A93" w:rsidRPr="00944902" w:rsidRDefault="00E60A93" w:rsidP="00E60A93">
      <w:pPr>
        <w:rPr>
          <w:sz w:val="22"/>
          <w:szCs w:val="22"/>
        </w:rPr>
      </w:pPr>
    </w:p>
    <w:p w:rsidR="00667D4F" w:rsidRPr="00944902" w:rsidRDefault="00667D4F" w:rsidP="00E60A93">
      <w:pPr>
        <w:rPr>
          <w:sz w:val="22"/>
          <w:szCs w:val="22"/>
        </w:rPr>
      </w:pPr>
    </w:p>
    <w:p w:rsidR="00E60A93" w:rsidRDefault="00E60A93" w:rsidP="00E60A93">
      <w:pPr>
        <w:rPr>
          <w:sz w:val="22"/>
          <w:szCs w:val="22"/>
        </w:rPr>
      </w:pPr>
    </w:p>
    <w:p w:rsidR="00AF3BB4" w:rsidRPr="00944902" w:rsidRDefault="00AF3BB4" w:rsidP="00E60A93">
      <w:pPr>
        <w:rPr>
          <w:sz w:val="22"/>
          <w:szCs w:val="22"/>
        </w:rPr>
      </w:pPr>
    </w:p>
    <w:p w:rsidR="00667D4F" w:rsidRPr="00944902" w:rsidRDefault="00667D4F" w:rsidP="00E60A93">
      <w:pPr>
        <w:rPr>
          <w:sz w:val="22"/>
          <w:szCs w:val="22"/>
        </w:rPr>
      </w:pPr>
    </w:p>
    <w:p w:rsidR="00A84E2F" w:rsidRDefault="00A84E2F" w:rsidP="00E60A93">
      <w:pPr>
        <w:rPr>
          <w:sz w:val="22"/>
          <w:szCs w:val="22"/>
        </w:rPr>
      </w:pPr>
    </w:p>
    <w:p w:rsidR="00E51165" w:rsidRPr="00944902" w:rsidRDefault="00E51165" w:rsidP="00E60A93">
      <w:pPr>
        <w:rPr>
          <w:sz w:val="22"/>
          <w:szCs w:val="22"/>
        </w:rPr>
      </w:pPr>
    </w:p>
    <w:p w:rsidR="00E60A93" w:rsidRPr="00944902" w:rsidRDefault="00C85389" w:rsidP="00E60A93">
      <w:pPr>
        <w:jc w:val="both"/>
        <w:rPr>
          <w:sz w:val="22"/>
          <w:szCs w:val="22"/>
        </w:rPr>
      </w:pPr>
      <w:r>
        <w:rPr>
          <w:b/>
          <w:sz w:val="22"/>
          <w:szCs w:val="22"/>
        </w:rPr>
        <w:t>Table 1</w:t>
      </w:r>
      <w:r w:rsidR="00E60A93" w:rsidRPr="00944902">
        <w:rPr>
          <w:b/>
          <w:sz w:val="22"/>
          <w:szCs w:val="22"/>
        </w:rPr>
        <w:t>:</w:t>
      </w:r>
      <w:r w:rsidR="00E60A93" w:rsidRPr="00944902">
        <w:rPr>
          <w:sz w:val="22"/>
          <w:szCs w:val="22"/>
        </w:rPr>
        <w:t xml:space="preserve"> Distribution of Parvovirus B19 IgM antibodies by Risk Factors Among Pregnant</w:t>
      </w:r>
    </w:p>
    <w:p w:rsidR="00644566" w:rsidRDefault="00E60A93" w:rsidP="00E60A93">
      <w:pPr>
        <w:jc w:val="both"/>
        <w:rPr>
          <w:sz w:val="22"/>
          <w:szCs w:val="22"/>
        </w:rPr>
      </w:pPr>
      <w:r w:rsidRPr="00944902">
        <w:rPr>
          <w:sz w:val="22"/>
          <w:szCs w:val="22"/>
        </w:rPr>
        <w:t xml:space="preserve">              Women Attending Ante-natal </w:t>
      </w:r>
      <w:r w:rsidR="00E51165">
        <w:rPr>
          <w:sz w:val="22"/>
          <w:szCs w:val="22"/>
        </w:rPr>
        <w:t>in Nasarawa State,</w:t>
      </w:r>
      <w:r w:rsidR="00B25363" w:rsidRPr="00944902">
        <w:rPr>
          <w:sz w:val="22"/>
          <w:szCs w:val="22"/>
        </w:rPr>
        <w:t xml:space="preserve"> Nigeria.  </w:t>
      </w:r>
    </w:p>
    <w:p w:rsidR="00E60A93" w:rsidRPr="00944902" w:rsidRDefault="00B25363" w:rsidP="00E60A93">
      <w:pPr>
        <w:jc w:val="both"/>
        <w:rPr>
          <w:sz w:val="22"/>
          <w:szCs w:val="22"/>
        </w:rPr>
      </w:pPr>
      <w:r w:rsidRPr="00944902">
        <w:rPr>
          <w:sz w:val="22"/>
          <w:szCs w:val="22"/>
        </w:rPr>
        <w:t xml:space="preserve">                  </w:t>
      </w:r>
      <w:r w:rsidR="00E60A93" w:rsidRPr="00944902">
        <w:rPr>
          <w:sz w:val="22"/>
          <w:szCs w:val="22"/>
        </w:rPr>
        <w:t xml:space="preserve">  </w:t>
      </w:r>
    </w:p>
    <w:tbl>
      <w:tblPr>
        <w:tblStyle w:val="TableGrid"/>
        <w:tblW w:w="10548" w:type="dxa"/>
        <w:tblLayout w:type="fixed"/>
        <w:tblLook w:val="04A0" w:firstRow="1" w:lastRow="0" w:firstColumn="1" w:lastColumn="0" w:noHBand="0" w:noVBand="1"/>
      </w:tblPr>
      <w:tblGrid>
        <w:gridCol w:w="3258"/>
        <w:gridCol w:w="2160"/>
        <w:gridCol w:w="2160"/>
        <w:gridCol w:w="1530"/>
        <w:gridCol w:w="1440"/>
      </w:tblGrid>
      <w:tr w:rsidR="00E60A93" w:rsidRPr="00944902" w:rsidTr="00514473">
        <w:tc>
          <w:tcPr>
            <w:tcW w:w="3258" w:type="dxa"/>
          </w:tcPr>
          <w:p w:rsidR="00E60A93" w:rsidRPr="00944902" w:rsidRDefault="00E60A93" w:rsidP="00514473">
            <w:pPr>
              <w:spacing w:line="480" w:lineRule="auto"/>
              <w:rPr>
                <w:sz w:val="22"/>
                <w:szCs w:val="22"/>
              </w:rPr>
            </w:pPr>
            <w:r w:rsidRPr="00944902">
              <w:rPr>
                <w:b/>
                <w:sz w:val="22"/>
                <w:szCs w:val="22"/>
              </w:rPr>
              <w:t>Risk factor Value</w:t>
            </w:r>
          </w:p>
        </w:tc>
        <w:tc>
          <w:tcPr>
            <w:tcW w:w="2160" w:type="dxa"/>
          </w:tcPr>
          <w:p w:rsidR="00E60A93" w:rsidRPr="00944902" w:rsidRDefault="00E60A93" w:rsidP="00514473">
            <w:pPr>
              <w:spacing w:line="480" w:lineRule="auto"/>
              <w:rPr>
                <w:b/>
                <w:sz w:val="22"/>
                <w:szCs w:val="22"/>
              </w:rPr>
            </w:pPr>
            <w:r w:rsidRPr="00944902">
              <w:rPr>
                <w:b/>
                <w:sz w:val="22"/>
                <w:szCs w:val="22"/>
              </w:rPr>
              <w:t xml:space="preserve">    No Tested</w:t>
            </w:r>
          </w:p>
        </w:tc>
        <w:tc>
          <w:tcPr>
            <w:tcW w:w="2160" w:type="dxa"/>
          </w:tcPr>
          <w:p w:rsidR="00E60A93" w:rsidRPr="00944902" w:rsidRDefault="00E60A93" w:rsidP="00514473">
            <w:pPr>
              <w:spacing w:line="480" w:lineRule="auto"/>
              <w:rPr>
                <w:b/>
                <w:sz w:val="22"/>
                <w:szCs w:val="22"/>
              </w:rPr>
            </w:pPr>
            <w:r w:rsidRPr="00944902">
              <w:rPr>
                <w:b/>
                <w:sz w:val="22"/>
                <w:szCs w:val="22"/>
              </w:rPr>
              <w:t>No Positive (%)</w:t>
            </w:r>
          </w:p>
        </w:tc>
        <w:tc>
          <w:tcPr>
            <w:tcW w:w="1530" w:type="dxa"/>
          </w:tcPr>
          <w:p w:rsidR="00E60A93" w:rsidRPr="00944902" w:rsidRDefault="00E60A93" w:rsidP="00514473">
            <w:pPr>
              <w:spacing w:line="480" w:lineRule="auto"/>
              <w:rPr>
                <w:sz w:val="22"/>
                <w:szCs w:val="22"/>
              </w:rPr>
            </w:pPr>
            <w:r w:rsidRPr="00944902">
              <w:rPr>
                <w:sz w:val="22"/>
                <w:szCs w:val="22"/>
              </w:rPr>
              <w:t xml:space="preserve">      X</w:t>
            </w:r>
            <w:r w:rsidRPr="00944902">
              <w:rPr>
                <w:sz w:val="22"/>
                <w:szCs w:val="22"/>
                <w:vertAlign w:val="superscript"/>
              </w:rPr>
              <w:t>2</w:t>
            </w:r>
          </w:p>
        </w:tc>
        <w:tc>
          <w:tcPr>
            <w:tcW w:w="1440" w:type="dxa"/>
          </w:tcPr>
          <w:p w:rsidR="00E60A93" w:rsidRPr="00944902" w:rsidRDefault="00E60A93" w:rsidP="00514473">
            <w:pPr>
              <w:spacing w:line="480" w:lineRule="auto"/>
              <w:rPr>
                <w:sz w:val="22"/>
                <w:szCs w:val="22"/>
              </w:rPr>
            </w:pPr>
            <w:r w:rsidRPr="00944902">
              <w:rPr>
                <w:sz w:val="22"/>
                <w:szCs w:val="22"/>
              </w:rPr>
              <w:t xml:space="preserve">     P</w:t>
            </w:r>
          </w:p>
        </w:tc>
      </w:tr>
      <w:tr w:rsidR="00E60A93" w:rsidRPr="00944902" w:rsidTr="00514473">
        <w:tc>
          <w:tcPr>
            <w:tcW w:w="3258" w:type="dxa"/>
          </w:tcPr>
          <w:p w:rsidR="00E60A93" w:rsidRPr="00944902" w:rsidRDefault="00E60A93" w:rsidP="00514473">
            <w:pPr>
              <w:spacing w:line="480" w:lineRule="auto"/>
              <w:rPr>
                <w:b/>
                <w:sz w:val="22"/>
                <w:szCs w:val="22"/>
              </w:rPr>
            </w:pPr>
            <w:r w:rsidRPr="00944902">
              <w:rPr>
                <w:b/>
                <w:sz w:val="22"/>
                <w:szCs w:val="22"/>
              </w:rPr>
              <w:t>Gestational Age</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First Trimester</w:t>
            </w:r>
          </w:p>
        </w:tc>
        <w:tc>
          <w:tcPr>
            <w:tcW w:w="2160" w:type="dxa"/>
          </w:tcPr>
          <w:p w:rsidR="00E60A93" w:rsidRPr="00944902" w:rsidRDefault="00E60A93" w:rsidP="00514473">
            <w:pPr>
              <w:spacing w:line="480" w:lineRule="auto"/>
              <w:jc w:val="center"/>
              <w:rPr>
                <w:sz w:val="22"/>
                <w:szCs w:val="22"/>
              </w:rPr>
            </w:pPr>
            <w:r w:rsidRPr="00944902">
              <w:rPr>
                <w:sz w:val="22"/>
                <w:szCs w:val="22"/>
              </w:rPr>
              <w:t>114</w:t>
            </w:r>
          </w:p>
        </w:tc>
        <w:tc>
          <w:tcPr>
            <w:tcW w:w="2160" w:type="dxa"/>
          </w:tcPr>
          <w:p w:rsidR="00E60A93" w:rsidRPr="00944902" w:rsidRDefault="00E60A93" w:rsidP="00514473">
            <w:pPr>
              <w:spacing w:line="480" w:lineRule="auto"/>
              <w:jc w:val="center"/>
              <w:rPr>
                <w:sz w:val="22"/>
                <w:szCs w:val="22"/>
              </w:rPr>
            </w:pPr>
            <w:r w:rsidRPr="00944902">
              <w:rPr>
                <w:sz w:val="22"/>
                <w:szCs w:val="22"/>
              </w:rPr>
              <w:t>15 (13.2%)</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Second Trimester</w:t>
            </w:r>
          </w:p>
        </w:tc>
        <w:tc>
          <w:tcPr>
            <w:tcW w:w="2160" w:type="dxa"/>
          </w:tcPr>
          <w:p w:rsidR="00E60A93" w:rsidRPr="00944902" w:rsidRDefault="00E60A93" w:rsidP="00514473">
            <w:pPr>
              <w:spacing w:line="480" w:lineRule="auto"/>
              <w:jc w:val="center"/>
              <w:rPr>
                <w:sz w:val="22"/>
                <w:szCs w:val="22"/>
              </w:rPr>
            </w:pPr>
            <w:r w:rsidRPr="00944902">
              <w:rPr>
                <w:sz w:val="22"/>
                <w:szCs w:val="22"/>
              </w:rPr>
              <w:t>135</w:t>
            </w:r>
          </w:p>
        </w:tc>
        <w:tc>
          <w:tcPr>
            <w:tcW w:w="2160" w:type="dxa"/>
          </w:tcPr>
          <w:p w:rsidR="00E60A93" w:rsidRPr="00944902" w:rsidRDefault="00E60A93" w:rsidP="00514473">
            <w:pPr>
              <w:spacing w:line="480" w:lineRule="auto"/>
              <w:jc w:val="center"/>
              <w:rPr>
                <w:sz w:val="22"/>
                <w:szCs w:val="22"/>
              </w:rPr>
            </w:pPr>
            <w:r w:rsidRPr="00944902">
              <w:rPr>
                <w:sz w:val="22"/>
                <w:szCs w:val="22"/>
              </w:rPr>
              <w:t>18 (13.3%)</w:t>
            </w:r>
          </w:p>
        </w:tc>
        <w:tc>
          <w:tcPr>
            <w:tcW w:w="1530" w:type="dxa"/>
          </w:tcPr>
          <w:p w:rsidR="00E60A93" w:rsidRPr="00944902" w:rsidRDefault="00E60A93" w:rsidP="00514473">
            <w:pPr>
              <w:spacing w:line="480" w:lineRule="auto"/>
              <w:rPr>
                <w:sz w:val="22"/>
                <w:szCs w:val="22"/>
              </w:rPr>
            </w:pPr>
            <w:r w:rsidRPr="00944902">
              <w:rPr>
                <w:sz w:val="22"/>
                <w:szCs w:val="22"/>
              </w:rPr>
              <w:t xml:space="preserve">     0.03 </w:t>
            </w:r>
          </w:p>
        </w:tc>
        <w:tc>
          <w:tcPr>
            <w:tcW w:w="1440" w:type="dxa"/>
          </w:tcPr>
          <w:p w:rsidR="00E60A93" w:rsidRPr="00944902" w:rsidRDefault="00E60A93" w:rsidP="00514473">
            <w:pPr>
              <w:spacing w:line="480" w:lineRule="auto"/>
              <w:rPr>
                <w:sz w:val="22"/>
                <w:szCs w:val="22"/>
              </w:rPr>
            </w:pPr>
            <w:r w:rsidRPr="00944902">
              <w:rPr>
                <w:sz w:val="22"/>
                <w:szCs w:val="22"/>
              </w:rPr>
              <w:t xml:space="preserve">    &gt;0.05 </w:t>
            </w:r>
          </w:p>
        </w:tc>
      </w:tr>
      <w:tr w:rsidR="00E60A93" w:rsidRPr="00944902" w:rsidTr="00514473">
        <w:tc>
          <w:tcPr>
            <w:tcW w:w="3258" w:type="dxa"/>
          </w:tcPr>
          <w:p w:rsidR="00E60A93" w:rsidRPr="00944902" w:rsidRDefault="00E60A93" w:rsidP="00514473">
            <w:pPr>
              <w:spacing w:line="480" w:lineRule="auto"/>
              <w:ind w:left="720" w:hanging="720"/>
              <w:rPr>
                <w:sz w:val="22"/>
                <w:szCs w:val="22"/>
              </w:rPr>
            </w:pPr>
            <w:r w:rsidRPr="00944902">
              <w:rPr>
                <w:sz w:val="22"/>
                <w:szCs w:val="22"/>
              </w:rPr>
              <w:t>Third Trimester</w:t>
            </w:r>
          </w:p>
        </w:tc>
        <w:tc>
          <w:tcPr>
            <w:tcW w:w="2160" w:type="dxa"/>
          </w:tcPr>
          <w:p w:rsidR="00E60A93" w:rsidRPr="00944902" w:rsidRDefault="00E60A93" w:rsidP="00514473">
            <w:pPr>
              <w:spacing w:line="480" w:lineRule="auto"/>
              <w:jc w:val="center"/>
              <w:rPr>
                <w:sz w:val="22"/>
                <w:szCs w:val="22"/>
              </w:rPr>
            </w:pPr>
            <w:r w:rsidRPr="00944902">
              <w:rPr>
                <w:sz w:val="22"/>
                <w:szCs w:val="22"/>
              </w:rPr>
              <w:t>24</w:t>
            </w:r>
          </w:p>
        </w:tc>
        <w:tc>
          <w:tcPr>
            <w:tcW w:w="2160" w:type="dxa"/>
          </w:tcPr>
          <w:p w:rsidR="00E60A93" w:rsidRPr="00944902" w:rsidRDefault="00E60A93" w:rsidP="00514473">
            <w:pPr>
              <w:spacing w:line="480" w:lineRule="auto"/>
              <w:jc w:val="center"/>
              <w:rPr>
                <w:sz w:val="22"/>
                <w:szCs w:val="22"/>
              </w:rPr>
            </w:pPr>
            <w:r w:rsidRPr="00944902">
              <w:rPr>
                <w:sz w:val="22"/>
                <w:szCs w:val="22"/>
              </w:rPr>
              <w:t xml:space="preserve"> 3 (12.5%)</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b/>
                <w:sz w:val="22"/>
                <w:szCs w:val="22"/>
              </w:rPr>
            </w:pPr>
            <w:r w:rsidRPr="00944902">
              <w:rPr>
                <w:b/>
                <w:sz w:val="22"/>
                <w:szCs w:val="22"/>
              </w:rPr>
              <w:t>History of Complication</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r w:rsidRPr="00944902">
              <w:rPr>
                <w:sz w:val="22"/>
                <w:szCs w:val="22"/>
              </w:rPr>
              <w:t xml:space="preserve"> </w:t>
            </w: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Miscarriage</w:t>
            </w:r>
          </w:p>
        </w:tc>
        <w:tc>
          <w:tcPr>
            <w:tcW w:w="2160" w:type="dxa"/>
          </w:tcPr>
          <w:p w:rsidR="00E60A93" w:rsidRPr="00944902" w:rsidRDefault="00E60A93" w:rsidP="00514473">
            <w:pPr>
              <w:spacing w:line="480" w:lineRule="auto"/>
              <w:jc w:val="center"/>
              <w:rPr>
                <w:sz w:val="22"/>
                <w:szCs w:val="22"/>
              </w:rPr>
            </w:pPr>
            <w:r w:rsidRPr="00944902">
              <w:rPr>
                <w:sz w:val="22"/>
                <w:szCs w:val="22"/>
              </w:rPr>
              <w:t>54</w:t>
            </w:r>
          </w:p>
        </w:tc>
        <w:tc>
          <w:tcPr>
            <w:tcW w:w="2160" w:type="dxa"/>
          </w:tcPr>
          <w:p w:rsidR="00E60A93" w:rsidRPr="00944902" w:rsidRDefault="00E60A93" w:rsidP="00514473">
            <w:pPr>
              <w:spacing w:line="480" w:lineRule="auto"/>
              <w:jc w:val="center"/>
              <w:rPr>
                <w:sz w:val="22"/>
                <w:szCs w:val="22"/>
              </w:rPr>
            </w:pPr>
            <w:r w:rsidRPr="00944902">
              <w:rPr>
                <w:sz w:val="22"/>
                <w:szCs w:val="22"/>
              </w:rPr>
              <w:t>9 (16.7%)</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Still Birth</w:t>
            </w:r>
          </w:p>
        </w:tc>
        <w:tc>
          <w:tcPr>
            <w:tcW w:w="2160" w:type="dxa"/>
          </w:tcPr>
          <w:p w:rsidR="00E60A93" w:rsidRPr="00944902" w:rsidRDefault="00E60A93" w:rsidP="00514473">
            <w:pPr>
              <w:spacing w:line="480" w:lineRule="auto"/>
              <w:jc w:val="center"/>
              <w:rPr>
                <w:sz w:val="22"/>
                <w:szCs w:val="22"/>
              </w:rPr>
            </w:pPr>
            <w:r w:rsidRPr="00944902">
              <w:rPr>
                <w:sz w:val="22"/>
                <w:szCs w:val="22"/>
              </w:rPr>
              <w:t>33</w:t>
            </w:r>
          </w:p>
        </w:tc>
        <w:tc>
          <w:tcPr>
            <w:tcW w:w="2160" w:type="dxa"/>
          </w:tcPr>
          <w:p w:rsidR="00E60A93" w:rsidRPr="00944902" w:rsidRDefault="00E60A93" w:rsidP="00514473">
            <w:pPr>
              <w:spacing w:line="480" w:lineRule="auto"/>
              <w:jc w:val="center"/>
              <w:rPr>
                <w:sz w:val="22"/>
                <w:szCs w:val="22"/>
              </w:rPr>
            </w:pPr>
            <w:r w:rsidRPr="00944902">
              <w:rPr>
                <w:sz w:val="22"/>
                <w:szCs w:val="22"/>
              </w:rPr>
              <w:t>6 (18.2%)</w:t>
            </w:r>
          </w:p>
        </w:tc>
        <w:tc>
          <w:tcPr>
            <w:tcW w:w="1530" w:type="dxa"/>
          </w:tcPr>
          <w:p w:rsidR="00E60A93" w:rsidRPr="00944902" w:rsidRDefault="00E60A93" w:rsidP="00514473">
            <w:pPr>
              <w:spacing w:line="480" w:lineRule="auto"/>
              <w:rPr>
                <w:sz w:val="22"/>
                <w:szCs w:val="22"/>
              </w:rPr>
            </w:pPr>
            <w:r w:rsidRPr="00944902">
              <w:rPr>
                <w:sz w:val="22"/>
                <w:szCs w:val="22"/>
              </w:rPr>
              <w:t xml:space="preserve">     5.93 </w:t>
            </w:r>
          </w:p>
        </w:tc>
        <w:tc>
          <w:tcPr>
            <w:tcW w:w="1440" w:type="dxa"/>
          </w:tcPr>
          <w:p w:rsidR="00E60A93" w:rsidRPr="00944902" w:rsidRDefault="00E60A93" w:rsidP="00514473">
            <w:pPr>
              <w:spacing w:line="480" w:lineRule="auto"/>
              <w:rPr>
                <w:sz w:val="22"/>
                <w:szCs w:val="22"/>
              </w:rPr>
            </w:pPr>
            <w:r w:rsidRPr="00944902">
              <w:rPr>
                <w:sz w:val="22"/>
                <w:szCs w:val="22"/>
              </w:rPr>
              <w:t xml:space="preserve">    &gt;0.05 </w:t>
            </w: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Both</w:t>
            </w:r>
          </w:p>
        </w:tc>
        <w:tc>
          <w:tcPr>
            <w:tcW w:w="2160" w:type="dxa"/>
          </w:tcPr>
          <w:p w:rsidR="00E60A93" w:rsidRPr="00944902" w:rsidRDefault="00E60A93" w:rsidP="00514473">
            <w:pPr>
              <w:spacing w:line="480" w:lineRule="auto"/>
              <w:jc w:val="center"/>
              <w:rPr>
                <w:sz w:val="22"/>
                <w:szCs w:val="22"/>
              </w:rPr>
            </w:pPr>
            <w:r w:rsidRPr="00944902">
              <w:rPr>
                <w:sz w:val="22"/>
                <w:szCs w:val="22"/>
              </w:rPr>
              <w:t>15</w:t>
            </w:r>
          </w:p>
        </w:tc>
        <w:tc>
          <w:tcPr>
            <w:tcW w:w="2160" w:type="dxa"/>
          </w:tcPr>
          <w:p w:rsidR="00E60A93" w:rsidRPr="00944902" w:rsidRDefault="00E60A93" w:rsidP="00514473">
            <w:pPr>
              <w:spacing w:line="480" w:lineRule="auto"/>
              <w:jc w:val="center"/>
              <w:rPr>
                <w:sz w:val="22"/>
                <w:szCs w:val="22"/>
              </w:rPr>
            </w:pPr>
            <w:r w:rsidRPr="00944902">
              <w:rPr>
                <w:sz w:val="22"/>
                <w:szCs w:val="22"/>
              </w:rPr>
              <w:t>3 (20.0%)</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None</w:t>
            </w:r>
          </w:p>
        </w:tc>
        <w:tc>
          <w:tcPr>
            <w:tcW w:w="2160" w:type="dxa"/>
          </w:tcPr>
          <w:p w:rsidR="00E60A93" w:rsidRPr="00944902" w:rsidRDefault="00E60A93" w:rsidP="00514473">
            <w:pPr>
              <w:spacing w:line="480" w:lineRule="auto"/>
              <w:jc w:val="center"/>
              <w:rPr>
                <w:sz w:val="22"/>
                <w:szCs w:val="22"/>
              </w:rPr>
            </w:pPr>
            <w:r w:rsidRPr="00944902">
              <w:rPr>
                <w:sz w:val="22"/>
                <w:szCs w:val="22"/>
              </w:rPr>
              <w:t>171</w:t>
            </w:r>
          </w:p>
        </w:tc>
        <w:tc>
          <w:tcPr>
            <w:tcW w:w="2160" w:type="dxa"/>
          </w:tcPr>
          <w:p w:rsidR="00E60A93" w:rsidRPr="00944902" w:rsidRDefault="00E60A93" w:rsidP="00514473">
            <w:pPr>
              <w:spacing w:line="480" w:lineRule="auto"/>
              <w:jc w:val="center"/>
              <w:rPr>
                <w:sz w:val="22"/>
                <w:szCs w:val="22"/>
              </w:rPr>
            </w:pPr>
            <w:r w:rsidRPr="00944902">
              <w:rPr>
                <w:sz w:val="22"/>
                <w:szCs w:val="22"/>
              </w:rPr>
              <w:t>18 (10.5%)</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b/>
                <w:sz w:val="22"/>
                <w:szCs w:val="22"/>
              </w:rPr>
            </w:pPr>
            <w:r w:rsidRPr="00944902">
              <w:rPr>
                <w:b/>
                <w:sz w:val="22"/>
                <w:szCs w:val="22"/>
              </w:rPr>
              <w:t>No of Children in Household</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0-2</w:t>
            </w:r>
          </w:p>
        </w:tc>
        <w:tc>
          <w:tcPr>
            <w:tcW w:w="2160" w:type="dxa"/>
          </w:tcPr>
          <w:p w:rsidR="00E60A93" w:rsidRPr="00944902" w:rsidRDefault="00E60A93" w:rsidP="00514473">
            <w:pPr>
              <w:tabs>
                <w:tab w:val="left" w:pos="837"/>
                <w:tab w:val="center" w:pos="1047"/>
              </w:tabs>
              <w:spacing w:line="480" w:lineRule="auto"/>
              <w:rPr>
                <w:sz w:val="22"/>
                <w:szCs w:val="22"/>
              </w:rPr>
            </w:pPr>
            <w:r w:rsidRPr="00944902">
              <w:rPr>
                <w:sz w:val="22"/>
                <w:szCs w:val="22"/>
              </w:rPr>
              <w:tab/>
            </w:r>
            <w:r w:rsidRPr="00944902">
              <w:rPr>
                <w:sz w:val="22"/>
                <w:szCs w:val="22"/>
              </w:rPr>
              <w:tab/>
              <w:t>141</w:t>
            </w:r>
          </w:p>
        </w:tc>
        <w:tc>
          <w:tcPr>
            <w:tcW w:w="2160" w:type="dxa"/>
          </w:tcPr>
          <w:p w:rsidR="00E60A93" w:rsidRPr="00944902" w:rsidRDefault="00E60A93" w:rsidP="00514473">
            <w:pPr>
              <w:spacing w:line="480" w:lineRule="auto"/>
              <w:jc w:val="center"/>
              <w:rPr>
                <w:sz w:val="22"/>
                <w:szCs w:val="22"/>
              </w:rPr>
            </w:pPr>
            <w:r w:rsidRPr="00944902">
              <w:rPr>
                <w:sz w:val="22"/>
                <w:szCs w:val="22"/>
              </w:rPr>
              <w:t>15 (10.6%)</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3-4</w:t>
            </w:r>
          </w:p>
        </w:tc>
        <w:tc>
          <w:tcPr>
            <w:tcW w:w="2160" w:type="dxa"/>
          </w:tcPr>
          <w:p w:rsidR="00E60A93" w:rsidRPr="00944902" w:rsidRDefault="00E60A93" w:rsidP="00514473">
            <w:pPr>
              <w:spacing w:line="480" w:lineRule="auto"/>
              <w:jc w:val="center"/>
              <w:rPr>
                <w:sz w:val="22"/>
                <w:szCs w:val="22"/>
              </w:rPr>
            </w:pPr>
            <w:r w:rsidRPr="00944902">
              <w:rPr>
                <w:sz w:val="22"/>
                <w:szCs w:val="22"/>
              </w:rPr>
              <w:t>69</w:t>
            </w:r>
          </w:p>
        </w:tc>
        <w:tc>
          <w:tcPr>
            <w:tcW w:w="2160" w:type="dxa"/>
          </w:tcPr>
          <w:p w:rsidR="00E60A93" w:rsidRPr="00944902" w:rsidRDefault="00E60A93" w:rsidP="00514473">
            <w:pPr>
              <w:spacing w:line="480" w:lineRule="auto"/>
              <w:jc w:val="center"/>
              <w:rPr>
                <w:sz w:val="22"/>
                <w:szCs w:val="22"/>
              </w:rPr>
            </w:pPr>
            <w:r w:rsidRPr="00944902">
              <w:rPr>
                <w:sz w:val="22"/>
                <w:szCs w:val="22"/>
              </w:rPr>
              <w:t>9 (13.0%)</w:t>
            </w:r>
          </w:p>
        </w:tc>
        <w:tc>
          <w:tcPr>
            <w:tcW w:w="1530" w:type="dxa"/>
          </w:tcPr>
          <w:p w:rsidR="00E60A93" w:rsidRPr="00944902" w:rsidRDefault="00E60A93" w:rsidP="00514473">
            <w:pPr>
              <w:spacing w:line="480" w:lineRule="auto"/>
              <w:rPr>
                <w:sz w:val="22"/>
                <w:szCs w:val="22"/>
              </w:rPr>
            </w:pPr>
            <w:r w:rsidRPr="00944902">
              <w:rPr>
                <w:sz w:val="22"/>
                <w:szCs w:val="22"/>
              </w:rPr>
              <w:t xml:space="preserve">     5.02 </w:t>
            </w:r>
          </w:p>
        </w:tc>
        <w:tc>
          <w:tcPr>
            <w:tcW w:w="1440" w:type="dxa"/>
          </w:tcPr>
          <w:p w:rsidR="00E60A93" w:rsidRPr="00944902" w:rsidRDefault="00E60A93" w:rsidP="00514473">
            <w:pPr>
              <w:spacing w:line="480" w:lineRule="auto"/>
              <w:rPr>
                <w:sz w:val="22"/>
                <w:szCs w:val="22"/>
              </w:rPr>
            </w:pPr>
            <w:r w:rsidRPr="00944902">
              <w:rPr>
                <w:sz w:val="22"/>
                <w:szCs w:val="22"/>
              </w:rPr>
              <w:t xml:space="preserve">    &gt;0.05 </w:t>
            </w: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5 or more</w:t>
            </w:r>
          </w:p>
        </w:tc>
        <w:tc>
          <w:tcPr>
            <w:tcW w:w="2160" w:type="dxa"/>
          </w:tcPr>
          <w:p w:rsidR="00E60A93" w:rsidRPr="00944902" w:rsidRDefault="00E60A93" w:rsidP="00514473">
            <w:pPr>
              <w:spacing w:line="480" w:lineRule="auto"/>
              <w:jc w:val="center"/>
              <w:rPr>
                <w:sz w:val="22"/>
                <w:szCs w:val="22"/>
              </w:rPr>
            </w:pPr>
            <w:r w:rsidRPr="00944902">
              <w:rPr>
                <w:sz w:val="22"/>
                <w:szCs w:val="22"/>
              </w:rPr>
              <w:t>63</w:t>
            </w:r>
          </w:p>
        </w:tc>
        <w:tc>
          <w:tcPr>
            <w:tcW w:w="2160" w:type="dxa"/>
          </w:tcPr>
          <w:p w:rsidR="00E60A93" w:rsidRPr="00944902" w:rsidRDefault="00E60A93" w:rsidP="00514473">
            <w:pPr>
              <w:spacing w:line="480" w:lineRule="auto"/>
              <w:jc w:val="center"/>
              <w:rPr>
                <w:sz w:val="22"/>
                <w:szCs w:val="22"/>
              </w:rPr>
            </w:pPr>
            <w:r w:rsidRPr="00944902">
              <w:rPr>
                <w:sz w:val="22"/>
                <w:szCs w:val="22"/>
              </w:rPr>
              <w:t>12 (19.0%)</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b/>
                <w:sz w:val="22"/>
                <w:szCs w:val="22"/>
              </w:rPr>
            </w:pPr>
            <w:r w:rsidRPr="00944902">
              <w:rPr>
                <w:b/>
                <w:sz w:val="22"/>
                <w:szCs w:val="22"/>
              </w:rPr>
              <w:t>History of Blood Transfusion</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 xml:space="preserve">                       Yes</w:t>
            </w:r>
          </w:p>
        </w:tc>
        <w:tc>
          <w:tcPr>
            <w:tcW w:w="2160" w:type="dxa"/>
          </w:tcPr>
          <w:p w:rsidR="00E60A93" w:rsidRPr="00944902" w:rsidRDefault="00E60A93" w:rsidP="00514473">
            <w:pPr>
              <w:spacing w:line="480" w:lineRule="auto"/>
              <w:jc w:val="center"/>
              <w:rPr>
                <w:sz w:val="22"/>
                <w:szCs w:val="22"/>
              </w:rPr>
            </w:pPr>
            <w:r w:rsidRPr="00944902">
              <w:rPr>
                <w:sz w:val="22"/>
                <w:szCs w:val="22"/>
              </w:rPr>
              <w:t>39</w:t>
            </w:r>
          </w:p>
        </w:tc>
        <w:tc>
          <w:tcPr>
            <w:tcW w:w="2160" w:type="dxa"/>
          </w:tcPr>
          <w:p w:rsidR="00E60A93" w:rsidRPr="00944902" w:rsidRDefault="00E60A93" w:rsidP="00514473">
            <w:pPr>
              <w:spacing w:line="480" w:lineRule="auto"/>
              <w:jc w:val="center"/>
              <w:rPr>
                <w:sz w:val="22"/>
                <w:szCs w:val="22"/>
              </w:rPr>
            </w:pPr>
            <w:r w:rsidRPr="00944902">
              <w:rPr>
                <w:sz w:val="22"/>
                <w:szCs w:val="22"/>
              </w:rPr>
              <w:t>9 (23.1%)</w:t>
            </w:r>
          </w:p>
        </w:tc>
        <w:tc>
          <w:tcPr>
            <w:tcW w:w="1530" w:type="dxa"/>
          </w:tcPr>
          <w:p w:rsidR="00E60A93" w:rsidRPr="00944902" w:rsidRDefault="00E60A93" w:rsidP="00514473">
            <w:pPr>
              <w:spacing w:line="480" w:lineRule="auto"/>
              <w:rPr>
                <w:sz w:val="22"/>
                <w:szCs w:val="22"/>
              </w:rPr>
            </w:pPr>
            <w:r w:rsidRPr="00944902">
              <w:rPr>
                <w:sz w:val="22"/>
                <w:szCs w:val="22"/>
              </w:rPr>
              <w:t xml:space="preserve">     5.57 </w:t>
            </w:r>
          </w:p>
        </w:tc>
        <w:tc>
          <w:tcPr>
            <w:tcW w:w="1440" w:type="dxa"/>
          </w:tcPr>
          <w:p w:rsidR="00E60A93" w:rsidRPr="00944902" w:rsidRDefault="00E60A93" w:rsidP="00514473">
            <w:pPr>
              <w:spacing w:line="480" w:lineRule="auto"/>
              <w:rPr>
                <w:sz w:val="22"/>
                <w:szCs w:val="22"/>
              </w:rPr>
            </w:pPr>
            <w:r w:rsidRPr="00944902">
              <w:rPr>
                <w:sz w:val="22"/>
                <w:szCs w:val="22"/>
              </w:rPr>
              <w:t xml:space="preserve">     &lt;0.05 </w:t>
            </w:r>
          </w:p>
        </w:tc>
      </w:tr>
      <w:tr w:rsidR="00E60A93" w:rsidRPr="00944902" w:rsidTr="00514473">
        <w:tc>
          <w:tcPr>
            <w:tcW w:w="3258" w:type="dxa"/>
          </w:tcPr>
          <w:p w:rsidR="00E60A93" w:rsidRPr="00944902" w:rsidRDefault="00E60A93" w:rsidP="00514473">
            <w:pPr>
              <w:spacing w:line="480" w:lineRule="auto"/>
              <w:rPr>
                <w:sz w:val="22"/>
                <w:szCs w:val="22"/>
              </w:rPr>
            </w:pPr>
            <w:r w:rsidRPr="00944902">
              <w:rPr>
                <w:sz w:val="22"/>
                <w:szCs w:val="22"/>
              </w:rPr>
              <w:t xml:space="preserve">                       No</w:t>
            </w:r>
          </w:p>
        </w:tc>
        <w:tc>
          <w:tcPr>
            <w:tcW w:w="2160" w:type="dxa"/>
          </w:tcPr>
          <w:p w:rsidR="00E60A93" w:rsidRPr="00944902" w:rsidRDefault="00E60A93" w:rsidP="00514473">
            <w:pPr>
              <w:spacing w:line="480" w:lineRule="auto"/>
              <w:jc w:val="center"/>
              <w:rPr>
                <w:sz w:val="22"/>
                <w:szCs w:val="22"/>
              </w:rPr>
            </w:pPr>
            <w:r w:rsidRPr="00944902">
              <w:rPr>
                <w:sz w:val="22"/>
                <w:szCs w:val="22"/>
              </w:rPr>
              <w:t>234</w:t>
            </w:r>
          </w:p>
        </w:tc>
        <w:tc>
          <w:tcPr>
            <w:tcW w:w="2160" w:type="dxa"/>
          </w:tcPr>
          <w:p w:rsidR="00E60A93" w:rsidRPr="00944902" w:rsidRDefault="00E60A93" w:rsidP="00514473">
            <w:pPr>
              <w:spacing w:line="480" w:lineRule="auto"/>
              <w:jc w:val="center"/>
              <w:rPr>
                <w:sz w:val="22"/>
                <w:szCs w:val="22"/>
              </w:rPr>
            </w:pPr>
            <w:r w:rsidRPr="00944902">
              <w:rPr>
                <w:sz w:val="22"/>
                <w:szCs w:val="22"/>
              </w:rPr>
              <w:t>27 (11.5%)</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rPr>
                <w:b/>
                <w:sz w:val="22"/>
                <w:szCs w:val="22"/>
              </w:rPr>
            </w:pPr>
            <w:r w:rsidRPr="00944902">
              <w:rPr>
                <w:b/>
                <w:sz w:val="22"/>
                <w:szCs w:val="22"/>
              </w:rPr>
              <w:t xml:space="preserve">                Occupation</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Students</w:t>
            </w:r>
          </w:p>
        </w:tc>
        <w:tc>
          <w:tcPr>
            <w:tcW w:w="2160" w:type="dxa"/>
          </w:tcPr>
          <w:p w:rsidR="00E60A93" w:rsidRPr="00944902" w:rsidRDefault="00E60A93" w:rsidP="00514473">
            <w:pPr>
              <w:spacing w:line="480" w:lineRule="auto"/>
              <w:jc w:val="center"/>
              <w:rPr>
                <w:sz w:val="22"/>
                <w:szCs w:val="22"/>
              </w:rPr>
            </w:pPr>
            <w:r w:rsidRPr="00944902">
              <w:rPr>
                <w:sz w:val="22"/>
                <w:szCs w:val="22"/>
              </w:rPr>
              <w:t>12</w:t>
            </w:r>
          </w:p>
        </w:tc>
        <w:tc>
          <w:tcPr>
            <w:tcW w:w="2160" w:type="dxa"/>
          </w:tcPr>
          <w:p w:rsidR="00E60A93" w:rsidRPr="00944902" w:rsidRDefault="00E60A93" w:rsidP="00514473">
            <w:pPr>
              <w:spacing w:line="480" w:lineRule="auto"/>
              <w:jc w:val="center"/>
              <w:rPr>
                <w:sz w:val="22"/>
                <w:szCs w:val="22"/>
              </w:rPr>
            </w:pPr>
            <w:r w:rsidRPr="00944902">
              <w:rPr>
                <w:sz w:val="22"/>
                <w:szCs w:val="22"/>
              </w:rPr>
              <w:t>3 (25.0%)</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Business</w:t>
            </w:r>
          </w:p>
        </w:tc>
        <w:tc>
          <w:tcPr>
            <w:tcW w:w="2160" w:type="dxa"/>
          </w:tcPr>
          <w:p w:rsidR="00E60A93" w:rsidRPr="00944902" w:rsidRDefault="00E60A93" w:rsidP="00514473">
            <w:pPr>
              <w:spacing w:line="480" w:lineRule="auto"/>
              <w:jc w:val="center"/>
              <w:rPr>
                <w:sz w:val="22"/>
                <w:szCs w:val="22"/>
              </w:rPr>
            </w:pPr>
            <w:r w:rsidRPr="00944902">
              <w:rPr>
                <w:sz w:val="22"/>
                <w:szCs w:val="22"/>
              </w:rPr>
              <w:t>135</w:t>
            </w:r>
          </w:p>
        </w:tc>
        <w:tc>
          <w:tcPr>
            <w:tcW w:w="2160" w:type="dxa"/>
          </w:tcPr>
          <w:p w:rsidR="00E60A93" w:rsidRPr="00944902" w:rsidRDefault="00E60A93" w:rsidP="00514473">
            <w:pPr>
              <w:spacing w:line="480" w:lineRule="auto"/>
              <w:jc w:val="center"/>
              <w:rPr>
                <w:sz w:val="22"/>
                <w:szCs w:val="22"/>
              </w:rPr>
            </w:pPr>
            <w:r w:rsidRPr="00944902">
              <w:rPr>
                <w:sz w:val="22"/>
                <w:szCs w:val="22"/>
              </w:rPr>
              <w:t>15 (11.1%)</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Civil Servants</w:t>
            </w:r>
          </w:p>
        </w:tc>
        <w:tc>
          <w:tcPr>
            <w:tcW w:w="2160" w:type="dxa"/>
          </w:tcPr>
          <w:p w:rsidR="00E60A93" w:rsidRPr="00944902" w:rsidRDefault="00E60A93" w:rsidP="00514473">
            <w:pPr>
              <w:spacing w:line="480" w:lineRule="auto"/>
              <w:jc w:val="center"/>
              <w:rPr>
                <w:sz w:val="22"/>
                <w:szCs w:val="22"/>
              </w:rPr>
            </w:pPr>
            <w:r w:rsidRPr="00944902">
              <w:rPr>
                <w:sz w:val="22"/>
                <w:szCs w:val="22"/>
              </w:rPr>
              <w:t>81</w:t>
            </w:r>
          </w:p>
        </w:tc>
        <w:tc>
          <w:tcPr>
            <w:tcW w:w="2160" w:type="dxa"/>
          </w:tcPr>
          <w:p w:rsidR="00E60A93" w:rsidRPr="00944902" w:rsidRDefault="00E60A93" w:rsidP="00514473">
            <w:pPr>
              <w:spacing w:line="480" w:lineRule="auto"/>
              <w:jc w:val="center"/>
              <w:rPr>
                <w:sz w:val="22"/>
                <w:szCs w:val="22"/>
              </w:rPr>
            </w:pPr>
            <w:r w:rsidRPr="00944902">
              <w:rPr>
                <w:sz w:val="22"/>
                <w:szCs w:val="22"/>
              </w:rPr>
              <w:t xml:space="preserve">    6 (07.4%)</w:t>
            </w:r>
          </w:p>
        </w:tc>
        <w:tc>
          <w:tcPr>
            <w:tcW w:w="1530" w:type="dxa"/>
          </w:tcPr>
          <w:p w:rsidR="00E60A93" w:rsidRPr="00944902" w:rsidRDefault="00E60A93" w:rsidP="00514473">
            <w:pPr>
              <w:spacing w:line="480" w:lineRule="auto"/>
              <w:rPr>
                <w:sz w:val="22"/>
                <w:szCs w:val="22"/>
              </w:rPr>
            </w:pPr>
            <w:r w:rsidRPr="00944902">
              <w:rPr>
                <w:sz w:val="22"/>
                <w:szCs w:val="22"/>
              </w:rPr>
              <w:t xml:space="preserve">     19.99 </w:t>
            </w:r>
          </w:p>
        </w:tc>
        <w:tc>
          <w:tcPr>
            <w:tcW w:w="1440" w:type="dxa"/>
          </w:tcPr>
          <w:p w:rsidR="00E60A93" w:rsidRPr="00944902" w:rsidRDefault="00E60A93" w:rsidP="00514473">
            <w:pPr>
              <w:spacing w:line="480" w:lineRule="auto"/>
              <w:rPr>
                <w:sz w:val="22"/>
                <w:szCs w:val="22"/>
              </w:rPr>
            </w:pPr>
            <w:r w:rsidRPr="00944902">
              <w:rPr>
                <w:sz w:val="22"/>
                <w:szCs w:val="22"/>
              </w:rPr>
              <w:t xml:space="preserve">     &lt; 0.05 </w:t>
            </w: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House wife</w:t>
            </w:r>
          </w:p>
        </w:tc>
        <w:tc>
          <w:tcPr>
            <w:tcW w:w="2160" w:type="dxa"/>
          </w:tcPr>
          <w:p w:rsidR="00E60A93" w:rsidRPr="00944902" w:rsidRDefault="00E60A93" w:rsidP="00514473">
            <w:pPr>
              <w:spacing w:line="480" w:lineRule="auto"/>
              <w:jc w:val="center"/>
              <w:rPr>
                <w:sz w:val="22"/>
                <w:szCs w:val="22"/>
              </w:rPr>
            </w:pPr>
            <w:r w:rsidRPr="00944902">
              <w:rPr>
                <w:sz w:val="22"/>
                <w:szCs w:val="22"/>
              </w:rPr>
              <w:t>45</w:t>
            </w:r>
          </w:p>
        </w:tc>
        <w:tc>
          <w:tcPr>
            <w:tcW w:w="2160" w:type="dxa"/>
          </w:tcPr>
          <w:p w:rsidR="00E60A93" w:rsidRPr="00944902" w:rsidRDefault="00E60A93" w:rsidP="00514473">
            <w:pPr>
              <w:spacing w:line="480" w:lineRule="auto"/>
              <w:jc w:val="center"/>
              <w:rPr>
                <w:sz w:val="22"/>
                <w:szCs w:val="22"/>
              </w:rPr>
            </w:pPr>
            <w:r w:rsidRPr="00944902">
              <w:rPr>
                <w:sz w:val="22"/>
                <w:szCs w:val="22"/>
              </w:rPr>
              <w:t>12 (26.7%)</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bl>
    <w:p w:rsidR="00983155" w:rsidRPr="00944902" w:rsidRDefault="00983155" w:rsidP="00983155">
      <w:pPr>
        <w:rPr>
          <w:b/>
          <w:sz w:val="22"/>
          <w:szCs w:val="22"/>
        </w:rPr>
      </w:pPr>
      <w:r w:rsidRPr="00944902">
        <w:rPr>
          <w:b/>
          <w:sz w:val="22"/>
          <w:szCs w:val="22"/>
        </w:rPr>
        <w:t xml:space="preserve">               </w:t>
      </w:r>
    </w:p>
    <w:p w:rsidR="00E60A93" w:rsidRPr="00944902" w:rsidRDefault="00C85389" w:rsidP="00E60A93">
      <w:pPr>
        <w:jc w:val="both"/>
        <w:rPr>
          <w:sz w:val="22"/>
          <w:szCs w:val="22"/>
        </w:rPr>
      </w:pPr>
      <w:r>
        <w:rPr>
          <w:b/>
          <w:sz w:val="22"/>
          <w:szCs w:val="22"/>
        </w:rPr>
        <w:t>Table 2</w:t>
      </w:r>
      <w:r w:rsidR="00E60A93" w:rsidRPr="00944902">
        <w:rPr>
          <w:b/>
          <w:sz w:val="22"/>
          <w:szCs w:val="22"/>
        </w:rPr>
        <w:t>:</w:t>
      </w:r>
      <w:r w:rsidR="00E60A93" w:rsidRPr="00944902">
        <w:rPr>
          <w:sz w:val="22"/>
          <w:szCs w:val="22"/>
        </w:rPr>
        <w:t xml:space="preserve"> Distribution of Parvovirus B19 IgG antibodies by Risk Factors Among Pregnant</w:t>
      </w:r>
    </w:p>
    <w:p w:rsidR="00E60A93" w:rsidRPr="00944902" w:rsidRDefault="00E60A93" w:rsidP="00E60A93">
      <w:pPr>
        <w:jc w:val="both"/>
        <w:rPr>
          <w:sz w:val="22"/>
          <w:szCs w:val="22"/>
        </w:rPr>
      </w:pPr>
      <w:r w:rsidRPr="00944902">
        <w:rPr>
          <w:sz w:val="22"/>
          <w:szCs w:val="22"/>
        </w:rPr>
        <w:t xml:space="preserve">              Women At</w:t>
      </w:r>
      <w:r w:rsidR="00B25363" w:rsidRPr="00944902">
        <w:rPr>
          <w:sz w:val="22"/>
          <w:szCs w:val="22"/>
        </w:rPr>
        <w:t xml:space="preserve">tending Ante-natal </w:t>
      </w:r>
      <w:r w:rsidR="00E51165">
        <w:rPr>
          <w:sz w:val="22"/>
          <w:szCs w:val="22"/>
        </w:rPr>
        <w:t>Nasarawa State,</w:t>
      </w:r>
      <w:r w:rsidR="00E51165" w:rsidRPr="00944902">
        <w:rPr>
          <w:sz w:val="22"/>
          <w:szCs w:val="22"/>
        </w:rPr>
        <w:t xml:space="preserve"> Nigeria.  </w:t>
      </w:r>
      <w:r w:rsidRPr="00944902">
        <w:rPr>
          <w:sz w:val="22"/>
          <w:szCs w:val="22"/>
        </w:rPr>
        <w:t xml:space="preserve">Nigeria.                    </w:t>
      </w:r>
    </w:p>
    <w:tbl>
      <w:tblPr>
        <w:tblStyle w:val="TableGrid"/>
        <w:tblW w:w="10548" w:type="dxa"/>
        <w:tblLayout w:type="fixed"/>
        <w:tblLook w:val="04A0" w:firstRow="1" w:lastRow="0" w:firstColumn="1" w:lastColumn="0" w:noHBand="0" w:noVBand="1"/>
      </w:tblPr>
      <w:tblGrid>
        <w:gridCol w:w="3258"/>
        <w:gridCol w:w="2160"/>
        <w:gridCol w:w="2160"/>
        <w:gridCol w:w="1530"/>
        <w:gridCol w:w="1440"/>
      </w:tblGrid>
      <w:tr w:rsidR="00E60A93" w:rsidRPr="00944902" w:rsidTr="00514473">
        <w:tc>
          <w:tcPr>
            <w:tcW w:w="3258" w:type="dxa"/>
          </w:tcPr>
          <w:p w:rsidR="00E60A93" w:rsidRPr="00944902" w:rsidRDefault="00E60A93" w:rsidP="00514473">
            <w:pPr>
              <w:spacing w:line="480" w:lineRule="auto"/>
              <w:jc w:val="center"/>
              <w:rPr>
                <w:sz w:val="22"/>
                <w:szCs w:val="22"/>
              </w:rPr>
            </w:pPr>
            <w:r w:rsidRPr="00944902">
              <w:rPr>
                <w:b/>
                <w:sz w:val="22"/>
                <w:szCs w:val="22"/>
              </w:rPr>
              <w:t>Risk factor Value</w:t>
            </w:r>
          </w:p>
        </w:tc>
        <w:tc>
          <w:tcPr>
            <w:tcW w:w="2160" w:type="dxa"/>
          </w:tcPr>
          <w:p w:rsidR="00E60A93" w:rsidRPr="00944902" w:rsidRDefault="00E60A93" w:rsidP="00514473">
            <w:pPr>
              <w:spacing w:line="480" w:lineRule="auto"/>
              <w:jc w:val="center"/>
              <w:rPr>
                <w:b/>
                <w:sz w:val="22"/>
                <w:szCs w:val="22"/>
              </w:rPr>
            </w:pPr>
            <w:r w:rsidRPr="00944902">
              <w:rPr>
                <w:b/>
                <w:sz w:val="22"/>
                <w:szCs w:val="22"/>
              </w:rPr>
              <w:t>No Tested</w:t>
            </w:r>
          </w:p>
        </w:tc>
        <w:tc>
          <w:tcPr>
            <w:tcW w:w="2160" w:type="dxa"/>
          </w:tcPr>
          <w:p w:rsidR="00E60A93" w:rsidRPr="00944902" w:rsidRDefault="00E60A93" w:rsidP="00514473">
            <w:pPr>
              <w:spacing w:line="480" w:lineRule="auto"/>
              <w:jc w:val="center"/>
              <w:rPr>
                <w:b/>
                <w:sz w:val="22"/>
                <w:szCs w:val="22"/>
              </w:rPr>
            </w:pPr>
            <w:r w:rsidRPr="00944902">
              <w:rPr>
                <w:b/>
                <w:sz w:val="22"/>
                <w:szCs w:val="22"/>
              </w:rPr>
              <w:t>No Positive (%)</w:t>
            </w:r>
          </w:p>
        </w:tc>
        <w:tc>
          <w:tcPr>
            <w:tcW w:w="1530" w:type="dxa"/>
          </w:tcPr>
          <w:p w:rsidR="00E60A93" w:rsidRPr="00944902" w:rsidRDefault="00E60A93" w:rsidP="00514473">
            <w:pPr>
              <w:spacing w:line="480" w:lineRule="auto"/>
              <w:jc w:val="center"/>
              <w:rPr>
                <w:sz w:val="22"/>
                <w:szCs w:val="22"/>
              </w:rPr>
            </w:pPr>
            <w:r w:rsidRPr="00944902">
              <w:rPr>
                <w:sz w:val="22"/>
                <w:szCs w:val="22"/>
              </w:rPr>
              <w:t>X</w:t>
            </w:r>
            <w:r w:rsidRPr="00944902">
              <w:rPr>
                <w:sz w:val="22"/>
                <w:szCs w:val="22"/>
                <w:vertAlign w:val="superscript"/>
              </w:rPr>
              <w:t>2</w:t>
            </w:r>
          </w:p>
        </w:tc>
        <w:tc>
          <w:tcPr>
            <w:tcW w:w="1440" w:type="dxa"/>
          </w:tcPr>
          <w:p w:rsidR="00E60A93" w:rsidRPr="00944902" w:rsidRDefault="00E60A93" w:rsidP="00514473">
            <w:pPr>
              <w:spacing w:line="480" w:lineRule="auto"/>
              <w:jc w:val="center"/>
              <w:rPr>
                <w:sz w:val="22"/>
                <w:szCs w:val="22"/>
              </w:rPr>
            </w:pPr>
            <w:r w:rsidRPr="00944902">
              <w:rPr>
                <w:sz w:val="22"/>
                <w:szCs w:val="22"/>
              </w:rPr>
              <w:t>P</w:t>
            </w:r>
          </w:p>
        </w:tc>
      </w:tr>
      <w:tr w:rsidR="00E60A93" w:rsidRPr="00944902" w:rsidTr="00514473">
        <w:tc>
          <w:tcPr>
            <w:tcW w:w="3258" w:type="dxa"/>
          </w:tcPr>
          <w:p w:rsidR="00E60A93" w:rsidRPr="00944902" w:rsidRDefault="00E60A93" w:rsidP="00514473">
            <w:pPr>
              <w:spacing w:line="480" w:lineRule="auto"/>
              <w:jc w:val="center"/>
              <w:rPr>
                <w:b/>
                <w:sz w:val="22"/>
                <w:szCs w:val="22"/>
              </w:rPr>
            </w:pPr>
            <w:r w:rsidRPr="00944902">
              <w:rPr>
                <w:b/>
                <w:sz w:val="22"/>
                <w:szCs w:val="22"/>
              </w:rPr>
              <w:t>Gestational Age</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First Trimester</w:t>
            </w:r>
          </w:p>
        </w:tc>
        <w:tc>
          <w:tcPr>
            <w:tcW w:w="2160" w:type="dxa"/>
          </w:tcPr>
          <w:p w:rsidR="00E60A93" w:rsidRPr="00944902" w:rsidRDefault="00E60A93" w:rsidP="00514473">
            <w:pPr>
              <w:spacing w:line="480" w:lineRule="auto"/>
              <w:jc w:val="center"/>
              <w:rPr>
                <w:sz w:val="22"/>
                <w:szCs w:val="22"/>
              </w:rPr>
            </w:pPr>
            <w:r w:rsidRPr="00944902">
              <w:rPr>
                <w:sz w:val="22"/>
                <w:szCs w:val="22"/>
              </w:rPr>
              <w:t>114</w:t>
            </w:r>
          </w:p>
        </w:tc>
        <w:tc>
          <w:tcPr>
            <w:tcW w:w="2160" w:type="dxa"/>
          </w:tcPr>
          <w:p w:rsidR="00E60A93" w:rsidRPr="00944902" w:rsidRDefault="00E60A93" w:rsidP="00514473">
            <w:pPr>
              <w:spacing w:line="480" w:lineRule="auto"/>
              <w:jc w:val="center"/>
              <w:rPr>
                <w:sz w:val="22"/>
                <w:szCs w:val="22"/>
              </w:rPr>
            </w:pPr>
            <w:r w:rsidRPr="00944902">
              <w:rPr>
                <w:sz w:val="22"/>
                <w:szCs w:val="22"/>
              </w:rPr>
              <w:t>30 (26.3%)</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Second Trimester</w:t>
            </w:r>
          </w:p>
        </w:tc>
        <w:tc>
          <w:tcPr>
            <w:tcW w:w="2160" w:type="dxa"/>
          </w:tcPr>
          <w:p w:rsidR="00E60A93" w:rsidRPr="00944902" w:rsidRDefault="00E60A93" w:rsidP="00514473">
            <w:pPr>
              <w:spacing w:line="480" w:lineRule="auto"/>
              <w:jc w:val="center"/>
              <w:rPr>
                <w:sz w:val="22"/>
                <w:szCs w:val="22"/>
              </w:rPr>
            </w:pPr>
            <w:r w:rsidRPr="00944902">
              <w:rPr>
                <w:sz w:val="22"/>
                <w:szCs w:val="22"/>
              </w:rPr>
              <w:t>135</w:t>
            </w:r>
          </w:p>
        </w:tc>
        <w:tc>
          <w:tcPr>
            <w:tcW w:w="2160" w:type="dxa"/>
          </w:tcPr>
          <w:p w:rsidR="00E60A93" w:rsidRPr="00944902" w:rsidRDefault="00E60A93" w:rsidP="00514473">
            <w:pPr>
              <w:spacing w:line="480" w:lineRule="auto"/>
              <w:jc w:val="center"/>
              <w:rPr>
                <w:sz w:val="22"/>
                <w:szCs w:val="22"/>
              </w:rPr>
            </w:pPr>
            <w:r w:rsidRPr="00944902">
              <w:rPr>
                <w:sz w:val="22"/>
                <w:szCs w:val="22"/>
              </w:rPr>
              <w:t>42 (31.1%)</w:t>
            </w:r>
          </w:p>
        </w:tc>
        <w:tc>
          <w:tcPr>
            <w:tcW w:w="1530" w:type="dxa"/>
          </w:tcPr>
          <w:p w:rsidR="00E60A93" w:rsidRPr="00944902" w:rsidRDefault="00E60A93" w:rsidP="00514473">
            <w:pPr>
              <w:spacing w:line="480" w:lineRule="auto"/>
              <w:rPr>
                <w:sz w:val="22"/>
                <w:szCs w:val="22"/>
              </w:rPr>
            </w:pPr>
            <w:r w:rsidRPr="00944902">
              <w:rPr>
                <w:sz w:val="22"/>
                <w:szCs w:val="22"/>
              </w:rPr>
              <w:t xml:space="preserve">     5.99 </w:t>
            </w:r>
          </w:p>
        </w:tc>
        <w:tc>
          <w:tcPr>
            <w:tcW w:w="1440" w:type="dxa"/>
          </w:tcPr>
          <w:p w:rsidR="00E60A93" w:rsidRPr="00944902" w:rsidRDefault="00E60A93" w:rsidP="00514473">
            <w:pPr>
              <w:spacing w:line="480" w:lineRule="auto"/>
              <w:rPr>
                <w:sz w:val="22"/>
                <w:szCs w:val="22"/>
              </w:rPr>
            </w:pPr>
            <w:r w:rsidRPr="00944902">
              <w:rPr>
                <w:sz w:val="22"/>
                <w:szCs w:val="22"/>
              </w:rPr>
              <w:t xml:space="preserve">    =0.05 </w:t>
            </w:r>
          </w:p>
        </w:tc>
      </w:tr>
      <w:tr w:rsidR="00E60A93" w:rsidRPr="00944902" w:rsidTr="00514473">
        <w:tc>
          <w:tcPr>
            <w:tcW w:w="3258" w:type="dxa"/>
          </w:tcPr>
          <w:p w:rsidR="00E60A93" w:rsidRPr="00944902" w:rsidRDefault="00E60A93" w:rsidP="00514473">
            <w:pPr>
              <w:tabs>
                <w:tab w:val="center" w:pos="1521"/>
                <w:tab w:val="right" w:pos="3042"/>
              </w:tabs>
              <w:spacing w:line="480" w:lineRule="auto"/>
              <w:ind w:left="720" w:hanging="720"/>
              <w:rPr>
                <w:sz w:val="22"/>
                <w:szCs w:val="22"/>
              </w:rPr>
            </w:pPr>
            <w:r w:rsidRPr="00944902">
              <w:rPr>
                <w:sz w:val="22"/>
                <w:szCs w:val="22"/>
              </w:rPr>
              <w:tab/>
              <w:t>Third Trimester</w:t>
            </w:r>
            <w:r w:rsidRPr="00944902">
              <w:rPr>
                <w:sz w:val="22"/>
                <w:szCs w:val="22"/>
              </w:rPr>
              <w:tab/>
            </w:r>
          </w:p>
        </w:tc>
        <w:tc>
          <w:tcPr>
            <w:tcW w:w="2160" w:type="dxa"/>
          </w:tcPr>
          <w:p w:rsidR="00E60A93" w:rsidRPr="00944902" w:rsidRDefault="00E60A93" w:rsidP="00514473">
            <w:pPr>
              <w:spacing w:line="480" w:lineRule="auto"/>
              <w:jc w:val="center"/>
              <w:rPr>
                <w:sz w:val="22"/>
                <w:szCs w:val="22"/>
              </w:rPr>
            </w:pPr>
            <w:r w:rsidRPr="00944902">
              <w:rPr>
                <w:sz w:val="22"/>
                <w:szCs w:val="22"/>
              </w:rPr>
              <w:t>24</w:t>
            </w:r>
          </w:p>
        </w:tc>
        <w:tc>
          <w:tcPr>
            <w:tcW w:w="2160" w:type="dxa"/>
          </w:tcPr>
          <w:p w:rsidR="00E60A93" w:rsidRPr="00944902" w:rsidRDefault="00E60A93" w:rsidP="00514473">
            <w:pPr>
              <w:spacing w:line="480" w:lineRule="auto"/>
              <w:jc w:val="center"/>
              <w:rPr>
                <w:sz w:val="22"/>
                <w:szCs w:val="22"/>
              </w:rPr>
            </w:pPr>
            <w:r w:rsidRPr="00944902">
              <w:rPr>
                <w:sz w:val="22"/>
                <w:szCs w:val="22"/>
              </w:rPr>
              <w:t xml:space="preserve">  3 (12.5%)</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b/>
                <w:sz w:val="22"/>
                <w:szCs w:val="22"/>
              </w:rPr>
            </w:pPr>
            <w:r w:rsidRPr="00944902">
              <w:rPr>
                <w:b/>
                <w:sz w:val="22"/>
                <w:szCs w:val="22"/>
              </w:rPr>
              <w:t>History of Complication</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r w:rsidRPr="00944902">
              <w:rPr>
                <w:sz w:val="22"/>
                <w:szCs w:val="22"/>
              </w:rPr>
              <w:t xml:space="preserve"> </w:t>
            </w: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Miscarriage</w:t>
            </w:r>
          </w:p>
        </w:tc>
        <w:tc>
          <w:tcPr>
            <w:tcW w:w="2160" w:type="dxa"/>
          </w:tcPr>
          <w:p w:rsidR="00E60A93" w:rsidRPr="00944902" w:rsidRDefault="00E60A93" w:rsidP="00514473">
            <w:pPr>
              <w:spacing w:line="480" w:lineRule="auto"/>
              <w:jc w:val="center"/>
              <w:rPr>
                <w:sz w:val="22"/>
                <w:szCs w:val="22"/>
              </w:rPr>
            </w:pPr>
            <w:r w:rsidRPr="00944902">
              <w:rPr>
                <w:sz w:val="22"/>
                <w:szCs w:val="22"/>
              </w:rPr>
              <w:t>54</w:t>
            </w:r>
          </w:p>
        </w:tc>
        <w:tc>
          <w:tcPr>
            <w:tcW w:w="2160" w:type="dxa"/>
          </w:tcPr>
          <w:p w:rsidR="00E60A93" w:rsidRPr="00944902" w:rsidRDefault="00E60A93" w:rsidP="00514473">
            <w:pPr>
              <w:spacing w:line="480" w:lineRule="auto"/>
              <w:jc w:val="center"/>
              <w:rPr>
                <w:sz w:val="22"/>
                <w:szCs w:val="22"/>
              </w:rPr>
            </w:pPr>
            <w:r w:rsidRPr="00944902">
              <w:rPr>
                <w:sz w:val="22"/>
                <w:szCs w:val="22"/>
              </w:rPr>
              <w:t>21 (38.9%)</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Still Birth</w:t>
            </w:r>
          </w:p>
        </w:tc>
        <w:tc>
          <w:tcPr>
            <w:tcW w:w="2160" w:type="dxa"/>
          </w:tcPr>
          <w:p w:rsidR="00E60A93" w:rsidRPr="00944902" w:rsidRDefault="00E60A93" w:rsidP="00514473">
            <w:pPr>
              <w:spacing w:line="480" w:lineRule="auto"/>
              <w:jc w:val="center"/>
              <w:rPr>
                <w:sz w:val="22"/>
                <w:szCs w:val="22"/>
              </w:rPr>
            </w:pPr>
            <w:r w:rsidRPr="00944902">
              <w:rPr>
                <w:sz w:val="22"/>
                <w:szCs w:val="22"/>
              </w:rPr>
              <w:t>33</w:t>
            </w:r>
          </w:p>
        </w:tc>
        <w:tc>
          <w:tcPr>
            <w:tcW w:w="2160" w:type="dxa"/>
          </w:tcPr>
          <w:p w:rsidR="00E60A93" w:rsidRPr="00944902" w:rsidRDefault="00E60A93" w:rsidP="00514473">
            <w:pPr>
              <w:spacing w:line="480" w:lineRule="auto"/>
              <w:jc w:val="center"/>
              <w:rPr>
                <w:sz w:val="22"/>
                <w:szCs w:val="22"/>
              </w:rPr>
            </w:pPr>
            <w:r w:rsidRPr="00944902">
              <w:rPr>
                <w:sz w:val="22"/>
                <w:szCs w:val="22"/>
              </w:rPr>
              <w:t>9 (27.3%)</w:t>
            </w:r>
          </w:p>
        </w:tc>
        <w:tc>
          <w:tcPr>
            <w:tcW w:w="1530" w:type="dxa"/>
          </w:tcPr>
          <w:p w:rsidR="00E60A93" w:rsidRPr="00944902" w:rsidRDefault="00E60A93" w:rsidP="00514473">
            <w:pPr>
              <w:spacing w:line="480" w:lineRule="auto"/>
              <w:rPr>
                <w:sz w:val="22"/>
                <w:szCs w:val="22"/>
              </w:rPr>
            </w:pPr>
            <w:r w:rsidRPr="00944902">
              <w:rPr>
                <w:sz w:val="22"/>
                <w:szCs w:val="22"/>
              </w:rPr>
              <w:t xml:space="preserve">     4.89  </w:t>
            </w:r>
          </w:p>
        </w:tc>
        <w:tc>
          <w:tcPr>
            <w:tcW w:w="1440" w:type="dxa"/>
          </w:tcPr>
          <w:p w:rsidR="00E60A93" w:rsidRPr="00944902" w:rsidRDefault="00E60A93" w:rsidP="00514473">
            <w:pPr>
              <w:spacing w:line="480" w:lineRule="auto"/>
              <w:rPr>
                <w:sz w:val="22"/>
                <w:szCs w:val="22"/>
              </w:rPr>
            </w:pPr>
            <w:r w:rsidRPr="00944902">
              <w:rPr>
                <w:sz w:val="22"/>
                <w:szCs w:val="22"/>
              </w:rPr>
              <w:t xml:space="preserve">    &gt;0.05 </w:t>
            </w: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Both</w:t>
            </w:r>
          </w:p>
        </w:tc>
        <w:tc>
          <w:tcPr>
            <w:tcW w:w="2160" w:type="dxa"/>
          </w:tcPr>
          <w:p w:rsidR="00E60A93" w:rsidRPr="00944902" w:rsidRDefault="00E60A93" w:rsidP="00514473">
            <w:pPr>
              <w:spacing w:line="480" w:lineRule="auto"/>
              <w:jc w:val="center"/>
              <w:rPr>
                <w:sz w:val="22"/>
                <w:szCs w:val="22"/>
              </w:rPr>
            </w:pPr>
            <w:r w:rsidRPr="00944902">
              <w:rPr>
                <w:sz w:val="22"/>
                <w:szCs w:val="22"/>
              </w:rPr>
              <w:t>15</w:t>
            </w:r>
          </w:p>
        </w:tc>
        <w:tc>
          <w:tcPr>
            <w:tcW w:w="2160" w:type="dxa"/>
          </w:tcPr>
          <w:p w:rsidR="00E60A93" w:rsidRPr="00944902" w:rsidRDefault="00E60A93" w:rsidP="00514473">
            <w:pPr>
              <w:spacing w:line="480" w:lineRule="auto"/>
              <w:jc w:val="center"/>
              <w:rPr>
                <w:sz w:val="22"/>
                <w:szCs w:val="22"/>
              </w:rPr>
            </w:pPr>
            <w:r w:rsidRPr="00944902">
              <w:rPr>
                <w:sz w:val="22"/>
                <w:szCs w:val="22"/>
              </w:rPr>
              <w:t>6 (40. 0%)</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None</w:t>
            </w:r>
          </w:p>
        </w:tc>
        <w:tc>
          <w:tcPr>
            <w:tcW w:w="2160" w:type="dxa"/>
          </w:tcPr>
          <w:p w:rsidR="00E60A93" w:rsidRPr="00944902" w:rsidRDefault="00E60A93" w:rsidP="00514473">
            <w:pPr>
              <w:spacing w:line="480" w:lineRule="auto"/>
              <w:jc w:val="center"/>
              <w:rPr>
                <w:sz w:val="22"/>
                <w:szCs w:val="22"/>
              </w:rPr>
            </w:pPr>
            <w:r w:rsidRPr="00944902">
              <w:rPr>
                <w:sz w:val="22"/>
                <w:szCs w:val="22"/>
              </w:rPr>
              <w:t>171</w:t>
            </w:r>
          </w:p>
        </w:tc>
        <w:tc>
          <w:tcPr>
            <w:tcW w:w="2160" w:type="dxa"/>
          </w:tcPr>
          <w:p w:rsidR="00E60A93" w:rsidRPr="00944902" w:rsidRDefault="00E60A93" w:rsidP="00514473">
            <w:pPr>
              <w:spacing w:line="480" w:lineRule="auto"/>
              <w:jc w:val="center"/>
              <w:rPr>
                <w:sz w:val="22"/>
                <w:szCs w:val="22"/>
              </w:rPr>
            </w:pPr>
            <w:r w:rsidRPr="00944902">
              <w:rPr>
                <w:sz w:val="22"/>
                <w:szCs w:val="22"/>
              </w:rPr>
              <w:t>39 (22.8%)</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b/>
                <w:sz w:val="22"/>
                <w:szCs w:val="22"/>
              </w:rPr>
            </w:pPr>
            <w:r w:rsidRPr="00944902">
              <w:rPr>
                <w:b/>
                <w:sz w:val="22"/>
                <w:szCs w:val="22"/>
              </w:rPr>
              <w:t>No of Children in Household</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0-2</w:t>
            </w:r>
          </w:p>
        </w:tc>
        <w:tc>
          <w:tcPr>
            <w:tcW w:w="2160" w:type="dxa"/>
          </w:tcPr>
          <w:p w:rsidR="00E60A93" w:rsidRPr="00944902" w:rsidRDefault="00E60A93" w:rsidP="00514473">
            <w:pPr>
              <w:tabs>
                <w:tab w:val="left" w:pos="837"/>
                <w:tab w:val="center" w:pos="1047"/>
              </w:tabs>
              <w:spacing w:line="480" w:lineRule="auto"/>
              <w:rPr>
                <w:sz w:val="22"/>
                <w:szCs w:val="22"/>
              </w:rPr>
            </w:pPr>
            <w:r w:rsidRPr="00944902">
              <w:rPr>
                <w:sz w:val="22"/>
                <w:szCs w:val="22"/>
              </w:rPr>
              <w:tab/>
            </w:r>
            <w:r w:rsidRPr="00944902">
              <w:rPr>
                <w:sz w:val="22"/>
                <w:szCs w:val="22"/>
              </w:rPr>
              <w:tab/>
              <w:t>141</w:t>
            </w:r>
          </w:p>
        </w:tc>
        <w:tc>
          <w:tcPr>
            <w:tcW w:w="2160" w:type="dxa"/>
          </w:tcPr>
          <w:p w:rsidR="00E60A93" w:rsidRPr="00944902" w:rsidRDefault="00E60A93" w:rsidP="00514473">
            <w:pPr>
              <w:spacing w:line="480" w:lineRule="auto"/>
              <w:jc w:val="center"/>
              <w:rPr>
                <w:sz w:val="22"/>
                <w:szCs w:val="22"/>
              </w:rPr>
            </w:pPr>
            <w:r w:rsidRPr="00944902">
              <w:rPr>
                <w:sz w:val="22"/>
                <w:szCs w:val="22"/>
              </w:rPr>
              <w:t>27 (19.1%)</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3-4</w:t>
            </w:r>
          </w:p>
        </w:tc>
        <w:tc>
          <w:tcPr>
            <w:tcW w:w="2160" w:type="dxa"/>
          </w:tcPr>
          <w:p w:rsidR="00E60A93" w:rsidRPr="00944902" w:rsidRDefault="00E60A93" w:rsidP="00514473">
            <w:pPr>
              <w:spacing w:line="480" w:lineRule="auto"/>
              <w:jc w:val="center"/>
              <w:rPr>
                <w:sz w:val="22"/>
                <w:szCs w:val="22"/>
              </w:rPr>
            </w:pPr>
            <w:r w:rsidRPr="00944902">
              <w:rPr>
                <w:sz w:val="22"/>
                <w:szCs w:val="22"/>
              </w:rPr>
              <w:t>69</w:t>
            </w:r>
          </w:p>
        </w:tc>
        <w:tc>
          <w:tcPr>
            <w:tcW w:w="2160" w:type="dxa"/>
          </w:tcPr>
          <w:p w:rsidR="00E60A93" w:rsidRPr="00944902" w:rsidRDefault="00E60A93" w:rsidP="00514473">
            <w:pPr>
              <w:spacing w:line="480" w:lineRule="auto"/>
              <w:jc w:val="center"/>
              <w:rPr>
                <w:sz w:val="22"/>
                <w:szCs w:val="22"/>
              </w:rPr>
            </w:pPr>
            <w:r w:rsidRPr="00944902">
              <w:rPr>
                <w:sz w:val="22"/>
                <w:szCs w:val="22"/>
              </w:rPr>
              <w:t>21 (30.4%)</w:t>
            </w:r>
          </w:p>
        </w:tc>
        <w:tc>
          <w:tcPr>
            <w:tcW w:w="1530" w:type="dxa"/>
          </w:tcPr>
          <w:p w:rsidR="00E60A93" w:rsidRPr="00944902" w:rsidRDefault="00E60A93" w:rsidP="00514473">
            <w:pPr>
              <w:spacing w:line="480" w:lineRule="auto"/>
              <w:rPr>
                <w:sz w:val="22"/>
                <w:szCs w:val="22"/>
              </w:rPr>
            </w:pPr>
            <w:r w:rsidRPr="00944902">
              <w:rPr>
                <w:sz w:val="22"/>
                <w:szCs w:val="22"/>
              </w:rPr>
              <w:t xml:space="preserve">    10.65    </w:t>
            </w:r>
          </w:p>
        </w:tc>
        <w:tc>
          <w:tcPr>
            <w:tcW w:w="1440" w:type="dxa"/>
          </w:tcPr>
          <w:p w:rsidR="00E60A93" w:rsidRPr="00944902" w:rsidRDefault="00E60A93" w:rsidP="00514473">
            <w:pPr>
              <w:spacing w:line="480" w:lineRule="auto"/>
              <w:rPr>
                <w:sz w:val="22"/>
                <w:szCs w:val="22"/>
              </w:rPr>
            </w:pPr>
            <w:r w:rsidRPr="00944902">
              <w:rPr>
                <w:sz w:val="22"/>
                <w:szCs w:val="22"/>
              </w:rPr>
              <w:t xml:space="preserve">    &lt;0.05 </w:t>
            </w: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5 or more</w:t>
            </w:r>
          </w:p>
        </w:tc>
        <w:tc>
          <w:tcPr>
            <w:tcW w:w="2160" w:type="dxa"/>
          </w:tcPr>
          <w:p w:rsidR="00E60A93" w:rsidRPr="00944902" w:rsidRDefault="00E60A93" w:rsidP="00514473">
            <w:pPr>
              <w:spacing w:line="480" w:lineRule="auto"/>
              <w:jc w:val="center"/>
              <w:rPr>
                <w:sz w:val="22"/>
                <w:szCs w:val="22"/>
              </w:rPr>
            </w:pPr>
            <w:r w:rsidRPr="00944902">
              <w:rPr>
                <w:sz w:val="22"/>
                <w:szCs w:val="22"/>
              </w:rPr>
              <w:t>63</w:t>
            </w:r>
          </w:p>
        </w:tc>
        <w:tc>
          <w:tcPr>
            <w:tcW w:w="2160" w:type="dxa"/>
          </w:tcPr>
          <w:p w:rsidR="00E60A93" w:rsidRPr="00944902" w:rsidRDefault="00E60A93" w:rsidP="00514473">
            <w:pPr>
              <w:spacing w:line="480" w:lineRule="auto"/>
              <w:jc w:val="center"/>
              <w:rPr>
                <w:sz w:val="22"/>
                <w:szCs w:val="22"/>
              </w:rPr>
            </w:pPr>
            <w:r w:rsidRPr="00944902">
              <w:rPr>
                <w:sz w:val="22"/>
                <w:szCs w:val="22"/>
              </w:rPr>
              <w:t>27 (42.9%)</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b/>
                <w:sz w:val="22"/>
                <w:szCs w:val="22"/>
              </w:rPr>
            </w:pPr>
            <w:r w:rsidRPr="00944902">
              <w:rPr>
                <w:b/>
                <w:sz w:val="22"/>
                <w:szCs w:val="22"/>
              </w:rPr>
              <w:t>History of Blood Transfusion</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Yes</w:t>
            </w:r>
          </w:p>
        </w:tc>
        <w:tc>
          <w:tcPr>
            <w:tcW w:w="2160" w:type="dxa"/>
          </w:tcPr>
          <w:p w:rsidR="00E60A93" w:rsidRPr="00944902" w:rsidRDefault="00E60A93" w:rsidP="00514473">
            <w:pPr>
              <w:spacing w:line="480" w:lineRule="auto"/>
              <w:jc w:val="center"/>
              <w:rPr>
                <w:sz w:val="22"/>
                <w:szCs w:val="22"/>
              </w:rPr>
            </w:pPr>
            <w:r w:rsidRPr="00944902">
              <w:rPr>
                <w:sz w:val="22"/>
                <w:szCs w:val="22"/>
              </w:rPr>
              <w:t>39</w:t>
            </w:r>
          </w:p>
        </w:tc>
        <w:tc>
          <w:tcPr>
            <w:tcW w:w="2160" w:type="dxa"/>
          </w:tcPr>
          <w:p w:rsidR="00E60A93" w:rsidRPr="00944902" w:rsidRDefault="00E60A93" w:rsidP="00514473">
            <w:pPr>
              <w:spacing w:line="480" w:lineRule="auto"/>
              <w:jc w:val="center"/>
              <w:rPr>
                <w:sz w:val="22"/>
                <w:szCs w:val="22"/>
              </w:rPr>
            </w:pPr>
            <w:r w:rsidRPr="00944902">
              <w:rPr>
                <w:sz w:val="22"/>
                <w:szCs w:val="22"/>
              </w:rPr>
              <w:t>12 (30.8%)</w:t>
            </w:r>
          </w:p>
        </w:tc>
        <w:tc>
          <w:tcPr>
            <w:tcW w:w="1530" w:type="dxa"/>
          </w:tcPr>
          <w:p w:rsidR="00E60A93" w:rsidRPr="00944902" w:rsidRDefault="00E60A93" w:rsidP="00514473">
            <w:pPr>
              <w:spacing w:line="480" w:lineRule="auto"/>
              <w:rPr>
                <w:sz w:val="22"/>
                <w:szCs w:val="22"/>
              </w:rPr>
            </w:pPr>
            <w:r w:rsidRPr="00944902">
              <w:rPr>
                <w:sz w:val="22"/>
                <w:szCs w:val="22"/>
              </w:rPr>
              <w:t xml:space="preserve">      0.2 </w:t>
            </w:r>
          </w:p>
        </w:tc>
        <w:tc>
          <w:tcPr>
            <w:tcW w:w="1440" w:type="dxa"/>
          </w:tcPr>
          <w:p w:rsidR="00E60A93" w:rsidRPr="00944902" w:rsidRDefault="00E60A93" w:rsidP="00514473">
            <w:pPr>
              <w:spacing w:line="480" w:lineRule="auto"/>
              <w:rPr>
                <w:sz w:val="22"/>
                <w:szCs w:val="22"/>
              </w:rPr>
            </w:pPr>
            <w:r w:rsidRPr="00944902">
              <w:rPr>
                <w:sz w:val="22"/>
                <w:szCs w:val="22"/>
              </w:rPr>
              <w:t xml:space="preserve">     &gt;0.05 </w:t>
            </w: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No</w:t>
            </w:r>
          </w:p>
        </w:tc>
        <w:tc>
          <w:tcPr>
            <w:tcW w:w="2160" w:type="dxa"/>
          </w:tcPr>
          <w:p w:rsidR="00E60A93" w:rsidRPr="00944902" w:rsidRDefault="00E60A93" w:rsidP="00514473">
            <w:pPr>
              <w:spacing w:line="480" w:lineRule="auto"/>
              <w:jc w:val="center"/>
              <w:rPr>
                <w:sz w:val="22"/>
                <w:szCs w:val="22"/>
              </w:rPr>
            </w:pPr>
            <w:r w:rsidRPr="00944902">
              <w:rPr>
                <w:sz w:val="22"/>
                <w:szCs w:val="22"/>
              </w:rPr>
              <w:t>234</w:t>
            </w:r>
          </w:p>
        </w:tc>
        <w:tc>
          <w:tcPr>
            <w:tcW w:w="2160" w:type="dxa"/>
          </w:tcPr>
          <w:p w:rsidR="00E60A93" w:rsidRPr="00944902" w:rsidRDefault="00E60A93" w:rsidP="00514473">
            <w:pPr>
              <w:spacing w:line="480" w:lineRule="auto"/>
              <w:jc w:val="center"/>
              <w:rPr>
                <w:sz w:val="22"/>
                <w:szCs w:val="22"/>
              </w:rPr>
            </w:pPr>
            <w:r w:rsidRPr="00944902">
              <w:rPr>
                <w:sz w:val="22"/>
                <w:szCs w:val="22"/>
              </w:rPr>
              <w:t>63 (26.9%)</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b/>
                <w:sz w:val="22"/>
                <w:szCs w:val="22"/>
              </w:rPr>
            </w:pPr>
            <w:r w:rsidRPr="00944902">
              <w:rPr>
                <w:b/>
                <w:sz w:val="22"/>
                <w:szCs w:val="22"/>
              </w:rPr>
              <w:t>Occupation</w:t>
            </w:r>
          </w:p>
        </w:tc>
        <w:tc>
          <w:tcPr>
            <w:tcW w:w="2160" w:type="dxa"/>
          </w:tcPr>
          <w:p w:rsidR="00E60A93" w:rsidRPr="00944902" w:rsidRDefault="00E60A93" w:rsidP="00514473">
            <w:pPr>
              <w:spacing w:line="480" w:lineRule="auto"/>
              <w:rPr>
                <w:sz w:val="22"/>
                <w:szCs w:val="22"/>
              </w:rPr>
            </w:pPr>
          </w:p>
        </w:tc>
        <w:tc>
          <w:tcPr>
            <w:tcW w:w="2160" w:type="dxa"/>
          </w:tcPr>
          <w:p w:rsidR="00E60A93" w:rsidRPr="00944902" w:rsidRDefault="00E60A93" w:rsidP="00514473">
            <w:pPr>
              <w:spacing w:line="480" w:lineRule="auto"/>
              <w:rPr>
                <w:sz w:val="22"/>
                <w:szCs w:val="22"/>
              </w:rPr>
            </w:pP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Students</w:t>
            </w:r>
          </w:p>
        </w:tc>
        <w:tc>
          <w:tcPr>
            <w:tcW w:w="2160" w:type="dxa"/>
          </w:tcPr>
          <w:p w:rsidR="00E60A93" w:rsidRPr="00944902" w:rsidRDefault="00E60A93" w:rsidP="00514473">
            <w:pPr>
              <w:spacing w:line="480" w:lineRule="auto"/>
              <w:jc w:val="center"/>
              <w:rPr>
                <w:sz w:val="22"/>
                <w:szCs w:val="22"/>
              </w:rPr>
            </w:pPr>
            <w:r w:rsidRPr="00944902">
              <w:rPr>
                <w:sz w:val="22"/>
                <w:szCs w:val="22"/>
              </w:rPr>
              <w:t>12</w:t>
            </w:r>
          </w:p>
        </w:tc>
        <w:tc>
          <w:tcPr>
            <w:tcW w:w="2160" w:type="dxa"/>
          </w:tcPr>
          <w:p w:rsidR="00E60A93" w:rsidRPr="00944902" w:rsidRDefault="00E60A93" w:rsidP="00514473">
            <w:pPr>
              <w:spacing w:line="480" w:lineRule="auto"/>
              <w:jc w:val="center"/>
              <w:rPr>
                <w:sz w:val="22"/>
                <w:szCs w:val="22"/>
              </w:rPr>
            </w:pPr>
            <w:r w:rsidRPr="00944902">
              <w:rPr>
                <w:sz w:val="22"/>
                <w:szCs w:val="22"/>
              </w:rPr>
              <w:t>3 (25.0%)</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Business</w:t>
            </w:r>
          </w:p>
        </w:tc>
        <w:tc>
          <w:tcPr>
            <w:tcW w:w="2160" w:type="dxa"/>
          </w:tcPr>
          <w:p w:rsidR="00E60A93" w:rsidRPr="00944902" w:rsidRDefault="00E60A93" w:rsidP="00514473">
            <w:pPr>
              <w:spacing w:line="480" w:lineRule="auto"/>
              <w:jc w:val="center"/>
              <w:rPr>
                <w:sz w:val="22"/>
                <w:szCs w:val="22"/>
              </w:rPr>
            </w:pPr>
            <w:r w:rsidRPr="00944902">
              <w:rPr>
                <w:sz w:val="22"/>
                <w:szCs w:val="22"/>
              </w:rPr>
              <w:t>135</w:t>
            </w:r>
          </w:p>
        </w:tc>
        <w:tc>
          <w:tcPr>
            <w:tcW w:w="2160" w:type="dxa"/>
          </w:tcPr>
          <w:p w:rsidR="00E60A93" w:rsidRPr="00944902" w:rsidRDefault="00E60A93" w:rsidP="00514473">
            <w:pPr>
              <w:spacing w:line="480" w:lineRule="auto"/>
              <w:jc w:val="center"/>
              <w:rPr>
                <w:sz w:val="22"/>
                <w:szCs w:val="22"/>
              </w:rPr>
            </w:pPr>
            <w:r w:rsidRPr="00944902">
              <w:rPr>
                <w:sz w:val="22"/>
                <w:szCs w:val="22"/>
              </w:rPr>
              <w:t>33 (24.4%)</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Civil Servants</w:t>
            </w:r>
          </w:p>
        </w:tc>
        <w:tc>
          <w:tcPr>
            <w:tcW w:w="2160" w:type="dxa"/>
          </w:tcPr>
          <w:p w:rsidR="00E60A93" w:rsidRPr="00944902" w:rsidRDefault="00E60A93" w:rsidP="00514473">
            <w:pPr>
              <w:spacing w:line="480" w:lineRule="auto"/>
              <w:jc w:val="center"/>
              <w:rPr>
                <w:sz w:val="22"/>
                <w:szCs w:val="22"/>
              </w:rPr>
            </w:pPr>
            <w:r w:rsidRPr="00944902">
              <w:rPr>
                <w:sz w:val="22"/>
                <w:szCs w:val="22"/>
              </w:rPr>
              <w:t>81</w:t>
            </w:r>
          </w:p>
        </w:tc>
        <w:tc>
          <w:tcPr>
            <w:tcW w:w="2160" w:type="dxa"/>
          </w:tcPr>
          <w:p w:rsidR="00E60A93" w:rsidRPr="00944902" w:rsidRDefault="00E60A93" w:rsidP="00514473">
            <w:pPr>
              <w:spacing w:line="480" w:lineRule="auto"/>
              <w:jc w:val="center"/>
              <w:rPr>
                <w:sz w:val="22"/>
                <w:szCs w:val="22"/>
              </w:rPr>
            </w:pPr>
            <w:r w:rsidRPr="00944902">
              <w:rPr>
                <w:sz w:val="22"/>
                <w:szCs w:val="22"/>
              </w:rPr>
              <w:t>21 (25.9%)</w:t>
            </w:r>
          </w:p>
        </w:tc>
        <w:tc>
          <w:tcPr>
            <w:tcW w:w="1530" w:type="dxa"/>
          </w:tcPr>
          <w:p w:rsidR="00E60A93" w:rsidRPr="00944902" w:rsidRDefault="00E60A93" w:rsidP="00514473">
            <w:pPr>
              <w:spacing w:line="480" w:lineRule="auto"/>
              <w:rPr>
                <w:sz w:val="22"/>
                <w:szCs w:val="22"/>
              </w:rPr>
            </w:pPr>
            <w:r w:rsidRPr="00944902">
              <w:rPr>
                <w:sz w:val="22"/>
                <w:szCs w:val="22"/>
              </w:rPr>
              <w:t xml:space="preserve">      3.86      </w:t>
            </w:r>
          </w:p>
        </w:tc>
        <w:tc>
          <w:tcPr>
            <w:tcW w:w="1440" w:type="dxa"/>
          </w:tcPr>
          <w:p w:rsidR="00E60A93" w:rsidRPr="00944902" w:rsidRDefault="00E60A93" w:rsidP="00514473">
            <w:pPr>
              <w:spacing w:line="480" w:lineRule="auto"/>
              <w:rPr>
                <w:sz w:val="22"/>
                <w:szCs w:val="22"/>
              </w:rPr>
            </w:pPr>
            <w:r w:rsidRPr="00944902">
              <w:rPr>
                <w:sz w:val="22"/>
                <w:szCs w:val="22"/>
              </w:rPr>
              <w:t xml:space="preserve">     &gt;0.05 </w:t>
            </w:r>
          </w:p>
        </w:tc>
      </w:tr>
      <w:tr w:rsidR="00E60A93" w:rsidRPr="00944902" w:rsidTr="00514473">
        <w:tc>
          <w:tcPr>
            <w:tcW w:w="3258" w:type="dxa"/>
          </w:tcPr>
          <w:p w:rsidR="00E60A93" w:rsidRPr="00944902" w:rsidRDefault="00E60A93" w:rsidP="00514473">
            <w:pPr>
              <w:spacing w:line="480" w:lineRule="auto"/>
              <w:jc w:val="center"/>
              <w:rPr>
                <w:sz w:val="22"/>
                <w:szCs w:val="22"/>
              </w:rPr>
            </w:pPr>
            <w:r w:rsidRPr="00944902">
              <w:rPr>
                <w:sz w:val="22"/>
                <w:szCs w:val="22"/>
              </w:rPr>
              <w:t>House wife</w:t>
            </w:r>
          </w:p>
        </w:tc>
        <w:tc>
          <w:tcPr>
            <w:tcW w:w="2160" w:type="dxa"/>
          </w:tcPr>
          <w:p w:rsidR="00E60A93" w:rsidRPr="00944902" w:rsidRDefault="00E60A93" w:rsidP="00514473">
            <w:pPr>
              <w:spacing w:line="480" w:lineRule="auto"/>
              <w:jc w:val="center"/>
              <w:rPr>
                <w:sz w:val="22"/>
                <w:szCs w:val="22"/>
              </w:rPr>
            </w:pPr>
            <w:r w:rsidRPr="00944902">
              <w:rPr>
                <w:sz w:val="22"/>
                <w:szCs w:val="22"/>
              </w:rPr>
              <w:t>45</w:t>
            </w:r>
          </w:p>
        </w:tc>
        <w:tc>
          <w:tcPr>
            <w:tcW w:w="2160" w:type="dxa"/>
          </w:tcPr>
          <w:p w:rsidR="00E60A93" w:rsidRPr="00944902" w:rsidRDefault="00E60A93" w:rsidP="00514473">
            <w:pPr>
              <w:spacing w:line="480" w:lineRule="auto"/>
              <w:jc w:val="center"/>
              <w:rPr>
                <w:sz w:val="22"/>
                <w:szCs w:val="22"/>
              </w:rPr>
            </w:pPr>
            <w:r w:rsidRPr="00944902">
              <w:rPr>
                <w:sz w:val="22"/>
                <w:szCs w:val="22"/>
              </w:rPr>
              <w:t>18 (40.0%)</w:t>
            </w:r>
          </w:p>
        </w:tc>
        <w:tc>
          <w:tcPr>
            <w:tcW w:w="1530" w:type="dxa"/>
          </w:tcPr>
          <w:p w:rsidR="00E60A93" w:rsidRPr="00944902" w:rsidRDefault="00E60A93" w:rsidP="00514473">
            <w:pPr>
              <w:spacing w:line="480" w:lineRule="auto"/>
              <w:rPr>
                <w:sz w:val="22"/>
                <w:szCs w:val="22"/>
              </w:rPr>
            </w:pPr>
          </w:p>
        </w:tc>
        <w:tc>
          <w:tcPr>
            <w:tcW w:w="1440" w:type="dxa"/>
          </w:tcPr>
          <w:p w:rsidR="00E60A93" w:rsidRPr="00944902" w:rsidRDefault="00E60A93" w:rsidP="00514473">
            <w:pPr>
              <w:spacing w:line="480" w:lineRule="auto"/>
              <w:rPr>
                <w:sz w:val="22"/>
                <w:szCs w:val="22"/>
              </w:rPr>
            </w:pPr>
          </w:p>
        </w:tc>
      </w:tr>
    </w:tbl>
    <w:p w:rsidR="00983155" w:rsidRPr="00944902" w:rsidRDefault="00983155" w:rsidP="005B3DC1">
      <w:pPr>
        <w:tabs>
          <w:tab w:val="left" w:pos="3761"/>
        </w:tabs>
        <w:rPr>
          <w:b/>
          <w:sz w:val="22"/>
          <w:szCs w:val="22"/>
        </w:rPr>
      </w:pPr>
    </w:p>
    <w:p w:rsidR="00E60A93" w:rsidRPr="00944902" w:rsidRDefault="00E60A93" w:rsidP="00E60A93">
      <w:pPr>
        <w:spacing w:line="480" w:lineRule="auto"/>
        <w:jc w:val="both"/>
        <w:rPr>
          <w:b/>
          <w:sz w:val="22"/>
          <w:szCs w:val="22"/>
        </w:rPr>
      </w:pPr>
      <w:r w:rsidRPr="00944902">
        <w:rPr>
          <w:b/>
          <w:sz w:val="22"/>
          <w:szCs w:val="22"/>
        </w:rPr>
        <w:t xml:space="preserve">                                                         DISCUSSION </w:t>
      </w:r>
    </w:p>
    <w:p w:rsidR="00E60A93" w:rsidRPr="00944902" w:rsidRDefault="00E60A93" w:rsidP="00E60A93">
      <w:pPr>
        <w:spacing w:line="480" w:lineRule="auto"/>
        <w:ind w:firstLine="720"/>
        <w:jc w:val="both"/>
        <w:rPr>
          <w:sz w:val="22"/>
          <w:szCs w:val="22"/>
        </w:rPr>
      </w:pPr>
      <w:r w:rsidRPr="00944902">
        <w:rPr>
          <w:sz w:val="22"/>
          <w:szCs w:val="22"/>
        </w:rPr>
        <w:t>This study identifies an incidence (13.2%) and prevalence (2</w:t>
      </w:r>
      <w:r w:rsidR="00E51165">
        <w:rPr>
          <w:sz w:val="22"/>
          <w:szCs w:val="22"/>
        </w:rPr>
        <w:t>7.5%) of parvovirus B19 at three tertiary health care institution in Nasarawa State,</w:t>
      </w:r>
      <w:r w:rsidRPr="00944902">
        <w:rPr>
          <w:sz w:val="22"/>
          <w:szCs w:val="22"/>
        </w:rPr>
        <w:t xml:space="preserve">which has an average of 70 pregnant women attending ante-natal clinic weekly. The incidence of 13.2% and prevalence of 27.5% agrees closely with the reports of Keikha et al in Iran who reported 10.3% incidence and 21.8% prevalence in pregnancy [14]. It also accords with the 30-50% range reported in India by Kaur and Basu, and also with 30-60% prevalence range reported in United States by the American Academy of Pediatrics Committee on infectious Diseases, [1,15]. Our finding is however, lower than the 63-71% prevalence range reported in Dublin, Ireland, by Eis-Hubinger, and the 70% reported in United Kingdom and Finland among adults by Masssong et al [16,17]. It is however very high compare to the 2.0% incidence among blood donors in North Africa (Tunisian) and Western Europe (Belgian) reported by Letalef et al [18]. There is no clear explanation for this difference.  </w:t>
      </w:r>
    </w:p>
    <w:p w:rsidR="00E60A93" w:rsidRPr="00944902" w:rsidRDefault="00E60A93" w:rsidP="00E60A93">
      <w:pPr>
        <w:spacing w:line="480" w:lineRule="auto"/>
        <w:ind w:firstLine="720"/>
        <w:jc w:val="both"/>
        <w:rPr>
          <w:sz w:val="22"/>
          <w:szCs w:val="22"/>
        </w:rPr>
      </w:pPr>
      <w:r w:rsidRPr="00944902">
        <w:rPr>
          <w:sz w:val="22"/>
          <w:szCs w:val="22"/>
        </w:rPr>
        <w:t>The incidence of parvovirus according to age groups was observed to decrease simultaneously with increase in ages while the prevalence was found to increase with increase in age groupings. This trend could be due to chances of exposure to the infection with age. A report of increase seroprevalence with age and greater than 70% in adult’s populations was reported by Kerr et al, [19].</w:t>
      </w:r>
    </w:p>
    <w:p w:rsidR="00E60A93" w:rsidRPr="00944902" w:rsidRDefault="00E60A93" w:rsidP="00E60A93">
      <w:pPr>
        <w:spacing w:line="480" w:lineRule="auto"/>
        <w:ind w:firstLine="720"/>
        <w:jc w:val="both"/>
        <w:rPr>
          <w:sz w:val="22"/>
          <w:szCs w:val="22"/>
        </w:rPr>
      </w:pPr>
      <w:r w:rsidRPr="00944902">
        <w:rPr>
          <w:sz w:val="22"/>
          <w:szCs w:val="22"/>
        </w:rPr>
        <w:t xml:space="preserve">The outcome of the highest incidence (13.3%) and prevalence (31.1%) in the second trimester in the gestational age of pregnancy could probably be explained as susceptibility due to hormonal changes with progress in pregnancy. Since the presence of IgM antibodies signifies recent infection, it therefore poses the danger of transplacental transmission with the risk of fetal anaemia and demise highest in the first and second trimester especially for women infected prior to 20 weeks of gestation. A similar report was made by Markenson, and Enders et al [11,24]. </w:t>
      </w:r>
    </w:p>
    <w:p w:rsidR="00E60A93" w:rsidRPr="00944902" w:rsidRDefault="00E60A93" w:rsidP="00E60A93">
      <w:pPr>
        <w:spacing w:line="480" w:lineRule="auto"/>
        <w:jc w:val="both"/>
        <w:rPr>
          <w:sz w:val="22"/>
          <w:szCs w:val="22"/>
        </w:rPr>
      </w:pPr>
      <w:r w:rsidRPr="00944902">
        <w:rPr>
          <w:sz w:val="22"/>
          <w:szCs w:val="22"/>
        </w:rPr>
        <w:t xml:space="preserve">         The observation from the history of pregnancy complications, in which those with both miscarriage and still birth experience a higher parvovirus B19 incidence and prevalence when compared with those with no such history, further emphasizes the possible outcome of the effect of parvovirus B19 infection during pregnancy. </w:t>
      </w:r>
    </w:p>
    <w:p w:rsidR="00E60A93" w:rsidRPr="00944902" w:rsidRDefault="00E60A93" w:rsidP="00E60A93">
      <w:pPr>
        <w:spacing w:line="480" w:lineRule="auto"/>
        <w:ind w:firstLine="720"/>
        <w:jc w:val="both"/>
        <w:rPr>
          <w:sz w:val="22"/>
          <w:szCs w:val="22"/>
        </w:rPr>
      </w:pPr>
      <w:r w:rsidRPr="00944902">
        <w:rPr>
          <w:sz w:val="22"/>
          <w:szCs w:val="22"/>
        </w:rPr>
        <w:t>The outcome of the incidence and prevalence of parvovirus B19 antibodies among those with more number of children as against those with few or no children, suggests the involvement of contact with more number of children as a possible source of spread of the infection. However, previous reports identified children are the main sources of transmission, and outbreaks can persist for months in schools and day care centers, due to the relatively large number of seronegative children and close contact of children within this environment, [20,21]. A similar result was also reported by Xu et al, and Laura and Caraciolo [2,10]. The findings from our study was statistically significant at P&lt;0.05.</w:t>
      </w:r>
    </w:p>
    <w:p w:rsidR="00E60A93" w:rsidRPr="00944902" w:rsidRDefault="00E60A93" w:rsidP="00E60A93">
      <w:pPr>
        <w:spacing w:line="480" w:lineRule="auto"/>
        <w:ind w:firstLine="720"/>
        <w:jc w:val="both"/>
        <w:rPr>
          <w:sz w:val="22"/>
          <w:szCs w:val="22"/>
        </w:rPr>
      </w:pPr>
      <w:r w:rsidRPr="00944902">
        <w:rPr>
          <w:sz w:val="22"/>
          <w:szCs w:val="22"/>
        </w:rPr>
        <w:t>The incidence and prevalence obtained among those who have had blood transfusion as against those who have not also emphasizes the possible implication of blood transfusion in the transmission of the infection, especially if there is contamination. This study identifies the incidence to be statistically significant at P&lt;0.05. A report by Corcoran and Doyle, [3], observed that despite the fact that parvovirus B19 infection can be transmitted via contaminated blood products; there is presently no strict regulatory prerequisite governing B19 contamination of pooled plasma or blood products prior to products release.</w:t>
      </w:r>
    </w:p>
    <w:p w:rsidR="00E60A93" w:rsidRPr="00944902" w:rsidRDefault="00E60A93" w:rsidP="00E60A93">
      <w:pPr>
        <w:spacing w:line="480" w:lineRule="auto"/>
        <w:ind w:firstLine="720"/>
        <w:jc w:val="both"/>
        <w:rPr>
          <w:sz w:val="22"/>
          <w:szCs w:val="22"/>
        </w:rPr>
      </w:pPr>
      <w:r w:rsidRPr="00944902">
        <w:rPr>
          <w:sz w:val="22"/>
          <w:szCs w:val="22"/>
        </w:rPr>
        <w:t>The prevalence of B19 antibodies among housewives when considering the occupation of the pregnant women studied, may implicate household contact in the transmission of the infection. Previous studies reported that, the infection is commonly passed through respiratory tract secretions from close personal contact [2]. Statistically, there was no significant difference between B19 incidence and occupation during pregnancy but there was significant difference between B19 prevalence and occupation. A report of no significant differences found in maternal infection from occupational exposures was reported by Harger et al [22], and Valeur et al [23].</w:t>
      </w:r>
    </w:p>
    <w:p w:rsidR="00E60A93" w:rsidRPr="00944902" w:rsidRDefault="00E60A93" w:rsidP="00E60A93">
      <w:pPr>
        <w:spacing w:line="480" w:lineRule="auto"/>
        <w:ind w:firstLine="360"/>
        <w:jc w:val="both"/>
        <w:rPr>
          <w:sz w:val="22"/>
          <w:szCs w:val="22"/>
        </w:rPr>
      </w:pPr>
      <w:r w:rsidRPr="00944902">
        <w:rPr>
          <w:sz w:val="22"/>
          <w:szCs w:val="22"/>
        </w:rPr>
        <w:t xml:space="preserve">  The high incidence and prevalence of infection with B19 virus among the pregnant women and the known dangers posed in pregnancy raise transfusion policy questions in Nigeria. Like other blood-transmissible viral infections, routine screening for B19 virus infection before transfusion should, as a matter of policy, be made compulsory in Nigeria</w:t>
      </w:r>
      <w:r w:rsidR="003E5AE0" w:rsidRPr="00944902">
        <w:rPr>
          <w:sz w:val="22"/>
          <w:szCs w:val="22"/>
        </w:rPr>
        <w:t>.</w:t>
      </w:r>
    </w:p>
    <w:p w:rsidR="003E5AE0" w:rsidRDefault="00137A94" w:rsidP="00E60A93">
      <w:pPr>
        <w:spacing w:line="480" w:lineRule="auto"/>
        <w:ind w:firstLine="360"/>
        <w:jc w:val="both"/>
        <w:rPr>
          <w:b/>
          <w:sz w:val="22"/>
          <w:szCs w:val="22"/>
        </w:rPr>
      </w:pPr>
      <w:r w:rsidRPr="00137A94">
        <w:rPr>
          <w:b/>
          <w:sz w:val="22"/>
          <w:szCs w:val="22"/>
        </w:rPr>
        <w:t>CONFLICT OF INTEREST.</w:t>
      </w:r>
    </w:p>
    <w:p w:rsidR="00137A94" w:rsidRPr="00137A94" w:rsidRDefault="00137A94" w:rsidP="00E60A93">
      <w:pPr>
        <w:spacing w:line="480" w:lineRule="auto"/>
        <w:ind w:firstLine="360"/>
        <w:jc w:val="both"/>
        <w:rPr>
          <w:b/>
          <w:sz w:val="22"/>
          <w:szCs w:val="22"/>
        </w:rPr>
      </w:pPr>
      <w:r>
        <w:rPr>
          <w:b/>
          <w:sz w:val="22"/>
          <w:szCs w:val="22"/>
        </w:rPr>
        <w:t>There is no any conflict of interest.</w:t>
      </w:r>
    </w:p>
    <w:p w:rsidR="00514473" w:rsidRPr="00944902" w:rsidRDefault="00514473" w:rsidP="00E60A93">
      <w:pPr>
        <w:spacing w:line="480" w:lineRule="auto"/>
        <w:ind w:firstLine="360"/>
        <w:jc w:val="both"/>
        <w:rPr>
          <w:sz w:val="22"/>
          <w:szCs w:val="22"/>
        </w:rPr>
      </w:pPr>
    </w:p>
    <w:p w:rsidR="003E5AE0" w:rsidRPr="00944902" w:rsidRDefault="003E5AE0" w:rsidP="003E5AE0">
      <w:pPr>
        <w:spacing w:line="480" w:lineRule="auto"/>
        <w:jc w:val="both"/>
        <w:rPr>
          <w:sz w:val="22"/>
          <w:szCs w:val="22"/>
        </w:rPr>
      </w:pPr>
      <w:r w:rsidRPr="00944902">
        <w:rPr>
          <w:b/>
          <w:sz w:val="22"/>
          <w:szCs w:val="22"/>
        </w:rPr>
        <w:t xml:space="preserve">                                                </w:t>
      </w:r>
      <w:r w:rsidRPr="00944902">
        <w:rPr>
          <w:sz w:val="22"/>
          <w:szCs w:val="22"/>
        </w:rPr>
        <w:t xml:space="preserve">     </w:t>
      </w:r>
      <w:r w:rsidRPr="00944902">
        <w:rPr>
          <w:b/>
          <w:color w:val="000000"/>
          <w:sz w:val="22"/>
          <w:szCs w:val="22"/>
        </w:rPr>
        <w:t>REFERENCES</w:t>
      </w:r>
    </w:p>
    <w:p w:rsidR="003E5AE0" w:rsidRPr="00944902" w:rsidRDefault="003E5AE0" w:rsidP="003E5AE0">
      <w:pPr>
        <w:pStyle w:val="ListParagraph"/>
        <w:numPr>
          <w:ilvl w:val="0"/>
          <w:numId w:val="1"/>
        </w:numPr>
        <w:spacing w:afterLines="160" w:after="384" w:line="480" w:lineRule="auto"/>
        <w:jc w:val="both"/>
        <w:rPr>
          <w:sz w:val="22"/>
          <w:szCs w:val="22"/>
        </w:rPr>
      </w:pPr>
      <w:bookmarkStart w:id="1" w:name="H2-1"/>
      <w:bookmarkEnd w:id="1"/>
      <w:r w:rsidRPr="00944902">
        <w:rPr>
          <w:sz w:val="22"/>
          <w:szCs w:val="22"/>
        </w:rPr>
        <w:t xml:space="preserve">American Academy of Pediatrics Committee on infectious Diseases (1990). Parvovirus, Erythema infectiosum, and pregnancy. Pediatrics, 85:131. </w:t>
      </w:r>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Xu J, Raff TC, Muallem NS, Nenmert AG (2003) Hydrops fetals secondary to parvovirus B19 infection. Journal of America Board of family practice, 16:63-68. </w:t>
      </w:r>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 Corcoran A and Doyle S (2004) Advances in the biology, diagnosis and host-pathogen interactions of parvovirus B19. </w:t>
      </w:r>
      <w:r w:rsidRPr="00944902">
        <w:rPr>
          <w:iCs/>
          <w:color w:val="000000"/>
          <w:sz w:val="22"/>
          <w:szCs w:val="22"/>
        </w:rPr>
        <w:t>Journal of Medical Microbiology,</w:t>
      </w:r>
      <w:r w:rsidRPr="00944902">
        <w:rPr>
          <w:color w:val="000000"/>
          <w:sz w:val="22"/>
          <w:szCs w:val="22"/>
        </w:rPr>
        <w:t xml:space="preserve"> </w:t>
      </w:r>
      <w:r w:rsidRPr="00944902">
        <w:rPr>
          <w:b/>
          <w:bCs/>
          <w:color w:val="000000"/>
          <w:sz w:val="22"/>
          <w:szCs w:val="22"/>
        </w:rPr>
        <w:t>53</w:t>
      </w:r>
      <w:r w:rsidRPr="00944902">
        <w:rPr>
          <w:color w:val="000000"/>
          <w:sz w:val="22"/>
          <w:szCs w:val="22"/>
        </w:rPr>
        <w:t>: 459–475.</w:t>
      </w:r>
      <w:bookmarkStart w:id="2" w:name="H32-1"/>
      <w:bookmarkStart w:id="3" w:name="H33-1"/>
      <w:bookmarkEnd w:id="2"/>
      <w:bookmarkEnd w:id="3"/>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Miller E, Fairley CK, Cohen BJ, and Seng C (1998) Immediate and long term outcome of human parvovirus B19 infection in pregnancy. </w:t>
      </w:r>
      <w:r w:rsidRPr="00944902">
        <w:rPr>
          <w:iCs/>
          <w:color w:val="000000"/>
          <w:sz w:val="22"/>
          <w:szCs w:val="22"/>
        </w:rPr>
        <w:t>British Journal of Obstetrics and Gynaecology</w:t>
      </w:r>
      <w:r w:rsidRPr="00944902">
        <w:rPr>
          <w:i/>
          <w:iCs/>
          <w:color w:val="000000"/>
          <w:sz w:val="22"/>
          <w:szCs w:val="22"/>
        </w:rPr>
        <w:t>,</w:t>
      </w:r>
      <w:r w:rsidRPr="00944902">
        <w:rPr>
          <w:color w:val="000000"/>
          <w:sz w:val="22"/>
          <w:szCs w:val="22"/>
        </w:rPr>
        <w:t xml:space="preserve"> </w:t>
      </w:r>
      <w:r w:rsidRPr="00944902">
        <w:rPr>
          <w:bCs/>
          <w:color w:val="000000"/>
          <w:sz w:val="22"/>
          <w:szCs w:val="22"/>
        </w:rPr>
        <w:t>105</w:t>
      </w:r>
      <w:r w:rsidRPr="00944902">
        <w:rPr>
          <w:color w:val="000000"/>
          <w:sz w:val="22"/>
          <w:szCs w:val="22"/>
        </w:rPr>
        <w:t>: 174–178.</w:t>
      </w:r>
      <w:bookmarkStart w:id="4" w:name="H108-1"/>
      <w:bookmarkStart w:id="5" w:name="H109-1"/>
      <w:bookmarkStart w:id="6" w:name="H110-1"/>
      <w:bookmarkEnd w:id="4"/>
      <w:bookmarkEnd w:id="5"/>
      <w:bookmarkEnd w:id="6"/>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Skjoldebrand-Sparre L, Tolfvenstam T, Papadogiannakis N, Wahren B, Broliden K, and Nyman M (2000) Parvovirus B19 infection: association with third-trimester intrauterine fetal death. </w:t>
      </w:r>
      <w:r w:rsidRPr="00944902">
        <w:rPr>
          <w:iCs/>
          <w:color w:val="000000"/>
          <w:sz w:val="22"/>
          <w:szCs w:val="22"/>
        </w:rPr>
        <w:t>British Journal of Obstetrics and Gynaecology,</w:t>
      </w:r>
      <w:r w:rsidRPr="00944902">
        <w:rPr>
          <w:color w:val="000000"/>
          <w:sz w:val="22"/>
          <w:szCs w:val="22"/>
        </w:rPr>
        <w:t xml:space="preserve"> </w:t>
      </w:r>
      <w:r w:rsidRPr="00944902">
        <w:rPr>
          <w:bCs/>
          <w:color w:val="000000"/>
          <w:sz w:val="22"/>
          <w:szCs w:val="22"/>
        </w:rPr>
        <w:t>107</w:t>
      </w:r>
      <w:r w:rsidRPr="00944902">
        <w:rPr>
          <w:color w:val="000000"/>
          <w:sz w:val="22"/>
          <w:szCs w:val="22"/>
        </w:rPr>
        <w:t>: 476–480.</w:t>
      </w:r>
      <w:bookmarkStart w:id="7" w:name="H161-1"/>
      <w:bookmarkStart w:id="8" w:name="H162-1"/>
      <w:bookmarkEnd w:id="7"/>
      <w:bookmarkEnd w:id="8"/>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Cossart YE, Field AM, Cant B and Widdows D (1975) Parvovirus-like particles in human sera. </w:t>
      </w:r>
      <w:r w:rsidRPr="00944902">
        <w:rPr>
          <w:iCs/>
          <w:color w:val="000000"/>
          <w:sz w:val="22"/>
          <w:szCs w:val="22"/>
        </w:rPr>
        <w:t>Lancet,</w:t>
      </w:r>
      <w:r w:rsidRPr="00944902">
        <w:rPr>
          <w:i/>
          <w:iCs/>
          <w:color w:val="000000"/>
          <w:sz w:val="22"/>
          <w:szCs w:val="22"/>
        </w:rPr>
        <w:t xml:space="preserve"> </w:t>
      </w:r>
      <w:r w:rsidRPr="00944902">
        <w:rPr>
          <w:iCs/>
          <w:color w:val="000000"/>
          <w:sz w:val="22"/>
          <w:szCs w:val="22"/>
        </w:rPr>
        <w:t>1:</w:t>
      </w:r>
      <w:r w:rsidRPr="00944902">
        <w:rPr>
          <w:color w:val="000000"/>
          <w:sz w:val="22"/>
          <w:szCs w:val="22"/>
        </w:rPr>
        <w:t xml:space="preserve"> 72–73.</w:t>
      </w:r>
      <w:bookmarkStart w:id="9" w:name="H34-1"/>
      <w:bookmarkEnd w:id="9"/>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Woolf AD and Cohen BJ (1995) Parvovirus B19 and chronic arthritis – causal or casual association. </w:t>
      </w:r>
      <w:r w:rsidRPr="00944902">
        <w:rPr>
          <w:iCs/>
          <w:color w:val="000000"/>
          <w:sz w:val="22"/>
          <w:szCs w:val="22"/>
        </w:rPr>
        <w:t>Annal of Rheumatoid Diseases,</w:t>
      </w:r>
      <w:r w:rsidRPr="00944902">
        <w:rPr>
          <w:color w:val="000000"/>
          <w:sz w:val="22"/>
          <w:szCs w:val="22"/>
        </w:rPr>
        <w:t xml:space="preserve"> </w:t>
      </w:r>
      <w:r w:rsidRPr="00944902">
        <w:rPr>
          <w:bCs/>
          <w:color w:val="000000"/>
          <w:sz w:val="22"/>
          <w:szCs w:val="22"/>
        </w:rPr>
        <w:t>54</w:t>
      </w:r>
      <w:r w:rsidRPr="00944902">
        <w:rPr>
          <w:color w:val="000000"/>
          <w:sz w:val="22"/>
          <w:szCs w:val="22"/>
        </w:rPr>
        <w:t xml:space="preserve">: 535–536. </w:t>
      </w:r>
      <w:bookmarkStart w:id="10" w:name="H189-1"/>
      <w:bookmarkEnd w:id="10"/>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Van Elsacker-Niele AM, Salimans MM, Weiand HT et al (1989) Fetal pathology in human parvovirus B19 infection. Britain Journal of Obstetrics and Gynaecology, 96: 768- 775.</w:t>
      </w:r>
    </w:p>
    <w:p w:rsidR="003E5AE0" w:rsidRPr="00944902" w:rsidRDefault="003E5AE0" w:rsidP="003E5AE0">
      <w:pPr>
        <w:pStyle w:val="ListParagraph"/>
        <w:numPr>
          <w:ilvl w:val="0"/>
          <w:numId w:val="1"/>
        </w:numPr>
        <w:spacing w:afterLines="160" w:after="384" w:line="480" w:lineRule="auto"/>
        <w:jc w:val="both"/>
        <w:rPr>
          <w:color w:val="000000"/>
          <w:sz w:val="22"/>
          <w:szCs w:val="22"/>
          <w:lang w:val="pt-BR"/>
        </w:rPr>
      </w:pPr>
      <w:r w:rsidRPr="00944902">
        <w:rPr>
          <w:color w:val="000000"/>
          <w:sz w:val="22"/>
          <w:szCs w:val="22"/>
        </w:rPr>
        <w:t xml:space="preserve">Morey AL, Ferguson DJ and Fleming KA (1993) Ultra structural features of fetal erythroid precursors infected with parvovirus B19 </w:t>
      </w:r>
      <w:r w:rsidRPr="00944902">
        <w:rPr>
          <w:i/>
          <w:iCs/>
          <w:color w:val="000000"/>
          <w:sz w:val="22"/>
          <w:szCs w:val="22"/>
        </w:rPr>
        <w:t>in vitro</w:t>
      </w:r>
      <w:r w:rsidRPr="00944902">
        <w:rPr>
          <w:color w:val="000000"/>
          <w:sz w:val="22"/>
          <w:szCs w:val="22"/>
        </w:rPr>
        <w:t xml:space="preserve">: evidence of cell death by apoptosis. </w:t>
      </w:r>
      <w:r w:rsidRPr="00944902">
        <w:rPr>
          <w:iCs/>
          <w:color w:val="000000"/>
          <w:sz w:val="22"/>
          <w:szCs w:val="22"/>
          <w:lang w:val="pt-BR"/>
        </w:rPr>
        <w:t>Journal of Pathology,</w:t>
      </w:r>
      <w:r w:rsidRPr="00944902">
        <w:rPr>
          <w:color w:val="000000"/>
          <w:sz w:val="22"/>
          <w:szCs w:val="22"/>
          <w:lang w:val="pt-BR"/>
        </w:rPr>
        <w:t xml:space="preserve"> </w:t>
      </w:r>
      <w:r w:rsidRPr="00944902">
        <w:rPr>
          <w:bCs/>
          <w:color w:val="000000"/>
          <w:sz w:val="22"/>
          <w:szCs w:val="22"/>
          <w:lang w:val="pt-BR"/>
        </w:rPr>
        <w:t>169</w:t>
      </w:r>
      <w:r w:rsidRPr="00944902">
        <w:rPr>
          <w:color w:val="000000"/>
          <w:sz w:val="22"/>
          <w:szCs w:val="22"/>
          <w:lang w:val="pt-BR"/>
        </w:rPr>
        <w:t>: 213–220.</w:t>
      </w:r>
      <w:bookmarkStart w:id="11" w:name="H115-1"/>
      <w:bookmarkEnd w:id="11"/>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 </w:t>
      </w:r>
      <w:r w:rsidRPr="00944902">
        <w:rPr>
          <w:color w:val="000000"/>
          <w:sz w:val="22"/>
          <w:szCs w:val="22"/>
        </w:rPr>
        <w:t>Laura E Riley, Caraciolo J Fernandes</w:t>
      </w:r>
      <w:r w:rsidRPr="00944902">
        <w:rPr>
          <w:bCs/>
          <w:color w:val="000000"/>
          <w:sz w:val="22"/>
          <w:szCs w:val="22"/>
        </w:rPr>
        <w:t>,(2008)</w:t>
      </w:r>
      <w:r w:rsidRPr="00944902">
        <w:rPr>
          <w:color w:val="000000"/>
          <w:sz w:val="22"/>
          <w:szCs w:val="22"/>
        </w:rPr>
        <w:t xml:space="preserve"> The incidence of human parvovirus B19 infection during pregnancy and its impact on perinatal outcome: Parvovirus B19 infection in fetal deaths. Clinical Infectious Diseases; 47:1519. </w:t>
      </w:r>
      <w:r w:rsidRPr="00944902">
        <w:rPr>
          <w:sz w:val="22"/>
          <w:szCs w:val="22"/>
        </w:rPr>
        <w:t xml:space="preserve">  </w:t>
      </w:r>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 Markenson GR, Yancey ML (1998). Parvovirus B19 infections in pregnancy.  Seminar on perinatology, 22:309.</w:t>
      </w:r>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lang w:val="da-DK"/>
        </w:rPr>
        <w:t xml:space="preserve"> Wegner CS and Jordan JA (2002). </w:t>
      </w:r>
      <w:r w:rsidRPr="00944902">
        <w:rPr>
          <w:color w:val="000000"/>
          <w:sz w:val="22"/>
          <w:szCs w:val="22"/>
        </w:rPr>
        <w:t xml:space="preserve">Human parvovirus B19 binds placental    cytotrophoblast cells via globoside receptor. Poster presented at the </w:t>
      </w:r>
      <w:r w:rsidRPr="00944902">
        <w:rPr>
          <w:i/>
          <w:iCs/>
          <w:color w:val="000000"/>
          <w:sz w:val="22"/>
          <w:szCs w:val="22"/>
        </w:rPr>
        <w:t>IX   Parvovirus Workshop</w:t>
      </w:r>
      <w:r w:rsidRPr="00944902">
        <w:rPr>
          <w:color w:val="000000"/>
          <w:sz w:val="22"/>
          <w:szCs w:val="22"/>
        </w:rPr>
        <w:t>, Bologna, Italy, 28–31 August 2002.</w:t>
      </w:r>
      <w:bookmarkStart w:id="12" w:name="H184-1"/>
      <w:bookmarkStart w:id="13" w:name="H185-1"/>
      <w:bookmarkStart w:id="14" w:name="H186-1"/>
      <w:bookmarkStart w:id="15" w:name="H187-1"/>
      <w:bookmarkStart w:id="16" w:name="H188-1"/>
      <w:bookmarkEnd w:id="12"/>
      <w:bookmarkEnd w:id="13"/>
      <w:bookmarkEnd w:id="14"/>
      <w:bookmarkEnd w:id="15"/>
      <w:bookmarkEnd w:id="16"/>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 Jos-Wikipedia (2009). The free encyclopedia</w:t>
      </w:r>
      <w:r w:rsidRPr="00944902">
        <w:rPr>
          <w:i/>
          <w:sz w:val="22"/>
          <w:szCs w:val="22"/>
        </w:rPr>
        <w:t>.</w:t>
      </w:r>
      <w:r w:rsidRPr="00944902">
        <w:rPr>
          <w:sz w:val="22"/>
          <w:szCs w:val="22"/>
        </w:rPr>
        <w:t xml:space="preserve"> http://en.wikipedia.org/wiki/Jos </w:t>
      </w:r>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sz w:val="22"/>
          <w:szCs w:val="22"/>
        </w:rPr>
        <w:t xml:space="preserve"> Keikha F, Miri-Moghaddam E and Sharifi-Mood B (2006). Prevalence of parvovirus B19 infection in successful and unsuccessful pregnancy in Zahedan, south east of Iran. Journal of Medical Science, 6(3): 495-497. </w:t>
      </w:r>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 Kaur P and Basu S (2005). Transfussion-Trasmitted infections. Existing and emerging pathogens. Journal of Postgraduate Medicine; 51:146-151</w:t>
      </w:r>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color w:val="000000"/>
          <w:sz w:val="22"/>
          <w:szCs w:val="22"/>
          <w:lang w:val="de-DE"/>
        </w:rPr>
        <w:t xml:space="preserve"> Eis-Hübinger</w:t>
      </w:r>
      <w:r w:rsidRPr="00944902">
        <w:rPr>
          <w:sz w:val="22"/>
          <w:szCs w:val="22"/>
          <w:lang w:val="de-DE"/>
        </w:rPr>
        <w:t xml:space="preserve"> AM, Dieck D, Schild R, Hansmann M and Schneweis KE (1998). </w:t>
      </w:r>
      <w:r w:rsidRPr="00944902">
        <w:rPr>
          <w:sz w:val="22"/>
          <w:szCs w:val="22"/>
        </w:rPr>
        <w:t>Pavorius B19 infection in pregnancy. Intervirology,</w:t>
      </w:r>
      <w:r w:rsidRPr="00944902">
        <w:rPr>
          <w:b/>
          <w:sz w:val="22"/>
          <w:szCs w:val="22"/>
        </w:rPr>
        <w:t xml:space="preserve"> </w:t>
      </w:r>
      <w:r w:rsidRPr="00944902">
        <w:rPr>
          <w:sz w:val="22"/>
          <w:szCs w:val="22"/>
        </w:rPr>
        <w:t>41:178-184.</w:t>
      </w:r>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 Mossong JN, Hens V, Frienderich I, Davidkin M, Broman B, Litwinska J, Siennicka A, Trzeinska PV, Damme P, Bentel A, Vyse Z, Shkedy M, Aerts M, Massari and Gabitti G (2007). Parvovirus B19 infection in five European Countries; seroepidemiology, force of infection and maternal risk of infection. Epidemiology of infection (E-Publish ahead of print). </w:t>
      </w:r>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lang w:val="nl-NL"/>
        </w:rPr>
        <w:t xml:space="preserve"> Letalef M, Vanham G, Boukef K, Yacoub S, Muylle L, Mertens G (1998). </w:t>
      </w:r>
      <w:r w:rsidRPr="00944902">
        <w:rPr>
          <w:sz w:val="22"/>
          <w:szCs w:val="22"/>
        </w:rPr>
        <w:t>High prevalence of parvovirus B19 in Belgian as compared to Tunisian Blood donors: Differential implication for prevention of transfusional transmission. British Journal of Obstetrics and Gynaecology,</w:t>
      </w:r>
      <w:r w:rsidRPr="00944902">
        <w:rPr>
          <w:i/>
          <w:sz w:val="22"/>
          <w:szCs w:val="22"/>
        </w:rPr>
        <w:t xml:space="preserve"> </w:t>
      </w:r>
      <w:r w:rsidRPr="00944902">
        <w:rPr>
          <w:sz w:val="22"/>
          <w:szCs w:val="22"/>
        </w:rPr>
        <w:t>105: 174-178.</w:t>
      </w:r>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 Kerr S, O'Keeffe G, Kilty C, and Doyle S (1999). Undenatured parvovirus B19 antigens are essential for the accurate detection of parvovirus B19 IgG. </w:t>
      </w:r>
      <w:r w:rsidRPr="00944902">
        <w:rPr>
          <w:iCs/>
          <w:color w:val="000000"/>
          <w:sz w:val="22"/>
          <w:szCs w:val="22"/>
        </w:rPr>
        <w:t>Journal of Medical Virology,</w:t>
      </w:r>
      <w:r w:rsidRPr="00944902">
        <w:rPr>
          <w:color w:val="000000"/>
          <w:sz w:val="22"/>
          <w:szCs w:val="22"/>
        </w:rPr>
        <w:t xml:space="preserve"> </w:t>
      </w:r>
      <w:r w:rsidRPr="00944902">
        <w:rPr>
          <w:bCs/>
          <w:color w:val="000000"/>
          <w:sz w:val="22"/>
          <w:szCs w:val="22"/>
        </w:rPr>
        <w:t>57</w:t>
      </w:r>
      <w:r w:rsidRPr="00944902">
        <w:rPr>
          <w:color w:val="000000"/>
          <w:sz w:val="22"/>
          <w:szCs w:val="22"/>
        </w:rPr>
        <w:t>: 179–185.</w:t>
      </w:r>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 Tuckerman JG, Brown T and Cohen BJ (1986). Erythema infectiosum in a  village primary school: clinical and virological studies. </w:t>
      </w:r>
      <w:r w:rsidRPr="00944902">
        <w:rPr>
          <w:iCs/>
          <w:color w:val="000000"/>
          <w:sz w:val="22"/>
          <w:szCs w:val="22"/>
        </w:rPr>
        <w:t>Journal of Royal College of  General Practitioners</w:t>
      </w:r>
      <w:r w:rsidRPr="00944902">
        <w:rPr>
          <w:i/>
          <w:iCs/>
          <w:color w:val="000000"/>
          <w:sz w:val="22"/>
          <w:szCs w:val="22"/>
        </w:rPr>
        <w:t>,</w:t>
      </w:r>
      <w:r w:rsidRPr="00944902">
        <w:rPr>
          <w:color w:val="000000"/>
          <w:sz w:val="22"/>
          <w:szCs w:val="22"/>
        </w:rPr>
        <w:t xml:space="preserve"> </w:t>
      </w:r>
      <w:r w:rsidRPr="00944902">
        <w:rPr>
          <w:bCs/>
          <w:color w:val="000000"/>
          <w:sz w:val="22"/>
          <w:szCs w:val="22"/>
        </w:rPr>
        <w:t>36</w:t>
      </w:r>
      <w:r w:rsidRPr="00944902">
        <w:rPr>
          <w:color w:val="000000"/>
          <w:sz w:val="22"/>
          <w:szCs w:val="22"/>
        </w:rPr>
        <w:t>: 267–270.</w:t>
      </w:r>
      <w:bookmarkStart w:id="17" w:name="H172-1"/>
      <w:bookmarkStart w:id="18" w:name="H173-1"/>
      <w:bookmarkEnd w:id="17"/>
      <w:bookmarkEnd w:id="18"/>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rPr>
        <w:t xml:space="preserve"> Grilli EA, Anderson AJ, and Hoskins TW (1989). Concurrent outbreaks of influenza and parvovirus B19 in a boys’ boarding school. </w:t>
      </w:r>
      <w:r w:rsidRPr="00944902">
        <w:rPr>
          <w:iCs/>
          <w:color w:val="000000"/>
          <w:sz w:val="22"/>
          <w:szCs w:val="22"/>
        </w:rPr>
        <w:t>Epidemiology of Infection</w:t>
      </w:r>
      <w:r w:rsidRPr="00944902">
        <w:rPr>
          <w:i/>
          <w:iCs/>
          <w:color w:val="000000"/>
          <w:sz w:val="22"/>
          <w:szCs w:val="22"/>
        </w:rPr>
        <w:t>,</w:t>
      </w:r>
      <w:r w:rsidRPr="00944902">
        <w:rPr>
          <w:color w:val="000000"/>
          <w:sz w:val="22"/>
          <w:szCs w:val="22"/>
        </w:rPr>
        <w:t xml:space="preserve"> </w:t>
      </w:r>
      <w:r w:rsidRPr="00944902">
        <w:rPr>
          <w:bCs/>
          <w:color w:val="000000"/>
          <w:sz w:val="22"/>
          <w:szCs w:val="22"/>
        </w:rPr>
        <w:t>103</w:t>
      </w:r>
      <w:r w:rsidRPr="00944902">
        <w:rPr>
          <w:color w:val="000000"/>
          <w:sz w:val="22"/>
          <w:szCs w:val="22"/>
        </w:rPr>
        <w:t>: 359–369.</w:t>
      </w:r>
      <w:bookmarkStart w:id="19" w:name="H56-1"/>
      <w:bookmarkStart w:id="20" w:name="H57-1"/>
      <w:bookmarkEnd w:id="19"/>
      <w:bookmarkEnd w:id="20"/>
    </w:p>
    <w:p w:rsidR="003E5AE0" w:rsidRPr="00944902" w:rsidRDefault="003E5AE0" w:rsidP="003E5AE0">
      <w:pPr>
        <w:pStyle w:val="ListParagraph"/>
        <w:numPr>
          <w:ilvl w:val="0"/>
          <w:numId w:val="1"/>
        </w:numPr>
        <w:spacing w:afterLines="160" w:after="384" w:line="480" w:lineRule="auto"/>
        <w:jc w:val="both"/>
        <w:rPr>
          <w:sz w:val="22"/>
          <w:szCs w:val="22"/>
        </w:rPr>
      </w:pPr>
      <w:r w:rsidRPr="00944902">
        <w:rPr>
          <w:sz w:val="22"/>
          <w:szCs w:val="22"/>
        </w:rPr>
        <w:t xml:space="preserve"> Harger JH, Adler SP, Koch WC, and Harger GF (1998). Prospective evaluation of 618 pregnant women exposed to parvovirus B19: risk and symptoms</w:t>
      </w:r>
      <w:r w:rsidRPr="00944902">
        <w:rPr>
          <w:i/>
          <w:sz w:val="22"/>
          <w:szCs w:val="22"/>
        </w:rPr>
        <w:t xml:space="preserve">. </w:t>
      </w:r>
      <w:r w:rsidRPr="00944902">
        <w:rPr>
          <w:sz w:val="22"/>
          <w:szCs w:val="22"/>
        </w:rPr>
        <w:t>Obstetrics and Gynecology, 91: 413-420.</w:t>
      </w:r>
    </w:p>
    <w:p w:rsidR="003E5AE0" w:rsidRPr="00944902" w:rsidRDefault="003E5AE0" w:rsidP="003E5AE0">
      <w:pPr>
        <w:pStyle w:val="ListParagraph"/>
        <w:numPr>
          <w:ilvl w:val="0"/>
          <w:numId w:val="1"/>
        </w:numPr>
        <w:spacing w:afterLines="160" w:after="384" w:line="480" w:lineRule="auto"/>
        <w:jc w:val="both"/>
        <w:rPr>
          <w:color w:val="000000"/>
          <w:sz w:val="22"/>
          <w:szCs w:val="22"/>
        </w:rPr>
      </w:pPr>
      <w:r w:rsidRPr="00944902">
        <w:rPr>
          <w:color w:val="000000"/>
          <w:sz w:val="22"/>
          <w:szCs w:val="22"/>
          <w:lang w:val="da-DK"/>
        </w:rPr>
        <w:t xml:space="preserve"> Valeur-Jensen AK, Pedersen CB, Westergaard T, Jensen IP, Lebech M, Andersen PK, Aaby P, Pedersen BN and Melbye M (1999). </w:t>
      </w:r>
      <w:r w:rsidRPr="00944902">
        <w:rPr>
          <w:color w:val="000000"/>
          <w:sz w:val="22"/>
          <w:szCs w:val="22"/>
        </w:rPr>
        <w:t xml:space="preserve">Risk factors for parvovirus B19 infection in pregnancy. </w:t>
      </w:r>
      <w:r w:rsidRPr="00944902">
        <w:rPr>
          <w:iCs/>
          <w:color w:val="000000"/>
          <w:sz w:val="22"/>
          <w:szCs w:val="22"/>
        </w:rPr>
        <w:t>Journal of American Medical Association;</w:t>
      </w:r>
      <w:r w:rsidRPr="00944902">
        <w:rPr>
          <w:color w:val="000000"/>
          <w:sz w:val="22"/>
          <w:szCs w:val="22"/>
        </w:rPr>
        <w:t xml:space="preserve"> </w:t>
      </w:r>
      <w:r w:rsidRPr="00944902">
        <w:rPr>
          <w:bCs/>
          <w:color w:val="000000"/>
          <w:sz w:val="22"/>
          <w:szCs w:val="22"/>
        </w:rPr>
        <w:t>281</w:t>
      </w:r>
      <w:r w:rsidRPr="00944902">
        <w:rPr>
          <w:color w:val="000000"/>
          <w:sz w:val="22"/>
          <w:szCs w:val="22"/>
        </w:rPr>
        <w:t>: 1099–1105.</w:t>
      </w:r>
    </w:p>
    <w:p w:rsidR="003E5AE0" w:rsidRPr="00944902" w:rsidRDefault="00E26258" w:rsidP="003E5AE0">
      <w:pPr>
        <w:pStyle w:val="ListParagraph"/>
        <w:numPr>
          <w:ilvl w:val="0"/>
          <w:numId w:val="1"/>
        </w:numPr>
        <w:spacing w:afterLines="160" w:after="384" w:line="480" w:lineRule="auto"/>
        <w:jc w:val="both"/>
        <w:rPr>
          <w:color w:val="000000"/>
          <w:sz w:val="22"/>
          <w:szCs w:val="22"/>
        </w:rPr>
      </w:pPr>
      <w:hyperlink r:id="rId9" w:history="1">
        <w:r w:rsidR="003E5AE0" w:rsidRPr="00944902">
          <w:rPr>
            <w:rStyle w:val="Hyperlink"/>
            <w:color w:val="000000" w:themeColor="text1"/>
            <w:sz w:val="22"/>
            <w:szCs w:val="22"/>
          </w:rPr>
          <w:t>Enders M</w:t>
        </w:r>
      </w:hyperlink>
      <w:r w:rsidR="003E5AE0" w:rsidRPr="00944902">
        <w:rPr>
          <w:color w:val="000000" w:themeColor="text1"/>
          <w:sz w:val="22"/>
          <w:szCs w:val="22"/>
        </w:rPr>
        <w:t xml:space="preserve">, </w:t>
      </w:r>
      <w:hyperlink r:id="rId10" w:history="1">
        <w:r w:rsidR="003E5AE0" w:rsidRPr="00944902">
          <w:rPr>
            <w:rStyle w:val="Hyperlink"/>
            <w:color w:val="000000" w:themeColor="text1"/>
            <w:sz w:val="22"/>
            <w:szCs w:val="22"/>
          </w:rPr>
          <w:t>Schalasta G</w:t>
        </w:r>
      </w:hyperlink>
      <w:r w:rsidR="003E5AE0" w:rsidRPr="00944902">
        <w:rPr>
          <w:color w:val="000000" w:themeColor="text1"/>
          <w:sz w:val="22"/>
          <w:szCs w:val="22"/>
        </w:rPr>
        <w:t xml:space="preserve">, </w:t>
      </w:r>
      <w:hyperlink r:id="rId11" w:history="1">
        <w:r w:rsidR="003E5AE0" w:rsidRPr="00944902">
          <w:rPr>
            <w:rStyle w:val="Hyperlink"/>
            <w:color w:val="000000" w:themeColor="text1"/>
            <w:sz w:val="22"/>
            <w:szCs w:val="22"/>
          </w:rPr>
          <w:t>Baisch C</w:t>
        </w:r>
      </w:hyperlink>
      <w:r w:rsidR="003E5AE0" w:rsidRPr="00944902">
        <w:rPr>
          <w:color w:val="000000" w:themeColor="text1"/>
          <w:sz w:val="22"/>
          <w:szCs w:val="22"/>
        </w:rPr>
        <w:t xml:space="preserve">, </w:t>
      </w:r>
      <w:hyperlink r:id="rId12" w:history="1">
        <w:r w:rsidR="003E5AE0" w:rsidRPr="00944902">
          <w:rPr>
            <w:rStyle w:val="Hyperlink"/>
            <w:color w:val="000000" w:themeColor="text1"/>
            <w:sz w:val="22"/>
            <w:szCs w:val="22"/>
          </w:rPr>
          <w:t>Weidner A</w:t>
        </w:r>
      </w:hyperlink>
      <w:r w:rsidR="003E5AE0" w:rsidRPr="00944902">
        <w:rPr>
          <w:color w:val="000000" w:themeColor="text1"/>
          <w:sz w:val="22"/>
          <w:szCs w:val="22"/>
        </w:rPr>
        <w:t xml:space="preserve">, </w:t>
      </w:r>
      <w:hyperlink r:id="rId13" w:history="1">
        <w:r w:rsidR="003E5AE0" w:rsidRPr="00944902">
          <w:rPr>
            <w:rStyle w:val="Hyperlink"/>
            <w:color w:val="000000" w:themeColor="text1"/>
            <w:sz w:val="22"/>
            <w:szCs w:val="22"/>
          </w:rPr>
          <w:t>Pukkila L</w:t>
        </w:r>
      </w:hyperlink>
      <w:r w:rsidR="003E5AE0" w:rsidRPr="00944902">
        <w:rPr>
          <w:color w:val="000000" w:themeColor="text1"/>
          <w:sz w:val="22"/>
          <w:szCs w:val="22"/>
        </w:rPr>
        <w:t xml:space="preserve">, </w:t>
      </w:r>
      <w:hyperlink r:id="rId14" w:history="1">
        <w:r w:rsidR="003E5AE0" w:rsidRPr="00944902">
          <w:rPr>
            <w:rStyle w:val="Hyperlink"/>
            <w:color w:val="000000" w:themeColor="text1"/>
            <w:sz w:val="22"/>
            <w:szCs w:val="22"/>
          </w:rPr>
          <w:t>Kaikkonen L</w:t>
        </w:r>
      </w:hyperlink>
      <w:r w:rsidR="003E5AE0" w:rsidRPr="00944902">
        <w:rPr>
          <w:color w:val="000000" w:themeColor="text1"/>
          <w:sz w:val="22"/>
          <w:szCs w:val="22"/>
        </w:rPr>
        <w:t xml:space="preserve">, </w:t>
      </w:r>
      <w:hyperlink r:id="rId15" w:history="1">
        <w:r w:rsidR="003E5AE0" w:rsidRPr="00944902">
          <w:rPr>
            <w:rStyle w:val="Hyperlink"/>
            <w:color w:val="000000" w:themeColor="text1"/>
            <w:sz w:val="22"/>
            <w:szCs w:val="22"/>
          </w:rPr>
          <w:t>Lankinen H</w:t>
        </w:r>
      </w:hyperlink>
      <w:r w:rsidR="003E5AE0" w:rsidRPr="00944902">
        <w:rPr>
          <w:color w:val="000000" w:themeColor="text1"/>
          <w:sz w:val="22"/>
          <w:szCs w:val="22"/>
        </w:rPr>
        <w:t xml:space="preserve">, </w:t>
      </w:r>
      <w:bookmarkStart w:id="21" w:name="H174-1"/>
      <w:bookmarkStart w:id="22" w:name="H175-1"/>
      <w:bookmarkStart w:id="23" w:name="H176-1"/>
      <w:bookmarkStart w:id="24" w:name="H177-1"/>
      <w:bookmarkStart w:id="25" w:name="H178-1"/>
      <w:bookmarkStart w:id="26" w:name="H179-1"/>
      <w:bookmarkEnd w:id="21"/>
      <w:bookmarkEnd w:id="22"/>
      <w:bookmarkEnd w:id="23"/>
      <w:bookmarkEnd w:id="24"/>
      <w:bookmarkEnd w:id="25"/>
      <w:bookmarkEnd w:id="26"/>
      <w:r w:rsidR="003E5AE0" w:rsidRPr="00944902">
        <w:rPr>
          <w:color w:val="000000" w:themeColor="text1"/>
          <w:sz w:val="22"/>
          <w:szCs w:val="22"/>
        </w:rPr>
        <w:fldChar w:fldCharType="begin"/>
      </w:r>
      <w:r w:rsidR="003E5AE0" w:rsidRPr="00944902">
        <w:rPr>
          <w:color w:val="000000" w:themeColor="text1"/>
          <w:sz w:val="22"/>
          <w:szCs w:val="22"/>
        </w:rPr>
        <w:instrText xml:space="preserve"> HYPERLINK "http://www.ncbi.nlm.nih.gov/pubmed?term=%22Hedman%20L%22%5BAuthor%5D&amp;itool=EntrezSystem2.PEntrez.Pubmed.Pubmed_ResultsPanel.Pubmed_RVAbstract" </w:instrText>
      </w:r>
      <w:r w:rsidR="003E5AE0" w:rsidRPr="00944902">
        <w:rPr>
          <w:color w:val="000000" w:themeColor="text1"/>
          <w:sz w:val="22"/>
          <w:szCs w:val="22"/>
        </w:rPr>
        <w:fldChar w:fldCharType="separate"/>
      </w:r>
      <w:r w:rsidR="003E5AE0" w:rsidRPr="00944902">
        <w:rPr>
          <w:rStyle w:val="Hyperlink"/>
          <w:color w:val="000000" w:themeColor="text1"/>
          <w:sz w:val="22"/>
          <w:szCs w:val="22"/>
        </w:rPr>
        <w:t>Hedman L</w:t>
      </w:r>
      <w:r w:rsidR="003E5AE0" w:rsidRPr="00944902">
        <w:rPr>
          <w:color w:val="000000" w:themeColor="text1"/>
          <w:sz w:val="22"/>
          <w:szCs w:val="22"/>
        </w:rPr>
        <w:fldChar w:fldCharType="end"/>
      </w:r>
      <w:r w:rsidR="003E5AE0" w:rsidRPr="00944902">
        <w:rPr>
          <w:color w:val="000000" w:themeColor="text1"/>
          <w:sz w:val="22"/>
          <w:szCs w:val="22"/>
        </w:rPr>
        <w:t xml:space="preserve">, </w:t>
      </w:r>
      <w:hyperlink r:id="rId16" w:history="1">
        <w:r w:rsidR="003E5AE0" w:rsidRPr="00944902">
          <w:rPr>
            <w:rStyle w:val="Hyperlink"/>
            <w:color w:val="000000" w:themeColor="text1"/>
            <w:sz w:val="22"/>
            <w:szCs w:val="22"/>
          </w:rPr>
          <w:t>Söderlund-Venermo M</w:t>
        </w:r>
      </w:hyperlink>
      <w:r w:rsidR="003E5AE0" w:rsidRPr="00944902">
        <w:rPr>
          <w:color w:val="000000" w:themeColor="text1"/>
          <w:sz w:val="22"/>
          <w:szCs w:val="22"/>
        </w:rPr>
        <w:t xml:space="preserve">, </w:t>
      </w:r>
      <w:hyperlink r:id="rId17" w:history="1">
        <w:r w:rsidR="003E5AE0" w:rsidRPr="00944902">
          <w:rPr>
            <w:rStyle w:val="Hyperlink"/>
            <w:color w:val="000000" w:themeColor="text1"/>
            <w:sz w:val="22"/>
            <w:szCs w:val="22"/>
          </w:rPr>
          <w:t>Hedman K</w:t>
        </w:r>
      </w:hyperlink>
      <w:r w:rsidR="003E5AE0" w:rsidRPr="00944902">
        <w:rPr>
          <w:color w:val="000000" w:themeColor="text1"/>
          <w:sz w:val="22"/>
          <w:szCs w:val="22"/>
        </w:rPr>
        <w:t xml:space="preserve"> (</w:t>
      </w:r>
      <w:r w:rsidR="003E5AE0" w:rsidRPr="00944902">
        <w:rPr>
          <w:sz w:val="22"/>
          <w:szCs w:val="22"/>
        </w:rPr>
        <w:t>2006)</w:t>
      </w:r>
      <w:r w:rsidR="003E5AE0" w:rsidRPr="00944902">
        <w:rPr>
          <w:color w:val="000000" w:themeColor="text1"/>
          <w:sz w:val="22"/>
          <w:szCs w:val="22"/>
        </w:rPr>
        <w:t>.</w:t>
      </w:r>
      <w:r w:rsidR="003E5AE0" w:rsidRPr="00944902">
        <w:rPr>
          <w:bCs/>
          <w:sz w:val="22"/>
          <w:szCs w:val="22"/>
        </w:rPr>
        <w:t xml:space="preserve"> Human</w:t>
      </w:r>
      <w:r w:rsidR="003E5AE0" w:rsidRPr="00944902">
        <w:rPr>
          <w:b/>
          <w:bCs/>
          <w:sz w:val="22"/>
          <w:szCs w:val="22"/>
        </w:rPr>
        <w:t xml:space="preserve"> </w:t>
      </w:r>
      <w:r w:rsidR="003E5AE0" w:rsidRPr="00944902">
        <w:rPr>
          <w:bCs/>
          <w:sz w:val="22"/>
          <w:szCs w:val="22"/>
        </w:rPr>
        <w:t>parvovirus B19</w:t>
      </w:r>
    </w:p>
    <w:p w:rsidR="003E5AE0" w:rsidRPr="00944902" w:rsidRDefault="003E5AE0" w:rsidP="003E5AE0">
      <w:pPr>
        <w:pStyle w:val="ListParagraph"/>
        <w:spacing w:afterLines="160" w:after="384" w:line="480" w:lineRule="auto"/>
        <w:jc w:val="both"/>
        <w:rPr>
          <w:sz w:val="22"/>
          <w:szCs w:val="22"/>
        </w:rPr>
      </w:pPr>
      <w:r w:rsidRPr="00944902">
        <w:rPr>
          <w:bCs/>
          <w:sz w:val="22"/>
          <w:szCs w:val="22"/>
        </w:rPr>
        <w:t>infection during pregnancy-value of modern molecular and serological diagnostics.</w:t>
      </w:r>
      <w:r w:rsidRPr="00944902">
        <w:rPr>
          <w:color w:val="000000" w:themeColor="text1"/>
          <w:sz w:val="22"/>
          <w:szCs w:val="22"/>
        </w:rPr>
        <w:t xml:space="preserve"> </w:t>
      </w:r>
      <w:hyperlink r:id="rId18" w:tooltip="Journal of clinical virology : the official publication of the Pan American Society for Clinical Virology." w:history="1">
        <w:r w:rsidRPr="00944902">
          <w:rPr>
            <w:rStyle w:val="Hyperlink"/>
            <w:color w:val="000000" w:themeColor="text1"/>
            <w:sz w:val="22"/>
            <w:szCs w:val="22"/>
          </w:rPr>
          <w:t>Journal of Clinical Virology</w:t>
        </w:r>
      </w:hyperlink>
      <w:r w:rsidRPr="00944902">
        <w:rPr>
          <w:sz w:val="22"/>
          <w:szCs w:val="22"/>
        </w:rPr>
        <w:t xml:space="preserve">; 35(4):400-6. </w:t>
      </w:r>
    </w:p>
    <w:p w:rsidR="003E5AE0" w:rsidRPr="00944902" w:rsidRDefault="003E5AE0" w:rsidP="003E5AE0">
      <w:pPr>
        <w:pStyle w:val="ListParagraph"/>
        <w:spacing w:afterLines="160" w:after="384" w:line="480" w:lineRule="auto"/>
        <w:jc w:val="both"/>
        <w:rPr>
          <w:sz w:val="22"/>
          <w:szCs w:val="22"/>
        </w:rPr>
      </w:pPr>
    </w:p>
    <w:p w:rsidR="003E5AE0" w:rsidRPr="00944902" w:rsidRDefault="003E5AE0" w:rsidP="003E5AE0">
      <w:pPr>
        <w:spacing w:line="480" w:lineRule="auto"/>
        <w:ind w:firstLine="360"/>
        <w:jc w:val="center"/>
        <w:rPr>
          <w:sz w:val="22"/>
          <w:szCs w:val="22"/>
        </w:rPr>
      </w:pPr>
      <w:r w:rsidRPr="00944902">
        <w:rPr>
          <w:b/>
          <w:sz w:val="22"/>
          <w:szCs w:val="22"/>
        </w:rPr>
        <w:t>ACKNOWLEDGEMENTS</w:t>
      </w:r>
    </w:p>
    <w:p w:rsidR="003E5AE0" w:rsidRPr="00944902" w:rsidRDefault="003E5AE0" w:rsidP="003E5AE0">
      <w:pPr>
        <w:spacing w:line="480" w:lineRule="auto"/>
        <w:jc w:val="both"/>
        <w:rPr>
          <w:sz w:val="22"/>
          <w:szCs w:val="22"/>
        </w:rPr>
      </w:pPr>
      <w:r w:rsidRPr="00944902">
        <w:rPr>
          <w:sz w:val="22"/>
          <w:szCs w:val="22"/>
        </w:rPr>
        <w:t xml:space="preserve"> Our special regards to the ethical committee members of Federal Medical Center, Keffi, Dr Simon Agwale, the Director of Innovative Biotech Virology Laboratory Keffi, for his support and cooperation during this research.  </w:t>
      </w:r>
    </w:p>
    <w:p w:rsidR="00AF778D" w:rsidRPr="00944902" w:rsidRDefault="00E60A93" w:rsidP="00354024">
      <w:pPr>
        <w:pStyle w:val="ListParagraph"/>
        <w:spacing w:afterLines="160" w:after="384" w:line="480" w:lineRule="auto"/>
        <w:jc w:val="both"/>
        <w:rPr>
          <w:sz w:val="22"/>
          <w:szCs w:val="22"/>
        </w:rPr>
      </w:pPr>
      <w:r w:rsidRPr="00944902">
        <w:rPr>
          <w:b/>
          <w:sz w:val="22"/>
          <w:szCs w:val="22"/>
        </w:rPr>
        <w:t xml:space="preserve">  </w:t>
      </w:r>
    </w:p>
    <w:sectPr w:rsidR="00AF778D" w:rsidRPr="00944902" w:rsidSect="003E5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58" w:rsidRDefault="00E26258" w:rsidP="00667D4F">
      <w:r>
        <w:separator/>
      </w:r>
    </w:p>
  </w:endnote>
  <w:endnote w:type="continuationSeparator" w:id="0">
    <w:p w:rsidR="00E26258" w:rsidRDefault="00E26258" w:rsidP="006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58" w:rsidRDefault="00E26258" w:rsidP="00667D4F">
      <w:r>
        <w:separator/>
      </w:r>
    </w:p>
  </w:footnote>
  <w:footnote w:type="continuationSeparator" w:id="0">
    <w:p w:rsidR="00E26258" w:rsidRDefault="00E26258" w:rsidP="0066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28BB"/>
    <w:multiLevelType w:val="hybridMultilevel"/>
    <w:tmpl w:val="E7F436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1"/>
    <w:rsid w:val="000050D0"/>
    <w:rsid w:val="0005123C"/>
    <w:rsid w:val="000B3920"/>
    <w:rsid w:val="000E0A32"/>
    <w:rsid w:val="001374F4"/>
    <w:rsid w:val="00137A94"/>
    <w:rsid w:val="002222A8"/>
    <w:rsid w:val="00250D31"/>
    <w:rsid w:val="002625F7"/>
    <w:rsid w:val="002822C7"/>
    <w:rsid w:val="002D4303"/>
    <w:rsid w:val="002E0C30"/>
    <w:rsid w:val="00354024"/>
    <w:rsid w:val="0036170E"/>
    <w:rsid w:val="003E5AE0"/>
    <w:rsid w:val="00416BD2"/>
    <w:rsid w:val="0043231B"/>
    <w:rsid w:val="004B4394"/>
    <w:rsid w:val="004B7710"/>
    <w:rsid w:val="004D61BA"/>
    <w:rsid w:val="00514473"/>
    <w:rsid w:val="00531A66"/>
    <w:rsid w:val="00536AC2"/>
    <w:rsid w:val="005375A9"/>
    <w:rsid w:val="0054644D"/>
    <w:rsid w:val="005A2208"/>
    <w:rsid w:val="005B3DC1"/>
    <w:rsid w:val="005E63CB"/>
    <w:rsid w:val="00603A55"/>
    <w:rsid w:val="0061137C"/>
    <w:rsid w:val="00644566"/>
    <w:rsid w:val="006533E8"/>
    <w:rsid w:val="00667D4F"/>
    <w:rsid w:val="00692E62"/>
    <w:rsid w:val="006A57EC"/>
    <w:rsid w:val="006D2EBE"/>
    <w:rsid w:val="00714B01"/>
    <w:rsid w:val="007422D4"/>
    <w:rsid w:val="0076129D"/>
    <w:rsid w:val="007644C7"/>
    <w:rsid w:val="007816FE"/>
    <w:rsid w:val="007F3688"/>
    <w:rsid w:val="00814304"/>
    <w:rsid w:val="008162D2"/>
    <w:rsid w:val="00822D02"/>
    <w:rsid w:val="0084763D"/>
    <w:rsid w:val="00854186"/>
    <w:rsid w:val="00890DF1"/>
    <w:rsid w:val="008A31E2"/>
    <w:rsid w:val="0093325F"/>
    <w:rsid w:val="00944902"/>
    <w:rsid w:val="00983155"/>
    <w:rsid w:val="00A16946"/>
    <w:rsid w:val="00A33D98"/>
    <w:rsid w:val="00A6486E"/>
    <w:rsid w:val="00A84E2F"/>
    <w:rsid w:val="00A95F32"/>
    <w:rsid w:val="00AD3D43"/>
    <w:rsid w:val="00AD50CC"/>
    <w:rsid w:val="00AF3BB4"/>
    <w:rsid w:val="00AF778D"/>
    <w:rsid w:val="00B018E9"/>
    <w:rsid w:val="00B151A2"/>
    <w:rsid w:val="00B25363"/>
    <w:rsid w:val="00B53D12"/>
    <w:rsid w:val="00B64AA3"/>
    <w:rsid w:val="00B82CCC"/>
    <w:rsid w:val="00B9283A"/>
    <w:rsid w:val="00C85389"/>
    <w:rsid w:val="00D27C24"/>
    <w:rsid w:val="00D77D1D"/>
    <w:rsid w:val="00E26258"/>
    <w:rsid w:val="00E51165"/>
    <w:rsid w:val="00E57EF1"/>
    <w:rsid w:val="00E60A93"/>
    <w:rsid w:val="00E8118A"/>
    <w:rsid w:val="00EC190A"/>
    <w:rsid w:val="00F6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A9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60A93"/>
    <w:rPr>
      <w:color w:val="0000FF"/>
      <w:u w:val="single"/>
    </w:rPr>
  </w:style>
  <w:style w:type="paragraph" w:styleId="ListParagraph">
    <w:name w:val="List Paragraph"/>
    <w:basedOn w:val="Normal"/>
    <w:uiPriority w:val="34"/>
    <w:qFormat/>
    <w:rsid w:val="00E60A93"/>
    <w:pPr>
      <w:ind w:left="720"/>
      <w:contextualSpacing/>
    </w:pPr>
  </w:style>
  <w:style w:type="paragraph" w:styleId="Header">
    <w:name w:val="header"/>
    <w:basedOn w:val="Normal"/>
    <w:link w:val="HeaderChar"/>
    <w:rsid w:val="00667D4F"/>
    <w:pPr>
      <w:tabs>
        <w:tab w:val="center" w:pos="4680"/>
        <w:tab w:val="right" w:pos="9360"/>
      </w:tabs>
    </w:pPr>
  </w:style>
  <w:style w:type="character" w:customStyle="1" w:styleId="HeaderChar">
    <w:name w:val="Header Char"/>
    <w:basedOn w:val="DefaultParagraphFont"/>
    <w:link w:val="Header"/>
    <w:rsid w:val="00667D4F"/>
    <w:rPr>
      <w:sz w:val="24"/>
      <w:szCs w:val="24"/>
    </w:rPr>
  </w:style>
  <w:style w:type="paragraph" w:styleId="Footer">
    <w:name w:val="footer"/>
    <w:basedOn w:val="Normal"/>
    <w:link w:val="FooterChar"/>
    <w:rsid w:val="00667D4F"/>
    <w:pPr>
      <w:tabs>
        <w:tab w:val="center" w:pos="4680"/>
        <w:tab w:val="right" w:pos="9360"/>
      </w:tabs>
    </w:pPr>
  </w:style>
  <w:style w:type="character" w:customStyle="1" w:styleId="FooterChar">
    <w:name w:val="Footer Char"/>
    <w:basedOn w:val="DefaultParagraphFont"/>
    <w:link w:val="Footer"/>
    <w:rsid w:val="00667D4F"/>
    <w:rPr>
      <w:sz w:val="24"/>
      <w:szCs w:val="24"/>
    </w:rPr>
  </w:style>
  <w:style w:type="paragraph" w:styleId="BalloonText">
    <w:name w:val="Balloon Text"/>
    <w:basedOn w:val="Normal"/>
    <w:link w:val="BalloonTextChar"/>
    <w:rsid w:val="005375A9"/>
    <w:rPr>
      <w:rFonts w:ascii="Tahoma" w:hAnsi="Tahoma" w:cs="Tahoma"/>
      <w:sz w:val="16"/>
      <w:szCs w:val="16"/>
    </w:rPr>
  </w:style>
  <w:style w:type="character" w:customStyle="1" w:styleId="BalloonTextChar">
    <w:name w:val="Balloon Text Char"/>
    <w:basedOn w:val="DefaultParagraphFont"/>
    <w:link w:val="BalloonText"/>
    <w:rsid w:val="005375A9"/>
    <w:rPr>
      <w:rFonts w:ascii="Tahoma" w:hAnsi="Tahoma" w:cs="Tahoma"/>
      <w:sz w:val="16"/>
      <w:szCs w:val="16"/>
    </w:rPr>
  </w:style>
  <w:style w:type="paragraph" w:customStyle="1" w:styleId="SAP13-Affiliation">
    <w:name w:val="SAP13-Affiliation"/>
    <w:basedOn w:val="Normal"/>
    <w:qFormat/>
    <w:rsid w:val="00A95F32"/>
    <w:pPr>
      <w:spacing w:line="200" w:lineRule="exact"/>
      <w:jc w:val="center"/>
    </w:pPr>
    <w:rPr>
      <w:kern w:val="2"/>
      <w:sz w:val="18"/>
      <w:szCs w:val="18"/>
      <w:lang w:eastAsia="zh-CN"/>
    </w:rPr>
  </w:style>
  <w:style w:type="paragraph" w:customStyle="1" w:styleId="SAP14-AffiliationLastline">
    <w:name w:val="SAP14-Affiliation Last line"/>
    <w:qFormat/>
    <w:rsid w:val="00A95F32"/>
    <w:pPr>
      <w:spacing w:after="156" w:line="200" w:lineRule="exact"/>
      <w:jc w:val="center"/>
    </w:pPr>
    <w:rPr>
      <w:kern w:val="2"/>
      <w:sz w:val="18"/>
      <w:szCs w:val="18"/>
      <w:lang w:eastAsia="zh-CN"/>
    </w:rPr>
  </w:style>
  <w:style w:type="paragraph" w:customStyle="1" w:styleId="SAP12-Author">
    <w:name w:val="SAP12-Author"/>
    <w:qFormat/>
    <w:rsid w:val="00A95F32"/>
    <w:pPr>
      <w:spacing w:before="340" w:after="340"/>
      <w:jc w:val="center"/>
    </w:pPr>
    <w:rPr>
      <w:b/>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A9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60A93"/>
    <w:rPr>
      <w:color w:val="0000FF"/>
      <w:u w:val="single"/>
    </w:rPr>
  </w:style>
  <w:style w:type="paragraph" w:styleId="ListParagraph">
    <w:name w:val="List Paragraph"/>
    <w:basedOn w:val="Normal"/>
    <w:uiPriority w:val="34"/>
    <w:qFormat/>
    <w:rsid w:val="00E60A93"/>
    <w:pPr>
      <w:ind w:left="720"/>
      <w:contextualSpacing/>
    </w:pPr>
  </w:style>
  <w:style w:type="paragraph" w:styleId="Header">
    <w:name w:val="header"/>
    <w:basedOn w:val="Normal"/>
    <w:link w:val="HeaderChar"/>
    <w:rsid w:val="00667D4F"/>
    <w:pPr>
      <w:tabs>
        <w:tab w:val="center" w:pos="4680"/>
        <w:tab w:val="right" w:pos="9360"/>
      </w:tabs>
    </w:pPr>
  </w:style>
  <w:style w:type="character" w:customStyle="1" w:styleId="HeaderChar">
    <w:name w:val="Header Char"/>
    <w:basedOn w:val="DefaultParagraphFont"/>
    <w:link w:val="Header"/>
    <w:rsid w:val="00667D4F"/>
    <w:rPr>
      <w:sz w:val="24"/>
      <w:szCs w:val="24"/>
    </w:rPr>
  </w:style>
  <w:style w:type="paragraph" w:styleId="Footer">
    <w:name w:val="footer"/>
    <w:basedOn w:val="Normal"/>
    <w:link w:val="FooterChar"/>
    <w:rsid w:val="00667D4F"/>
    <w:pPr>
      <w:tabs>
        <w:tab w:val="center" w:pos="4680"/>
        <w:tab w:val="right" w:pos="9360"/>
      </w:tabs>
    </w:pPr>
  </w:style>
  <w:style w:type="character" w:customStyle="1" w:styleId="FooterChar">
    <w:name w:val="Footer Char"/>
    <w:basedOn w:val="DefaultParagraphFont"/>
    <w:link w:val="Footer"/>
    <w:rsid w:val="00667D4F"/>
    <w:rPr>
      <w:sz w:val="24"/>
      <w:szCs w:val="24"/>
    </w:rPr>
  </w:style>
  <w:style w:type="paragraph" w:styleId="BalloonText">
    <w:name w:val="Balloon Text"/>
    <w:basedOn w:val="Normal"/>
    <w:link w:val="BalloonTextChar"/>
    <w:rsid w:val="005375A9"/>
    <w:rPr>
      <w:rFonts w:ascii="Tahoma" w:hAnsi="Tahoma" w:cs="Tahoma"/>
      <w:sz w:val="16"/>
      <w:szCs w:val="16"/>
    </w:rPr>
  </w:style>
  <w:style w:type="character" w:customStyle="1" w:styleId="BalloonTextChar">
    <w:name w:val="Balloon Text Char"/>
    <w:basedOn w:val="DefaultParagraphFont"/>
    <w:link w:val="BalloonText"/>
    <w:rsid w:val="005375A9"/>
    <w:rPr>
      <w:rFonts w:ascii="Tahoma" w:hAnsi="Tahoma" w:cs="Tahoma"/>
      <w:sz w:val="16"/>
      <w:szCs w:val="16"/>
    </w:rPr>
  </w:style>
  <w:style w:type="paragraph" w:customStyle="1" w:styleId="SAP13-Affiliation">
    <w:name w:val="SAP13-Affiliation"/>
    <w:basedOn w:val="Normal"/>
    <w:qFormat/>
    <w:rsid w:val="00A95F32"/>
    <w:pPr>
      <w:spacing w:line="200" w:lineRule="exact"/>
      <w:jc w:val="center"/>
    </w:pPr>
    <w:rPr>
      <w:kern w:val="2"/>
      <w:sz w:val="18"/>
      <w:szCs w:val="18"/>
      <w:lang w:eastAsia="zh-CN"/>
    </w:rPr>
  </w:style>
  <w:style w:type="paragraph" w:customStyle="1" w:styleId="SAP14-AffiliationLastline">
    <w:name w:val="SAP14-Affiliation Last line"/>
    <w:qFormat/>
    <w:rsid w:val="00A95F32"/>
    <w:pPr>
      <w:spacing w:after="156" w:line="200" w:lineRule="exact"/>
      <w:jc w:val="center"/>
    </w:pPr>
    <w:rPr>
      <w:kern w:val="2"/>
      <w:sz w:val="18"/>
      <w:szCs w:val="18"/>
      <w:lang w:eastAsia="zh-CN"/>
    </w:rPr>
  </w:style>
  <w:style w:type="paragraph" w:customStyle="1" w:styleId="SAP12-Author">
    <w:name w:val="SAP12-Author"/>
    <w:qFormat/>
    <w:rsid w:val="00A95F32"/>
    <w:pPr>
      <w:spacing w:before="340" w:after="340"/>
      <w:jc w:val="center"/>
    </w:pPr>
    <w:rPr>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22Pukkila%20L%22%5BAuthor%5D&amp;itool=EntrezSystem2.PEntrez.Pubmed.Pubmed_ResultsPanel.Pubmed_RVAbstract" TargetMode="External"/><Relationship Id="rId18" Type="http://schemas.openxmlformats.org/officeDocument/2006/relationships/hyperlink" Target="javascript:AL_get(this,%20'jour',%20'J%20Clin%20Viro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22Weidner%20A%22%5BAuthor%5D&amp;itool=EntrezSystem2.PEntrez.Pubmed.Pubmed_ResultsPanel.Pubmed_RVAbstract" TargetMode="External"/><Relationship Id="rId17" Type="http://schemas.openxmlformats.org/officeDocument/2006/relationships/hyperlink" Target="http://www.ncbi.nlm.nih.gov/pubmed?term=%22Hedman%20K%22%5BAuthor%5D&amp;itool=EntrezSystem2.PEntrez.Pubmed.Pubmed_ResultsPanel.Pubmed_RVAbstract" TargetMode="External"/><Relationship Id="rId2" Type="http://schemas.openxmlformats.org/officeDocument/2006/relationships/styles" Target="styles.xml"/><Relationship Id="rId16" Type="http://schemas.openxmlformats.org/officeDocument/2006/relationships/hyperlink" Target="http://www.ncbi.nlm.nih.gov/pubmed?term=%22S%C3%B6derlund-Venermo%20M%22%5BAuthor%5D&amp;itool=EntrezSystem2.PEntrez.Pubmed.Pubmed_ResultsPanel.Pubmed_RVAbstr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22Baisch%20C%22%5BAuthor%5D&amp;itool=EntrezSystem2.PEntrez.Pubmed.Pubmed_ResultsPanel.Pubmed_RVAbstract" TargetMode="External"/><Relationship Id="rId5" Type="http://schemas.openxmlformats.org/officeDocument/2006/relationships/webSettings" Target="webSettings.xml"/><Relationship Id="rId15" Type="http://schemas.openxmlformats.org/officeDocument/2006/relationships/hyperlink" Target="http://www.ncbi.nlm.nih.gov/pubmed?term=%22Lankinen%20H%22%5BAuthor%5D&amp;itool=EntrezSystem2.PEntrez.Pubmed.Pubmed_ResultsPanel.Pubmed_RVAbstract" TargetMode="External"/><Relationship Id="rId10" Type="http://schemas.openxmlformats.org/officeDocument/2006/relationships/hyperlink" Target="http://www.ncbi.nlm.nih.gov/pubmed?term=%22Schalasta%20G%22%5BAuthor%5D&amp;itool=EntrezSystem2.PEntrez.Pubmed.Pubmed_ResultsPanel.Pubmed_RVAbstr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22Enders%20M%22%5BAuthor%5D&amp;itool=EntrezSystem2.PEntrez.Pubmed.Pubmed_ResultsPanel.Pubmed_RVAbstract" TargetMode="External"/><Relationship Id="rId14" Type="http://schemas.openxmlformats.org/officeDocument/2006/relationships/hyperlink" Target="http://www.ncbi.nlm.nih.gov/pubmed?term=%22Kaikkonen%20L%22%5BAuthor%5D&amp;itool=EntrezSystem2.PEntrez.Pubmed.Pubmed_ResultsPanel.Pubmed_RVAbstrac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lgn="l">
              <a:defRPr lang="en-GB"/>
            </a:pPr>
            <a:r>
              <a:rPr lang="en-GB" sz="1200" b="0"/>
              <a:t>Figure</a:t>
            </a:r>
            <a:r>
              <a:rPr lang="en-GB" sz="1200" b="0" baseline="0"/>
              <a:t> 1: Prevalence of Parvo B19 antibodies among pregnant women   </a:t>
            </a:r>
          </a:p>
          <a:p>
            <a:pPr algn="l">
              <a:defRPr lang="en-GB"/>
            </a:pPr>
            <a:r>
              <a:rPr lang="en-GB" sz="1200" b="0" baseline="0"/>
              <a:t>                  in Nasarawa State, Nigeria </a:t>
            </a:r>
            <a:endParaRPr lang="en-GB" sz="1200" b="0"/>
          </a:p>
        </c:rich>
      </c:tx>
      <c:layout>
        <c:manualLayout>
          <c:xMode val="edge"/>
          <c:yMode val="edge"/>
          <c:x val="0.11881573488759929"/>
          <c:y val="0.76948590381426207"/>
        </c:manualLayout>
      </c:layout>
      <c:overlay val="1"/>
    </c:title>
    <c:autoTitleDeleted val="0"/>
    <c:plotArea>
      <c:layout>
        <c:manualLayout>
          <c:layoutTarget val="inner"/>
          <c:xMode val="edge"/>
          <c:yMode val="edge"/>
          <c:x val="0.11829080050439708"/>
          <c:y val="7.9693396534388533E-2"/>
          <c:w val="0.66867834009012006"/>
          <c:h val="0.52333842598033287"/>
        </c:manualLayout>
      </c:layout>
      <c:lineChart>
        <c:grouping val="stacked"/>
        <c:varyColors val="1"/>
        <c:ser>
          <c:idx val="0"/>
          <c:order val="0"/>
          <c:tx>
            <c:strRef>
              <c:f>Sheet1!$B$1</c:f>
              <c:strCache>
                <c:ptCount val="1"/>
                <c:pt idx="0">
                  <c:v>Positive sera</c:v>
                </c:pt>
              </c:strCache>
            </c:strRef>
          </c:tx>
          <c:errBars>
            <c:errDir val="y"/>
            <c:errBarType val="both"/>
            <c:errValType val="stdErr"/>
            <c:noEndCap val="1"/>
          </c:errBars>
          <c:cat>
            <c:strRef>
              <c:f>Sheet1!$A$2:$A$6</c:f>
              <c:strCache>
                <c:ptCount val="5"/>
                <c:pt idx="0">
                  <c:v>15-20</c:v>
                </c:pt>
                <c:pt idx="1">
                  <c:v>21-25</c:v>
                </c:pt>
                <c:pt idx="2">
                  <c:v>26-30</c:v>
                </c:pt>
                <c:pt idx="3">
                  <c:v>31-35</c:v>
                </c:pt>
                <c:pt idx="4">
                  <c:v>36-40</c:v>
                </c:pt>
              </c:strCache>
            </c:strRef>
          </c:cat>
          <c:val>
            <c:numRef>
              <c:f>Sheet1!$B$2:$B$6</c:f>
              <c:numCache>
                <c:formatCode>General</c:formatCode>
                <c:ptCount val="5"/>
                <c:pt idx="0">
                  <c:v>33.300000000000004</c:v>
                </c:pt>
                <c:pt idx="1">
                  <c:v>42.3</c:v>
                </c:pt>
                <c:pt idx="2">
                  <c:v>43.5</c:v>
                </c:pt>
                <c:pt idx="3">
                  <c:v>43.8</c:v>
                </c:pt>
                <c:pt idx="4">
                  <c:v>37.5</c:v>
                </c:pt>
              </c:numCache>
            </c:numRef>
          </c:val>
          <c:smooth val="1"/>
        </c:ser>
        <c:ser>
          <c:idx val="1"/>
          <c:order val="1"/>
          <c:tx>
            <c:strRef>
              <c:f>Sheet1!$C$1</c:f>
              <c:strCache>
                <c:ptCount val="1"/>
                <c:pt idx="0">
                  <c:v>IgM presence</c:v>
                </c:pt>
              </c:strCache>
            </c:strRef>
          </c:tx>
          <c:errBars>
            <c:errDir val="y"/>
            <c:errBarType val="both"/>
            <c:errValType val="stdErr"/>
            <c:noEndCap val="1"/>
          </c:errBars>
          <c:cat>
            <c:strRef>
              <c:f>Sheet1!$A$2:$A$6</c:f>
              <c:strCache>
                <c:ptCount val="5"/>
                <c:pt idx="0">
                  <c:v>15-20</c:v>
                </c:pt>
                <c:pt idx="1">
                  <c:v>21-25</c:v>
                </c:pt>
                <c:pt idx="2">
                  <c:v>26-30</c:v>
                </c:pt>
                <c:pt idx="3">
                  <c:v>31-35</c:v>
                </c:pt>
                <c:pt idx="4">
                  <c:v>36-40</c:v>
                </c:pt>
              </c:strCache>
            </c:strRef>
          </c:cat>
          <c:val>
            <c:numRef>
              <c:f>Sheet1!$C$2:$C$6</c:f>
              <c:numCache>
                <c:formatCode>General</c:formatCode>
                <c:ptCount val="5"/>
                <c:pt idx="0">
                  <c:v>16.7</c:v>
                </c:pt>
                <c:pt idx="1">
                  <c:v>15.4</c:v>
                </c:pt>
                <c:pt idx="2">
                  <c:v>13</c:v>
                </c:pt>
                <c:pt idx="3">
                  <c:v>12.5</c:v>
                </c:pt>
                <c:pt idx="4">
                  <c:v>0</c:v>
                </c:pt>
              </c:numCache>
            </c:numRef>
          </c:val>
          <c:smooth val="1"/>
        </c:ser>
        <c:ser>
          <c:idx val="2"/>
          <c:order val="2"/>
          <c:tx>
            <c:strRef>
              <c:f>Sheet1!$D$1</c:f>
              <c:strCache>
                <c:ptCount val="1"/>
                <c:pt idx="0">
                  <c:v>IgG Presence</c:v>
                </c:pt>
              </c:strCache>
            </c:strRef>
          </c:tx>
          <c:errBars>
            <c:errDir val="y"/>
            <c:errBarType val="both"/>
            <c:errValType val="stdErr"/>
            <c:noEndCap val="1"/>
          </c:errBars>
          <c:cat>
            <c:strRef>
              <c:f>Sheet1!$A$2:$A$6</c:f>
              <c:strCache>
                <c:ptCount val="5"/>
                <c:pt idx="0">
                  <c:v>15-20</c:v>
                </c:pt>
                <c:pt idx="1">
                  <c:v>21-25</c:v>
                </c:pt>
                <c:pt idx="2">
                  <c:v>26-30</c:v>
                </c:pt>
                <c:pt idx="3">
                  <c:v>31-35</c:v>
                </c:pt>
                <c:pt idx="4">
                  <c:v>36-40</c:v>
                </c:pt>
              </c:strCache>
            </c:strRef>
          </c:cat>
          <c:val>
            <c:numRef>
              <c:f>Sheet1!$D$2:$D$6</c:f>
              <c:numCache>
                <c:formatCode>General</c:formatCode>
                <c:ptCount val="5"/>
                <c:pt idx="0">
                  <c:v>16.7</c:v>
                </c:pt>
                <c:pt idx="1">
                  <c:v>26.9</c:v>
                </c:pt>
                <c:pt idx="2">
                  <c:v>30.4</c:v>
                </c:pt>
                <c:pt idx="3">
                  <c:v>31.3</c:v>
                </c:pt>
                <c:pt idx="4">
                  <c:v>37.5</c:v>
                </c:pt>
              </c:numCache>
            </c:numRef>
          </c:val>
          <c:smooth val="1"/>
        </c:ser>
        <c:dLbls>
          <c:showLegendKey val="0"/>
          <c:showVal val="0"/>
          <c:showCatName val="0"/>
          <c:showSerName val="0"/>
          <c:showPercent val="0"/>
          <c:showBubbleSize val="0"/>
        </c:dLbls>
        <c:marker val="1"/>
        <c:smooth val="0"/>
        <c:axId val="191436672"/>
        <c:axId val="77443072"/>
      </c:lineChart>
      <c:catAx>
        <c:axId val="191436672"/>
        <c:scaling>
          <c:orientation val="minMax"/>
        </c:scaling>
        <c:delete val="1"/>
        <c:axPos val="b"/>
        <c:title>
          <c:tx>
            <c:rich>
              <a:bodyPr/>
              <a:lstStyle/>
              <a:p>
                <a:pPr>
                  <a:defRPr lang="en-GB"/>
                </a:pPr>
                <a:r>
                  <a:rPr lang="en-GB"/>
                  <a:t>Age</a:t>
                </a:r>
                <a:r>
                  <a:rPr lang="en-GB" baseline="0"/>
                  <a:t> group (years)</a:t>
                </a:r>
                <a:endParaRPr lang="en-GB"/>
              </a:p>
            </c:rich>
          </c:tx>
          <c:overlay val="1"/>
        </c:title>
        <c:majorTickMark val="cross"/>
        <c:minorTickMark val="cross"/>
        <c:tickLblPos val="nextTo"/>
        <c:crossAx val="77443072"/>
        <c:crosses val="autoZero"/>
        <c:auto val="1"/>
        <c:lblAlgn val="ctr"/>
        <c:lblOffset val="100"/>
        <c:noMultiLvlLbl val="1"/>
      </c:catAx>
      <c:valAx>
        <c:axId val="77443072"/>
        <c:scaling>
          <c:orientation val="minMax"/>
        </c:scaling>
        <c:delete val="1"/>
        <c:axPos val="l"/>
        <c:title>
          <c:tx>
            <c:rich>
              <a:bodyPr rot="-5400000" vert="horz"/>
              <a:lstStyle/>
              <a:p>
                <a:pPr>
                  <a:defRPr lang="en-GB"/>
                </a:pPr>
                <a:r>
                  <a:rPr lang="en-GB"/>
                  <a:t>Prevalence</a:t>
                </a:r>
                <a:r>
                  <a:rPr lang="en-GB" baseline="0"/>
                  <a:t> (%)</a:t>
                </a:r>
                <a:endParaRPr lang="en-GB"/>
              </a:p>
            </c:rich>
          </c:tx>
          <c:overlay val="1"/>
        </c:title>
        <c:numFmt formatCode="General" sourceLinked="1"/>
        <c:majorTickMark val="cross"/>
        <c:minorTickMark val="cross"/>
        <c:tickLblPos val="nextTo"/>
        <c:crossAx val="191436672"/>
        <c:crosses val="autoZero"/>
        <c:crossBetween val="between"/>
      </c:valAx>
      <c:spPr>
        <a:noFill/>
        <a:ln w="25400">
          <a:noFill/>
        </a:ln>
      </c:spPr>
    </c:plotArea>
    <c:legend>
      <c:legendPos val="r"/>
      <c:layout>
        <c:manualLayout>
          <c:xMode val="edge"/>
          <c:yMode val="edge"/>
          <c:x val="0.7575173034680216"/>
          <c:y val="0.1916530553773538"/>
          <c:w val="0.21744357071696688"/>
          <c:h val="0.23628837683260143"/>
        </c:manualLayout>
      </c:layout>
      <c:overlay val="1"/>
      <c:txPr>
        <a:bodyPr/>
        <a:lstStyle/>
        <a:p>
          <a:pPr>
            <a:defRPr lang="en-GB"/>
          </a:pPr>
          <a:endParaRPr lang="en-US"/>
        </a:p>
      </c:txPr>
    </c:legend>
    <c:plotVisOnly val="1"/>
    <c:dispBlanksAs val="zero"/>
    <c:showDLblsOverMax val="1"/>
  </c:chart>
  <c:externalData r:id="rId1">
    <c:autoUpdate val="1"/>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9385875" cy="4262437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AKYALA SHIPPINS</dc:creator>
  <cp:lastModifiedBy>AKYALA SHIPPINS</cp:lastModifiedBy>
  <cp:revision>3</cp:revision>
  <dcterms:created xsi:type="dcterms:W3CDTF">2014-05-07T22:29:00Z</dcterms:created>
  <dcterms:modified xsi:type="dcterms:W3CDTF">2014-05-07T22:29:00Z</dcterms:modified>
</cp:coreProperties>
</file>