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E540" w14:textId="1A56CAFF" w:rsidR="009D2C1F" w:rsidRPr="00CD1E92" w:rsidRDefault="009D2C1F" w:rsidP="009D2C1F">
      <w:pPr>
        <w:jc w:val="center"/>
        <w:rPr>
          <w:rFonts w:ascii="Times New Roman" w:hAnsi="Times New Roman" w:cs="Times New Roman"/>
          <w:sz w:val="24"/>
        </w:rPr>
      </w:pPr>
      <w:r w:rsidRPr="009D2C1F">
        <w:rPr>
          <w:rFonts w:ascii="Times New Roman" w:hAnsi="Times New Roman" w:cs="Times New Roman"/>
          <w:b/>
          <w:sz w:val="28"/>
          <w:szCs w:val="24"/>
        </w:rPr>
        <w:t xml:space="preserve">Commitment to </w:t>
      </w:r>
      <w:r w:rsidR="00E60483">
        <w:rPr>
          <w:rFonts w:ascii="Times New Roman" w:hAnsi="Times New Roman" w:cs="Times New Roman"/>
          <w:b/>
          <w:sz w:val="28"/>
          <w:szCs w:val="24"/>
        </w:rPr>
        <w:t xml:space="preserve">the </w:t>
      </w:r>
      <w:r w:rsidRPr="009D2C1F">
        <w:rPr>
          <w:rFonts w:ascii="Times New Roman" w:hAnsi="Times New Roman" w:cs="Times New Roman"/>
          <w:b/>
          <w:sz w:val="28"/>
          <w:szCs w:val="24"/>
        </w:rPr>
        <w:t>ESG investing and Individual Mutual Fund Investors’ Preference: Evidence from Stated Choice Experiments</w:t>
      </w:r>
    </w:p>
    <w:p w14:paraId="26D4CC0D" w14:textId="77777777" w:rsidR="009D2C1F" w:rsidRDefault="009D2C1F" w:rsidP="009D2C1F">
      <w:pPr>
        <w:jc w:val="center"/>
        <w:rPr>
          <w:rFonts w:ascii="Times New Roman" w:hAnsi="Times New Roman" w:cs="Times New Roman"/>
          <w:sz w:val="24"/>
        </w:rPr>
      </w:pPr>
    </w:p>
    <w:p w14:paraId="1E9F49D5" w14:textId="77777777" w:rsidR="009D2C1F" w:rsidRPr="009D2C1F" w:rsidRDefault="009D2C1F" w:rsidP="009D2C1F">
      <w:pPr>
        <w:jc w:val="center"/>
        <w:rPr>
          <w:rFonts w:ascii="Times New Roman" w:hAnsi="Times New Roman" w:cs="Times New Roman"/>
          <w:sz w:val="24"/>
        </w:rPr>
      </w:pPr>
    </w:p>
    <w:p w14:paraId="3689E630" w14:textId="77777777" w:rsidR="009D2C1F" w:rsidRDefault="009D2C1F" w:rsidP="009D2C1F">
      <w:pPr>
        <w:jc w:val="center"/>
        <w:rPr>
          <w:rFonts w:ascii="Times New Roman" w:hAnsi="Times New Roman" w:cs="Times New Roman"/>
          <w:sz w:val="24"/>
        </w:rPr>
      </w:pPr>
    </w:p>
    <w:p w14:paraId="2246964F" w14:textId="77777777" w:rsidR="009D2C1F" w:rsidRPr="00CD1E92" w:rsidRDefault="009D2C1F" w:rsidP="009D2C1F">
      <w:pPr>
        <w:jc w:val="center"/>
        <w:rPr>
          <w:rFonts w:ascii="Times New Roman" w:hAnsi="Times New Roman" w:cs="Times New Roman"/>
          <w:sz w:val="24"/>
        </w:rPr>
      </w:pPr>
    </w:p>
    <w:p w14:paraId="7BCD7898" w14:textId="77777777" w:rsidR="009D2C1F" w:rsidRPr="00CD1E92" w:rsidRDefault="009D2C1F" w:rsidP="009D2C1F">
      <w:pPr>
        <w:spacing w:line="276" w:lineRule="auto"/>
        <w:jc w:val="center"/>
        <w:rPr>
          <w:rFonts w:ascii="Times New Roman" w:hAnsi="Times New Roman" w:cs="Times New Roman"/>
          <w:sz w:val="24"/>
          <w:szCs w:val="21"/>
        </w:rPr>
      </w:pPr>
      <w:proofErr w:type="spellStart"/>
      <w:r w:rsidRPr="00CD1E92">
        <w:rPr>
          <w:rFonts w:ascii="Times New Roman" w:hAnsi="Times New Roman" w:cs="Times New Roman"/>
          <w:sz w:val="24"/>
          <w:szCs w:val="21"/>
        </w:rPr>
        <w:t>Hongyu</w:t>
      </w:r>
      <w:proofErr w:type="spellEnd"/>
      <w:r w:rsidRPr="00CD1E92">
        <w:rPr>
          <w:rFonts w:ascii="Times New Roman" w:hAnsi="Times New Roman" w:cs="Times New Roman"/>
          <w:sz w:val="24"/>
          <w:szCs w:val="21"/>
        </w:rPr>
        <w:t xml:space="preserve"> Xiang</w:t>
      </w:r>
      <w:r w:rsidRPr="00CD1E92">
        <w:rPr>
          <w:rStyle w:val="af0"/>
          <w:rFonts w:ascii="Times New Roman" w:hAnsi="Times New Roman" w:cs="Times New Roman"/>
          <w:sz w:val="24"/>
          <w:szCs w:val="21"/>
        </w:rPr>
        <w:footnoteReference w:id="1"/>
      </w:r>
    </w:p>
    <w:p w14:paraId="149851F0" w14:textId="77777777" w:rsidR="009D2C1F" w:rsidRPr="00CD1E92" w:rsidRDefault="009D2C1F" w:rsidP="009D2C1F">
      <w:pPr>
        <w:spacing w:line="276" w:lineRule="auto"/>
        <w:jc w:val="center"/>
        <w:rPr>
          <w:rFonts w:ascii="Times New Roman" w:hAnsi="Times New Roman" w:cs="Times New Roman"/>
          <w:sz w:val="24"/>
          <w:szCs w:val="21"/>
        </w:rPr>
        <w:sectPr w:rsidR="009D2C1F" w:rsidRPr="00CD1E92" w:rsidSect="008A25AB">
          <w:footerReference w:type="default" r:id="rId7"/>
          <w:footnotePr>
            <w:numFmt w:val="chicago"/>
            <w:numRestart w:val="eachPage"/>
          </w:footnotePr>
          <w:pgSz w:w="11906" w:h="16838"/>
          <w:pgMar w:top="1440" w:right="1440" w:bottom="1440" w:left="1440" w:header="851" w:footer="992" w:gutter="0"/>
          <w:pgNumType w:start="1"/>
          <w:cols w:space="425"/>
          <w:docGrid w:type="lines" w:linePitch="312"/>
        </w:sectPr>
      </w:pPr>
      <w:r w:rsidRPr="00CD1E92">
        <w:rPr>
          <w:rFonts w:ascii="Times New Roman" w:hAnsi="Times New Roman" w:cs="Times New Roman"/>
          <w:sz w:val="24"/>
          <w:szCs w:val="21"/>
        </w:rPr>
        <w:t>Business School, Beijing Normal University</w:t>
      </w:r>
    </w:p>
    <w:p w14:paraId="67041CA4" w14:textId="133D0711" w:rsidR="00E60774" w:rsidRDefault="00E60774" w:rsidP="00611639">
      <w:pPr>
        <w:spacing w:afterLines="50" w:after="156"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Commitment to </w:t>
      </w:r>
      <w:r w:rsidR="00E60483">
        <w:rPr>
          <w:rFonts w:ascii="Times New Roman" w:hAnsi="Times New Roman" w:cs="Times New Roman"/>
          <w:b/>
          <w:bCs/>
          <w:sz w:val="24"/>
          <w:szCs w:val="24"/>
        </w:rPr>
        <w:t xml:space="preserve">the </w:t>
      </w:r>
      <w:r w:rsidR="00F44BD4">
        <w:rPr>
          <w:rFonts w:ascii="Times New Roman" w:hAnsi="Times New Roman" w:cs="Times New Roman"/>
          <w:b/>
          <w:bCs/>
          <w:sz w:val="24"/>
          <w:szCs w:val="24"/>
        </w:rPr>
        <w:t>ESG investing</w:t>
      </w:r>
      <w:r>
        <w:rPr>
          <w:rFonts w:ascii="Times New Roman" w:hAnsi="Times New Roman" w:cs="Times New Roman"/>
          <w:b/>
          <w:bCs/>
          <w:sz w:val="24"/>
          <w:szCs w:val="24"/>
        </w:rPr>
        <w:t xml:space="preserve"> and Individual Mutual Fund Investors’ Preference: Evidence from Stated Choice Experiments</w:t>
      </w:r>
    </w:p>
    <w:p w14:paraId="55EBC27B" w14:textId="5473051D" w:rsidR="00E60774" w:rsidRDefault="00AF3958" w:rsidP="0069224F">
      <w:pPr>
        <w:spacing w:afterLines="50" w:after="156" w:line="48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A</w:t>
      </w:r>
      <w:r>
        <w:rPr>
          <w:rFonts w:ascii="Times New Roman" w:hAnsi="Times New Roman" w:cs="Times New Roman"/>
          <w:b/>
          <w:bCs/>
          <w:sz w:val="24"/>
          <w:szCs w:val="24"/>
        </w:rPr>
        <w:t>bstract</w:t>
      </w:r>
    </w:p>
    <w:p w14:paraId="0487FAF3" w14:textId="77777777" w:rsidR="0069224F" w:rsidRDefault="0069224F" w:rsidP="0069224F">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Using stated choice experiments, this paper tests the causal effect of mutual funds’ commitment to the ESG investing by signing the UNPRI on individual investors’ preference for mutual funds. I find that signing the UNPRI will make mutual funds more attractive to investors. </w:t>
      </w:r>
      <w:r w:rsidR="00AF3958">
        <w:rPr>
          <w:rFonts w:ascii="Times New Roman" w:hAnsi="Times New Roman" w:cs="Times New Roman"/>
          <w:sz w:val="24"/>
          <w:szCs w:val="24"/>
        </w:rPr>
        <w:t>The estimated WTP is approximate</w:t>
      </w:r>
      <w:r>
        <w:rPr>
          <w:rFonts w:ascii="Times New Roman" w:hAnsi="Times New Roman" w:cs="Times New Roman"/>
          <w:sz w:val="24"/>
          <w:szCs w:val="24"/>
        </w:rPr>
        <w:t>ly</w:t>
      </w:r>
      <w:r w:rsidR="00AF3958">
        <w:rPr>
          <w:rFonts w:ascii="Times New Roman" w:hAnsi="Times New Roman" w:cs="Times New Roman"/>
          <w:sz w:val="24"/>
          <w:szCs w:val="24"/>
        </w:rPr>
        <w:t xml:space="preserve"> 4% in terms of the annual management fees, both statistically and economically significant. </w:t>
      </w:r>
      <w:r w:rsidR="00C52002">
        <w:rPr>
          <w:rFonts w:ascii="Times New Roman" w:hAnsi="Times New Roman" w:cs="Times New Roman"/>
          <w:sz w:val="24"/>
          <w:szCs w:val="24"/>
        </w:rPr>
        <w:t>T</w:t>
      </w:r>
      <w:r>
        <w:rPr>
          <w:rFonts w:ascii="Times New Roman" w:hAnsi="Times New Roman" w:cs="Times New Roman"/>
          <w:sz w:val="24"/>
          <w:szCs w:val="24"/>
        </w:rPr>
        <w:t xml:space="preserve">he effect of signing the UNPRI </w:t>
      </w:r>
      <w:r w:rsidR="00C52002">
        <w:rPr>
          <w:rFonts w:ascii="Times New Roman" w:hAnsi="Times New Roman" w:cs="Times New Roman"/>
          <w:sz w:val="24"/>
          <w:szCs w:val="24"/>
        </w:rPr>
        <w:t xml:space="preserve">on investor preference </w:t>
      </w:r>
      <w:r>
        <w:rPr>
          <w:rFonts w:ascii="Times New Roman" w:hAnsi="Times New Roman" w:cs="Times New Roman"/>
          <w:sz w:val="24"/>
          <w:szCs w:val="24"/>
        </w:rPr>
        <w:t>is not significantly different among investors with different sex, income, risk attitude, and mutual fund investment experience.</w:t>
      </w:r>
      <w:r w:rsidR="00C52002">
        <w:rPr>
          <w:rFonts w:ascii="Times New Roman" w:hAnsi="Times New Roman" w:cs="Times New Roman"/>
          <w:sz w:val="24"/>
          <w:szCs w:val="24"/>
        </w:rPr>
        <w:t xml:space="preserve"> However, it </w:t>
      </w:r>
      <w:r w:rsidR="00AF3958">
        <w:rPr>
          <w:rFonts w:ascii="Times New Roman" w:hAnsi="Times New Roman" w:cs="Times New Roman"/>
          <w:sz w:val="24"/>
          <w:szCs w:val="24"/>
        </w:rPr>
        <w:t>is larger among the older investors than the younger</w:t>
      </w:r>
      <w:r>
        <w:rPr>
          <w:rFonts w:ascii="Times New Roman" w:hAnsi="Times New Roman" w:cs="Times New Roman"/>
          <w:sz w:val="24"/>
          <w:szCs w:val="24"/>
        </w:rPr>
        <w:t>.</w:t>
      </w:r>
    </w:p>
    <w:p w14:paraId="08646E05" w14:textId="1930ED3A" w:rsidR="009D2C1F" w:rsidRPr="00BD0646" w:rsidRDefault="009D2C1F" w:rsidP="009D2C1F">
      <w:pPr>
        <w:spacing w:afterLines="50" w:after="156" w:line="480" w:lineRule="auto"/>
        <w:rPr>
          <w:rFonts w:ascii="Times New Roman" w:hAnsi="Times New Roman" w:cs="Times New Roman"/>
          <w:b/>
          <w:bCs/>
          <w:sz w:val="24"/>
          <w:szCs w:val="24"/>
        </w:rPr>
      </w:pPr>
      <w:r w:rsidRPr="00BD0646">
        <w:rPr>
          <w:rFonts w:ascii="Times New Roman" w:hAnsi="Times New Roman" w:cs="Times New Roman"/>
          <w:b/>
          <w:bCs/>
          <w:sz w:val="24"/>
          <w:szCs w:val="24"/>
        </w:rPr>
        <w:t xml:space="preserve">Keywords: </w:t>
      </w:r>
      <w:r w:rsidRPr="00BD0646">
        <w:rPr>
          <w:rFonts w:ascii="Times New Roman" w:hAnsi="Times New Roman" w:cs="Times New Roman" w:hint="eastAsia"/>
          <w:b/>
          <w:bCs/>
          <w:sz w:val="24"/>
          <w:szCs w:val="24"/>
        </w:rPr>
        <w:t>UNPRI</w:t>
      </w:r>
      <w:r w:rsidR="00BD0646" w:rsidRPr="00BD0646">
        <w:rPr>
          <w:rFonts w:ascii="Times New Roman" w:hAnsi="Times New Roman" w:cs="Times New Roman"/>
          <w:b/>
          <w:bCs/>
          <w:sz w:val="24"/>
          <w:szCs w:val="24"/>
        </w:rPr>
        <w:t>,</w:t>
      </w:r>
      <w:r w:rsidRPr="00BD0646">
        <w:rPr>
          <w:rFonts w:ascii="Times New Roman" w:hAnsi="Times New Roman" w:cs="Times New Roman"/>
          <w:b/>
          <w:bCs/>
          <w:sz w:val="24"/>
          <w:szCs w:val="24"/>
        </w:rPr>
        <w:t xml:space="preserve"> </w:t>
      </w:r>
      <w:r w:rsidR="00BD0646" w:rsidRPr="00BD0646">
        <w:rPr>
          <w:rFonts w:ascii="Times New Roman" w:hAnsi="Times New Roman" w:cs="Times New Roman"/>
          <w:b/>
          <w:bCs/>
          <w:sz w:val="24"/>
          <w:szCs w:val="24"/>
        </w:rPr>
        <w:t>C</w:t>
      </w:r>
      <w:r w:rsidRPr="00BD0646">
        <w:rPr>
          <w:rFonts w:ascii="Times New Roman" w:hAnsi="Times New Roman" w:cs="Times New Roman"/>
          <w:b/>
          <w:bCs/>
          <w:sz w:val="24"/>
          <w:szCs w:val="24"/>
        </w:rPr>
        <w:t xml:space="preserve">hoice </w:t>
      </w:r>
      <w:r w:rsidR="00BD0646" w:rsidRPr="00BD0646">
        <w:rPr>
          <w:rFonts w:ascii="Times New Roman" w:hAnsi="Times New Roman" w:cs="Times New Roman"/>
          <w:b/>
          <w:bCs/>
          <w:sz w:val="24"/>
          <w:szCs w:val="24"/>
        </w:rPr>
        <w:t>E</w:t>
      </w:r>
      <w:r w:rsidRPr="00BD0646">
        <w:rPr>
          <w:rFonts w:ascii="Times New Roman" w:hAnsi="Times New Roman" w:cs="Times New Roman"/>
          <w:b/>
          <w:bCs/>
          <w:sz w:val="24"/>
          <w:szCs w:val="24"/>
        </w:rPr>
        <w:t>xperiment, ESG</w:t>
      </w:r>
    </w:p>
    <w:p w14:paraId="62398763" w14:textId="66722B00" w:rsidR="00BD0646" w:rsidRPr="00BD0646" w:rsidRDefault="00BD0646" w:rsidP="00BD0646">
      <w:pPr>
        <w:rPr>
          <w:rFonts w:ascii="Times New Roman" w:hAnsi="Times New Roman" w:cs="Times New Roman"/>
          <w:sz w:val="24"/>
          <w:szCs w:val="24"/>
        </w:rPr>
        <w:sectPr w:rsidR="00BD0646" w:rsidRPr="00BD0646" w:rsidSect="008A25AB">
          <w:footerReference w:type="default" r:id="rId8"/>
          <w:pgSz w:w="11906" w:h="16838"/>
          <w:pgMar w:top="1440" w:right="1800" w:bottom="1440" w:left="1800" w:header="851" w:footer="992" w:gutter="0"/>
          <w:cols w:space="425"/>
          <w:docGrid w:type="lines" w:linePitch="312"/>
        </w:sectPr>
      </w:pPr>
      <w:r w:rsidRPr="00BD0646">
        <w:rPr>
          <w:rFonts w:ascii="Times New Roman" w:hAnsi="Times New Roman" w:cs="Times New Roman"/>
          <w:b/>
          <w:sz w:val="24"/>
          <w:szCs w:val="24"/>
        </w:rPr>
        <w:t>JEL Classification: G20, G50</w:t>
      </w:r>
    </w:p>
    <w:p w14:paraId="677F4996" w14:textId="23CBA0FD" w:rsidR="004776ED" w:rsidRPr="004A1567" w:rsidRDefault="00423B95" w:rsidP="00611639">
      <w:pPr>
        <w:spacing w:afterLines="50" w:after="156" w:line="480" w:lineRule="auto"/>
        <w:rPr>
          <w:rFonts w:ascii="Times New Roman" w:hAnsi="Times New Roman" w:cs="Times New Roman"/>
          <w:b/>
          <w:bCs/>
          <w:sz w:val="24"/>
          <w:szCs w:val="24"/>
        </w:rPr>
      </w:pPr>
      <w:r w:rsidRPr="004A1567">
        <w:rPr>
          <w:rFonts w:ascii="Times New Roman" w:hAnsi="Times New Roman" w:cs="Times New Roman" w:hint="eastAsia"/>
          <w:b/>
          <w:bCs/>
          <w:sz w:val="24"/>
          <w:szCs w:val="24"/>
        </w:rPr>
        <w:lastRenderedPageBreak/>
        <w:t>I</w:t>
      </w:r>
      <w:r w:rsidRPr="004A1567">
        <w:rPr>
          <w:rFonts w:ascii="Times New Roman" w:hAnsi="Times New Roman" w:cs="Times New Roman"/>
          <w:b/>
          <w:bCs/>
          <w:sz w:val="24"/>
          <w:szCs w:val="24"/>
        </w:rPr>
        <w:t xml:space="preserve">. </w:t>
      </w:r>
      <w:r w:rsidRPr="004A1567">
        <w:rPr>
          <w:rFonts w:ascii="Times New Roman" w:hAnsi="Times New Roman" w:cs="Times New Roman" w:hint="eastAsia"/>
          <w:b/>
          <w:bCs/>
          <w:sz w:val="24"/>
          <w:szCs w:val="24"/>
        </w:rPr>
        <w:t>Introduction</w:t>
      </w:r>
    </w:p>
    <w:p w14:paraId="35F91541" w14:textId="42E390CA" w:rsidR="00B328AD" w:rsidRDefault="00F44BD4" w:rsidP="00971A28">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An increasing number of institutional investors incorporate Environmental, Social, and Governance</w:t>
      </w:r>
      <w:r w:rsidR="00971A28">
        <w:rPr>
          <w:rFonts w:ascii="Times New Roman" w:hAnsi="Times New Roman" w:cs="Times New Roman"/>
          <w:sz w:val="24"/>
          <w:szCs w:val="24"/>
        </w:rPr>
        <w:t xml:space="preserve"> (ESG)</w:t>
      </w:r>
      <w:r>
        <w:rPr>
          <w:rFonts w:ascii="Times New Roman" w:hAnsi="Times New Roman" w:cs="Times New Roman"/>
          <w:sz w:val="24"/>
          <w:szCs w:val="24"/>
        </w:rPr>
        <w:t xml:space="preserve"> factors into investment decision-making. Many </w:t>
      </w:r>
      <w:r w:rsidR="00971A28">
        <w:rPr>
          <w:rFonts w:ascii="Times New Roman" w:hAnsi="Times New Roman" w:cs="Times New Roman"/>
          <w:sz w:val="24"/>
          <w:szCs w:val="24"/>
        </w:rPr>
        <w:t>institutional investors have announced commitments to the ESG investing</w:t>
      </w:r>
      <w:r w:rsidR="00971A28">
        <w:rPr>
          <w:rStyle w:val="af0"/>
          <w:rFonts w:ascii="Times New Roman" w:hAnsi="Times New Roman" w:cs="Times New Roman"/>
          <w:sz w:val="24"/>
          <w:szCs w:val="24"/>
        </w:rPr>
        <w:footnoteReference w:id="2"/>
      </w:r>
      <w:r w:rsidR="00971A28">
        <w:rPr>
          <w:rFonts w:ascii="Times New Roman" w:hAnsi="Times New Roman" w:cs="Times New Roman"/>
          <w:sz w:val="24"/>
          <w:szCs w:val="24"/>
        </w:rPr>
        <w:t xml:space="preserve"> by signing the United Nations Principles for Responsible Investment (the UNPRI). </w:t>
      </w:r>
      <w:r w:rsidR="00B328AD">
        <w:rPr>
          <w:rFonts w:ascii="Times New Roman" w:hAnsi="Times New Roman" w:cs="Times New Roman" w:hint="eastAsia"/>
          <w:sz w:val="24"/>
          <w:szCs w:val="24"/>
        </w:rPr>
        <w:t>The</w:t>
      </w:r>
      <w:r w:rsidR="00B328AD">
        <w:rPr>
          <w:rFonts w:ascii="Times New Roman" w:hAnsi="Times New Roman" w:cs="Times New Roman"/>
          <w:sz w:val="24"/>
          <w:szCs w:val="24"/>
        </w:rPr>
        <w:t xml:space="preserve"> UNPRI is the world’s leading proponent of responsible investment </w:t>
      </w:r>
      <w:r w:rsidR="00B328AD" w:rsidRPr="004A1567">
        <w:rPr>
          <w:rFonts w:ascii="Times New Roman" w:hAnsi="Times New Roman" w:cs="Times New Roman"/>
          <w:sz w:val="24"/>
          <w:szCs w:val="24"/>
        </w:rPr>
        <w:t>by encouraging and supporting its signatories (including investment managers, asset owners, and service providers) in incorporating ESG factors into decision making.</w:t>
      </w:r>
      <w:r w:rsidR="00B328AD">
        <w:rPr>
          <w:rFonts w:ascii="Times New Roman" w:hAnsi="Times New Roman" w:cs="Times New Roman"/>
          <w:sz w:val="24"/>
          <w:szCs w:val="24"/>
        </w:rPr>
        <w:t xml:space="preserve"> </w:t>
      </w:r>
      <w:r w:rsidR="00817903">
        <w:rPr>
          <w:rFonts w:ascii="Times New Roman" w:hAnsi="Times New Roman" w:cs="Times New Roman"/>
          <w:sz w:val="24"/>
          <w:szCs w:val="24"/>
        </w:rPr>
        <w:t xml:space="preserve">By the March of 2023, 4,841 institutional investors have become signatories of the UNPRI, with a year-to-year 10% annual growth rate. </w:t>
      </w:r>
      <w:r w:rsidR="00817903">
        <w:rPr>
          <w:rFonts w:ascii="Times New Roman" w:hAnsi="Times New Roman" w:cs="Times New Roman" w:hint="eastAsia"/>
          <w:sz w:val="24"/>
          <w:szCs w:val="24"/>
        </w:rPr>
        <w:t>T</w:t>
      </w:r>
      <w:r w:rsidR="00817903">
        <w:rPr>
          <w:rFonts w:ascii="Times New Roman" w:hAnsi="Times New Roman" w:cs="Times New Roman"/>
          <w:sz w:val="24"/>
          <w:szCs w:val="24"/>
        </w:rPr>
        <w:t>he aggregate asset under management (AUM) has reached in USD 121.3 trillion 2021 (the most recent data)</w:t>
      </w:r>
      <w:r w:rsidR="00817903">
        <w:rPr>
          <w:rStyle w:val="af0"/>
          <w:rFonts w:ascii="Times New Roman" w:hAnsi="Times New Roman" w:cs="Times New Roman"/>
          <w:sz w:val="24"/>
          <w:szCs w:val="24"/>
        </w:rPr>
        <w:footnoteReference w:id="3"/>
      </w:r>
      <w:r w:rsidR="00817903">
        <w:rPr>
          <w:rFonts w:ascii="Times New Roman" w:hAnsi="Times New Roman" w:cs="Times New Roman"/>
          <w:sz w:val="24"/>
          <w:szCs w:val="24"/>
        </w:rPr>
        <w:t>.</w:t>
      </w:r>
    </w:p>
    <w:p w14:paraId="2490F606" w14:textId="30DC58E2" w:rsidR="008D4872" w:rsidRPr="004A1567" w:rsidRDefault="00817903" w:rsidP="00D8607A">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However, c</w:t>
      </w:r>
      <w:r w:rsidR="008D4872" w:rsidRPr="004A1567">
        <w:rPr>
          <w:rFonts w:ascii="Times New Roman" w:hAnsi="Times New Roman" w:cs="Times New Roman"/>
          <w:sz w:val="24"/>
          <w:szCs w:val="24"/>
        </w:rPr>
        <w:t>ommit</w:t>
      </w:r>
      <w:r w:rsidR="00F071CA" w:rsidRPr="004A1567">
        <w:rPr>
          <w:rFonts w:ascii="Times New Roman" w:hAnsi="Times New Roman" w:cs="Times New Roman"/>
          <w:sz w:val="24"/>
          <w:szCs w:val="24"/>
        </w:rPr>
        <w:t>ting</w:t>
      </w:r>
      <w:r w:rsidR="008D4872" w:rsidRPr="004A1567">
        <w:rPr>
          <w:rFonts w:ascii="Times New Roman" w:hAnsi="Times New Roman" w:cs="Times New Roman"/>
          <w:sz w:val="24"/>
          <w:szCs w:val="24"/>
        </w:rPr>
        <w:t xml:space="preserve"> to </w:t>
      </w:r>
      <w:r w:rsidR="003C17C8" w:rsidRPr="004A1567">
        <w:rPr>
          <w:rFonts w:ascii="Times New Roman" w:hAnsi="Times New Roman" w:cs="Times New Roman"/>
          <w:sz w:val="24"/>
          <w:szCs w:val="24"/>
        </w:rPr>
        <w:t xml:space="preserve">the </w:t>
      </w:r>
      <w:r w:rsidR="008D4872" w:rsidRPr="004A1567">
        <w:rPr>
          <w:rFonts w:ascii="Times New Roman" w:hAnsi="Times New Roman" w:cs="Times New Roman"/>
          <w:sz w:val="24"/>
          <w:szCs w:val="24"/>
        </w:rPr>
        <w:t xml:space="preserve">ESG </w:t>
      </w:r>
      <w:r>
        <w:rPr>
          <w:rFonts w:ascii="Times New Roman" w:hAnsi="Times New Roman" w:cs="Times New Roman"/>
          <w:sz w:val="24"/>
          <w:szCs w:val="24"/>
        </w:rPr>
        <w:t>investing</w:t>
      </w:r>
      <w:r w:rsidR="00F071CA" w:rsidRPr="004A1567">
        <w:rPr>
          <w:rFonts w:ascii="Times New Roman" w:hAnsi="Times New Roman" w:cs="Times New Roman"/>
          <w:sz w:val="24"/>
          <w:szCs w:val="24"/>
        </w:rPr>
        <w:t xml:space="preserve"> </w:t>
      </w:r>
      <w:r w:rsidR="00E073C8" w:rsidRPr="004A1567">
        <w:rPr>
          <w:rFonts w:ascii="Times New Roman" w:hAnsi="Times New Roman" w:cs="Times New Roman"/>
          <w:sz w:val="24"/>
          <w:szCs w:val="24"/>
        </w:rPr>
        <w:t>can</w:t>
      </w:r>
      <w:r w:rsidR="00F071CA" w:rsidRPr="004A1567">
        <w:rPr>
          <w:rFonts w:ascii="Times New Roman" w:hAnsi="Times New Roman" w:cs="Times New Roman"/>
          <w:sz w:val="24"/>
          <w:szCs w:val="24"/>
        </w:rPr>
        <w:t xml:space="preserve"> be costly to </w:t>
      </w:r>
      <w:r w:rsidR="008D4872" w:rsidRPr="004A1567">
        <w:rPr>
          <w:rFonts w:ascii="Times New Roman" w:hAnsi="Times New Roman" w:cs="Times New Roman"/>
          <w:sz w:val="24"/>
          <w:szCs w:val="24"/>
        </w:rPr>
        <w:t>institutional inve</w:t>
      </w:r>
      <w:r w:rsidR="006D287D" w:rsidRPr="004A1567">
        <w:rPr>
          <w:rFonts w:ascii="Times New Roman" w:hAnsi="Times New Roman" w:cs="Times New Roman"/>
          <w:sz w:val="24"/>
          <w:szCs w:val="24"/>
        </w:rPr>
        <w:t xml:space="preserve">stors. </w:t>
      </w:r>
      <w:r w:rsidR="008D4872" w:rsidRPr="004A1567">
        <w:rPr>
          <w:rFonts w:ascii="Times New Roman" w:hAnsi="Times New Roman" w:cs="Times New Roman"/>
          <w:sz w:val="24"/>
          <w:szCs w:val="24"/>
        </w:rPr>
        <w:t>F</w:t>
      </w:r>
      <w:r>
        <w:rPr>
          <w:rFonts w:ascii="Times New Roman" w:hAnsi="Times New Roman" w:cs="Times New Roman"/>
          <w:sz w:val="24"/>
          <w:szCs w:val="24"/>
        </w:rPr>
        <w:t>or example</w:t>
      </w:r>
      <w:r w:rsidR="008D4872" w:rsidRPr="004A1567">
        <w:rPr>
          <w:rFonts w:ascii="Times New Roman" w:hAnsi="Times New Roman" w:cs="Times New Roman"/>
          <w:sz w:val="24"/>
          <w:szCs w:val="24"/>
        </w:rPr>
        <w:t xml:space="preserve">, </w:t>
      </w:r>
      <w:r>
        <w:rPr>
          <w:rFonts w:ascii="Times New Roman" w:hAnsi="Times New Roman" w:cs="Times New Roman"/>
          <w:sz w:val="24"/>
          <w:szCs w:val="24"/>
        </w:rPr>
        <w:t xml:space="preserve">when having signed the UNPRI, the investment managers and asset owners are obliged to disclose annual reports of responsible investment activities and pay for annual membership fees. Besides, if an institutional investor follows the ESG principles in </w:t>
      </w:r>
      <w:r w:rsidR="00C64E52">
        <w:rPr>
          <w:rFonts w:ascii="Times New Roman" w:hAnsi="Times New Roman" w:cs="Times New Roman"/>
          <w:sz w:val="24"/>
          <w:szCs w:val="24"/>
        </w:rPr>
        <w:t>making investment decisions,</w:t>
      </w:r>
      <w:r>
        <w:rPr>
          <w:rFonts w:ascii="Times New Roman" w:hAnsi="Times New Roman" w:cs="Times New Roman"/>
          <w:sz w:val="24"/>
          <w:szCs w:val="24"/>
        </w:rPr>
        <w:t xml:space="preserve"> </w:t>
      </w:r>
      <w:r w:rsidR="00C64E52">
        <w:rPr>
          <w:rFonts w:ascii="Times New Roman" w:hAnsi="Times New Roman" w:cs="Times New Roman"/>
          <w:sz w:val="24"/>
          <w:szCs w:val="24"/>
        </w:rPr>
        <w:t>the choice set of stocks might be limited to those with high ESG performance, which can make the investors miss profitable earning opportunities. Considering</w:t>
      </w:r>
      <w:r w:rsidR="00357BE2" w:rsidRPr="004A1567">
        <w:rPr>
          <w:rFonts w:ascii="Times New Roman" w:hAnsi="Times New Roman" w:cs="Times New Roman"/>
          <w:sz w:val="24"/>
          <w:szCs w:val="24"/>
        </w:rPr>
        <w:t xml:space="preserve"> these costs, </w:t>
      </w:r>
      <w:r w:rsidR="00C64E52">
        <w:rPr>
          <w:rFonts w:ascii="Times New Roman" w:hAnsi="Times New Roman" w:cs="Times New Roman"/>
          <w:sz w:val="24"/>
          <w:szCs w:val="24"/>
        </w:rPr>
        <w:t xml:space="preserve">understanding the motivation behind </w:t>
      </w:r>
      <w:r w:rsidR="00357BE2" w:rsidRPr="004A1567">
        <w:rPr>
          <w:rFonts w:ascii="Times New Roman" w:hAnsi="Times New Roman" w:cs="Times New Roman"/>
          <w:sz w:val="24"/>
          <w:szCs w:val="24"/>
        </w:rPr>
        <w:t xml:space="preserve">which </w:t>
      </w:r>
      <w:r w:rsidR="00E073C8" w:rsidRPr="004A1567">
        <w:rPr>
          <w:rFonts w:ascii="Times New Roman" w:hAnsi="Times New Roman" w:cs="Times New Roman"/>
          <w:sz w:val="24"/>
          <w:szCs w:val="24"/>
        </w:rPr>
        <w:t xml:space="preserve">institutional investors </w:t>
      </w:r>
      <w:r w:rsidR="00357BE2" w:rsidRPr="004A1567">
        <w:rPr>
          <w:rFonts w:ascii="Times New Roman" w:hAnsi="Times New Roman" w:cs="Times New Roman"/>
          <w:sz w:val="24"/>
          <w:szCs w:val="24"/>
        </w:rPr>
        <w:t xml:space="preserve">commit to </w:t>
      </w:r>
      <w:r w:rsidR="003C17C8" w:rsidRPr="004A1567">
        <w:rPr>
          <w:rFonts w:ascii="Times New Roman" w:hAnsi="Times New Roman" w:cs="Times New Roman"/>
          <w:sz w:val="24"/>
          <w:szCs w:val="24"/>
        </w:rPr>
        <w:t xml:space="preserve">the </w:t>
      </w:r>
      <w:r w:rsidR="00357BE2" w:rsidRPr="004A1567">
        <w:rPr>
          <w:rFonts w:ascii="Times New Roman" w:hAnsi="Times New Roman" w:cs="Times New Roman"/>
          <w:sz w:val="24"/>
          <w:szCs w:val="24"/>
        </w:rPr>
        <w:t xml:space="preserve">ESG investing </w:t>
      </w:r>
      <w:r w:rsidR="00C64E52">
        <w:rPr>
          <w:rFonts w:ascii="Times New Roman" w:hAnsi="Times New Roman" w:cs="Times New Roman"/>
          <w:sz w:val="24"/>
          <w:szCs w:val="24"/>
        </w:rPr>
        <w:t>is important.</w:t>
      </w:r>
    </w:p>
    <w:p w14:paraId="6FD09775" w14:textId="1D3877A1" w:rsidR="001476E2" w:rsidRPr="004A1567" w:rsidRDefault="00357BE2" w:rsidP="00D8607A">
      <w:pPr>
        <w:spacing w:afterLines="50" w:after="156" w:line="480" w:lineRule="auto"/>
        <w:ind w:firstLineChars="200" w:firstLine="480"/>
        <w:rPr>
          <w:rFonts w:ascii="Times New Roman" w:hAnsi="Times New Roman" w:cs="Times New Roman"/>
          <w:sz w:val="24"/>
          <w:szCs w:val="24"/>
        </w:rPr>
      </w:pPr>
      <w:r w:rsidRPr="004A1567">
        <w:rPr>
          <w:rFonts w:ascii="Times New Roman" w:hAnsi="Times New Roman" w:cs="Times New Roman" w:hint="eastAsia"/>
          <w:sz w:val="24"/>
          <w:szCs w:val="24"/>
        </w:rPr>
        <w:t>O</w:t>
      </w:r>
      <w:r w:rsidRPr="004A1567">
        <w:rPr>
          <w:rFonts w:ascii="Times New Roman" w:hAnsi="Times New Roman" w:cs="Times New Roman"/>
          <w:sz w:val="24"/>
          <w:szCs w:val="24"/>
        </w:rPr>
        <w:t xml:space="preserve">ne possible </w:t>
      </w:r>
      <w:r w:rsidR="001476E2" w:rsidRPr="004A1567">
        <w:rPr>
          <w:rFonts w:ascii="Times New Roman" w:hAnsi="Times New Roman" w:cs="Times New Roman"/>
          <w:sz w:val="24"/>
          <w:szCs w:val="24"/>
        </w:rPr>
        <w:t>explanation</w:t>
      </w:r>
      <w:r w:rsidRPr="004A1567">
        <w:rPr>
          <w:rFonts w:ascii="Times New Roman" w:hAnsi="Times New Roman" w:cs="Times New Roman"/>
          <w:sz w:val="24"/>
          <w:szCs w:val="24"/>
        </w:rPr>
        <w:t xml:space="preserve"> </w:t>
      </w:r>
      <w:r w:rsidR="009860E0">
        <w:rPr>
          <w:rFonts w:ascii="Times New Roman" w:hAnsi="Times New Roman" w:cs="Times New Roman"/>
          <w:sz w:val="24"/>
          <w:szCs w:val="24"/>
        </w:rPr>
        <w:t xml:space="preserve">for that many institutional investors commit to the ESG </w:t>
      </w:r>
      <w:r w:rsidR="009860E0">
        <w:rPr>
          <w:rFonts w:ascii="Times New Roman" w:hAnsi="Times New Roman" w:cs="Times New Roman"/>
          <w:sz w:val="24"/>
          <w:szCs w:val="24"/>
        </w:rPr>
        <w:lastRenderedPageBreak/>
        <w:t xml:space="preserve">investing </w:t>
      </w:r>
      <w:r w:rsidRPr="004A1567">
        <w:rPr>
          <w:rFonts w:ascii="Times New Roman" w:hAnsi="Times New Roman" w:cs="Times New Roman"/>
          <w:sz w:val="24"/>
          <w:szCs w:val="24"/>
        </w:rPr>
        <w:t xml:space="preserve">is that </w:t>
      </w:r>
      <w:r w:rsidR="009860E0">
        <w:rPr>
          <w:rFonts w:ascii="Times New Roman" w:hAnsi="Times New Roman" w:cs="Times New Roman"/>
          <w:sz w:val="24"/>
          <w:szCs w:val="24"/>
        </w:rPr>
        <w:t>it can</w:t>
      </w:r>
      <w:r w:rsidRPr="004A1567">
        <w:rPr>
          <w:rFonts w:ascii="Times New Roman" w:hAnsi="Times New Roman" w:cs="Times New Roman"/>
          <w:sz w:val="24"/>
          <w:szCs w:val="24"/>
        </w:rPr>
        <w:t xml:space="preserve"> attract </w:t>
      </w:r>
      <w:r w:rsidR="009860E0">
        <w:rPr>
          <w:rFonts w:ascii="Times New Roman" w:hAnsi="Times New Roman" w:cs="Times New Roman"/>
          <w:sz w:val="24"/>
          <w:szCs w:val="24"/>
        </w:rPr>
        <w:t>more potential clients, especially individual investors</w:t>
      </w:r>
      <w:r w:rsidRPr="004A1567">
        <w:rPr>
          <w:rFonts w:ascii="Times New Roman" w:hAnsi="Times New Roman" w:cs="Times New Roman"/>
          <w:sz w:val="24"/>
          <w:szCs w:val="24"/>
        </w:rPr>
        <w:t xml:space="preserve">. </w:t>
      </w:r>
      <w:r w:rsidR="009860E0">
        <w:rPr>
          <w:rFonts w:ascii="Times New Roman" w:hAnsi="Times New Roman" w:cs="Times New Roman"/>
          <w:sz w:val="24"/>
          <w:szCs w:val="24"/>
        </w:rPr>
        <w:t>Then i</w:t>
      </w:r>
      <w:r w:rsidRPr="004A1567">
        <w:rPr>
          <w:rFonts w:ascii="Times New Roman" w:hAnsi="Times New Roman" w:cs="Times New Roman"/>
          <w:sz w:val="24"/>
          <w:szCs w:val="24"/>
        </w:rPr>
        <w:t>nvestment managers can earn more revenue</w:t>
      </w:r>
      <w:r w:rsidR="009860E0">
        <w:rPr>
          <w:rFonts w:ascii="Times New Roman" w:hAnsi="Times New Roman" w:cs="Times New Roman"/>
          <w:sz w:val="24"/>
          <w:szCs w:val="24"/>
        </w:rPr>
        <w:t>s</w:t>
      </w:r>
      <w:r w:rsidRPr="004A1567">
        <w:rPr>
          <w:rFonts w:ascii="Times New Roman" w:hAnsi="Times New Roman" w:cs="Times New Roman"/>
          <w:sz w:val="24"/>
          <w:szCs w:val="24"/>
        </w:rPr>
        <w:t xml:space="preserve"> </w:t>
      </w:r>
      <w:r w:rsidR="001E7EE2">
        <w:rPr>
          <w:rFonts w:ascii="Times New Roman" w:hAnsi="Times New Roman" w:cs="Times New Roman"/>
          <w:sz w:val="24"/>
          <w:szCs w:val="24"/>
        </w:rPr>
        <w:t>from</w:t>
      </w:r>
      <w:r w:rsidRPr="004A1567">
        <w:rPr>
          <w:rFonts w:ascii="Times New Roman" w:hAnsi="Times New Roman" w:cs="Times New Roman"/>
          <w:sz w:val="24"/>
          <w:szCs w:val="24"/>
        </w:rPr>
        <w:t xml:space="preserve"> l</w:t>
      </w:r>
      <w:r w:rsidR="001E7EE2">
        <w:rPr>
          <w:rFonts w:ascii="Times New Roman" w:hAnsi="Times New Roman" w:cs="Times New Roman"/>
          <w:sz w:val="24"/>
          <w:szCs w:val="24"/>
        </w:rPr>
        <w:t>arger</w:t>
      </w:r>
      <w:r w:rsidRPr="004A1567">
        <w:rPr>
          <w:rFonts w:ascii="Times New Roman" w:hAnsi="Times New Roman" w:cs="Times New Roman"/>
          <w:sz w:val="24"/>
          <w:szCs w:val="24"/>
        </w:rPr>
        <w:t xml:space="preserve"> </w:t>
      </w:r>
      <w:r w:rsidR="009860E0">
        <w:rPr>
          <w:rFonts w:ascii="Times New Roman" w:hAnsi="Times New Roman" w:cs="Times New Roman"/>
          <w:sz w:val="24"/>
          <w:szCs w:val="24"/>
        </w:rPr>
        <w:t>AUM</w:t>
      </w:r>
      <w:r w:rsidR="001E7EE2">
        <w:rPr>
          <w:rFonts w:ascii="Times New Roman" w:hAnsi="Times New Roman" w:cs="Times New Roman"/>
          <w:sz w:val="24"/>
          <w:szCs w:val="24"/>
        </w:rPr>
        <w:t>. They might further benefit by raising management fees when the potential investors prefer their products. In t</w:t>
      </w:r>
      <w:r w:rsidR="007D62D6" w:rsidRPr="004A1567">
        <w:rPr>
          <w:rFonts w:ascii="Times New Roman" w:hAnsi="Times New Roman" w:cs="Times New Roman"/>
          <w:sz w:val="24"/>
          <w:szCs w:val="24"/>
        </w:rPr>
        <w:t>his paper</w:t>
      </w:r>
      <w:r w:rsidR="001E7EE2">
        <w:rPr>
          <w:rFonts w:ascii="Times New Roman" w:hAnsi="Times New Roman" w:cs="Times New Roman"/>
          <w:sz w:val="24"/>
          <w:szCs w:val="24"/>
        </w:rPr>
        <w:t>, I test whether</w:t>
      </w:r>
      <w:r w:rsidR="007D62D6" w:rsidRPr="004A1567">
        <w:rPr>
          <w:rFonts w:ascii="Times New Roman" w:hAnsi="Times New Roman" w:cs="Times New Roman"/>
          <w:sz w:val="24"/>
          <w:szCs w:val="24"/>
        </w:rPr>
        <w:t xml:space="preserve"> </w:t>
      </w:r>
      <w:r w:rsidR="003C17C8" w:rsidRPr="004A1567">
        <w:rPr>
          <w:rFonts w:ascii="Times New Roman" w:hAnsi="Times New Roman" w:cs="Times New Roman"/>
          <w:sz w:val="24"/>
          <w:szCs w:val="24"/>
        </w:rPr>
        <w:t xml:space="preserve">committing to the </w:t>
      </w:r>
      <w:r w:rsidR="007D62D6" w:rsidRPr="004A1567">
        <w:rPr>
          <w:rFonts w:ascii="Times New Roman" w:hAnsi="Times New Roman" w:cs="Times New Roman"/>
          <w:sz w:val="24"/>
          <w:szCs w:val="24"/>
        </w:rPr>
        <w:t xml:space="preserve">ESG investing </w:t>
      </w:r>
      <w:r w:rsidR="003C17C8" w:rsidRPr="004A1567">
        <w:rPr>
          <w:rFonts w:ascii="Times New Roman" w:hAnsi="Times New Roman" w:cs="Times New Roman"/>
          <w:sz w:val="24"/>
          <w:szCs w:val="24"/>
        </w:rPr>
        <w:t xml:space="preserve">by signing the UNPRI </w:t>
      </w:r>
      <w:r w:rsidR="001476E2" w:rsidRPr="004A1567">
        <w:rPr>
          <w:rFonts w:ascii="Times New Roman" w:hAnsi="Times New Roman" w:cs="Times New Roman"/>
          <w:sz w:val="24"/>
          <w:szCs w:val="24"/>
        </w:rPr>
        <w:t xml:space="preserve">affects </w:t>
      </w:r>
      <w:r w:rsidR="001E7EE2">
        <w:rPr>
          <w:rFonts w:ascii="Times New Roman" w:hAnsi="Times New Roman" w:cs="Times New Roman" w:hint="eastAsia"/>
          <w:sz w:val="24"/>
          <w:szCs w:val="24"/>
        </w:rPr>
        <w:t>ind</w:t>
      </w:r>
      <w:r w:rsidR="001E7EE2">
        <w:rPr>
          <w:rFonts w:ascii="Times New Roman" w:hAnsi="Times New Roman" w:cs="Times New Roman"/>
          <w:sz w:val="24"/>
          <w:szCs w:val="24"/>
        </w:rPr>
        <w:t>ividual</w:t>
      </w:r>
      <w:r w:rsidR="001476E2" w:rsidRPr="004A1567">
        <w:rPr>
          <w:rFonts w:ascii="Times New Roman" w:hAnsi="Times New Roman" w:cs="Times New Roman"/>
          <w:sz w:val="24"/>
          <w:szCs w:val="24"/>
        </w:rPr>
        <w:t xml:space="preserve"> investors’ preference</w:t>
      </w:r>
      <w:r w:rsidR="001E7EE2">
        <w:rPr>
          <w:rFonts w:ascii="Times New Roman" w:hAnsi="Times New Roman" w:cs="Times New Roman"/>
          <w:sz w:val="24"/>
          <w:szCs w:val="24"/>
        </w:rPr>
        <w:t xml:space="preserve"> for mutual funds</w:t>
      </w:r>
      <w:r w:rsidR="001476E2" w:rsidRPr="004A1567">
        <w:rPr>
          <w:rFonts w:ascii="Times New Roman" w:hAnsi="Times New Roman" w:cs="Times New Roman"/>
          <w:sz w:val="24"/>
          <w:szCs w:val="24"/>
        </w:rPr>
        <w:t>.</w:t>
      </w:r>
      <w:r w:rsidR="001476E2" w:rsidRPr="004A1567">
        <w:rPr>
          <w:rFonts w:ascii="Times New Roman" w:hAnsi="Times New Roman" w:cs="Times New Roman" w:hint="eastAsia"/>
          <w:sz w:val="24"/>
          <w:szCs w:val="24"/>
        </w:rPr>
        <w:t xml:space="preserve"> </w:t>
      </w:r>
    </w:p>
    <w:p w14:paraId="76D4B270" w14:textId="77777777" w:rsidR="00AC6AC0" w:rsidRDefault="00C14C12" w:rsidP="00983C2C">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Previous studies</w:t>
      </w:r>
      <w:r w:rsidR="00357BE2" w:rsidRPr="004A1567">
        <w:rPr>
          <w:rFonts w:ascii="Times New Roman" w:hAnsi="Times New Roman" w:cs="Times New Roman"/>
          <w:sz w:val="24"/>
          <w:szCs w:val="24"/>
        </w:rPr>
        <w:t xml:space="preserve"> </w:t>
      </w:r>
      <w:r w:rsidR="005C5C4B">
        <w:rPr>
          <w:rFonts w:ascii="Times New Roman" w:hAnsi="Times New Roman" w:cs="Times New Roman"/>
          <w:sz w:val="24"/>
          <w:szCs w:val="24"/>
        </w:rPr>
        <w:t xml:space="preserve">document mutual fund investors’ preference for </w:t>
      </w:r>
      <w:r w:rsidR="00357BE2" w:rsidRPr="004A1567">
        <w:rPr>
          <w:rFonts w:ascii="Times New Roman" w:hAnsi="Times New Roman" w:cs="Times New Roman"/>
          <w:sz w:val="24"/>
          <w:szCs w:val="24"/>
        </w:rPr>
        <w:t xml:space="preserve">sustainable funds </w:t>
      </w:r>
      <w:r w:rsidR="0082309E" w:rsidRPr="004A1567">
        <w:rPr>
          <w:rFonts w:ascii="Times New Roman" w:hAnsi="Times New Roman" w:cs="Times New Roman" w:hint="eastAsia"/>
          <w:sz w:val="24"/>
          <w:szCs w:val="24"/>
        </w:rPr>
        <w:t>(</w:t>
      </w:r>
      <w:r w:rsidR="0082309E" w:rsidRPr="004A1567">
        <w:rPr>
          <w:rFonts w:ascii="Times New Roman" w:hAnsi="Times New Roman" w:cs="Times New Roman"/>
          <w:sz w:val="24"/>
          <w:szCs w:val="24"/>
        </w:rPr>
        <w:t xml:space="preserve">Gutsche and Ziegler, 2019; </w:t>
      </w:r>
      <w:proofErr w:type="spellStart"/>
      <w:r w:rsidR="00925080" w:rsidRPr="004A1567">
        <w:rPr>
          <w:rFonts w:ascii="Times New Roman" w:hAnsi="Times New Roman" w:cs="Times New Roman"/>
          <w:sz w:val="24"/>
          <w:szCs w:val="24"/>
        </w:rPr>
        <w:t>Hartzmark</w:t>
      </w:r>
      <w:proofErr w:type="spellEnd"/>
      <w:r w:rsidR="00925080" w:rsidRPr="004A1567">
        <w:rPr>
          <w:rFonts w:ascii="Times New Roman" w:hAnsi="Times New Roman" w:cs="Times New Roman"/>
          <w:sz w:val="24"/>
          <w:szCs w:val="24"/>
        </w:rPr>
        <w:t xml:space="preserve"> et al., 2019</w:t>
      </w:r>
      <w:r w:rsidR="00EA6000" w:rsidRPr="004A1567">
        <w:rPr>
          <w:rFonts w:ascii="Times New Roman" w:hAnsi="Times New Roman" w:cs="Times New Roman"/>
          <w:sz w:val="24"/>
          <w:szCs w:val="24"/>
        </w:rPr>
        <w:t xml:space="preserve">; </w:t>
      </w:r>
      <w:r w:rsidR="0082309E" w:rsidRPr="004A1567">
        <w:rPr>
          <w:rFonts w:ascii="Times New Roman" w:hAnsi="Times New Roman" w:cs="Times New Roman"/>
          <w:sz w:val="24"/>
          <w:szCs w:val="24"/>
        </w:rPr>
        <w:t>Gutsche et al., 2023</w:t>
      </w:r>
      <w:r w:rsidR="00DF54D5" w:rsidRPr="004A1567">
        <w:rPr>
          <w:rFonts w:ascii="Times New Roman" w:hAnsi="Times New Roman" w:cs="Times New Roman"/>
          <w:sz w:val="24"/>
          <w:szCs w:val="24"/>
        </w:rPr>
        <w:t xml:space="preserve">; </w:t>
      </w:r>
      <w:proofErr w:type="spellStart"/>
      <w:r w:rsidR="00DF54D5" w:rsidRPr="004A1567">
        <w:rPr>
          <w:rFonts w:ascii="Times New Roman" w:hAnsi="Times New Roman" w:cs="Times New Roman"/>
          <w:sz w:val="24"/>
          <w:szCs w:val="24"/>
        </w:rPr>
        <w:t>Harasheh</w:t>
      </w:r>
      <w:proofErr w:type="spellEnd"/>
      <w:r w:rsidR="00EA6000" w:rsidRPr="004A1567">
        <w:rPr>
          <w:rFonts w:ascii="Times New Roman" w:hAnsi="Times New Roman" w:cs="Times New Roman"/>
          <w:sz w:val="24"/>
          <w:szCs w:val="24"/>
        </w:rPr>
        <w:t xml:space="preserve"> et al., 2024</w:t>
      </w:r>
      <w:r w:rsidR="0082309E" w:rsidRPr="004A1567">
        <w:rPr>
          <w:rFonts w:ascii="Times New Roman" w:hAnsi="Times New Roman" w:cs="Times New Roman"/>
          <w:sz w:val="24"/>
          <w:szCs w:val="24"/>
        </w:rPr>
        <w:t>)</w:t>
      </w:r>
      <w:r w:rsidR="00EA6000" w:rsidRPr="004A1567">
        <w:rPr>
          <w:rFonts w:ascii="Times New Roman" w:hAnsi="Times New Roman" w:cs="Times New Roman"/>
          <w:sz w:val="24"/>
          <w:szCs w:val="24"/>
        </w:rPr>
        <w:t xml:space="preserve"> and</w:t>
      </w:r>
      <w:r w:rsidR="0082309E" w:rsidRPr="004A1567">
        <w:rPr>
          <w:rFonts w:ascii="Times New Roman" w:hAnsi="Times New Roman" w:cs="Times New Roman"/>
          <w:sz w:val="24"/>
          <w:szCs w:val="24"/>
        </w:rPr>
        <w:t xml:space="preserve"> impact investing (Heeb et al., 2023). </w:t>
      </w:r>
      <w:r w:rsidR="00983C2C">
        <w:rPr>
          <w:rFonts w:ascii="Times New Roman" w:hAnsi="Times New Roman" w:cs="Times New Roman"/>
          <w:sz w:val="24"/>
          <w:szCs w:val="24"/>
        </w:rPr>
        <w:t xml:space="preserve">In this paper, I focus on the commitment to the ESG investing principles. It is possible that the ESG investing and the commitment to it have different effect on individual investors’ preference, since committing to the ESG investing can be cheap talk. Some recent studies find no evidence that mutual funds increase holdings of high-ESG stocks nor improve ESG incorporation to portfolio companies </w:t>
      </w:r>
      <w:r w:rsidR="005C5C4B">
        <w:rPr>
          <w:rFonts w:ascii="Times New Roman" w:hAnsi="Times New Roman" w:cs="Times New Roman"/>
          <w:sz w:val="24"/>
          <w:szCs w:val="24"/>
        </w:rPr>
        <w:t>after signing the UNPRI</w:t>
      </w:r>
      <w:r w:rsidR="00983C2C">
        <w:rPr>
          <w:rFonts w:ascii="Times New Roman" w:hAnsi="Times New Roman" w:cs="Times New Roman"/>
          <w:sz w:val="24"/>
          <w:szCs w:val="24"/>
        </w:rPr>
        <w:t xml:space="preserve"> (Kim and Yoon, 2023)</w:t>
      </w:r>
      <w:r w:rsidR="00706E32">
        <w:rPr>
          <w:rFonts w:ascii="Times New Roman" w:hAnsi="Times New Roman" w:cs="Times New Roman"/>
          <w:sz w:val="24"/>
          <w:szCs w:val="24"/>
        </w:rPr>
        <w:t>.</w:t>
      </w:r>
      <w:r w:rsidR="005C5C4B">
        <w:rPr>
          <w:rFonts w:ascii="Times New Roman" w:hAnsi="Times New Roman" w:cs="Times New Roman"/>
          <w:sz w:val="24"/>
          <w:szCs w:val="24"/>
        </w:rPr>
        <w:t xml:space="preserve"> </w:t>
      </w:r>
      <w:r w:rsidR="00AC6AC0">
        <w:rPr>
          <w:rFonts w:ascii="Times New Roman" w:hAnsi="Times New Roman" w:cs="Times New Roman"/>
          <w:sz w:val="24"/>
          <w:szCs w:val="24"/>
        </w:rPr>
        <w:t xml:space="preserve">If individual investors refer to the commitments as cheap talk, they might not be attracted by the commitment even having preference for ESG investing. </w:t>
      </w:r>
    </w:p>
    <w:p w14:paraId="59D0E91B" w14:textId="374EDA8F" w:rsidR="0084739D" w:rsidRPr="004A1567" w:rsidRDefault="001476E2" w:rsidP="00983C2C">
      <w:pPr>
        <w:spacing w:afterLines="50" w:after="156" w:line="480" w:lineRule="auto"/>
        <w:ind w:firstLineChars="200" w:firstLine="480"/>
        <w:rPr>
          <w:rFonts w:ascii="Times New Roman" w:hAnsi="Times New Roman" w:cs="Times New Roman"/>
          <w:sz w:val="24"/>
          <w:szCs w:val="24"/>
        </w:rPr>
      </w:pPr>
      <w:r w:rsidRPr="004A1567">
        <w:rPr>
          <w:rFonts w:ascii="Times New Roman" w:hAnsi="Times New Roman" w:cs="Times New Roman" w:hint="eastAsia"/>
          <w:sz w:val="24"/>
          <w:szCs w:val="24"/>
        </w:rPr>
        <w:t>A</w:t>
      </w:r>
      <w:r w:rsidRPr="004A1567">
        <w:rPr>
          <w:rFonts w:ascii="Times New Roman" w:hAnsi="Times New Roman" w:cs="Times New Roman"/>
          <w:sz w:val="24"/>
          <w:szCs w:val="24"/>
        </w:rPr>
        <w:t xml:space="preserve"> more closely related literature examines whether </w:t>
      </w:r>
      <w:r w:rsidR="00AC6AC0">
        <w:rPr>
          <w:rFonts w:ascii="Times New Roman" w:hAnsi="Times New Roman" w:cs="Times New Roman"/>
          <w:sz w:val="24"/>
          <w:szCs w:val="24"/>
        </w:rPr>
        <w:t xml:space="preserve">the net flow of </w:t>
      </w:r>
      <w:r w:rsidRPr="004A1567">
        <w:rPr>
          <w:rFonts w:ascii="Times New Roman" w:hAnsi="Times New Roman" w:cs="Times New Roman"/>
          <w:sz w:val="24"/>
          <w:szCs w:val="24"/>
        </w:rPr>
        <w:t>mutual fund</w:t>
      </w:r>
      <w:r w:rsidR="00AC6AC0">
        <w:rPr>
          <w:rFonts w:ascii="Times New Roman" w:hAnsi="Times New Roman" w:cs="Times New Roman"/>
          <w:sz w:val="24"/>
          <w:szCs w:val="24"/>
        </w:rPr>
        <w:t>s</w:t>
      </w:r>
      <w:r w:rsidRPr="004A1567">
        <w:rPr>
          <w:rFonts w:ascii="Times New Roman" w:hAnsi="Times New Roman" w:cs="Times New Roman"/>
          <w:sz w:val="24"/>
          <w:szCs w:val="24"/>
        </w:rPr>
        <w:t xml:space="preserve"> increases after </w:t>
      </w:r>
      <w:r w:rsidR="00AC6AC0">
        <w:rPr>
          <w:rFonts w:ascii="Times New Roman" w:hAnsi="Times New Roman" w:cs="Times New Roman"/>
          <w:sz w:val="24"/>
          <w:szCs w:val="24"/>
        </w:rPr>
        <w:t xml:space="preserve">the fund </w:t>
      </w:r>
      <w:r w:rsidRPr="004A1567">
        <w:rPr>
          <w:rFonts w:ascii="Times New Roman" w:hAnsi="Times New Roman" w:cs="Times New Roman"/>
          <w:sz w:val="24"/>
          <w:szCs w:val="24"/>
        </w:rPr>
        <w:t xml:space="preserve">signing the UNPRI </w:t>
      </w:r>
      <w:r w:rsidR="00197028" w:rsidRPr="004A1567">
        <w:rPr>
          <w:rFonts w:ascii="Times New Roman" w:hAnsi="Times New Roman" w:cs="Times New Roman"/>
          <w:sz w:val="24"/>
          <w:szCs w:val="24"/>
        </w:rPr>
        <w:t>(Humphrey and Li, 2021; Kim and Yoon, 2023)</w:t>
      </w:r>
      <w:r w:rsidR="00B95472">
        <w:rPr>
          <w:rFonts w:ascii="Times New Roman" w:hAnsi="Times New Roman" w:cs="Times New Roman"/>
          <w:sz w:val="24"/>
          <w:szCs w:val="24"/>
        </w:rPr>
        <w:t>.</w:t>
      </w:r>
      <w:r w:rsidR="00197028" w:rsidRPr="004A1567">
        <w:rPr>
          <w:rFonts w:ascii="Times New Roman" w:hAnsi="Times New Roman" w:cs="Times New Roman"/>
          <w:sz w:val="24"/>
          <w:szCs w:val="24"/>
        </w:rPr>
        <w:t xml:space="preserve"> </w:t>
      </w:r>
      <w:r w:rsidR="00B12C7F">
        <w:rPr>
          <w:rFonts w:ascii="Times New Roman" w:hAnsi="Times New Roman" w:cs="Times New Roman"/>
          <w:sz w:val="24"/>
          <w:szCs w:val="24"/>
        </w:rPr>
        <w:t>However,</w:t>
      </w:r>
      <w:r w:rsidR="00B95472">
        <w:rPr>
          <w:rFonts w:ascii="Times New Roman" w:hAnsi="Times New Roman" w:cs="Times New Roman"/>
          <w:sz w:val="24"/>
          <w:szCs w:val="24"/>
        </w:rPr>
        <w:t xml:space="preserve"> </w:t>
      </w:r>
      <w:r w:rsidR="00B12C7F">
        <w:rPr>
          <w:rFonts w:ascii="Times New Roman" w:hAnsi="Times New Roman" w:cs="Times New Roman"/>
          <w:sz w:val="24"/>
          <w:szCs w:val="24"/>
        </w:rPr>
        <w:t xml:space="preserve">since signing the UNPRI is a self-selected activity of the mutual funds, </w:t>
      </w:r>
      <w:r w:rsidR="00197028" w:rsidRPr="004A1567">
        <w:rPr>
          <w:rFonts w:ascii="Times New Roman" w:hAnsi="Times New Roman" w:cs="Times New Roman"/>
          <w:sz w:val="24"/>
          <w:szCs w:val="24"/>
        </w:rPr>
        <w:t>the</w:t>
      </w:r>
      <w:r w:rsidR="00B12C7F">
        <w:rPr>
          <w:rFonts w:ascii="Times New Roman" w:hAnsi="Times New Roman" w:cs="Times New Roman"/>
          <w:sz w:val="24"/>
          <w:szCs w:val="24"/>
        </w:rPr>
        <w:t>ir</w:t>
      </w:r>
      <w:r w:rsidR="00197028" w:rsidRPr="004A1567">
        <w:rPr>
          <w:rFonts w:ascii="Times New Roman" w:hAnsi="Times New Roman" w:cs="Times New Roman"/>
          <w:sz w:val="24"/>
          <w:szCs w:val="24"/>
        </w:rPr>
        <w:t xml:space="preserve"> findings might be subject to </w:t>
      </w:r>
      <w:r w:rsidR="007D0573">
        <w:rPr>
          <w:rFonts w:ascii="Times New Roman" w:hAnsi="Times New Roman" w:cs="Times New Roman"/>
          <w:sz w:val="24"/>
          <w:szCs w:val="24"/>
        </w:rPr>
        <w:t>endogeneity</w:t>
      </w:r>
      <w:r w:rsidR="006D36D0">
        <w:rPr>
          <w:rFonts w:ascii="Times New Roman" w:hAnsi="Times New Roman" w:cs="Times New Roman"/>
          <w:sz w:val="24"/>
          <w:szCs w:val="24"/>
        </w:rPr>
        <w:t xml:space="preserve"> concern</w:t>
      </w:r>
      <w:r w:rsidR="00197028" w:rsidRPr="004A1567">
        <w:rPr>
          <w:rFonts w:ascii="Times New Roman" w:hAnsi="Times New Roman" w:cs="Times New Roman"/>
          <w:sz w:val="24"/>
          <w:szCs w:val="24"/>
        </w:rPr>
        <w:t xml:space="preserve"> and </w:t>
      </w:r>
      <w:r w:rsidR="00B12C7F">
        <w:rPr>
          <w:rFonts w:ascii="Times New Roman" w:hAnsi="Times New Roman" w:cs="Times New Roman"/>
          <w:sz w:val="24"/>
          <w:szCs w:val="24"/>
        </w:rPr>
        <w:t>might not indicate causal</w:t>
      </w:r>
      <w:r w:rsidR="00D60021">
        <w:rPr>
          <w:rFonts w:ascii="Times New Roman" w:hAnsi="Times New Roman" w:cs="Times New Roman"/>
          <w:sz w:val="24"/>
          <w:szCs w:val="24"/>
        </w:rPr>
        <w:t xml:space="preserve"> relationship</w:t>
      </w:r>
      <w:r w:rsidR="00197028" w:rsidRPr="004A1567">
        <w:rPr>
          <w:rFonts w:ascii="Times New Roman" w:hAnsi="Times New Roman" w:cs="Times New Roman"/>
          <w:sz w:val="24"/>
          <w:szCs w:val="24"/>
        </w:rPr>
        <w:t>.</w:t>
      </w:r>
    </w:p>
    <w:p w14:paraId="21F07E1E" w14:textId="44CFB89A" w:rsidR="003329DF" w:rsidRPr="004A1567" w:rsidRDefault="006D699A" w:rsidP="00D8607A">
      <w:pPr>
        <w:spacing w:afterLines="50" w:after="156" w:line="480" w:lineRule="auto"/>
        <w:ind w:firstLineChars="200" w:firstLine="480"/>
        <w:rPr>
          <w:rFonts w:ascii="Times New Roman" w:hAnsi="Times New Roman" w:cs="Times New Roman"/>
          <w:sz w:val="24"/>
          <w:szCs w:val="24"/>
        </w:rPr>
      </w:pPr>
      <w:r w:rsidRPr="004A1567">
        <w:rPr>
          <w:rFonts w:ascii="Times New Roman" w:hAnsi="Times New Roman" w:cs="Times New Roman" w:hint="eastAsia"/>
          <w:sz w:val="24"/>
          <w:szCs w:val="24"/>
        </w:rPr>
        <w:t>T</w:t>
      </w:r>
      <w:r w:rsidRPr="004A1567">
        <w:rPr>
          <w:rFonts w:ascii="Times New Roman" w:hAnsi="Times New Roman" w:cs="Times New Roman"/>
          <w:sz w:val="24"/>
          <w:szCs w:val="24"/>
        </w:rPr>
        <w:t xml:space="preserve">his paper attempts to demonstrate causality between committing to ESG </w:t>
      </w:r>
      <w:r w:rsidRPr="004A1567">
        <w:rPr>
          <w:rFonts w:ascii="Times New Roman" w:hAnsi="Times New Roman" w:cs="Times New Roman"/>
          <w:sz w:val="24"/>
          <w:szCs w:val="24"/>
        </w:rPr>
        <w:lastRenderedPageBreak/>
        <w:t xml:space="preserve">investing and </w:t>
      </w:r>
      <w:r w:rsidR="00B12C7F">
        <w:rPr>
          <w:rFonts w:ascii="Times New Roman" w:hAnsi="Times New Roman" w:cs="Times New Roman"/>
          <w:sz w:val="24"/>
          <w:szCs w:val="24"/>
        </w:rPr>
        <w:t xml:space="preserve">individual </w:t>
      </w:r>
      <w:r w:rsidRPr="004A1567">
        <w:rPr>
          <w:rFonts w:ascii="Times New Roman" w:hAnsi="Times New Roman" w:cs="Times New Roman"/>
          <w:sz w:val="24"/>
          <w:szCs w:val="24"/>
        </w:rPr>
        <w:t xml:space="preserve">investors’ preference </w:t>
      </w:r>
      <w:r w:rsidR="00B12C7F">
        <w:rPr>
          <w:rFonts w:ascii="Times New Roman" w:hAnsi="Times New Roman" w:cs="Times New Roman"/>
          <w:sz w:val="24"/>
          <w:szCs w:val="24"/>
        </w:rPr>
        <w:t xml:space="preserve">for mutual funds </w:t>
      </w:r>
      <w:r w:rsidRPr="004A1567">
        <w:rPr>
          <w:rFonts w:ascii="Times New Roman" w:hAnsi="Times New Roman" w:cs="Times New Roman"/>
          <w:sz w:val="24"/>
          <w:szCs w:val="24"/>
        </w:rPr>
        <w:t xml:space="preserve">through stated choice experiments. </w:t>
      </w:r>
      <w:r w:rsidR="00197028" w:rsidRPr="004A1567">
        <w:rPr>
          <w:rFonts w:ascii="Times New Roman" w:hAnsi="Times New Roman" w:cs="Times New Roman"/>
          <w:sz w:val="24"/>
          <w:szCs w:val="24"/>
        </w:rPr>
        <w:t>Choice experiments are widely used in eliciting</w:t>
      </w:r>
      <w:r w:rsidR="00DB05B8" w:rsidRPr="004A1567">
        <w:rPr>
          <w:rFonts w:ascii="Times New Roman" w:hAnsi="Times New Roman" w:cs="Times New Roman"/>
          <w:sz w:val="24"/>
          <w:szCs w:val="24"/>
        </w:rPr>
        <w:t xml:space="preserve"> </w:t>
      </w:r>
      <w:r w:rsidR="00197028" w:rsidRPr="004A1567">
        <w:rPr>
          <w:rFonts w:ascii="Times New Roman" w:hAnsi="Times New Roman" w:cs="Times New Roman"/>
          <w:sz w:val="24"/>
          <w:szCs w:val="24"/>
        </w:rPr>
        <w:t>investors’ preferences (</w:t>
      </w:r>
      <w:r w:rsidR="002500F4" w:rsidRPr="004A1567">
        <w:rPr>
          <w:rFonts w:ascii="Times New Roman" w:hAnsi="Times New Roman" w:cs="Times New Roman"/>
          <w:sz w:val="24"/>
          <w:szCs w:val="24"/>
        </w:rPr>
        <w:t xml:space="preserve">Gutsche and Ziegler, 2019; </w:t>
      </w:r>
      <w:proofErr w:type="spellStart"/>
      <w:r w:rsidR="00DB05B8" w:rsidRPr="004A1567">
        <w:rPr>
          <w:rFonts w:ascii="Times New Roman" w:hAnsi="Times New Roman" w:cs="Times New Roman"/>
          <w:sz w:val="24"/>
          <w:szCs w:val="24"/>
        </w:rPr>
        <w:t>Hartzmark</w:t>
      </w:r>
      <w:proofErr w:type="spellEnd"/>
      <w:r w:rsidR="00DB05B8" w:rsidRPr="004A1567">
        <w:rPr>
          <w:rFonts w:ascii="Times New Roman" w:hAnsi="Times New Roman" w:cs="Times New Roman"/>
          <w:sz w:val="24"/>
          <w:szCs w:val="24"/>
        </w:rPr>
        <w:t xml:space="preserve"> et al., 2019; Gutsche et al., 2023; </w:t>
      </w:r>
      <w:r w:rsidR="007F0C70" w:rsidRPr="004A1567">
        <w:rPr>
          <w:rFonts w:ascii="Times New Roman" w:hAnsi="Times New Roman" w:cs="Times New Roman"/>
          <w:sz w:val="24"/>
          <w:szCs w:val="24"/>
        </w:rPr>
        <w:t>Kleffel and Muck, 2023;</w:t>
      </w:r>
      <w:r w:rsidR="008819EA" w:rsidRPr="004A1567">
        <w:rPr>
          <w:rFonts w:ascii="Times New Roman" w:hAnsi="Times New Roman" w:cs="Times New Roman"/>
          <w:sz w:val="24"/>
          <w:szCs w:val="24"/>
        </w:rPr>
        <w:t xml:space="preserve"> </w:t>
      </w:r>
      <w:proofErr w:type="spellStart"/>
      <w:r w:rsidR="00DB05B8" w:rsidRPr="004A1567">
        <w:rPr>
          <w:rFonts w:ascii="Times New Roman" w:hAnsi="Times New Roman" w:cs="Times New Roman"/>
          <w:sz w:val="24"/>
          <w:szCs w:val="24"/>
        </w:rPr>
        <w:t>Harasheh</w:t>
      </w:r>
      <w:proofErr w:type="spellEnd"/>
      <w:r w:rsidR="00DB05B8" w:rsidRPr="004A1567">
        <w:rPr>
          <w:rFonts w:ascii="Times New Roman" w:hAnsi="Times New Roman" w:cs="Times New Roman"/>
          <w:sz w:val="24"/>
          <w:szCs w:val="24"/>
        </w:rPr>
        <w:t xml:space="preserve"> et al., 2024</w:t>
      </w:r>
      <w:r w:rsidR="00197028" w:rsidRPr="004A1567">
        <w:rPr>
          <w:rFonts w:ascii="Times New Roman" w:hAnsi="Times New Roman" w:cs="Times New Roman"/>
          <w:sz w:val="24"/>
          <w:szCs w:val="24"/>
        </w:rPr>
        <w:t>)</w:t>
      </w:r>
      <w:r w:rsidR="004950C5" w:rsidRPr="004A1567">
        <w:rPr>
          <w:rFonts w:ascii="Times New Roman" w:hAnsi="Times New Roman" w:cs="Times New Roman"/>
          <w:sz w:val="24"/>
          <w:szCs w:val="24"/>
        </w:rPr>
        <w:t xml:space="preserve">. </w:t>
      </w:r>
      <w:r w:rsidR="00CF3836">
        <w:rPr>
          <w:rFonts w:ascii="Times New Roman" w:hAnsi="Times New Roman" w:cs="Times New Roman"/>
          <w:sz w:val="24"/>
          <w:szCs w:val="24"/>
        </w:rPr>
        <w:t>I</w:t>
      </w:r>
      <w:r w:rsidRPr="004A1567">
        <w:rPr>
          <w:rFonts w:ascii="Times New Roman" w:hAnsi="Times New Roman" w:cs="Times New Roman"/>
          <w:sz w:val="24"/>
          <w:szCs w:val="24"/>
        </w:rPr>
        <w:t xml:space="preserve"> hired </w:t>
      </w:r>
      <w:r w:rsidR="00711EF4">
        <w:rPr>
          <w:rFonts w:ascii="Times New Roman" w:hAnsi="Times New Roman" w:cs="Times New Roman"/>
          <w:sz w:val="24"/>
          <w:szCs w:val="24"/>
        </w:rPr>
        <w:t xml:space="preserve">345 </w:t>
      </w:r>
      <w:r w:rsidR="00D60021">
        <w:rPr>
          <w:rFonts w:ascii="Times New Roman" w:hAnsi="Times New Roman" w:cs="Times New Roman"/>
          <w:sz w:val="24"/>
          <w:szCs w:val="24"/>
        </w:rPr>
        <w:t>subjects</w:t>
      </w:r>
      <w:r w:rsidR="00AD65AC" w:rsidRPr="004A1567">
        <w:rPr>
          <w:rFonts w:ascii="Times New Roman" w:hAnsi="Times New Roman" w:cs="Times New Roman"/>
          <w:sz w:val="24"/>
          <w:szCs w:val="24"/>
        </w:rPr>
        <w:t xml:space="preserve"> </w:t>
      </w:r>
      <w:r w:rsidR="00CF3836">
        <w:rPr>
          <w:rFonts w:ascii="Times New Roman" w:hAnsi="Times New Roman" w:cs="Times New Roman"/>
          <w:sz w:val="24"/>
          <w:szCs w:val="24"/>
        </w:rPr>
        <w:t xml:space="preserve">to participate in the experiments </w:t>
      </w:r>
      <w:r w:rsidR="00AD65AC" w:rsidRPr="004A1567">
        <w:rPr>
          <w:rFonts w:ascii="Times New Roman" w:hAnsi="Times New Roman" w:cs="Times New Roman"/>
          <w:sz w:val="24"/>
          <w:szCs w:val="24"/>
        </w:rPr>
        <w:t xml:space="preserve">from </w:t>
      </w:r>
      <w:r w:rsidR="003329DF" w:rsidRPr="004A1567">
        <w:rPr>
          <w:rFonts w:ascii="Times New Roman" w:hAnsi="Times New Roman" w:cs="Times New Roman"/>
          <w:sz w:val="24"/>
          <w:szCs w:val="24"/>
        </w:rPr>
        <w:t>an online outsourcing platform in China</w:t>
      </w:r>
      <w:r w:rsidR="00AD65AC" w:rsidRPr="004A1567">
        <w:rPr>
          <w:rFonts w:ascii="Times New Roman" w:hAnsi="Times New Roman" w:cs="Times New Roman"/>
          <w:sz w:val="24"/>
          <w:szCs w:val="24"/>
        </w:rPr>
        <w:t>.</w:t>
      </w:r>
      <w:r w:rsidR="00B56105" w:rsidRPr="004A1567">
        <w:rPr>
          <w:rFonts w:ascii="Times New Roman" w:hAnsi="Times New Roman" w:cs="Times New Roman"/>
          <w:sz w:val="24"/>
          <w:szCs w:val="24"/>
        </w:rPr>
        <w:t xml:space="preserve"> </w:t>
      </w:r>
      <w:r w:rsidR="00D60021">
        <w:rPr>
          <w:rFonts w:ascii="Times New Roman" w:hAnsi="Times New Roman" w:cs="Times New Roman"/>
          <w:sz w:val="24"/>
          <w:szCs w:val="24"/>
        </w:rPr>
        <w:t>Subjects</w:t>
      </w:r>
      <w:r w:rsidR="003329DF" w:rsidRPr="004A1567">
        <w:rPr>
          <w:rFonts w:ascii="Times New Roman" w:hAnsi="Times New Roman" w:cs="Times New Roman"/>
          <w:sz w:val="24"/>
          <w:szCs w:val="24"/>
        </w:rPr>
        <w:t xml:space="preserve"> should be aged 18 years or older </w:t>
      </w:r>
      <w:r w:rsidR="003329DF" w:rsidRPr="004A1567">
        <w:rPr>
          <w:rFonts w:ascii="Times New Roman" w:hAnsi="Times New Roman" w:cs="Times New Roman" w:hint="eastAsia"/>
          <w:sz w:val="24"/>
          <w:szCs w:val="24"/>
        </w:rPr>
        <w:t>and</w:t>
      </w:r>
      <w:r w:rsidR="003329DF" w:rsidRPr="004A1567">
        <w:rPr>
          <w:rFonts w:ascii="Times New Roman" w:hAnsi="Times New Roman" w:cs="Times New Roman"/>
          <w:sz w:val="24"/>
          <w:szCs w:val="24"/>
        </w:rPr>
        <w:t xml:space="preserve"> </w:t>
      </w:r>
      <w:r w:rsidR="00611639">
        <w:rPr>
          <w:rFonts w:ascii="Times New Roman" w:hAnsi="Times New Roman" w:cs="Times New Roman"/>
          <w:sz w:val="24"/>
          <w:szCs w:val="24"/>
        </w:rPr>
        <w:t>have</w:t>
      </w:r>
      <w:r w:rsidR="003329DF" w:rsidRPr="004A1567">
        <w:rPr>
          <w:rFonts w:ascii="Times New Roman" w:hAnsi="Times New Roman" w:cs="Times New Roman"/>
          <w:sz w:val="24"/>
          <w:szCs w:val="24"/>
        </w:rPr>
        <w:t xml:space="preserve"> mutual fund investment experience</w:t>
      </w:r>
      <w:r w:rsidR="003329DF" w:rsidRPr="004A1567">
        <w:rPr>
          <w:rFonts w:ascii="Times New Roman" w:hAnsi="Times New Roman" w:cs="Times New Roman" w:hint="eastAsia"/>
          <w:sz w:val="24"/>
          <w:szCs w:val="24"/>
        </w:rPr>
        <w:t>.</w:t>
      </w:r>
      <w:r w:rsidR="003329DF" w:rsidRPr="004A1567">
        <w:rPr>
          <w:rFonts w:ascii="Times New Roman" w:hAnsi="Times New Roman" w:cs="Times New Roman"/>
          <w:sz w:val="24"/>
          <w:szCs w:val="24"/>
        </w:rPr>
        <w:t xml:space="preserve"> </w:t>
      </w:r>
      <w:r w:rsidR="00D60021">
        <w:rPr>
          <w:rFonts w:ascii="Times New Roman" w:hAnsi="Times New Roman" w:cs="Times New Roman"/>
          <w:sz w:val="24"/>
          <w:szCs w:val="24"/>
        </w:rPr>
        <w:t>They</w:t>
      </w:r>
      <w:r w:rsidR="003329DF" w:rsidRPr="004A1567">
        <w:rPr>
          <w:rFonts w:ascii="Times New Roman" w:hAnsi="Times New Roman" w:cs="Times New Roman"/>
          <w:sz w:val="24"/>
          <w:szCs w:val="24"/>
        </w:rPr>
        <w:t xml:space="preserve"> were requested to participate in eight choice experiments. In each experiment, participants </w:t>
      </w:r>
      <w:r w:rsidR="00965229" w:rsidRPr="004A1567">
        <w:rPr>
          <w:rFonts w:ascii="Times New Roman" w:hAnsi="Times New Roman" w:cs="Times New Roman"/>
          <w:sz w:val="24"/>
          <w:szCs w:val="24"/>
        </w:rPr>
        <w:t xml:space="preserve">were asked to </w:t>
      </w:r>
      <w:r w:rsidR="003329DF" w:rsidRPr="004A1567">
        <w:rPr>
          <w:rFonts w:ascii="Times New Roman" w:hAnsi="Times New Roman" w:cs="Times New Roman"/>
          <w:sz w:val="24"/>
          <w:szCs w:val="24"/>
        </w:rPr>
        <w:t xml:space="preserve">choose from three </w:t>
      </w:r>
      <w:r w:rsidR="00D60021">
        <w:rPr>
          <w:rFonts w:ascii="Times New Roman" w:hAnsi="Times New Roman" w:cs="Times New Roman"/>
          <w:sz w:val="24"/>
          <w:szCs w:val="24"/>
        </w:rPr>
        <w:t xml:space="preserve">hypothetical </w:t>
      </w:r>
      <w:r w:rsidR="003329DF" w:rsidRPr="004A1567">
        <w:rPr>
          <w:rFonts w:ascii="Times New Roman" w:hAnsi="Times New Roman" w:cs="Times New Roman"/>
          <w:sz w:val="24"/>
          <w:szCs w:val="24"/>
        </w:rPr>
        <w:t>mutual funds with different features</w:t>
      </w:r>
      <w:r w:rsidR="00965229" w:rsidRPr="004A1567">
        <w:rPr>
          <w:rFonts w:ascii="Times New Roman" w:hAnsi="Times New Roman" w:cs="Times New Roman"/>
          <w:sz w:val="24"/>
          <w:szCs w:val="24"/>
        </w:rPr>
        <w:t xml:space="preserve"> (including past performance, fund family size, fund size, management fee, and whether having signed the UNPRI or not)</w:t>
      </w:r>
      <w:r w:rsidR="003329DF" w:rsidRPr="004A1567">
        <w:rPr>
          <w:rFonts w:ascii="Times New Roman" w:hAnsi="Times New Roman" w:cs="Times New Roman"/>
          <w:sz w:val="24"/>
          <w:szCs w:val="24"/>
        </w:rPr>
        <w:t xml:space="preserve"> or choose</w:t>
      </w:r>
      <w:r w:rsidR="00965229" w:rsidRPr="004A1567">
        <w:rPr>
          <w:rFonts w:ascii="Times New Roman" w:hAnsi="Times New Roman" w:cs="Times New Roman"/>
          <w:sz w:val="24"/>
          <w:szCs w:val="24"/>
        </w:rPr>
        <w:t xml:space="preserve"> not to invest in any funds</w:t>
      </w:r>
      <w:r w:rsidR="003329DF" w:rsidRPr="004A1567">
        <w:rPr>
          <w:rFonts w:ascii="Times New Roman" w:hAnsi="Times New Roman" w:cs="Times New Roman"/>
          <w:sz w:val="24"/>
          <w:szCs w:val="24"/>
        </w:rPr>
        <w:t>.</w:t>
      </w:r>
      <w:r w:rsidR="00965229" w:rsidRPr="004A1567">
        <w:rPr>
          <w:rFonts w:ascii="Times New Roman" w:hAnsi="Times New Roman" w:cs="Times New Roman"/>
          <w:sz w:val="24"/>
          <w:szCs w:val="24"/>
        </w:rPr>
        <w:t xml:space="preserve"> </w:t>
      </w:r>
    </w:p>
    <w:p w14:paraId="76D8AA03" w14:textId="0956C81F" w:rsidR="00965229" w:rsidRDefault="00965229" w:rsidP="00D8607A">
      <w:pPr>
        <w:spacing w:afterLines="50" w:after="156" w:line="480" w:lineRule="auto"/>
        <w:ind w:firstLineChars="200" w:firstLine="480"/>
        <w:rPr>
          <w:rFonts w:ascii="Times New Roman" w:hAnsi="Times New Roman" w:cs="Times New Roman"/>
          <w:sz w:val="24"/>
          <w:szCs w:val="24"/>
        </w:rPr>
      </w:pPr>
      <w:r w:rsidRPr="004A1567">
        <w:rPr>
          <w:rFonts w:ascii="Times New Roman" w:hAnsi="Times New Roman" w:cs="Times New Roman"/>
          <w:sz w:val="24"/>
          <w:szCs w:val="24"/>
        </w:rPr>
        <w:t>We analyze the experiment data with mixed logit regression model</w:t>
      </w:r>
      <w:r w:rsidR="00611639">
        <w:rPr>
          <w:rFonts w:ascii="Times New Roman" w:hAnsi="Times New Roman" w:cs="Times New Roman"/>
          <w:sz w:val="24"/>
          <w:szCs w:val="24"/>
        </w:rPr>
        <w:t>s</w:t>
      </w:r>
      <w:r w:rsidRPr="004A1567">
        <w:rPr>
          <w:rFonts w:ascii="Times New Roman" w:hAnsi="Times New Roman" w:cs="Times New Roman"/>
          <w:sz w:val="24"/>
          <w:szCs w:val="24"/>
        </w:rPr>
        <w:t xml:space="preserve">. Out findings are summarized as follows. </w:t>
      </w:r>
      <w:r w:rsidR="00D60021">
        <w:rPr>
          <w:rFonts w:ascii="Times New Roman" w:hAnsi="Times New Roman" w:cs="Times New Roman"/>
          <w:sz w:val="24"/>
          <w:szCs w:val="24"/>
        </w:rPr>
        <w:t xml:space="preserve">First, </w:t>
      </w:r>
      <w:r w:rsidRPr="004A1567">
        <w:rPr>
          <w:rFonts w:ascii="Times New Roman" w:hAnsi="Times New Roman" w:cs="Times New Roman"/>
          <w:sz w:val="24"/>
          <w:szCs w:val="24"/>
        </w:rPr>
        <w:t>sign</w:t>
      </w:r>
      <w:r w:rsidR="00706E32">
        <w:rPr>
          <w:rFonts w:ascii="Times New Roman" w:hAnsi="Times New Roman" w:cs="Times New Roman"/>
          <w:sz w:val="24"/>
          <w:szCs w:val="24"/>
        </w:rPr>
        <w:t>ing</w:t>
      </w:r>
      <w:r w:rsidRPr="004A1567">
        <w:rPr>
          <w:rFonts w:ascii="Times New Roman" w:hAnsi="Times New Roman" w:cs="Times New Roman"/>
          <w:sz w:val="24"/>
          <w:szCs w:val="24"/>
        </w:rPr>
        <w:t xml:space="preserve"> the UNPRI </w:t>
      </w:r>
      <w:r w:rsidR="009C4C9E">
        <w:rPr>
          <w:rFonts w:ascii="Times New Roman" w:hAnsi="Times New Roman" w:cs="Times New Roman"/>
          <w:sz w:val="24"/>
          <w:szCs w:val="24"/>
        </w:rPr>
        <w:t>has significantly positive marginal effect on individual investors’ preference for mutual funds</w:t>
      </w:r>
      <w:r w:rsidRPr="004A1567">
        <w:rPr>
          <w:rFonts w:ascii="Times New Roman" w:hAnsi="Times New Roman" w:cs="Times New Roman"/>
          <w:sz w:val="24"/>
          <w:szCs w:val="24"/>
        </w:rPr>
        <w:t xml:space="preserve">, suggesting that commitments to the ESG investing </w:t>
      </w:r>
      <w:r w:rsidR="009C4C9E">
        <w:rPr>
          <w:rFonts w:ascii="Times New Roman" w:hAnsi="Times New Roman" w:cs="Times New Roman"/>
          <w:sz w:val="24"/>
          <w:szCs w:val="24"/>
        </w:rPr>
        <w:t>will be helpful for mutual funds to attract individual investors</w:t>
      </w:r>
      <w:r w:rsidRPr="004A1567">
        <w:rPr>
          <w:rFonts w:ascii="Times New Roman" w:hAnsi="Times New Roman" w:cs="Times New Roman"/>
          <w:sz w:val="24"/>
          <w:szCs w:val="24"/>
        </w:rPr>
        <w:t xml:space="preserve">. Second, the estimated </w:t>
      </w:r>
      <w:r w:rsidR="009C4C9E">
        <w:rPr>
          <w:rFonts w:ascii="Times New Roman" w:hAnsi="Times New Roman" w:cs="Times New Roman"/>
          <w:sz w:val="24"/>
          <w:szCs w:val="24"/>
        </w:rPr>
        <w:t>willingness to pay (</w:t>
      </w:r>
      <w:r w:rsidRPr="004A1567">
        <w:rPr>
          <w:rFonts w:ascii="Times New Roman" w:hAnsi="Times New Roman" w:cs="Times New Roman"/>
          <w:sz w:val="24"/>
          <w:szCs w:val="24"/>
        </w:rPr>
        <w:t>WTP</w:t>
      </w:r>
      <w:r w:rsidR="009C4C9E">
        <w:rPr>
          <w:rFonts w:ascii="Times New Roman" w:hAnsi="Times New Roman" w:cs="Times New Roman"/>
          <w:sz w:val="24"/>
          <w:szCs w:val="24"/>
        </w:rPr>
        <w:t>)</w:t>
      </w:r>
      <w:r w:rsidRPr="004A1567">
        <w:rPr>
          <w:rFonts w:ascii="Times New Roman" w:hAnsi="Times New Roman" w:cs="Times New Roman"/>
          <w:sz w:val="24"/>
          <w:szCs w:val="24"/>
        </w:rPr>
        <w:t xml:space="preserve"> </w:t>
      </w:r>
      <w:r w:rsidR="009C4C9E">
        <w:rPr>
          <w:rFonts w:ascii="Times New Roman" w:hAnsi="Times New Roman" w:cs="Times New Roman"/>
          <w:sz w:val="24"/>
          <w:szCs w:val="24"/>
        </w:rPr>
        <w:t xml:space="preserve">for funds signing the UNPRI </w:t>
      </w:r>
      <w:r w:rsidRPr="004A1567">
        <w:rPr>
          <w:rFonts w:ascii="Times New Roman" w:hAnsi="Times New Roman" w:cs="Times New Roman"/>
          <w:sz w:val="24"/>
          <w:szCs w:val="24"/>
        </w:rPr>
        <w:t>is equivalent to approximately 4% annual management fee</w:t>
      </w:r>
      <w:r w:rsidR="009C75FF" w:rsidRPr="004A1567">
        <w:rPr>
          <w:rFonts w:ascii="Times New Roman" w:hAnsi="Times New Roman" w:cs="Times New Roman"/>
          <w:sz w:val="24"/>
          <w:szCs w:val="24"/>
        </w:rPr>
        <w:t>, which is both statistically and economically significant.</w:t>
      </w:r>
      <w:r w:rsidR="009C4C9E">
        <w:rPr>
          <w:rFonts w:ascii="Times New Roman" w:hAnsi="Times New Roman" w:cs="Times New Roman"/>
          <w:sz w:val="24"/>
          <w:szCs w:val="24"/>
        </w:rPr>
        <w:t xml:space="preserve"> Third, the effect of signing the UNPRI on investors’ preference for funds is not significantly different among investors with different sex, income, risk attitude, and mutual fund investment experience. However, this effect is significantly more prominent among older mutual fund investors.</w:t>
      </w:r>
    </w:p>
    <w:p w14:paraId="4DF87919" w14:textId="66BACC21" w:rsidR="00B859C3" w:rsidRDefault="00611639" w:rsidP="00D8607A">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This p</w:t>
      </w:r>
      <w:r w:rsidR="00B859C3">
        <w:rPr>
          <w:rFonts w:ascii="Times New Roman" w:hAnsi="Times New Roman" w:cs="Times New Roman"/>
          <w:sz w:val="24"/>
          <w:szCs w:val="24"/>
        </w:rPr>
        <w:t>aper is related</w:t>
      </w:r>
      <w:r>
        <w:rPr>
          <w:rFonts w:ascii="Times New Roman" w:hAnsi="Times New Roman" w:cs="Times New Roman"/>
          <w:sz w:val="24"/>
          <w:szCs w:val="24"/>
        </w:rPr>
        <w:t xml:space="preserve"> to the </w:t>
      </w:r>
      <w:r w:rsidR="00187A67">
        <w:rPr>
          <w:rFonts w:ascii="Times New Roman" w:hAnsi="Times New Roman" w:cs="Times New Roman"/>
          <w:sz w:val="24"/>
          <w:szCs w:val="24"/>
        </w:rPr>
        <w:t>studies</w:t>
      </w:r>
      <w:r>
        <w:rPr>
          <w:rFonts w:ascii="Times New Roman" w:hAnsi="Times New Roman" w:cs="Times New Roman"/>
          <w:sz w:val="24"/>
          <w:szCs w:val="24"/>
        </w:rPr>
        <w:t xml:space="preserve"> on mutual fund investors’ preference for social</w:t>
      </w:r>
      <w:r w:rsidR="009C4C9E">
        <w:rPr>
          <w:rFonts w:ascii="Times New Roman" w:hAnsi="Times New Roman" w:cs="Times New Roman"/>
          <w:sz w:val="24"/>
          <w:szCs w:val="24"/>
        </w:rPr>
        <w:t>ly</w:t>
      </w:r>
      <w:r>
        <w:rPr>
          <w:rFonts w:ascii="Times New Roman" w:hAnsi="Times New Roman" w:cs="Times New Roman"/>
          <w:sz w:val="24"/>
          <w:szCs w:val="24"/>
        </w:rPr>
        <w:t xml:space="preserve"> responsible </w:t>
      </w:r>
      <w:r w:rsidR="002B6DC3">
        <w:rPr>
          <w:rFonts w:ascii="Times New Roman" w:hAnsi="Times New Roman" w:cs="Times New Roman"/>
          <w:sz w:val="24"/>
          <w:szCs w:val="24"/>
        </w:rPr>
        <w:t>investing</w:t>
      </w:r>
      <w:r w:rsidR="00B859C3">
        <w:rPr>
          <w:rFonts w:ascii="Times New Roman" w:hAnsi="Times New Roman" w:cs="Times New Roman"/>
          <w:sz w:val="24"/>
          <w:szCs w:val="24"/>
        </w:rPr>
        <w:t>. Previous studies show that investors have social</w:t>
      </w:r>
      <w:r w:rsidR="009C4C9E">
        <w:rPr>
          <w:rFonts w:ascii="Times New Roman" w:hAnsi="Times New Roman" w:cs="Times New Roman"/>
          <w:sz w:val="24"/>
          <w:szCs w:val="24"/>
        </w:rPr>
        <w:t>ly</w:t>
      </w:r>
      <w:r w:rsidR="00B859C3">
        <w:rPr>
          <w:rFonts w:ascii="Times New Roman" w:hAnsi="Times New Roman" w:cs="Times New Roman"/>
          <w:sz w:val="24"/>
          <w:szCs w:val="24"/>
        </w:rPr>
        <w:t xml:space="preserve"> responsible </w:t>
      </w:r>
      <w:r w:rsidR="00B859C3">
        <w:rPr>
          <w:rFonts w:ascii="Times New Roman" w:hAnsi="Times New Roman" w:cs="Times New Roman"/>
          <w:sz w:val="24"/>
          <w:szCs w:val="24"/>
        </w:rPr>
        <w:lastRenderedPageBreak/>
        <w:t xml:space="preserve">investing preference (Gutsche and Ziegler, 2019; </w:t>
      </w:r>
      <w:proofErr w:type="spellStart"/>
      <w:r w:rsidR="00B80EFD">
        <w:rPr>
          <w:rFonts w:ascii="Times New Roman" w:hAnsi="Times New Roman" w:cs="Times New Roman"/>
          <w:sz w:val="24"/>
          <w:szCs w:val="24"/>
        </w:rPr>
        <w:t>Hartzmark</w:t>
      </w:r>
      <w:proofErr w:type="spellEnd"/>
      <w:r w:rsidR="00B80EFD">
        <w:rPr>
          <w:rFonts w:ascii="Times New Roman" w:hAnsi="Times New Roman" w:cs="Times New Roman"/>
          <w:sz w:val="24"/>
          <w:szCs w:val="24"/>
        </w:rPr>
        <w:t xml:space="preserve"> and Sussman, 2019</w:t>
      </w:r>
      <w:r w:rsidR="00CC2183">
        <w:rPr>
          <w:rFonts w:ascii="Times New Roman" w:hAnsi="Times New Roman" w:cs="Times New Roman"/>
          <w:sz w:val="24"/>
          <w:szCs w:val="24"/>
        </w:rPr>
        <w:t xml:space="preserve">; Humphrey </w:t>
      </w:r>
      <w:r w:rsidR="00CC2183" w:rsidRPr="00B859C3">
        <w:rPr>
          <w:rFonts w:ascii="Times New Roman" w:hAnsi="Times New Roman" w:cs="Times New Roman"/>
          <w:sz w:val="24"/>
          <w:szCs w:val="24"/>
        </w:rPr>
        <w:t xml:space="preserve">and Li, </w:t>
      </w:r>
      <w:r w:rsidR="00CC2183">
        <w:rPr>
          <w:rFonts w:ascii="Times New Roman" w:hAnsi="Times New Roman" w:cs="Times New Roman"/>
          <w:sz w:val="24"/>
          <w:szCs w:val="24"/>
        </w:rPr>
        <w:t xml:space="preserve">2021; </w:t>
      </w:r>
      <w:r w:rsidR="00B859C3">
        <w:rPr>
          <w:rFonts w:ascii="Times New Roman" w:hAnsi="Times New Roman" w:cs="Times New Roman"/>
          <w:sz w:val="24"/>
          <w:szCs w:val="24"/>
        </w:rPr>
        <w:t>Gutsche et a</w:t>
      </w:r>
      <w:r w:rsidR="00CC2183">
        <w:rPr>
          <w:rFonts w:ascii="Times New Roman" w:hAnsi="Times New Roman" w:cs="Times New Roman"/>
          <w:sz w:val="24"/>
          <w:szCs w:val="24"/>
        </w:rPr>
        <w:t>l., 2023; Kim and</w:t>
      </w:r>
      <w:r w:rsidR="00CC2183" w:rsidRPr="00B859C3">
        <w:rPr>
          <w:rFonts w:ascii="Times New Roman" w:hAnsi="Times New Roman" w:cs="Times New Roman"/>
          <w:sz w:val="24"/>
          <w:szCs w:val="24"/>
        </w:rPr>
        <w:t xml:space="preserve"> Yoon</w:t>
      </w:r>
      <w:r w:rsidR="00CC2183">
        <w:rPr>
          <w:rFonts w:ascii="Times New Roman" w:hAnsi="Times New Roman" w:cs="Times New Roman"/>
          <w:sz w:val="24"/>
          <w:szCs w:val="24"/>
        </w:rPr>
        <w:t>, 2023</w:t>
      </w:r>
      <w:r w:rsidR="000441F6">
        <w:rPr>
          <w:rFonts w:ascii="Times New Roman" w:hAnsi="Times New Roman" w:cs="Times New Roman"/>
          <w:sz w:val="24"/>
          <w:szCs w:val="24"/>
        </w:rPr>
        <w:t xml:space="preserve">; </w:t>
      </w:r>
      <w:proofErr w:type="spellStart"/>
      <w:r w:rsidR="00CC2183">
        <w:rPr>
          <w:rFonts w:ascii="Times New Roman" w:hAnsi="Times New Roman" w:cs="Times New Roman"/>
          <w:sz w:val="24"/>
          <w:szCs w:val="24"/>
        </w:rPr>
        <w:t>Harasheh</w:t>
      </w:r>
      <w:proofErr w:type="spellEnd"/>
      <w:r w:rsidR="00CC2183">
        <w:rPr>
          <w:rFonts w:ascii="Times New Roman" w:hAnsi="Times New Roman" w:cs="Times New Roman"/>
          <w:sz w:val="24"/>
          <w:szCs w:val="24"/>
        </w:rPr>
        <w:t xml:space="preserve"> et al., 2024</w:t>
      </w:r>
      <w:r w:rsidR="00B859C3">
        <w:rPr>
          <w:rFonts w:ascii="Times New Roman" w:hAnsi="Times New Roman" w:cs="Times New Roman"/>
          <w:sz w:val="24"/>
          <w:szCs w:val="24"/>
        </w:rPr>
        <w:t>)</w:t>
      </w:r>
      <w:r w:rsidR="00187A67">
        <w:rPr>
          <w:rFonts w:ascii="Times New Roman" w:hAnsi="Times New Roman" w:cs="Times New Roman"/>
          <w:sz w:val="24"/>
          <w:szCs w:val="24"/>
        </w:rPr>
        <w:t>. This paper contributes to</w:t>
      </w:r>
      <w:r w:rsidR="00CC2183">
        <w:rPr>
          <w:rFonts w:ascii="Times New Roman" w:hAnsi="Times New Roman" w:cs="Times New Roman"/>
          <w:sz w:val="24"/>
          <w:szCs w:val="24"/>
        </w:rPr>
        <w:t xml:space="preserve"> </w:t>
      </w:r>
      <w:r w:rsidR="00187A67">
        <w:rPr>
          <w:rFonts w:ascii="Times New Roman" w:hAnsi="Times New Roman" w:cs="Times New Roman"/>
          <w:sz w:val="24"/>
          <w:szCs w:val="24"/>
        </w:rPr>
        <w:t>th</w:t>
      </w:r>
      <w:r w:rsidR="009C4C9E">
        <w:rPr>
          <w:rFonts w:ascii="Times New Roman" w:hAnsi="Times New Roman" w:cs="Times New Roman"/>
          <w:sz w:val="24"/>
          <w:szCs w:val="24"/>
        </w:rPr>
        <w:t>e</w:t>
      </w:r>
      <w:r w:rsidR="00187A67">
        <w:rPr>
          <w:rFonts w:ascii="Times New Roman" w:hAnsi="Times New Roman" w:cs="Times New Roman"/>
          <w:sz w:val="24"/>
          <w:szCs w:val="24"/>
        </w:rPr>
        <w:t xml:space="preserve"> literature </w:t>
      </w:r>
      <w:r w:rsidR="00B859C3">
        <w:rPr>
          <w:rFonts w:ascii="Times New Roman" w:hAnsi="Times New Roman" w:cs="Times New Roman"/>
          <w:sz w:val="24"/>
          <w:szCs w:val="24"/>
        </w:rPr>
        <w:t xml:space="preserve">by documenting the casual effect of committing to the ESG rules on </w:t>
      </w:r>
      <w:r w:rsidR="009C4C9E">
        <w:rPr>
          <w:rFonts w:ascii="Times New Roman" w:hAnsi="Times New Roman" w:cs="Times New Roman"/>
          <w:sz w:val="24"/>
          <w:szCs w:val="24"/>
        </w:rPr>
        <w:t xml:space="preserve">individual </w:t>
      </w:r>
      <w:r w:rsidR="00B859C3">
        <w:rPr>
          <w:rFonts w:ascii="Times New Roman" w:hAnsi="Times New Roman" w:cs="Times New Roman"/>
          <w:sz w:val="24"/>
          <w:szCs w:val="24"/>
        </w:rPr>
        <w:t xml:space="preserve">mutual fund investors’ preference. </w:t>
      </w:r>
    </w:p>
    <w:p w14:paraId="6CC5AF4D" w14:textId="200C8A0C" w:rsidR="004776ED" w:rsidRPr="004A1567" w:rsidRDefault="004776ED" w:rsidP="00611639">
      <w:pPr>
        <w:spacing w:afterLines="50" w:after="156" w:line="480" w:lineRule="auto"/>
        <w:rPr>
          <w:rFonts w:ascii="Times New Roman" w:hAnsi="Times New Roman" w:cs="Times New Roman"/>
          <w:b/>
          <w:bCs/>
          <w:sz w:val="24"/>
          <w:szCs w:val="24"/>
        </w:rPr>
      </w:pPr>
      <w:r w:rsidRPr="004A1567">
        <w:rPr>
          <w:rFonts w:ascii="Times New Roman" w:hAnsi="Times New Roman" w:cs="Times New Roman"/>
          <w:b/>
          <w:bCs/>
          <w:sz w:val="24"/>
          <w:szCs w:val="24"/>
        </w:rPr>
        <w:t>I</w:t>
      </w:r>
      <w:r w:rsidR="00C1053C" w:rsidRPr="004A1567">
        <w:rPr>
          <w:rFonts w:ascii="Times New Roman" w:hAnsi="Times New Roman" w:cs="Times New Roman"/>
          <w:b/>
          <w:bCs/>
          <w:sz w:val="24"/>
          <w:szCs w:val="24"/>
        </w:rPr>
        <w:t>I</w:t>
      </w:r>
      <w:r w:rsidRPr="004A1567">
        <w:rPr>
          <w:rFonts w:ascii="Times New Roman" w:hAnsi="Times New Roman" w:cs="Times New Roman"/>
          <w:b/>
          <w:bCs/>
          <w:sz w:val="24"/>
          <w:szCs w:val="24"/>
        </w:rPr>
        <w:t>. Experimental Design</w:t>
      </w:r>
    </w:p>
    <w:p w14:paraId="40E9BE19" w14:textId="6232DA9B" w:rsidR="00812376" w:rsidRDefault="004776ED" w:rsidP="00D8607A">
      <w:pPr>
        <w:spacing w:afterLines="50" w:after="156" w:line="480" w:lineRule="auto"/>
        <w:ind w:firstLineChars="200" w:firstLine="480"/>
        <w:rPr>
          <w:rFonts w:ascii="Times New Roman" w:hAnsi="Times New Roman" w:cs="Times New Roman"/>
          <w:sz w:val="24"/>
          <w:szCs w:val="24"/>
        </w:rPr>
      </w:pPr>
      <w:r w:rsidRPr="004A1567">
        <w:rPr>
          <w:rFonts w:ascii="Times New Roman" w:hAnsi="Times New Roman" w:cs="Times New Roman" w:hint="eastAsia"/>
          <w:sz w:val="24"/>
          <w:szCs w:val="24"/>
        </w:rPr>
        <w:t>W</w:t>
      </w:r>
      <w:r w:rsidRPr="004A1567">
        <w:rPr>
          <w:rFonts w:ascii="Times New Roman" w:hAnsi="Times New Roman" w:cs="Times New Roman"/>
          <w:sz w:val="24"/>
          <w:szCs w:val="24"/>
        </w:rPr>
        <w:t xml:space="preserve">e conducted a </w:t>
      </w:r>
      <w:r w:rsidR="00DE11BF" w:rsidRPr="004A1567">
        <w:rPr>
          <w:rFonts w:ascii="Times New Roman" w:hAnsi="Times New Roman" w:cs="Times New Roman"/>
          <w:sz w:val="24"/>
          <w:szCs w:val="24"/>
        </w:rPr>
        <w:t xml:space="preserve">series of </w:t>
      </w:r>
      <w:r w:rsidRPr="004A1567">
        <w:rPr>
          <w:rFonts w:ascii="Times New Roman" w:hAnsi="Times New Roman" w:cs="Times New Roman"/>
          <w:sz w:val="24"/>
          <w:szCs w:val="24"/>
        </w:rPr>
        <w:t>choice experiment</w:t>
      </w:r>
      <w:r w:rsidR="00CC4F75">
        <w:rPr>
          <w:rFonts w:ascii="Times New Roman" w:hAnsi="Times New Roman" w:cs="Times New Roman"/>
          <w:sz w:val="24"/>
          <w:szCs w:val="24"/>
        </w:rPr>
        <w:t>s</w:t>
      </w:r>
      <w:r w:rsidRPr="004A1567">
        <w:rPr>
          <w:rFonts w:ascii="Times New Roman" w:hAnsi="Times New Roman" w:cs="Times New Roman"/>
          <w:sz w:val="24"/>
          <w:szCs w:val="24"/>
        </w:rPr>
        <w:t xml:space="preserve"> to </w:t>
      </w:r>
      <w:r w:rsidR="0056461C">
        <w:rPr>
          <w:rFonts w:ascii="Times New Roman" w:hAnsi="Times New Roman" w:cs="Times New Roman"/>
          <w:sz w:val="24"/>
          <w:szCs w:val="24"/>
        </w:rPr>
        <w:t>examine</w:t>
      </w:r>
      <w:r w:rsidRPr="004A1567">
        <w:rPr>
          <w:rFonts w:ascii="Times New Roman" w:hAnsi="Times New Roman" w:cs="Times New Roman"/>
          <w:sz w:val="24"/>
          <w:szCs w:val="24"/>
        </w:rPr>
        <w:t xml:space="preserve"> </w:t>
      </w:r>
      <w:r w:rsidR="0056461C">
        <w:rPr>
          <w:rFonts w:ascii="Times New Roman" w:hAnsi="Times New Roman" w:cs="Times New Roman"/>
          <w:sz w:val="24"/>
          <w:szCs w:val="24"/>
        </w:rPr>
        <w:t xml:space="preserve">whether signing the UNPRI will affect </w:t>
      </w:r>
      <w:r w:rsidRPr="004A1567">
        <w:rPr>
          <w:rFonts w:ascii="Times New Roman" w:hAnsi="Times New Roman" w:cs="Times New Roman"/>
          <w:sz w:val="24"/>
          <w:szCs w:val="24"/>
        </w:rPr>
        <w:t>the preference of individual mutual fund investors. Choice experiments are</w:t>
      </w:r>
      <w:r w:rsidR="00DE11BF" w:rsidRPr="004A1567">
        <w:rPr>
          <w:rFonts w:ascii="Times New Roman" w:hAnsi="Times New Roman" w:cs="Times New Roman"/>
          <w:sz w:val="24"/>
          <w:szCs w:val="24"/>
        </w:rPr>
        <w:t xml:space="preserve"> </w:t>
      </w:r>
      <w:r w:rsidRPr="004A1567">
        <w:rPr>
          <w:rFonts w:ascii="Times New Roman" w:hAnsi="Times New Roman" w:cs="Times New Roman"/>
          <w:sz w:val="24"/>
          <w:szCs w:val="24"/>
        </w:rPr>
        <w:t xml:space="preserve">widely used in </w:t>
      </w:r>
      <w:r w:rsidR="009121A6" w:rsidRPr="004A1567">
        <w:rPr>
          <w:rFonts w:ascii="Times New Roman" w:hAnsi="Times New Roman" w:cs="Times New Roman"/>
          <w:sz w:val="24"/>
          <w:szCs w:val="24"/>
        </w:rPr>
        <w:t>eliciting</w:t>
      </w:r>
      <w:r w:rsidRPr="004A1567">
        <w:rPr>
          <w:rFonts w:ascii="Times New Roman" w:hAnsi="Times New Roman" w:cs="Times New Roman"/>
          <w:sz w:val="24"/>
          <w:szCs w:val="24"/>
        </w:rPr>
        <w:t xml:space="preserve"> mutual fund investors’ preferences (</w:t>
      </w:r>
      <w:r w:rsidR="00AD308A" w:rsidRPr="004A1567">
        <w:rPr>
          <w:rFonts w:ascii="Times New Roman" w:hAnsi="Times New Roman" w:cs="Times New Roman"/>
          <w:sz w:val="24"/>
          <w:szCs w:val="24"/>
        </w:rPr>
        <w:t xml:space="preserve">Gutsche and Ziegler, 2019; </w:t>
      </w:r>
      <w:r w:rsidR="00FD5804" w:rsidRPr="004A1567">
        <w:rPr>
          <w:rFonts w:ascii="Times New Roman" w:hAnsi="Times New Roman" w:cs="Times New Roman"/>
          <w:sz w:val="24"/>
          <w:szCs w:val="24"/>
        </w:rPr>
        <w:t>Gutsche et al., 2023;</w:t>
      </w:r>
      <w:r w:rsidR="00DF01D3" w:rsidRPr="004A1567">
        <w:rPr>
          <w:rFonts w:ascii="Times New Roman" w:hAnsi="Times New Roman" w:cs="Times New Roman"/>
          <w:sz w:val="24"/>
          <w:szCs w:val="24"/>
        </w:rPr>
        <w:t xml:space="preserve"> </w:t>
      </w:r>
      <w:r w:rsidR="0049727F" w:rsidRPr="004A1567">
        <w:rPr>
          <w:rFonts w:ascii="Times New Roman" w:hAnsi="Times New Roman" w:cs="Times New Roman"/>
          <w:sz w:val="24"/>
          <w:szCs w:val="24"/>
        </w:rPr>
        <w:t xml:space="preserve">Heeb et al., 2023; </w:t>
      </w:r>
      <w:proofErr w:type="spellStart"/>
      <w:r w:rsidR="004950C5" w:rsidRPr="004A1567">
        <w:rPr>
          <w:rFonts w:ascii="Times New Roman" w:hAnsi="Times New Roman" w:cs="Times New Roman"/>
          <w:sz w:val="24"/>
          <w:szCs w:val="24"/>
        </w:rPr>
        <w:t>Harasheh</w:t>
      </w:r>
      <w:proofErr w:type="spellEnd"/>
      <w:r w:rsidR="004950C5" w:rsidRPr="004A1567">
        <w:rPr>
          <w:rFonts w:ascii="Times New Roman" w:hAnsi="Times New Roman" w:cs="Times New Roman"/>
          <w:sz w:val="24"/>
          <w:szCs w:val="24"/>
        </w:rPr>
        <w:t xml:space="preserve"> et al., 202</w:t>
      </w:r>
      <w:r w:rsidR="00757841" w:rsidRPr="004A1567">
        <w:rPr>
          <w:rFonts w:ascii="Times New Roman" w:hAnsi="Times New Roman" w:cs="Times New Roman"/>
          <w:sz w:val="24"/>
          <w:szCs w:val="24"/>
        </w:rPr>
        <w:t>4</w:t>
      </w:r>
      <w:r w:rsidRPr="004A1567">
        <w:rPr>
          <w:rFonts w:ascii="Times New Roman" w:hAnsi="Times New Roman" w:cs="Times New Roman"/>
          <w:sz w:val="24"/>
          <w:szCs w:val="24"/>
        </w:rPr>
        <w:t xml:space="preserve">). </w:t>
      </w:r>
      <w:r w:rsidRPr="004A1567">
        <w:rPr>
          <w:rFonts w:ascii="Times New Roman" w:hAnsi="Times New Roman" w:cs="Times New Roman" w:hint="eastAsia"/>
          <w:sz w:val="24"/>
          <w:szCs w:val="24"/>
        </w:rPr>
        <w:t>W</w:t>
      </w:r>
      <w:r w:rsidRPr="004A1567">
        <w:rPr>
          <w:rFonts w:ascii="Times New Roman" w:hAnsi="Times New Roman" w:cs="Times New Roman"/>
          <w:sz w:val="24"/>
          <w:szCs w:val="24"/>
        </w:rPr>
        <w:t xml:space="preserve">e hired </w:t>
      </w:r>
      <w:r w:rsidR="0049536F">
        <w:rPr>
          <w:rFonts w:ascii="Times New Roman" w:hAnsi="Times New Roman" w:cs="Times New Roman"/>
          <w:sz w:val="24"/>
          <w:szCs w:val="24"/>
        </w:rPr>
        <w:t>subjects</w:t>
      </w:r>
      <w:r w:rsidRPr="004A1567">
        <w:rPr>
          <w:rFonts w:ascii="Times New Roman" w:hAnsi="Times New Roman" w:cs="Times New Roman"/>
          <w:sz w:val="24"/>
          <w:szCs w:val="24"/>
        </w:rPr>
        <w:t xml:space="preserve"> from Credamo.com, an outsourcing platform similar to Amazon </w:t>
      </w:r>
      <w:proofErr w:type="spellStart"/>
      <w:r w:rsidRPr="004A1567">
        <w:rPr>
          <w:rFonts w:ascii="Times New Roman" w:hAnsi="Times New Roman" w:cs="Times New Roman"/>
          <w:sz w:val="24"/>
          <w:szCs w:val="24"/>
        </w:rPr>
        <w:t>MTurk</w:t>
      </w:r>
      <w:proofErr w:type="spellEnd"/>
      <w:r w:rsidRPr="004A1567">
        <w:rPr>
          <w:rFonts w:ascii="Times New Roman" w:hAnsi="Times New Roman" w:cs="Times New Roman"/>
          <w:sz w:val="24"/>
          <w:szCs w:val="24"/>
        </w:rPr>
        <w:t xml:space="preserve">. </w:t>
      </w:r>
      <w:r w:rsidR="0049536F">
        <w:rPr>
          <w:rFonts w:ascii="Times New Roman" w:hAnsi="Times New Roman" w:cs="Times New Roman"/>
          <w:sz w:val="24"/>
          <w:szCs w:val="24"/>
        </w:rPr>
        <w:t xml:space="preserve">Subjects should be 18 years old or older and have mutual fund investment experience. </w:t>
      </w:r>
      <w:r w:rsidR="00954134">
        <w:rPr>
          <w:rFonts w:ascii="Times New Roman" w:hAnsi="Times New Roman" w:cs="Times New Roman"/>
          <w:sz w:val="24"/>
          <w:szCs w:val="24"/>
        </w:rPr>
        <w:t>They were asked to participate in a survey</w:t>
      </w:r>
      <w:r w:rsidR="00812376">
        <w:rPr>
          <w:rFonts w:ascii="Times New Roman" w:hAnsi="Times New Roman" w:cs="Times New Roman"/>
          <w:sz w:val="24"/>
          <w:szCs w:val="24"/>
        </w:rPr>
        <w:t xml:space="preserve"> on investment decision</w:t>
      </w:r>
      <w:r w:rsidR="00954134">
        <w:rPr>
          <w:rFonts w:ascii="Times New Roman" w:hAnsi="Times New Roman" w:cs="Times New Roman"/>
          <w:sz w:val="24"/>
          <w:szCs w:val="24"/>
        </w:rPr>
        <w:t xml:space="preserve">. </w:t>
      </w:r>
      <w:r w:rsidR="00873D70">
        <w:rPr>
          <w:rFonts w:ascii="Times New Roman" w:hAnsi="Times New Roman" w:cs="Times New Roman"/>
          <w:sz w:val="24"/>
          <w:szCs w:val="24"/>
        </w:rPr>
        <w:t xml:space="preserve">Several attention-check questions are included to guarantee the quality of response. </w:t>
      </w:r>
      <w:r w:rsidR="00FB1E4E">
        <w:rPr>
          <w:rFonts w:ascii="Times New Roman" w:hAnsi="Times New Roman" w:cs="Times New Roman"/>
          <w:sz w:val="24"/>
          <w:szCs w:val="24"/>
        </w:rPr>
        <w:t>O</w:t>
      </w:r>
      <w:r w:rsidR="00873D70">
        <w:rPr>
          <w:rFonts w:ascii="Times New Roman" w:hAnsi="Times New Roman" w:cs="Times New Roman"/>
          <w:sz w:val="24"/>
          <w:szCs w:val="24"/>
        </w:rPr>
        <w:t>ne failed to correctly answer any of the attention-check questions w</w:t>
      </w:r>
      <w:r w:rsidR="00FB1E4E">
        <w:rPr>
          <w:rFonts w:ascii="Times New Roman" w:hAnsi="Times New Roman" w:cs="Times New Roman"/>
          <w:sz w:val="24"/>
          <w:szCs w:val="24"/>
        </w:rPr>
        <w:t xml:space="preserve">as </w:t>
      </w:r>
      <w:r w:rsidR="00873D70">
        <w:rPr>
          <w:rFonts w:ascii="Times New Roman" w:hAnsi="Times New Roman" w:cs="Times New Roman"/>
          <w:sz w:val="24"/>
          <w:szCs w:val="24"/>
        </w:rPr>
        <w:t>excluded</w:t>
      </w:r>
      <w:r w:rsidR="00FB1E4E">
        <w:rPr>
          <w:rFonts w:ascii="Times New Roman" w:hAnsi="Times New Roman" w:cs="Times New Roman"/>
          <w:sz w:val="24"/>
          <w:szCs w:val="24"/>
        </w:rPr>
        <w:t xml:space="preserve"> immediately from the experiment</w:t>
      </w:r>
      <w:r w:rsidR="00873D70">
        <w:rPr>
          <w:rFonts w:ascii="Times New Roman" w:hAnsi="Times New Roman" w:cs="Times New Roman"/>
          <w:sz w:val="24"/>
          <w:szCs w:val="24"/>
        </w:rPr>
        <w:t xml:space="preserve">. </w:t>
      </w:r>
      <w:r w:rsidR="00FB1E4E">
        <w:rPr>
          <w:rFonts w:ascii="Times New Roman" w:hAnsi="Times New Roman" w:cs="Times New Roman"/>
          <w:sz w:val="24"/>
          <w:szCs w:val="24"/>
        </w:rPr>
        <w:t xml:space="preserve">Each subject completing the survey and making effective response is given CNY 2. </w:t>
      </w:r>
      <w:r w:rsidR="00873D70">
        <w:rPr>
          <w:rFonts w:ascii="Times New Roman" w:hAnsi="Times New Roman" w:cs="Times New Roman"/>
          <w:sz w:val="24"/>
          <w:szCs w:val="24"/>
        </w:rPr>
        <w:t xml:space="preserve">There were 345 subjects </w:t>
      </w:r>
      <w:r w:rsidR="00FB1E4E">
        <w:rPr>
          <w:rFonts w:ascii="Times New Roman" w:hAnsi="Times New Roman" w:cs="Times New Roman"/>
          <w:sz w:val="24"/>
          <w:szCs w:val="24"/>
        </w:rPr>
        <w:t xml:space="preserve">that have passed all attention-check questions and make effective responses, which constitutes the full sample of this study. </w:t>
      </w:r>
    </w:p>
    <w:p w14:paraId="62A5FB80" w14:textId="7F373DD0" w:rsidR="00020E7E" w:rsidRDefault="00812376" w:rsidP="00D8607A">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survey includes three sections. </w:t>
      </w:r>
      <w:r>
        <w:rPr>
          <w:rFonts w:ascii="Times New Roman" w:hAnsi="Times New Roman" w:cs="Times New Roman" w:hint="eastAsia"/>
          <w:sz w:val="24"/>
          <w:szCs w:val="24"/>
        </w:rPr>
        <w:t>It</w:t>
      </w:r>
      <w:r w:rsidR="002821C8">
        <w:rPr>
          <w:rFonts w:ascii="Times New Roman" w:hAnsi="Times New Roman" w:cs="Times New Roman"/>
          <w:sz w:val="24"/>
          <w:szCs w:val="24"/>
        </w:rPr>
        <w:t xml:space="preserve"> starts with</w:t>
      </w:r>
      <w:r>
        <w:rPr>
          <w:rFonts w:ascii="Times New Roman" w:hAnsi="Times New Roman" w:cs="Times New Roman"/>
          <w:sz w:val="24"/>
          <w:szCs w:val="24"/>
        </w:rPr>
        <w:t xml:space="preserve"> </w:t>
      </w:r>
      <w:r w:rsidR="002821C8">
        <w:rPr>
          <w:rFonts w:ascii="Times New Roman" w:hAnsi="Times New Roman" w:cs="Times New Roman"/>
          <w:sz w:val="24"/>
          <w:szCs w:val="24"/>
        </w:rPr>
        <w:t xml:space="preserve">a section </w:t>
      </w:r>
      <w:r>
        <w:rPr>
          <w:rFonts w:ascii="Times New Roman" w:hAnsi="Times New Roman" w:cs="Times New Roman"/>
          <w:sz w:val="24"/>
          <w:szCs w:val="24"/>
        </w:rPr>
        <w:t xml:space="preserve">collecting respondents’ </w:t>
      </w:r>
      <w:r w:rsidR="002821C8">
        <w:rPr>
          <w:rFonts w:ascii="Times New Roman" w:hAnsi="Times New Roman" w:cs="Times New Roman"/>
          <w:sz w:val="24"/>
          <w:szCs w:val="24"/>
        </w:rPr>
        <w:t xml:space="preserve">background information, including </w:t>
      </w:r>
      <w:r w:rsidR="00D11DF4">
        <w:rPr>
          <w:rFonts w:ascii="Times New Roman" w:hAnsi="Times New Roman" w:cs="Times New Roman"/>
          <w:sz w:val="24"/>
          <w:szCs w:val="24"/>
        </w:rPr>
        <w:t xml:space="preserve">gender, age, </w:t>
      </w:r>
      <w:r w:rsidR="0031094C">
        <w:rPr>
          <w:rFonts w:ascii="Times New Roman" w:hAnsi="Times New Roman" w:cs="Times New Roman"/>
          <w:sz w:val="24"/>
          <w:szCs w:val="24"/>
        </w:rPr>
        <w:t>monthly</w:t>
      </w:r>
      <w:r w:rsidR="002821C8">
        <w:rPr>
          <w:rFonts w:ascii="Times New Roman" w:hAnsi="Times New Roman" w:cs="Times New Roman"/>
          <w:sz w:val="24"/>
          <w:szCs w:val="24"/>
        </w:rPr>
        <w:t xml:space="preserve"> income, and mutual fund investment experience. </w:t>
      </w:r>
      <w:r w:rsidR="00020E7E">
        <w:rPr>
          <w:rFonts w:ascii="Times New Roman" w:hAnsi="Times New Roman" w:cs="Times New Roman"/>
          <w:sz w:val="24"/>
          <w:szCs w:val="24"/>
        </w:rPr>
        <w:t xml:space="preserve">I measure the subjects’ risk attitude by asking how much risk they are willing to take in investing. Possible choices include “no risk”, “low risk, low </w:t>
      </w:r>
      <w:r w:rsidR="00020E7E">
        <w:rPr>
          <w:rFonts w:ascii="Times New Roman" w:hAnsi="Times New Roman" w:cs="Times New Roman"/>
          <w:sz w:val="24"/>
          <w:szCs w:val="24"/>
        </w:rPr>
        <w:lastRenderedPageBreak/>
        <w:t>return”, “Medium risk, medium return”, and “high risk, high return”.</w:t>
      </w:r>
    </w:p>
    <w:p w14:paraId="1270D231" w14:textId="6FDFC478" w:rsidR="00020E7E" w:rsidRPr="00A03061" w:rsidRDefault="0060663B" w:rsidP="00D8607A">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In the n</w:t>
      </w:r>
      <w:r w:rsidR="00C6795A">
        <w:rPr>
          <w:rFonts w:ascii="Times New Roman" w:hAnsi="Times New Roman" w:cs="Times New Roman"/>
          <w:sz w:val="24"/>
          <w:szCs w:val="24"/>
        </w:rPr>
        <w:t>ext</w:t>
      </w:r>
      <w:r>
        <w:rPr>
          <w:rFonts w:ascii="Times New Roman" w:hAnsi="Times New Roman" w:cs="Times New Roman"/>
          <w:sz w:val="24"/>
          <w:szCs w:val="24"/>
        </w:rPr>
        <w:t xml:space="preserve"> section</w:t>
      </w:r>
      <w:r w:rsidR="00C6795A">
        <w:rPr>
          <w:rFonts w:ascii="Times New Roman" w:hAnsi="Times New Roman" w:cs="Times New Roman"/>
          <w:sz w:val="24"/>
          <w:szCs w:val="24"/>
        </w:rPr>
        <w:t>, subjects were shown a reading material that provides a</w:t>
      </w:r>
      <w:r>
        <w:rPr>
          <w:rFonts w:ascii="Times New Roman" w:hAnsi="Times New Roman" w:cs="Times New Roman"/>
          <w:sz w:val="24"/>
          <w:szCs w:val="24"/>
        </w:rPr>
        <w:t xml:space="preserve"> brief </w:t>
      </w:r>
      <w:r w:rsidR="00C6795A">
        <w:rPr>
          <w:rFonts w:ascii="Times New Roman" w:hAnsi="Times New Roman" w:cs="Times New Roman"/>
          <w:sz w:val="24"/>
          <w:szCs w:val="24"/>
        </w:rPr>
        <w:t>introduction to the UNPRI</w:t>
      </w:r>
      <w:r>
        <w:rPr>
          <w:rFonts w:ascii="Times New Roman" w:hAnsi="Times New Roman" w:cs="Times New Roman"/>
          <w:sz w:val="24"/>
          <w:szCs w:val="24"/>
        </w:rPr>
        <w:t xml:space="preserve"> to guarantee that all the subjects have a basic understanding of this organization</w:t>
      </w:r>
      <w:r w:rsidR="00C6795A">
        <w:rPr>
          <w:rFonts w:ascii="Times New Roman" w:hAnsi="Times New Roman" w:cs="Times New Roman"/>
          <w:sz w:val="24"/>
          <w:szCs w:val="24"/>
        </w:rPr>
        <w:t xml:space="preserve">. The reading material </w:t>
      </w:r>
      <w:r w:rsidR="00C35699">
        <w:rPr>
          <w:rFonts w:ascii="Times New Roman" w:hAnsi="Times New Roman" w:cs="Times New Roman"/>
          <w:sz w:val="24"/>
          <w:szCs w:val="24"/>
        </w:rPr>
        <w:t>introduces</w:t>
      </w:r>
      <w:r w:rsidR="00C6795A">
        <w:rPr>
          <w:rFonts w:ascii="Times New Roman" w:hAnsi="Times New Roman" w:cs="Times New Roman"/>
          <w:sz w:val="24"/>
          <w:szCs w:val="24"/>
        </w:rPr>
        <w:t xml:space="preserve"> several features of the UNPRI. a) the UNPRI is aimed to encourage social</w:t>
      </w:r>
      <w:r w:rsidR="00C35699">
        <w:rPr>
          <w:rFonts w:ascii="Times New Roman" w:hAnsi="Times New Roman" w:cs="Times New Roman"/>
          <w:sz w:val="24"/>
          <w:szCs w:val="24"/>
        </w:rPr>
        <w:t>ly</w:t>
      </w:r>
      <w:r w:rsidR="00C6795A">
        <w:rPr>
          <w:rFonts w:ascii="Times New Roman" w:hAnsi="Times New Roman" w:cs="Times New Roman"/>
          <w:sz w:val="24"/>
          <w:szCs w:val="24"/>
        </w:rPr>
        <w:t xml:space="preserve"> responsible investment. </w:t>
      </w:r>
      <w:r w:rsidR="00C6795A">
        <w:rPr>
          <w:rFonts w:ascii="Times New Roman" w:hAnsi="Times New Roman" w:cs="Times New Roman" w:hint="eastAsia"/>
          <w:sz w:val="24"/>
          <w:szCs w:val="24"/>
        </w:rPr>
        <w:t>b</w:t>
      </w:r>
      <w:r w:rsidR="00C6795A">
        <w:rPr>
          <w:rFonts w:ascii="Times New Roman" w:hAnsi="Times New Roman" w:cs="Times New Roman"/>
          <w:sz w:val="24"/>
          <w:szCs w:val="24"/>
        </w:rPr>
        <w:t xml:space="preserve">) UNPRI </w:t>
      </w:r>
      <w:r w:rsidR="00737D20">
        <w:rPr>
          <w:rFonts w:ascii="Times New Roman" w:hAnsi="Times New Roman" w:cs="Times New Roman"/>
          <w:sz w:val="24"/>
          <w:szCs w:val="24"/>
        </w:rPr>
        <w:t>s</w:t>
      </w:r>
      <w:r w:rsidR="00C6795A">
        <w:rPr>
          <w:rFonts w:ascii="Times New Roman" w:hAnsi="Times New Roman" w:cs="Times New Roman"/>
          <w:sz w:val="24"/>
          <w:szCs w:val="24"/>
        </w:rPr>
        <w:t xml:space="preserve">ignatories include many leading institutional investors both in China and around the world. </w:t>
      </w:r>
      <w:r w:rsidR="00C6795A">
        <w:rPr>
          <w:rFonts w:ascii="Times New Roman" w:hAnsi="Times New Roman" w:cs="Times New Roman" w:hint="eastAsia"/>
          <w:sz w:val="24"/>
          <w:szCs w:val="24"/>
        </w:rPr>
        <w:t>c</w:t>
      </w:r>
      <w:r w:rsidR="00C6795A">
        <w:rPr>
          <w:rFonts w:ascii="Times New Roman" w:hAnsi="Times New Roman" w:cs="Times New Roman"/>
          <w:sz w:val="24"/>
          <w:szCs w:val="24"/>
        </w:rPr>
        <w:t xml:space="preserve">) </w:t>
      </w:r>
      <w:r w:rsidR="007F0B04">
        <w:rPr>
          <w:rFonts w:ascii="Times New Roman" w:hAnsi="Times New Roman" w:cs="Times New Roman"/>
          <w:sz w:val="24"/>
          <w:szCs w:val="24"/>
        </w:rPr>
        <w:t>when</w:t>
      </w:r>
      <w:r w:rsidR="00C6795A">
        <w:rPr>
          <w:rFonts w:ascii="Times New Roman" w:hAnsi="Times New Roman" w:cs="Times New Roman"/>
          <w:sz w:val="24"/>
          <w:szCs w:val="24"/>
        </w:rPr>
        <w:t xml:space="preserve"> a mutual fund management company signs the UNPRI</w:t>
      </w:r>
      <w:r w:rsidR="007F0B04">
        <w:rPr>
          <w:rFonts w:ascii="Times New Roman" w:hAnsi="Times New Roman" w:cs="Times New Roman"/>
          <w:sz w:val="24"/>
          <w:szCs w:val="24"/>
        </w:rPr>
        <w:t>,</w:t>
      </w:r>
      <w:r w:rsidR="00C6795A">
        <w:rPr>
          <w:rFonts w:ascii="Times New Roman" w:hAnsi="Times New Roman" w:cs="Times New Roman"/>
          <w:sz w:val="24"/>
          <w:szCs w:val="24"/>
        </w:rPr>
        <w:t xml:space="preserve"> </w:t>
      </w:r>
      <w:r w:rsidR="007F0B04">
        <w:rPr>
          <w:rFonts w:ascii="Times New Roman" w:hAnsi="Times New Roman" w:cs="Times New Roman"/>
          <w:sz w:val="24"/>
          <w:szCs w:val="24"/>
        </w:rPr>
        <w:t>i</w:t>
      </w:r>
      <w:r w:rsidR="00C6795A">
        <w:rPr>
          <w:rFonts w:ascii="Times New Roman" w:hAnsi="Times New Roman" w:cs="Times New Roman"/>
          <w:sz w:val="24"/>
          <w:szCs w:val="24"/>
        </w:rPr>
        <w:t xml:space="preserve">t promises that </w:t>
      </w:r>
      <w:r w:rsidR="007F0B04">
        <w:rPr>
          <w:rFonts w:ascii="Times New Roman" w:hAnsi="Times New Roman" w:cs="Times New Roman"/>
          <w:sz w:val="24"/>
          <w:szCs w:val="24"/>
        </w:rPr>
        <w:t>all the</w:t>
      </w:r>
      <w:r w:rsidR="00C6795A">
        <w:rPr>
          <w:rFonts w:ascii="Times New Roman" w:hAnsi="Times New Roman" w:cs="Times New Roman"/>
          <w:sz w:val="24"/>
          <w:szCs w:val="24"/>
        </w:rPr>
        <w:t xml:space="preserve"> funds </w:t>
      </w:r>
      <w:r w:rsidR="007F0B04">
        <w:rPr>
          <w:rFonts w:ascii="Times New Roman" w:hAnsi="Times New Roman" w:cs="Times New Roman"/>
          <w:sz w:val="24"/>
          <w:szCs w:val="24"/>
        </w:rPr>
        <w:t xml:space="preserve">under its management </w:t>
      </w:r>
      <w:r w:rsidR="00C6795A">
        <w:rPr>
          <w:rFonts w:ascii="Times New Roman" w:hAnsi="Times New Roman" w:cs="Times New Roman"/>
          <w:sz w:val="24"/>
          <w:szCs w:val="24"/>
        </w:rPr>
        <w:t>will increase (decrease) the holding of stocks with good (bad) social</w:t>
      </w:r>
      <w:r w:rsidR="007F0B04">
        <w:rPr>
          <w:rFonts w:ascii="Times New Roman" w:hAnsi="Times New Roman" w:cs="Times New Roman"/>
          <w:sz w:val="24"/>
          <w:szCs w:val="24"/>
        </w:rPr>
        <w:t>ly</w:t>
      </w:r>
      <w:r w:rsidR="00C6795A">
        <w:rPr>
          <w:rFonts w:ascii="Times New Roman" w:hAnsi="Times New Roman" w:cs="Times New Roman"/>
          <w:sz w:val="24"/>
          <w:szCs w:val="24"/>
        </w:rPr>
        <w:t xml:space="preserve"> responsible performance. d) UNPRI signatories are required to periodically report social</w:t>
      </w:r>
      <w:r w:rsidR="007F0B04">
        <w:rPr>
          <w:rFonts w:ascii="Times New Roman" w:hAnsi="Times New Roman" w:cs="Times New Roman"/>
          <w:sz w:val="24"/>
          <w:szCs w:val="24"/>
        </w:rPr>
        <w:t>ly</w:t>
      </w:r>
      <w:r w:rsidR="00C6795A">
        <w:rPr>
          <w:rFonts w:ascii="Times New Roman" w:hAnsi="Times New Roman" w:cs="Times New Roman"/>
          <w:sz w:val="24"/>
          <w:szCs w:val="24"/>
        </w:rPr>
        <w:t xml:space="preserve"> responsible investment activities. e) Any signatory will be asked to exit the UNPRI if it cannot me</w:t>
      </w:r>
      <w:r w:rsidR="004610F0">
        <w:rPr>
          <w:rFonts w:ascii="Times New Roman" w:hAnsi="Times New Roman" w:cs="Times New Roman" w:hint="eastAsia"/>
          <w:sz w:val="24"/>
          <w:szCs w:val="24"/>
        </w:rPr>
        <w:t>e</w:t>
      </w:r>
      <w:r w:rsidR="004610F0">
        <w:rPr>
          <w:rFonts w:ascii="Times New Roman" w:hAnsi="Times New Roman" w:cs="Times New Roman"/>
          <w:sz w:val="24"/>
          <w:szCs w:val="24"/>
        </w:rPr>
        <w:t xml:space="preserve">t the UNPRI’s requirement; f) the UNPRI cannot force its signatories to </w:t>
      </w:r>
      <w:r w:rsidR="006518AD">
        <w:rPr>
          <w:rFonts w:ascii="Times New Roman" w:hAnsi="Times New Roman" w:cs="Times New Roman"/>
          <w:sz w:val="24"/>
          <w:szCs w:val="24"/>
        </w:rPr>
        <w:t>do social</w:t>
      </w:r>
      <w:r w:rsidR="003112AB">
        <w:rPr>
          <w:rFonts w:ascii="Times New Roman" w:hAnsi="Times New Roman" w:cs="Times New Roman"/>
          <w:sz w:val="24"/>
          <w:szCs w:val="24"/>
        </w:rPr>
        <w:t>ly</w:t>
      </w:r>
      <w:r w:rsidR="006518AD">
        <w:rPr>
          <w:rFonts w:ascii="Times New Roman" w:hAnsi="Times New Roman" w:cs="Times New Roman"/>
          <w:sz w:val="24"/>
          <w:szCs w:val="24"/>
        </w:rPr>
        <w:t xml:space="preserve"> responsible investments.</w:t>
      </w:r>
      <w:r w:rsidR="00026C0F">
        <w:rPr>
          <w:rFonts w:ascii="Times New Roman" w:hAnsi="Times New Roman" w:cs="Times New Roman"/>
          <w:sz w:val="24"/>
          <w:szCs w:val="24"/>
        </w:rPr>
        <w:t xml:space="preserve"> After reading this material, subjects are asked to answer two </w:t>
      </w:r>
      <w:r w:rsidR="00B15400">
        <w:rPr>
          <w:rFonts w:ascii="Times New Roman" w:hAnsi="Times New Roman" w:cs="Times New Roman"/>
          <w:sz w:val="24"/>
          <w:szCs w:val="24"/>
        </w:rPr>
        <w:t xml:space="preserve">attention-check </w:t>
      </w:r>
      <w:r w:rsidR="00026C0F">
        <w:rPr>
          <w:rFonts w:ascii="Times New Roman" w:hAnsi="Times New Roman" w:cs="Times New Roman"/>
          <w:sz w:val="24"/>
          <w:szCs w:val="24"/>
        </w:rPr>
        <w:t xml:space="preserve">questions regarding the contents in the reading materials. </w:t>
      </w:r>
      <w:r w:rsidR="00D952CF">
        <w:rPr>
          <w:rFonts w:ascii="Times New Roman" w:hAnsi="Times New Roman" w:cs="Times New Roman"/>
          <w:sz w:val="24"/>
          <w:szCs w:val="24"/>
        </w:rPr>
        <w:t>Those proving wrong answers to any of the two questions were excluded from the experiment and not included in the full sample.</w:t>
      </w:r>
      <w:r w:rsidR="00A03061">
        <w:rPr>
          <w:rFonts w:ascii="Times New Roman" w:hAnsi="Times New Roman" w:cs="Times New Roman"/>
          <w:sz w:val="24"/>
          <w:szCs w:val="24"/>
        </w:rPr>
        <w:t xml:space="preserve"> </w:t>
      </w:r>
      <w:r w:rsidR="00020E7E">
        <w:rPr>
          <w:rFonts w:ascii="Times New Roman" w:hAnsi="Times New Roman" w:cs="Times New Roman" w:hint="eastAsia"/>
          <w:sz w:val="24"/>
          <w:szCs w:val="24"/>
        </w:rPr>
        <w:t>T</w:t>
      </w:r>
      <w:r w:rsidR="00020E7E">
        <w:rPr>
          <w:rFonts w:ascii="Times New Roman" w:hAnsi="Times New Roman" w:cs="Times New Roman"/>
          <w:sz w:val="24"/>
          <w:szCs w:val="24"/>
        </w:rPr>
        <w:t xml:space="preserve">able 1 reports the summary statistics of the 345 subjects in the sample. </w:t>
      </w:r>
    </w:p>
    <w:p w14:paraId="36DCB695" w14:textId="7D4BB418" w:rsidR="003B5D0A" w:rsidRDefault="00A7677B" w:rsidP="00D8607A">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Then subjects were asked to make investment decisions in 8 choice experiments. In each experiment, subjects should decide to invest in three mutual funds or choose not to invest in any funds (an opt-out </w:t>
      </w:r>
      <w:r w:rsidR="002972B1">
        <w:rPr>
          <w:rFonts w:ascii="Times New Roman" w:hAnsi="Times New Roman" w:cs="Times New Roman"/>
          <w:sz w:val="24"/>
          <w:szCs w:val="24"/>
        </w:rPr>
        <w:t>alternative</w:t>
      </w:r>
      <w:r>
        <w:rPr>
          <w:rFonts w:ascii="Times New Roman" w:hAnsi="Times New Roman" w:cs="Times New Roman"/>
          <w:sz w:val="24"/>
          <w:szCs w:val="24"/>
        </w:rPr>
        <w:t xml:space="preserve">). </w:t>
      </w:r>
      <w:r w:rsidR="002972B1">
        <w:rPr>
          <w:rFonts w:ascii="Times New Roman" w:hAnsi="Times New Roman" w:cs="Times New Roman"/>
          <w:sz w:val="24"/>
          <w:szCs w:val="24"/>
        </w:rPr>
        <w:t xml:space="preserve">The three mutual funds </w:t>
      </w:r>
      <w:r w:rsidR="00BD4056">
        <w:rPr>
          <w:rFonts w:ascii="Times New Roman" w:hAnsi="Times New Roman" w:cs="Times New Roman"/>
          <w:sz w:val="24"/>
          <w:szCs w:val="24"/>
        </w:rPr>
        <w:t>are different</w:t>
      </w:r>
      <w:r w:rsidR="002972B1">
        <w:rPr>
          <w:rFonts w:ascii="Times New Roman" w:hAnsi="Times New Roman" w:cs="Times New Roman"/>
          <w:sz w:val="24"/>
          <w:szCs w:val="24"/>
        </w:rPr>
        <w:t xml:space="preserve"> in five attributes, including history performance in </w:t>
      </w:r>
      <w:r w:rsidR="00810E0F">
        <w:rPr>
          <w:rFonts w:ascii="Times New Roman" w:hAnsi="Times New Roman" w:cs="Times New Roman"/>
          <w:sz w:val="24"/>
          <w:szCs w:val="24"/>
        </w:rPr>
        <w:t xml:space="preserve">the </w:t>
      </w:r>
      <w:r w:rsidR="002972B1">
        <w:rPr>
          <w:rFonts w:ascii="Times New Roman" w:hAnsi="Times New Roman" w:cs="Times New Roman"/>
          <w:sz w:val="24"/>
          <w:szCs w:val="24"/>
        </w:rPr>
        <w:t xml:space="preserve">past three years, </w:t>
      </w:r>
      <w:r w:rsidR="00F52A11">
        <w:rPr>
          <w:rFonts w:ascii="Times New Roman" w:hAnsi="Times New Roman" w:cs="Times New Roman"/>
          <w:sz w:val="24"/>
          <w:szCs w:val="24"/>
        </w:rPr>
        <w:t>the</w:t>
      </w:r>
      <w:r w:rsidR="002972B1">
        <w:rPr>
          <w:rFonts w:ascii="Times New Roman" w:hAnsi="Times New Roman" w:cs="Times New Roman"/>
          <w:sz w:val="24"/>
          <w:szCs w:val="24"/>
        </w:rPr>
        <w:t xml:space="preserve"> fund family size, </w:t>
      </w:r>
      <w:r w:rsidR="00F52A11">
        <w:rPr>
          <w:rFonts w:ascii="Times New Roman" w:hAnsi="Times New Roman" w:cs="Times New Roman"/>
          <w:sz w:val="24"/>
          <w:szCs w:val="24"/>
        </w:rPr>
        <w:t>the</w:t>
      </w:r>
      <w:r w:rsidR="002972B1">
        <w:rPr>
          <w:rFonts w:ascii="Times New Roman" w:hAnsi="Times New Roman" w:cs="Times New Roman"/>
          <w:sz w:val="24"/>
          <w:szCs w:val="24"/>
        </w:rPr>
        <w:t xml:space="preserve"> fund size, </w:t>
      </w:r>
      <w:r w:rsidR="00F52A11">
        <w:rPr>
          <w:rFonts w:ascii="Times New Roman" w:hAnsi="Times New Roman" w:cs="Times New Roman"/>
          <w:sz w:val="24"/>
          <w:szCs w:val="24"/>
        </w:rPr>
        <w:t xml:space="preserve">the annual </w:t>
      </w:r>
      <w:r w:rsidR="002972B1">
        <w:rPr>
          <w:rFonts w:ascii="Times New Roman" w:hAnsi="Times New Roman" w:cs="Times New Roman"/>
          <w:sz w:val="24"/>
          <w:szCs w:val="24"/>
        </w:rPr>
        <w:t xml:space="preserve">management fees, and </w:t>
      </w:r>
      <w:r w:rsidR="001962D2">
        <w:rPr>
          <w:rFonts w:ascii="Times New Roman" w:hAnsi="Times New Roman" w:cs="Times New Roman"/>
          <w:sz w:val="24"/>
          <w:szCs w:val="24"/>
        </w:rPr>
        <w:t xml:space="preserve">whether </w:t>
      </w:r>
      <w:r w:rsidR="002972B1">
        <w:rPr>
          <w:rFonts w:ascii="Times New Roman" w:hAnsi="Times New Roman" w:cs="Times New Roman"/>
          <w:sz w:val="24"/>
          <w:szCs w:val="24"/>
        </w:rPr>
        <w:t xml:space="preserve">signing the UNPRI or not. </w:t>
      </w:r>
      <w:r w:rsidR="00656743">
        <w:rPr>
          <w:rFonts w:ascii="Times New Roman" w:hAnsi="Times New Roman" w:cs="Times New Roman"/>
          <w:sz w:val="24"/>
          <w:szCs w:val="24"/>
        </w:rPr>
        <w:t xml:space="preserve">The attributes and </w:t>
      </w:r>
      <w:r w:rsidR="00262EC3">
        <w:rPr>
          <w:rFonts w:ascii="Times New Roman" w:hAnsi="Times New Roman" w:cs="Times New Roman"/>
          <w:sz w:val="24"/>
          <w:szCs w:val="24"/>
        </w:rPr>
        <w:t>attribute levels</w:t>
      </w:r>
      <w:r w:rsidR="00656743">
        <w:rPr>
          <w:rFonts w:ascii="Times New Roman" w:hAnsi="Times New Roman" w:cs="Times New Roman"/>
          <w:sz w:val="24"/>
          <w:szCs w:val="24"/>
        </w:rPr>
        <w:t xml:space="preserve"> chosen for the analysis are presented in Table 2. </w:t>
      </w:r>
      <w:r w:rsidR="003B5D0A">
        <w:rPr>
          <w:rFonts w:ascii="Times New Roman" w:hAnsi="Times New Roman" w:cs="Times New Roman"/>
          <w:sz w:val="24"/>
          <w:szCs w:val="24"/>
        </w:rPr>
        <w:t>3</w:t>
      </w:r>
      <w:r w:rsidR="00656743">
        <w:rPr>
          <w:rFonts w:ascii="Times New Roman" w:hAnsi="Times New Roman" w:cs="Times New Roman"/>
          <w:sz w:val="24"/>
          <w:szCs w:val="24"/>
        </w:rPr>
        <w:t xml:space="preserve">6 </w:t>
      </w:r>
      <w:r w:rsidR="00656743">
        <w:rPr>
          <w:rFonts w:ascii="Times New Roman" w:hAnsi="Times New Roman" w:cs="Times New Roman"/>
          <w:sz w:val="24"/>
          <w:szCs w:val="24"/>
        </w:rPr>
        <w:lastRenderedPageBreak/>
        <w:t>different hypothetical mutual funds</w:t>
      </w:r>
      <w:r w:rsidR="003B5D0A">
        <w:rPr>
          <w:rFonts w:ascii="Times New Roman" w:hAnsi="Times New Roman" w:cs="Times New Roman"/>
          <w:sz w:val="24"/>
          <w:szCs w:val="24"/>
        </w:rPr>
        <w:t xml:space="preserve"> are constructed based on the combination of the five attributes and the </w:t>
      </w:r>
      <w:r w:rsidR="00262EC3">
        <w:rPr>
          <w:rFonts w:ascii="Times New Roman" w:hAnsi="Times New Roman" w:cs="Times New Roman"/>
          <w:sz w:val="24"/>
          <w:szCs w:val="24"/>
        </w:rPr>
        <w:t>corresponding levels</w:t>
      </w:r>
      <w:r w:rsidR="00656743">
        <w:rPr>
          <w:rFonts w:ascii="Times New Roman" w:hAnsi="Times New Roman" w:cs="Times New Roman"/>
          <w:sz w:val="24"/>
          <w:szCs w:val="24"/>
        </w:rPr>
        <w:t>.</w:t>
      </w:r>
      <w:r w:rsidR="003B5D0A">
        <w:rPr>
          <w:rFonts w:ascii="Times New Roman" w:hAnsi="Times New Roman" w:cs="Times New Roman"/>
          <w:sz w:val="24"/>
          <w:szCs w:val="24"/>
        </w:rPr>
        <w:t xml:space="preserve"> There are in total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C</m:t>
            </m:r>
          </m:e>
          <m:sub>
            <m:r>
              <w:rPr>
                <w:rFonts w:ascii="Cambria Math" w:hAnsi="Cambria Math" w:cs="Times New Roman"/>
                <w:sz w:val="24"/>
                <w:szCs w:val="24"/>
              </w:rPr>
              <m:t>36</m:t>
            </m:r>
          </m:sub>
          <m:sup>
            <m:r>
              <w:rPr>
                <w:rFonts w:ascii="Cambria Math" w:hAnsi="Cambria Math" w:cs="Times New Roman"/>
                <w:sz w:val="24"/>
                <w:szCs w:val="24"/>
              </w:rPr>
              <m:t>3</m:t>
            </m:r>
          </m:sup>
        </m:sSubSup>
        <m:r>
          <w:rPr>
            <w:rFonts w:ascii="Cambria Math" w:eastAsia="Cambria Math" w:hAnsi="Cambria Math" w:cs="Cambria Math"/>
            <w:sz w:val="24"/>
            <w:szCs w:val="24"/>
          </w:rPr>
          <m:t>=714</m:t>
        </m:r>
        <m:r>
          <m:rPr>
            <m:sty m:val="p"/>
          </m:rPr>
          <w:rPr>
            <w:rFonts w:ascii="Cambria Math" w:hAnsi="Cambria Math" w:cs="Times New Roman"/>
            <w:sz w:val="24"/>
            <w:szCs w:val="24"/>
          </w:rPr>
          <m:t>0</m:t>
        </m:r>
      </m:oMath>
      <w:r w:rsidR="003B5D0A">
        <w:rPr>
          <w:rFonts w:ascii="Times New Roman" w:hAnsi="Times New Roman" w:cs="Times New Roman" w:hint="eastAsia"/>
          <w:sz w:val="24"/>
          <w:szCs w:val="24"/>
        </w:rPr>
        <w:t xml:space="preserve"> </w:t>
      </w:r>
      <w:r w:rsidR="003B5D0A">
        <w:rPr>
          <w:rFonts w:ascii="Times New Roman" w:hAnsi="Times New Roman" w:cs="Times New Roman"/>
          <w:sz w:val="24"/>
          <w:szCs w:val="24"/>
        </w:rPr>
        <w:t xml:space="preserve">choice sets that including three mutual funds and an opt-out option. 8 out of these choice sets are generated by using </w:t>
      </w:r>
      <w:proofErr w:type="spellStart"/>
      <w:r w:rsidR="003B5D0A" w:rsidRPr="00966503">
        <w:rPr>
          <w:rFonts w:ascii="Times New Roman" w:hAnsi="Times New Roman" w:cs="Times New Roman"/>
          <w:i/>
          <w:sz w:val="24"/>
          <w:szCs w:val="24"/>
        </w:rPr>
        <w:t>Dcreate</w:t>
      </w:r>
      <w:proofErr w:type="spellEnd"/>
      <w:r w:rsidR="003B5D0A">
        <w:rPr>
          <w:rFonts w:ascii="Times New Roman" w:hAnsi="Times New Roman" w:cs="Times New Roman"/>
          <w:sz w:val="24"/>
          <w:szCs w:val="24"/>
        </w:rPr>
        <w:t xml:space="preserve"> module of Stata (Hole, 2017).</w:t>
      </w:r>
    </w:p>
    <w:p w14:paraId="208B9733" w14:textId="18BEDE33" w:rsidR="00D850C4" w:rsidRPr="004A1567" w:rsidRDefault="00C1053C" w:rsidP="00611639">
      <w:pPr>
        <w:spacing w:afterLines="50" w:after="156" w:line="480" w:lineRule="auto"/>
        <w:rPr>
          <w:rFonts w:ascii="Times New Roman" w:hAnsi="Times New Roman" w:cs="Times New Roman"/>
          <w:b/>
          <w:bCs/>
          <w:sz w:val="24"/>
          <w:szCs w:val="24"/>
        </w:rPr>
      </w:pPr>
      <w:r w:rsidRPr="004A1567">
        <w:rPr>
          <w:rFonts w:ascii="Times New Roman" w:hAnsi="Times New Roman" w:cs="Times New Roman"/>
          <w:b/>
          <w:bCs/>
          <w:sz w:val="24"/>
          <w:szCs w:val="24"/>
        </w:rPr>
        <w:t>I</w:t>
      </w:r>
      <w:r w:rsidR="00F84B1A" w:rsidRPr="004A1567">
        <w:rPr>
          <w:rFonts w:ascii="Times New Roman" w:hAnsi="Times New Roman" w:cs="Times New Roman"/>
          <w:b/>
          <w:bCs/>
          <w:sz w:val="24"/>
          <w:szCs w:val="24"/>
        </w:rPr>
        <w:t>II</w:t>
      </w:r>
      <w:r w:rsidR="006F6F4F" w:rsidRPr="004A1567">
        <w:rPr>
          <w:rFonts w:ascii="Times New Roman" w:hAnsi="Times New Roman" w:cs="Times New Roman"/>
          <w:b/>
          <w:bCs/>
          <w:sz w:val="24"/>
          <w:szCs w:val="24"/>
        </w:rPr>
        <w:t>. Empirical Methodologies</w:t>
      </w:r>
    </w:p>
    <w:p w14:paraId="4BB6A5A4" w14:textId="303FBCAD" w:rsidR="004C1C42" w:rsidRPr="004A1567" w:rsidRDefault="00A36111" w:rsidP="00D8607A">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Fo</w:t>
      </w:r>
      <w:r w:rsidR="005F17DE">
        <w:rPr>
          <w:rFonts w:ascii="Times New Roman" w:hAnsi="Times New Roman" w:cs="Times New Roman"/>
          <w:sz w:val="24"/>
          <w:szCs w:val="24"/>
        </w:rPr>
        <w:t>llowing McFadden and</w:t>
      </w:r>
      <w:r w:rsidR="005F17DE" w:rsidRPr="005F17DE">
        <w:rPr>
          <w:rFonts w:ascii="Times New Roman" w:hAnsi="Times New Roman" w:cs="Times New Roman"/>
          <w:sz w:val="24"/>
          <w:szCs w:val="24"/>
        </w:rPr>
        <w:t xml:space="preserve"> Train</w:t>
      </w:r>
      <w:r w:rsidR="005F17DE">
        <w:rPr>
          <w:rFonts w:ascii="Times New Roman" w:hAnsi="Times New Roman" w:cs="Times New Roman"/>
          <w:sz w:val="24"/>
          <w:szCs w:val="24"/>
        </w:rPr>
        <w:t xml:space="preserve"> (200)</w:t>
      </w:r>
      <w:r>
        <w:rPr>
          <w:rFonts w:ascii="Times New Roman" w:hAnsi="Times New Roman" w:cs="Times New Roman"/>
          <w:sz w:val="24"/>
          <w:szCs w:val="24"/>
        </w:rPr>
        <w:t>, I</w:t>
      </w:r>
      <w:r w:rsidR="00D850C4" w:rsidRPr="004A1567">
        <w:rPr>
          <w:rFonts w:ascii="Times New Roman" w:hAnsi="Times New Roman" w:cs="Times New Roman"/>
          <w:sz w:val="24"/>
          <w:szCs w:val="24"/>
        </w:rPr>
        <w:t xml:space="preserve"> </w:t>
      </w:r>
      <w:r>
        <w:rPr>
          <w:rFonts w:ascii="Times New Roman" w:hAnsi="Times New Roman" w:cs="Times New Roman"/>
          <w:sz w:val="24"/>
          <w:szCs w:val="24"/>
        </w:rPr>
        <w:t xml:space="preserve">employ </w:t>
      </w:r>
      <w:r w:rsidR="00D850C4" w:rsidRPr="004A1567">
        <w:rPr>
          <w:rFonts w:ascii="Times New Roman" w:hAnsi="Times New Roman" w:cs="Times New Roman"/>
          <w:sz w:val="24"/>
          <w:szCs w:val="24"/>
        </w:rPr>
        <w:t>mixed logit</w:t>
      </w:r>
      <w:r w:rsidR="005F17DE">
        <w:rPr>
          <w:rFonts w:ascii="Times New Roman" w:hAnsi="Times New Roman" w:cs="Times New Roman"/>
          <w:sz w:val="24"/>
          <w:szCs w:val="24"/>
        </w:rPr>
        <w:t xml:space="preserve"> regressions in analyzing the effect of signing the UNPRI on individual mutual fund investors’ preference.</w:t>
      </w:r>
      <w:r w:rsidR="00D850C4" w:rsidRPr="004A1567">
        <w:rPr>
          <w:rFonts w:ascii="Times New Roman" w:hAnsi="Times New Roman" w:cs="Times New Roman"/>
          <w:sz w:val="24"/>
          <w:szCs w:val="24"/>
        </w:rPr>
        <w:t xml:space="preserve"> </w:t>
      </w:r>
      <w:r w:rsidR="004C1C42" w:rsidRPr="004A1567">
        <w:rPr>
          <w:rFonts w:ascii="Times New Roman" w:hAnsi="Times New Roman" w:cs="Times New Roman"/>
          <w:sz w:val="24"/>
          <w:szCs w:val="24"/>
        </w:rPr>
        <w:t xml:space="preserve">This model assumes that each investor’s utility is the sum of a </w:t>
      </w:r>
      <w:r w:rsidR="00E31AAB">
        <w:rPr>
          <w:rFonts w:ascii="Times New Roman" w:hAnsi="Times New Roman" w:cs="Times New Roman"/>
          <w:sz w:val="24"/>
          <w:szCs w:val="24"/>
        </w:rPr>
        <w:t>linear combination of</w:t>
      </w:r>
      <w:r w:rsidR="004C1C42" w:rsidRPr="004A1567">
        <w:rPr>
          <w:rFonts w:ascii="Times New Roman" w:hAnsi="Times New Roman" w:cs="Times New Roman"/>
          <w:sz w:val="24"/>
          <w:szCs w:val="24"/>
        </w:rPr>
        <w:t xml:space="preserve"> fund features and a random element. Specifically, investor i’s utility for </w:t>
      </w:r>
      <w:r w:rsidR="00D6486A">
        <w:rPr>
          <w:rFonts w:ascii="Times New Roman" w:hAnsi="Times New Roman" w:cs="Times New Roman"/>
          <w:sz w:val="24"/>
          <w:szCs w:val="24"/>
        </w:rPr>
        <w:t xml:space="preserve">the </w:t>
      </w:r>
      <w:r w:rsidR="004C1C42" w:rsidRPr="004A1567">
        <w:rPr>
          <w:rFonts w:ascii="Times New Roman" w:hAnsi="Times New Roman" w:cs="Times New Roman"/>
          <w:sz w:val="24"/>
          <w:szCs w:val="24"/>
        </w:rPr>
        <w:t xml:space="preserve">mutual fund </w:t>
      </w:r>
      <w:r w:rsidR="00262EC3">
        <w:rPr>
          <w:rFonts w:ascii="Times New Roman" w:hAnsi="Times New Roman" w:cs="Times New Roman"/>
          <w:sz w:val="24"/>
          <w:szCs w:val="24"/>
        </w:rPr>
        <w:t xml:space="preserve">m in </w:t>
      </w:r>
      <w:r w:rsidR="00D6486A">
        <w:rPr>
          <w:rFonts w:ascii="Times New Roman" w:hAnsi="Times New Roman" w:cs="Times New Roman"/>
          <w:sz w:val="24"/>
          <w:szCs w:val="24"/>
        </w:rPr>
        <w:t xml:space="preserve">the </w:t>
      </w:r>
      <w:r w:rsidR="00262EC3">
        <w:rPr>
          <w:rFonts w:ascii="Times New Roman" w:hAnsi="Times New Roman" w:cs="Times New Roman"/>
          <w:sz w:val="24"/>
          <w:szCs w:val="24"/>
        </w:rPr>
        <w:t>choice set j</w:t>
      </w:r>
      <w:r w:rsidR="00D6486A">
        <w:rPr>
          <w:rFonts w:ascii="Times New Roman" w:hAnsi="Times New Roman" w:cs="Times New Roman"/>
          <w:sz w:val="24"/>
          <w:szCs w:val="24"/>
        </w:rPr>
        <w:t>,</w:t>
      </w:r>
      <w:r w:rsidR="00262EC3">
        <w:rPr>
          <w:rFonts w:ascii="Times New Roman" w:hAnsi="Times New Roman" w:cs="Times New Roman"/>
          <w:sz w:val="24"/>
          <w:szCs w:val="24"/>
        </w:rPr>
        <w:t xml:space="preserve"> </w:t>
      </w: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U</m:t>
            </m:r>
          </m:e>
          <m:sub>
            <m:r>
              <w:rPr>
                <w:rFonts w:ascii="Cambria Math" w:hAnsi="Cambria Math" w:cs="Cambria Math"/>
                <w:sz w:val="24"/>
                <w:szCs w:val="24"/>
              </w:rPr>
              <m:t>ijm</m:t>
            </m:r>
          </m:sub>
        </m:sSub>
      </m:oMath>
      <w:r w:rsidR="00D6486A">
        <w:rPr>
          <w:rFonts w:ascii="Times New Roman" w:hAnsi="Times New Roman" w:cs="Times New Roman" w:hint="eastAsia"/>
          <w:sz w:val="24"/>
          <w:szCs w:val="24"/>
        </w:rPr>
        <w:t xml:space="preserve">, </w:t>
      </w:r>
      <w:r w:rsidR="00262EC3">
        <w:rPr>
          <w:rFonts w:ascii="Times New Roman" w:hAnsi="Times New Roman" w:cs="Times New Roman"/>
          <w:sz w:val="24"/>
          <w:szCs w:val="24"/>
        </w:rPr>
        <w:t xml:space="preserve">is </w:t>
      </w:r>
      <w:r w:rsidR="00D6486A">
        <w:rPr>
          <w:rFonts w:ascii="Times New Roman" w:hAnsi="Times New Roman" w:cs="Times New Roman"/>
          <w:sz w:val="24"/>
          <w:szCs w:val="24"/>
        </w:rPr>
        <w:t xml:space="preserve">assumed to be </w:t>
      </w:r>
      <w:r w:rsidR="00262EC3">
        <w:rPr>
          <w:rFonts w:ascii="Times New Roman" w:hAnsi="Times New Roman" w:cs="Times New Roman"/>
          <w:sz w:val="24"/>
          <w:szCs w:val="24"/>
        </w:rPr>
        <w:t>as follows</w:t>
      </w:r>
    </w:p>
    <w:p w14:paraId="6A66E8B0" w14:textId="1F612555" w:rsidR="004C1C42" w:rsidRPr="004A1567" w:rsidRDefault="00000000" w:rsidP="00D8607A">
      <w:pPr>
        <w:spacing w:afterLines="50" w:after="156" w:line="480" w:lineRule="auto"/>
        <w:ind w:firstLineChars="200" w:firstLine="480"/>
        <w:rPr>
          <w:rFonts w:ascii="Times New Roman" w:hAnsi="Times New Roman" w:cs="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U</m:t>
              </m:r>
            </m:e>
            <m:sub>
              <m:r>
                <w:rPr>
                  <w:rFonts w:ascii="Cambria Math" w:hAnsi="Cambria Math" w:cs="Cambria Math"/>
                  <w:sz w:val="24"/>
                  <w:szCs w:val="24"/>
                </w:rPr>
                <m:t>ijm</m:t>
              </m:r>
            </m:sub>
          </m:sSub>
          <m:r>
            <m:rPr>
              <m:sty m:val="p"/>
            </m:rPr>
            <w:rPr>
              <w:rFonts w:ascii="Cambria Math" w:eastAsia="Cambria Math" w:hAnsi="Cambria Math" w:cs="Cambria Math"/>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β</m:t>
              </m:r>
              <m:ctrlPr>
                <w:rPr>
                  <w:rFonts w:ascii="Cambria Math" w:hAnsi="Cambria Math" w:cs="Times New Roman" w:hint="eastAsia"/>
                  <w:i/>
                  <w:sz w:val="24"/>
                  <w:szCs w:val="24"/>
                </w:rPr>
              </m:ctrlPr>
            </m:e>
            <m:sub>
              <m:r>
                <w:rPr>
                  <w:rFonts w:ascii="Cambria Math" w:hAnsi="Cambria Math" w:cs="Times New Roman"/>
                  <w:sz w:val="24"/>
                  <w:szCs w:val="24"/>
                </w:rPr>
                <m:t>i</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m:t>
              </m:r>
            </m:sub>
          </m:sSub>
        </m:oMath>
      </m:oMathPara>
    </w:p>
    <w:p w14:paraId="60C6FA1C" w14:textId="285803F4" w:rsidR="00742DD8" w:rsidRPr="00A122D6" w:rsidRDefault="00D6486A" w:rsidP="00D8607A">
      <w:pPr>
        <w:spacing w:afterLines="50" w:after="156" w:line="480" w:lineRule="auto"/>
        <w:ind w:firstLineChars="200" w:firstLine="480"/>
        <w:rPr>
          <w:rFonts w:ascii="Times New Roman" w:hAnsi="Times New Roman" w:cs="Times New Roman"/>
          <w:iCs/>
          <w:sz w:val="24"/>
          <w:szCs w:val="24"/>
        </w:rPr>
      </w:pPr>
      <w:r>
        <w:rPr>
          <w:rFonts w:ascii="Times New Roman" w:hAnsi="Times New Roman" w:cs="Times New Roman" w:hint="eastAsia"/>
          <w:sz w:val="24"/>
          <w:szCs w:val="24"/>
        </w:rPr>
        <w:t>w</w:t>
      </w:r>
      <w:r>
        <w:rPr>
          <w:rFonts w:ascii="Times New Roman" w:hAnsi="Times New Roman" w:cs="Times New Roman"/>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m:t>
            </m:r>
          </m:sub>
        </m:sSub>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denotes the independent variables of the mutual fund m in the choice set j, </w:t>
      </w: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β</m:t>
            </m:r>
          </m:e>
          <m:sub>
            <m:r>
              <w:rPr>
                <w:rFonts w:ascii="Cambria Math" w:hAnsi="Cambria Math" w:cs="Cambria Math"/>
                <w:sz w:val="24"/>
                <w:szCs w:val="24"/>
              </w:rPr>
              <m:t>i</m:t>
            </m:r>
          </m:sub>
        </m:sSub>
      </m:oMath>
      <w:r>
        <w:rPr>
          <w:rFonts w:ascii="Times New Roman" w:hAnsi="Times New Roman" w:cs="Times New Roman"/>
          <w:sz w:val="24"/>
          <w:szCs w:val="24"/>
        </w:rPr>
        <w:t xml:space="preserve"> denotes the marginal utility of independent variables, and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m:t>
            </m:r>
          </m:sub>
        </m:sSub>
      </m:oMath>
      <w:r>
        <w:rPr>
          <w:rFonts w:ascii="Times New Roman" w:hAnsi="Times New Roman" w:cs="Times New Roman" w:hint="eastAsia"/>
          <w:sz w:val="24"/>
          <w:szCs w:val="24"/>
        </w:rPr>
        <w:t xml:space="preserve"> </w:t>
      </w:r>
      <w:r>
        <w:rPr>
          <w:rFonts w:ascii="Times New Roman" w:hAnsi="Times New Roman" w:cs="Times New Roman"/>
          <w:sz w:val="24"/>
          <w:szCs w:val="24"/>
        </w:rPr>
        <w:t>is the error term.</w:t>
      </w:r>
      <w:r w:rsidR="00742DD8" w:rsidRPr="00742DD8">
        <w:rPr>
          <w:rFonts w:ascii="Times New Roman" w:hAnsi="Times New Roman" w:cs="Times New Roman"/>
          <w:sz w:val="24"/>
          <w:szCs w:val="24"/>
        </w:rPr>
        <w:t xml:space="preserve"> </w:t>
      </w:r>
      <w:r w:rsidR="00742DD8">
        <w:rPr>
          <w:rFonts w:ascii="Times New Roman" w:hAnsi="Times New Roman" w:cs="Times New Roman"/>
          <w:sz w:val="24"/>
          <w:szCs w:val="24"/>
        </w:rPr>
        <w:t>Th</w:t>
      </w:r>
      <w:r w:rsidR="009D2FE9">
        <w:rPr>
          <w:rFonts w:ascii="Times New Roman" w:hAnsi="Times New Roman" w:cs="Times New Roman"/>
          <w:sz w:val="24"/>
          <w:szCs w:val="24"/>
        </w:rPr>
        <w:t xml:space="preserve">e </w:t>
      </w:r>
      <w:r w:rsidR="00B134A9">
        <w:rPr>
          <w:rFonts w:ascii="Times New Roman" w:hAnsi="Times New Roman" w:cs="Times New Roman"/>
          <w:sz w:val="24"/>
          <w:szCs w:val="24"/>
        </w:rPr>
        <w:t>primary</w:t>
      </w:r>
      <w:r w:rsidR="009D2FE9">
        <w:rPr>
          <w:rFonts w:ascii="Times New Roman" w:hAnsi="Times New Roman" w:cs="Times New Roman"/>
          <w:sz w:val="24"/>
          <w:szCs w:val="24"/>
        </w:rPr>
        <w:t xml:space="preserve"> variable in interest is</w:t>
      </w:r>
      <w:r w:rsidR="009D2FE9" w:rsidRPr="009D2FE9">
        <w:rPr>
          <w:rFonts w:ascii="Times New Roman" w:hAnsi="Times New Roman" w:cs="Times New Roman"/>
          <w:i/>
          <w:sz w:val="24"/>
          <w:szCs w:val="24"/>
        </w:rPr>
        <w:t xml:space="preserve"> </w:t>
      </w:r>
      <w:proofErr w:type="spellStart"/>
      <w:r w:rsidR="009D2FE9" w:rsidRPr="00F476AF">
        <w:rPr>
          <w:rFonts w:ascii="Times New Roman" w:hAnsi="Times New Roman" w:cs="Times New Roman"/>
          <w:i/>
          <w:sz w:val="24"/>
          <w:szCs w:val="24"/>
        </w:rPr>
        <w:t>Sign</w:t>
      </w:r>
      <w:r w:rsidR="009D2FE9" w:rsidRPr="002D20D9">
        <w:rPr>
          <w:rFonts w:ascii="Times New Roman" w:hAnsi="Times New Roman" w:cs="Times New Roman"/>
          <w:i/>
          <w:sz w:val="24"/>
          <w:szCs w:val="24"/>
        </w:rPr>
        <w:t>UNPRI</w:t>
      </w:r>
      <w:proofErr w:type="spellEnd"/>
      <w:r w:rsidR="00742DD8">
        <w:rPr>
          <w:rFonts w:ascii="Times New Roman" w:hAnsi="Times New Roman" w:cs="Times New Roman"/>
          <w:sz w:val="24"/>
          <w:szCs w:val="24"/>
        </w:rPr>
        <w:t xml:space="preserve">, a dummy variable that takes the value of one if the hypothetical fund has signed the </w:t>
      </w:r>
      <w:r w:rsidR="00A122D6">
        <w:rPr>
          <w:rFonts w:ascii="Times New Roman" w:hAnsi="Times New Roman" w:cs="Times New Roman"/>
          <w:iCs/>
          <w:sz w:val="24"/>
          <w:szCs w:val="24"/>
        </w:rPr>
        <w:t>UNPRI.</w:t>
      </w:r>
    </w:p>
    <w:p w14:paraId="015AC636" w14:textId="4CF1B382" w:rsidR="004C1C42" w:rsidRDefault="00D6486A" w:rsidP="00D8607A">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Following </w:t>
      </w:r>
      <w:r w:rsidRPr="00D6486A">
        <w:rPr>
          <w:rFonts w:ascii="Times New Roman" w:hAnsi="Times New Roman" w:cs="Times New Roman"/>
          <w:sz w:val="24"/>
          <w:szCs w:val="24"/>
        </w:rPr>
        <w:t>Gutsche and Ziegler (2019)</w:t>
      </w:r>
      <w:r w:rsidR="00262EC3">
        <w:rPr>
          <w:rFonts w:ascii="Times New Roman" w:hAnsi="Times New Roman" w:cs="Times New Roman"/>
          <w:sz w:val="24"/>
          <w:szCs w:val="24"/>
        </w:rPr>
        <w:t xml:space="preserve">, I assume that the coefficients of </w:t>
      </w:r>
      <w:r w:rsidR="00596A46">
        <w:rPr>
          <w:rFonts w:ascii="Times New Roman" w:hAnsi="Times New Roman" w:cs="Times New Roman" w:hint="eastAsia"/>
          <w:sz w:val="24"/>
          <w:szCs w:val="24"/>
        </w:rPr>
        <w:t>the</w:t>
      </w:r>
      <w:r w:rsidR="00596A46">
        <w:rPr>
          <w:rFonts w:ascii="Times New Roman" w:hAnsi="Times New Roman" w:cs="Times New Roman"/>
          <w:sz w:val="24"/>
          <w:szCs w:val="24"/>
        </w:rPr>
        <w:t xml:space="preserve"> annual </w:t>
      </w:r>
      <w:r w:rsidR="00262EC3">
        <w:rPr>
          <w:rFonts w:ascii="Times New Roman" w:hAnsi="Times New Roman" w:cs="Times New Roman"/>
          <w:sz w:val="24"/>
          <w:szCs w:val="24"/>
        </w:rPr>
        <w:t xml:space="preserve">management fees (financial variable) and all interaction terms are fixed across different individuals, while the coefficients of non-financial variables are </w:t>
      </w:r>
      <w:r w:rsidR="004C1C42" w:rsidRPr="004A1567">
        <w:rPr>
          <w:rFonts w:ascii="Times New Roman" w:hAnsi="Times New Roman" w:cs="Times New Roman"/>
          <w:sz w:val="24"/>
          <w:szCs w:val="24"/>
        </w:rPr>
        <w:t>randomly and independently drawn from</w:t>
      </w:r>
      <w:r w:rsidR="00DA7DD9">
        <w:rPr>
          <w:rFonts w:ascii="Times New Roman" w:hAnsi="Times New Roman" w:cs="Times New Roman"/>
          <w:sz w:val="24"/>
          <w:szCs w:val="24"/>
        </w:rPr>
        <w:t xml:space="preserve"> normal distribution</w:t>
      </w:r>
      <w:r>
        <w:rPr>
          <w:rFonts w:ascii="Times New Roman" w:hAnsi="Times New Roman" w:cs="Times New Roman"/>
          <w:sz w:val="24"/>
          <w:szCs w:val="24"/>
        </w:rPr>
        <w:t>s</w:t>
      </w:r>
      <w:r w:rsidR="00262EC3">
        <w:rPr>
          <w:rFonts w:ascii="Times New Roman" w:hAnsi="Times New Roman" w:cs="Times New Roman"/>
          <w:sz w:val="24"/>
          <w:szCs w:val="24"/>
        </w:rPr>
        <w:t>. I use</w:t>
      </w:r>
      <w:r w:rsidR="007F1D4A" w:rsidRPr="004A1567">
        <w:rPr>
          <w:rFonts w:ascii="Times New Roman" w:hAnsi="Times New Roman" w:cs="Times New Roman"/>
          <w:sz w:val="24"/>
          <w:szCs w:val="24"/>
        </w:rPr>
        <w:t xml:space="preserve"> </w:t>
      </w:r>
      <w:r w:rsidR="007F1D4A" w:rsidRPr="004A1567">
        <w:rPr>
          <w:rFonts w:ascii="Times New Roman" w:hAnsi="Times New Roman" w:cs="Times New Roman" w:hint="eastAsia"/>
          <w:sz w:val="24"/>
          <w:szCs w:val="24"/>
        </w:rPr>
        <w:t>“</w:t>
      </w:r>
      <w:proofErr w:type="spellStart"/>
      <w:r w:rsidR="007F1D4A" w:rsidRPr="004A1567">
        <w:rPr>
          <w:rFonts w:ascii="Times New Roman" w:hAnsi="Times New Roman" w:cs="Times New Roman" w:hint="eastAsia"/>
          <w:sz w:val="24"/>
          <w:szCs w:val="24"/>
        </w:rPr>
        <w:t>m</w:t>
      </w:r>
      <w:r w:rsidR="00B859C3">
        <w:rPr>
          <w:rFonts w:ascii="Times New Roman" w:hAnsi="Times New Roman" w:cs="Times New Roman"/>
          <w:sz w:val="24"/>
          <w:szCs w:val="24"/>
        </w:rPr>
        <w:t>ix</w:t>
      </w:r>
      <w:r w:rsidR="007F1D4A" w:rsidRPr="004A1567">
        <w:rPr>
          <w:rFonts w:ascii="Times New Roman" w:hAnsi="Times New Roman" w:cs="Times New Roman"/>
          <w:sz w:val="24"/>
          <w:szCs w:val="24"/>
        </w:rPr>
        <w:t>logit</w:t>
      </w:r>
      <w:proofErr w:type="spellEnd"/>
      <w:r w:rsidR="007F1D4A" w:rsidRPr="004A1567">
        <w:rPr>
          <w:rFonts w:ascii="Times New Roman" w:hAnsi="Times New Roman" w:cs="Times New Roman" w:hint="eastAsia"/>
          <w:sz w:val="24"/>
          <w:szCs w:val="24"/>
        </w:rPr>
        <w:t>”</w:t>
      </w:r>
      <w:r w:rsidR="007F1D4A" w:rsidRPr="004A1567">
        <w:rPr>
          <w:rFonts w:ascii="Times New Roman" w:hAnsi="Times New Roman" w:cs="Times New Roman" w:hint="eastAsia"/>
          <w:sz w:val="24"/>
          <w:szCs w:val="24"/>
        </w:rPr>
        <w:t xml:space="preserve"> </w:t>
      </w:r>
      <w:r w:rsidR="00262EC3">
        <w:rPr>
          <w:rFonts w:ascii="Times New Roman" w:hAnsi="Times New Roman" w:cs="Times New Roman"/>
          <w:sz w:val="24"/>
          <w:szCs w:val="24"/>
        </w:rPr>
        <w:t>command of Stata in estimating these regressions.</w:t>
      </w:r>
      <w:r w:rsidR="00742DD8">
        <w:rPr>
          <w:rFonts w:ascii="Times New Roman" w:hAnsi="Times New Roman" w:cs="Times New Roman"/>
          <w:sz w:val="24"/>
          <w:szCs w:val="24"/>
        </w:rPr>
        <w:t xml:space="preserve"> </w:t>
      </w:r>
    </w:p>
    <w:p w14:paraId="28725CBB" w14:textId="3A699C6B" w:rsidR="007F1D4A" w:rsidRPr="004A1567" w:rsidRDefault="00262EC3" w:rsidP="00D8607A">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Based on </w:t>
      </w:r>
      <w:r w:rsidR="00742DD8">
        <w:rPr>
          <w:rFonts w:ascii="Times New Roman" w:hAnsi="Times New Roman" w:cs="Times New Roman"/>
          <w:sz w:val="24"/>
          <w:szCs w:val="24"/>
        </w:rPr>
        <w:t xml:space="preserve">the results of the </w:t>
      </w:r>
      <w:r>
        <w:rPr>
          <w:rFonts w:ascii="Times New Roman" w:hAnsi="Times New Roman" w:cs="Times New Roman"/>
          <w:sz w:val="24"/>
          <w:szCs w:val="24"/>
        </w:rPr>
        <w:t>mixed logit regression</w:t>
      </w:r>
      <w:r w:rsidR="00742DD8">
        <w:rPr>
          <w:rFonts w:ascii="Times New Roman" w:hAnsi="Times New Roman" w:cs="Times New Roman"/>
          <w:sz w:val="24"/>
          <w:szCs w:val="24"/>
        </w:rPr>
        <w:t>s</w:t>
      </w:r>
      <w:r>
        <w:rPr>
          <w:rFonts w:ascii="Times New Roman" w:hAnsi="Times New Roman" w:cs="Times New Roman"/>
          <w:sz w:val="24"/>
          <w:szCs w:val="24"/>
        </w:rPr>
        <w:t>,</w:t>
      </w:r>
      <w:r w:rsidR="007F1D4A" w:rsidRPr="004A1567">
        <w:rPr>
          <w:rFonts w:ascii="Times New Roman" w:hAnsi="Times New Roman" w:cs="Times New Roman"/>
          <w:sz w:val="24"/>
          <w:szCs w:val="24"/>
        </w:rPr>
        <w:t xml:space="preserve"> </w:t>
      </w:r>
      <w:r>
        <w:rPr>
          <w:rFonts w:ascii="Times New Roman" w:hAnsi="Times New Roman" w:cs="Times New Roman"/>
          <w:sz w:val="24"/>
          <w:szCs w:val="24"/>
        </w:rPr>
        <w:t>I</w:t>
      </w:r>
      <w:r w:rsidR="007F1D4A" w:rsidRPr="004A1567">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7F1D4A" w:rsidRPr="004A1567">
        <w:rPr>
          <w:rFonts w:ascii="Times New Roman" w:hAnsi="Times New Roman" w:cs="Times New Roman"/>
          <w:sz w:val="24"/>
          <w:szCs w:val="24"/>
        </w:rPr>
        <w:t>estimate</w:t>
      </w:r>
      <w:r>
        <w:rPr>
          <w:rFonts w:ascii="Times New Roman" w:hAnsi="Times New Roman" w:cs="Times New Roman"/>
          <w:sz w:val="24"/>
          <w:szCs w:val="24"/>
        </w:rPr>
        <w:t xml:space="preserve"> the WTP for </w:t>
      </w:r>
      <w:proofErr w:type="spellStart"/>
      <w:r w:rsidR="00F476AF" w:rsidRPr="00F476AF">
        <w:rPr>
          <w:rFonts w:ascii="Times New Roman" w:hAnsi="Times New Roman" w:cs="Times New Roman"/>
          <w:i/>
          <w:sz w:val="24"/>
          <w:szCs w:val="24"/>
        </w:rPr>
        <w:lastRenderedPageBreak/>
        <w:t>Sign</w:t>
      </w:r>
      <w:r w:rsidRPr="002D20D9">
        <w:rPr>
          <w:rFonts w:ascii="Times New Roman" w:hAnsi="Times New Roman" w:cs="Times New Roman"/>
          <w:i/>
          <w:sz w:val="24"/>
          <w:szCs w:val="24"/>
        </w:rPr>
        <w:t>UNPRI</w:t>
      </w:r>
      <w:proofErr w:type="spellEnd"/>
      <w:r>
        <w:rPr>
          <w:rFonts w:ascii="Times New Roman" w:hAnsi="Times New Roman" w:cs="Times New Roman"/>
          <w:sz w:val="24"/>
          <w:szCs w:val="24"/>
        </w:rPr>
        <w:t xml:space="preserve"> and other non-financial variables, in respect to the annual management fee. The mean WTP is the change </w:t>
      </w:r>
      <w:r w:rsidR="007F1D4A" w:rsidRPr="004A1567">
        <w:rPr>
          <w:rFonts w:ascii="Times New Roman" w:hAnsi="Times New Roman" w:cs="Times New Roman"/>
          <w:sz w:val="24"/>
          <w:szCs w:val="24"/>
        </w:rPr>
        <w:t xml:space="preserve">of the management fee </w:t>
      </w:r>
      <w:r w:rsidR="003458A8">
        <w:rPr>
          <w:rFonts w:ascii="Times New Roman" w:hAnsi="Times New Roman" w:cs="Times New Roman"/>
          <w:sz w:val="24"/>
          <w:szCs w:val="24"/>
        </w:rPr>
        <w:t>for a marginal change of the independent variable of interest when keeping the utility unchanged.</w:t>
      </w:r>
      <w:r w:rsidR="003458A8">
        <w:rPr>
          <w:rFonts w:ascii="Times New Roman" w:hAnsi="Times New Roman" w:cs="Times New Roman" w:hint="eastAsia"/>
          <w:sz w:val="24"/>
          <w:szCs w:val="24"/>
        </w:rPr>
        <w:t xml:space="preserve"> </w:t>
      </w:r>
      <w:r w:rsidR="007F1D4A" w:rsidRPr="004A1567">
        <w:rPr>
          <w:rFonts w:ascii="Times New Roman" w:hAnsi="Times New Roman" w:cs="Times New Roman"/>
          <w:sz w:val="24"/>
          <w:szCs w:val="24"/>
        </w:rPr>
        <w:t xml:space="preserve">Mathematically, the estimated WTP is equal to the regression coefficient of </w:t>
      </w:r>
      <w:r w:rsidR="008D2623">
        <w:rPr>
          <w:rFonts w:ascii="Times New Roman" w:hAnsi="Times New Roman" w:cs="Times New Roman"/>
          <w:sz w:val="24"/>
          <w:szCs w:val="24"/>
        </w:rPr>
        <w:t xml:space="preserve">the annual </w:t>
      </w:r>
      <w:r w:rsidR="007F1D4A" w:rsidRPr="004A1567">
        <w:rPr>
          <w:rFonts w:ascii="Times New Roman" w:hAnsi="Times New Roman" w:cs="Times New Roman"/>
          <w:sz w:val="24"/>
          <w:szCs w:val="24"/>
        </w:rPr>
        <w:t>management fee divided by th</w:t>
      </w:r>
      <w:r w:rsidR="00885C31" w:rsidRPr="004A1567">
        <w:rPr>
          <w:rFonts w:ascii="Times New Roman" w:hAnsi="Times New Roman" w:cs="Times New Roman"/>
          <w:sz w:val="24"/>
          <w:szCs w:val="24"/>
        </w:rPr>
        <w:t>at</w:t>
      </w:r>
      <w:r w:rsidR="007F1D4A" w:rsidRPr="004A1567">
        <w:rPr>
          <w:rFonts w:ascii="Times New Roman" w:hAnsi="Times New Roman" w:cs="Times New Roman"/>
          <w:sz w:val="24"/>
          <w:szCs w:val="24"/>
        </w:rPr>
        <w:t xml:space="preserve"> of </w:t>
      </w:r>
      <w:proofErr w:type="spellStart"/>
      <w:r w:rsidR="00A6133E" w:rsidRPr="00F476AF">
        <w:rPr>
          <w:rFonts w:ascii="Times New Roman" w:hAnsi="Times New Roman" w:cs="Times New Roman"/>
          <w:i/>
          <w:sz w:val="24"/>
          <w:szCs w:val="24"/>
        </w:rPr>
        <w:t>Sign</w:t>
      </w:r>
      <w:r w:rsidR="00A6133E" w:rsidRPr="002D20D9">
        <w:rPr>
          <w:rFonts w:ascii="Times New Roman" w:hAnsi="Times New Roman" w:cs="Times New Roman"/>
          <w:i/>
          <w:sz w:val="24"/>
          <w:szCs w:val="24"/>
        </w:rPr>
        <w:t>UNPRI</w:t>
      </w:r>
      <w:proofErr w:type="spellEnd"/>
      <w:r w:rsidR="007F1D4A" w:rsidRPr="004A1567">
        <w:rPr>
          <w:rFonts w:ascii="Times New Roman" w:hAnsi="Times New Roman" w:cs="Times New Roman"/>
          <w:sz w:val="24"/>
          <w:szCs w:val="24"/>
        </w:rPr>
        <w:t xml:space="preserve">. </w:t>
      </w:r>
    </w:p>
    <w:p w14:paraId="6F3ED9BB" w14:textId="37C93862" w:rsidR="007F5296" w:rsidRPr="004A1567" w:rsidRDefault="007F5296" w:rsidP="007F5296">
      <w:pPr>
        <w:spacing w:afterLines="50" w:after="156" w:line="480" w:lineRule="auto"/>
        <w:rPr>
          <w:rFonts w:ascii="Times New Roman" w:hAnsi="Times New Roman" w:cs="Times New Roman"/>
          <w:b/>
          <w:bCs/>
          <w:sz w:val="24"/>
          <w:szCs w:val="24"/>
        </w:rPr>
      </w:pPr>
      <w:r w:rsidRPr="004A1567">
        <w:rPr>
          <w:rFonts w:ascii="Times New Roman" w:hAnsi="Times New Roman" w:cs="Times New Roman"/>
          <w:b/>
          <w:bCs/>
          <w:sz w:val="24"/>
          <w:szCs w:val="24"/>
        </w:rPr>
        <w:t>I</w:t>
      </w:r>
      <w:r>
        <w:rPr>
          <w:rFonts w:ascii="Times New Roman" w:hAnsi="Times New Roman" w:cs="Times New Roman"/>
          <w:b/>
          <w:bCs/>
          <w:sz w:val="24"/>
          <w:szCs w:val="24"/>
        </w:rPr>
        <w:t>V</w:t>
      </w:r>
      <w:r w:rsidRPr="004A1567">
        <w:rPr>
          <w:rFonts w:ascii="Times New Roman" w:hAnsi="Times New Roman" w:cs="Times New Roman"/>
          <w:b/>
          <w:bCs/>
          <w:sz w:val="24"/>
          <w:szCs w:val="24"/>
        </w:rPr>
        <w:t xml:space="preserve">. Empirical </w:t>
      </w:r>
      <w:r>
        <w:rPr>
          <w:rFonts w:ascii="Times New Roman" w:hAnsi="Times New Roman" w:cs="Times New Roman"/>
          <w:b/>
          <w:bCs/>
          <w:sz w:val="24"/>
          <w:szCs w:val="24"/>
        </w:rPr>
        <w:t>Results</w:t>
      </w:r>
    </w:p>
    <w:p w14:paraId="4C48F144" w14:textId="56552D52" w:rsidR="00D6486A" w:rsidRPr="00D8607A" w:rsidRDefault="00A93270" w:rsidP="00D8607A">
      <w:pPr>
        <w:spacing w:afterLines="50" w:after="156" w:line="480" w:lineRule="auto"/>
        <w:ind w:firstLineChars="200" w:firstLine="480"/>
        <w:rPr>
          <w:rFonts w:ascii="Times New Roman" w:hAnsi="Times New Roman" w:cs="Times New Roman"/>
          <w:sz w:val="24"/>
          <w:szCs w:val="24"/>
        </w:rPr>
      </w:pPr>
      <w:r w:rsidRPr="004A1567">
        <w:rPr>
          <w:rFonts w:ascii="Times New Roman" w:hAnsi="Times New Roman" w:cs="Times New Roman"/>
          <w:sz w:val="24"/>
          <w:szCs w:val="24"/>
        </w:rPr>
        <w:t>Table 4 reports the f</w:t>
      </w:r>
      <w:r w:rsidR="007F5296">
        <w:rPr>
          <w:rFonts w:ascii="Times New Roman" w:hAnsi="Times New Roman" w:cs="Times New Roman"/>
          <w:sz w:val="24"/>
          <w:szCs w:val="24"/>
        </w:rPr>
        <w:t xml:space="preserve">indings of the mixed logit regression that examines </w:t>
      </w:r>
      <w:r w:rsidR="00596A46">
        <w:rPr>
          <w:rFonts w:ascii="Times New Roman" w:hAnsi="Times New Roman" w:cs="Times New Roman"/>
          <w:sz w:val="24"/>
          <w:szCs w:val="24"/>
        </w:rPr>
        <w:t xml:space="preserve">the marginal effect of signing the UNPRI on </w:t>
      </w:r>
      <w:r w:rsidR="007F5296">
        <w:rPr>
          <w:rFonts w:ascii="Times New Roman" w:hAnsi="Times New Roman" w:cs="Times New Roman"/>
          <w:sz w:val="24"/>
          <w:szCs w:val="24"/>
        </w:rPr>
        <w:t>individual mutual fund investors’ preference</w:t>
      </w:r>
      <w:r w:rsidRPr="004A1567">
        <w:rPr>
          <w:rFonts w:ascii="Times New Roman" w:hAnsi="Times New Roman" w:cs="Times New Roman"/>
          <w:sz w:val="24"/>
          <w:szCs w:val="24"/>
        </w:rPr>
        <w:t xml:space="preserve">. </w:t>
      </w:r>
      <w:r w:rsidR="007F5296">
        <w:rPr>
          <w:rFonts w:ascii="Times New Roman" w:hAnsi="Times New Roman" w:cs="Times New Roman"/>
          <w:sz w:val="24"/>
          <w:szCs w:val="24"/>
        </w:rPr>
        <w:t xml:space="preserve">The reported results </w:t>
      </w:r>
      <w:r w:rsidRPr="004A1567">
        <w:rPr>
          <w:rFonts w:ascii="Times New Roman" w:hAnsi="Times New Roman" w:cs="Times New Roman"/>
          <w:sz w:val="24"/>
          <w:szCs w:val="24"/>
        </w:rPr>
        <w:t xml:space="preserve">include the mean and standard deviation of </w:t>
      </w:r>
      <w:r w:rsidR="00A95F43">
        <w:rPr>
          <w:rFonts w:ascii="Times New Roman" w:hAnsi="Times New Roman" w:cs="Times New Roman"/>
          <w:sz w:val="24"/>
          <w:szCs w:val="24"/>
        </w:rPr>
        <w:t>the marginal utility of each independent variable (when applicable) across all individual investors</w:t>
      </w:r>
      <w:r w:rsidRPr="004A1567">
        <w:rPr>
          <w:rFonts w:ascii="Times New Roman" w:hAnsi="Times New Roman" w:cs="Times New Roman"/>
          <w:sz w:val="24"/>
          <w:szCs w:val="24"/>
        </w:rPr>
        <w:t xml:space="preserve">. The sign of the </w:t>
      </w:r>
      <w:r w:rsidR="00DE6633">
        <w:rPr>
          <w:rFonts w:ascii="Times New Roman" w:hAnsi="Times New Roman" w:cs="Times New Roman"/>
          <w:sz w:val="24"/>
          <w:szCs w:val="24"/>
        </w:rPr>
        <w:t xml:space="preserve">(mean) </w:t>
      </w:r>
      <w:r w:rsidRPr="004A1567">
        <w:rPr>
          <w:rFonts w:ascii="Times New Roman" w:hAnsi="Times New Roman" w:cs="Times New Roman"/>
          <w:sz w:val="24"/>
          <w:szCs w:val="24"/>
        </w:rPr>
        <w:t xml:space="preserve">coefficients indicates whether </w:t>
      </w:r>
      <w:r w:rsidR="00885C31" w:rsidRPr="004A1567">
        <w:rPr>
          <w:rFonts w:ascii="Times New Roman" w:hAnsi="Times New Roman" w:cs="Times New Roman"/>
          <w:sz w:val="24"/>
          <w:szCs w:val="24"/>
        </w:rPr>
        <w:t>the feature increases or decreases the</w:t>
      </w:r>
      <w:r w:rsidRPr="004A1567">
        <w:rPr>
          <w:rFonts w:ascii="Times New Roman" w:hAnsi="Times New Roman" w:cs="Times New Roman"/>
          <w:sz w:val="24"/>
          <w:szCs w:val="24"/>
        </w:rPr>
        <w:t xml:space="preserve"> utility </w:t>
      </w:r>
      <w:r w:rsidR="00885C31" w:rsidRPr="004A1567">
        <w:rPr>
          <w:rFonts w:ascii="Times New Roman" w:hAnsi="Times New Roman" w:cs="Times New Roman"/>
          <w:sz w:val="24"/>
          <w:szCs w:val="24"/>
        </w:rPr>
        <w:t>of</w:t>
      </w:r>
      <w:r w:rsidRPr="004A1567">
        <w:rPr>
          <w:rFonts w:ascii="Times New Roman" w:hAnsi="Times New Roman" w:cs="Times New Roman"/>
          <w:sz w:val="24"/>
          <w:szCs w:val="24"/>
        </w:rPr>
        <w:t xml:space="preserve"> investors.</w:t>
      </w:r>
      <w:r w:rsidR="007F5296">
        <w:rPr>
          <w:rFonts w:ascii="Times New Roman" w:hAnsi="Times New Roman" w:cs="Times New Roman"/>
          <w:sz w:val="24"/>
          <w:szCs w:val="24"/>
        </w:rPr>
        <w:t xml:space="preserve"> </w:t>
      </w:r>
      <w:r w:rsidR="00D8607A">
        <w:rPr>
          <w:rFonts w:ascii="Times New Roman" w:hAnsi="Times New Roman" w:cs="Times New Roman"/>
          <w:sz w:val="24"/>
          <w:szCs w:val="24"/>
        </w:rPr>
        <w:t xml:space="preserve">The primary coefficient in interest is that of </w:t>
      </w:r>
      <w:proofErr w:type="spellStart"/>
      <w:r w:rsidR="00D8607A" w:rsidRPr="00D8607A">
        <w:rPr>
          <w:rFonts w:ascii="Times New Roman" w:hAnsi="Times New Roman" w:cs="Times New Roman"/>
          <w:i/>
          <w:sz w:val="24"/>
          <w:szCs w:val="24"/>
        </w:rPr>
        <w:t>SignUNPRI</w:t>
      </w:r>
      <w:proofErr w:type="spellEnd"/>
      <w:r w:rsidR="00D8607A">
        <w:rPr>
          <w:rFonts w:ascii="Times New Roman" w:hAnsi="Times New Roman" w:cs="Times New Roman"/>
          <w:i/>
          <w:sz w:val="24"/>
          <w:szCs w:val="24"/>
        </w:rPr>
        <w:t xml:space="preserve">, </w:t>
      </w:r>
      <w:r w:rsidR="00D8607A">
        <w:rPr>
          <w:rFonts w:ascii="Times New Roman" w:hAnsi="Times New Roman" w:cs="Times New Roman"/>
          <w:sz w:val="24"/>
          <w:szCs w:val="24"/>
        </w:rPr>
        <w:t>which is 1.</w:t>
      </w:r>
      <w:r w:rsidR="00596A46">
        <w:rPr>
          <w:rFonts w:ascii="Times New Roman" w:hAnsi="Times New Roman" w:cs="Times New Roman"/>
          <w:sz w:val="24"/>
          <w:szCs w:val="24"/>
        </w:rPr>
        <w:t>917</w:t>
      </w:r>
      <w:r w:rsidR="00D8607A">
        <w:rPr>
          <w:rFonts w:ascii="Times New Roman" w:hAnsi="Times New Roman" w:cs="Times New Roman"/>
          <w:sz w:val="24"/>
          <w:szCs w:val="24"/>
        </w:rPr>
        <w:t xml:space="preserve"> and is </w:t>
      </w:r>
      <w:r w:rsidR="00EC5D85">
        <w:rPr>
          <w:rFonts w:ascii="Times New Roman" w:hAnsi="Times New Roman" w:cs="Times New Roman"/>
          <w:sz w:val="24"/>
          <w:szCs w:val="24"/>
        </w:rPr>
        <w:t xml:space="preserve">significant </w:t>
      </w:r>
      <w:r w:rsidR="00D8607A">
        <w:rPr>
          <w:rFonts w:ascii="Times New Roman" w:hAnsi="Times New Roman" w:cs="Times New Roman"/>
          <w:sz w:val="24"/>
          <w:szCs w:val="24"/>
        </w:rPr>
        <w:t xml:space="preserve">at </w:t>
      </w:r>
      <w:r w:rsidR="00EC5D85">
        <w:rPr>
          <w:rFonts w:ascii="Times New Roman" w:hAnsi="Times New Roman" w:cs="Times New Roman"/>
          <w:sz w:val="24"/>
          <w:szCs w:val="24"/>
        </w:rPr>
        <w:t xml:space="preserve">the </w:t>
      </w:r>
      <w:r w:rsidR="00D8607A">
        <w:rPr>
          <w:rFonts w:ascii="Times New Roman" w:hAnsi="Times New Roman" w:cs="Times New Roman"/>
          <w:sz w:val="24"/>
          <w:szCs w:val="24"/>
        </w:rPr>
        <w:t xml:space="preserve">1% level. </w:t>
      </w:r>
      <w:r w:rsidR="00D8607A">
        <w:rPr>
          <w:rFonts w:ascii="Times New Roman" w:hAnsi="Times New Roman" w:cs="Times New Roman" w:hint="eastAsia"/>
          <w:sz w:val="24"/>
          <w:szCs w:val="24"/>
        </w:rPr>
        <w:t>This</w:t>
      </w:r>
      <w:r w:rsidR="00D8607A">
        <w:rPr>
          <w:rFonts w:ascii="Times New Roman" w:hAnsi="Times New Roman" w:cs="Times New Roman"/>
          <w:sz w:val="24"/>
          <w:szCs w:val="24"/>
        </w:rPr>
        <w:t xml:space="preserve"> result shows that signing the UNPRI </w:t>
      </w:r>
      <w:r w:rsidR="007D1425">
        <w:rPr>
          <w:rFonts w:ascii="Times New Roman" w:hAnsi="Times New Roman" w:cs="Times New Roman"/>
          <w:sz w:val="24"/>
          <w:szCs w:val="24"/>
        </w:rPr>
        <w:t>increases mutual funds’ attractiveness to individual mutual fund investors.</w:t>
      </w:r>
      <w:r w:rsidR="00D8607A">
        <w:rPr>
          <w:rFonts w:ascii="Times New Roman" w:hAnsi="Times New Roman" w:cs="Times New Roman"/>
          <w:sz w:val="24"/>
          <w:szCs w:val="24"/>
        </w:rPr>
        <w:t xml:space="preserve"> Therefore, committing to responsible investing increases </w:t>
      </w:r>
      <w:r w:rsidR="007D51A4">
        <w:rPr>
          <w:rFonts w:ascii="Times New Roman" w:hAnsi="Times New Roman" w:cs="Times New Roman"/>
          <w:sz w:val="24"/>
          <w:szCs w:val="24"/>
        </w:rPr>
        <w:t>individual investors’ preference for mutual funds</w:t>
      </w:r>
      <w:r w:rsidR="00D8607A">
        <w:rPr>
          <w:rFonts w:ascii="Times New Roman" w:hAnsi="Times New Roman" w:cs="Times New Roman"/>
          <w:sz w:val="24"/>
          <w:szCs w:val="24"/>
        </w:rPr>
        <w:t>.</w:t>
      </w:r>
    </w:p>
    <w:p w14:paraId="18BE7A78" w14:textId="27E20D0C" w:rsidR="00007194" w:rsidRDefault="00007194" w:rsidP="00D8607A">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For other attributes, the results show that higher past performance </w:t>
      </w:r>
      <w:r w:rsidR="00926D2C">
        <w:rPr>
          <w:rFonts w:ascii="Times New Roman" w:hAnsi="Times New Roman" w:cs="Times New Roman"/>
          <w:sz w:val="24"/>
          <w:szCs w:val="24"/>
        </w:rPr>
        <w:t>has positive effect on investors’ preference for mutual funds. In addition, m</w:t>
      </w:r>
      <w:r>
        <w:rPr>
          <w:rFonts w:ascii="Times New Roman" w:hAnsi="Times New Roman" w:cs="Times New Roman"/>
          <w:sz w:val="24"/>
          <w:szCs w:val="24"/>
        </w:rPr>
        <w:t>utual funds managed by large fund famil</w:t>
      </w:r>
      <w:r w:rsidR="00CA06AB">
        <w:rPr>
          <w:rFonts w:ascii="Times New Roman" w:hAnsi="Times New Roman" w:cs="Times New Roman"/>
          <w:sz w:val="24"/>
          <w:szCs w:val="24"/>
        </w:rPr>
        <w:t>ies</w:t>
      </w:r>
      <w:r>
        <w:rPr>
          <w:rFonts w:ascii="Times New Roman" w:hAnsi="Times New Roman" w:cs="Times New Roman"/>
          <w:sz w:val="24"/>
          <w:szCs w:val="24"/>
        </w:rPr>
        <w:t xml:space="preserve"> are less attractive than those managed by small fund famil</w:t>
      </w:r>
      <w:r w:rsidR="00986DCA">
        <w:rPr>
          <w:rFonts w:ascii="Times New Roman" w:hAnsi="Times New Roman" w:cs="Times New Roman"/>
          <w:sz w:val="24"/>
          <w:szCs w:val="24"/>
        </w:rPr>
        <w:t>ies, while managed by m</w:t>
      </w:r>
      <w:r>
        <w:rPr>
          <w:rFonts w:ascii="Times New Roman" w:hAnsi="Times New Roman" w:cs="Times New Roman"/>
          <w:sz w:val="24"/>
          <w:szCs w:val="24"/>
        </w:rPr>
        <w:t>iddle</w:t>
      </w:r>
      <w:r w:rsidR="00986DCA">
        <w:rPr>
          <w:rFonts w:ascii="Times New Roman" w:hAnsi="Times New Roman" w:cs="Times New Roman"/>
          <w:sz w:val="24"/>
          <w:szCs w:val="24"/>
        </w:rPr>
        <w:t>-sized</w:t>
      </w:r>
      <w:r>
        <w:rPr>
          <w:rFonts w:ascii="Times New Roman" w:hAnsi="Times New Roman" w:cs="Times New Roman"/>
          <w:sz w:val="24"/>
          <w:szCs w:val="24"/>
        </w:rPr>
        <w:t xml:space="preserve"> famil</w:t>
      </w:r>
      <w:r w:rsidR="00986DCA">
        <w:rPr>
          <w:rFonts w:ascii="Times New Roman" w:hAnsi="Times New Roman" w:cs="Times New Roman"/>
          <w:sz w:val="24"/>
          <w:szCs w:val="24"/>
        </w:rPr>
        <w:t>ies</w:t>
      </w:r>
      <w:r>
        <w:rPr>
          <w:rFonts w:ascii="Times New Roman" w:hAnsi="Times New Roman" w:cs="Times New Roman"/>
          <w:sz w:val="24"/>
          <w:szCs w:val="24"/>
        </w:rPr>
        <w:t xml:space="preserve"> makes fund</w:t>
      </w:r>
      <w:r w:rsidR="00986DCA">
        <w:rPr>
          <w:rFonts w:ascii="Times New Roman" w:hAnsi="Times New Roman" w:cs="Times New Roman"/>
          <w:sz w:val="24"/>
          <w:szCs w:val="24"/>
        </w:rPr>
        <w:t>s</w:t>
      </w:r>
      <w:r>
        <w:rPr>
          <w:rFonts w:ascii="Times New Roman" w:hAnsi="Times New Roman" w:cs="Times New Roman"/>
          <w:sz w:val="24"/>
          <w:szCs w:val="24"/>
        </w:rPr>
        <w:t xml:space="preserve"> more attractive. </w:t>
      </w:r>
      <w:r w:rsidR="00986DCA">
        <w:rPr>
          <w:rFonts w:ascii="Times New Roman" w:hAnsi="Times New Roman" w:cs="Times New Roman"/>
          <w:sz w:val="24"/>
          <w:szCs w:val="24"/>
        </w:rPr>
        <w:t>In terms of the size of mutual funds, I find that m</w:t>
      </w:r>
      <w:r>
        <w:rPr>
          <w:rFonts w:ascii="Times New Roman" w:hAnsi="Times New Roman" w:cs="Times New Roman"/>
          <w:sz w:val="24"/>
          <w:szCs w:val="24"/>
        </w:rPr>
        <w:t>iddle-sized funds are more attractive to individual investors</w:t>
      </w:r>
      <w:r w:rsidR="00986DCA">
        <w:rPr>
          <w:rFonts w:ascii="Times New Roman" w:hAnsi="Times New Roman" w:cs="Times New Roman"/>
          <w:sz w:val="24"/>
          <w:szCs w:val="24"/>
        </w:rPr>
        <w:t xml:space="preserve"> than small-sized funds, but large-sized funds and small-sized funds are not significantly </w:t>
      </w:r>
      <w:r w:rsidR="00986DCA">
        <w:rPr>
          <w:rFonts w:ascii="Times New Roman" w:hAnsi="Times New Roman" w:cs="Times New Roman"/>
          <w:sz w:val="24"/>
          <w:szCs w:val="24"/>
        </w:rPr>
        <w:lastRenderedPageBreak/>
        <w:t>different</w:t>
      </w:r>
      <w:r w:rsidR="00205AFC">
        <w:rPr>
          <w:rFonts w:ascii="Times New Roman" w:hAnsi="Times New Roman" w:cs="Times New Roman"/>
          <w:sz w:val="24"/>
          <w:szCs w:val="24"/>
        </w:rPr>
        <w:t xml:space="preserve"> in terms of attractiveness</w:t>
      </w:r>
      <w:r>
        <w:rPr>
          <w:rFonts w:ascii="Times New Roman" w:hAnsi="Times New Roman" w:cs="Times New Roman"/>
          <w:sz w:val="24"/>
          <w:szCs w:val="24"/>
        </w:rPr>
        <w:t xml:space="preserve">. </w:t>
      </w:r>
      <w:r w:rsidR="007111AF">
        <w:rPr>
          <w:rFonts w:ascii="Times New Roman" w:hAnsi="Times New Roman" w:cs="Times New Roman"/>
          <w:sz w:val="24"/>
          <w:szCs w:val="24"/>
        </w:rPr>
        <w:t>Not surprisingly, the a</w:t>
      </w:r>
      <w:r>
        <w:rPr>
          <w:rFonts w:ascii="Times New Roman" w:hAnsi="Times New Roman" w:cs="Times New Roman"/>
          <w:sz w:val="24"/>
          <w:szCs w:val="24"/>
        </w:rPr>
        <w:t xml:space="preserve">nnual management fees have negative effect on </w:t>
      </w:r>
      <w:r w:rsidR="007111AF">
        <w:rPr>
          <w:rFonts w:ascii="Times New Roman" w:hAnsi="Times New Roman" w:cs="Times New Roman"/>
          <w:sz w:val="24"/>
          <w:szCs w:val="24"/>
        </w:rPr>
        <w:t>mutual fund investors’ preference</w:t>
      </w:r>
      <w:r>
        <w:rPr>
          <w:rFonts w:ascii="Times New Roman" w:hAnsi="Times New Roman" w:cs="Times New Roman"/>
          <w:sz w:val="24"/>
          <w:szCs w:val="24"/>
        </w:rPr>
        <w:t>.</w:t>
      </w:r>
    </w:p>
    <w:p w14:paraId="608F4093" w14:textId="2146DB2C" w:rsidR="00812376" w:rsidRDefault="000879BB" w:rsidP="009F1438">
      <w:pPr>
        <w:spacing w:afterLines="50" w:after="156" w:line="480" w:lineRule="auto"/>
        <w:ind w:firstLineChars="200" w:firstLine="480"/>
        <w:rPr>
          <w:rFonts w:ascii="Times New Roman" w:hAnsi="Times New Roman" w:cs="Times New Roman"/>
          <w:sz w:val="24"/>
          <w:szCs w:val="24"/>
        </w:rPr>
      </w:pPr>
      <w:r w:rsidRPr="004A1567">
        <w:rPr>
          <w:rFonts w:ascii="Times New Roman" w:hAnsi="Times New Roman" w:cs="Times New Roman"/>
          <w:sz w:val="24"/>
          <w:szCs w:val="24"/>
        </w:rPr>
        <w:t xml:space="preserve">Table 5 reports the estimated WTP of </w:t>
      </w:r>
      <w:r w:rsidR="008E1649">
        <w:rPr>
          <w:rFonts w:ascii="Times New Roman" w:hAnsi="Times New Roman" w:cs="Times New Roman"/>
          <w:sz w:val="24"/>
          <w:szCs w:val="24"/>
        </w:rPr>
        <w:t xml:space="preserve">all </w:t>
      </w:r>
      <w:r w:rsidR="009F1438">
        <w:rPr>
          <w:rFonts w:ascii="Times New Roman" w:hAnsi="Times New Roman" w:cs="Times New Roman"/>
          <w:sz w:val="24"/>
          <w:szCs w:val="24"/>
        </w:rPr>
        <w:t xml:space="preserve">the independent variables. The estimated WTP of </w:t>
      </w:r>
      <w:r w:rsidRPr="004A1567">
        <w:rPr>
          <w:rFonts w:ascii="Times New Roman" w:hAnsi="Times New Roman" w:cs="Times New Roman"/>
          <w:sz w:val="24"/>
          <w:szCs w:val="24"/>
        </w:rPr>
        <w:t xml:space="preserve">signing UNPRI </w:t>
      </w:r>
      <w:r w:rsidR="009F1438">
        <w:rPr>
          <w:rFonts w:ascii="Times New Roman" w:hAnsi="Times New Roman" w:cs="Times New Roman"/>
          <w:sz w:val="24"/>
          <w:szCs w:val="24"/>
        </w:rPr>
        <w:t xml:space="preserve">is 4.06% with respect to the annual management fee, </w:t>
      </w:r>
      <w:r w:rsidR="00A31980">
        <w:rPr>
          <w:rFonts w:ascii="Times New Roman" w:hAnsi="Times New Roman" w:cs="Times New Roman"/>
          <w:sz w:val="24"/>
          <w:szCs w:val="24"/>
        </w:rPr>
        <w:t>implying</w:t>
      </w:r>
      <w:r w:rsidR="009F1438">
        <w:rPr>
          <w:rFonts w:ascii="Times New Roman" w:hAnsi="Times New Roman" w:cs="Times New Roman"/>
          <w:sz w:val="24"/>
          <w:szCs w:val="24"/>
        </w:rPr>
        <w:t xml:space="preserve"> that individual </w:t>
      </w:r>
      <w:r w:rsidR="00F26DF1">
        <w:rPr>
          <w:rFonts w:ascii="Times New Roman" w:hAnsi="Times New Roman" w:cs="Times New Roman"/>
          <w:sz w:val="24"/>
          <w:szCs w:val="24"/>
        </w:rPr>
        <w:t xml:space="preserve">mutual fund </w:t>
      </w:r>
      <w:r w:rsidR="009F1438">
        <w:rPr>
          <w:rFonts w:ascii="Times New Roman" w:hAnsi="Times New Roman" w:cs="Times New Roman"/>
          <w:sz w:val="24"/>
          <w:szCs w:val="24"/>
        </w:rPr>
        <w:t>investors are willing to pay 4.06 percentage points more annual management fees for responsible invest</w:t>
      </w:r>
      <w:r w:rsidR="00F03A65">
        <w:rPr>
          <w:rFonts w:ascii="Times New Roman" w:hAnsi="Times New Roman" w:cs="Times New Roman"/>
          <w:sz w:val="24"/>
          <w:szCs w:val="24"/>
        </w:rPr>
        <w:t>ment</w:t>
      </w:r>
      <w:r w:rsidR="009F1438">
        <w:rPr>
          <w:rFonts w:ascii="Times New Roman" w:hAnsi="Times New Roman" w:cs="Times New Roman"/>
          <w:sz w:val="24"/>
          <w:szCs w:val="24"/>
        </w:rPr>
        <w:t xml:space="preserve">. </w:t>
      </w:r>
      <w:r w:rsidR="00A4317F">
        <w:rPr>
          <w:rFonts w:ascii="Times New Roman" w:hAnsi="Times New Roman" w:cs="Times New Roman"/>
          <w:sz w:val="24"/>
          <w:szCs w:val="24"/>
        </w:rPr>
        <w:t xml:space="preserve">Given that the annual management fees of </w:t>
      </w:r>
      <w:r w:rsidR="00090F3C">
        <w:rPr>
          <w:rFonts w:ascii="Times New Roman" w:hAnsi="Times New Roman" w:cs="Times New Roman"/>
          <w:sz w:val="24"/>
          <w:szCs w:val="24"/>
        </w:rPr>
        <w:t xml:space="preserve">public </w:t>
      </w:r>
      <w:r w:rsidR="006B265A">
        <w:rPr>
          <w:rFonts w:ascii="Times New Roman" w:hAnsi="Times New Roman" w:cs="Times New Roman"/>
          <w:sz w:val="24"/>
          <w:szCs w:val="24"/>
        </w:rPr>
        <w:t xml:space="preserve">open-end </w:t>
      </w:r>
      <w:r w:rsidR="00A4317F">
        <w:rPr>
          <w:rFonts w:ascii="Times New Roman" w:hAnsi="Times New Roman" w:cs="Times New Roman"/>
          <w:sz w:val="24"/>
          <w:szCs w:val="24"/>
        </w:rPr>
        <w:t xml:space="preserve">actively managed equity mutual funds in China is </w:t>
      </w:r>
      <w:r w:rsidR="00E55249">
        <w:rPr>
          <w:rFonts w:ascii="Times New Roman" w:hAnsi="Times New Roman" w:cs="Times New Roman"/>
          <w:sz w:val="24"/>
          <w:szCs w:val="24"/>
        </w:rPr>
        <w:t xml:space="preserve">usually no more than </w:t>
      </w:r>
      <w:r w:rsidR="00A4317F">
        <w:rPr>
          <w:rFonts w:ascii="Times New Roman" w:hAnsi="Times New Roman" w:cs="Times New Roman"/>
          <w:sz w:val="24"/>
          <w:szCs w:val="24"/>
        </w:rPr>
        <w:t xml:space="preserve">1.5%, the estimated WTP is economically large. </w:t>
      </w:r>
      <w:r w:rsidR="001F4A7C">
        <w:rPr>
          <w:rFonts w:ascii="Times New Roman" w:hAnsi="Times New Roman" w:cs="Times New Roman"/>
          <w:sz w:val="24"/>
          <w:szCs w:val="24"/>
        </w:rPr>
        <w:t>The estimated WTP for other independent variables is consistent with the sign</w:t>
      </w:r>
      <w:r w:rsidR="00C96248">
        <w:rPr>
          <w:rFonts w:ascii="Times New Roman" w:hAnsi="Times New Roman" w:cs="Times New Roman"/>
          <w:sz w:val="24"/>
          <w:szCs w:val="24"/>
        </w:rPr>
        <w:t>s</w:t>
      </w:r>
      <w:r w:rsidR="001F4A7C">
        <w:rPr>
          <w:rFonts w:ascii="Times New Roman" w:hAnsi="Times New Roman" w:cs="Times New Roman"/>
          <w:sz w:val="24"/>
          <w:szCs w:val="24"/>
        </w:rPr>
        <w:t xml:space="preserve"> and the magnitude</w:t>
      </w:r>
      <w:r w:rsidR="00C96248">
        <w:rPr>
          <w:rFonts w:ascii="Times New Roman" w:hAnsi="Times New Roman" w:cs="Times New Roman"/>
          <w:sz w:val="24"/>
          <w:szCs w:val="24"/>
        </w:rPr>
        <w:t>s</w:t>
      </w:r>
      <w:r w:rsidR="001F4A7C">
        <w:rPr>
          <w:rFonts w:ascii="Times New Roman" w:hAnsi="Times New Roman" w:cs="Times New Roman"/>
          <w:sz w:val="24"/>
          <w:szCs w:val="24"/>
        </w:rPr>
        <w:t xml:space="preserve"> of the coefficients in Table 4.</w:t>
      </w:r>
    </w:p>
    <w:p w14:paraId="45BAC377" w14:textId="2171CD1C" w:rsidR="009D2559" w:rsidRPr="009D2559" w:rsidRDefault="009D2559" w:rsidP="009F1438">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 also investigate the heterogenous effect of signing the UNPRI across different types of individual mutual fund investors. The results are presented in Table 6. </w:t>
      </w:r>
      <w:proofErr w:type="spellStart"/>
      <w:r w:rsidRPr="009D2559">
        <w:rPr>
          <w:rFonts w:ascii="Times New Roman" w:hAnsi="Times New Roman" w:cs="Times New Roman"/>
          <w:i/>
          <w:iCs/>
          <w:sz w:val="24"/>
          <w:szCs w:val="24"/>
        </w:rPr>
        <w:t>HighIncome</w:t>
      </w:r>
      <w:proofErr w:type="spellEnd"/>
      <w:r>
        <w:rPr>
          <w:rFonts w:ascii="Times New Roman" w:hAnsi="Times New Roman" w:cs="Times New Roman"/>
          <w:sz w:val="24"/>
          <w:szCs w:val="24"/>
        </w:rPr>
        <w:t xml:space="preserve"> is an indicator variable for participants whose families have annual income over CNY 10,000</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HighRisk</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is a dummy for participants with medium or high risk</w:t>
      </w:r>
      <w:r w:rsidR="009459B6">
        <w:rPr>
          <w:rFonts w:ascii="Times New Roman" w:hAnsi="Times New Roman" w:cs="Times New Roman"/>
          <w:sz w:val="24"/>
          <w:szCs w:val="24"/>
        </w:rPr>
        <w:t>-taking</w:t>
      </w:r>
      <w:r>
        <w:rPr>
          <w:rFonts w:ascii="Times New Roman" w:hAnsi="Times New Roman" w:cs="Times New Roman"/>
          <w:sz w:val="24"/>
          <w:szCs w:val="24"/>
        </w:rPr>
        <w:t>.</w:t>
      </w:r>
      <w:r w:rsidR="009459B6">
        <w:rPr>
          <w:rFonts w:ascii="Times New Roman" w:hAnsi="Times New Roman" w:cs="Times New Roman"/>
          <w:sz w:val="24"/>
          <w:szCs w:val="24"/>
        </w:rPr>
        <w:t xml:space="preserve"> </w:t>
      </w:r>
      <w:r w:rsidR="00D8094A">
        <w:rPr>
          <w:rFonts w:ascii="Times New Roman" w:hAnsi="Times New Roman" w:cs="Times New Roman"/>
          <w:sz w:val="24"/>
          <w:szCs w:val="24"/>
        </w:rPr>
        <w:t>I find no significant evidence that the marginal effect of signing the UNPRI on investors’ utility is related to gender, income, risk attitude, and mutual fund investment experience. However, the marginal effect of signing the UNPRI is significantly larger among older investors.</w:t>
      </w:r>
    </w:p>
    <w:p w14:paraId="51DAE8C2" w14:textId="37A78830" w:rsidR="00D8094A" w:rsidRPr="004A1567" w:rsidRDefault="00D8094A" w:rsidP="00D8094A">
      <w:pPr>
        <w:spacing w:afterLines="50" w:after="156" w:line="480" w:lineRule="auto"/>
        <w:rPr>
          <w:rFonts w:ascii="Times New Roman" w:hAnsi="Times New Roman" w:cs="Times New Roman"/>
          <w:b/>
          <w:bCs/>
          <w:sz w:val="24"/>
          <w:szCs w:val="24"/>
        </w:rPr>
      </w:pPr>
      <w:r>
        <w:rPr>
          <w:rFonts w:ascii="Times New Roman" w:hAnsi="Times New Roman" w:cs="Times New Roman"/>
          <w:b/>
          <w:bCs/>
          <w:sz w:val="24"/>
          <w:szCs w:val="24"/>
        </w:rPr>
        <w:t>V</w:t>
      </w:r>
      <w:r w:rsidRPr="004A1567">
        <w:rPr>
          <w:rFonts w:ascii="Times New Roman" w:hAnsi="Times New Roman" w:cs="Times New Roman"/>
          <w:b/>
          <w:bCs/>
          <w:sz w:val="24"/>
          <w:szCs w:val="24"/>
        </w:rPr>
        <w:t xml:space="preserve">. </w:t>
      </w:r>
      <w:r>
        <w:rPr>
          <w:rFonts w:ascii="Times New Roman" w:hAnsi="Times New Roman" w:cs="Times New Roman" w:hint="eastAsia"/>
          <w:b/>
          <w:bCs/>
          <w:sz w:val="24"/>
          <w:szCs w:val="24"/>
        </w:rPr>
        <w:t>Con</w:t>
      </w:r>
      <w:r>
        <w:rPr>
          <w:rFonts w:ascii="Times New Roman" w:hAnsi="Times New Roman" w:cs="Times New Roman"/>
          <w:b/>
          <w:bCs/>
          <w:sz w:val="24"/>
          <w:szCs w:val="24"/>
        </w:rPr>
        <w:t>clusion</w:t>
      </w:r>
    </w:p>
    <w:p w14:paraId="5D3BD089" w14:textId="0CAFFFE2" w:rsidR="009D2559" w:rsidRDefault="00FD7BBC" w:rsidP="009F1438">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Using stated choice experiments, </w:t>
      </w:r>
      <w:r w:rsidR="00FD7977">
        <w:rPr>
          <w:rFonts w:ascii="Times New Roman" w:hAnsi="Times New Roman" w:cs="Times New Roman"/>
          <w:sz w:val="24"/>
          <w:szCs w:val="24"/>
        </w:rPr>
        <w:t xml:space="preserve">I test the causal effect of </w:t>
      </w:r>
      <w:r w:rsidR="007D76A2">
        <w:rPr>
          <w:rFonts w:ascii="Times New Roman" w:hAnsi="Times New Roman" w:cs="Times New Roman"/>
          <w:sz w:val="24"/>
          <w:szCs w:val="24"/>
        </w:rPr>
        <w:t xml:space="preserve">funds’ commitment to the responsible investing principles by signing the UNPRI on the attractiveness to </w:t>
      </w:r>
      <w:r w:rsidR="007D76A2">
        <w:rPr>
          <w:rFonts w:ascii="Times New Roman" w:hAnsi="Times New Roman" w:cs="Times New Roman"/>
          <w:sz w:val="24"/>
          <w:szCs w:val="24"/>
        </w:rPr>
        <w:lastRenderedPageBreak/>
        <w:t>individual mutual fund investors.</w:t>
      </w:r>
      <w:r>
        <w:rPr>
          <w:rFonts w:ascii="Times New Roman" w:hAnsi="Times New Roman" w:cs="Times New Roman"/>
          <w:sz w:val="24"/>
          <w:szCs w:val="24"/>
        </w:rPr>
        <w:t xml:space="preserve"> </w:t>
      </w:r>
      <w:r w:rsidR="001A6B18">
        <w:rPr>
          <w:rFonts w:ascii="Times New Roman" w:hAnsi="Times New Roman" w:cs="Times New Roman"/>
          <w:sz w:val="24"/>
          <w:szCs w:val="24"/>
        </w:rPr>
        <w:t>I employ the mixed logit regression model to analyze the experiment data and have several findings. First,</w:t>
      </w:r>
      <w:r>
        <w:rPr>
          <w:rFonts w:ascii="Times New Roman" w:hAnsi="Times New Roman" w:cs="Times New Roman"/>
          <w:sz w:val="24"/>
          <w:szCs w:val="24"/>
        </w:rPr>
        <w:t xml:space="preserve"> individual mutual fund investors have preference for mutual funds having signed the UNPRI</w:t>
      </w:r>
      <w:r w:rsidR="001A6B18">
        <w:rPr>
          <w:rFonts w:ascii="Times New Roman" w:hAnsi="Times New Roman" w:cs="Times New Roman"/>
          <w:sz w:val="24"/>
          <w:szCs w:val="24"/>
        </w:rPr>
        <w:t>. In other words, the commitment to the responsible investing can attract investors.</w:t>
      </w:r>
      <w:r>
        <w:rPr>
          <w:rFonts w:ascii="Times New Roman" w:hAnsi="Times New Roman" w:cs="Times New Roman"/>
          <w:sz w:val="24"/>
          <w:szCs w:val="24"/>
        </w:rPr>
        <w:t xml:space="preserve"> The estimated WTP is approximate</w:t>
      </w:r>
      <w:r w:rsidR="0069224F">
        <w:rPr>
          <w:rFonts w:ascii="Times New Roman" w:hAnsi="Times New Roman" w:cs="Times New Roman"/>
          <w:sz w:val="24"/>
          <w:szCs w:val="24"/>
        </w:rPr>
        <w:t>ly</w:t>
      </w:r>
      <w:r>
        <w:rPr>
          <w:rFonts w:ascii="Times New Roman" w:hAnsi="Times New Roman" w:cs="Times New Roman"/>
          <w:sz w:val="24"/>
          <w:szCs w:val="24"/>
        </w:rPr>
        <w:t xml:space="preserve"> 4% in terms of the annual management fees, which is both statistically and economically significant.</w:t>
      </w:r>
      <w:r w:rsidR="00AC7247">
        <w:rPr>
          <w:rFonts w:ascii="Times New Roman" w:hAnsi="Times New Roman" w:cs="Times New Roman"/>
          <w:sz w:val="24"/>
          <w:szCs w:val="24"/>
        </w:rPr>
        <w:t xml:space="preserve"> </w:t>
      </w:r>
      <w:r w:rsidR="001A6B18">
        <w:rPr>
          <w:rFonts w:ascii="Times New Roman" w:hAnsi="Times New Roman" w:cs="Times New Roman"/>
          <w:sz w:val="24"/>
          <w:szCs w:val="24"/>
        </w:rPr>
        <w:t>Second,</w:t>
      </w:r>
      <w:r w:rsidR="00AC7247">
        <w:rPr>
          <w:rFonts w:ascii="Times New Roman" w:hAnsi="Times New Roman" w:cs="Times New Roman"/>
          <w:sz w:val="24"/>
          <w:szCs w:val="24"/>
        </w:rPr>
        <w:t xml:space="preserve"> the </w:t>
      </w:r>
      <w:r w:rsidR="001A6B18">
        <w:rPr>
          <w:rFonts w:ascii="Times New Roman" w:hAnsi="Times New Roman" w:cs="Times New Roman"/>
          <w:sz w:val="24"/>
          <w:szCs w:val="24"/>
        </w:rPr>
        <w:t xml:space="preserve">marginal effect of signing the </w:t>
      </w:r>
      <w:r w:rsidR="00AC7247">
        <w:rPr>
          <w:rFonts w:ascii="Times New Roman" w:hAnsi="Times New Roman" w:cs="Times New Roman"/>
          <w:sz w:val="24"/>
          <w:szCs w:val="24"/>
        </w:rPr>
        <w:t xml:space="preserve">UNPRI </w:t>
      </w:r>
      <w:r w:rsidR="001A6B18">
        <w:rPr>
          <w:rFonts w:ascii="Times New Roman" w:hAnsi="Times New Roman" w:cs="Times New Roman"/>
          <w:sz w:val="24"/>
          <w:szCs w:val="24"/>
        </w:rPr>
        <w:t>is</w:t>
      </w:r>
      <w:r w:rsidR="00AC7247">
        <w:rPr>
          <w:rFonts w:ascii="Times New Roman" w:hAnsi="Times New Roman" w:cs="Times New Roman"/>
          <w:sz w:val="24"/>
          <w:szCs w:val="24"/>
        </w:rPr>
        <w:t xml:space="preserve"> larger among the older investors than the younger.</w:t>
      </w:r>
    </w:p>
    <w:p w14:paraId="428EF803" w14:textId="5688ABAB" w:rsidR="00D8094A" w:rsidRDefault="001A6B18" w:rsidP="008778D5">
      <w:pPr>
        <w:spacing w:afterLines="50" w:after="156" w:line="48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 xml:space="preserve">his paper </w:t>
      </w:r>
      <w:r w:rsidR="00A45F02">
        <w:rPr>
          <w:rFonts w:ascii="Times New Roman" w:hAnsi="Times New Roman" w:cs="Times New Roman"/>
          <w:sz w:val="24"/>
          <w:szCs w:val="24"/>
        </w:rPr>
        <w:t>might have implications for</w:t>
      </w:r>
      <w:r w:rsidR="008778D5">
        <w:rPr>
          <w:rFonts w:ascii="Times New Roman" w:hAnsi="Times New Roman" w:cs="Times New Roman"/>
          <w:sz w:val="24"/>
          <w:szCs w:val="24"/>
        </w:rPr>
        <w:t xml:space="preserve"> policy makers</w:t>
      </w:r>
      <w:r w:rsidR="00A45F02">
        <w:rPr>
          <w:rFonts w:ascii="Times New Roman" w:hAnsi="Times New Roman" w:cs="Times New Roman"/>
          <w:sz w:val="24"/>
          <w:szCs w:val="24"/>
        </w:rPr>
        <w:t xml:space="preserve">. </w:t>
      </w:r>
      <w:r w:rsidR="001733B1">
        <w:rPr>
          <w:rFonts w:ascii="Times New Roman" w:hAnsi="Times New Roman" w:cs="Times New Roman"/>
          <w:sz w:val="24"/>
          <w:szCs w:val="24"/>
        </w:rPr>
        <w:t>I</w:t>
      </w:r>
      <w:r w:rsidR="000F2960">
        <w:rPr>
          <w:rFonts w:ascii="Times New Roman" w:hAnsi="Times New Roman" w:cs="Times New Roman"/>
          <w:sz w:val="24"/>
          <w:szCs w:val="24"/>
        </w:rPr>
        <w:t xml:space="preserve">t is possible </w:t>
      </w:r>
      <w:r w:rsidR="00A45F02">
        <w:rPr>
          <w:rFonts w:ascii="Times New Roman" w:hAnsi="Times New Roman" w:cs="Times New Roman"/>
          <w:sz w:val="24"/>
          <w:szCs w:val="24"/>
        </w:rPr>
        <w:t>that</w:t>
      </w:r>
      <w:r w:rsidR="000F2960">
        <w:rPr>
          <w:rFonts w:ascii="Times New Roman" w:hAnsi="Times New Roman" w:cs="Times New Roman"/>
          <w:sz w:val="24"/>
          <w:szCs w:val="24"/>
        </w:rPr>
        <w:t xml:space="preserve"> commit</w:t>
      </w:r>
      <w:r w:rsidR="00307CF0">
        <w:rPr>
          <w:rFonts w:ascii="Times New Roman" w:hAnsi="Times New Roman" w:cs="Times New Roman"/>
          <w:sz w:val="24"/>
          <w:szCs w:val="24"/>
        </w:rPr>
        <w:t>ting</w:t>
      </w:r>
      <w:r w:rsidR="000F2960">
        <w:rPr>
          <w:rFonts w:ascii="Times New Roman" w:hAnsi="Times New Roman" w:cs="Times New Roman"/>
          <w:sz w:val="24"/>
          <w:szCs w:val="24"/>
        </w:rPr>
        <w:t xml:space="preserve"> to the </w:t>
      </w:r>
      <w:r w:rsidR="008778D5">
        <w:rPr>
          <w:rFonts w:ascii="Times New Roman" w:hAnsi="Times New Roman" w:cs="Times New Roman"/>
          <w:sz w:val="24"/>
          <w:szCs w:val="24"/>
        </w:rPr>
        <w:t>ESG</w:t>
      </w:r>
      <w:r w:rsidR="000F2960">
        <w:rPr>
          <w:rFonts w:ascii="Times New Roman" w:hAnsi="Times New Roman" w:cs="Times New Roman"/>
          <w:sz w:val="24"/>
          <w:szCs w:val="24"/>
        </w:rPr>
        <w:t xml:space="preserve"> investing is just cheap talk, </w:t>
      </w:r>
      <w:r w:rsidR="001733B1">
        <w:rPr>
          <w:rFonts w:ascii="Times New Roman" w:hAnsi="Times New Roman" w:cs="Times New Roman"/>
          <w:sz w:val="24"/>
          <w:szCs w:val="24"/>
        </w:rPr>
        <w:t>g</w:t>
      </w:r>
      <w:r w:rsidR="00727F02">
        <w:rPr>
          <w:rFonts w:ascii="Times New Roman" w:hAnsi="Times New Roman" w:cs="Times New Roman"/>
          <w:sz w:val="24"/>
          <w:szCs w:val="24"/>
        </w:rPr>
        <w:t xml:space="preserve">iven the findings that </w:t>
      </w:r>
      <w:r w:rsidR="00307CF0">
        <w:rPr>
          <w:rFonts w:ascii="Times New Roman" w:hAnsi="Times New Roman" w:cs="Times New Roman"/>
          <w:sz w:val="24"/>
          <w:szCs w:val="24"/>
        </w:rPr>
        <w:t xml:space="preserve">this commitment </w:t>
      </w:r>
      <w:r w:rsidR="00727F02">
        <w:rPr>
          <w:rFonts w:ascii="Times New Roman" w:hAnsi="Times New Roman" w:cs="Times New Roman"/>
          <w:sz w:val="24"/>
          <w:szCs w:val="24"/>
        </w:rPr>
        <w:t xml:space="preserve">is not related to more high-ESG stock holding </w:t>
      </w:r>
      <w:r w:rsidR="00307CF0">
        <w:rPr>
          <w:rFonts w:ascii="Times New Roman" w:hAnsi="Times New Roman" w:cs="Times New Roman"/>
          <w:sz w:val="24"/>
          <w:szCs w:val="24"/>
        </w:rPr>
        <w:t>nor</w:t>
      </w:r>
      <w:r w:rsidR="00727F02">
        <w:rPr>
          <w:rFonts w:ascii="Times New Roman" w:hAnsi="Times New Roman" w:cs="Times New Roman"/>
          <w:sz w:val="24"/>
          <w:szCs w:val="24"/>
        </w:rPr>
        <w:t xml:space="preserve"> more ESG incorporation to portfolio companies</w:t>
      </w:r>
      <w:r w:rsidR="001733B1">
        <w:rPr>
          <w:rFonts w:ascii="Times New Roman" w:hAnsi="Times New Roman" w:cs="Times New Roman"/>
          <w:sz w:val="24"/>
          <w:szCs w:val="24"/>
        </w:rPr>
        <w:t xml:space="preserve"> (</w:t>
      </w:r>
      <w:r w:rsidR="001733B1" w:rsidRPr="001733B1">
        <w:rPr>
          <w:rFonts w:ascii="Times New Roman" w:hAnsi="Times New Roman" w:cs="Times New Roman"/>
          <w:sz w:val="24"/>
          <w:szCs w:val="24"/>
        </w:rPr>
        <w:t>Kim and Yoon, 2023</w:t>
      </w:r>
      <w:r w:rsidR="001733B1">
        <w:rPr>
          <w:rFonts w:ascii="Times New Roman" w:hAnsi="Times New Roman" w:cs="Times New Roman"/>
          <w:sz w:val="24"/>
          <w:szCs w:val="24"/>
        </w:rPr>
        <w:t>).</w:t>
      </w:r>
      <w:r w:rsidR="00727F02">
        <w:rPr>
          <w:rFonts w:ascii="Times New Roman" w:hAnsi="Times New Roman" w:cs="Times New Roman"/>
          <w:sz w:val="24"/>
          <w:szCs w:val="24"/>
        </w:rPr>
        <w:t xml:space="preserve"> </w:t>
      </w:r>
      <w:r w:rsidR="00307CF0">
        <w:rPr>
          <w:rFonts w:ascii="Times New Roman" w:hAnsi="Times New Roman" w:cs="Times New Roman"/>
          <w:sz w:val="24"/>
          <w:szCs w:val="24"/>
        </w:rPr>
        <w:t>However, the</w:t>
      </w:r>
      <w:r w:rsidR="000F2960">
        <w:rPr>
          <w:rFonts w:ascii="Times New Roman" w:hAnsi="Times New Roman" w:cs="Times New Roman"/>
          <w:sz w:val="24"/>
          <w:szCs w:val="24"/>
        </w:rPr>
        <w:t xml:space="preserve"> commitment </w:t>
      </w:r>
      <w:r w:rsidR="00307CF0">
        <w:rPr>
          <w:rFonts w:ascii="Times New Roman" w:hAnsi="Times New Roman" w:cs="Times New Roman"/>
          <w:sz w:val="24"/>
          <w:szCs w:val="24"/>
        </w:rPr>
        <w:t xml:space="preserve">to ESG investing </w:t>
      </w:r>
      <w:r w:rsidR="000F2960">
        <w:rPr>
          <w:rFonts w:ascii="Times New Roman" w:hAnsi="Times New Roman" w:cs="Times New Roman"/>
          <w:sz w:val="24"/>
          <w:szCs w:val="24"/>
        </w:rPr>
        <w:t>can still attract individual mutual fund investors.</w:t>
      </w:r>
      <w:r w:rsidR="008778D5">
        <w:rPr>
          <w:rFonts w:ascii="Times New Roman" w:hAnsi="Times New Roman" w:cs="Times New Roman"/>
          <w:sz w:val="24"/>
          <w:szCs w:val="24"/>
        </w:rPr>
        <w:t xml:space="preserve"> </w:t>
      </w:r>
      <w:r w:rsidR="00307CF0">
        <w:rPr>
          <w:rFonts w:ascii="Times New Roman" w:hAnsi="Times New Roman" w:cs="Times New Roman"/>
          <w:sz w:val="24"/>
          <w:szCs w:val="24"/>
        </w:rPr>
        <w:t>Policy maker</w:t>
      </w:r>
      <w:r w:rsidR="008778D5">
        <w:rPr>
          <w:rFonts w:ascii="Times New Roman" w:hAnsi="Times New Roman" w:cs="Times New Roman"/>
          <w:sz w:val="24"/>
          <w:szCs w:val="24"/>
        </w:rPr>
        <w:t xml:space="preserve">s should make effort in </w:t>
      </w:r>
      <w:r w:rsidR="00307CF0">
        <w:rPr>
          <w:rFonts w:ascii="Times New Roman" w:hAnsi="Times New Roman" w:cs="Times New Roman"/>
          <w:sz w:val="24"/>
          <w:szCs w:val="24"/>
        </w:rPr>
        <w:t xml:space="preserve">scrutinizing institutional investors ESG activities and </w:t>
      </w:r>
      <w:r w:rsidR="008778D5">
        <w:rPr>
          <w:rFonts w:ascii="Times New Roman" w:hAnsi="Times New Roman" w:cs="Times New Roman"/>
          <w:sz w:val="24"/>
          <w:szCs w:val="24"/>
        </w:rPr>
        <w:t xml:space="preserve">educating individual investors to understand </w:t>
      </w:r>
      <w:proofErr w:type="gramStart"/>
      <w:r w:rsidR="008778D5">
        <w:rPr>
          <w:rFonts w:ascii="Times New Roman" w:hAnsi="Times New Roman" w:cs="Times New Roman"/>
          <w:sz w:val="24"/>
          <w:szCs w:val="24"/>
        </w:rPr>
        <w:t>th</w:t>
      </w:r>
      <w:r w:rsidR="00307CF0">
        <w:rPr>
          <w:rFonts w:ascii="Times New Roman" w:hAnsi="Times New Roman" w:cs="Times New Roman"/>
          <w:sz w:val="24"/>
          <w:szCs w:val="24"/>
        </w:rPr>
        <w:t>is</w:t>
      </w:r>
      <w:r w:rsidR="008778D5">
        <w:rPr>
          <w:rFonts w:ascii="Times New Roman" w:hAnsi="Times New Roman" w:cs="Times New Roman"/>
          <w:sz w:val="24"/>
          <w:szCs w:val="24"/>
        </w:rPr>
        <w:t xml:space="preserve"> commitments</w:t>
      </w:r>
      <w:proofErr w:type="gramEnd"/>
      <w:r w:rsidR="008778D5">
        <w:rPr>
          <w:rFonts w:ascii="Times New Roman" w:hAnsi="Times New Roman" w:cs="Times New Roman"/>
          <w:sz w:val="24"/>
          <w:szCs w:val="24"/>
        </w:rPr>
        <w:t>.</w:t>
      </w:r>
    </w:p>
    <w:p w14:paraId="52213D5B" w14:textId="2B69DC03" w:rsidR="009D2559" w:rsidRPr="009F1438" w:rsidRDefault="009D2559" w:rsidP="009D2559">
      <w:pPr>
        <w:spacing w:afterLines="50" w:after="156" w:line="480" w:lineRule="auto"/>
        <w:rPr>
          <w:rFonts w:ascii="Times New Roman" w:hAnsi="Times New Roman" w:cs="Times New Roman"/>
        </w:rPr>
        <w:sectPr w:rsidR="009D2559" w:rsidRPr="009F1438" w:rsidSect="008A25AB">
          <w:pgSz w:w="11906" w:h="16838"/>
          <w:pgMar w:top="1440" w:right="1800" w:bottom="1440" w:left="1800" w:header="851" w:footer="992" w:gutter="0"/>
          <w:cols w:space="425"/>
          <w:docGrid w:type="lines" w:linePitch="312"/>
        </w:sectPr>
      </w:pPr>
    </w:p>
    <w:p w14:paraId="4F2D0A8F" w14:textId="07173B7C" w:rsidR="006B4EEF" w:rsidRPr="004A1567" w:rsidRDefault="004A1567" w:rsidP="009421D1">
      <w:pPr>
        <w:spacing w:line="360" w:lineRule="auto"/>
        <w:rPr>
          <w:rFonts w:ascii="Times New Roman" w:hAnsi="Times New Roman" w:cs="Times New Roman"/>
          <w:b/>
          <w:sz w:val="24"/>
        </w:rPr>
      </w:pPr>
      <w:r w:rsidRPr="004A1567">
        <w:rPr>
          <w:rFonts w:ascii="Times New Roman" w:hAnsi="Times New Roman" w:cs="Times New Roman" w:hint="eastAsia"/>
          <w:b/>
          <w:sz w:val="24"/>
        </w:rPr>
        <w:lastRenderedPageBreak/>
        <w:t>R</w:t>
      </w:r>
      <w:r w:rsidRPr="004A1567">
        <w:rPr>
          <w:rFonts w:ascii="Times New Roman" w:hAnsi="Times New Roman" w:cs="Times New Roman"/>
          <w:b/>
          <w:sz w:val="24"/>
        </w:rPr>
        <w:t>eferences</w:t>
      </w:r>
    </w:p>
    <w:p w14:paraId="714BD4FF" w14:textId="04F2B7B4" w:rsidR="006B4EEF" w:rsidRDefault="006B4EEF" w:rsidP="00AB0BEE">
      <w:pPr>
        <w:spacing w:line="360" w:lineRule="auto"/>
        <w:ind w:left="420" w:hangingChars="200" w:hanging="420"/>
        <w:rPr>
          <w:rFonts w:ascii="Times New Roman" w:hAnsi="Times New Roman" w:cs="Times New Roman"/>
        </w:rPr>
      </w:pPr>
      <w:r>
        <w:rPr>
          <w:rFonts w:ascii="Times New Roman" w:hAnsi="Times New Roman" w:cs="Times New Roman"/>
        </w:rPr>
        <w:t xml:space="preserve">Gutsche, G., </w:t>
      </w:r>
      <w:r w:rsidRPr="006B4EEF">
        <w:rPr>
          <w:rFonts w:ascii="Times New Roman" w:hAnsi="Times New Roman" w:cs="Times New Roman"/>
        </w:rPr>
        <w:t>Ziegler, A. (2019). Which private investors are willing to pay for sustainable investments? Empirical evidence from stated choice e</w:t>
      </w:r>
      <w:r w:rsidR="00AB0BEE">
        <w:rPr>
          <w:rFonts w:ascii="Times New Roman" w:hAnsi="Times New Roman" w:cs="Times New Roman"/>
        </w:rPr>
        <w:t xml:space="preserve">xperiments. </w:t>
      </w:r>
      <w:r w:rsidR="00AB0BEE" w:rsidRPr="00AB0BEE">
        <w:rPr>
          <w:rFonts w:ascii="Times New Roman" w:hAnsi="Times New Roman" w:cs="Times New Roman"/>
          <w:i/>
        </w:rPr>
        <w:t>Journal of Banking and</w:t>
      </w:r>
      <w:r w:rsidRPr="00AB0BEE">
        <w:rPr>
          <w:rFonts w:ascii="Times New Roman" w:hAnsi="Times New Roman" w:cs="Times New Roman"/>
          <w:i/>
        </w:rPr>
        <w:t xml:space="preserve"> Finance</w:t>
      </w:r>
      <w:r w:rsidRPr="006B4EEF">
        <w:rPr>
          <w:rFonts w:ascii="Times New Roman" w:hAnsi="Times New Roman" w:cs="Times New Roman"/>
        </w:rPr>
        <w:t>, 102, 193-214.</w:t>
      </w:r>
    </w:p>
    <w:p w14:paraId="7A44D060" w14:textId="393CD9D1" w:rsidR="00AB0BEE" w:rsidRDefault="00AB0BEE" w:rsidP="00AB0BEE">
      <w:pPr>
        <w:spacing w:line="360" w:lineRule="auto"/>
        <w:ind w:left="420" w:hangingChars="200" w:hanging="420"/>
        <w:rPr>
          <w:rFonts w:ascii="Times New Roman" w:hAnsi="Times New Roman" w:cs="Times New Roman"/>
        </w:rPr>
      </w:pPr>
      <w:r w:rsidRPr="00AB0BEE">
        <w:rPr>
          <w:rFonts w:ascii="Times New Roman" w:hAnsi="Times New Roman" w:cs="Times New Roman"/>
        </w:rPr>
        <w:t>Gutsche, G., Wetzel,</w:t>
      </w:r>
      <w:r>
        <w:rPr>
          <w:rFonts w:ascii="Times New Roman" w:hAnsi="Times New Roman" w:cs="Times New Roman"/>
        </w:rPr>
        <w:t xml:space="preserve"> H., </w:t>
      </w:r>
      <w:r w:rsidRPr="00AB0BEE">
        <w:rPr>
          <w:rFonts w:ascii="Times New Roman" w:hAnsi="Times New Roman" w:cs="Times New Roman"/>
        </w:rPr>
        <w:t>Ziegler, A. (2023). Determinants of individual sustainable investment behavior-A framed field experiment</w:t>
      </w:r>
      <w:r w:rsidR="008778B0">
        <w:rPr>
          <w:rFonts w:ascii="Times New Roman" w:hAnsi="Times New Roman" w:cs="Times New Roman"/>
        </w:rPr>
        <w:t xml:space="preserve">. </w:t>
      </w:r>
      <w:r w:rsidR="008778B0" w:rsidRPr="00612B2F">
        <w:rPr>
          <w:rFonts w:ascii="Times New Roman" w:hAnsi="Times New Roman" w:cs="Times New Roman"/>
          <w:i/>
        </w:rPr>
        <w:t>Journal of Economic Behavior and</w:t>
      </w:r>
      <w:r w:rsidRPr="00612B2F">
        <w:rPr>
          <w:rFonts w:ascii="Times New Roman" w:hAnsi="Times New Roman" w:cs="Times New Roman"/>
          <w:i/>
        </w:rPr>
        <w:t xml:space="preserve"> Organization</w:t>
      </w:r>
      <w:r w:rsidRPr="00AB0BEE">
        <w:rPr>
          <w:rFonts w:ascii="Times New Roman" w:hAnsi="Times New Roman" w:cs="Times New Roman"/>
        </w:rPr>
        <w:t>, 209, 491-508.</w:t>
      </w:r>
    </w:p>
    <w:p w14:paraId="02805294" w14:textId="77777777" w:rsidR="006E79AB" w:rsidRDefault="006E79AB" w:rsidP="006E79AB">
      <w:pPr>
        <w:spacing w:line="360" w:lineRule="auto"/>
        <w:ind w:left="420" w:hangingChars="200" w:hanging="420"/>
        <w:rPr>
          <w:rFonts w:ascii="Times New Roman" w:hAnsi="Times New Roman" w:cs="Times New Roman"/>
        </w:rPr>
      </w:pPr>
      <w:proofErr w:type="spellStart"/>
      <w:r>
        <w:rPr>
          <w:rFonts w:ascii="Times New Roman" w:hAnsi="Times New Roman" w:cs="Times New Roman"/>
        </w:rPr>
        <w:t>Harasheh</w:t>
      </w:r>
      <w:proofErr w:type="spellEnd"/>
      <w:r>
        <w:rPr>
          <w:rFonts w:ascii="Times New Roman" w:hAnsi="Times New Roman" w:cs="Times New Roman"/>
        </w:rPr>
        <w:t xml:space="preserve">, M., </w:t>
      </w:r>
      <w:proofErr w:type="spellStart"/>
      <w:r>
        <w:rPr>
          <w:rFonts w:ascii="Times New Roman" w:hAnsi="Times New Roman" w:cs="Times New Roman"/>
        </w:rPr>
        <w:t>Bouteska</w:t>
      </w:r>
      <w:proofErr w:type="spellEnd"/>
      <w:r>
        <w:rPr>
          <w:rFonts w:ascii="Times New Roman" w:hAnsi="Times New Roman" w:cs="Times New Roman"/>
        </w:rPr>
        <w:t xml:space="preserve">, A., </w:t>
      </w:r>
      <w:r w:rsidRPr="006E79AB">
        <w:rPr>
          <w:rFonts w:ascii="Times New Roman" w:hAnsi="Times New Roman" w:cs="Times New Roman"/>
        </w:rPr>
        <w:t>Manita, R. (2024). Investors' preferences for sustainable investments: Evidence from the US using an experimental approach.</w:t>
      </w:r>
      <w:r>
        <w:rPr>
          <w:rFonts w:ascii="Times New Roman" w:hAnsi="Times New Roman" w:cs="Times New Roman"/>
        </w:rPr>
        <w:t xml:space="preserve"> </w:t>
      </w:r>
      <w:r w:rsidRPr="006E79AB">
        <w:rPr>
          <w:rFonts w:ascii="Times New Roman" w:hAnsi="Times New Roman" w:cs="Times New Roman"/>
          <w:i/>
        </w:rPr>
        <w:t>Economics Letters</w:t>
      </w:r>
      <w:r w:rsidRPr="006E79AB">
        <w:rPr>
          <w:rFonts w:ascii="Times New Roman" w:hAnsi="Times New Roman" w:cs="Times New Roman"/>
        </w:rPr>
        <w:t>,</w:t>
      </w:r>
      <w:r>
        <w:rPr>
          <w:rFonts w:ascii="Times New Roman" w:hAnsi="Times New Roman" w:cs="Times New Roman"/>
        </w:rPr>
        <w:t xml:space="preserve"> </w:t>
      </w:r>
      <w:r w:rsidRPr="006E79AB">
        <w:rPr>
          <w:rFonts w:ascii="Times New Roman" w:hAnsi="Times New Roman" w:cs="Times New Roman"/>
        </w:rPr>
        <w:t>234, 111428.</w:t>
      </w:r>
    </w:p>
    <w:p w14:paraId="3047BAD6" w14:textId="35E7D223" w:rsidR="00C454CA" w:rsidRDefault="00040CD3" w:rsidP="00C454CA">
      <w:pPr>
        <w:spacing w:line="360" w:lineRule="auto"/>
        <w:ind w:left="420" w:hangingChars="200" w:hanging="420"/>
        <w:rPr>
          <w:rFonts w:ascii="Times New Roman" w:hAnsi="Times New Roman" w:cs="Times New Roman"/>
        </w:rPr>
      </w:pPr>
      <w:proofErr w:type="spellStart"/>
      <w:r>
        <w:rPr>
          <w:rFonts w:ascii="Times New Roman" w:hAnsi="Times New Roman" w:cs="Times New Roman"/>
        </w:rPr>
        <w:t>Hartzmark</w:t>
      </w:r>
      <w:proofErr w:type="spellEnd"/>
      <w:r>
        <w:rPr>
          <w:rFonts w:ascii="Times New Roman" w:hAnsi="Times New Roman" w:cs="Times New Roman"/>
        </w:rPr>
        <w:t xml:space="preserve">, S. M., </w:t>
      </w:r>
      <w:r w:rsidR="00C454CA" w:rsidRPr="00402D13">
        <w:rPr>
          <w:rFonts w:ascii="Times New Roman" w:hAnsi="Times New Roman" w:cs="Times New Roman"/>
        </w:rPr>
        <w:t>Sussman, A. B. (2019). Do investors value sustainability? A natural experiment examin</w:t>
      </w:r>
      <w:r w:rsidR="00C454CA">
        <w:rPr>
          <w:rFonts w:ascii="Times New Roman" w:hAnsi="Times New Roman" w:cs="Times New Roman"/>
        </w:rPr>
        <w:t xml:space="preserve">ing ranking and fund flows. </w:t>
      </w:r>
      <w:r w:rsidR="00C454CA" w:rsidRPr="00402D13">
        <w:rPr>
          <w:rFonts w:ascii="Times New Roman" w:hAnsi="Times New Roman" w:cs="Times New Roman"/>
          <w:i/>
        </w:rPr>
        <w:t>Journal of Finance</w:t>
      </w:r>
      <w:r w:rsidR="00C454CA" w:rsidRPr="00402D13">
        <w:rPr>
          <w:rFonts w:ascii="Times New Roman" w:hAnsi="Times New Roman" w:cs="Times New Roman"/>
        </w:rPr>
        <w:t>, 74(6), 2789-2837.</w:t>
      </w:r>
    </w:p>
    <w:p w14:paraId="490C7559" w14:textId="3D34F9C6" w:rsidR="006B4EEF" w:rsidRDefault="006B4EEF" w:rsidP="00AB0BEE">
      <w:pPr>
        <w:spacing w:line="360" w:lineRule="auto"/>
        <w:ind w:left="420" w:hangingChars="200" w:hanging="420"/>
        <w:rPr>
          <w:rFonts w:ascii="Times New Roman" w:hAnsi="Times New Roman" w:cs="Times New Roman"/>
        </w:rPr>
      </w:pPr>
      <w:r w:rsidRPr="006B4EEF">
        <w:rPr>
          <w:rFonts w:ascii="Times New Roman" w:hAnsi="Times New Roman" w:cs="Times New Roman"/>
        </w:rPr>
        <w:t>Heeb, F.,</w:t>
      </w:r>
      <w:r w:rsidR="00AB0BEE">
        <w:rPr>
          <w:rFonts w:ascii="Times New Roman" w:hAnsi="Times New Roman" w:cs="Times New Roman"/>
        </w:rPr>
        <w:t xml:space="preserve"> Kölbel, J. F., Paetzold, F., </w:t>
      </w:r>
      <w:proofErr w:type="spellStart"/>
      <w:r w:rsidRPr="006B4EEF">
        <w:rPr>
          <w:rFonts w:ascii="Times New Roman" w:hAnsi="Times New Roman" w:cs="Times New Roman"/>
        </w:rPr>
        <w:t>Zeisberger</w:t>
      </w:r>
      <w:proofErr w:type="spellEnd"/>
      <w:r w:rsidRPr="006B4EEF">
        <w:rPr>
          <w:rFonts w:ascii="Times New Roman" w:hAnsi="Times New Roman" w:cs="Times New Roman"/>
        </w:rPr>
        <w:t xml:space="preserve">, S. (2023). Do investors care about </w:t>
      </w:r>
      <w:proofErr w:type="gramStart"/>
      <w:r w:rsidR="00AB0BEE" w:rsidRPr="006B4EEF">
        <w:rPr>
          <w:rFonts w:ascii="Times New Roman" w:hAnsi="Times New Roman" w:cs="Times New Roman"/>
        </w:rPr>
        <w:t>impact?</w:t>
      </w:r>
      <w:r w:rsidR="00AB0BEE">
        <w:rPr>
          <w:rFonts w:ascii="Times New Roman" w:hAnsi="Times New Roman" w:cs="Times New Roman"/>
        </w:rPr>
        <w:t>.</w:t>
      </w:r>
      <w:proofErr w:type="gramEnd"/>
      <w:r w:rsidRPr="006B4EEF">
        <w:rPr>
          <w:rFonts w:ascii="Times New Roman" w:hAnsi="Times New Roman" w:cs="Times New Roman"/>
        </w:rPr>
        <w:t xml:space="preserve"> </w:t>
      </w:r>
      <w:r w:rsidRPr="00AB0BEE">
        <w:rPr>
          <w:rFonts w:ascii="Times New Roman" w:hAnsi="Times New Roman" w:cs="Times New Roman"/>
          <w:i/>
        </w:rPr>
        <w:t>Review of Financial Studies</w:t>
      </w:r>
      <w:r w:rsidRPr="006B4EEF">
        <w:rPr>
          <w:rFonts w:ascii="Times New Roman" w:hAnsi="Times New Roman" w:cs="Times New Roman"/>
        </w:rPr>
        <w:t>, 36(5), 1737-1787.</w:t>
      </w:r>
    </w:p>
    <w:p w14:paraId="1DCAA1A2" w14:textId="77777777" w:rsidR="000E797A" w:rsidRPr="007F1D4A" w:rsidRDefault="000E797A" w:rsidP="000E797A">
      <w:pPr>
        <w:spacing w:line="360" w:lineRule="auto"/>
        <w:ind w:left="420" w:hangingChars="200" w:hanging="420"/>
        <w:rPr>
          <w:rFonts w:ascii="Times New Roman" w:hAnsi="Times New Roman" w:cs="Times New Roman"/>
        </w:rPr>
      </w:pPr>
      <w:r w:rsidRPr="000E797A">
        <w:rPr>
          <w:rFonts w:ascii="Times New Roman" w:hAnsi="Times New Roman" w:cs="Times New Roman"/>
        </w:rPr>
        <w:t>Hole, A. (2017). DCREATE: Stata module to create efficient designs for discrete choice experiments.</w:t>
      </w:r>
    </w:p>
    <w:p w14:paraId="37A80D31" w14:textId="53C28056" w:rsidR="0040627D" w:rsidRDefault="0040627D" w:rsidP="0040627D">
      <w:pPr>
        <w:spacing w:line="360" w:lineRule="auto"/>
        <w:ind w:left="420" w:hangingChars="200" w:hanging="420"/>
        <w:rPr>
          <w:rFonts w:ascii="Times New Roman" w:hAnsi="Times New Roman" w:cs="Times New Roman"/>
        </w:rPr>
      </w:pPr>
      <w:r>
        <w:rPr>
          <w:rFonts w:ascii="Times New Roman" w:hAnsi="Times New Roman" w:cs="Times New Roman"/>
        </w:rPr>
        <w:t xml:space="preserve">Humphrey, J. E., and </w:t>
      </w:r>
      <w:r w:rsidRPr="00FC0059">
        <w:rPr>
          <w:rFonts w:ascii="Times New Roman" w:hAnsi="Times New Roman" w:cs="Times New Roman"/>
        </w:rPr>
        <w:t xml:space="preserve">Li, Y. (2021). Who goes green: Reducing mutual fund emissions and its consequences. </w:t>
      </w:r>
      <w:r w:rsidRPr="00FC0059">
        <w:rPr>
          <w:rFonts w:ascii="Times New Roman" w:hAnsi="Times New Roman" w:cs="Times New Roman"/>
          <w:i/>
        </w:rPr>
        <w:t>Journal of Banking and Finance</w:t>
      </w:r>
      <w:r w:rsidRPr="00FC0059">
        <w:rPr>
          <w:rFonts w:ascii="Times New Roman" w:hAnsi="Times New Roman" w:cs="Times New Roman"/>
        </w:rPr>
        <w:t>, 126, 106098.</w:t>
      </w:r>
    </w:p>
    <w:p w14:paraId="7CF6FC56" w14:textId="79DB4D42" w:rsidR="00C2663A" w:rsidRDefault="006B4EEF" w:rsidP="00AB0BEE">
      <w:pPr>
        <w:spacing w:line="360" w:lineRule="auto"/>
        <w:ind w:left="420" w:hangingChars="200" w:hanging="420"/>
        <w:rPr>
          <w:rFonts w:ascii="Times New Roman" w:hAnsi="Times New Roman" w:cs="Times New Roman"/>
        </w:rPr>
      </w:pPr>
      <w:r>
        <w:rPr>
          <w:rFonts w:ascii="Times New Roman" w:hAnsi="Times New Roman" w:cs="Times New Roman"/>
        </w:rPr>
        <w:t xml:space="preserve">Kim, S., </w:t>
      </w:r>
      <w:r w:rsidRPr="006B4EEF">
        <w:rPr>
          <w:rFonts w:ascii="Times New Roman" w:hAnsi="Times New Roman" w:cs="Times New Roman"/>
        </w:rPr>
        <w:t xml:space="preserve">Yoon, A. (2023). Analyzing active fund managers’ commitment to ESG: Evidence from the United Nations Principles for Responsible Investment. </w:t>
      </w:r>
      <w:r w:rsidRPr="006B4EEF">
        <w:rPr>
          <w:rFonts w:ascii="Times New Roman" w:hAnsi="Times New Roman" w:cs="Times New Roman"/>
          <w:i/>
        </w:rPr>
        <w:t>Management Science</w:t>
      </w:r>
      <w:r w:rsidRPr="006B4EEF">
        <w:rPr>
          <w:rFonts w:ascii="Times New Roman" w:hAnsi="Times New Roman" w:cs="Times New Roman"/>
        </w:rPr>
        <w:t>, 69(2), 741-758.</w:t>
      </w:r>
    </w:p>
    <w:p w14:paraId="267DDB09" w14:textId="603B9FAD" w:rsidR="00CF66E8" w:rsidRDefault="00DB05B8" w:rsidP="00CF66E8">
      <w:pPr>
        <w:spacing w:line="360" w:lineRule="auto"/>
        <w:ind w:left="420" w:hangingChars="200" w:hanging="420"/>
        <w:rPr>
          <w:rFonts w:ascii="Times New Roman" w:hAnsi="Times New Roman" w:cs="Times New Roman"/>
        </w:rPr>
      </w:pPr>
      <w:r>
        <w:rPr>
          <w:rFonts w:ascii="Times New Roman" w:hAnsi="Times New Roman" w:cs="Times New Roman"/>
        </w:rPr>
        <w:t xml:space="preserve">Kleffel, P., </w:t>
      </w:r>
      <w:r w:rsidR="00CF66E8" w:rsidRPr="00CF66E8">
        <w:rPr>
          <w:rFonts w:ascii="Times New Roman" w:hAnsi="Times New Roman" w:cs="Times New Roman"/>
        </w:rPr>
        <w:t xml:space="preserve">Muck, M. (2023). Aggregate confusion or inner conflict? An experimental analysis of investors’ reaction to greenwashing. </w:t>
      </w:r>
      <w:r w:rsidR="00CF66E8" w:rsidRPr="00443CB0">
        <w:rPr>
          <w:rFonts w:ascii="Times New Roman" w:hAnsi="Times New Roman" w:cs="Times New Roman"/>
          <w:i/>
        </w:rPr>
        <w:t>Finance Research Letters</w:t>
      </w:r>
      <w:r w:rsidR="00CF66E8" w:rsidRPr="00CF66E8">
        <w:rPr>
          <w:rFonts w:ascii="Times New Roman" w:hAnsi="Times New Roman" w:cs="Times New Roman"/>
        </w:rPr>
        <w:t>, 53, 103421.</w:t>
      </w:r>
    </w:p>
    <w:p w14:paraId="6D2FE605" w14:textId="59D472DF" w:rsidR="00CF66E8" w:rsidRDefault="00812376" w:rsidP="00AB0BEE">
      <w:pPr>
        <w:spacing w:line="360" w:lineRule="auto"/>
        <w:ind w:left="420" w:hangingChars="200" w:hanging="420"/>
        <w:rPr>
          <w:rFonts w:ascii="Times New Roman" w:hAnsi="Times New Roman" w:cs="Times New Roman"/>
        </w:rPr>
      </w:pPr>
      <w:r>
        <w:rPr>
          <w:rFonts w:ascii="Times New Roman" w:hAnsi="Times New Roman" w:cs="Times New Roman"/>
        </w:rPr>
        <w:t xml:space="preserve">Lusardi, A., </w:t>
      </w:r>
      <w:r w:rsidRPr="00812376">
        <w:rPr>
          <w:rFonts w:ascii="Times New Roman" w:hAnsi="Times New Roman" w:cs="Times New Roman"/>
        </w:rPr>
        <w:t xml:space="preserve">Mitchell, O. S. (2023). The Importance of Financial Literacy. </w:t>
      </w:r>
      <w:r w:rsidRPr="00812376">
        <w:rPr>
          <w:rFonts w:ascii="Times New Roman" w:hAnsi="Times New Roman" w:cs="Times New Roman"/>
          <w:i/>
        </w:rPr>
        <w:t>Journal of Economic Perspectives</w:t>
      </w:r>
      <w:r w:rsidRPr="00812376">
        <w:rPr>
          <w:rFonts w:ascii="Times New Roman" w:hAnsi="Times New Roman" w:cs="Times New Roman"/>
        </w:rPr>
        <w:t>, 37(4), 137-154.</w:t>
      </w:r>
    </w:p>
    <w:p w14:paraId="4A198FB1" w14:textId="4E518213" w:rsidR="005D719C" w:rsidRDefault="00DA2A22" w:rsidP="005D719C">
      <w:pPr>
        <w:spacing w:line="360" w:lineRule="auto"/>
        <w:ind w:left="420" w:hangingChars="200" w:hanging="420"/>
        <w:rPr>
          <w:rFonts w:ascii="Times New Roman" w:hAnsi="Times New Roman" w:cs="Times New Roman"/>
        </w:rPr>
      </w:pPr>
      <w:r>
        <w:rPr>
          <w:rFonts w:ascii="Times New Roman" w:hAnsi="Times New Roman" w:cs="Times New Roman"/>
        </w:rPr>
        <w:t xml:space="preserve">McFadden, D., </w:t>
      </w:r>
      <w:r w:rsidRPr="00DA2A22">
        <w:rPr>
          <w:rFonts w:ascii="Times New Roman" w:hAnsi="Times New Roman" w:cs="Times New Roman"/>
        </w:rPr>
        <w:t xml:space="preserve">Train, K. (2000). Mixed MNL models for discrete response. </w:t>
      </w:r>
      <w:r w:rsidRPr="00D6486A">
        <w:rPr>
          <w:rFonts w:ascii="Times New Roman" w:hAnsi="Times New Roman" w:cs="Times New Roman"/>
          <w:i/>
        </w:rPr>
        <w:t>Journal of applied Econometrics</w:t>
      </w:r>
      <w:r w:rsidRPr="00DA2A22">
        <w:rPr>
          <w:rFonts w:ascii="Times New Roman" w:hAnsi="Times New Roman" w:cs="Times New Roman"/>
        </w:rPr>
        <w:t>, 15(5), 447-470.</w:t>
      </w:r>
    </w:p>
    <w:p w14:paraId="4647C33B" w14:textId="77777777" w:rsidR="005D719C" w:rsidRPr="005D719C" w:rsidRDefault="005D719C" w:rsidP="00AB0BEE">
      <w:pPr>
        <w:spacing w:line="360" w:lineRule="auto"/>
        <w:ind w:left="420" w:hangingChars="200" w:hanging="420"/>
        <w:rPr>
          <w:rFonts w:ascii="Times New Roman" w:hAnsi="Times New Roman" w:cs="Times New Roman"/>
        </w:rPr>
        <w:sectPr w:rsidR="005D719C" w:rsidRPr="005D719C" w:rsidSect="008A25AB">
          <w:pgSz w:w="11906" w:h="16838"/>
          <w:pgMar w:top="1440" w:right="1800" w:bottom="1440" w:left="1800" w:header="851" w:footer="992" w:gutter="0"/>
          <w:cols w:space="425"/>
          <w:docGrid w:type="lines" w:linePitch="312"/>
        </w:sectPr>
      </w:pPr>
    </w:p>
    <w:p w14:paraId="2979781E" w14:textId="77777777" w:rsidR="00410B48" w:rsidRPr="00F72CC4" w:rsidRDefault="00410B48" w:rsidP="0046484C">
      <w:pPr>
        <w:spacing w:line="360" w:lineRule="auto"/>
        <w:ind w:left="440" w:hangingChars="200" w:hanging="440"/>
        <w:jc w:val="center"/>
        <w:rPr>
          <w:rFonts w:ascii="Times New Roman" w:hAnsi="Times New Roman" w:cs="Times New Roman"/>
          <w:b/>
          <w:bCs/>
          <w:sz w:val="22"/>
        </w:rPr>
      </w:pPr>
      <w:r w:rsidRPr="00F72CC4">
        <w:rPr>
          <w:rFonts w:ascii="Times New Roman" w:hAnsi="Times New Roman" w:cs="Times New Roman" w:hint="eastAsia"/>
          <w:b/>
          <w:bCs/>
          <w:sz w:val="22"/>
        </w:rPr>
        <w:lastRenderedPageBreak/>
        <w:t>Table</w:t>
      </w:r>
      <w:r w:rsidRPr="00F72CC4">
        <w:rPr>
          <w:rFonts w:ascii="Times New Roman" w:hAnsi="Times New Roman" w:cs="Times New Roman"/>
          <w:b/>
          <w:bCs/>
          <w:sz w:val="22"/>
        </w:rPr>
        <w:t xml:space="preserve"> 1 </w:t>
      </w:r>
      <w:r w:rsidRPr="00F72CC4">
        <w:rPr>
          <w:rFonts w:ascii="Times New Roman" w:hAnsi="Times New Roman" w:cs="Times New Roman" w:hint="eastAsia"/>
          <w:b/>
          <w:bCs/>
          <w:sz w:val="22"/>
        </w:rPr>
        <w:t>S</w:t>
      </w:r>
      <w:r w:rsidRPr="00F72CC4">
        <w:rPr>
          <w:rFonts w:ascii="Times New Roman" w:hAnsi="Times New Roman" w:cs="Times New Roman"/>
          <w:b/>
          <w:bCs/>
          <w:sz w:val="22"/>
        </w:rPr>
        <w:t>ummary Statistics</w:t>
      </w:r>
    </w:p>
    <w:p w14:paraId="46A8F4EC" w14:textId="00CEEDC2" w:rsidR="00410B48" w:rsidRPr="00F72CC4" w:rsidRDefault="00410B48" w:rsidP="0046484C">
      <w:pPr>
        <w:spacing w:line="360" w:lineRule="auto"/>
        <w:ind w:left="440" w:hangingChars="200" w:hanging="440"/>
        <w:jc w:val="center"/>
        <w:rPr>
          <w:rFonts w:ascii="Times New Roman" w:hAnsi="Times New Roman" w:cs="Times New Roman"/>
          <w:b/>
          <w:bCs/>
          <w:sz w:val="22"/>
        </w:rPr>
      </w:pPr>
      <w:r w:rsidRPr="00F72CC4">
        <w:rPr>
          <w:rFonts w:ascii="Times New Roman" w:hAnsi="Times New Roman" w:cs="Times New Roman" w:hint="eastAsia"/>
          <w:b/>
          <w:bCs/>
          <w:sz w:val="22"/>
        </w:rPr>
        <w:t>Panel</w:t>
      </w:r>
      <w:r w:rsidRPr="00F72CC4">
        <w:rPr>
          <w:rFonts w:ascii="Times New Roman" w:hAnsi="Times New Roman" w:cs="Times New Roman"/>
          <w:b/>
          <w:bCs/>
          <w:sz w:val="22"/>
        </w:rPr>
        <w:t xml:space="preserve"> A. Categorical Variables</w:t>
      </w:r>
    </w:p>
    <w:tbl>
      <w:tblPr>
        <w:tblW w:w="5000" w:type="pct"/>
        <w:tblLook w:val="04A0" w:firstRow="1" w:lastRow="0" w:firstColumn="1" w:lastColumn="0" w:noHBand="0" w:noVBand="1"/>
      </w:tblPr>
      <w:tblGrid>
        <w:gridCol w:w="3260"/>
        <w:gridCol w:w="2523"/>
        <w:gridCol w:w="2523"/>
      </w:tblGrid>
      <w:tr w:rsidR="00410B48" w:rsidRPr="00F72CC4" w14:paraId="54341343" w14:textId="77777777" w:rsidTr="00410B48">
        <w:trPr>
          <w:trHeight w:val="276"/>
        </w:trPr>
        <w:tc>
          <w:tcPr>
            <w:tcW w:w="5000" w:type="pct"/>
            <w:gridSpan w:val="3"/>
            <w:tcBorders>
              <w:top w:val="single" w:sz="4" w:space="0" w:color="auto"/>
              <w:left w:val="nil"/>
              <w:bottom w:val="nil"/>
              <w:right w:val="nil"/>
            </w:tcBorders>
            <w:shd w:val="clear" w:color="auto" w:fill="auto"/>
            <w:noWrap/>
            <w:vAlign w:val="bottom"/>
            <w:hideMark/>
          </w:tcPr>
          <w:p w14:paraId="6BEF3E40" w14:textId="1D155A9B" w:rsidR="00410B48" w:rsidRPr="00410B48" w:rsidRDefault="00410B48" w:rsidP="00410B48">
            <w:pPr>
              <w:widowControl/>
              <w:jc w:val="left"/>
              <w:rPr>
                <w:rFonts w:ascii="Times New Roman" w:eastAsia="宋体" w:hAnsi="Times New Roman" w:cs="Times New Roman"/>
                <w:kern w:val="0"/>
                <w:sz w:val="22"/>
              </w:rPr>
            </w:pPr>
            <w:r w:rsidRPr="00410B48">
              <w:rPr>
                <w:rFonts w:ascii="Times New Roman" w:eastAsia="宋体" w:hAnsi="Times New Roman" w:cs="Times New Roman"/>
                <w:kern w:val="0"/>
                <w:sz w:val="22"/>
              </w:rPr>
              <w:t>Sex</w:t>
            </w:r>
          </w:p>
        </w:tc>
      </w:tr>
      <w:tr w:rsidR="00410B48" w:rsidRPr="00410B48" w14:paraId="1D19AC2A" w14:textId="77777777" w:rsidTr="00410B48">
        <w:trPr>
          <w:trHeight w:val="276"/>
        </w:trPr>
        <w:tc>
          <w:tcPr>
            <w:tcW w:w="1962" w:type="pct"/>
            <w:tcBorders>
              <w:top w:val="nil"/>
              <w:left w:val="nil"/>
              <w:bottom w:val="nil"/>
              <w:right w:val="nil"/>
            </w:tcBorders>
            <w:shd w:val="clear" w:color="auto" w:fill="auto"/>
            <w:noWrap/>
            <w:vAlign w:val="bottom"/>
            <w:hideMark/>
          </w:tcPr>
          <w:p w14:paraId="6CD3CE79" w14:textId="77777777" w:rsidR="00410B48" w:rsidRPr="00410B48" w:rsidRDefault="00410B48" w:rsidP="00410B48">
            <w:pPr>
              <w:widowControl/>
              <w:ind w:firstLineChars="100" w:firstLine="220"/>
              <w:jc w:val="left"/>
              <w:rPr>
                <w:rFonts w:ascii="Times New Roman" w:eastAsia="宋体" w:hAnsi="Times New Roman" w:cs="Times New Roman"/>
                <w:kern w:val="0"/>
                <w:sz w:val="22"/>
              </w:rPr>
            </w:pPr>
            <w:r w:rsidRPr="00410B48">
              <w:rPr>
                <w:rFonts w:ascii="Times New Roman" w:eastAsia="宋体" w:hAnsi="Times New Roman" w:cs="Times New Roman"/>
                <w:kern w:val="0"/>
                <w:sz w:val="22"/>
              </w:rPr>
              <w:t>Male</w:t>
            </w:r>
          </w:p>
        </w:tc>
        <w:tc>
          <w:tcPr>
            <w:tcW w:w="1519" w:type="pct"/>
            <w:tcBorders>
              <w:top w:val="nil"/>
              <w:left w:val="nil"/>
              <w:bottom w:val="nil"/>
              <w:right w:val="nil"/>
            </w:tcBorders>
            <w:shd w:val="clear" w:color="auto" w:fill="auto"/>
            <w:noWrap/>
            <w:vAlign w:val="bottom"/>
            <w:hideMark/>
          </w:tcPr>
          <w:p w14:paraId="14A4EFB2"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345</w:t>
            </w:r>
          </w:p>
        </w:tc>
        <w:tc>
          <w:tcPr>
            <w:tcW w:w="1519" w:type="pct"/>
            <w:tcBorders>
              <w:top w:val="nil"/>
              <w:left w:val="nil"/>
              <w:bottom w:val="nil"/>
              <w:right w:val="nil"/>
            </w:tcBorders>
            <w:shd w:val="clear" w:color="auto" w:fill="auto"/>
            <w:noWrap/>
            <w:vAlign w:val="bottom"/>
            <w:hideMark/>
          </w:tcPr>
          <w:p w14:paraId="168C3D55"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41.4%</w:t>
            </w:r>
          </w:p>
        </w:tc>
      </w:tr>
      <w:tr w:rsidR="00410B48" w:rsidRPr="00410B48" w14:paraId="0F81489D" w14:textId="77777777" w:rsidTr="00410B48">
        <w:trPr>
          <w:trHeight w:val="276"/>
        </w:trPr>
        <w:tc>
          <w:tcPr>
            <w:tcW w:w="1962" w:type="pct"/>
            <w:tcBorders>
              <w:top w:val="nil"/>
              <w:left w:val="nil"/>
              <w:bottom w:val="single" w:sz="4" w:space="0" w:color="auto"/>
              <w:right w:val="nil"/>
            </w:tcBorders>
            <w:shd w:val="clear" w:color="auto" w:fill="auto"/>
            <w:noWrap/>
            <w:vAlign w:val="bottom"/>
            <w:hideMark/>
          </w:tcPr>
          <w:p w14:paraId="7CEE8944" w14:textId="77777777" w:rsidR="00410B48" w:rsidRPr="00410B48" w:rsidRDefault="00410B48" w:rsidP="00410B48">
            <w:pPr>
              <w:widowControl/>
              <w:ind w:firstLineChars="100" w:firstLine="220"/>
              <w:jc w:val="left"/>
              <w:rPr>
                <w:rFonts w:ascii="Times New Roman" w:eastAsia="宋体" w:hAnsi="Times New Roman" w:cs="Times New Roman"/>
                <w:kern w:val="0"/>
                <w:sz w:val="22"/>
              </w:rPr>
            </w:pPr>
            <w:r w:rsidRPr="00410B48">
              <w:rPr>
                <w:rFonts w:ascii="Times New Roman" w:eastAsia="宋体" w:hAnsi="Times New Roman" w:cs="Times New Roman"/>
                <w:kern w:val="0"/>
                <w:sz w:val="22"/>
              </w:rPr>
              <w:t>Female</w:t>
            </w:r>
          </w:p>
        </w:tc>
        <w:tc>
          <w:tcPr>
            <w:tcW w:w="1519" w:type="pct"/>
            <w:tcBorders>
              <w:top w:val="nil"/>
              <w:left w:val="nil"/>
              <w:bottom w:val="single" w:sz="4" w:space="0" w:color="auto"/>
              <w:right w:val="nil"/>
            </w:tcBorders>
            <w:shd w:val="clear" w:color="auto" w:fill="auto"/>
            <w:noWrap/>
            <w:vAlign w:val="bottom"/>
            <w:hideMark/>
          </w:tcPr>
          <w:p w14:paraId="6614F6E1"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345</w:t>
            </w:r>
          </w:p>
        </w:tc>
        <w:tc>
          <w:tcPr>
            <w:tcW w:w="1519" w:type="pct"/>
            <w:tcBorders>
              <w:top w:val="nil"/>
              <w:left w:val="nil"/>
              <w:bottom w:val="single" w:sz="4" w:space="0" w:color="auto"/>
              <w:right w:val="nil"/>
            </w:tcBorders>
            <w:shd w:val="clear" w:color="auto" w:fill="auto"/>
            <w:noWrap/>
            <w:vAlign w:val="bottom"/>
            <w:hideMark/>
          </w:tcPr>
          <w:p w14:paraId="4D4FF545"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58.6%</w:t>
            </w:r>
          </w:p>
        </w:tc>
      </w:tr>
      <w:tr w:rsidR="00410B48" w:rsidRPr="00410B48" w14:paraId="2D8C58E7" w14:textId="77777777" w:rsidTr="00410B48">
        <w:trPr>
          <w:trHeight w:val="276"/>
        </w:trPr>
        <w:tc>
          <w:tcPr>
            <w:tcW w:w="5000" w:type="pct"/>
            <w:gridSpan w:val="3"/>
            <w:tcBorders>
              <w:top w:val="single" w:sz="4" w:space="0" w:color="auto"/>
              <w:left w:val="nil"/>
              <w:bottom w:val="nil"/>
              <w:right w:val="nil"/>
            </w:tcBorders>
            <w:shd w:val="clear" w:color="auto" w:fill="auto"/>
            <w:noWrap/>
            <w:vAlign w:val="bottom"/>
            <w:hideMark/>
          </w:tcPr>
          <w:p w14:paraId="6DCB5BC4" w14:textId="7A62C01E" w:rsidR="00410B48" w:rsidRPr="00410B48" w:rsidRDefault="004260A3" w:rsidP="00410B48">
            <w:pPr>
              <w:widowControl/>
              <w:jc w:val="left"/>
              <w:rPr>
                <w:rFonts w:ascii="Times New Roman" w:eastAsia="宋体" w:hAnsi="Times New Roman" w:cs="Times New Roman"/>
                <w:kern w:val="0"/>
                <w:sz w:val="22"/>
              </w:rPr>
            </w:pPr>
            <w:r w:rsidRPr="00F72CC4">
              <w:rPr>
                <w:rFonts w:ascii="Times New Roman" w:eastAsia="宋体" w:hAnsi="Times New Roman" w:cs="Times New Roman"/>
                <w:kern w:val="0"/>
                <w:sz w:val="22"/>
              </w:rPr>
              <w:t>Monthly</w:t>
            </w:r>
            <w:r w:rsidR="00410B48" w:rsidRPr="00410B48">
              <w:rPr>
                <w:rFonts w:ascii="Times New Roman" w:eastAsia="宋体" w:hAnsi="Times New Roman" w:cs="Times New Roman"/>
                <w:kern w:val="0"/>
                <w:sz w:val="22"/>
              </w:rPr>
              <w:t xml:space="preserve"> Income of families</w:t>
            </w:r>
            <w:r w:rsidR="00983152" w:rsidRPr="00F72CC4">
              <w:rPr>
                <w:rFonts w:ascii="Times New Roman" w:eastAsia="宋体" w:hAnsi="Times New Roman" w:cs="Times New Roman"/>
                <w:kern w:val="0"/>
                <w:sz w:val="22"/>
              </w:rPr>
              <w:t xml:space="preserve"> in the past year</w:t>
            </w:r>
          </w:p>
        </w:tc>
      </w:tr>
      <w:tr w:rsidR="00410B48" w:rsidRPr="00410B48" w14:paraId="231A9672" w14:textId="77777777" w:rsidTr="00410B48">
        <w:trPr>
          <w:trHeight w:val="276"/>
        </w:trPr>
        <w:tc>
          <w:tcPr>
            <w:tcW w:w="1962" w:type="pct"/>
            <w:tcBorders>
              <w:top w:val="nil"/>
              <w:left w:val="nil"/>
              <w:bottom w:val="nil"/>
              <w:right w:val="nil"/>
            </w:tcBorders>
            <w:shd w:val="clear" w:color="auto" w:fill="auto"/>
            <w:noWrap/>
            <w:vAlign w:val="bottom"/>
            <w:hideMark/>
          </w:tcPr>
          <w:p w14:paraId="7C3B6291" w14:textId="085F8FFC" w:rsidR="00410B48" w:rsidRPr="00410B48" w:rsidRDefault="006B00E8" w:rsidP="00410B48">
            <w:pPr>
              <w:widowControl/>
              <w:ind w:firstLineChars="100" w:firstLine="220"/>
              <w:jc w:val="left"/>
              <w:rPr>
                <w:rFonts w:ascii="Times New Roman" w:eastAsia="宋体" w:hAnsi="Times New Roman" w:cs="Times New Roman"/>
                <w:kern w:val="0"/>
                <w:sz w:val="22"/>
              </w:rPr>
            </w:pPr>
            <w:r w:rsidRPr="00F72CC4">
              <w:rPr>
                <w:rFonts w:ascii="Times New Roman" w:eastAsia="宋体" w:hAnsi="Times New Roman" w:cs="Times New Roman"/>
                <w:kern w:val="0"/>
                <w:sz w:val="22"/>
              </w:rPr>
              <w:t xml:space="preserve">CNY </w:t>
            </w:r>
            <w:r w:rsidR="00410B48" w:rsidRPr="00410B48">
              <w:rPr>
                <w:rFonts w:ascii="Times New Roman" w:eastAsia="宋体" w:hAnsi="Times New Roman" w:cs="Times New Roman"/>
                <w:kern w:val="0"/>
                <w:sz w:val="22"/>
              </w:rPr>
              <w:t>0-1000</w:t>
            </w:r>
          </w:p>
        </w:tc>
        <w:tc>
          <w:tcPr>
            <w:tcW w:w="1519" w:type="pct"/>
            <w:tcBorders>
              <w:top w:val="nil"/>
              <w:left w:val="nil"/>
              <w:bottom w:val="nil"/>
              <w:right w:val="nil"/>
            </w:tcBorders>
            <w:shd w:val="clear" w:color="auto" w:fill="auto"/>
            <w:noWrap/>
            <w:vAlign w:val="bottom"/>
            <w:hideMark/>
          </w:tcPr>
          <w:p w14:paraId="0D414DEA"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345</w:t>
            </w:r>
          </w:p>
        </w:tc>
        <w:tc>
          <w:tcPr>
            <w:tcW w:w="1519" w:type="pct"/>
            <w:tcBorders>
              <w:top w:val="nil"/>
              <w:left w:val="nil"/>
              <w:bottom w:val="nil"/>
              <w:right w:val="nil"/>
            </w:tcBorders>
            <w:shd w:val="clear" w:color="auto" w:fill="auto"/>
            <w:noWrap/>
            <w:vAlign w:val="bottom"/>
            <w:hideMark/>
          </w:tcPr>
          <w:p w14:paraId="1D56B997"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0.3%</w:t>
            </w:r>
          </w:p>
        </w:tc>
      </w:tr>
      <w:tr w:rsidR="00410B48" w:rsidRPr="00410B48" w14:paraId="4B52D9BE" w14:textId="77777777" w:rsidTr="00410B48">
        <w:trPr>
          <w:trHeight w:val="276"/>
        </w:trPr>
        <w:tc>
          <w:tcPr>
            <w:tcW w:w="1962" w:type="pct"/>
            <w:tcBorders>
              <w:top w:val="nil"/>
              <w:left w:val="nil"/>
              <w:bottom w:val="nil"/>
              <w:right w:val="nil"/>
            </w:tcBorders>
            <w:shd w:val="clear" w:color="auto" w:fill="auto"/>
            <w:noWrap/>
            <w:vAlign w:val="bottom"/>
            <w:hideMark/>
          </w:tcPr>
          <w:p w14:paraId="4E0A5CEB" w14:textId="58C61541" w:rsidR="00410B48" w:rsidRPr="00410B48" w:rsidRDefault="006B00E8" w:rsidP="00410B48">
            <w:pPr>
              <w:widowControl/>
              <w:ind w:firstLineChars="100" w:firstLine="220"/>
              <w:jc w:val="left"/>
              <w:rPr>
                <w:rFonts w:ascii="Times New Roman" w:eastAsia="宋体" w:hAnsi="Times New Roman" w:cs="Times New Roman"/>
                <w:kern w:val="0"/>
                <w:sz w:val="22"/>
              </w:rPr>
            </w:pPr>
            <w:r w:rsidRPr="00F72CC4">
              <w:rPr>
                <w:rFonts w:ascii="Times New Roman" w:eastAsia="宋体" w:hAnsi="Times New Roman" w:cs="Times New Roman"/>
                <w:kern w:val="0"/>
                <w:sz w:val="22"/>
              </w:rPr>
              <w:t xml:space="preserve">CNY </w:t>
            </w:r>
            <w:r w:rsidR="00410B48" w:rsidRPr="00410B48">
              <w:rPr>
                <w:rFonts w:ascii="Times New Roman" w:eastAsia="宋体" w:hAnsi="Times New Roman" w:cs="Times New Roman"/>
                <w:kern w:val="0"/>
                <w:sz w:val="22"/>
              </w:rPr>
              <w:t>1000-2000</w:t>
            </w:r>
          </w:p>
        </w:tc>
        <w:tc>
          <w:tcPr>
            <w:tcW w:w="1519" w:type="pct"/>
            <w:tcBorders>
              <w:top w:val="nil"/>
              <w:left w:val="nil"/>
              <w:bottom w:val="nil"/>
              <w:right w:val="nil"/>
            </w:tcBorders>
            <w:shd w:val="clear" w:color="auto" w:fill="auto"/>
            <w:noWrap/>
            <w:vAlign w:val="bottom"/>
            <w:hideMark/>
          </w:tcPr>
          <w:p w14:paraId="7E9B847A"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345</w:t>
            </w:r>
          </w:p>
        </w:tc>
        <w:tc>
          <w:tcPr>
            <w:tcW w:w="1519" w:type="pct"/>
            <w:tcBorders>
              <w:top w:val="nil"/>
              <w:left w:val="nil"/>
              <w:bottom w:val="nil"/>
              <w:right w:val="nil"/>
            </w:tcBorders>
            <w:shd w:val="clear" w:color="auto" w:fill="auto"/>
            <w:noWrap/>
            <w:vAlign w:val="bottom"/>
            <w:hideMark/>
          </w:tcPr>
          <w:p w14:paraId="2F3625BF"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2.9%</w:t>
            </w:r>
          </w:p>
        </w:tc>
      </w:tr>
      <w:tr w:rsidR="00410B48" w:rsidRPr="00410B48" w14:paraId="1D49C8DF" w14:textId="77777777" w:rsidTr="00410B48">
        <w:trPr>
          <w:trHeight w:val="276"/>
        </w:trPr>
        <w:tc>
          <w:tcPr>
            <w:tcW w:w="1962" w:type="pct"/>
            <w:tcBorders>
              <w:top w:val="nil"/>
              <w:left w:val="nil"/>
              <w:bottom w:val="nil"/>
              <w:right w:val="nil"/>
            </w:tcBorders>
            <w:shd w:val="clear" w:color="auto" w:fill="auto"/>
            <w:noWrap/>
            <w:vAlign w:val="bottom"/>
            <w:hideMark/>
          </w:tcPr>
          <w:p w14:paraId="44782132" w14:textId="698071E7" w:rsidR="00410B48" w:rsidRPr="00410B48" w:rsidRDefault="006B00E8" w:rsidP="00410B48">
            <w:pPr>
              <w:widowControl/>
              <w:ind w:firstLineChars="100" w:firstLine="220"/>
              <w:jc w:val="left"/>
              <w:rPr>
                <w:rFonts w:ascii="Times New Roman" w:eastAsia="宋体" w:hAnsi="Times New Roman" w:cs="Times New Roman"/>
                <w:kern w:val="0"/>
                <w:sz w:val="22"/>
              </w:rPr>
            </w:pPr>
            <w:r w:rsidRPr="00F72CC4">
              <w:rPr>
                <w:rFonts w:ascii="Times New Roman" w:eastAsia="宋体" w:hAnsi="Times New Roman" w:cs="Times New Roman"/>
                <w:kern w:val="0"/>
                <w:sz w:val="22"/>
              </w:rPr>
              <w:t xml:space="preserve">CNY </w:t>
            </w:r>
            <w:r w:rsidR="00410B48" w:rsidRPr="00410B48">
              <w:rPr>
                <w:rFonts w:ascii="Times New Roman" w:eastAsia="宋体" w:hAnsi="Times New Roman" w:cs="Times New Roman"/>
                <w:kern w:val="0"/>
                <w:sz w:val="22"/>
              </w:rPr>
              <w:t>2000-5000</w:t>
            </w:r>
          </w:p>
        </w:tc>
        <w:tc>
          <w:tcPr>
            <w:tcW w:w="1519" w:type="pct"/>
            <w:tcBorders>
              <w:top w:val="nil"/>
              <w:left w:val="nil"/>
              <w:bottom w:val="nil"/>
              <w:right w:val="nil"/>
            </w:tcBorders>
            <w:shd w:val="clear" w:color="auto" w:fill="auto"/>
            <w:noWrap/>
            <w:vAlign w:val="bottom"/>
            <w:hideMark/>
          </w:tcPr>
          <w:p w14:paraId="4F9E4677"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345</w:t>
            </w:r>
          </w:p>
        </w:tc>
        <w:tc>
          <w:tcPr>
            <w:tcW w:w="1519" w:type="pct"/>
            <w:tcBorders>
              <w:top w:val="nil"/>
              <w:left w:val="nil"/>
              <w:bottom w:val="nil"/>
              <w:right w:val="nil"/>
            </w:tcBorders>
            <w:shd w:val="clear" w:color="auto" w:fill="auto"/>
            <w:noWrap/>
            <w:vAlign w:val="bottom"/>
            <w:hideMark/>
          </w:tcPr>
          <w:p w14:paraId="06023221"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12.8%</w:t>
            </w:r>
          </w:p>
        </w:tc>
      </w:tr>
      <w:tr w:rsidR="00410B48" w:rsidRPr="00410B48" w14:paraId="47258761" w14:textId="77777777" w:rsidTr="00410B48">
        <w:trPr>
          <w:trHeight w:val="276"/>
        </w:trPr>
        <w:tc>
          <w:tcPr>
            <w:tcW w:w="1962" w:type="pct"/>
            <w:tcBorders>
              <w:top w:val="nil"/>
              <w:left w:val="nil"/>
              <w:bottom w:val="nil"/>
              <w:right w:val="nil"/>
            </w:tcBorders>
            <w:shd w:val="clear" w:color="auto" w:fill="auto"/>
            <w:noWrap/>
            <w:vAlign w:val="bottom"/>
            <w:hideMark/>
          </w:tcPr>
          <w:p w14:paraId="32ABE549" w14:textId="10CBC8F6" w:rsidR="00410B48" w:rsidRPr="00410B48" w:rsidRDefault="006B00E8" w:rsidP="00410B48">
            <w:pPr>
              <w:widowControl/>
              <w:ind w:firstLineChars="100" w:firstLine="220"/>
              <w:jc w:val="left"/>
              <w:rPr>
                <w:rFonts w:ascii="Times New Roman" w:eastAsia="宋体" w:hAnsi="Times New Roman" w:cs="Times New Roman"/>
                <w:kern w:val="0"/>
                <w:sz w:val="22"/>
              </w:rPr>
            </w:pPr>
            <w:r w:rsidRPr="00F72CC4">
              <w:rPr>
                <w:rFonts w:ascii="Times New Roman" w:eastAsia="宋体" w:hAnsi="Times New Roman" w:cs="Times New Roman"/>
                <w:kern w:val="0"/>
                <w:sz w:val="22"/>
              </w:rPr>
              <w:t xml:space="preserve">CNY </w:t>
            </w:r>
            <w:r w:rsidR="00410B48" w:rsidRPr="00410B48">
              <w:rPr>
                <w:rFonts w:ascii="Times New Roman" w:eastAsia="宋体" w:hAnsi="Times New Roman" w:cs="Times New Roman"/>
                <w:kern w:val="0"/>
                <w:sz w:val="22"/>
              </w:rPr>
              <w:t>5000-10000</w:t>
            </w:r>
          </w:p>
        </w:tc>
        <w:tc>
          <w:tcPr>
            <w:tcW w:w="1519" w:type="pct"/>
            <w:tcBorders>
              <w:top w:val="nil"/>
              <w:left w:val="nil"/>
              <w:bottom w:val="nil"/>
              <w:right w:val="nil"/>
            </w:tcBorders>
            <w:shd w:val="clear" w:color="auto" w:fill="auto"/>
            <w:noWrap/>
            <w:vAlign w:val="bottom"/>
            <w:hideMark/>
          </w:tcPr>
          <w:p w14:paraId="0787E5EF"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345</w:t>
            </w:r>
          </w:p>
        </w:tc>
        <w:tc>
          <w:tcPr>
            <w:tcW w:w="1519" w:type="pct"/>
            <w:tcBorders>
              <w:top w:val="nil"/>
              <w:left w:val="nil"/>
              <w:bottom w:val="nil"/>
              <w:right w:val="nil"/>
            </w:tcBorders>
            <w:shd w:val="clear" w:color="auto" w:fill="auto"/>
            <w:noWrap/>
            <w:vAlign w:val="bottom"/>
            <w:hideMark/>
          </w:tcPr>
          <w:p w14:paraId="038CAF16"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33.9%</w:t>
            </w:r>
          </w:p>
        </w:tc>
      </w:tr>
      <w:tr w:rsidR="00410B48" w:rsidRPr="00410B48" w14:paraId="49F2A80E" w14:textId="77777777" w:rsidTr="00410B48">
        <w:trPr>
          <w:trHeight w:val="276"/>
        </w:trPr>
        <w:tc>
          <w:tcPr>
            <w:tcW w:w="1962" w:type="pct"/>
            <w:tcBorders>
              <w:top w:val="nil"/>
              <w:left w:val="nil"/>
              <w:bottom w:val="single" w:sz="4" w:space="0" w:color="auto"/>
              <w:right w:val="nil"/>
            </w:tcBorders>
            <w:shd w:val="clear" w:color="auto" w:fill="auto"/>
            <w:noWrap/>
            <w:vAlign w:val="bottom"/>
            <w:hideMark/>
          </w:tcPr>
          <w:p w14:paraId="05C76A69" w14:textId="53C4B839" w:rsidR="00410B48" w:rsidRPr="00410B48" w:rsidRDefault="006B00E8" w:rsidP="00410B48">
            <w:pPr>
              <w:widowControl/>
              <w:ind w:firstLineChars="100" w:firstLine="220"/>
              <w:jc w:val="left"/>
              <w:rPr>
                <w:rFonts w:ascii="Times New Roman" w:eastAsia="宋体" w:hAnsi="Times New Roman" w:cs="Times New Roman"/>
                <w:kern w:val="0"/>
                <w:sz w:val="22"/>
              </w:rPr>
            </w:pPr>
            <w:r w:rsidRPr="00F72CC4">
              <w:rPr>
                <w:rFonts w:ascii="Times New Roman" w:eastAsia="宋体" w:hAnsi="Times New Roman" w:cs="Times New Roman"/>
                <w:kern w:val="0"/>
                <w:sz w:val="22"/>
              </w:rPr>
              <w:t xml:space="preserve">CNY </w:t>
            </w:r>
            <w:r w:rsidR="00410B48" w:rsidRPr="00410B48">
              <w:rPr>
                <w:rFonts w:ascii="Times New Roman" w:eastAsia="宋体" w:hAnsi="Times New Roman" w:cs="Times New Roman"/>
                <w:kern w:val="0"/>
                <w:sz w:val="22"/>
              </w:rPr>
              <w:t>10000+</w:t>
            </w:r>
          </w:p>
        </w:tc>
        <w:tc>
          <w:tcPr>
            <w:tcW w:w="1519" w:type="pct"/>
            <w:tcBorders>
              <w:top w:val="nil"/>
              <w:left w:val="nil"/>
              <w:bottom w:val="single" w:sz="4" w:space="0" w:color="auto"/>
              <w:right w:val="nil"/>
            </w:tcBorders>
            <w:shd w:val="clear" w:color="auto" w:fill="auto"/>
            <w:noWrap/>
            <w:vAlign w:val="bottom"/>
            <w:hideMark/>
          </w:tcPr>
          <w:p w14:paraId="4E49ED46"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345</w:t>
            </w:r>
          </w:p>
        </w:tc>
        <w:tc>
          <w:tcPr>
            <w:tcW w:w="1519" w:type="pct"/>
            <w:tcBorders>
              <w:top w:val="nil"/>
              <w:left w:val="nil"/>
              <w:bottom w:val="single" w:sz="4" w:space="0" w:color="auto"/>
              <w:right w:val="nil"/>
            </w:tcBorders>
            <w:shd w:val="clear" w:color="auto" w:fill="auto"/>
            <w:noWrap/>
            <w:vAlign w:val="bottom"/>
            <w:hideMark/>
          </w:tcPr>
          <w:p w14:paraId="052079F0"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50.1%</w:t>
            </w:r>
          </w:p>
        </w:tc>
      </w:tr>
      <w:tr w:rsidR="00410B48" w:rsidRPr="00410B48" w14:paraId="3E4727AF" w14:textId="77777777" w:rsidTr="00410B48">
        <w:trPr>
          <w:trHeight w:val="276"/>
        </w:trPr>
        <w:tc>
          <w:tcPr>
            <w:tcW w:w="1962" w:type="pct"/>
            <w:tcBorders>
              <w:top w:val="single" w:sz="4" w:space="0" w:color="auto"/>
              <w:left w:val="nil"/>
              <w:bottom w:val="nil"/>
              <w:right w:val="nil"/>
            </w:tcBorders>
            <w:shd w:val="clear" w:color="auto" w:fill="auto"/>
            <w:noWrap/>
            <w:vAlign w:val="bottom"/>
            <w:hideMark/>
          </w:tcPr>
          <w:p w14:paraId="7D25FFF1" w14:textId="77777777" w:rsidR="00410B48" w:rsidRPr="00410B48" w:rsidRDefault="00410B48" w:rsidP="00410B48">
            <w:pPr>
              <w:widowControl/>
              <w:jc w:val="left"/>
              <w:rPr>
                <w:rFonts w:ascii="Times New Roman" w:eastAsia="宋体" w:hAnsi="Times New Roman" w:cs="Times New Roman"/>
                <w:kern w:val="0"/>
                <w:sz w:val="22"/>
              </w:rPr>
            </w:pPr>
            <w:r w:rsidRPr="00410B48">
              <w:rPr>
                <w:rFonts w:ascii="Times New Roman" w:eastAsia="宋体" w:hAnsi="Times New Roman" w:cs="Times New Roman"/>
                <w:kern w:val="0"/>
                <w:sz w:val="22"/>
              </w:rPr>
              <w:t>Risk taking</w:t>
            </w:r>
          </w:p>
        </w:tc>
        <w:tc>
          <w:tcPr>
            <w:tcW w:w="1519" w:type="pct"/>
            <w:tcBorders>
              <w:top w:val="single" w:sz="4" w:space="0" w:color="auto"/>
              <w:left w:val="nil"/>
              <w:bottom w:val="nil"/>
              <w:right w:val="nil"/>
            </w:tcBorders>
            <w:shd w:val="clear" w:color="auto" w:fill="auto"/>
            <w:noWrap/>
            <w:vAlign w:val="bottom"/>
            <w:hideMark/>
          </w:tcPr>
          <w:p w14:paraId="35D8BF1B" w14:textId="77777777" w:rsidR="00410B48" w:rsidRPr="00410B48" w:rsidRDefault="00410B48" w:rsidP="00410B48">
            <w:pPr>
              <w:widowControl/>
              <w:jc w:val="left"/>
              <w:rPr>
                <w:rFonts w:ascii="Times New Roman" w:eastAsia="宋体" w:hAnsi="Times New Roman" w:cs="Times New Roman"/>
                <w:kern w:val="0"/>
                <w:sz w:val="22"/>
              </w:rPr>
            </w:pPr>
          </w:p>
        </w:tc>
        <w:tc>
          <w:tcPr>
            <w:tcW w:w="1519" w:type="pct"/>
            <w:tcBorders>
              <w:top w:val="single" w:sz="4" w:space="0" w:color="auto"/>
              <w:left w:val="nil"/>
              <w:bottom w:val="nil"/>
              <w:right w:val="nil"/>
            </w:tcBorders>
            <w:shd w:val="clear" w:color="auto" w:fill="auto"/>
            <w:noWrap/>
            <w:vAlign w:val="bottom"/>
            <w:hideMark/>
          </w:tcPr>
          <w:p w14:paraId="572840B4" w14:textId="77777777" w:rsidR="00410B48" w:rsidRPr="00410B48" w:rsidRDefault="00410B48" w:rsidP="00410B48">
            <w:pPr>
              <w:widowControl/>
              <w:jc w:val="left"/>
              <w:rPr>
                <w:rFonts w:ascii="Times New Roman" w:eastAsia="Times New Roman" w:hAnsi="Times New Roman" w:cs="Times New Roman"/>
                <w:kern w:val="0"/>
                <w:sz w:val="22"/>
              </w:rPr>
            </w:pPr>
          </w:p>
        </w:tc>
      </w:tr>
      <w:tr w:rsidR="00410B48" w:rsidRPr="00410B48" w14:paraId="2F7D6A9A" w14:textId="77777777" w:rsidTr="00410B48">
        <w:trPr>
          <w:trHeight w:val="276"/>
        </w:trPr>
        <w:tc>
          <w:tcPr>
            <w:tcW w:w="1962" w:type="pct"/>
            <w:tcBorders>
              <w:top w:val="nil"/>
              <w:left w:val="nil"/>
              <w:bottom w:val="nil"/>
              <w:right w:val="nil"/>
            </w:tcBorders>
            <w:shd w:val="clear" w:color="auto" w:fill="auto"/>
            <w:noWrap/>
            <w:vAlign w:val="bottom"/>
            <w:hideMark/>
          </w:tcPr>
          <w:p w14:paraId="4ACA4CCD" w14:textId="77777777" w:rsidR="00410B48" w:rsidRPr="00410B48" w:rsidRDefault="00410B48" w:rsidP="00410B48">
            <w:pPr>
              <w:widowControl/>
              <w:ind w:firstLineChars="100" w:firstLine="220"/>
              <w:jc w:val="left"/>
              <w:rPr>
                <w:rFonts w:ascii="Times New Roman" w:eastAsia="宋体" w:hAnsi="Times New Roman" w:cs="Times New Roman"/>
                <w:kern w:val="0"/>
                <w:sz w:val="22"/>
              </w:rPr>
            </w:pPr>
            <w:r w:rsidRPr="00410B48">
              <w:rPr>
                <w:rFonts w:ascii="Times New Roman" w:eastAsia="宋体" w:hAnsi="Times New Roman" w:cs="Times New Roman"/>
                <w:kern w:val="0"/>
                <w:sz w:val="22"/>
              </w:rPr>
              <w:t>No Risk</w:t>
            </w:r>
          </w:p>
        </w:tc>
        <w:tc>
          <w:tcPr>
            <w:tcW w:w="1519" w:type="pct"/>
            <w:tcBorders>
              <w:top w:val="nil"/>
              <w:left w:val="nil"/>
              <w:bottom w:val="nil"/>
              <w:right w:val="nil"/>
            </w:tcBorders>
            <w:shd w:val="clear" w:color="auto" w:fill="auto"/>
            <w:noWrap/>
            <w:vAlign w:val="bottom"/>
            <w:hideMark/>
          </w:tcPr>
          <w:p w14:paraId="4DF12159"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345</w:t>
            </w:r>
          </w:p>
        </w:tc>
        <w:tc>
          <w:tcPr>
            <w:tcW w:w="1519" w:type="pct"/>
            <w:tcBorders>
              <w:top w:val="nil"/>
              <w:left w:val="nil"/>
              <w:bottom w:val="nil"/>
              <w:right w:val="nil"/>
            </w:tcBorders>
            <w:shd w:val="clear" w:color="auto" w:fill="auto"/>
            <w:noWrap/>
            <w:vAlign w:val="bottom"/>
            <w:hideMark/>
          </w:tcPr>
          <w:p w14:paraId="36993B1C"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0.3%</w:t>
            </w:r>
          </w:p>
        </w:tc>
      </w:tr>
      <w:tr w:rsidR="00410B48" w:rsidRPr="00410B48" w14:paraId="60917314" w14:textId="77777777" w:rsidTr="00410B48">
        <w:trPr>
          <w:trHeight w:val="276"/>
        </w:trPr>
        <w:tc>
          <w:tcPr>
            <w:tcW w:w="1962" w:type="pct"/>
            <w:tcBorders>
              <w:top w:val="nil"/>
              <w:left w:val="nil"/>
              <w:bottom w:val="nil"/>
              <w:right w:val="nil"/>
            </w:tcBorders>
            <w:shd w:val="clear" w:color="auto" w:fill="auto"/>
            <w:noWrap/>
            <w:vAlign w:val="bottom"/>
            <w:hideMark/>
          </w:tcPr>
          <w:p w14:paraId="796F7015" w14:textId="77777777" w:rsidR="00410B48" w:rsidRPr="00410B48" w:rsidRDefault="00410B48" w:rsidP="00410B48">
            <w:pPr>
              <w:widowControl/>
              <w:ind w:firstLineChars="100" w:firstLine="220"/>
              <w:jc w:val="left"/>
              <w:rPr>
                <w:rFonts w:ascii="Times New Roman" w:eastAsia="宋体" w:hAnsi="Times New Roman" w:cs="Times New Roman"/>
                <w:kern w:val="0"/>
                <w:sz w:val="22"/>
              </w:rPr>
            </w:pPr>
            <w:r w:rsidRPr="00410B48">
              <w:rPr>
                <w:rFonts w:ascii="Times New Roman" w:eastAsia="宋体" w:hAnsi="Times New Roman" w:cs="Times New Roman"/>
                <w:kern w:val="0"/>
                <w:sz w:val="22"/>
              </w:rPr>
              <w:t>Low Risk</w:t>
            </w:r>
          </w:p>
        </w:tc>
        <w:tc>
          <w:tcPr>
            <w:tcW w:w="1519" w:type="pct"/>
            <w:tcBorders>
              <w:top w:val="nil"/>
              <w:left w:val="nil"/>
              <w:bottom w:val="nil"/>
              <w:right w:val="nil"/>
            </w:tcBorders>
            <w:shd w:val="clear" w:color="auto" w:fill="auto"/>
            <w:noWrap/>
            <w:vAlign w:val="bottom"/>
            <w:hideMark/>
          </w:tcPr>
          <w:p w14:paraId="432BC32D"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345</w:t>
            </w:r>
          </w:p>
        </w:tc>
        <w:tc>
          <w:tcPr>
            <w:tcW w:w="1519" w:type="pct"/>
            <w:tcBorders>
              <w:top w:val="nil"/>
              <w:left w:val="nil"/>
              <w:bottom w:val="nil"/>
              <w:right w:val="nil"/>
            </w:tcBorders>
            <w:shd w:val="clear" w:color="auto" w:fill="auto"/>
            <w:noWrap/>
            <w:vAlign w:val="bottom"/>
            <w:hideMark/>
          </w:tcPr>
          <w:p w14:paraId="00EB5E68"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59.4%</w:t>
            </w:r>
          </w:p>
        </w:tc>
      </w:tr>
      <w:tr w:rsidR="00410B48" w:rsidRPr="00410B48" w14:paraId="6E33E2AB" w14:textId="77777777" w:rsidTr="00410B48">
        <w:trPr>
          <w:trHeight w:val="276"/>
        </w:trPr>
        <w:tc>
          <w:tcPr>
            <w:tcW w:w="1962" w:type="pct"/>
            <w:tcBorders>
              <w:top w:val="nil"/>
              <w:left w:val="nil"/>
              <w:bottom w:val="nil"/>
              <w:right w:val="nil"/>
            </w:tcBorders>
            <w:shd w:val="clear" w:color="auto" w:fill="auto"/>
            <w:noWrap/>
            <w:vAlign w:val="bottom"/>
            <w:hideMark/>
          </w:tcPr>
          <w:p w14:paraId="46F8A20E" w14:textId="77777777" w:rsidR="00410B48" w:rsidRPr="00410B48" w:rsidRDefault="00410B48" w:rsidP="00410B48">
            <w:pPr>
              <w:widowControl/>
              <w:ind w:firstLineChars="100" w:firstLine="220"/>
              <w:jc w:val="left"/>
              <w:rPr>
                <w:rFonts w:ascii="Times New Roman" w:eastAsia="宋体" w:hAnsi="Times New Roman" w:cs="Times New Roman"/>
                <w:kern w:val="0"/>
                <w:sz w:val="22"/>
              </w:rPr>
            </w:pPr>
            <w:r w:rsidRPr="00410B48">
              <w:rPr>
                <w:rFonts w:ascii="Times New Roman" w:eastAsia="宋体" w:hAnsi="Times New Roman" w:cs="Times New Roman"/>
                <w:kern w:val="0"/>
                <w:sz w:val="22"/>
              </w:rPr>
              <w:t>Medium Risk</w:t>
            </w:r>
          </w:p>
        </w:tc>
        <w:tc>
          <w:tcPr>
            <w:tcW w:w="1519" w:type="pct"/>
            <w:tcBorders>
              <w:top w:val="nil"/>
              <w:left w:val="nil"/>
              <w:bottom w:val="nil"/>
              <w:right w:val="nil"/>
            </w:tcBorders>
            <w:shd w:val="clear" w:color="auto" w:fill="auto"/>
            <w:noWrap/>
            <w:vAlign w:val="bottom"/>
            <w:hideMark/>
          </w:tcPr>
          <w:p w14:paraId="4B6DC595"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345</w:t>
            </w:r>
          </w:p>
        </w:tc>
        <w:tc>
          <w:tcPr>
            <w:tcW w:w="1519" w:type="pct"/>
            <w:tcBorders>
              <w:top w:val="nil"/>
              <w:left w:val="nil"/>
              <w:bottom w:val="nil"/>
              <w:right w:val="nil"/>
            </w:tcBorders>
            <w:shd w:val="clear" w:color="auto" w:fill="auto"/>
            <w:noWrap/>
            <w:vAlign w:val="bottom"/>
            <w:hideMark/>
          </w:tcPr>
          <w:p w14:paraId="4D41BE71"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34.2%</w:t>
            </w:r>
          </w:p>
        </w:tc>
      </w:tr>
      <w:tr w:rsidR="00410B48" w:rsidRPr="00410B48" w14:paraId="51C8E009" w14:textId="77777777" w:rsidTr="00410B48">
        <w:trPr>
          <w:trHeight w:val="276"/>
        </w:trPr>
        <w:tc>
          <w:tcPr>
            <w:tcW w:w="1962" w:type="pct"/>
            <w:tcBorders>
              <w:top w:val="nil"/>
              <w:left w:val="nil"/>
              <w:bottom w:val="single" w:sz="4" w:space="0" w:color="auto"/>
              <w:right w:val="nil"/>
            </w:tcBorders>
            <w:shd w:val="clear" w:color="auto" w:fill="auto"/>
            <w:noWrap/>
            <w:vAlign w:val="bottom"/>
            <w:hideMark/>
          </w:tcPr>
          <w:p w14:paraId="578BB05B" w14:textId="77777777" w:rsidR="00410B48" w:rsidRPr="00410B48" w:rsidRDefault="00410B48" w:rsidP="00410B48">
            <w:pPr>
              <w:widowControl/>
              <w:ind w:firstLineChars="100" w:firstLine="220"/>
              <w:jc w:val="left"/>
              <w:rPr>
                <w:rFonts w:ascii="Times New Roman" w:eastAsia="宋体" w:hAnsi="Times New Roman" w:cs="Times New Roman"/>
                <w:kern w:val="0"/>
                <w:sz w:val="22"/>
              </w:rPr>
            </w:pPr>
            <w:r w:rsidRPr="00410B48">
              <w:rPr>
                <w:rFonts w:ascii="Times New Roman" w:eastAsia="宋体" w:hAnsi="Times New Roman" w:cs="Times New Roman"/>
                <w:kern w:val="0"/>
                <w:sz w:val="22"/>
              </w:rPr>
              <w:t>High Risk</w:t>
            </w:r>
          </w:p>
        </w:tc>
        <w:tc>
          <w:tcPr>
            <w:tcW w:w="1519" w:type="pct"/>
            <w:tcBorders>
              <w:top w:val="nil"/>
              <w:left w:val="nil"/>
              <w:bottom w:val="single" w:sz="4" w:space="0" w:color="auto"/>
              <w:right w:val="nil"/>
            </w:tcBorders>
            <w:shd w:val="clear" w:color="auto" w:fill="auto"/>
            <w:noWrap/>
            <w:vAlign w:val="bottom"/>
            <w:hideMark/>
          </w:tcPr>
          <w:p w14:paraId="24F9852D"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345</w:t>
            </w:r>
          </w:p>
        </w:tc>
        <w:tc>
          <w:tcPr>
            <w:tcW w:w="1519" w:type="pct"/>
            <w:tcBorders>
              <w:top w:val="nil"/>
              <w:left w:val="nil"/>
              <w:bottom w:val="single" w:sz="4" w:space="0" w:color="auto"/>
              <w:right w:val="nil"/>
            </w:tcBorders>
            <w:shd w:val="clear" w:color="auto" w:fill="auto"/>
            <w:noWrap/>
            <w:vAlign w:val="bottom"/>
            <w:hideMark/>
          </w:tcPr>
          <w:p w14:paraId="1376DB54" w14:textId="77777777" w:rsidR="00410B48" w:rsidRPr="00410B48" w:rsidRDefault="00410B48" w:rsidP="00410B48">
            <w:pPr>
              <w:widowControl/>
              <w:jc w:val="right"/>
              <w:rPr>
                <w:rFonts w:ascii="Times New Roman" w:eastAsia="宋体" w:hAnsi="Times New Roman" w:cs="Times New Roman"/>
                <w:kern w:val="0"/>
                <w:sz w:val="22"/>
              </w:rPr>
            </w:pPr>
            <w:r w:rsidRPr="00410B48">
              <w:rPr>
                <w:rFonts w:ascii="Times New Roman" w:eastAsia="宋体" w:hAnsi="Times New Roman" w:cs="Times New Roman"/>
                <w:kern w:val="0"/>
                <w:sz w:val="22"/>
              </w:rPr>
              <w:t>6.1%</w:t>
            </w:r>
          </w:p>
        </w:tc>
      </w:tr>
    </w:tbl>
    <w:p w14:paraId="64190A53" w14:textId="384C5131" w:rsidR="00410B48" w:rsidRPr="00F72CC4" w:rsidRDefault="00410B48" w:rsidP="00410B48">
      <w:pPr>
        <w:spacing w:line="360" w:lineRule="auto"/>
        <w:ind w:left="440" w:hangingChars="200" w:hanging="440"/>
        <w:jc w:val="center"/>
        <w:rPr>
          <w:rFonts w:ascii="Times New Roman" w:hAnsi="Times New Roman" w:cs="Times New Roman"/>
          <w:b/>
          <w:bCs/>
          <w:sz w:val="22"/>
        </w:rPr>
      </w:pPr>
      <w:r w:rsidRPr="00F72CC4">
        <w:rPr>
          <w:rFonts w:ascii="Times New Roman" w:hAnsi="Times New Roman" w:cs="Times New Roman" w:hint="eastAsia"/>
          <w:b/>
          <w:bCs/>
          <w:sz w:val="22"/>
        </w:rPr>
        <w:t>Panel</w:t>
      </w:r>
      <w:r w:rsidRPr="00F72CC4">
        <w:rPr>
          <w:rFonts w:ascii="Times New Roman" w:hAnsi="Times New Roman" w:cs="Times New Roman"/>
          <w:b/>
          <w:bCs/>
          <w:sz w:val="22"/>
        </w:rPr>
        <w:t xml:space="preserve"> B. Continuous Variables</w:t>
      </w:r>
    </w:p>
    <w:tbl>
      <w:tblPr>
        <w:tblW w:w="5000" w:type="pct"/>
        <w:tblLook w:val="04A0" w:firstRow="1" w:lastRow="0" w:firstColumn="1" w:lastColumn="0" w:noHBand="0" w:noVBand="1"/>
      </w:tblPr>
      <w:tblGrid>
        <w:gridCol w:w="1483"/>
        <w:gridCol w:w="975"/>
        <w:gridCol w:w="975"/>
        <w:gridCol w:w="975"/>
        <w:gridCol w:w="975"/>
        <w:gridCol w:w="975"/>
        <w:gridCol w:w="975"/>
        <w:gridCol w:w="973"/>
      </w:tblGrid>
      <w:tr w:rsidR="00410B48" w:rsidRPr="00410B48" w14:paraId="5DC706AC" w14:textId="77777777" w:rsidTr="003D67E4">
        <w:trPr>
          <w:trHeight w:val="276"/>
        </w:trPr>
        <w:tc>
          <w:tcPr>
            <w:tcW w:w="892" w:type="pct"/>
            <w:tcBorders>
              <w:top w:val="single" w:sz="4" w:space="0" w:color="auto"/>
              <w:left w:val="nil"/>
              <w:bottom w:val="single" w:sz="4" w:space="0" w:color="auto"/>
              <w:right w:val="nil"/>
            </w:tcBorders>
            <w:shd w:val="clear" w:color="auto" w:fill="auto"/>
            <w:noWrap/>
            <w:vAlign w:val="bottom"/>
            <w:hideMark/>
          </w:tcPr>
          <w:p w14:paraId="7FBBDD4E" w14:textId="47222F73" w:rsidR="00410B48" w:rsidRPr="00410B48" w:rsidRDefault="00410B48" w:rsidP="00410B48">
            <w:pPr>
              <w:widowControl/>
              <w:jc w:val="center"/>
              <w:rPr>
                <w:rFonts w:ascii="Times New Roman" w:eastAsia="宋体" w:hAnsi="Times New Roman" w:cs="Times New Roman"/>
                <w:kern w:val="0"/>
                <w:sz w:val="22"/>
              </w:rPr>
            </w:pPr>
          </w:p>
        </w:tc>
        <w:tc>
          <w:tcPr>
            <w:tcW w:w="587" w:type="pct"/>
            <w:tcBorders>
              <w:top w:val="single" w:sz="4" w:space="0" w:color="auto"/>
              <w:left w:val="nil"/>
              <w:bottom w:val="single" w:sz="4" w:space="0" w:color="auto"/>
              <w:right w:val="nil"/>
            </w:tcBorders>
            <w:shd w:val="clear" w:color="auto" w:fill="auto"/>
            <w:noWrap/>
            <w:vAlign w:val="bottom"/>
            <w:hideMark/>
          </w:tcPr>
          <w:p w14:paraId="6526048D"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Mean</w:t>
            </w:r>
          </w:p>
        </w:tc>
        <w:tc>
          <w:tcPr>
            <w:tcW w:w="587" w:type="pct"/>
            <w:tcBorders>
              <w:top w:val="single" w:sz="4" w:space="0" w:color="auto"/>
              <w:left w:val="nil"/>
              <w:bottom w:val="single" w:sz="4" w:space="0" w:color="auto"/>
              <w:right w:val="nil"/>
            </w:tcBorders>
            <w:shd w:val="clear" w:color="auto" w:fill="auto"/>
            <w:noWrap/>
            <w:vAlign w:val="bottom"/>
            <w:hideMark/>
          </w:tcPr>
          <w:p w14:paraId="7E8981F1"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Sd</w:t>
            </w:r>
          </w:p>
        </w:tc>
        <w:tc>
          <w:tcPr>
            <w:tcW w:w="587" w:type="pct"/>
            <w:tcBorders>
              <w:top w:val="single" w:sz="4" w:space="0" w:color="auto"/>
              <w:left w:val="nil"/>
              <w:bottom w:val="single" w:sz="4" w:space="0" w:color="auto"/>
              <w:right w:val="nil"/>
            </w:tcBorders>
            <w:shd w:val="clear" w:color="auto" w:fill="auto"/>
            <w:noWrap/>
            <w:vAlign w:val="bottom"/>
            <w:hideMark/>
          </w:tcPr>
          <w:p w14:paraId="7C4AE9E4"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Min</w:t>
            </w:r>
          </w:p>
        </w:tc>
        <w:tc>
          <w:tcPr>
            <w:tcW w:w="587" w:type="pct"/>
            <w:tcBorders>
              <w:top w:val="single" w:sz="4" w:space="0" w:color="auto"/>
              <w:left w:val="nil"/>
              <w:bottom w:val="single" w:sz="4" w:space="0" w:color="auto"/>
              <w:right w:val="nil"/>
            </w:tcBorders>
            <w:shd w:val="clear" w:color="auto" w:fill="auto"/>
            <w:noWrap/>
            <w:vAlign w:val="bottom"/>
            <w:hideMark/>
          </w:tcPr>
          <w:p w14:paraId="60FBCD08"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P25</w:t>
            </w:r>
          </w:p>
        </w:tc>
        <w:tc>
          <w:tcPr>
            <w:tcW w:w="587" w:type="pct"/>
            <w:tcBorders>
              <w:top w:val="single" w:sz="4" w:space="0" w:color="auto"/>
              <w:left w:val="nil"/>
              <w:bottom w:val="single" w:sz="4" w:space="0" w:color="auto"/>
              <w:right w:val="nil"/>
            </w:tcBorders>
            <w:shd w:val="clear" w:color="auto" w:fill="auto"/>
            <w:noWrap/>
            <w:vAlign w:val="bottom"/>
            <w:hideMark/>
          </w:tcPr>
          <w:p w14:paraId="36F599D4"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P50</w:t>
            </w:r>
          </w:p>
        </w:tc>
        <w:tc>
          <w:tcPr>
            <w:tcW w:w="587" w:type="pct"/>
            <w:tcBorders>
              <w:top w:val="single" w:sz="4" w:space="0" w:color="auto"/>
              <w:left w:val="nil"/>
              <w:bottom w:val="single" w:sz="4" w:space="0" w:color="auto"/>
              <w:right w:val="nil"/>
            </w:tcBorders>
            <w:shd w:val="clear" w:color="auto" w:fill="auto"/>
            <w:noWrap/>
            <w:vAlign w:val="bottom"/>
            <w:hideMark/>
          </w:tcPr>
          <w:p w14:paraId="071B1F67"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P75</w:t>
            </w:r>
          </w:p>
        </w:tc>
        <w:tc>
          <w:tcPr>
            <w:tcW w:w="587" w:type="pct"/>
            <w:tcBorders>
              <w:top w:val="single" w:sz="4" w:space="0" w:color="auto"/>
              <w:left w:val="nil"/>
              <w:bottom w:val="single" w:sz="4" w:space="0" w:color="auto"/>
              <w:right w:val="nil"/>
            </w:tcBorders>
            <w:shd w:val="clear" w:color="auto" w:fill="auto"/>
            <w:noWrap/>
            <w:vAlign w:val="bottom"/>
            <w:hideMark/>
          </w:tcPr>
          <w:p w14:paraId="36906D8A"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Max</w:t>
            </w:r>
          </w:p>
        </w:tc>
      </w:tr>
      <w:tr w:rsidR="00410B48" w:rsidRPr="00410B48" w14:paraId="2005CB56" w14:textId="77777777" w:rsidTr="003D67E4">
        <w:trPr>
          <w:trHeight w:val="276"/>
        </w:trPr>
        <w:tc>
          <w:tcPr>
            <w:tcW w:w="892" w:type="pct"/>
            <w:tcBorders>
              <w:top w:val="nil"/>
              <w:left w:val="nil"/>
              <w:bottom w:val="nil"/>
              <w:right w:val="nil"/>
            </w:tcBorders>
            <w:shd w:val="clear" w:color="auto" w:fill="auto"/>
            <w:noWrap/>
            <w:vAlign w:val="bottom"/>
            <w:hideMark/>
          </w:tcPr>
          <w:p w14:paraId="3757CF86"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Age</w:t>
            </w:r>
          </w:p>
        </w:tc>
        <w:tc>
          <w:tcPr>
            <w:tcW w:w="587" w:type="pct"/>
            <w:tcBorders>
              <w:top w:val="nil"/>
              <w:left w:val="nil"/>
              <w:bottom w:val="nil"/>
              <w:right w:val="nil"/>
            </w:tcBorders>
            <w:shd w:val="clear" w:color="auto" w:fill="auto"/>
            <w:noWrap/>
            <w:vAlign w:val="bottom"/>
            <w:hideMark/>
          </w:tcPr>
          <w:p w14:paraId="3EC115C1"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29.6</w:t>
            </w:r>
          </w:p>
        </w:tc>
        <w:tc>
          <w:tcPr>
            <w:tcW w:w="587" w:type="pct"/>
            <w:tcBorders>
              <w:top w:val="nil"/>
              <w:left w:val="nil"/>
              <w:bottom w:val="nil"/>
              <w:right w:val="nil"/>
            </w:tcBorders>
            <w:shd w:val="clear" w:color="auto" w:fill="auto"/>
            <w:noWrap/>
            <w:vAlign w:val="bottom"/>
            <w:hideMark/>
          </w:tcPr>
          <w:p w14:paraId="106C714C"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7.850</w:t>
            </w:r>
          </w:p>
        </w:tc>
        <w:tc>
          <w:tcPr>
            <w:tcW w:w="587" w:type="pct"/>
            <w:tcBorders>
              <w:top w:val="nil"/>
              <w:left w:val="nil"/>
              <w:bottom w:val="nil"/>
              <w:right w:val="nil"/>
            </w:tcBorders>
            <w:shd w:val="clear" w:color="auto" w:fill="auto"/>
            <w:noWrap/>
            <w:vAlign w:val="bottom"/>
            <w:hideMark/>
          </w:tcPr>
          <w:p w14:paraId="2B431E78"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19</w:t>
            </w:r>
          </w:p>
        </w:tc>
        <w:tc>
          <w:tcPr>
            <w:tcW w:w="587" w:type="pct"/>
            <w:tcBorders>
              <w:top w:val="nil"/>
              <w:left w:val="nil"/>
              <w:bottom w:val="nil"/>
              <w:right w:val="nil"/>
            </w:tcBorders>
            <w:shd w:val="clear" w:color="auto" w:fill="auto"/>
            <w:noWrap/>
            <w:vAlign w:val="bottom"/>
            <w:hideMark/>
          </w:tcPr>
          <w:p w14:paraId="48F49B5D"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24</w:t>
            </w:r>
          </w:p>
        </w:tc>
        <w:tc>
          <w:tcPr>
            <w:tcW w:w="587" w:type="pct"/>
            <w:tcBorders>
              <w:top w:val="nil"/>
              <w:left w:val="nil"/>
              <w:bottom w:val="nil"/>
              <w:right w:val="nil"/>
            </w:tcBorders>
            <w:shd w:val="clear" w:color="auto" w:fill="auto"/>
            <w:noWrap/>
            <w:vAlign w:val="bottom"/>
            <w:hideMark/>
          </w:tcPr>
          <w:p w14:paraId="6AF91A58"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28</w:t>
            </w:r>
          </w:p>
        </w:tc>
        <w:tc>
          <w:tcPr>
            <w:tcW w:w="587" w:type="pct"/>
            <w:tcBorders>
              <w:top w:val="nil"/>
              <w:left w:val="nil"/>
              <w:bottom w:val="nil"/>
              <w:right w:val="nil"/>
            </w:tcBorders>
            <w:shd w:val="clear" w:color="auto" w:fill="auto"/>
            <w:noWrap/>
            <w:vAlign w:val="bottom"/>
            <w:hideMark/>
          </w:tcPr>
          <w:p w14:paraId="7174A0D2"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34</w:t>
            </w:r>
          </w:p>
        </w:tc>
        <w:tc>
          <w:tcPr>
            <w:tcW w:w="587" w:type="pct"/>
            <w:tcBorders>
              <w:top w:val="nil"/>
              <w:left w:val="nil"/>
              <w:bottom w:val="nil"/>
              <w:right w:val="nil"/>
            </w:tcBorders>
            <w:shd w:val="clear" w:color="auto" w:fill="auto"/>
            <w:noWrap/>
            <w:vAlign w:val="bottom"/>
            <w:hideMark/>
          </w:tcPr>
          <w:p w14:paraId="224A8610"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59</w:t>
            </w:r>
          </w:p>
        </w:tc>
      </w:tr>
      <w:tr w:rsidR="00410B48" w:rsidRPr="00410B48" w14:paraId="51557539" w14:textId="77777777" w:rsidTr="003D67E4">
        <w:trPr>
          <w:trHeight w:val="276"/>
        </w:trPr>
        <w:tc>
          <w:tcPr>
            <w:tcW w:w="892" w:type="pct"/>
            <w:tcBorders>
              <w:top w:val="nil"/>
              <w:left w:val="nil"/>
              <w:bottom w:val="single" w:sz="4" w:space="0" w:color="auto"/>
              <w:right w:val="nil"/>
            </w:tcBorders>
            <w:shd w:val="clear" w:color="auto" w:fill="auto"/>
            <w:noWrap/>
            <w:vAlign w:val="bottom"/>
            <w:hideMark/>
          </w:tcPr>
          <w:p w14:paraId="19566C93" w14:textId="5318F188"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Experience</w:t>
            </w:r>
          </w:p>
        </w:tc>
        <w:tc>
          <w:tcPr>
            <w:tcW w:w="587" w:type="pct"/>
            <w:tcBorders>
              <w:top w:val="nil"/>
              <w:left w:val="nil"/>
              <w:bottom w:val="single" w:sz="4" w:space="0" w:color="auto"/>
              <w:right w:val="nil"/>
            </w:tcBorders>
            <w:shd w:val="clear" w:color="auto" w:fill="auto"/>
            <w:noWrap/>
            <w:vAlign w:val="bottom"/>
            <w:hideMark/>
          </w:tcPr>
          <w:p w14:paraId="238FFE13"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4.8</w:t>
            </w:r>
          </w:p>
        </w:tc>
        <w:tc>
          <w:tcPr>
            <w:tcW w:w="587" w:type="pct"/>
            <w:tcBorders>
              <w:top w:val="nil"/>
              <w:left w:val="nil"/>
              <w:bottom w:val="single" w:sz="4" w:space="0" w:color="auto"/>
              <w:right w:val="nil"/>
            </w:tcBorders>
            <w:shd w:val="clear" w:color="auto" w:fill="auto"/>
            <w:noWrap/>
            <w:vAlign w:val="bottom"/>
            <w:hideMark/>
          </w:tcPr>
          <w:p w14:paraId="6612DAFE"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3.990</w:t>
            </w:r>
          </w:p>
        </w:tc>
        <w:tc>
          <w:tcPr>
            <w:tcW w:w="587" w:type="pct"/>
            <w:tcBorders>
              <w:top w:val="nil"/>
              <w:left w:val="nil"/>
              <w:bottom w:val="single" w:sz="4" w:space="0" w:color="auto"/>
              <w:right w:val="nil"/>
            </w:tcBorders>
            <w:shd w:val="clear" w:color="auto" w:fill="auto"/>
            <w:noWrap/>
            <w:vAlign w:val="bottom"/>
            <w:hideMark/>
          </w:tcPr>
          <w:p w14:paraId="7C683609"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0</w:t>
            </w:r>
          </w:p>
        </w:tc>
        <w:tc>
          <w:tcPr>
            <w:tcW w:w="587" w:type="pct"/>
            <w:tcBorders>
              <w:top w:val="nil"/>
              <w:left w:val="nil"/>
              <w:bottom w:val="single" w:sz="4" w:space="0" w:color="auto"/>
              <w:right w:val="nil"/>
            </w:tcBorders>
            <w:shd w:val="clear" w:color="auto" w:fill="auto"/>
            <w:noWrap/>
            <w:vAlign w:val="bottom"/>
            <w:hideMark/>
          </w:tcPr>
          <w:p w14:paraId="44EDE976"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2</w:t>
            </w:r>
          </w:p>
        </w:tc>
        <w:tc>
          <w:tcPr>
            <w:tcW w:w="587" w:type="pct"/>
            <w:tcBorders>
              <w:top w:val="nil"/>
              <w:left w:val="nil"/>
              <w:bottom w:val="single" w:sz="4" w:space="0" w:color="auto"/>
              <w:right w:val="nil"/>
            </w:tcBorders>
            <w:shd w:val="clear" w:color="auto" w:fill="auto"/>
            <w:noWrap/>
            <w:vAlign w:val="bottom"/>
            <w:hideMark/>
          </w:tcPr>
          <w:p w14:paraId="762226CF"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4</w:t>
            </w:r>
          </w:p>
        </w:tc>
        <w:tc>
          <w:tcPr>
            <w:tcW w:w="587" w:type="pct"/>
            <w:tcBorders>
              <w:top w:val="nil"/>
              <w:left w:val="nil"/>
              <w:bottom w:val="single" w:sz="4" w:space="0" w:color="auto"/>
              <w:right w:val="nil"/>
            </w:tcBorders>
            <w:shd w:val="clear" w:color="auto" w:fill="auto"/>
            <w:noWrap/>
            <w:vAlign w:val="bottom"/>
            <w:hideMark/>
          </w:tcPr>
          <w:p w14:paraId="1737D654"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5</w:t>
            </w:r>
          </w:p>
        </w:tc>
        <w:tc>
          <w:tcPr>
            <w:tcW w:w="587" w:type="pct"/>
            <w:tcBorders>
              <w:top w:val="nil"/>
              <w:left w:val="nil"/>
              <w:bottom w:val="single" w:sz="4" w:space="0" w:color="auto"/>
              <w:right w:val="nil"/>
            </w:tcBorders>
            <w:shd w:val="clear" w:color="auto" w:fill="auto"/>
            <w:noWrap/>
            <w:vAlign w:val="bottom"/>
            <w:hideMark/>
          </w:tcPr>
          <w:p w14:paraId="54260332" w14:textId="77777777" w:rsidR="00410B48" w:rsidRPr="00410B48" w:rsidRDefault="00410B48" w:rsidP="00410B48">
            <w:pPr>
              <w:widowControl/>
              <w:jc w:val="center"/>
              <w:rPr>
                <w:rFonts w:ascii="Times New Roman" w:eastAsia="宋体" w:hAnsi="Times New Roman" w:cs="Times New Roman"/>
                <w:kern w:val="0"/>
                <w:sz w:val="22"/>
              </w:rPr>
            </w:pPr>
            <w:r w:rsidRPr="00410B48">
              <w:rPr>
                <w:rFonts w:ascii="Times New Roman" w:eastAsia="宋体" w:hAnsi="Times New Roman" w:cs="Times New Roman"/>
                <w:kern w:val="0"/>
                <w:sz w:val="22"/>
              </w:rPr>
              <w:t>23</w:t>
            </w:r>
          </w:p>
        </w:tc>
      </w:tr>
    </w:tbl>
    <w:p w14:paraId="420F79C5" w14:textId="6A63BE80" w:rsidR="00410B48" w:rsidRDefault="00410B48" w:rsidP="0046484C">
      <w:pPr>
        <w:spacing w:line="360" w:lineRule="auto"/>
        <w:ind w:left="420" w:hangingChars="200" w:hanging="420"/>
        <w:jc w:val="center"/>
        <w:rPr>
          <w:rFonts w:ascii="Times New Roman" w:hAnsi="Times New Roman" w:cs="Times New Roman"/>
          <w:b/>
          <w:bCs/>
        </w:rPr>
        <w:sectPr w:rsidR="00410B48" w:rsidSect="008A25AB">
          <w:pgSz w:w="11906" w:h="16838"/>
          <w:pgMar w:top="1440" w:right="1800" w:bottom="1440" w:left="1800" w:header="851" w:footer="992" w:gutter="0"/>
          <w:cols w:space="425"/>
          <w:docGrid w:type="lines" w:linePitch="312"/>
        </w:sectPr>
      </w:pPr>
    </w:p>
    <w:p w14:paraId="303E39DB" w14:textId="75AAB7C3" w:rsidR="006B4EEF" w:rsidRPr="00F72CC4" w:rsidRDefault="007A44A3" w:rsidP="0046484C">
      <w:pPr>
        <w:spacing w:line="360" w:lineRule="auto"/>
        <w:ind w:left="440" w:hangingChars="200" w:hanging="440"/>
        <w:jc w:val="center"/>
        <w:rPr>
          <w:rFonts w:ascii="Times New Roman" w:hAnsi="Times New Roman" w:cs="Times New Roman"/>
          <w:b/>
          <w:bCs/>
          <w:sz w:val="22"/>
        </w:rPr>
      </w:pPr>
      <w:r w:rsidRPr="00F72CC4">
        <w:rPr>
          <w:rFonts w:ascii="Times New Roman" w:hAnsi="Times New Roman" w:cs="Times New Roman" w:hint="eastAsia"/>
          <w:b/>
          <w:bCs/>
          <w:sz w:val="22"/>
        </w:rPr>
        <w:lastRenderedPageBreak/>
        <w:t>T</w:t>
      </w:r>
      <w:r w:rsidRPr="00F72CC4">
        <w:rPr>
          <w:rFonts w:ascii="Times New Roman" w:hAnsi="Times New Roman" w:cs="Times New Roman"/>
          <w:b/>
          <w:bCs/>
          <w:sz w:val="22"/>
        </w:rPr>
        <w:t xml:space="preserve">able 2. Attributes and </w:t>
      </w:r>
      <w:r w:rsidR="00262EC3" w:rsidRPr="00F72CC4">
        <w:rPr>
          <w:rFonts w:ascii="Times New Roman" w:hAnsi="Times New Roman" w:cs="Times New Roman"/>
          <w:b/>
          <w:bCs/>
          <w:sz w:val="22"/>
        </w:rPr>
        <w:t>Attribute Levels</w:t>
      </w:r>
      <w:r w:rsidRPr="00F72CC4">
        <w:rPr>
          <w:rFonts w:ascii="Times New Roman" w:hAnsi="Times New Roman" w:cs="Times New Roman"/>
          <w:b/>
          <w:bCs/>
          <w:sz w:val="22"/>
        </w:rPr>
        <w:t xml:space="preserve"> in the choice experiment</w:t>
      </w:r>
      <w:r w:rsidR="0046484C" w:rsidRPr="00F72CC4">
        <w:rPr>
          <w:rFonts w:ascii="Times New Roman" w:hAnsi="Times New Roman" w:cs="Times New Roman"/>
          <w:b/>
          <w:bCs/>
          <w:sz w:val="22"/>
        </w:rPr>
        <w:t>s</w:t>
      </w:r>
    </w:p>
    <w:tbl>
      <w:tblPr>
        <w:tblW w:w="5000" w:type="pct"/>
        <w:tblLook w:val="04A0" w:firstRow="1" w:lastRow="0" w:firstColumn="1" w:lastColumn="0" w:noHBand="0" w:noVBand="1"/>
      </w:tblPr>
      <w:tblGrid>
        <w:gridCol w:w="4216"/>
        <w:gridCol w:w="4090"/>
      </w:tblGrid>
      <w:tr w:rsidR="007A44A3" w:rsidRPr="00F72CC4" w14:paraId="3D26531B" w14:textId="77777777" w:rsidTr="00007194">
        <w:trPr>
          <w:trHeight w:val="276"/>
        </w:trPr>
        <w:tc>
          <w:tcPr>
            <w:tcW w:w="2538" w:type="pct"/>
            <w:tcBorders>
              <w:top w:val="single" w:sz="4" w:space="0" w:color="auto"/>
              <w:left w:val="nil"/>
              <w:bottom w:val="single" w:sz="4" w:space="0" w:color="auto"/>
              <w:right w:val="nil"/>
            </w:tcBorders>
            <w:shd w:val="clear" w:color="auto" w:fill="auto"/>
            <w:noWrap/>
            <w:vAlign w:val="bottom"/>
            <w:hideMark/>
          </w:tcPr>
          <w:p w14:paraId="45299A42" w14:textId="77777777" w:rsidR="007A44A3" w:rsidRPr="00F72CC4" w:rsidRDefault="007A44A3"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Attributes</w:t>
            </w:r>
          </w:p>
        </w:tc>
        <w:tc>
          <w:tcPr>
            <w:tcW w:w="2462" w:type="pct"/>
            <w:tcBorders>
              <w:top w:val="single" w:sz="4" w:space="0" w:color="auto"/>
              <w:left w:val="nil"/>
              <w:bottom w:val="single" w:sz="4" w:space="0" w:color="auto"/>
              <w:right w:val="nil"/>
            </w:tcBorders>
            <w:shd w:val="clear" w:color="auto" w:fill="auto"/>
            <w:noWrap/>
            <w:vAlign w:val="bottom"/>
            <w:hideMark/>
          </w:tcPr>
          <w:p w14:paraId="680FB1D6" w14:textId="3E444DB2" w:rsidR="007A44A3" w:rsidRPr="00F72CC4" w:rsidRDefault="00262EC3"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Attribute Levels</w:t>
            </w:r>
          </w:p>
        </w:tc>
      </w:tr>
      <w:tr w:rsidR="007A44A3" w:rsidRPr="00F72CC4" w14:paraId="1276A64C" w14:textId="77777777" w:rsidTr="00007194">
        <w:trPr>
          <w:trHeight w:val="276"/>
        </w:trPr>
        <w:tc>
          <w:tcPr>
            <w:tcW w:w="2538" w:type="pct"/>
            <w:tcBorders>
              <w:top w:val="nil"/>
              <w:left w:val="nil"/>
              <w:bottom w:val="nil"/>
              <w:right w:val="nil"/>
            </w:tcBorders>
            <w:shd w:val="clear" w:color="auto" w:fill="auto"/>
            <w:noWrap/>
            <w:vAlign w:val="bottom"/>
            <w:hideMark/>
          </w:tcPr>
          <w:p w14:paraId="024F1006" w14:textId="3F1EEC36" w:rsidR="007A44A3" w:rsidRPr="00F72CC4" w:rsidRDefault="007A44A3"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 xml:space="preserve">Signing </w:t>
            </w:r>
            <w:r w:rsidR="009D2FE9" w:rsidRPr="00F72CC4">
              <w:rPr>
                <w:rFonts w:ascii="Times New Roman" w:eastAsia="等线" w:hAnsi="Times New Roman" w:cs="Times New Roman"/>
                <w:color w:val="000000"/>
                <w:kern w:val="0"/>
                <w:sz w:val="22"/>
              </w:rPr>
              <w:t xml:space="preserve">the </w:t>
            </w:r>
            <w:r w:rsidRPr="00F72CC4">
              <w:rPr>
                <w:rFonts w:ascii="Times New Roman" w:eastAsia="等线" w:hAnsi="Times New Roman" w:cs="Times New Roman"/>
                <w:color w:val="000000"/>
                <w:kern w:val="0"/>
                <w:sz w:val="22"/>
              </w:rPr>
              <w:t>UNPRI</w:t>
            </w:r>
          </w:p>
        </w:tc>
        <w:tc>
          <w:tcPr>
            <w:tcW w:w="2462" w:type="pct"/>
            <w:tcBorders>
              <w:top w:val="nil"/>
              <w:left w:val="nil"/>
              <w:bottom w:val="nil"/>
              <w:right w:val="nil"/>
            </w:tcBorders>
            <w:shd w:val="clear" w:color="auto" w:fill="auto"/>
            <w:noWrap/>
            <w:vAlign w:val="bottom"/>
            <w:hideMark/>
          </w:tcPr>
          <w:p w14:paraId="2E266829" w14:textId="77777777" w:rsidR="007A44A3" w:rsidRPr="00F72CC4" w:rsidRDefault="007A44A3"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 xml:space="preserve">YES, </w:t>
            </w:r>
            <w:proofErr w:type="gramStart"/>
            <w:r w:rsidRPr="00F72CC4">
              <w:rPr>
                <w:rFonts w:ascii="Times New Roman" w:eastAsia="等线" w:hAnsi="Times New Roman" w:cs="Times New Roman"/>
                <w:color w:val="000000"/>
                <w:kern w:val="0"/>
                <w:sz w:val="22"/>
              </w:rPr>
              <w:t>No</w:t>
            </w:r>
            <w:proofErr w:type="gramEnd"/>
          </w:p>
        </w:tc>
      </w:tr>
      <w:tr w:rsidR="007A44A3" w:rsidRPr="00F72CC4" w14:paraId="6B40669A" w14:textId="77777777" w:rsidTr="00007194">
        <w:trPr>
          <w:trHeight w:val="276"/>
        </w:trPr>
        <w:tc>
          <w:tcPr>
            <w:tcW w:w="2538" w:type="pct"/>
            <w:tcBorders>
              <w:top w:val="nil"/>
              <w:left w:val="nil"/>
              <w:bottom w:val="nil"/>
              <w:right w:val="nil"/>
            </w:tcBorders>
            <w:shd w:val="clear" w:color="auto" w:fill="auto"/>
            <w:noWrap/>
            <w:hideMark/>
          </w:tcPr>
          <w:p w14:paraId="6CD65AF8" w14:textId="77777777" w:rsidR="007A44A3" w:rsidRPr="00F72CC4" w:rsidRDefault="007A44A3" w:rsidP="00007194">
            <w:pPr>
              <w:widowControl/>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Past Performance</w:t>
            </w:r>
          </w:p>
        </w:tc>
        <w:tc>
          <w:tcPr>
            <w:tcW w:w="2462" w:type="pct"/>
            <w:tcBorders>
              <w:top w:val="nil"/>
              <w:left w:val="nil"/>
              <w:bottom w:val="nil"/>
              <w:right w:val="nil"/>
            </w:tcBorders>
            <w:shd w:val="clear" w:color="auto" w:fill="auto"/>
            <w:noWrap/>
            <w:vAlign w:val="bottom"/>
            <w:hideMark/>
          </w:tcPr>
          <w:p w14:paraId="766CC01F" w14:textId="580AFEBD" w:rsidR="007A44A3" w:rsidRPr="00F72CC4" w:rsidRDefault="007A44A3"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High (</w:t>
            </w:r>
            <w:r w:rsidR="00B25609" w:rsidRPr="00F72CC4">
              <w:rPr>
                <w:rFonts w:ascii="Times New Roman" w:eastAsia="等线" w:hAnsi="Times New Roman" w:cs="Times New Roman"/>
                <w:color w:val="000000"/>
                <w:kern w:val="0"/>
                <w:sz w:val="22"/>
              </w:rPr>
              <w:t xml:space="preserve">the </w:t>
            </w:r>
            <w:r w:rsidRPr="00F72CC4">
              <w:rPr>
                <w:rFonts w:ascii="Times New Roman" w:eastAsia="等线" w:hAnsi="Times New Roman" w:cs="Times New Roman"/>
                <w:color w:val="000000"/>
                <w:kern w:val="0"/>
                <w:sz w:val="22"/>
              </w:rPr>
              <w:t>80th percentile)</w:t>
            </w:r>
          </w:p>
          <w:p w14:paraId="451351FC" w14:textId="38DB6F47" w:rsidR="007A44A3" w:rsidRPr="00F72CC4" w:rsidRDefault="007A44A3"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Middle (</w:t>
            </w:r>
            <w:r w:rsidR="00B25609" w:rsidRPr="00F72CC4">
              <w:rPr>
                <w:rFonts w:ascii="Times New Roman" w:eastAsia="等线" w:hAnsi="Times New Roman" w:cs="Times New Roman"/>
                <w:color w:val="000000"/>
                <w:kern w:val="0"/>
                <w:sz w:val="22"/>
              </w:rPr>
              <w:t xml:space="preserve">the </w:t>
            </w:r>
            <w:r w:rsidRPr="00F72CC4">
              <w:rPr>
                <w:rFonts w:ascii="Times New Roman" w:eastAsia="等线" w:hAnsi="Times New Roman" w:cs="Times New Roman"/>
                <w:color w:val="000000"/>
                <w:kern w:val="0"/>
                <w:sz w:val="22"/>
              </w:rPr>
              <w:t>50th percentile)</w:t>
            </w:r>
          </w:p>
          <w:p w14:paraId="113CF99B" w14:textId="5548CFBB" w:rsidR="007A44A3" w:rsidRPr="00F72CC4" w:rsidRDefault="007A44A3"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Low (</w:t>
            </w:r>
            <w:r w:rsidR="00B25609" w:rsidRPr="00F72CC4">
              <w:rPr>
                <w:rFonts w:ascii="Times New Roman" w:eastAsia="等线" w:hAnsi="Times New Roman" w:cs="Times New Roman"/>
                <w:color w:val="000000"/>
                <w:kern w:val="0"/>
                <w:sz w:val="22"/>
              </w:rPr>
              <w:t xml:space="preserve">the </w:t>
            </w:r>
            <w:r w:rsidRPr="00F72CC4">
              <w:rPr>
                <w:rFonts w:ascii="Times New Roman" w:eastAsia="等线" w:hAnsi="Times New Roman" w:cs="Times New Roman"/>
                <w:color w:val="000000"/>
                <w:kern w:val="0"/>
                <w:sz w:val="22"/>
              </w:rPr>
              <w:t>20th percentile)</w:t>
            </w:r>
          </w:p>
        </w:tc>
      </w:tr>
      <w:tr w:rsidR="007A44A3" w:rsidRPr="00F72CC4" w14:paraId="0DCCA985" w14:textId="77777777" w:rsidTr="00007194">
        <w:trPr>
          <w:trHeight w:val="276"/>
        </w:trPr>
        <w:tc>
          <w:tcPr>
            <w:tcW w:w="2538" w:type="pct"/>
            <w:tcBorders>
              <w:top w:val="nil"/>
              <w:left w:val="nil"/>
              <w:bottom w:val="nil"/>
              <w:right w:val="nil"/>
            </w:tcBorders>
            <w:shd w:val="clear" w:color="auto" w:fill="auto"/>
            <w:noWrap/>
            <w:hideMark/>
          </w:tcPr>
          <w:p w14:paraId="20AD2419" w14:textId="77777777" w:rsidR="007A44A3" w:rsidRPr="00F72CC4" w:rsidRDefault="007A44A3" w:rsidP="00007194">
            <w:pPr>
              <w:widowControl/>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Fund Family Size</w:t>
            </w:r>
          </w:p>
        </w:tc>
        <w:tc>
          <w:tcPr>
            <w:tcW w:w="2462" w:type="pct"/>
            <w:tcBorders>
              <w:top w:val="nil"/>
              <w:left w:val="nil"/>
              <w:bottom w:val="nil"/>
              <w:right w:val="nil"/>
            </w:tcBorders>
            <w:shd w:val="clear" w:color="auto" w:fill="auto"/>
            <w:noWrap/>
            <w:vAlign w:val="bottom"/>
            <w:hideMark/>
          </w:tcPr>
          <w:p w14:paraId="2D4E9A31" w14:textId="4D07BE01" w:rsidR="007A44A3" w:rsidRPr="00F72CC4" w:rsidRDefault="00B25609"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Large</w:t>
            </w:r>
            <w:r w:rsidR="007A44A3" w:rsidRPr="00F72CC4">
              <w:rPr>
                <w:rFonts w:ascii="Times New Roman" w:eastAsia="等线" w:hAnsi="Times New Roman" w:cs="Times New Roman"/>
                <w:color w:val="000000"/>
                <w:kern w:val="0"/>
                <w:sz w:val="22"/>
              </w:rPr>
              <w:t xml:space="preserve"> (</w:t>
            </w:r>
            <w:r w:rsidRPr="00F72CC4">
              <w:rPr>
                <w:rFonts w:ascii="Times New Roman" w:eastAsia="等线" w:hAnsi="Times New Roman" w:cs="Times New Roman"/>
                <w:color w:val="000000"/>
                <w:kern w:val="0"/>
                <w:sz w:val="22"/>
              </w:rPr>
              <w:t xml:space="preserve">the </w:t>
            </w:r>
            <w:r w:rsidR="007A44A3" w:rsidRPr="00F72CC4">
              <w:rPr>
                <w:rFonts w:ascii="Times New Roman" w:eastAsia="等线" w:hAnsi="Times New Roman" w:cs="Times New Roman"/>
                <w:color w:val="000000"/>
                <w:kern w:val="0"/>
                <w:sz w:val="22"/>
              </w:rPr>
              <w:t>80th percentile)</w:t>
            </w:r>
          </w:p>
          <w:p w14:paraId="3B7E0BBD" w14:textId="3598FF62" w:rsidR="007A44A3" w:rsidRPr="00F72CC4" w:rsidRDefault="007A44A3"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Middle (</w:t>
            </w:r>
            <w:r w:rsidR="00B25609" w:rsidRPr="00F72CC4">
              <w:rPr>
                <w:rFonts w:ascii="Times New Roman" w:eastAsia="等线" w:hAnsi="Times New Roman" w:cs="Times New Roman"/>
                <w:color w:val="000000"/>
                <w:kern w:val="0"/>
                <w:sz w:val="22"/>
              </w:rPr>
              <w:t xml:space="preserve">the </w:t>
            </w:r>
            <w:r w:rsidRPr="00F72CC4">
              <w:rPr>
                <w:rFonts w:ascii="Times New Roman" w:eastAsia="等线" w:hAnsi="Times New Roman" w:cs="Times New Roman"/>
                <w:color w:val="000000"/>
                <w:kern w:val="0"/>
                <w:sz w:val="22"/>
              </w:rPr>
              <w:t>50th percentile)</w:t>
            </w:r>
          </w:p>
          <w:p w14:paraId="6D952581" w14:textId="6EEA1A15" w:rsidR="007A44A3" w:rsidRPr="00F72CC4" w:rsidRDefault="00B25609"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Small</w:t>
            </w:r>
            <w:r w:rsidR="007A44A3" w:rsidRPr="00F72CC4">
              <w:rPr>
                <w:rFonts w:ascii="Times New Roman" w:eastAsia="等线" w:hAnsi="Times New Roman" w:cs="Times New Roman"/>
                <w:color w:val="000000"/>
                <w:kern w:val="0"/>
                <w:sz w:val="22"/>
              </w:rPr>
              <w:t xml:space="preserve"> (</w:t>
            </w:r>
            <w:r w:rsidRPr="00F72CC4">
              <w:rPr>
                <w:rFonts w:ascii="Times New Roman" w:eastAsia="等线" w:hAnsi="Times New Roman" w:cs="Times New Roman"/>
                <w:color w:val="000000"/>
                <w:kern w:val="0"/>
                <w:sz w:val="22"/>
              </w:rPr>
              <w:t xml:space="preserve">the </w:t>
            </w:r>
            <w:r w:rsidR="007A44A3" w:rsidRPr="00F72CC4">
              <w:rPr>
                <w:rFonts w:ascii="Times New Roman" w:eastAsia="等线" w:hAnsi="Times New Roman" w:cs="Times New Roman"/>
                <w:color w:val="000000"/>
                <w:kern w:val="0"/>
                <w:sz w:val="22"/>
              </w:rPr>
              <w:t>20th percentile)</w:t>
            </w:r>
          </w:p>
        </w:tc>
      </w:tr>
      <w:tr w:rsidR="007A44A3" w:rsidRPr="00F72CC4" w14:paraId="1F8EBDE9" w14:textId="77777777" w:rsidTr="00007194">
        <w:trPr>
          <w:trHeight w:val="276"/>
        </w:trPr>
        <w:tc>
          <w:tcPr>
            <w:tcW w:w="2538" w:type="pct"/>
            <w:tcBorders>
              <w:top w:val="nil"/>
              <w:left w:val="nil"/>
              <w:bottom w:val="nil"/>
              <w:right w:val="nil"/>
            </w:tcBorders>
            <w:shd w:val="clear" w:color="auto" w:fill="auto"/>
            <w:noWrap/>
            <w:hideMark/>
          </w:tcPr>
          <w:p w14:paraId="7F901D44" w14:textId="77777777" w:rsidR="007A44A3" w:rsidRPr="00F72CC4" w:rsidRDefault="007A44A3" w:rsidP="00007194">
            <w:pPr>
              <w:widowControl/>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Fund Size</w:t>
            </w:r>
          </w:p>
        </w:tc>
        <w:tc>
          <w:tcPr>
            <w:tcW w:w="2462" w:type="pct"/>
            <w:tcBorders>
              <w:top w:val="nil"/>
              <w:left w:val="nil"/>
              <w:bottom w:val="nil"/>
              <w:right w:val="nil"/>
            </w:tcBorders>
            <w:shd w:val="clear" w:color="auto" w:fill="auto"/>
            <w:noWrap/>
            <w:vAlign w:val="bottom"/>
            <w:hideMark/>
          </w:tcPr>
          <w:p w14:paraId="56BFC49E" w14:textId="64F6F064" w:rsidR="007A44A3" w:rsidRPr="00F72CC4" w:rsidRDefault="00B25609"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Large</w:t>
            </w:r>
            <w:r w:rsidR="007A44A3" w:rsidRPr="00F72CC4">
              <w:rPr>
                <w:rFonts w:ascii="Times New Roman" w:eastAsia="等线" w:hAnsi="Times New Roman" w:cs="Times New Roman"/>
                <w:color w:val="000000"/>
                <w:kern w:val="0"/>
                <w:sz w:val="22"/>
              </w:rPr>
              <w:t xml:space="preserve"> (</w:t>
            </w:r>
            <w:r w:rsidRPr="00F72CC4">
              <w:rPr>
                <w:rFonts w:ascii="Times New Roman" w:eastAsia="等线" w:hAnsi="Times New Roman" w:cs="Times New Roman"/>
                <w:color w:val="000000"/>
                <w:kern w:val="0"/>
                <w:sz w:val="22"/>
              </w:rPr>
              <w:t xml:space="preserve">the </w:t>
            </w:r>
            <w:r w:rsidR="007A44A3" w:rsidRPr="00F72CC4">
              <w:rPr>
                <w:rFonts w:ascii="Times New Roman" w:eastAsia="等线" w:hAnsi="Times New Roman" w:cs="Times New Roman"/>
                <w:color w:val="000000"/>
                <w:kern w:val="0"/>
                <w:sz w:val="22"/>
              </w:rPr>
              <w:t>80th percentile)</w:t>
            </w:r>
          </w:p>
          <w:p w14:paraId="15E6D89D" w14:textId="564CF01A" w:rsidR="007A44A3" w:rsidRPr="00F72CC4" w:rsidRDefault="007A44A3"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Middle (</w:t>
            </w:r>
            <w:r w:rsidR="00B25609" w:rsidRPr="00F72CC4">
              <w:rPr>
                <w:rFonts w:ascii="Times New Roman" w:eastAsia="等线" w:hAnsi="Times New Roman" w:cs="Times New Roman"/>
                <w:color w:val="000000"/>
                <w:kern w:val="0"/>
                <w:sz w:val="22"/>
              </w:rPr>
              <w:t xml:space="preserve">the </w:t>
            </w:r>
            <w:r w:rsidRPr="00F72CC4">
              <w:rPr>
                <w:rFonts w:ascii="Times New Roman" w:eastAsia="等线" w:hAnsi="Times New Roman" w:cs="Times New Roman"/>
                <w:color w:val="000000"/>
                <w:kern w:val="0"/>
                <w:sz w:val="22"/>
              </w:rPr>
              <w:t>50th percentile)</w:t>
            </w:r>
          </w:p>
          <w:p w14:paraId="5410B223" w14:textId="05046559" w:rsidR="007A44A3" w:rsidRPr="00F72CC4" w:rsidRDefault="00B25609"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Small</w:t>
            </w:r>
            <w:r w:rsidR="007A44A3" w:rsidRPr="00F72CC4">
              <w:rPr>
                <w:rFonts w:ascii="Times New Roman" w:eastAsia="等线" w:hAnsi="Times New Roman" w:cs="Times New Roman"/>
                <w:color w:val="000000"/>
                <w:kern w:val="0"/>
                <w:sz w:val="22"/>
              </w:rPr>
              <w:t xml:space="preserve"> (</w:t>
            </w:r>
            <w:r w:rsidRPr="00F72CC4">
              <w:rPr>
                <w:rFonts w:ascii="Times New Roman" w:eastAsia="等线" w:hAnsi="Times New Roman" w:cs="Times New Roman"/>
                <w:color w:val="000000"/>
                <w:kern w:val="0"/>
                <w:sz w:val="22"/>
              </w:rPr>
              <w:t xml:space="preserve">the </w:t>
            </w:r>
            <w:r w:rsidR="007A44A3" w:rsidRPr="00F72CC4">
              <w:rPr>
                <w:rFonts w:ascii="Times New Roman" w:eastAsia="等线" w:hAnsi="Times New Roman" w:cs="Times New Roman"/>
                <w:color w:val="000000"/>
                <w:kern w:val="0"/>
                <w:sz w:val="22"/>
              </w:rPr>
              <w:t>20th percentile)</w:t>
            </w:r>
          </w:p>
        </w:tc>
      </w:tr>
      <w:tr w:rsidR="007A44A3" w:rsidRPr="00F72CC4" w14:paraId="32848BCE" w14:textId="77777777" w:rsidTr="00007194">
        <w:trPr>
          <w:trHeight w:val="276"/>
        </w:trPr>
        <w:tc>
          <w:tcPr>
            <w:tcW w:w="2538" w:type="pct"/>
            <w:tcBorders>
              <w:top w:val="nil"/>
              <w:left w:val="nil"/>
              <w:bottom w:val="single" w:sz="4" w:space="0" w:color="auto"/>
              <w:right w:val="nil"/>
            </w:tcBorders>
            <w:shd w:val="clear" w:color="auto" w:fill="auto"/>
            <w:noWrap/>
            <w:vAlign w:val="bottom"/>
            <w:hideMark/>
          </w:tcPr>
          <w:p w14:paraId="42185B47" w14:textId="77777777" w:rsidR="007A44A3" w:rsidRPr="00F72CC4" w:rsidRDefault="007A44A3"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Annual Management Fee</w:t>
            </w:r>
          </w:p>
        </w:tc>
        <w:tc>
          <w:tcPr>
            <w:tcW w:w="2462" w:type="pct"/>
            <w:tcBorders>
              <w:top w:val="nil"/>
              <w:left w:val="nil"/>
              <w:bottom w:val="single" w:sz="4" w:space="0" w:color="auto"/>
              <w:right w:val="nil"/>
            </w:tcBorders>
            <w:shd w:val="clear" w:color="auto" w:fill="auto"/>
            <w:noWrap/>
            <w:vAlign w:val="bottom"/>
            <w:hideMark/>
          </w:tcPr>
          <w:p w14:paraId="3B727F25" w14:textId="77777777" w:rsidR="007A44A3" w:rsidRPr="00F72CC4" w:rsidRDefault="007A44A3" w:rsidP="00007194">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0.5%,1.0%</w:t>
            </w:r>
          </w:p>
        </w:tc>
      </w:tr>
    </w:tbl>
    <w:p w14:paraId="2FAC1323" w14:textId="77777777" w:rsidR="007A44A3" w:rsidRDefault="007A44A3" w:rsidP="00AB0BEE">
      <w:pPr>
        <w:spacing w:line="360" w:lineRule="auto"/>
        <w:ind w:left="420" w:hangingChars="200" w:hanging="420"/>
        <w:rPr>
          <w:rFonts w:ascii="Times New Roman" w:hAnsi="Times New Roman" w:cs="Times New Roman"/>
        </w:rPr>
        <w:sectPr w:rsidR="007A44A3" w:rsidSect="008A25AB">
          <w:pgSz w:w="11906" w:h="16838"/>
          <w:pgMar w:top="1440" w:right="1800" w:bottom="1440" w:left="1800" w:header="851" w:footer="992" w:gutter="0"/>
          <w:cols w:space="425"/>
          <w:docGrid w:type="lines" w:linePitch="312"/>
        </w:sectPr>
      </w:pPr>
    </w:p>
    <w:p w14:paraId="44360AAC" w14:textId="77777777" w:rsidR="007A44A3" w:rsidRDefault="007A44A3" w:rsidP="00AB0BEE">
      <w:pPr>
        <w:spacing w:line="360" w:lineRule="auto"/>
        <w:ind w:left="420" w:hangingChars="200" w:hanging="420"/>
        <w:rPr>
          <w:rFonts w:ascii="Times New Roman" w:hAnsi="Times New Roman" w:cs="Times New Roman"/>
        </w:rPr>
      </w:pPr>
    </w:p>
    <w:p w14:paraId="1CF3845D" w14:textId="0539F846" w:rsidR="007A44A3" w:rsidRPr="00F72CC4" w:rsidRDefault="007A44A3" w:rsidP="007A44A3">
      <w:pPr>
        <w:spacing w:line="360" w:lineRule="auto"/>
        <w:ind w:left="440" w:hangingChars="200" w:hanging="440"/>
        <w:jc w:val="center"/>
        <w:rPr>
          <w:rFonts w:ascii="Times New Roman" w:hAnsi="Times New Roman" w:cs="Times New Roman"/>
          <w:b/>
          <w:bCs/>
          <w:sz w:val="22"/>
        </w:rPr>
      </w:pPr>
      <w:r w:rsidRPr="00F72CC4">
        <w:rPr>
          <w:rFonts w:ascii="Times New Roman" w:hAnsi="Times New Roman" w:cs="Times New Roman" w:hint="eastAsia"/>
          <w:b/>
          <w:bCs/>
          <w:sz w:val="22"/>
        </w:rPr>
        <w:t>T</w:t>
      </w:r>
      <w:r w:rsidRPr="00F72CC4">
        <w:rPr>
          <w:rFonts w:ascii="Times New Roman" w:hAnsi="Times New Roman" w:cs="Times New Roman"/>
          <w:b/>
          <w:bCs/>
          <w:sz w:val="22"/>
        </w:rPr>
        <w:t>able 3. An example of a choice set.</w:t>
      </w:r>
    </w:p>
    <w:tbl>
      <w:tblPr>
        <w:tblW w:w="5000" w:type="pct"/>
        <w:tblLook w:val="04A0" w:firstRow="1" w:lastRow="0" w:firstColumn="1" w:lastColumn="0" w:noHBand="0" w:noVBand="1"/>
      </w:tblPr>
      <w:tblGrid>
        <w:gridCol w:w="3151"/>
        <w:gridCol w:w="2733"/>
        <w:gridCol w:w="3057"/>
        <w:gridCol w:w="3057"/>
        <w:gridCol w:w="1960"/>
      </w:tblGrid>
      <w:tr w:rsidR="007A44A3" w:rsidRPr="00F72CC4" w14:paraId="10E52880" w14:textId="4A558AAD" w:rsidTr="007A44A3">
        <w:trPr>
          <w:trHeight w:val="276"/>
        </w:trPr>
        <w:tc>
          <w:tcPr>
            <w:tcW w:w="1129" w:type="pct"/>
            <w:tcBorders>
              <w:top w:val="single" w:sz="4" w:space="0" w:color="auto"/>
              <w:left w:val="nil"/>
              <w:bottom w:val="single" w:sz="4" w:space="0" w:color="auto"/>
              <w:right w:val="nil"/>
            </w:tcBorders>
            <w:shd w:val="clear" w:color="auto" w:fill="auto"/>
            <w:noWrap/>
            <w:vAlign w:val="bottom"/>
            <w:hideMark/>
          </w:tcPr>
          <w:p w14:paraId="79E1053B" w14:textId="0402772F" w:rsidR="007A44A3" w:rsidRPr="00F72CC4" w:rsidRDefault="007A44A3" w:rsidP="007A44A3">
            <w:pPr>
              <w:widowControl/>
              <w:jc w:val="center"/>
              <w:rPr>
                <w:rFonts w:ascii="Times New Roman" w:eastAsia="等线" w:hAnsi="Times New Roman" w:cs="Times New Roman"/>
                <w:color w:val="000000"/>
                <w:kern w:val="0"/>
                <w:sz w:val="22"/>
              </w:rPr>
            </w:pPr>
          </w:p>
        </w:tc>
        <w:tc>
          <w:tcPr>
            <w:tcW w:w="979" w:type="pct"/>
            <w:tcBorders>
              <w:top w:val="single" w:sz="4" w:space="0" w:color="auto"/>
              <w:left w:val="nil"/>
              <w:bottom w:val="single" w:sz="4" w:space="0" w:color="auto"/>
              <w:right w:val="nil"/>
            </w:tcBorders>
            <w:shd w:val="clear" w:color="auto" w:fill="auto"/>
            <w:noWrap/>
            <w:vAlign w:val="bottom"/>
            <w:hideMark/>
          </w:tcPr>
          <w:p w14:paraId="4892A650"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Fund A</w:t>
            </w:r>
          </w:p>
        </w:tc>
        <w:tc>
          <w:tcPr>
            <w:tcW w:w="1095" w:type="pct"/>
            <w:tcBorders>
              <w:top w:val="single" w:sz="4" w:space="0" w:color="auto"/>
              <w:left w:val="nil"/>
              <w:bottom w:val="single" w:sz="4" w:space="0" w:color="auto"/>
              <w:right w:val="nil"/>
            </w:tcBorders>
            <w:shd w:val="clear" w:color="auto" w:fill="auto"/>
            <w:noWrap/>
            <w:vAlign w:val="bottom"/>
            <w:hideMark/>
          </w:tcPr>
          <w:p w14:paraId="3D032AE5"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Fund B</w:t>
            </w:r>
          </w:p>
        </w:tc>
        <w:tc>
          <w:tcPr>
            <w:tcW w:w="1095" w:type="pct"/>
            <w:tcBorders>
              <w:top w:val="single" w:sz="4" w:space="0" w:color="auto"/>
              <w:left w:val="nil"/>
              <w:bottom w:val="single" w:sz="4" w:space="0" w:color="auto"/>
              <w:right w:val="nil"/>
            </w:tcBorders>
            <w:shd w:val="clear" w:color="auto" w:fill="auto"/>
            <w:noWrap/>
            <w:vAlign w:val="bottom"/>
            <w:hideMark/>
          </w:tcPr>
          <w:p w14:paraId="3D91793F"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Fund C</w:t>
            </w:r>
          </w:p>
        </w:tc>
        <w:tc>
          <w:tcPr>
            <w:tcW w:w="702" w:type="pct"/>
            <w:tcBorders>
              <w:top w:val="single" w:sz="4" w:space="0" w:color="auto"/>
              <w:left w:val="nil"/>
              <w:bottom w:val="single" w:sz="4" w:space="0" w:color="auto"/>
              <w:right w:val="nil"/>
            </w:tcBorders>
          </w:tcPr>
          <w:p w14:paraId="4EB5F26D" w14:textId="1BDAB059"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hint="eastAsia"/>
                <w:color w:val="000000"/>
                <w:kern w:val="0"/>
                <w:sz w:val="22"/>
              </w:rPr>
              <w:t>N</w:t>
            </w:r>
            <w:r w:rsidRPr="00F72CC4">
              <w:rPr>
                <w:rFonts w:ascii="Times New Roman" w:eastAsia="等线" w:hAnsi="Times New Roman" w:cs="Times New Roman"/>
                <w:color w:val="000000"/>
                <w:kern w:val="0"/>
                <w:sz w:val="22"/>
              </w:rPr>
              <w:t>o Investment</w:t>
            </w:r>
          </w:p>
        </w:tc>
      </w:tr>
      <w:tr w:rsidR="007A44A3" w:rsidRPr="00F72CC4" w14:paraId="3B0146F2" w14:textId="352228CC" w:rsidTr="007A44A3">
        <w:trPr>
          <w:trHeight w:val="276"/>
        </w:trPr>
        <w:tc>
          <w:tcPr>
            <w:tcW w:w="1129" w:type="pct"/>
            <w:tcBorders>
              <w:top w:val="nil"/>
              <w:left w:val="nil"/>
              <w:bottom w:val="nil"/>
              <w:right w:val="nil"/>
            </w:tcBorders>
            <w:shd w:val="clear" w:color="auto" w:fill="auto"/>
            <w:noWrap/>
            <w:vAlign w:val="bottom"/>
            <w:hideMark/>
          </w:tcPr>
          <w:p w14:paraId="424F7C55" w14:textId="268D6C8F"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 xml:space="preserve">Signing </w:t>
            </w:r>
            <w:r w:rsidR="009D2FE9" w:rsidRPr="00F72CC4">
              <w:rPr>
                <w:rFonts w:ascii="Times New Roman" w:eastAsia="等线" w:hAnsi="Times New Roman" w:cs="Times New Roman"/>
                <w:color w:val="000000"/>
                <w:kern w:val="0"/>
                <w:sz w:val="22"/>
              </w:rPr>
              <w:t xml:space="preserve">the </w:t>
            </w:r>
            <w:r w:rsidRPr="00F72CC4">
              <w:rPr>
                <w:rFonts w:ascii="Times New Roman" w:eastAsia="等线" w:hAnsi="Times New Roman" w:cs="Times New Roman"/>
                <w:color w:val="000000"/>
                <w:kern w:val="0"/>
                <w:sz w:val="22"/>
              </w:rPr>
              <w:t>UNPRI</w:t>
            </w:r>
          </w:p>
        </w:tc>
        <w:tc>
          <w:tcPr>
            <w:tcW w:w="979" w:type="pct"/>
            <w:tcBorders>
              <w:top w:val="nil"/>
              <w:left w:val="nil"/>
              <w:bottom w:val="nil"/>
              <w:right w:val="nil"/>
            </w:tcBorders>
            <w:shd w:val="clear" w:color="auto" w:fill="auto"/>
            <w:noWrap/>
            <w:vAlign w:val="bottom"/>
            <w:hideMark/>
          </w:tcPr>
          <w:p w14:paraId="7E61ADCE"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YES</w:t>
            </w:r>
          </w:p>
        </w:tc>
        <w:tc>
          <w:tcPr>
            <w:tcW w:w="1095" w:type="pct"/>
            <w:tcBorders>
              <w:top w:val="nil"/>
              <w:left w:val="nil"/>
              <w:bottom w:val="nil"/>
              <w:right w:val="nil"/>
            </w:tcBorders>
            <w:shd w:val="clear" w:color="auto" w:fill="auto"/>
            <w:noWrap/>
            <w:vAlign w:val="bottom"/>
            <w:hideMark/>
          </w:tcPr>
          <w:p w14:paraId="0455AB61"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No</w:t>
            </w:r>
          </w:p>
        </w:tc>
        <w:tc>
          <w:tcPr>
            <w:tcW w:w="1095" w:type="pct"/>
            <w:tcBorders>
              <w:top w:val="nil"/>
              <w:left w:val="nil"/>
              <w:bottom w:val="nil"/>
              <w:right w:val="nil"/>
            </w:tcBorders>
            <w:shd w:val="clear" w:color="auto" w:fill="auto"/>
            <w:noWrap/>
            <w:vAlign w:val="bottom"/>
            <w:hideMark/>
          </w:tcPr>
          <w:p w14:paraId="659C5F4F"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No</w:t>
            </w:r>
          </w:p>
        </w:tc>
        <w:tc>
          <w:tcPr>
            <w:tcW w:w="702" w:type="pct"/>
            <w:tcBorders>
              <w:top w:val="nil"/>
              <w:left w:val="nil"/>
              <w:bottom w:val="nil"/>
              <w:right w:val="nil"/>
            </w:tcBorders>
          </w:tcPr>
          <w:p w14:paraId="7A83F4D8" w14:textId="77777777" w:rsidR="007A44A3" w:rsidRPr="00F72CC4" w:rsidRDefault="007A44A3" w:rsidP="007A44A3">
            <w:pPr>
              <w:widowControl/>
              <w:jc w:val="center"/>
              <w:rPr>
                <w:rFonts w:ascii="Times New Roman" w:eastAsia="等线" w:hAnsi="Times New Roman" w:cs="Times New Roman"/>
                <w:color w:val="000000"/>
                <w:kern w:val="0"/>
                <w:sz w:val="22"/>
              </w:rPr>
            </w:pPr>
          </w:p>
        </w:tc>
      </w:tr>
      <w:tr w:rsidR="007A44A3" w:rsidRPr="00F72CC4" w14:paraId="3093B488" w14:textId="33550166" w:rsidTr="007A44A3">
        <w:trPr>
          <w:trHeight w:val="276"/>
        </w:trPr>
        <w:tc>
          <w:tcPr>
            <w:tcW w:w="1129" w:type="pct"/>
            <w:tcBorders>
              <w:top w:val="nil"/>
              <w:left w:val="nil"/>
              <w:bottom w:val="nil"/>
              <w:right w:val="nil"/>
            </w:tcBorders>
            <w:shd w:val="clear" w:color="auto" w:fill="auto"/>
            <w:noWrap/>
            <w:vAlign w:val="bottom"/>
            <w:hideMark/>
          </w:tcPr>
          <w:p w14:paraId="3B0B854F"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Past Performance</w:t>
            </w:r>
          </w:p>
        </w:tc>
        <w:tc>
          <w:tcPr>
            <w:tcW w:w="979" w:type="pct"/>
            <w:tcBorders>
              <w:top w:val="nil"/>
              <w:left w:val="nil"/>
              <w:bottom w:val="nil"/>
              <w:right w:val="nil"/>
            </w:tcBorders>
            <w:shd w:val="clear" w:color="auto" w:fill="auto"/>
            <w:noWrap/>
            <w:vAlign w:val="bottom"/>
            <w:hideMark/>
          </w:tcPr>
          <w:p w14:paraId="440607E8" w14:textId="3B70D93D" w:rsidR="007A44A3" w:rsidRPr="00F72CC4" w:rsidRDefault="007B49D5"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High (</w:t>
            </w:r>
            <w:r w:rsidR="008D5031" w:rsidRPr="00F72CC4">
              <w:rPr>
                <w:rFonts w:ascii="Times New Roman" w:eastAsia="等线" w:hAnsi="Times New Roman" w:cs="Times New Roman"/>
                <w:color w:val="000000"/>
                <w:kern w:val="0"/>
                <w:sz w:val="22"/>
              </w:rPr>
              <w:t xml:space="preserve">the </w:t>
            </w:r>
            <w:r w:rsidR="007A44A3" w:rsidRPr="00F72CC4">
              <w:rPr>
                <w:rFonts w:ascii="Times New Roman" w:eastAsia="等线" w:hAnsi="Times New Roman" w:cs="Times New Roman"/>
                <w:color w:val="000000"/>
                <w:kern w:val="0"/>
                <w:sz w:val="22"/>
              </w:rPr>
              <w:t>80th percentile)</w:t>
            </w:r>
          </w:p>
        </w:tc>
        <w:tc>
          <w:tcPr>
            <w:tcW w:w="1095" w:type="pct"/>
            <w:tcBorders>
              <w:top w:val="nil"/>
              <w:left w:val="nil"/>
              <w:bottom w:val="nil"/>
              <w:right w:val="nil"/>
            </w:tcBorders>
            <w:shd w:val="clear" w:color="auto" w:fill="auto"/>
            <w:noWrap/>
            <w:vAlign w:val="bottom"/>
            <w:hideMark/>
          </w:tcPr>
          <w:p w14:paraId="366A31D0" w14:textId="2EB3D8DD" w:rsidR="007A44A3" w:rsidRPr="00F72CC4" w:rsidRDefault="007B49D5"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High (</w:t>
            </w:r>
            <w:r w:rsidR="008D5031" w:rsidRPr="00F72CC4">
              <w:rPr>
                <w:rFonts w:ascii="Times New Roman" w:eastAsia="等线" w:hAnsi="Times New Roman" w:cs="Times New Roman"/>
                <w:color w:val="000000"/>
                <w:kern w:val="0"/>
                <w:sz w:val="22"/>
              </w:rPr>
              <w:t xml:space="preserve">the </w:t>
            </w:r>
            <w:r w:rsidR="007A44A3" w:rsidRPr="00F72CC4">
              <w:rPr>
                <w:rFonts w:ascii="Times New Roman" w:eastAsia="等线" w:hAnsi="Times New Roman" w:cs="Times New Roman"/>
                <w:color w:val="000000"/>
                <w:kern w:val="0"/>
                <w:sz w:val="22"/>
              </w:rPr>
              <w:t>80th percentile)</w:t>
            </w:r>
          </w:p>
        </w:tc>
        <w:tc>
          <w:tcPr>
            <w:tcW w:w="1095" w:type="pct"/>
            <w:tcBorders>
              <w:top w:val="nil"/>
              <w:left w:val="nil"/>
              <w:bottom w:val="nil"/>
              <w:right w:val="nil"/>
            </w:tcBorders>
            <w:shd w:val="clear" w:color="auto" w:fill="auto"/>
            <w:noWrap/>
            <w:vAlign w:val="bottom"/>
            <w:hideMark/>
          </w:tcPr>
          <w:p w14:paraId="2305CCEF" w14:textId="6BC2E909"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Middle (</w:t>
            </w:r>
            <w:r w:rsidR="008D5031" w:rsidRPr="00F72CC4">
              <w:rPr>
                <w:rFonts w:ascii="Times New Roman" w:eastAsia="等线" w:hAnsi="Times New Roman" w:cs="Times New Roman"/>
                <w:color w:val="000000"/>
                <w:kern w:val="0"/>
                <w:sz w:val="22"/>
              </w:rPr>
              <w:t xml:space="preserve">the </w:t>
            </w:r>
            <w:r w:rsidRPr="00F72CC4">
              <w:rPr>
                <w:rFonts w:ascii="Times New Roman" w:eastAsia="等线" w:hAnsi="Times New Roman" w:cs="Times New Roman"/>
                <w:color w:val="000000"/>
                <w:kern w:val="0"/>
                <w:sz w:val="22"/>
              </w:rPr>
              <w:t>50th percentile)</w:t>
            </w:r>
          </w:p>
        </w:tc>
        <w:tc>
          <w:tcPr>
            <w:tcW w:w="702" w:type="pct"/>
            <w:tcBorders>
              <w:top w:val="nil"/>
              <w:left w:val="nil"/>
              <w:bottom w:val="nil"/>
              <w:right w:val="nil"/>
            </w:tcBorders>
          </w:tcPr>
          <w:p w14:paraId="5F237481" w14:textId="77777777" w:rsidR="007A44A3" w:rsidRPr="00F72CC4" w:rsidRDefault="007A44A3" w:rsidP="007A44A3">
            <w:pPr>
              <w:widowControl/>
              <w:jc w:val="center"/>
              <w:rPr>
                <w:rFonts w:ascii="Times New Roman" w:eastAsia="等线" w:hAnsi="Times New Roman" w:cs="Times New Roman"/>
                <w:color w:val="000000"/>
                <w:kern w:val="0"/>
                <w:sz w:val="22"/>
              </w:rPr>
            </w:pPr>
          </w:p>
        </w:tc>
      </w:tr>
      <w:tr w:rsidR="007A44A3" w:rsidRPr="00F72CC4" w14:paraId="1CF07908" w14:textId="6E395985" w:rsidTr="007A44A3">
        <w:trPr>
          <w:trHeight w:val="276"/>
        </w:trPr>
        <w:tc>
          <w:tcPr>
            <w:tcW w:w="1129" w:type="pct"/>
            <w:tcBorders>
              <w:top w:val="nil"/>
              <w:left w:val="nil"/>
              <w:bottom w:val="nil"/>
              <w:right w:val="nil"/>
            </w:tcBorders>
            <w:shd w:val="clear" w:color="auto" w:fill="auto"/>
            <w:noWrap/>
            <w:vAlign w:val="bottom"/>
            <w:hideMark/>
          </w:tcPr>
          <w:p w14:paraId="2D8198BA"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Fund Family Size</w:t>
            </w:r>
          </w:p>
        </w:tc>
        <w:tc>
          <w:tcPr>
            <w:tcW w:w="979" w:type="pct"/>
            <w:tcBorders>
              <w:top w:val="nil"/>
              <w:left w:val="nil"/>
              <w:bottom w:val="nil"/>
              <w:right w:val="nil"/>
            </w:tcBorders>
            <w:shd w:val="clear" w:color="auto" w:fill="auto"/>
            <w:noWrap/>
            <w:vAlign w:val="bottom"/>
            <w:hideMark/>
          </w:tcPr>
          <w:p w14:paraId="5FCCF0CF" w14:textId="43A89F35" w:rsidR="007A44A3" w:rsidRPr="00F72CC4" w:rsidRDefault="007B49D5"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Large (</w:t>
            </w:r>
            <w:r w:rsidR="008D5031" w:rsidRPr="00F72CC4">
              <w:rPr>
                <w:rFonts w:ascii="Times New Roman" w:eastAsia="等线" w:hAnsi="Times New Roman" w:cs="Times New Roman"/>
                <w:color w:val="000000"/>
                <w:kern w:val="0"/>
                <w:sz w:val="22"/>
              </w:rPr>
              <w:t xml:space="preserve">the </w:t>
            </w:r>
            <w:r w:rsidR="007A44A3" w:rsidRPr="00F72CC4">
              <w:rPr>
                <w:rFonts w:ascii="Times New Roman" w:eastAsia="等线" w:hAnsi="Times New Roman" w:cs="Times New Roman"/>
                <w:color w:val="000000"/>
                <w:kern w:val="0"/>
                <w:sz w:val="22"/>
              </w:rPr>
              <w:t>80th percentile)</w:t>
            </w:r>
          </w:p>
        </w:tc>
        <w:tc>
          <w:tcPr>
            <w:tcW w:w="1095" w:type="pct"/>
            <w:tcBorders>
              <w:top w:val="nil"/>
              <w:left w:val="nil"/>
              <w:bottom w:val="nil"/>
              <w:right w:val="nil"/>
            </w:tcBorders>
            <w:shd w:val="clear" w:color="auto" w:fill="auto"/>
            <w:noWrap/>
            <w:vAlign w:val="bottom"/>
            <w:hideMark/>
          </w:tcPr>
          <w:p w14:paraId="543F1BDA" w14:textId="58730690" w:rsidR="007A44A3" w:rsidRPr="00F72CC4" w:rsidRDefault="00E85D97"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 xml:space="preserve"> </w:t>
            </w:r>
            <w:r w:rsidRPr="00F72CC4">
              <w:rPr>
                <w:rFonts w:ascii="Times New Roman" w:eastAsia="等线" w:hAnsi="Times New Roman" w:cs="Times New Roman" w:hint="eastAsia"/>
                <w:color w:val="000000"/>
                <w:kern w:val="0"/>
                <w:sz w:val="22"/>
              </w:rPr>
              <w:t>Small</w:t>
            </w:r>
            <w:r w:rsidR="007A44A3" w:rsidRPr="00F72CC4">
              <w:rPr>
                <w:rFonts w:ascii="Times New Roman" w:eastAsia="等线" w:hAnsi="Times New Roman" w:cs="Times New Roman"/>
                <w:color w:val="000000"/>
                <w:kern w:val="0"/>
                <w:sz w:val="22"/>
              </w:rPr>
              <w:t xml:space="preserve"> (</w:t>
            </w:r>
            <w:r w:rsidR="008D5031" w:rsidRPr="00F72CC4">
              <w:rPr>
                <w:rFonts w:ascii="Times New Roman" w:eastAsia="等线" w:hAnsi="Times New Roman" w:cs="Times New Roman"/>
                <w:color w:val="000000"/>
                <w:kern w:val="0"/>
                <w:sz w:val="22"/>
              </w:rPr>
              <w:t xml:space="preserve">the </w:t>
            </w:r>
            <w:r w:rsidR="007A44A3" w:rsidRPr="00F72CC4">
              <w:rPr>
                <w:rFonts w:ascii="Times New Roman" w:eastAsia="等线" w:hAnsi="Times New Roman" w:cs="Times New Roman"/>
                <w:color w:val="000000"/>
                <w:kern w:val="0"/>
                <w:sz w:val="22"/>
              </w:rPr>
              <w:t>20th percentile)</w:t>
            </w:r>
          </w:p>
        </w:tc>
        <w:tc>
          <w:tcPr>
            <w:tcW w:w="1095" w:type="pct"/>
            <w:tcBorders>
              <w:top w:val="nil"/>
              <w:left w:val="nil"/>
              <w:bottom w:val="nil"/>
              <w:right w:val="nil"/>
            </w:tcBorders>
            <w:shd w:val="clear" w:color="auto" w:fill="auto"/>
            <w:noWrap/>
            <w:vAlign w:val="bottom"/>
            <w:hideMark/>
          </w:tcPr>
          <w:p w14:paraId="141C4E31" w14:textId="2F72E5AC"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Middle (</w:t>
            </w:r>
            <w:r w:rsidR="008D5031" w:rsidRPr="00F72CC4">
              <w:rPr>
                <w:rFonts w:ascii="Times New Roman" w:eastAsia="等线" w:hAnsi="Times New Roman" w:cs="Times New Roman"/>
                <w:color w:val="000000"/>
                <w:kern w:val="0"/>
                <w:sz w:val="22"/>
              </w:rPr>
              <w:t xml:space="preserve">the </w:t>
            </w:r>
            <w:r w:rsidRPr="00F72CC4">
              <w:rPr>
                <w:rFonts w:ascii="Times New Roman" w:eastAsia="等线" w:hAnsi="Times New Roman" w:cs="Times New Roman"/>
                <w:color w:val="000000"/>
                <w:kern w:val="0"/>
                <w:sz w:val="22"/>
              </w:rPr>
              <w:t>50th percentile)</w:t>
            </w:r>
          </w:p>
        </w:tc>
        <w:tc>
          <w:tcPr>
            <w:tcW w:w="702" w:type="pct"/>
            <w:tcBorders>
              <w:top w:val="nil"/>
              <w:left w:val="nil"/>
              <w:bottom w:val="nil"/>
              <w:right w:val="nil"/>
            </w:tcBorders>
          </w:tcPr>
          <w:p w14:paraId="292C294C" w14:textId="77777777" w:rsidR="007A44A3" w:rsidRPr="00F72CC4" w:rsidRDefault="007A44A3" w:rsidP="007A44A3">
            <w:pPr>
              <w:widowControl/>
              <w:jc w:val="center"/>
              <w:rPr>
                <w:rFonts w:ascii="Times New Roman" w:eastAsia="等线" w:hAnsi="Times New Roman" w:cs="Times New Roman"/>
                <w:color w:val="000000"/>
                <w:kern w:val="0"/>
                <w:sz w:val="22"/>
              </w:rPr>
            </w:pPr>
          </w:p>
        </w:tc>
      </w:tr>
      <w:tr w:rsidR="007A44A3" w:rsidRPr="00F72CC4" w14:paraId="7B390113" w14:textId="1E390454" w:rsidTr="007A44A3">
        <w:trPr>
          <w:trHeight w:val="276"/>
        </w:trPr>
        <w:tc>
          <w:tcPr>
            <w:tcW w:w="1129" w:type="pct"/>
            <w:tcBorders>
              <w:top w:val="nil"/>
              <w:left w:val="nil"/>
              <w:bottom w:val="nil"/>
              <w:right w:val="nil"/>
            </w:tcBorders>
            <w:shd w:val="clear" w:color="auto" w:fill="auto"/>
            <w:noWrap/>
            <w:vAlign w:val="bottom"/>
            <w:hideMark/>
          </w:tcPr>
          <w:p w14:paraId="505FE978"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Fund Size</w:t>
            </w:r>
          </w:p>
        </w:tc>
        <w:tc>
          <w:tcPr>
            <w:tcW w:w="979" w:type="pct"/>
            <w:tcBorders>
              <w:top w:val="nil"/>
              <w:left w:val="nil"/>
              <w:bottom w:val="nil"/>
              <w:right w:val="nil"/>
            </w:tcBorders>
            <w:shd w:val="clear" w:color="auto" w:fill="auto"/>
            <w:noWrap/>
            <w:vAlign w:val="bottom"/>
            <w:hideMark/>
          </w:tcPr>
          <w:p w14:paraId="0A8C77F7" w14:textId="00753861" w:rsidR="007A44A3" w:rsidRPr="00F72CC4" w:rsidRDefault="007B49D5"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Large (</w:t>
            </w:r>
            <w:r w:rsidR="008D5031" w:rsidRPr="00F72CC4">
              <w:rPr>
                <w:rFonts w:ascii="Times New Roman" w:eastAsia="等线" w:hAnsi="Times New Roman" w:cs="Times New Roman"/>
                <w:color w:val="000000"/>
                <w:kern w:val="0"/>
                <w:sz w:val="22"/>
              </w:rPr>
              <w:t xml:space="preserve">the </w:t>
            </w:r>
            <w:r w:rsidR="007A44A3" w:rsidRPr="00F72CC4">
              <w:rPr>
                <w:rFonts w:ascii="Times New Roman" w:eastAsia="等线" w:hAnsi="Times New Roman" w:cs="Times New Roman"/>
                <w:color w:val="000000"/>
                <w:kern w:val="0"/>
                <w:sz w:val="22"/>
              </w:rPr>
              <w:t>80th percentile)</w:t>
            </w:r>
          </w:p>
        </w:tc>
        <w:tc>
          <w:tcPr>
            <w:tcW w:w="1095" w:type="pct"/>
            <w:tcBorders>
              <w:top w:val="nil"/>
              <w:left w:val="nil"/>
              <w:bottom w:val="nil"/>
              <w:right w:val="nil"/>
            </w:tcBorders>
            <w:shd w:val="clear" w:color="auto" w:fill="auto"/>
            <w:noWrap/>
            <w:vAlign w:val="bottom"/>
            <w:hideMark/>
          </w:tcPr>
          <w:p w14:paraId="49E2EA43" w14:textId="53114438"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Middle (</w:t>
            </w:r>
            <w:r w:rsidR="008D5031" w:rsidRPr="00F72CC4">
              <w:rPr>
                <w:rFonts w:ascii="Times New Roman" w:eastAsia="等线" w:hAnsi="Times New Roman" w:cs="Times New Roman"/>
                <w:color w:val="000000"/>
                <w:kern w:val="0"/>
                <w:sz w:val="22"/>
              </w:rPr>
              <w:t xml:space="preserve">the </w:t>
            </w:r>
            <w:r w:rsidRPr="00F72CC4">
              <w:rPr>
                <w:rFonts w:ascii="Times New Roman" w:eastAsia="等线" w:hAnsi="Times New Roman" w:cs="Times New Roman"/>
                <w:color w:val="000000"/>
                <w:kern w:val="0"/>
                <w:sz w:val="22"/>
              </w:rPr>
              <w:t>50th percentile)</w:t>
            </w:r>
          </w:p>
        </w:tc>
        <w:tc>
          <w:tcPr>
            <w:tcW w:w="1095" w:type="pct"/>
            <w:tcBorders>
              <w:top w:val="nil"/>
              <w:left w:val="nil"/>
              <w:bottom w:val="nil"/>
              <w:right w:val="nil"/>
            </w:tcBorders>
            <w:shd w:val="clear" w:color="auto" w:fill="auto"/>
            <w:noWrap/>
            <w:vAlign w:val="bottom"/>
            <w:hideMark/>
          </w:tcPr>
          <w:p w14:paraId="2141FAA3" w14:textId="65E1C46F" w:rsidR="007A44A3" w:rsidRPr="00F72CC4" w:rsidRDefault="00E85D97"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Small</w:t>
            </w:r>
            <w:r w:rsidR="007A44A3" w:rsidRPr="00F72CC4">
              <w:rPr>
                <w:rFonts w:ascii="Times New Roman" w:eastAsia="等线" w:hAnsi="Times New Roman" w:cs="Times New Roman"/>
                <w:color w:val="000000"/>
                <w:kern w:val="0"/>
                <w:sz w:val="22"/>
              </w:rPr>
              <w:t xml:space="preserve"> (</w:t>
            </w:r>
            <w:r w:rsidR="008D5031" w:rsidRPr="00F72CC4">
              <w:rPr>
                <w:rFonts w:ascii="Times New Roman" w:eastAsia="等线" w:hAnsi="Times New Roman" w:cs="Times New Roman"/>
                <w:color w:val="000000"/>
                <w:kern w:val="0"/>
                <w:sz w:val="22"/>
              </w:rPr>
              <w:t xml:space="preserve">the </w:t>
            </w:r>
            <w:r w:rsidR="007A44A3" w:rsidRPr="00F72CC4">
              <w:rPr>
                <w:rFonts w:ascii="Times New Roman" w:eastAsia="等线" w:hAnsi="Times New Roman" w:cs="Times New Roman"/>
                <w:color w:val="000000"/>
                <w:kern w:val="0"/>
                <w:sz w:val="22"/>
              </w:rPr>
              <w:t>20th percentile)</w:t>
            </w:r>
          </w:p>
        </w:tc>
        <w:tc>
          <w:tcPr>
            <w:tcW w:w="702" w:type="pct"/>
            <w:tcBorders>
              <w:top w:val="nil"/>
              <w:left w:val="nil"/>
              <w:bottom w:val="nil"/>
              <w:right w:val="nil"/>
            </w:tcBorders>
          </w:tcPr>
          <w:p w14:paraId="0C67DB71" w14:textId="77777777" w:rsidR="007A44A3" w:rsidRPr="00F72CC4" w:rsidRDefault="007A44A3" w:rsidP="007A44A3">
            <w:pPr>
              <w:widowControl/>
              <w:jc w:val="center"/>
              <w:rPr>
                <w:rFonts w:ascii="Times New Roman" w:eastAsia="等线" w:hAnsi="Times New Roman" w:cs="Times New Roman"/>
                <w:color w:val="000000"/>
                <w:kern w:val="0"/>
                <w:sz w:val="22"/>
              </w:rPr>
            </w:pPr>
          </w:p>
        </w:tc>
      </w:tr>
      <w:tr w:rsidR="007A44A3" w:rsidRPr="00F72CC4" w14:paraId="7BE76D4F" w14:textId="075A3820" w:rsidTr="007A44A3">
        <w:trPr>
          <w:trHeight w:val="276"/>
        </w:trPr>
        <w:tc>
          <w:tcPr>
            <w:tcW w:w="1129" w:type="pct"/>
            <w:tcBorders>
              <w:top w:val="nil"/>
              <w:left w:val="nil"/>
              <w:bottom w:val="single" w:sz="4" w:space="0" w:color="auto"/>
              <w:right w:val="nil"/>
            </w:tcBorders>
            <w:shd w:val="clear" w:color="auto" w:fill="auto"/>
            <w:noWrap/>
            <w:vAlign w:val="bottom"/>
            <w:hideMark/>
          </w:tcPr>
          <w:p w14:paraId="54EB2924"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Annual Management Fee</w:t>
            </w:r>
          </w:p>
        </w:tc>
        <w:tc>
          <w:tcPr>
            <w:tcW w:w="979" w:type="pct"/>
            <w:tcBorders>
              <w:top w:val="nil"/>
              <w:left w:val="nil"/>
              <w:bottom w:val="single" w:sz="4" w:space="0" w:color="auto"/>
              <w:right w:val="nil"/>
            </w:tcBorders>
            <w:shd w:val="clear" w:color="auto" w:fill="auto"/>
            <w:noWrap/>
            <w:vAlign w:val="bottom"/>
            <w:hideMark/>
          </w:tcPr>
          <w:p w14:paraId="5C963201"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0.5%</w:t>
            </w:r>
          </w:p>
        </w:tc>
        <w:tc>
          <w:tcPr>
            <w:tcW w:w="1095" w:type="pct"/>
            <w:tcBorders>
              <w:top w:val="nil"/>
              <w:left w:val="nil"/>
              <w:bottom w:val="single" w:sz="4" w:space="0" w:color="auto"/>
              <w:right w:val="nil"/>
            </w:tcBorders>
            <w:shd w:val="clear" w:color="auto" w:fill="auto"/>
            <w:noWrap/>
            <w:vAlign w:val="bottom"/>
            <w:hideMark/>
          </w:tcPr>
          <w:p w14:paraId="090927BC"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1.0%</w:t>
            </w:r>
          </w:p>
        </w:tc>
        <w:tc>
          <w:tcPr>
            <w:tcW w:w="1095" w:type="pct"/>
            <w:tcBorders>
              <w:top w:val="nil"/>
              <w:left w:val="nil"/>
              <w:bottom w:val="single" w:sz="4" w:space="0" w:color="auto"/>
              <w:right w:val="nil"/>
            </w:tcBorders>
            <w:shd w:val="clear" w:color="auto" w:fill="auto"/>
            <w:noWrap/>
            <w:vAlign w:val="bottom"/>
            <w:hideMark/>
          </w:tcPr>
          <w:p w14:paraId="3F4602D5" w14:textId="77777777" w:rsidR="007A44A3" w:rsidRPr="00F72CC4" w:rsidRDefault="007A44A3" w:rsidP="007A44A3">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1.0%</w:t>
            </w:r>
          </w:p>
        </w:tc>
        <w:tc>
          <w:tcPr>
            <w:tcW w:w="702" w:type="pct"/>
            <w:tcBorders>
              <w:top w:val="nil"/>
              <w:left w:val="nil"/>
              <w:bottom w:val="single" w:sz="4" w:space="0" w:color="auto"/>
              <w:right w:val="nil"/>
            </w:tcBorders>
          </w:tcPr>
          <w:p w14:paraId="2B27CE56" w14:textId="77777777" w:rsidR="007A44A3" w:rsidRPr="00F72CC4" w:rsidRDefault="007A44A3" w:rsidP="007A44A3">
            <w:pPr>
              <w:widowControl/>
              <w:jc w:val="center"/>
              <w:rPr>
                <w:rFonts w:ascii="Times New Roman" w:eastAsia="等线" w:hAnsi="Times New Roman" w:cs="Times New Roman"/>
                <w:color w:val="000000"/>
                <w:kern w:val="0"/>
                <w:sz w:val="22"/>
              </w:rPr>
            </w:pPr>
          </w:p>
        </w:tc>
      </w:tr>
    </w:tbl>
    <w:p w14:paraId="2E9F52AA" w14:textId="77777777" w:rsidR="007A44A3" w:rsidRDefault="007A44A3" w:rsidP="00AB0BEE">
      <w:pPr>
        <w:spacing w:line="360" w:lineRule="auto"/>
        <w:ind w:left="420" w:hangingChars="200" w:hanging="420"/>
        <w:rPr>
          <w:rFonts w:ascii="Times New Roman" w:hAnsi="Times New Roman" w:cs="Times New Roman"/>
        </w:rPr>
      </w:pPr>
    </w:p>
    <w:p w14:paraId="0DB62E47" w14:textId="77777777" w:rsidR="007A44A3" w:rsidRDefault="007A44A3" w:rsidP="00AB0BEE">
      <w:pPr>
        <w:spacing w:line="360" w:lineRule="auto"/>
        <w:ind w:left="420" w:hangingChars="200" w:hanging="420"/>
        <w:rPr>
          <w:rFonts w:ascii="Times New Roman" w:hAnsi="Times New Roman" w:cs="Times New Roman"/>
        </w:rPr>
      </w:pPr>
    </w:p>
    <w:p w14:paraId="7766E028" w14:textId="77777777" w:rsidR="007A44A3" w:rsidRDefault="007A44A3" w:rsidP="00AB0BEE">
      <w:pPr>
        <w:spacing w:line="360" w:lineRule="auto"/>
        <w:ind w:left="420" w:hangingChars="200" w:hanging="420"/>
        <w:rPr>
          <w:rFonts w:ascii="Times New Roman" w:hAnsi="Times New Roman" w:cs="Times New Roman"/>
        </w:rPr>
        <w:sectPr w:rsidR="007A44A3" w:rsidSect="008A25AB">
          <w:pgSz w:w="16838" w:h="11906" w:orient="landscape"/>
          <w:pgMar w:top="1800" w:right="1440" w:bottom="1800" w:left="1440" w:header="851" w:footer="992" w:gutter="0"/>
          <w:cols w:space="425"/>
          <w:docGrid w:type="lines" w:linePitch="312"/>
        </w:sectPr>
      </w:pPr>
    </w:p>
    <w:p w14:paraId="22AAF80A" w14:textId="17C93756" w:rsidR="00C2663A" w:rsidRPr="00F72CC4" w:rsidRDefault="00C2663A" w:rsidP="00C2663A">
      <w:pPr>
        <w:spacing w:line="360" w:lineRule="auto"/>
        <w:ind w:left="440" w:hangingChars="200" w:hanging="440"/>
        <w:jc w:val="center"/>
        <w:rPr>
          <w:rFonts w:ascii="Times New Roman" w:hAnsi="Times New Roman" w:cs="Times New Roman"/>
          <w:b/>
          <w:bCs/>
          <w:sz w:val="22"/>
        </w:rPr>
      </w:pPr>
      <w:r w:rsidRPr="00F72CC4">
        <w:rPr>
          <w:rFonts w:ascii="Times New Roman" w:hAnsi="Times New Roman" w:cs="Times New Roman" w:hint="eastAsia"/>
          <w:b/>
          <w:bCs/>
          <w:sz w:val="22"/>
        </w:rPr>
        <w:lastRenderedPageBreak/>
        <w:t>T</w:t>
      </w:r>
      <w:r w:rsidRPr="00F72CC4">
        <w:rPr>
          <w:rFonts w:ascii="Times New Roman" w:hAnsi="Times New Roman" w:cs="Times New Roman"/>
          <w:b/>
          <w:bCs/>
          <w:sz w:val="22"/>
        </w:rPr>
        <w:t xml:space="preserve">able 4. </w:t>
      </w:r>
      <w:r w:rsidR="00BD0646" w:rsidRPr="00F72CC4">
        <w:rPr>
          <w:rFonts w:ascii="Times New Roman" w:hAnsi="Times New Roman" w:cs="Times New Roman"/>
          <w:b/>
          <w:bCs/>
          <w:sz w:val="22"/>
        </w:rPr>
        <w:t xml:space="preserve">The Effect of Signing the UNPRI on </w:t>
      </w:r>
      <w:r w:rsidRPr="00F72CC4">
        <w:rPr>
          <w:rFonts w:ascii="Times New Roman" w:hAnsi="Times New Roman" w:cs="Times New Roman"/>
          <w:b/>
          <w:bCs/>
          <w:sz w:val="22"/>
        </w:rPr>
        <w:t>Individual investors’ Preference</w:t>
      </w:r>
    </w:p>
    <w:tbl>
      <w:tblPr>
        <w:tblW w:w="5000" w:type="pct"/>
        <w:tblLook w:val="04A0" w:firstRow="1" w:lastRow="0" w:firstColumn="1" w:lastColumn="0" w:noHBand="0" w:noVBand="1"/>
      </w:tblPr>
      <w:tblGrid>
        <w:gridCol w:w="3691"/>
        <w:gridCol w:w="1638"/>
        <w:gridCol w:w="2977"/>
      </w:tblGrid>
      <w:tr w:rsidR="00C2663A" w:rsidRPr="00F72CC4" w14:paraId="722D2501" w14:textId="77777777" w:rsidTr="00C2663A">
        <w:trPr>
          <w:trHeight w:val="276"/>
        </w:trPr>
        <w:tc>
          <w:tcPr>
            <w:tcW w:w="2222" w:type="pct"/>
            <w:tcBorders>
              <w:top w:val="single" w:sz="4" w:space="0" w:color="auto"/>
              <w:left w:val="nil"/>
              <w:bottom w:val="single" w:sz="4" w:space="0" w:color="auto"/>
              <w:right w:val="nil"/>
            </w:tcBorders>
            <w:shd w:val="clear" w:color="auto" w:fill="auto"/>
            <w:noWrap/>
            <w:vAlign w:val="bottom"/>
            <w:hideMark/>
          </w:tcPr>
          <w:p w14:paraId="5FA587E2" w14:textId="14CBE896" w:rsidR="00C2663A" w:rsidRPr="00F72CC4" w:rsidRDefault="00C2663A" w:rsidP="00C2663A">
            <w:pPr>
              <w:widowControl/>
              <w:jc w:val="center"/>
              <w:rPr>
                <w:rFonts w:ascii="Times New Roman" w:eastAsia="等线" w:hAnsi="Times New Roman" w:cs="Times New Roman"/>
                <w:color w:val="000000"/>
                <w:kern w:val="0"/>
                <w:sz w:val="22"/>
              </w:rPr>
            </w:pPr>
          </w:p>
        </w:tc>
        <w:tc>
          <w:tcPr>
            <w:tcW w:w="986" w:type="pct"/>
            <w:tcBorders>
              <w:top w:val="single" w:sz="4" w:space="0" w:color="auto"/>
              <w:left w:val="nil"/>
              <w:bottom w:val="single" w:sz="4" w:space="0" w:color="auto"/>
              <w:right w:val="nil"/>
            </w:tcBorders>
            <w:shd w:val="clear" w:color="auto" w:fill="auto"/>
            <w:noWrap/>
            <w:vAlign w:val="bottom"/>
            <w:hideMark/>
          </w:tcPr>
          <w:p w14:paraId="6C5AC87C" w14:textId="77777777" w:rsidR="00C2663A" w:rsidRPr="00F72CC4" w:rsidRDefault="00C2663A" w:rsidP="00C2663A">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Mean</w:t>
            </w:r>
          </w:p>
        </w:tc>
        <w:tc>
          <w:tcPr>
            <w:tcW w:w="1792" w:type="pct"/>
            <w:tcBorders>
              <w:top w:val="single" w:sz="4" w:space="0" w:color="auto"/>
              <w:left w:val="nil"/>
              <w:bottom w:val="single" w:sz="4" w:space="0" w:color="auto"/>
              <w:right w:val="nil"/>
            </w:tcBorders>
            <w:shd w:val="clear" w:color="auto" w:fill="auto"/>
            <w:noWrap/>
            <w:vAlign w:val="bottom"/>
            <w:hideMark/>
          </w:tcPr>
          <w:p w14:paraId="71CA1FA6" w14:textId="77777777" w:rsidR="00C2663A" w:rsidRPr="00F72CC4" w:rsidRDefault="00C2663A" w:rsidP="00C2663A">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Standard Deviation</w:t>
            </w:r>
          </w:p>
        </w:tc>
      </w:tr>
      <w:tr w:rsidR="00DD5E3A" w:rsidRPr="00F72CC4" w14:paraId="498DC1FB" w14:textId="77777777" w:rsidTr="00C2663A">
        <w:trPr>
          <w:trHeight w:val="276"/>
        </w:trPr>
        <w:tc>
          <w:tcPr>
            <w:tcW w:w="2222" w:type="pct"/>
            <w:tcBorders>
              <w:top w:val="nil"/>
              <w:left w:val="nil"/>
              <w:bottom w:val="nil"/>
              <w:right w:val="nil"/>
            </w:tcBorders>
            <w:shd w:val="clear" w:color="auto" w:fill="auto"/>
            <w:noWrap/>
            <w:vAlign w:val="bottom"/>
          </w:tcPr>
          <w:p w14:paraId="779B5295" w14:textId="303DB592" w:rsidR="00DD5E3A" w:rsidRPr="00F72CC4" w:rsidRDefault="00DD5E3A" w:rsidP="00DD5E3A">
            <w:pPr>
              <w:widowControl/>
              <w:jc w:val="center"/>
              <w:rPr>
                <w:rFonts w:ascii="Times New Roman" w:eastAsia="等线" w:hAnsi="Times New Roman" w:cs="Times New Roman"/>
                <w:i/>
                <w:color w:val="000000"/>
                <w:kern w:val="0"/>
                <w:sz w:val="22"/>
              </w:rPr>
            </w:pPr>
            <w:r w:rsidRPr="00F72CC4">
              <w:rPr>
                <w:rFonts w:ascii="Times New Roman" w:eastAsia="等线" w:hAnsi="Times New Roman" w:cs="Times New Roman"/>
                <w:i/>
                <w:color w:val="000000"/>
                <w:kern w:val="0"/>
                <w:sz w:val="22"/>
              </w:rPr>
              <w:t>Annual Management Fee</w:t>
            </w:r>
          </w:p>
        </w:tc>
        <w:tc>
          <w:tcPr>
            <w:tcW w:w="986" w:type="pct"/>
            <w:tcBorders>
              <w:top w:val="nil"/>
              <w:left w:val="nil"/>
              <w:bottom w:val="nil"/>
              <w:right w:val="nil"/>
            </w:tcBorders>
            <w:shd w:val="clear" w:color="auto" w:fill="auto"/>
            <w:noWrap/>
            <w:vAlign w:val="bottom"/>
          </w:tcPr>
          <w:p w14:paraId="1CBC1BF0" w14:textId="4A3FD5E3"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-43.53***</w:t>
            </w:r>
          </w:p>
        </w:tc>
        <w:tc>
          <w:tcPr>
            <w:tcW w:w="1792" w:type="pct"/>
            <w:tcBorders>
              <w:top w:val="nil"/>
              <w:left w:val="nil"/>
              <w:bottom w:val="nil"/>
              <w:right w:val="nil"/>
            </w:tcBorders>
            <w:shd w:val="clear" w:color="auto" w:fill="auto"/>
            <w:noWrap/>
            <w:vAlign w:val="bottom"/>
          </w:tcPr>
          <w:p w14:paraId="778878C3" w14:textId="16659078" w:rsidR="00DD5E3A" w:rsidRPr="00F72CC4" w:rsidRDefault="00DD5E3A" w:rsidP="00DD5E3A">
            <w:pPr>
              <w:widowControl/>
              <w:jc w:val="center"/>
              <w:rPr>
                <w:rFonts w:ascii="Times New Roman" w:eastAsia="等线" w:hAnsi="Times New Roman" w:cs="Times New Roman"/>
                <w:color w:val="000000"/>
                <w:kern w:val="0"/>
                <w:sz w:val="22"/>
              </w:rPr>
            </w:pPr>
            <w:proofErr w:type="spellStart"/>
            <w:proofErr w:type="gramStart"/>
            <w:r w:rsidRPr="00F72CC4">
              <w:rPr>
                <w:rFonts w:ascii="Times New Roman" w:eastAsia="等线" w:hAnsi="Times New Roman" w:cs="Times New Roman"/>
                <w:color w:val="000000"/>
                <w:kern w:val="0"/>
                <w:sz w:val="22"/>
              </w:rPr>
              <w:t>n.a</w:t>
            </w:r>
            <w:proofErr w:type="spellEnd"/>
            <w:proofErr w:type="gramEnd"/>
          </w:p>
        </w:tc>
      </w:tr>
      <w:tr w:rsidR="00DD5E3A" w:rsidRPr="00F72CC4" w14:paraId="3D66ECEB" w14:textId="77777777" w:rsidTr="00C2663A">
        <w:trPr>
          <w:trHeight w:val="276"/>
        </w:trPr>
        <w:tc>
          <w:tcPr>
            <w:tcW w:w="2222" w:type="pct"/>
            <w:tcBorders>
              <w:top w:val="nil"/>
              <w:left w:val="nil"/>
              <w:bottom w:val="nil"/>
              <w:right w:val="nil"/>
            </w:tcBorders>
            <w:shd w:val="clear" w:color="auto" w:fill="auto"/>
            <w:noWrap/>
            <w:vAlign w:val="bottom"/>
          </w:tcPr>
          <w:p w14:paraId="5E579ED0" w14:textId="77777777" w:rsidR="00DD5E3A" w:rsidRPr="00F72CC4" w:rsidRDefault="00DD5E3A" w:rsidP="00DD5E3A">
            <w:pPr>
              <w:widowControl/>
              <w:jc w:val="center"/>
              <w:rPr>
                <w:rFonts w:ascii="Times New Roman" w:eastAsia="等线" w:hAnsi="Times New Roman" w:cs="Times New Roman"/>
                <w:i/>
                <w:color w:val="000000"/>
                <w:kern w:val="0"/>
                <w:sz w:val="22"/>
              </w:rPr>
            </w:pPr>
          </w:p>
        </w:tc>
        <w:tc>
          <w:tcPr>
            <w:tcW w:w="986" w:type="pct"/>
            <w:tcBorders>
              <w:top w:val="nil"/>
              <w:left w:val="nil"/>
              <w:bottom w:val="nil"/>
              <w:right w:val="nil"/>
            </w:tcBorders>
            <w:shd w:val="clear" w:color="auto" w:fill="auto"/>
            <w:noWrap/>
            <w:vAlign w:val="bottom"/>
          </w:tcPr>
          <w:p w14:paraId="6274693A" w14:textId="4944100F"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(15.70)</w:t>
            </w:r>
          </w:p>
        </w:tc>
        <w:tc>
          <w:tcPr>
            <w:tcW w:w="1792" w:type="pct"/>
            <w:tcBorders>
              <w:top w:val="nil"/>
              <w:left w:val="nil"/>
              <w:bottom w:val="nil"/>
              <w:right w:val="nil"/>
            </w:tcBorders>
            <w:shd w:val="clear" w:color="auto" w:fill="auto"/>
            <w:noWrap/>
            <w:vAlign w:val="bottom"/>
          </w:tcPr>
          <w:p w14:paraId="26F5C3D8" w14:textId="77777777" w:rsidR="00DD5E3A" w:rsidRPr="00F72CC4" w:rsidRDefault="00DD5E3A" w:rsidP="00DD5E3A">
            <w:pPr>
              <w:widowControl/>
              <w:jc w:val="center"/>
              <w:rPr>
                <w:rFonts w:ascii="Times New Roman" w:eastAsia="等线" w:hAnsi="Times New Roman" w:cs="Times New Roman"/>
                <w:color w:val="000000"/>
                <w:kern w:val="0"/>
                <w:sz w:val="22"/>
              </w:rPr>
            </w:pPr>
          </w:p>
        </w:tc>
      </w:tr>
      <w:tr w:rsidR="00DD5E3A" w:rsidRPr="00F72CC4" w14:paraId="3FAD7BC5" w14:textId="77777777" w:rsidTr="00C2663A">
        <w:trPr>
          <w:trHeight w:val="276"/>
        </w:trPr>
        <w:tc>
          <w:tcPr>
            <w:tcW w:w="2222" w:type="pct"/>
            <w:tcBorders>
              <w:top w:val="nil"/>
              <w:left w:val="nil"/>
              <w:bottom w:val="nil"/>
              <w:right w:val="nil"/>
            </w:tcBorders>
            <w:shd w:val="clear" w:color="auto" w:fill="auto"/>
            <w:noWrap/>
            <w:vAlign w:val="bottom"/>
          </w:tcPr>
          <w:p w14:paraId="01FB1FD4" w14:textId="4EA930FC" w:rsidR="00DD5E3A" w:rsidRPr="00F72CC4" w:rsidRDefault="00DD5E3A" w:rsidP="00DD5E3A">
            <w:pPr>
              <w:widowControl/>
              <w:jc w:val="center"/>
              <w:rPr>
                <w:rFonts w:ascii="Times New Roman" w:eastAsia="等线" w:hAnsi="Times New Roman" w:cs="Times New Roman"/>
                <w:i/>
                <w:color w:val="000000"/>
                <w:kern w:val="0"/>
                <w:sz w:val="22"/>
              </w:rPr>
            </w:pPr>
            <w:proofErr w:type="spellStart"/>
            <w:r w:rsidRPr="00F72CC4">
              <w:rPr>
                <w:rFonts w:ascii="Times New Roman" w:eastAsia="等线" w:hAnsi="Times New Roman" w:cs="Times New Roman"/>
                <w:i/>
                <w:color w:val="000000"/>
                <w:kern w:val="0"/>
                <w:sz w:val="22"/>
              </w:rPr>
              <w:t>SignUNPRI</w:t>
            </w:r>
            <w:proofErr w:type="spellEnd"/>
          </w:p>
        </w:tc>
        <w:tc>
          <w:tcPr>
            <w:tcW w:w="986" w:type="pct"/>
            <w:tcBorders>
              <w:top w:val="nil"/>
              <w:left w:val="nil"/>
              <w:bottom w:val="nil"/>
              <w:right w:val="nil"/>
            </w:tcBorders>
            <w:shd w:val="clear" w:color="auto" w:fill="auto"/>
            <w:noWrap/>
            <w:vAlign w:val="bottom"/>
          </w:tcPr>
          <w:p w14:paraId="1A00B08E" w14:textId="612928F8"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1.917***</w:t>
            </w:r>
          </w:p>
        </w:tc>
        <w:tc>
          <w:tcPr>
            <w:tcW w:w="1792" w:type="pct"/>
            <w:tcBorders>
              <w:top w:val="nil"/>
              <w:left w:val="nil"/>
              <w:bottom w:val="nil"/>
              <w:right w:val="nil"/>
            </w:tcBorders>
            <w:shd w:val="clear" w:color="auto" w:fill="auto"/>
            <w:noWrap/>
            <w:vAlign w:val="bottom"/>
          </w:tcPr>
          <w:p w14:paraId="2781F555" w14:textId="6D67B931"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1.655***</w:t>
            </w:r>
          </w:p>
        </w:tc>
      </w:tr>
      <w:tr w:rsidR="00DD5E3A" w:rsidRPr="00F72CC4" w14:paraId="5FBE6748" w14:textId="77777777" w:rsidTr="00C2663A">
        <w:trPr>
          <w:trHeight w:val="276"/>
        </w:trPr>
        <w:tc>
          <w:tcPr>
            <w:tcW w:w="2222" w:type="pct"/>
            <w:tcBorders>
              <w:top w:val="nil"/>
              <w:left w:val="nil"/>
              <w:bottom w:val="nil"/>
              <w:right w:val="nil"/>
            </w:tcBorders>
            <w:shd w:val="clear" w:color="auto" w:fill="auto"/>
            <w:noWrap/>
            <w:vAlign w:val="bottom"/>
          </w:tcPr>
          <w:p w14:paraId="7D720FC0" w14:textId="77777777" w:rsidR="00DD5E3A" w:rsidRPr="00F72CC4" w:rsidRDefault="00DD5E3A" w:rsidP="00DD5E3A">
            <w:pPr>
              <w:widowControl/>
              <w:jc w:val="center"/>
              <w:rPr>
                <w:rFonts w:ascii="Times New Roman" w:eastAsia="等线" w:hAnsi="Times New Roman" w:cs="Times New Roman"/>
                <w:i/>
                <w:color w:val="000000"/>
                <w:kern w:val="0"/>
                <w:sz w:val="22"/>
              </w:rPr>
            </w:pPr>
          </w:p>
        </w:tc>
        <w:tc>
          <w:tcPr>
            <w:tcW w:w="986" w:type="pct"/>
            <w:tcBorders>
              <w:top w:val="nil"/>
              <w:left w:val="nil"/>
              <w:bottom w:val="nil"/>
              <w:right w:val="nil"/>
            </w:tcBorders>
            <w:shd w:val="clear" w:color="auto" w:fill="auto"/>
            <w:noWrap/>
            <w:vAlign w:val="bottom"/>
          </w:tcPr>
          <w:p w14:paraId="1BD33B21" w14:textId="71072F0E"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(0.139)</w:t>
            </w:r>
          </w:p>
        </w:tc>
        <w:tc>
          <w:tcPr>
            <w:tcW w:w="1792" w:type="pct"/>
            <w:tcBorders>
              <w:top w:val="nil"/>
              <w:left w:val="nil"/>
              <w:bottom w:val="nil"/>
              <w:right w:val="nil"/>
            </w:tcBorders>
            <w:shd w:val="clear" w:color="auto" w:fill="auto"/>
            <w:noWrap/>
            <w:vAlign w:val="bottom"/>
          </w:tcPr>
          <w:p w14:paraId="11901691" w14:textId="76809CCD"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(0.124)</w:t>
            </w:r>
          </w:p>
        </w:tc>
      </w:tr>
      <w:tr w:rsidR="00DD5E3A" w:rsidRPr="00F72CC4" w14:paraId="7FBB8CFF" w14:textId="77777777" w:rsidTr="00C2663A">
        <w:trPr>
          <w:trHeight w:val="276"/>
        </w:trPr>
        <w:tc>
          <w:tcPr>
            <w:tcW w:w="2222" w:type="pct"/>
            <w:tcBorders>
              <w:top w:val="nil"/>
              <w:left w:val="nil"/>
              <w:bottom w:val="nil"/>
              <w:right w:val="nil"/>
            </w:tcBorders>
            <w:shd w:val="clear" w:color="auto" w:fill="auto"/>
            <w:noWrap/>
            <w:vAlign w:val="bottom"/>
            <w:hideMark/>
          </w:tcPr>
          <w:p w14:paraId="16B8ED32" w14:textId="69FF29F0" w:rsidR="00DD5E3A" w:rsidRPr="00F72CC4" w:rsidRDefault="00DD5E3A" w:rsidP="00DD5E3A">
            <w:pPr>
              <w:widowControl/>
              <w:jc w:val="center"/>
              <w:rPr>
                <w:rFonts w:ascii="Times New Roman" w:eastAsia="等线" w:hAnsi="Times New Roman" w:cs="Times New Roman"/>
                <w:i/>
                <w:color w:val="000000"/>
                <w:kern w:val="0"/>
                <w:sz w:val="22"/>
              </w:rPr>
            </w:pPr>
            <w:r w:rsidRPr="00F72CC4">
              <w:rPr>
                <w:rFonts w:ascii="Times New Roman" w:eastAsia="等线" w:hAnsi="Times New Roman" w:cs="Times New Roman"/>
                <w:i/>
                <w:color w:val="000000"/>
                <w:kern w:val="0"/>
                <w:sz w:val="22"/>
              </w:rPr>
              <w:t>Past Performance: High</w:t>
            </w:r>
          </w:p>
        </w:tc>
        <w:tc>
          <w:tcPr>
            <w:tcW w:w="986" w:type="pct"/>
            <w:tcBorders>
              <w:top w:val="nil"/>
              <w:left w:val="nil"/>
              <w:bottom w:val="nil"/>
              <w:right w:val="nil"/>
            </w:tcBorders>
            <w:shd w:val="clear" w:color="auto" w:fill="auto"/>
            <w:noWrap/>
            <w:vAlign w:val="bottom"/>
            <w:hideMark/>
          </w:tcPr>
          <w:p w14:paraId="4F7067DC" w14:textId="4B2AF55A"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0.593***</w:t>
            </w:r>
          </w:p>
        </w:tc>
        <w:tc>
          <w:tcPr>
            <w:tcW w:w="1792" w:type="pct"/>
            <w:tcBorders>
              <w:top w:val="nil"/>
              <w:left w:val="nil"/>
              <w:bottom w:val="nil"/>
              <w:right w:val="nil"/>
            </w:tcBorders>
            <w:shd w:val="clear" w:color="auto" w:fill="auto"/>
            <w:noWrap/>
            <w:vAlign w:val="bottom"/>
            <w:hideMark/>
          </w:tcPr>
          <w:p w14:paraId="264D54D1" w14:textId="58234251"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2.112***</w:t>
            </w:r>
          </w:p>
        </w:tc>
      </w:tr>
      <w:tr w:rsidR="00DD5E3A" w:rsidRPr="00F72CC4" w14:paraId="7FCD2247" w14:textId="77777777" w:rsidTr="00C2663A">
        <w:trPr>
          <w:trHeight w:val="276"/>
        </w:trPr>
        <w:tc>
          <w:tcPr>
            <w:tcW w:w="2222" w:type="pct"/>
            <w:tcBorders>
              <w:top w:val="nil"/>
              <w:left w:val="nil"/>
              <w:bottom w:val="nil"/>
              <w:right w:val="nil"/>
            </w:tcBorders>
            <w:shd w:val="clear" w:color="auto" w:fill="auto"/>
            <w:noWrap/>
            <w:vAlign w:val="bottom"/>
            <w:hideMark/>
          </w:tcPr>
          <w:p w14:paraId="591CFFE2" w14:textId="77777777" w:rsidR="00DD5E3A" w:rsidRPr="00F72CC4" w:rsidRDefault="00DD5E3A" w:rsidP="00DD5E3A">
            <w:pPr>
              <w:widowControl/>
              <w:jc w:val="center"/>
              <w:rPr>
                <w:rFonts w:ascii="Times New Roman" w:eastAsia="等线" w:hAnsi="Times New Roman" w:cs="Times New Roman"/>
                <w:i/>
                <w:color w:val="000000"/>
                <w:kern w:val="0"/>
                <w:sz w:val="22"/>
              </w:rPr>
            </w:pPr>
          </w:p>
        </w:tc>
        <w:tc>
          <w:tcPr>
            <w:tcW w:w="986" w:type="pct"/>
            <w:tcBorders>
              <w:top w:val="nil"/>
              <w:left w:val="nil"/>
              <w:bottom w:val="nil"/>
              <w:right w:val="nil"/>
            </w:tcBorders>
            <w:shd w:val="clear" w:color="auto" w:fill="auto"/>
            <w:noWrap/>
            <w:vAlign w:val="bottom"/>
            <w:hideMark/>
          </w:tcPr>
          <w:p w14:paraId="489154A5" w14:textId="60BEEF36"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(0.145)</w:t>
            </w:r>
          </w:p>
        </w:tc>
        <w:tc>
          <w:tcPr>
            <w:tcW w:w="1792" w:type="pct"/>
            <w:tcBorders>
              <w:top w:val="nil"/>
              <w:left w:val="nil"/>
              <w:bottom w:val="nil"/>
              <w:right w:val="nil"/>
            </w:tcBorders>
            <w:shd w:val="clear" w:color="auto" w:fill="auto"/>
            <w:noWrap/>
            <w:vAlign w:val="bottom"/>
            <w:hideMark/>
          </w:tcPr>
          <w:p w14:paraId="0A692C17" w14:textId="2424463A"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(0.133)</w:t>
            </w:r>
          </w:p>
        </w:tc>
      </w:tr>
      <w:tr w:rsidR="00DD5E3A" w:rsidRPr="00F72CC4" w14:paraId="44518CAD" w14:textId="77777777" w:rsidTr="00C2663A">
        <w:trPr>
          <w:trHeight w:val="276"/>
        </w:trPr>
        <w:tc>
          <w:tcPr>
            <w:tcW w:w="2222" w:type="pct"/>
            <w:tcBorders>
              <w:top w:val="nil"/>
              <w:left w:val="nil"/>
              <w:bottom w:val="nil"/>
              <w:right w:val="nil"/>
            </w:tcBorders>
            <w:shd w:val="clear" w:color="auto" w:fill="auto"/>
            <w:noWrap/>
            <w:vAlign w:val="bottom"/>
            <w:hideMark/>
          </w:tcPr>
          <w:p w14:paraId="7BA8F945" w14:textId="7F2123EB" w:rsidR="00DD5E3A" w:rsidRPr="00F72CC4" w:rsidRDefault="00DD5E3A" w:rsidP="00DD5E3A">
            <w:pPr>
              <w:widowControl/>
              <w:jc w:val="center"/>
              <w:rPr>
                <w:rFonts w:ascii="Times New Roman" w:eastAsia="等线" w:hAnsi="Times New Roman" w:cs="Times New Roman"/>
                <w:i/>
                <w:color w:val="000000"/>
                <w:kern w:val="0"/>
                <w:sz w:val="22"/>
              </w:rPr>
            </w:pPr>
            <w:r w:rsidRPr="00F72CC4">
              <w:rPr>
                <w:rFonts w:ascii="Times New Roman" w:eastAsia="等线" w:hAnsi="Times New Roman" w:cs="Times New Roman"/>
                <w:i/>
                <w:color w:val="000000"/>
                <w:kern w:val="0"/>
                <w:sz w:val="22"/>
              </w:rPr>
              <w:t>Past Performance: Middle</w:t>
            </w:r>
          </w:p>
        </w:tc>
        <w:tc>
          <w:tcPr>
            <w:tcW w:w="986" w:type="pct"/>
            <w:tcBorders>
              <w:top w:val="nil"/>
              <w:left w:val="nil"/>
              <w:bottom w:val="nil"/>
              <w:right w:val="nil"/>
            </w:tcBorders>
            <w:shd w:val="clear" w:color="auto" w:fill="auto"/>
            <w:noWrap/>
            <w:vAlign w:val="bottom"/>
            <w:hideMark/>
          </w:tcPr>
          <w:p w14:paraId="1C6FD975" w14:textId="4C271F4E"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0.239***</w:t>
            </w:r>
          </w:p>
        </w:tc>
        <w:tc>
          <w:tcPr>
            <w:tcW w:w="1792" w:type="pct"/>
            <w:tcBorders>
              <w:top w:val="nil"/>
              <w:left w:val="nil"/>
              <w:bottom w:val="nil"/>
              <w:right w:val="nil"/>
            </w:tcBorders>
            <w:shd w:val="clear" w:color="auto" w:fill="auto"/>
            <w:noWrap/>
            <w:vAlign w:val="bottom"/>
            <w:hideMark/>
          </w:tcPr>
          <w:p w14:paraId="09F62E0E" w14:textId="0546443A"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0.803***</w:t>
            </w:r>
          </w:p>
        </w:tc>
      </w:tr>
      <w:tr w:rsidR="00DD5E3A" w:rsidRPr="00F72CC4" w14:paraId="4B396913" w14:textId="77777777" w:rsidTr="00C2663A">
        <w:trPr>
          <w:trHeight w:val="276"/>
        </w:trPr>
        <w:tc>
          <w:tcPr>
            <w:tcW w:w="2222" w:type="pct"/>
            <w:tcBorders>
              <w:top w:val="nil"/>
              <w:left w:val="nil"/>
              <w:bottom w:val="nil"/>
              <w:right w:val="nil"/>
            </w:tcBorders>
            <w:shd w:val="clear" w:color="auto" w:fill="auto"/>
            <w:noWrap/>
            <w:vAlign w:val="bottom"/>
            <w:hideMark/>
          </w:tcPr>
          <w:p w14:paraId="078EAE87" w14:textId="77777777" w:rsidR="00DD5E3A" w:rsidRPr="00F72CC4" w:rsidRDefault="00DD5E3A" w:rsidP="00DD5E3A">
            <w:pPr>
              <w:widowControl/>
              <w:jc w:val="center"/>
              <w:rPr>
                <w:rFonts w:ascii="Times New Roman" w:eastAsia="等线" w:hAnsi="Times New Roman" w:cs="Times New Roman"/>
                <w:i/>
                <w:color w:val="000000"/>
                <w:kern w:val="0"/>
                <w:sz w:val="22"/>
              </w:rPr>
            </w:pPr>
          </w:p>
        </w:tc>
        <w:tc>
          <w:tcPr>
            <w:tcW w:w="986" w:type="pct"/>
            <w:tcBorders>
              <w:top w:val="nil"/>
              <w:left w:val="nil"/>
              <w:bottom w:val="nil"/>
              <w:right w:val="nil"/>
            </w:tcBorders>
            <w:shd w:val="clear" w:color="auto" w:fill="auto"/>
            <w:noWrap/>
            <w:vAlign w:val="bottom"/>
            <w:hideMark/>
          </w:tcPr>
          <w:p w14:paraId="07CA372E" w14:textId="62FA8134"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(0.0788)</w:t>
            </w:r>
          </w:p>
        </w:tc>
        <w:tc>
          <w:tcPr>
            <w:tcW w:w="1792" w:type="pct"/>
            <w:tcBorders>
              <w:top w:val="nil"/>
              <w:left w:val="nil"/>
              <w:bottom w:val="nil"/>
              <w:right w:val="nil"/>
            </w:tcBorders>
            <w:shd w:val="clear" w:color="auto" w:fill="auto"/>
            <w:noWrap/>
            <w:vAlign w:val="bottom"/>
            <w:hideMark/>
          </w:tcPr>
          <w:p w14:paraId="73B393C9" w14:textId="60469736"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(0.100)</w:t>
            </w:r>
          </w:p>
        </w:tc>
      </w:tr>
      <w:tr w:rsidR="00DD5E3A" w:rsidRPr="00F72CC4" w14:paraId="5F22EFD7" w14:textId="77777777" w:rsidTr="00C2663A">
        <w:trPr>
          <w:trHeight w:val="276"/>
        </w:trPr>
        <w:tc>
          <w:tcPr>
            <w:tcW w:w="2222" w:type="pct"/>
            <w:tcBorders>
              <w:top w:val="nil"/>
              <w:left w:val="nil"/>
              <w:bottom w:val="nil"/>
              <w:right w:val="nil"/>
            </w:tcBorders>
            <w:shd w:val="clear" w:color="auto" w:fill="auto"/>
            <w:noWrap/>
            <w:vAlign w:val="bottom"/>
            <w:hideMark/>
          </w:tcPr>
          <w:p w14:paraId="7480DCD5" w14:textId="152E4442" w:rsidR="00DD5E3A" w:rsidRPr="00F72CC4" w:rsidRDefault="00DD5E3A" w:rsidP="00DD5E3A">
            <w:pPr>
              <w:widowControl/>
              <w:jc w:val="center"/>
              <w:rPr>
                <w:rFonts w:ascii="Times New Roman" w:eastAsia="等线" w:hAnsi="Times New Roman" w:cs="Times New Roman"/>
                <w:i/>
                <w:color w:val="000000"/>
                <w:kern w:val="0"/>
                <w:sz w:val="22"/>
              </w:rPr>
            </w:pPr>
            <w:r w:rsidRPr="00F72CC4">
              <w:rPr>
                <w:rFonts w:ascii="Times New Roman" w:eastAsia="等线" w:hAnsi="Times New Roman" w:cs="Times New Roman"/>
                <w:i/>
                <w:color w:val="000000"/>
                <w:kern w:val="0"/>
                <w:sz w:val="22"/>
              </w:rPr>
              <w:t>Fund Family Size: Large</w:t>
            </w:r>
          </w:p>
        </w:tc>
        <w:tc>
          <w:tcPr>
            <w:tcW w:w="986" w:type="pct"/>
            <w:tcBorders>
              <w:top w:val="nil"/>
              <w:left w:val="nil"/>
              <w:bottom w:val="nil"/>
              <w:right w:val="nil"/>
            </w:tcBorders>
            <w:shd w:val="clear" w:color="auto" w:fill="auto"/>
            <w:noWrap/>
            <w:vAlign w:val="bottom"/>
            <w:hideMark/>
          </w:tcPr>
          <w:p w14:paraId="0EA4DCE8" w14:textId="695CCF8F"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-0.206*</w:t>
            </w:r>
          </w:p>
        </w:tc>
        <w:tc>
          <w:tcPr>
            <w:tcW w:w="1792" w:type="pct"/>
            <w:tcBorders>
              <w:top w:val="nil"/>
              <w:left w:val="nil"/>
              <w:bottom w:val="nil"/>
              <w:right w:val="nil"/>
            </w:tcBorders>
            <w:shd w:val="clear" w:color="auto" w:fill="auto"/>
            <w:noWrap/>
            <w:vAlign w:val="bottom"/>
            <w:hideMark/>
          </w:tcPr>
          <w:p w14:paraId="65BB57C4" w14:textId="6AFA3B16"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0.342**</w:t>
            </w:r>
          </w:p>
        </w:tc>
      </w:tr>
      <w:tr w:rsidR="00DD5E3A" w:rsidRPr="00F72CC4" w14:paraId="790BF6A6" w14:textId="77777777" w:rsidTr="00C2663A">
        <w:trPr>
          <w:trHeight w:val="276"/>
        </w:trPr>
        <w:tc>
          <w:tcPr>
            <w:tcW w:w="2222" w:type="pct"/>
            <w:tcBorders>
              <w:top w:val="nil"/>
              <w:left w:val="nil"/>
              <w:bottom w:val="nil"/>
              <w:right w:val="nil"/>
            </w:tcBorders>
            <w:shd w:val="clear" w:color="auto" w:fill="auto"/>
            <w:noWrap/>
            <w:vAlign w:val="bottom"/>
            <w:hideMark/>
          </w:tcPr>
          <w:p w14:paraId="5A57EBB0" w14:textId="77777777" w:rsidR="00DD5E3A" w:rsidRPr="00F72CC4" w:rsidRDefault="00DD5E3A" w:rsidP="00DD5E3A">
            <w:pPr>
              <w:widowControl/>
              <w:jc w:val="center"/>
              <w:rPr>
                <w:rFonts w:ascii="Times New Roman" w:eastAsia="等线" w:hAnsi="Times New Roman" w:cs="Times New Roman"/>
                <w:i/>
                <w:color w:val="000000"/>
                <w:kern w:val="0"/>
                <w:sz w:val="22"/>
              </w:rPr>
            </w:pPr>
          </w:p>
        </w:tc>
        <w:tc>
          <w:tcPr>
            <w:tcW w:w="986" w:type="pct"/>
            <w:tcBorders>
              <w:top w:val="nil"/>
              <w:left w:val="nil"/>
              <w:bottom w:val="nil"/>
              <w:right w:val="nil"/>
            </w:tcBorders>
            <w:shd w:val="clear" w:color="auto" w:fill="auto"/>
            <w:noWrap/>
            <w:vAlign w:val="bottom"/>
            <w:hideMark/>
          </w:tcPr>
          <w:p w14:paraId="79F99DF2" w14:textId="41721429"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(0.118)</w:t>
            </w:r>
          </w:p>
        </w:tc>
        <w:tc>
          <w:tcPr>
            <w:tcW w:w="1792" w:type="pct"/>
            <w:tcBorders>
              <w:top w:val="nil"/>
              <w:left w:val="nil"/>
              <w:bottom w:val="nil"/>
              <w:right w:val="nil"/>
            </w:tcBorders>
            <w:shd w:val="clear" w:color="auto" w:fill="auto"/>
            <w:noWrap/>
            <w:vAlign w:val="bottom"/>
            <w:hideMark/>
          </w:tcPr>
          <w:p w14:paraId="782D330A" w14:textId="1CB6BA42"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(0.140)</w:t>
            </w:r>
          </w:p>
        </w:tc>
      </w:tr>
      <w:tr w:rsidR="00DD5E3A" w:rsidRPr="00F72CC4" w14:paraId="7982FFF2" w14:textId="77777777" w:rsidTr="00C2663A">
        <w:trPr>
          <w:trHeight w:val="276"/>
        </w:trPr>
        <w:tc>
          <w:tcPr>
            <w:tcW w:w="2222" w:type="pct"/>
            <w:tcBorders>
              <w:top w:val="nil"/>
              <w:left w:val="nil"/>
              <w:bottom w:val="nil"/>
              <w:right w:val="nil"/>
            </w:tcBorders>
            <w:shd w:val="clear" w:color="auto" w:fill="auto"/>
            <w:noWrap/>
            <w:vAlign w:val="bottom"/>
            <w:hideMark/>
          </w:tcPr>
          <w:p w14:paraId="5B022D6C" w14:textId="4A1DA458" w:rsidR="00DD5E3A" w:rsidRPr="00F72CC4" w:rsidRDefault="00DD5E3A" w:rsidP="00DD5E3A">
            <w:pPr>
              <w:widowControl/>
              <w:jc w:val="center"/>
              <w:rPr>
                <w:rFonts w:ascii="Times New Roman" w:eastAsia="等线" w:hAnsi="Times New Roman" w:cs="Times New Roman"/>
                <w:i/>
                <w:color w:val="000000"/>
                <w:kern w:val="0"/>
                <w:sz w:val="22"/>
              </w:rPr>
            </w:pPr>
            <w:r w:rsidRPr="00F72CC4">
              <w:rPr>
                <w:rFonts w:ascii="Times New Roman" w:eastAsia="等线" w:hAnsi="Times New Roman" w:cs="Times New Roman"/>
                <w:i/>
                <w:color w:val="000000"/>
                <w:kern w:val="0"/>
                <w:sz w:val="22"/>
              </w:rPr>
              <w:t>Fund Family Size: Middle</w:t>
            </w:r>
          </w:p>
        </w:tc>
        <w:tc>
          <w:tcPr>
            <w:tcW w:w="986" w:type="pct"/>
            <w:tcBorders>
              <w:top w:val="nil"/>
              <w:left w:val="nil"/>
              <w:bottom w:val="nil"/>
              <w:right w:val="nil"/>
            </w:tcBorders>
            <w:shd w:val="clear" w:color="auto" w:fill="auto"/>
            <w:noWrap/>
            <w:vAlign w:val="bottom"/>
            <w:hideMark/>
          </w:tcPr>
          <w:p w14:paraId="7D957075" w14:textId="4A66947A"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0.167***</w:t>
            </w:r>
          </w:p>
        </w:tc>
        <w:tc>
          <w:tcPr>
            <w:tcW w:w="1792" w:type="pct"/>
            <w:tcBorders>
              <w:top w:val="nil"/>
              <w:left w:val="nil"/>
              <w:bottom w:val="nil"/>
              <w:right w:val="nil"/>
            </w:tcBorders>
            <w:shd w:val="clear" w:color="auto" w:fill="auto"/>
            <w:noWrap/>
            <w:vAlign w:val="bottom"/>
            <w:hideMark/>
          </w:tcPr>
          <w:p w14:paraId="69082BBE" w14:textId="0744A4C5"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-0.204*</w:t>
            </w:r>
          </w:p>
        </w:tc>
      </w:tr>
      <w:tr w:rsidR="00DD5E3A" w:rsidRPr="00F72CC4" w14:paraId="2056AC47" w14:textId="77777777" w:rsidTr="00C2663A">
        <w:trPr>
          <w:trHeight w:val="276"/>
        </w:trPr>
        <w:tc>
          <w:tcPr>
            <w:tcW w:w="2222" w:type="pct"/>
            <w:tcBorders>
              <w:top w:val="nil"/>
              <w:left w:val="nil"/>
              <w:bottom w:val="nil"/>
              <w:right w:val="nil"/>
            </w:tcBorders>
            <w:shd w:val="clear" w:color="auto" w:fill="auto"/>
            <w:noWrap/>
            <w:vAlign w:val="bottom"/>
            <w:hideMark/>
          </w:tcPr>
          <w:p w14:paraId="31A1E4A5" w14:textId="77777777" w:rsidR="00DD5E3A" w:rsidRPr="00F72CC4" w:rsidRDefault="00DD5E3A" w:rsidP="00DD5E3A">
            <w:pPr>
              <w:widowControl/>
              <w:jc w:val="center"/>
              <w:rPr>
                <w:rFonts w:ascii="Times New Roman" w:eastAsia="等线" w:hAnsi="Times New Roman" w:cs="Times New Roman"/>
                <w:i/>
                <w:color w:val="000000"/>
                <w:kern w:val="0"/>
                <w:sz w:val="22"/>
              </w:rPr>
            </w:pPr>
          </w:p>
        </w:tc>
        <w:tc>
          <w:tcPr>
            <w:tcW w:w="986" w:type="pct"/>
            <w:tcBorders>
              <w:top w:val="nil"/>
              <w:left w:val="nil"/>
              <w:bottom w:val="nil"/>
              <w:right w:val="nil"/>
            </w:tcBorders>
            <w:shd w:val="clear" w:color="auto" w:fill="auto"/>
            <w:noWrap/>
            <w:vAlign w:val="bottom"/>
            <w:hideMark/>
          </w:tcPr>
          <w:p w14:paraId="2ACD5FFD" w14:textId="691F8C10"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(0.06</w:t>
            </w:r>
            <w:r w:rsidR="00572B25" w:rsidRPr="00F72CC4">
              <w:rPr>
                <w:rFonts w:ascii="Times New Roman" w:eastAsia="宋体" w:hAnsi="Times New Roman" w:cs="Times New Roman"/>
                <w:kern w:val="0"/>
                <w:sz w:val="22"/>
              </w:rPr>
              <w:t>4</w:t>
            </w:r>
            <w:r w:rsidRPr="00F72CC4">
              <w:rPr>
                <w:rFonts w:ascii="Times New Roman" w:eastAsia="宋体" w:hAnsi="Times New Roman" w:cs="Times New Roman"/>
                <w:kern w:val="0"/>
                <w:sz w:val="22"/>
              </w:rPr>
              <w:t>)</w:t>
            </w:r>
          </w:p>
        </w:tc>
        <w:tc>
          <w:tcPr>
            <w:tcW w:w="1792" w:type="pct"/>
            <w:tcBorders>
              <w:top w:val="nil"/>
              <w:left w:val="nil"/>
              <w:bottom w:val="nil"/>
              <w:right w:val="nil"/>
            </w:tcBorders>
            <w:shd w:val="clear" w:color="auto" w:fill="auto"/>
            <w:noWrap/>
            <w:vAlign w:val="bottom"/>
            <w:hideMark/>
          </w:tcPr>
          <w:p w14:paraId="23E842C8" w14:textId="7DC53A4B"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(0.115)</w:t>
            </w:r>
          </w:p>
        </w:tc>
      </w:tr>
      <w:tr w:rsidR="00DD5E3A" w:rsidRPr="00F72CC4" w14:paraId="08AE9AB8" w14:textId="77777777" w:rsidTr="00C2663A">
        <w:trPr>
          <w:trHeight w:val="276"/>
        </w:trPr>
        <w:tc>
          <w:tcPr>
            <w:tcW w:w="2222" w:type="pct"/>
            <w:tcBorders>
              <w:top w:val="nil"/>
              <w:left w:val="nil"/>
              <w:bottom w:val="nil"/>
              <w:right w:val="nil"/>
            </w:tcBorders>
            <w:shd w:val="clear" w:color="auto" w:fill="auto"/>
            <w:noWrap/>
            <w:vAlign w:val="bottom"/>
            <w:hideMark/>
          </w:tcPr>
          <w:p w14:paraId="381BED6B" w14:textId="6BAD9671" w:rsidR="00DD5E3A" w:rsidRPr="00F72CC4" w:rsidRDefault="00DD5E3A" w:rsidP="00DD5E3A">
            <w:pPr>
              <w:widowControl/>
              <w:jc w:val="center"/>
              <w:rPr>
                <w:rFonts w:ascii="Times New Roman" w:eastAsia="等线" w:hAnsi="Times New Roman" w:cs="Times New Roman"/>
                <w:i/>
                <w:color w:val="000000"/>
                <w:kern w:val="0"/>
                <w:sz w:val="22"/>
              </w:rPr>
            </w:pPr>
            <w:r w:rsidRPr="00F72CC4">
              <w:rPr>
                <w:rFonts w:ascii="Times New Roman" w:eastAsia="等线" w:hAnsi="Times New Roman" w:cs="Times New Roman"/>
                <w:i/>
                <w:color w:val="000000"/>
                <w:kern w:val="0"/>
                <w:sz w:val="22"/>
              </w:rPr>
              <w:t>Fund Size: Large</w:t>
            </w:r>
          </w:p>
        </w:tc>
        <w:tc>
          <w:tcPr>
            <w:tcW w:w="986" w:type="pct"/>
            <w:tcBorders>
              <w:top w:val="nil"/>
              <w:left w:val="nil"/>
              <w:bottom w:val="nil"/>
              <w:right w:val="nil"/>
            </w:tcBorders>
            <w:shd w:val="clear" w:color="auto" w:fill="auto"/>
            <w:noWrap/>
            <w:vAlign w:val="bottom"/>
            <w:hideMark/>
          </w:tcPr>
          <w:p w14:paraId="2270029B" w14:textId="5BF8DB86"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0.156</w:t>
            </w:r>
          </w:p>
        </w:tc>
        <w:tc>
          <w:tcPr>
            <w:tcW w:w="1792" w:type="pct"/>
            <w:tcBorders>
              <w:top w:val="nil"/>
              <w:left w:val="nil"/>
              <w:bottom w:val="nil"/>
              <w:right w:val="nil"/>
            </w:tcBorders>
            <w:shd w:val="clear" w:color="auto" w:fill="auto"/>
            <w:noWrap/>
            <w:vAlign w:val="bottom"/>
            <w:hideMark/>
          </w:tcPr>
          <w:p w14:paraId="3E20BAE4" w14:textId="2A3CE7D7"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0.525***</w:t>
            </w:r>
          </w:p>
        </w:tc>
      </w:tr>
      <w:tr w:rsidR="00DD5E3A" w:rsidRPr="00F72CC4" w14:paraId="0E498B3B" w14:textId="77777777" w:rsidTr="00C2663A">
        <w:trPr>
          <w:trHeight w:val="276"/>
        </w:trPr>
        <w:tc>
          <w:tcPr>
            <w:tcW w:w="2222" w:type="pct"/>
            <w:tcBorders>
              <w:top w:val="nil"/>
              <w:left w:val="nil"/>
              <w:bottom w:val="nil"/>
              <w:right w:val="nil"/>
            </w:tcBorders>
            <w:shd w:val="clear" w:color="auto" w:fill="auto"/>
            <w:noWrap/>
            <w:vAlign w:val="bottom"/>
            <w:hideMark/>
          </w:tcPr>
          <w:p w14:paraId="2D7228D0" w14:textId="77777777" w:rsidR="00DD5E3A" w:rsidRPr="00F72CC4" w:rsidRDefault="00DD5E3A" w:rsidP="00DD5E3A">
            <w:pPr>
              <w:widowControl/>
              <w:jc w:val="center"/>
              <w:rPr>
                <w:rFonts w:ascii="Times New Roman" w:eastAsia="等线" w:hAnsi="Times New Roman" w:cs="Times New Roman"/>
                <w:i/>
                <w:color w:val="000000"/>
                <w:kern w:val="0"/>
                <w:sz w:val="22"/>
              </w:rPr>
            </w:pPr>
          </w:p>
        </w:tc>
        <w:tc>
          <w:tcPr>
            <w:tcW w:w="986" w:type="pct"/>
            <w:tcBorders>
              <w:top w:val="nil"/>
              <w:left w:val="nil"/>
              <w:bottom w:val="nil"/>
              <w:right w:val="nil"/>
            </w:tcBorders>
            <w:shd w:val="clear" w:color="auto" w:fill="auto"/>
            <w:noWrap/>
            <w:vAlign w:val="bottom"/>
            <w:hideMark/>
          </w:tcPr>
          <w:p w14:paraId="0F946E3C" w14:textId="3160E7C1"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(0.114)</w:t>
            </w:r>
          </w:p>
        </w:tc>
        <w:tc>
          <w:tcPr>
            <w:tcW w:w="1792" w:type="pct"/>
            <w:tcBorders>
              <w:top w:val="nil"/>
              <w:left w:val="nil"/>
              <w:bottom w:val="nil"/>
              <w:right w:val="nil"/>
            </w:tcBorders>
            <w:shd w:val="clear" w:color="auto" w:fill="auto"/>
            <w:noWrap/>
            <w:vAlign w:val="bottom"/>
            <w:hideMark/>
          </w:tcPr>
          <w:p w14:paraId="4C55AFE4" w14:textId="2372CD19"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(0.115)</w:t>
            </w:r>
          </w:p>
        </w:tc>
      </w:tr>
      <w:tr w:rsidR="00DD5E3A" w:rsidRPr="00F72CC4" w14:paraId="6D03470C" w14:textId="77777777" w:rsidTr="00C2663A">
        <w:trPr>
          <w:trHeight w:val="276"/>
        </w:trPr>
        <w:tc>
          <w:tcPr>
            <w:tcW w:w="2222" w:type="pct"/>
            <w:tcBorders>
              <w:top w:val="nil"/>
              <w:left w:val="nil"/>
              <w:bottom w:val="nil"/>
              <w:right w:val="nil"/>
            </w:tcBorders>
            <w:shd w:val="clear" w:color="auto" w:fill="auto"/>
            <w:noWrap/>
            <w:vAlign w:val="bottom"/>
            <w:hideMark/>
          </w:tcPr>
          <w:p w14:paraId="366F2243" w14:textId="7449AE37" w:rsidR="00DD5E3A" w:rsidRPr="00F72CC4" w:rsidRDefault="00DD5E3A" w:rsidP="00DD5E3A">
            <w:pPr>
              <w:widowControl/>
              <w:jc w:val="center"/>
              <w:rPr>
                <w:rFonts w:ascii="Times New Roman" w:eastAsia="等线" w:hAnsi="Times New Roman" w:cs="Times New Roman"/>
                <w:i/>
                <w:color w:val="000000"/>
                <w:kern w:val="0"/>
                <w:sz w:val="22"/>
              </w:rPr>
            </w:pPr>
            <w:r w:rsidRPr="00F72CC4">
              <w:rPr>
                <w:rFonts w:ascii="Times New Roman" w:eastAsia="等线" w:hAnsi="Times New Roman" w:cs="Times New Roman"/>
                <w:i/>
                <w:color w:val="000000"/>
                <w:kern w:val="0"/>
                <w:sz w:val="22"/>
              </w:rPr>
              <w:t>Fund Size: Middle</w:t>
            </w:r>
          </w:p>
        </w:tc>
        <w:tc>
          <w:tcPr>
            <w:tcW w:w="986" w:type="pct"/>
            <w:tcBorders>
              <w:top w:val="nil"/>
              <w:left w:val="nil"/>
              <w:bottom w:val="nil"/>
              <w:right w:val="nil"/>
            </w:tcBorders>
            <w:shd w:val="clear" w:color="auto" w:fill="auto"/>
            <w:noWrap/>
            <w:vAlign w:val="bottom"/>
            <w:hideMark/>
          </w:tcPr>
          <w:p w14:paraId="60823749" w14:textId="51AFFB2E"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0.174**</w:t>
            </w:r>
          </w:p>
        </w:tc>
        <w:tc>
          <w:tcPr>
            <w:tcW w:w="1792" w:type="pct"/>
            <w:tcBorders>
              <w:top w:val="nil"/>
              <w:left w:val="nil"/>
              <w:bottom w:val="nil"/>
              <w:right w:val="nil"/>
            </w:tcBorders>
            <w:shd w:val="clear" w:color="auto" w:fill="auto"/>
            <w:noWrap/>
            <w:vAlign w:val="bottom"/>
            <w:hideMark/>
          </w:tcPr>
          <w:p w14:paraId="7E8FC847" w14:textId="6F18040D"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-0.003</w:t>
            </w:r>
          </w:p>
        </w:tc>
      </w:tr>
      <w:tr w:rsidR="00DD5E3A" w:rsidRPr="00F72CC4" w14:paraId="171426A0" w14:textId="77777777" w:rsidTr="00C2663A">
        <w:trPr>
          <w:trHeight w:val="276"/>
        </w:trPr>
        <w:tc>
          <w:tcPr>
            <w:tcW w:w="2222" w:type="pct"/>
            <w:tcBorders>
              <w:top w:val="nil"/>
              <w:left w:val="nil"/>
              <w:bottom w:val="nil"/>
              <w:right w:val="nil"/>
            </w:tcBorders>
            <w:shd w:val="clear" w:color="auto" w:fill="auto"/>
            <w:noWrap/>
            <w:vAlign w:val="bottom"/>
            <w:hideMark/>
          </w:tcPr>
          <w:p w14:paraId="31C98FEC" w14:textId="77777777" w:rsidR="00DD5E3A" w:rsidRPr="00F72CC4" w:rsidRDefault="00DD5E3A" w:rsidP="00DD5E3A">
            <w:pPr>
              <w:widowControl/>
              <w:jc w:val="center"/>
              <w:rPr>
                <w:rFonts w:ascii="Times New Roman" w:eastAsia="等线" w:hAnsi="Times New Roman" w:cs="Times New Roman"/>
                <w:i/>
                <w:color w:val="000000"/>
                <w:kern w:val="0"/>
                <w:sz w:val="22"/>
              </w:rPr>
            </w:pPr>
          </w:p>
        </w:tc>
        <w:tc>
          <w:tcPr>
            <w:tcW w:w="986" w:type="pct"/>
            <w:tcBorders>
              <w:top w:val="nil"/>
              <w:left w:val="nil"/>
              <w:bottom w:val="nil"/>
              <w:right w:val="nil"/>
            </w:tcBorders>
            <w:shd w:val="clear" w:color="auto" w:fill="auto"/>
            <w:noWrap/>
            <w:vAlign w:val="bottom"/>
            <w:hideMark/>
          </w:tcPr>
          <w:p w14:paraId="1CA30E41" w14:textId="181FE66F"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(0.068)</w:t>
            </w:r>
          </w:p>
        </w:tc>
        <w:tc>
          <w:tcPr>
            <w:tcW w:w="1792" w:type="pct"/>
            <w:tcBorders>
              <w:top w:val="nil"/>
              <w:left w:val="nil"/>
              <w:bottom w:val="nil"/>
              <w:right w:val="nil"/>
            </w:tcBorders>
            <w:shd w:val="clear" w:color="auto" w:fill="auto"/>
            <w:noWrap/>
            <w:vAlign w:val="bottom"/>
            <w:hideMark/>
          </w:tcPr>
          <w:p w14:paraId="36668BF6" w14:textId="0760656E"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宋体" w:hAnsi="Times New Roman" w:cs="Times New Roman"/>
                <w:kern w:val="0"/>
                <w:sz w:val="22"/>
              </w:rPr>
              <w:t>(0.086)</w:t>
            </w:r>
          </w:p>
        </w:tc>
      </w:tr>
      <w:tr w:rsidR="00DD5E3A" w:rsidRPr="00F72CC4" w14:paraId="321684DA" w14:textId="77777777" w:rsidTr="00C2663A">
        <w:trPr>
          <w:trHeight w:val="276"/>
        </w:trPr>
        <w:tc>
          <w:tcPr>
            <w:tcW w:w="2222" w:type="pct"/>
            <w:tcBorders>
              <w:top w:val="nil"/>
              <w:left w:val="nil"/>
              <w:bottom w:val="single" w:sz="4" w:space="0" w:color="auto"/>
              <w:right w:val="nil"/>
            </w:tcBorders>
            <w:shd w:val="clear" w:color="auto" w:fill="auto"/>
            <w:noWrap/>
            <w:vAlign w:val="bottom"/>
            <w:hideMark/>
          </w:tcPr>
          <w:p w14:paraId="713EB59A" w14:textId="77777777" w:rsidR="00DD5E3A" w:rsidRPr="00F72CC4" w:rsidRDefault="00DD5E3A" w:rsidP="00DD5E3A">
            <w:pPr>
              <w:widowControl/>
              <w:jc w:val="center"/>
              <w:rPr>
                <w:rFonts w:ascii="Times New Roman" w:eastAsia="等线" w:hAnsi="Times New Roman" w:cs="Times New Roman"/>
                <w:i/>
                <w:color w:val="000000"/>
                <w:kern w:val="0"/>
                <w:sz w:val="22"/>
              </w:rPr>
            </w:pPr>
            <w:r w:rsidRPr="00F72CC4">
              <w:rPr>
                <w:rFonts w:ascii="Times New Roman" w:eastAsia="等线" w:hAnsi="Times New Roman" w:cs="Times New Roman"/>
                <w:i/>
                <w:color w:val="000000"/>
                <w:kern w:val="0"/>
                <w:sz w:val="22"/>
              </w:rPr>
              <w:t>N</w:t>
            </w:r>
          </w:p>
        </w:tc>
        <w:tc>
          <w:tcPr>
            <w:tcW w:w="2778" w:type="pct"/>
            <w:gridSpan w:val="2"/>
            <w:tcBorders>
              <w:top w:val="nil"/>
              <w:left w:val="nil"/>
              <w:bottom w:val="single" w:sz="4" w:space="0" w:color="auto"/>
              <w:right w:val="nil"/>
            </w:tcBorders>
            <w:shd w:val="clear" w:color="auto" w:fill="auto"/>
            <w:noWrap/>
            <w:vAlign w:val="bottom"/>
            <w:hideMark/>
          </w:tcPr>
          <w:p w14:paraId="127BCA8F" w14:textId="013F8E7F" w:rsidR="00DD5E3A" w:rsidRPr="00F72CC4" w:rsidRDefault="00DD5E3A" w:rsidP="00DD5E3A">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11040</w:t>
            </w:r>
          </w:p>
        </w:tc>
      </w:tr>
    </w:tbl>
    <w:p w14:paraId="05BAD36C" w14:textId="77777777" w:rsidR="005D7DC9" w:rsidRPr="00F72CC4" w:rsidRDefault="005D7DC9" w:rsidP="00AB0BEE">
      <w:pPr>
        <w:spacing w:line="360" w:lineRule="auto"/>
        <w:ind w:left="440" w:hangingChars="200" w:hanging="440"/>
        <w:rPr>
          <w:rFonts w:ascii="Times New Roman" w:hAnsi="Times New Roman" w:cs="Times New Roman"/>
          <w:sz w:val="22"/>
        </w:rPr>
      </w:pPr>
    </w:p>
    <w:p w14:paraId="66B6C66A" w14:textId="77777777" w:rsidR="00DD5E3A" w:rsidRDefault="00DD5E3A" w:rsidP="00AB0BEE">
      <w:pPr>
        <w:spacing w:line="360" w:lineRule="auto"/>
        <w:ind w:left="420" w:hangingChars="200" w:hanging="420"/>
        <w:rPr>
          <w:rFonts w:ascii="Times New Roman" w:hAnsi="Times New Roman" w:cs="Times New Roman"/>
        </w:rPr>
        <w:sectPr w:rsidR="00DD5E3A" w:rsidSect="008A25AB">
          <w:pgSz w:w="11906" w:h="16838"/>
          <w:pgMar w:top="1440" w:right="1800" w:bottom="1440" w:left="1800" w:header="851" w:footer="992" w:gutter="0"/>
          <w:cols w:space="425"/>
          <w:docGrid w:type="lines" w:linePitch="312"/>
        </w:sectPr>
      </w:pPr>
    </w:p>
    <w:p w14:paraId="41B71D28" w14:textId="14725195" w:rsidR="00C2663A" w:rsidRPr="00F72CC4" w:rsidRDefault="00C2663A" w:rsidP="00C2663A">
      <w:pPr>
        <w:spacing w:line="360" w:lineRule="auto"/>
        <w:ind w:left="440" w:hangingChars="200" w:hanging="440"/>
        <w:jc w:val="center"/>
        <w:rPr>
          <w:rFonts w:ascii="Times New Roman" w:hAnsi="Times New Roman" w:cs="Times New Roman"/>
          <w:b/>
          <w:bCs/>
          <w:sz w:val="22"/>
        </w:rPr>
      </w:pPr>
      <w:r w:rsidRPr="00F72CC4">
        <w:rPr>
          <w:rFonts w:ascii="Times New Roman" w:hAnsi="Times New Roman" w:cs="Times New Roman" w:hint="eastAsia"/>
          <w:b/>
          <w:bCs/>
          <w:sz w:val="22"/>
        </w:rPr>
        <w:lastRenderedPageBreak/>
        <w:t>T</w:t>
      </w:r>
      <w:r w:rsidRPr="00F72CC4">
        <w:rPr>
          <w:rFonts w:ascii="Times New Roman" w:hAnsi="Times New Roman" w:cs="Times New Roman"/>
          <w:b/>
          <w:bCs/>
          <w:sz w:val="22"/>
        </w:rPr>
        <w:t xml:space="preserve">able 5. Estimated WTP in respect to </w:t>
      </w:r>
      <w:r w:rsidR="00465F2E" w:rsidRPr="00F72CC4">
        <w:rPr>
          <w:rFonts w:ascii="Times New Roman" w:hAnsi="Times New Roman" w:cs="Times New Roman"/>
          <w:b/>
          <w:bCs/>
          <w:sz w:val="22"/>
        </w:rPr>
        <w:t>A</w:t>
      </w:r>
      <w:r w:rsidRPr="00F72CC4">
        <w:rPr>
          <w:rFonts w:ascii="Times New Roman" w:hAnsi="Times New Roman" w:cs="Times New Roman"/>
          <w:b/>
          <w:bCs/>
          <w:sz w:val="22"/>
        </w:rPr>
        <w:t xml:space="preserve">nnual </w:t>
      </w:r>
      <w:r w:rsidR="00465F2E" w:rsidRPr="00F72CC4">
        <w:rPr>
          <w:rFonts w:ascii="Times New Roman" w:hAnsi="Times New Roman" w:cs="Times New Roman"/>
          <w:b/>
          <w:bCs/>
          <w:sz w:val="22"/>
        </w:rPr>
        <w:t>M</w:t>
      </w:r>
      <w:r w:rsidRPr="00F72CC4">
        <w:rPr>
          <w:rFonts w:ascii="Times New Roman" w:hAnsi="Times New Roman" w:cs="Times New Roman"/>
          <w:b/>
          <w:bCs/>
          <w:sz w:val="22"/>
        </w:rPr>
        <w:t xml:space="preserve">anagement </w:t>
      </w:r>
      <w:r w:rsidR="00465F2E" w:rsidRPr="00F72CC4">
        <w:rPr>
          <w:rFonts w:ascii="Times New Roman" w:hAnsi="Times New Roman" w:cs="Times New Roman"/>
          <w:b/>
          <w:bCs/>
          <w:sz w:val="22"/>
        </w:rPr>
        <w:t>F</w:t>
      </w:r>
      <w:r w:rsidRPr="00F72CC4">
        <w:rPr>
          <w:rFonts w:ascii="Times New Roman" w:hAnsi="Times New Roman" w:cs="Times New Roman"/>
          <w:b/>
          <w:bCs/>
          <w:sz w:val="22"/>
        </w:rPr>
        <w:t>ee</w:t>
      </w:r>
    </w:p>
    <w:tbl>
      <w:tblPr>
        <w:tblW w:w="5000" w:type="pct"/>
        <w:tblLook w:val="04A0" w:firstRow="1" w:lastRow="0" w:firstColumn="1" w:lastColumn="0" w:noHBand="0" w:noVBand="1"/>
      </w:tblPr>
      <w:tblGrid>
        <w:gridCol w:w="3034"/>
        <w:gridCol w:w="1912"/>
        <w:gridCol w:w="1694"/>
        <w:gridCol w:w="1666"/>
      </w:tblGrid>
      <w:tr w:rsidR="00C2663A" w:rsidRPr="00F72CC4" w14:paraId="59DDDCEE" w14:textId="77777777" w:rsidTr="00645CA1">
        <w:trPr>
          <w:trHeight w:val="276"/>
        </w:trPr>
        <w:tc>
          <w:tcPr>
            <w:tcW w:w="1826" w:type="pct"/>
            <w:tcBorders>
              <w:top w:val="single" w:sz="4" w:space="0" w:color="auto"/>
              <w:left w:val="nil"/>
              <w:bottom w:val="single" w:sz="4" w:space="0" w:color="auto"/>
              <w:right w:val="nil"/>
            </w:tcBorders>
            <w:shd w:val="clear" w:color="auto" w:fill="auto"/>
            <w:noWrap/>
            <w:vAlign w:val="bottom"/>
            <w:hideMark/>
          </w:tcPr>
          <w:p w14:paraId="1398E8E7" w14:textId="5306193D" w:rsidR="00C2663A" w:rsidRPr="00F72CC4" w:rsidRDefault="00C2663A" w:rsidP="00C2663A">
            <w:pPr>
              <w:widowControl/>
              <w:jc w:val="left"/>
              <w:rPr>
                <w:rFonts w:ascii="Times New Roman" w:eastAsia="等线" w:hAnsi="Times New Roman" w:cs="Times New Roman"/>
                <w:color w:val="000000"/>
                <w:kern w:val="0"/>
                <w:sz w:val="22"/>
              </w:rPr>
            </w:pPr>
          </w:p>
        </w:tc>
        <w:tc>
          <w:tcPr>
            <w:tcW w:w="1151" w:type="pct"/>
            <w:tcBorders>
              <w:top w:val="single" w:sz="4" w:space="0" w:color="auto"/>
              <w:left w:val="nil"/>
              <w:bottom w:val="single" w:sz="4" w:space="0" w:color="auto"/>
              <w:right w:val="nil"/>
            </w:tcBorders>
            <w:shd w:val="clear" w:color="auto" w:fill="auto"/>
            <w:noWrap/>
            <w:vAlign w:val="bottom"/>
            <w:hideMark/>
          </w:tcPr>
          <w:p w14:paraId="118FF67E" w14:textId="77777777" w:rsidR="00C2663A" w:rsidRPr="00F72CC4" w:rsidRDefault="00C2663A" w:rsidP="00C2663A">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Estimated WTP</w:t>
            </w:r>
          </w:p>
          <w:p w14:paraId="6C2BA322" w14:textId="77777777" w:rsidR="001A1BD4" w:rsidRPr="00F72CC4" w:rsidRDefault="001A1BD4" w:rsidP="00C2663A">
            <w:pPr>
              <w:widowControl/>
              <w:jc w:val="center"/>
              <w:rPr>
                <w:rFonts w:ascii="Times New Roman" w:eastAsia="等线" w:hAnsi="Times New Roman" w:cs="Times New Roman"/>
                <w:color w:val="000000"/>
                <w:kern w:val="0"/>
                <w:sz w:val="22"/>
              </w:rPr>
            </w:pPr>
          </w:p>
        </w:tc>
        <w:tc>
          <w:tcPr>
            <w:tcW w:w="1020" w:type="pct"/>
            <w:tcBorders>
              <w:top w:val="single" w:sz="4" w:space="0" w:color="auto"/>
              <w:left w:val="nil"/>
              <w:bottom w:val="single" w:sz="4" w:space="0" w:color="auto"/>
              <w:right w:val="nil"/>
            </w:tcBorders>
            <w:shd w:val="clear" w:color="auto" w:fill="auto"/>
            <w:noWrap/>
            <w:vAlign w:val="bottom"/>
            <w:hideMark/>
          </w:tcPr>
          <w:p w14:paraId="1BFDEDC9" w14:textId="77777777" w:rsidR="00322CDC" w:rsidRPr="00F72CC4" w:rsidRDefault="00C2663A" w:rsidP="00C2663A">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 xml:space="preserve">Lower Bound </w:t>
            </w:r>
          </w:p>
          <w:p w14:paraId="611E388D" w14:textId="15594021" w:rsidR="00C2663A" w:rsidRPr="00F72CC4" w:rsidRDefault="00C2663A" w:rsidP="00C2663A">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 xml:space="preserve">of 95% </w:t>
            </w:r>
            <w:r w:rsidR="00322CDC" w:rsidRPr="00F72CC4">
              <w:rPr>
                <w:rFonts w:ascii="Times New Roman" w:eastAsia="等线" w:hAnsi="Times New Roman" w:cs="Times New Roman"/>
                <w:color w:val="000000"/>
                <w:kern w:val="0"/>
                <w:sz w:val="22"/>
              </w:rPr>
              <w:t>CI</w:t>
            </w:r>
          </w:p>
        </w:tc>
        <w:tc>
          <w:tcPr>
            <w:tcW w:w="1003" w:type="pct"/>
            <w:tcBorders>
              <w:top w:val="single" w:sz="4" w:space="0" w:color="auto"/>
              <w:left w:val="nil"/>
              <w:bottom w:val="single" w:sz="4" w:space="0" w:color="auto"/>
              <w:right w:val="nil"/>
            </w:tcBorders>
            <w:shd w:val="clear" w:color="auto" w:fill="auto"/>
            <w:noWrap/>
            <w:vAlign w:val="bottom"/>
            <w:hideMark/>
          </w:tcPr>
          <w:p w14:paraId="19E77C2C" w14:textId="77777777" w:rsidR="00322CDC" w:rsidRPr="00F72CC4" w:rsidRDefault="00C2663A" w:rsidP="00C2663A">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 xml:space="preserve">Upper Bound </w:t>
            </w:r>
          </w:p>
          <w:p w14:paraId="5F6C53F6" w14:textId="140CE7D0" w:rsidR="00C2663A" w:rsidRPr="00F72CC4" w:rsidRDefault="00C2663A" w:rsidP="00C2663A">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 xml:space="preserve">of 95% </w:t>
            </w:r>
            <w:r w:rsidR="00322CDC" w:rsidRPr="00F72CC4">
              <w:rPr>
                <w:rFonts w:ascii="Times New Roman" w:eastAsia="等线" w:hAnsi="Times New Roman" w:cs="Times New Roman"/>
                <w:color w:val="000000"/>
                <w:kern w:val="0"/>
                <w:sz w:val="22"/>
              </w:rPr>
              <w:t>CI</w:t>
            </w:r>
          </w:p>
        </w:tc>
      </w:tr>
      <w:tr w:rsidR="00322CDC" w:rsidRPr="00F72CC4" w14:paraId="404CAF34" w14:textId="77777777" w:rsidTr="00645CA1">
        <w:trPr>
          <w:trHeight w:val="276"/>
        </w:trPr>
        <w:tc>
          <w:tcPr>
            <w:tcW w:w="1826" w:type="pct"/>
            <w:tcBorders>
              <w:top w:val="nil"/>
              <w:left w:val="nil"/>
              <w:bottom w:val="nil"/>
              <w:right w:val="nil"/>
            </w:tcBorders>
            <w:shd w:val="clear" w:color="auto" w:fill="auto"/>
            <w:noWrap/>
            <w:vAlign w:val="bottom"/>
          </w:tcPr>
          <w:p w14:paraId="634E81CA" w14:textId="259D0E29" w:rsidR="00322CDC" w:rsidRPr="00F72CC4" w:rsidRDefault="00AC1DC7" w:rsidP="00322CDC">
            <w:pPr>
              <w:widowControl/>
              <w:jc w:val="left"/>
              <w:rPr>
                <w:rFonts w:ascii="Times New Roman" w:eastAsia="等线" w:hAnsi="Times New Roman" w:cs="Times New Roman"/>
                <w:color w:val="000000"/>
                <w:kern w:val="0"/>
                <w:sz w:val="22"/>
              </w:rPr>
            </w:pPr>
            <w:proofErr w:type="spellStart"/>
            <w:r w:rsidRPr="00F72CC4">
              <w:rPr>
                <w:rFonts w:ascii="Times New Roman" w:eastAsia="等线" w:hAnsi="Times New Roman" w:cs="Times New Roman"/>
                <w:i/>
                <w:color w:val="000000"/>
                <w:kern w:val="0"/>
                <w:sz w:val="22"/>
              </w:rPr>
              <w:t>SignUNPRI</w:t>
            </w:r>
            <w:proofErr w:type="spellEnd"/>
          </w:p>
        </w:tc>
        <w:tc>
          <w:tcPr>
            <w:tcW w:w="1151" w:type="pct"/>
            <w:tcBorders>
              <w:top w:val="nil"/>
              <w:left w:val="nil"/>
              <w:bottom w:val="nil"/>
              <w:right w:val="nil"/>
            </w:tcBorders>
            <w:shd w:val="clear" w:color="auto" w:fill="auto"/>
            <w:noWrap/>
            <w:vAlign w:val="bottom"/>
          </w:tcPr>
          <w:p w14:paraId="55D61F23" w14:textId="27AC6897" w:rsidR="00322CDC" w:rsidRPr="00F72CC4" w:rsidRDefault="00322CDC" w:rsidP="00322CDC">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4.06%</w:t>
            </w:r>
          </w:p>
        </w:tc>
        <w:tc>
          <w:tcPr>
            <w:tcW w:w="1020" w:type="pct"/>
            <w:tcBorders>
              <w:top w:val="nil"/>
              <w:left w:val="nil"/>
              <w:bottom w:val="nil"/>
              <w:right w:val="nil"/>
            </w:tcBorders>
            <w:shd w:val="clear" w:color="auto" w:fill="auto"/>
            <w:noWrap/>
            <w:vAlign w:val="bottom"/>
          </w:tcPr>
          <w:p w14:paraId="12756C1E" w14:textId="1C352E04" w:rsidR="00322CDC" w:rsidRPr="00F72CC4" w:rsidRDefault="00322CDC" w:rsidP="00322CDC">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1.45%</w:t>
            </w:r>
          </w:p>
        </w:tc>
        <w:tc>
          <w:tcPr>
            <w:tcW w:w="1003" w:type="pct"/>
            <w:tcBorders>
              <w:top w:val="nil"/>
              <w:left w:val="nil"/>
              <w:bottom w:val="nil"/>
              <w:right w:val="nil"/>
            </w:tcBorders>
            <w:shd w:val="clear" w:color="auto" w:fill="auto"/>
            <w:noWrap/>
            <w:vAlign w:val="bottom"/>
          </w:tcPr>
          <w:p w14:paraId="3DC16BAD" w14:textId="3F331C08" w:rsidR="00322CDC" w:rsidRPr="00F72CC4" w:rsidRDefault="00322CDC" w:rsidP="00322CDC">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6.67%</w:t>
            </w:r>
          </w:p>
        </w:tc>
      </w:tr>
      <w:tr w:rsidR="00322CDC" w:rsidRPr="00F72CC4" w14:paraId="2D2D26AA" w14:textId="77777777" w:rsidTr="00645CA1">
        <w:trPr>
          <w:trHeight w:val="276"/>
        </w:trPr>
        <w:tc>
          <w:tcPr>
            <w:tcW w:w="1826" w:type="pct"/>
            <w:tcBorders>
              <w:top w:val="nil"/>
              <w:left w:val="nil"/>
              <w:bottom w:val="nil"/>
              <w:right w:val="nil"/>
            </w:tcBorders>
            <w:shd w:val="clear" w:color="auto" w:fill="auto"/>
            <w:noWrap/>
            <w:vAlign w:val="bottom"/>
            <w:hideMark/>
          </w:tcPr>
          <w:p w14:paraId="2F718B20" w14:textId="6D6FD0FC" w:rsidR="00322CDC" w:rsidRPr="00F72CC4" w:rsidRDefault="00AC1DC7" w:rsidP="00322CDC">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i/>
                <w:color w:val="000000"/>
                <w:kern w:val="0"/>
                <w:sz w:val="22"/>
              </w:rPr>
              <w:t>Past Performance: High</w:t>
            </w:r>
          </w:p>
        </w:tc>
        <w:tc>
          <w:tcPr>
            <w:tcW w:w="1151" w:type="pct"/>
            <w:tcBorders>
              <w:top w:val="nil"/>
              <w:left w:val="nil"/>
              <w:bottom w:val="nil"/>
              <w:right w:val="nil"/>
            </w:tcBorders>
            <w:shd w:val="clear" w:color="auto" w:fill="auto"/>
            <w:noWrap/>
            <w:vAlign w:val="bottom"/>
            <w:hideMark/>
          </w:tcPr>
          <w:p w14:paraId="31F31D59" w14:textId="77777777" w:rsidR="00322CDC" w:rsidRPr="00F72CC4" w:rsidRDefault="00322CDC" w:rsidP="00322CDC">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1.17%</w:t>
            </w:r>
          </w:p>
        </w:tc>
        <w:tc>
          <w:tcPr>
            <w:tcW w:w="1020" w:type="pct"/>
            <w:tcBorders>
              <w:top w:val="nil"/>
              <w:left w:val="nil"/>
              <w:bottom w:val="nil"/>
              <w:right w:val="nil"/>
            </w:tcBorders>
            <w:shd w:val="clear" w:color="auto" w:fill="auto"/>
            <w:noWrap/>
            <w:vAlign w:val="bottom"/>
            <w:hideMark/>
          </w:tcPr>
          <w:p w14:paraId="56B9A730" w14:textId="77777777" w:rsidR="00322CDC" w:rsidRPr="00F72CC4" w:rsidRDefault="00322CDC" w:rsidP="00322CDC">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0.30%</w:t>
            </w:r>
          </w:p>
        </w:tc>
        <w:tc>
          <w:tcPr>
            <w:tcW w:w="1003" w:type="pct"/>
            <w:tcBorders>
              <w:top w:val="nil"/>
              <w:left w:val="nil"/>
              <w:bottom w:val="nil"/>
              <w:right w:val="nil"/>
            </w:tcBorders>
            <w:shd w:val="clear" w:color="auto" w:fill="auto"/>
            <w:noWrap/>
            <w:vAlign w:val="bottom"/>
            <w:hideMark/>
          </w:tcPr>
          <w:p w14:paraId="2B4FBDB2" w14:textId="77777777" w:rsidR="00322CDC" w:rsidRPr="00F72CC4" w:rsidRDefault="00322CDC" w:rsidP="00322CDC">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2.03%</w:t>
            </w:r>
          </w:p>
        </w:tc>
      </w:tr>
      <w:tr w:rsidR="00645CA1" w:rsidRPr="00F72CC4" w14:paraId="0A9ED479" w14:textId="77777777" w:rsidTr="00645CA1">
        <w:trPr>
          <w:trHeight w:val="276"/>
        </w:trPr>
        <w:tc>
          <w:tcPr>
            <w:tcW w:w="1826" w:type="pct"/>
            <w:tcBorders>
              <w:top w:val="nil"/>
              <w:left w:val="nil"/>
              <w:bottom w:val="nil"/>
              <w:right w:val="nil"/>
            </w:tcBorders>
            <w:shd w:val="clear" w:color="auto" w:fill="auto"/>
            <w:noWrap/>
            <w:vAlign w:val="bottom"/>
            <w:hideMark/>
          </w:tcPr>
          <w:p w14:paraId="383108CC" w14:textId="3644B22B" w:rsidR="00645CA1" w:rsidRPr="00F72CC4" w:rsidRDefault="00645CA1" w:rsidP="00645CA1">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i/>
                <w:color w:val="000000"/>
                <w:kern w:val="0"/>
                <w:sz w:val="22"/>
              </w:rPr>
              <w:t>Past Performance: Middle</w:t>
            </w:r>
          </w:p>
        </w:tc>
        <w:tc>
          <w:tcPr>
            <w:tcW w:w="1151" w:type="pct"/>
            <w:tcBorders>
              <w:top w:val="nil"/>
              <w:left w:val="nil"/>
              <w:bottom w:val="nil"/>
              <w:right w:val="nil"/>
            </w:tcBorders>
            <w:shd w:val="clear" w:color="auto" w:fill="auto"/>
            <w:noWrap/>
            <w:vAlign w:val="bottom"/>
            <w:hideMark/>
          </w:tcPr>
          <w:p w14:paraId="4C2B470F"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0.53%</w:t>
            </w:r>
          </w:p>
        </w:tc>
        <w:tc>
          <w:tcPr>
            <w:tcW w:w="1020" w:type="pct"/>
            <w:tcBorders>
              <w:top w:val="nil"/>
              <w:left w:val="nil"/>
              <w:bottom w:val="nil"/>
              <w:right w:val="nil"/>
            </w:tcBorders>
            <w:shd w:val="clear" w:color="auto" w:fill="auto"/>
            <w:noWrap/>
            <w:vAlign w:val="bottom"/>
            <w:hideMark/>
          </w:tcPr>
          <w:p w14:paraId="3351F932"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0.00%</w:t>
            </w:r>
          </w:p>
        </w:tc>
        <w:tc>
          <w:tcPr>
            <w:tcW w:w="1003" w:type="pct"/>
            <w:tcBorders>
              <w:top w:val="nil"/>
              <w:left w:val="nil"/>
              <w:bottom w:val="nil"/>
              <w:right w:val="nil"/>
            </w:tcBorders>
            <w:shd w:val="clear" w:color="auto" w:fill="auto"/>
            <w:noWrap/>
            <w:vAlign w:val="bottom"/>
            <w:hideMark/>
          </w:tcPr>
          <w:p w14:paraId="6AD1B878"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1.05%</w:t>
            </w:r>
          </w:p>
        </w:tc>
      </w:tr>
      <w:tr w:rsidR="00645CA1" w:rsidRPr="00F72CC4" w14:paraId="22303306" w14:textId="77777777" w:rsidTr="00645CA1">
        <w:trPr>
          <w:trHeight w:val="276"/>
        </w:trPr>
        <w:tc>
          <w:tcPr>
            <w:tcW w:w="1826" w:type="pct"/>
            <w:tcBorders>
              <w:top w:val="nil"/>
              <w:left w:val="nil"/>
              <w:bottom w:val="nil"/>
              <w:right w:val="nil"/>
            </w:tcBorders>
            <w:shd w:val="clear" w:color="auto" w:fill="auto"/>
            <w:noWrap/>
            <w:vAlign w:val="bottom"/>
            <w:hideMark/>
          </w:tcPr>
          <w:p w14:paraId="0A49E99F" w14:textId="316A61EC" w:rsidR="00645CA1" w:rsidRPr="00F72CC4" w:rsidRDefault="00645CA1" w:rsidP="00645CA1">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i/>
                <w:color w:val="000000"/>
                <w:kern w:val="0"/>
                <w:sz w:val="22"/>
              </w:rPr>
              <w:t>Fund Family Size: Large</w:t>
            </w:r>
          </w:p>
        </w:tc>
        <w:tc>
          <w:tcPr>
            <w:tcW w:w="1151" w:type="pct"/>
            <w:tcBorders>
              <w:top w:val="nil"/>
              <w:left w:val="nil"/>
              <w:bottom w:val="nil"/>
              <w:right w:val="nil"/>
            </w:tcBorders>
            <w:shd w:val="clear" w:color="auto" w:fill="auto"/>
            <w:noWrap/>
            <w:vAlign w:val="bottom"/>
            <w:hideMark/>
          </w:tcPr>
          <w:p w14:paraId="50942D10"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-0.45%</w:t>
            </w:r>
          </w:p>
        </w:tc>
        <w:tc>
          <w:tcPr>
            <w:tcW w:w="1020" w:type="pct"/>
            <w:tcBorders>
              <w:top w:val="nil"/>
              <w:left w:val="nil"/>
              <w:bottom w:val="nil"/>
              <w:right w:val="nil"/>
            </w:tcBorders>
            <w:shd w:val="clear" w:color="auto" w:fill="auto"/>
            <w:noWrap/>
            <w:vAlign w:val="bottom"/>
            <w:hideMark/>
          </w:tcPr>
          <w:p w14:paraId="5F919068"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-1.21%</w:t>
            </w:r>
          </w:p>
        </w:tc>
        <w:tc>
          <w:tcPr>
            <w:tcW w:w="1003" w:type="pct"/>
            <w:tcBorders>
              <w:top w:val="nil"/>
              <w:left w:val="nil"/>
              <w:bottom w:val="nil"/>
              <w:right w:val="nil"/>
            </w:tcBorders>
            <w:shd w:val="clear" w:color="auto" w:fill="auto"/>
            <w:noWrap/>
            <w:vAlign w:val="bottom"/>
            <w:hideMark/>
          </w:tcPr>
          <w:p w14:paraId="6E5DDE90"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0.31%</w:t>
            </w:r>
          </w:p>
        </w:tc>
      </w:tr>
      <w:tr w:rsidR="00645CA1" w:rsidRPr="00F72CC4" w14:paraId="7764A5CD" w14:textId="77777777" w:rsidTr="00645CA1">
        <w:trPr>
          <w:trHeight w:val="276"/>
        </w:trPr>
        <w:tc>
          <w:tcPr>
            <w:tcW w:w="1826" w:type="pct"/>
            <w:tcBorders>
              <w:top w:val="nil"/>
              <w:left w:val="nil"/>
              <w:right w:val="nil"/>
            </w:tcBorders>
            <w:shd w:val="clear" w:color="auto" w:fill="auto"/>
            <w:noWrap/>
            <w:vAlign w:val="bottom"/>
            <w:hideMark/>
          </w:tcPr>
          <w:p w14:paraId="2E2238A2" w14:textId="62CCEF05" w:rsidR="00645CA1" w:rsidRPr="00F72CC4" w:rsidRDefault="00645CA1" w:rsidP="00645CA1">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i/>
                <w:color w:val="000000"/>
                <w:kern w:val="0"/>
                <w:sz w:val="22"/>
              </w:rPr>
              <w:t>Fund Family Size: Middle</w:t>
            </w:r>
          </w:p>
        </w:tc>
        <w:tc>
          <w:tcPr>
            <w:tcW w:w="1151" w:type="pct"/>
            <w:tcBorders>
              <w:top w:val="nil"/>
              <w:left w:val="nil"/>
              <w:right w:val="nil"/>
            </w:tcBorders>
            <w:shd w:val="clear" w:color="auto" w:fill="auto"/>
            <w:noWrap/>
            <w:vAlign w:val="bottom"/>
            <w:hideMark/>
          </w:tcPr>
          <w:p w14:paraId="71E37551"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0.41%</w:t>
            </w:r>
          </w:p>
        </w:tc>
        <w:tc>
          <w:tcPr>
            <w:tcW w:w="1020" w:type="pct"/>
            <w:tcBorders>
              <w:top w:val="nil"/>
              <w:left w:val="nil"/>
              <w:right w:val="nil"/>
            </w:tcBorders>
            <w:shd w:val="clear" w:color="auto" w:fill="auto"/>
            <w:noWrap/>
            <w:vAlign w:val="bottom"/>
            <w:hideMark/>
          </w:tcPr>
          <w:p w14:paraId="3E1895CB"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0.02%</w:t>
            </w:r>
          </w:p>
        </w:tc>
        <w:tc>
          <w:tcPr>
            <w:tcW w:w="1003" w:type="pct"/>
            <w:tcBorders>
              <w:top w:val="nil"/>
              <w:left w:val="nil"/>
              <w:right w:val="nil"/>
            </w:tcBorders>
            <w:shd w:val="clear" w:color="auto" w:fill="auto"/>
            <w:noWrap/>
            <w:vAlign w:val="bottom"/>
            <w:hideMark/>
          </w:tcPr>
          <w:p w14:paraId="50375FD7"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0.79%</w:t>
            </w:r>
          </w:p>
        </w:tc>
      </w:tr>
      <w:tr w:rsidR="00645CA1" w:rsidRPr="00F72CC4" w14:paraId="04CB1917" w14:textId="77777777" w:rsidTr="00645CA1">
        <w:trPr>
          <w:trHeight w:val="276"/>
        </w:trPr>
        <w:tc>
          <w:tcPr>
            <w:tcW w:w="1826" w:type="pct"/>
            <w:tcBorders>
              <w:top w:val="nil"/>
              <w:left w:val="nil"/>
              <w:bottom w:val="nil"/>
              <w:right w:val="nil"/>
            </w:tcBorders>
            <w:shd w:val="clear" w:color="auto" w:fill="auto"/>
            <w:noWrap/>
            <w:vAlign w:val="bottom"/>
            <w:hideMark/>
          </w:tcPr>
          <w:p w14:paraId="6B399C7C" w14:textId="2940CD22" w:rsidR="00645CA1" w:rsidRPr="00F72CC4" w:rsidRDefault="00645CA1" w:rsidP="00645CA1">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i/>
                <w:color w:val="000000"/>
                <w:kern w:val="0"/>
                <w:sz w:val="22"/>
              </w:rPr>
              <w:t>Fund Size: Large</w:t>
            </w:r>
          </w:p>
        </w:tc>
        <w:tc>
          <w:tcPr>
            <w:tcW w:w="1151" w:type="pct"/>
            <w:tcBorders>
              <w:top w:val="nil"/>
              <w:left w:val="nil"/>
              <w:bottom w:val="nil"/>
              <w:right w:val="nil"/>
            </w:tcBorders>
            <w:shd w:val="clear" w:color="auto" w:fill="auto"/>
            <w:noWrap/>
            <w:vAlign w:val="bottom"/>
            <w:hideMark/>
          </w:tcPr>
          <w:p w14:paraId="1C353A5C"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0.31%</w:t>
            </w:r>
          </w:p>
        </w:tc>
        <w:tc>
          <w:tcPr>
            <w:tcW w:w="1020" w:type="pct"/>
            <w:tcBorders>
              <w:top w:val="nil"/>
              <w:left w:val="nil"/>
              <w:bottom w:val="nil"/>
              <w:right w:val="nil"/>
            </w:tcBorders>
            <w:shd w:val="clear" w:color="auto" w:fill="auto"/>
            <w:noWrap/>
            <w:vAlign w:val="bottom"/>
            <w:hideMark/>
          </w:tcPr>
          <w:p w14:paraId="410C91E5"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-0.13%</w:t>
            </w:r>
          </w:p>
        </w:tc>
        <w:tc>
          <w:tcPr>
            <w:tcW w:w="1003" w:type="pct"/>
            <w:tcBorders>
              <w:top w:val="nil"/>
              <w:left w:val="nil"/>
              <w:bottom w:val="nil"/>
              <w:right w:val="nil"/>
            </w:tcBorders>
            <w:shd w:val="clear" w:color="auto" w:fill="auto"/>
            <w:noWrap/>
            <w:vAlign w:val="bottom"/>
            <w:hideMark/>
          </w:tcPr>
          <w:p w14:paraId="1A45DA0E"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0.76%</w:t>
            </w:r>
          </w:p>
        </w:tc>
      </w:tr>
      <w:tr w:rsidR="00645CA1" w:rsidRPr="00F72CC4" w14:paraId="01CA4F18" w14:textId="77777777" w:rsidTr="00645CA1">
        <w:trPr>
          <w:trHeight w:val="276"/>
        </w:trPr>
        <w:tc>
          <w:tcPr>
            <w:tcW w:w="1826" w:type="pct"/>
            <w:tcBorders>
              <w:top w:val="nil"/>
              <w:left w:val="nil"/>
              <w:bottom w:val="single" w:sz="4" w:space="0" w:color="auto"/>
              <w:right w:val="nil"/>
            </w:tcBorders>
            <w:shd w:val="clear" w:color="auto" w:fill="auto"/>
            <w:noWrap/>
            <w:vAlign w:val="bottom"/>
            <w:hideMark/>
          </w:tcPr>
          <w:p w14:paraId="7E8E3E33" w14:textId="4C0C7807" w:rsidR="00645CA1" w:rsidRPr="00F72CC4" w:rsidRDefault="00645CA1" w:rsidP="00645CA1">
            <w:pPr>
              <w:widowControl/>
              <w:jc w:val="left"/>
              <w:rPr>
                <w:rFonts w:ascii="Times New Roman" w:eastAsia="等线" w:hAnsi="Times New Roman" w:cs="Times New Roman"/>
                <w:color w:val="000000"/>
                <w:kern w:val="0"/>
                <w:sz w:val="22"/>
              </w:rPr>
            </w:pPr>
            <w:r w:rsidRPr="00F72CC4">
              <w:rPr>
                <w:rFonts w:ascii="Times New Roman" w:eastAsia="等线" w:hAnsi="Times New Roman" w:cs="Times New Roman"/>
                <w:i/>
                <w:color w:val="000000"/>
                <w:kern w:val="0"/>
                <w:sz w:val="22"/>
              </w:rPr>
              <w:t>Fund Size: Middle</w:t>
            </w:r>
          </w:p>
        </w:tc>
        <w:tc>
          <w:tcPr>
            <w:tcW w:w="1151" w:type="pct"/>
            <w:tcBorders>
              <w:top w:val="nil"/>
              <w:left w:val="nil"/>
              <w:bottom w:val="single" w:sz="4" w:space="0" w:color="auto"/>
              <w:right w:val="nil"/>
            </w:tcBorders>
            <w:shd w:val="clear" w:color="auto" w:fill="auto"/>
            <w:noWrap/>
            <w:vAlign w:val="bottom"/>
            <w:hideMark/>
          </w:tcPr>
          <w:p w14:paraId="31F5293B"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0.39%</w:t>
            </w:r>
          </w:p>
        </w:tc>
        <w:tc>
          <w:tcPr>
            <w:tcW w:w="1020" w:type="pct"/>
            <w:tcBorders>
              <w:top w:val="nil"/>
              <w:left w:val="nil"/>
              <w:bottom w:val="single" w:sz="4" w:space="0" w:color="auto"/>
              <w:right w:val="nil"/>
            </w:tcBorders>
            <w:shd w:val="clear" w:color="auto" w:fill="auto"/>
            <w:noWrap/>
            <w:vAlign w:val="bottom"/>
            <w:hideMark/>
          </w:tcPr>
          <w:p w14:paraId="253B9C45"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-0.04%</w:t>
            </w:r>
          </w:p>
        </w:tc>
        <w:tc>
          <w:tcPr>
            <w:tcW w:w="1003" w:type="pct"/>
            <w:tcBorders>
              <w:top w:val="nil"/>
              <w:left w:val="nil"/>
              <w:bottom w:val="single" w:sz="4" w:space="0" w:color="auto"/>
              <w:right w:val="nil"/>
            </w:tcBorders>
            <w:shd w:val="clear" w:color="auto" w:fill="auto"/>
            <w:noWrap/>
            <w:vAlign w:val="bottom"/>
            <w:hideMark/>
          </w:tcPr>
          <w:p w14:paraId="7AE6C2C1" w14:textId="77777777" w:rsidR="00645CA1" w:rsidRPr="00F72CC4" w:rsidRDefault="00645CA1" w:rsidP="00645CA1">
            <w:pPr>
              <w:widowControl/>
              <w:jc w:val="center"/>
              <w:rPr>
                <w:rFonts w:ascii="Times New Roman" w:eastAsia="等线" w:hAnsi="Times New Roman" w:cs="Times New Roman"/>
                <w:color w:val="000000"/>
                <w:kern w:val="0"/>
                <w:sz w:val="22"/>
              </w:rPr>
            </w:pPr>
            <w:r w:rsidRPr="00F72CC4">
              <w:rPr>
                <w:rFonts w:ascii="Times New Roman" w:eastAsia="等线" w:hAnsi="Times New Roman" w:cs="Times New Roman"/>
                <w:color w:val="000000"/>
                <w:kern w:val="0"/>
                <w:sz w:val="22"/>
              </w:rPr>
              <w:t>0.82%</w:t>
            </w:r>
          </w:p>
        </w:tc>
      </w:tr>
    </w:tbl>
    <w:p w14:paraId="03D012B4" w14:textId="77777777" w:rsidR="00D72336" w:rsidRDefault="00D72336" w:rsidP="00AB0BEE">
      <w:pPr>
        <w:spacing w:line="360" w:lineRule="auto"/>
        <w:ind w:left="420" w:hangingChars="200" w:hanging="420"/>
        <w:rPr>
          <w:rFonts w:ascii="Times New Roman" w:hAnsi="Times New Roman" w:cs="Times New Roman"/>
        </w:rPr>
        <w:sectPr w:rsidR="00D72336" w:rsidSect="008A25AB">
          <w:pgSz w:w="11906" w:h="16838"/>
          <w:pgMar w:top="1440" w:right="1800" w:bottom="1440" w:left="1800" w:header="851" w:footer="992" w:gutter="0"/>
          <w:cols w:space="425"/>
          <w:docGrid w:type="lines" w:linePitch="312"/>
        </w:sectPr>
      </w:pPr>
    </w:p>
    <w:p w14:paraId="11868A0F" w14:textId="1D964C4E" w:rsidR="00AF0192" w:rsidRPr="00F72CC4" w:rsidRDefault="00AF0192" w:rsidP="00AF0192">
      <w:pPr>
        <w:spacing w:line="360" w:lineRule="auto"/>
        <w:ind w:left="440" w:hangingChars="200" w:hanging="440"/>
        <w:jc w:val="center"/>
        <w:rPr>
          <w:rFonts w:ascii="Times New Roman" w:hAnsi="Times New Roman" w:cs="Times New Roman"/>
          <w:b/>
          <w:bCs/>
          <w:sz w:val="22"/>
        </w:rPr>
      </w:pPr>
      <w:r w:rsidRPr="00F72CC4">
        <w:rPr>
          <w:rFonts w:ascii="Times New Roman" w:hAnsi="Times New Roman" w:cs="Times New Roman" w:hint="eastAsia"/>
          <w:b/>
          <w:bCs/>
          <w:sz w:val="22"/>
        </w:rPr>
        <w:lastRenderedPageBreak/>
        <w:t>T</w:t>
      </w:r>
      <w:r w:rsidRPr="00F72CC4">
        <w:rPr>
          <w:rFonts w:ascii="Times New Roman" w:hAnsi="Times New Roman" w:cs="Times New Roman"/>
          <w:b/>
          <w:bCs/>
          <w:sz w:val="22"/>
        </w:rPr>
        <w:t xml:space="preserve">able 6. </w:t>
      </w:r>
      <w:r w:rsidRPr="00F72CC4">
        <w:rPr>
          <w:rFonts w:ascii="Times New Roman" w:hAnsi="Times New Roman" w:cs="Times New Roman" w:hint="eastAsia"/>
          <w:b/>
          <w:bCs/>
          <w:sz w:val="22"/>
        </w:rPr>
        <w:t>Heterogenous</w:t>
      </w:r>
      <w:r w:rsidRPr="00F72CC4">
        <w:rPr>
          <w:rFonts w:ascii="Times New Roman" w:hAnsi="Times New Roman" w:cs="Times New Roman"/>
          <w:b/>
          <w:bCs/>
          <w:sz w:val="22"/>
        </w:rPr>
        <w:t xml:space="preserve"> </w:t>
      </w:r>
      <w:r w:rsidRPr="00F72CC4">
        <w:rPr>
          <w:rFonts w:ascii="Times New Roman" w:hAnsi="Times New Roman" w:cs="Times New Roman" w:hint="eastAsia"/>
          <w:b/>
          <w:bCs/>
          <w:sz w:val="22"/>
        </w:rPr>
        <w:t>Effect</w:t>
      </w:r>
    </w:p>
    <w:tbl>
      <w:tblPr>
        <w:tblW w:w="5261" w:type="pct"/>
        <w:tblLook w:val="04A0" w:firstRow="1" w:lastRow="0" w:firstColumn="1" w:lastColumn="0" w:noHBand="0" w:noVBand="1"/>
      </w:tblPr>
      <w:tblGrid>
        <w:gridCol w:w="2563"/>
        <w:gridCol w:w="1225"/>
        <w:gridCol w:w="1225"/>
        <w:gridCol w:w="1225"/>
        <w:gridCol w:w="1225"/>
        <w:gridCol w:w="1225"/>
        <w:gridCol w:w="1225"/>
      </w:tblGrid>
      <w:tr w:rsidR="0070091A" w:rsidRPr="00F72CC4" w14:paraId="29FCD1CB" w14:textId="77777777" w:rsidTr="0070091A">
        <w:trPr>
          <w:trHeight w:val="276"/>
        </w:trPr>
        <w:tc>
          <w:tcPr>
            <w:tcW w:w="1336" w:type="pct"/>
            <w:tcBorders>
              <w:top w:val="single" w:sz="4" w:space="0" w:color="000000"/>
              <w:left w:val="nil"/>
              <w:bottom w:val="nil"/>
              <w:right w:val="nil"/>
            </w:tcBorders>
            <w:shd w:val="clear" w:color="auto" w:fill="auto"/>
            <w:noWrap/>
            <w:vAlign w:val="bottom"/>
            <w:hideMark/>
          </w:tcPr>
          <w:p w14:paraId="5F671A53" w14:textId="77777777" w:rsidR="0070091A" w:rsidRPr="0070091A" w:rsidRDefault="0070091A" w:rsidP="00EF3B85">
            <w:pPr>
              <w:widowControl/>
              <w:jc w:val="left"/>
              <w:rPr>
                <w:rFonts w:ascii="Times New Roman" w:eastAsia="宋体" w:hAnsi="Times New Roman" w:cs="Times New Roman"/>
                <w:kern w:val="0"/>
                <w:sz w:val="22"/>
              </w:rPr>
            </w:pPr>
          </w:p>
        </w:tc>
        <w:tc>
          <w:tcPr>
            <w:tcW w:w="597" w:type="pct"/>
            <w:tcBorders>
              <w:top w:val="single" w:sz="4" w:space="0" w:color="000000"/>
              <w:left w:val="nil"/>
              <w:bottom w:val="nil"/>
              <w:right w:val="nil"/>
            </w:tcBorders>
            <w:shd w:val="clear" w:color="auto" w:fill="auto"/>
            <w:noWrap/>
            <w:vAlign w:val="bottom"/>
            <w:hideMark/>
          </w:tcPr>
          <w:p w14:paraId="1169C297"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w:t>
            </w:r>
          </w:p>
        </w:tc>
        <w:tc>
          <w:tcPr>
            <w:tcW w:w="597" w:type="pct"/>
            <w:tcBorders>
              <w:top w:val="single" w:sz="4" w:space="0" w:color="000000"/>
              <w:left w:val="nil"/>
              <w:bottom w:val="nil"/>
              <w:right w:val="nil"/>
            </w:tcBorders>
            <w:shd w:val="clear" w:color="auto" w:fill="auto"/>
            <w:noWrap/>
            <w:vAlign w:val="bottom"/>
            <w:hideMark/>
          </w:tcPr>
          <w:p w14:paraId="215AC591"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(2)</w:t>
            </w:r>
          </w:p>
        </w:tc>
        <w:tc>
          <w:tcPr>
            <w:tcW w:w="597" w:type="pct"/>
            <w:tcBorders>
              <w:top w:val="single" w:sz="4" w:space="0" w:color="000000"/>
              <w:left w:val="nil"/>
              <w:bottom w:val="nil"/>
              <w:right w:val="nil"/>
            </w:tcBorders>
            <w:shd w:val="clear" w:color="auto" w:fill="auto"/>
            <w:noWrap/>
            <w:vAlign w:val="bottom"/>
            <w:hideMark/>
          </w:tcPr>
          <w:p w14:paraId="325A13AF"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(3)</w:t>
            </w:r>
          </w:p>
        </w:tc>
        <w:tc>
          <w:tcPr>
            <w:tcW w:w="597" w:type="pct"/>
            <w:tcBorders>
              <w:top w:val="single" w:sz="4" w:space="0" w:color="000000"/>
              <w:left w:val="nil"/>
              <w:bottom w:val="nil"/>
              <w:right w:val="nil"/>
            </w:tcBorders>
            <w:shd w:val="clear" w:color="auto" w:fill="auto"/>
            <w:noWrap/>
            <w:vAlign w:val="bottom"/>
            <w:hideMark/>
          </w:tcPr>
          <w:p w14:paraId="44B1E968"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(4)</w:t>
            </w:r>
          </w:p>
        </w:tc>
        <w:tc>
          <w:tcPr>
            <w:tcW w:w="597" w:type="pct"/>
            <w:tcBorders>
              <w:top w:val="single" w:sz="4" w:space="0" w:color="000000"/>
              <w:left w:val="nil"/>
              <w:bottom w:val="nil"/>
              <w:right w:val="nil"/>
            </w:tcBorders>
            <w:shd w:val="clear" w:color="auto" w:fill="auto"/>
            <w:noWrap/>
            <w:vAlign w:val="bottom"/>
            <w:hideMark/>
          </w:tcPr>
          <w:p w14:paraId="78540389"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(5)</w:t>
            </w:r>
          </w:p>
        </w:tc>
        <w:tc>
          <w:tcPr>
            <w:tcW w:w="681" w:type="pct"/>
            <w:tcBorders>
              <w:top w:val="single" w:sz="4" w:space="0" w:color="000000"/>
              <w:left w:val="nil"/>
              <w:bottom w:val="nil"/>
              <w:right w:val="nil"/>
            </w:tcBorders>
            <w:shd w:val="clear" w:color="auto" w:fill="auto"/>
            <w:noWrap/>
            <w:vAlign w:val="bottom"/>
            <w:hideMark/>
          </w:tcPr>
          <w:p w14:paraId="4A1886EB"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(6)</w:t>
            </w:r>
          </w:p>
        </w:tc>
      </w:tr>
      <w:tr w:rsidR="0070091A" w:rsidRPr="00F72CC4" w14:paraId="38658373" w14:textId="77777777" w:rsidTr="0070091A">
        <w:trPr>
          <w:trHeight w:val="276"/>
        </w:trPr>
        <w:tc>
          <w:tcPr>
            <w:tcW w:w="1336" w:type="pct"/>
            <w:tcBorders>
              <w:top w:val="nil"/>
              <w:left w:val="nil"/>
              <w:bottom w:val="nil"/>
              <w:right w:val="nil"/>
            </w:tcBorders>
            <w:shd w:val="clear" w:color="auto" w:fill="auto"/>
            <w:noWrap/>
            <w:vAlign w:val="bottom"/>
            <w:hideMark/>
          </w:tcPr>
          <w:p w14:paraId="63092C37" w14:textId="77777777" w:rsidR="0070091A" w:rsidRPr="0070091A" w:rsidRDefault="0070091A" w:rsidP="00EF3B85">
            <w:pPr>
              <w:widowControl/>
              <w:jc w:val="left"/>
              <w:rPr>
                <w:rFonts w:ascii="Times New Roman" w:eastAsia="宋体" w:hAnsi="Times New Roman" w:cs="Times New Roman"/>
                <w:kern w:val="0"/>
                <w:sz w:val="22"/>
              </w:rPr>
            </w:pPr>
            <w:r w:rsidRPr="00F72CC4">
              <w:rPr>
                <w:rFonts w:ascii="Times New Roman" w:eastAsia="等线" w:hAnsi="Times New Roman" w:cs="Times New Roman"/>
                <w:i/>
                <w:color w:val="000000"/>
                <w:kern w:val="0"/>
                <w:sz w:val="22"/>
              </w:rPr>
              <w:t>Annual Management Fee</w:t>
            </w:r>
          </w:p>
        </w:tc>
        <w:tc>
          <w:tcPr>
            <w:tcW w:w="597" w:type="pct"/>
            <w:tcBorders>
              <w:top w:val="nil"/>
              <w:left w:val="nil"/>
              <w:bottom w:val="nil"/>
              <w:right w:val="nil"/>
            </w:tcBorders>
            <w:shd w:val="clear" w:color="auto" w:fill="auto"/>
            <w:noWrap/>
            <w:vAlign w:val="bottom"/>
            <w:hideMark/>
          </w:tcPr>
          <w:p w14:paraId="71F22127"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-43.532***</w:t>
            </w:r>
          </w:p>
        </w:tc>
        <w:tc>
          <w:tcPr>
            <w:tcW w:w="597" w:type="pct"/>
            <w:tcBorders>
              <w:top w:val="nil"/>
              <w:left w:val="nil"/>
              <w:bottom w:val="nil"/>
              <w:right w:val="nil"/>
            </w:tcBorders>
            <w:shd w:val="clear" w:color="auto" w:fill="auto"/>
            <w:noWrap/>
            <w:vAlign w:val="bottom"/>
            <w:hideMark/>
          </w:tcPr>
          <w:p w14:paraId="70EED9F0"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-43.534***</w:t>
            </w:r>
          </w:p>
        </w:tc>
        <w:tc>
          <w:tcPr>
            <w:tcW w:w="597" w:type="pct"/>
            <w:tcBorders>
              <w:top w:val="nil"/>
              <w:left w:val="nil"/>
              <w:bottom w:val="nil"/>
              <w:right w:val="nil"/>
            </w:tcBorders>
            <w:shd w:val="clear" w:color="auto" w:fill="auto"/>
            <w:noWrap/>
            <w:vAlign w:val="bottom"/>
            <w:hideMark/>
          </w:tcPr>
          <w:p w14:paraId="162BC74C"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-43.702***</w:t>
            </w:r>
          </w:p>
        </w:tc>
        <w:tc>
          <w:tcPr>
            <w:tcW w:w="597" w:type="pct"/>
            <w:tcBorders>
              <w:top w:val="nil"/>
              <w:left w:val="nil"/>
              <w:bottom w:val="nil"/>
              <w:right w:val="nil"/>
            </w:tcBorders>
            <w:shd w:val="clear" w:color="auto" w:fill="auto"/>
            <w:noWrap/>
            <w:vAlign w:val="bottom"/>
            <w:hideMark/>
          </w:tcPr>
          <w:p w14:paraId="288972DF"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-43.538***</w:t>
            </w:r>
          </w:p>
        </w:tc>
        <w:tc>
          <w:tcPr>
            <w:tcW w:w="597" w:type="pct"/>
            <w:tcBorders>
              <w:top w:val="nil"/>
              <w:left w:val="nil"/>
              <w:bottom w:val="nil"/>
              <w:right w:val="nil"/>
            </w:tcBorders>
            <w:shd w:val="clear" w:color="auto" w:fill="auto"/>
            <w:noWrap/>
            <w:vAlign w:val="bottom"/>
            <w:hideMark/>
          </w:tcPr>
          <w:p w14:paraId="3C089AB2"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-43.297***</w:t>
            </w:r>
          </w:p>
        </w:tc>
        <w:tc>
          <w:tcPr>
            <w:tcW w:w="681" w:type="pct"/>
            <w:tcBorders>
              <w:top w:val="nil"/>
              <w:left w:val="nil"/>
              <w:bottom w:val="nil"/>
              <w:right w:val="nil"/>
            </w:tcBorders>
            <w:shd w:val="clear" w:color="auto" w:fill="auto"/>
            <w:noWrap/>
            <w:vAlign w:val="bottom"/>
            <w:hideMark/>
          </w:tcPr>
          <w:p w14:paraId="312375A8"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-43.570***</w:t>
            </w:r>
          </w:p>
        </w:tc>
      </w:tr>
      <w:tr w:rsidR="0070091A" w:rsidRPr="00F72CC4" w14:paraId="30AD2957" w14:textId="77777777" w:rsidTr="0070091A">
        <w:trPr>
          <w:trHeight w:val="276"/>
        </w:trPr>
        <w:tc>
          <w:tcPr>
            <w:tcW w:w="1336" w:type="pct"/>
            <w:tcBorders>
              <w:top w:val="nil"/>
              <w:left w:val="nil"/>
              <w:bottom w:val="nil"/>
              <w:right w:val="nil"/>
            </w:tcBorders>
            <w:shd w:val="clear" w:color="auto" w:fill="auto"/>
            <w:noWrap/>
            <w:vAlign w:val="bottom"/>
            <w:hideMark/>
          </w:tcPr>
          <w:p w14:paraId="2970AF51" w14:textId="77777777" w:rsidR="0070091A" w:rsidRPr="0070091A" w:rsidRDefault="0070091A" w:rsidP="00EF3B85">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6302766A"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(15.698)</w:t>
            </w:r>
          </w:p>
        </w:tc>
        <w:tc>
          <w:tcPr>
            <w:tcW w:w="597" w:type="pct"/>
            <w:tcBorders>
              <w:top w:val="nil"/>
              <w:left w:val="nil"/>
              <w:bottom w:val="nil"/>
              <w:right w:val="nil"/>
            </w:tcBorders>
            <w:shd w:val="clear" w:color="auto" w:fill="auto"/>
            <w:noWrap/>
            <w:vAlign w:val="bottom"/>
            <w:hideMark/>
          </w:tcPr>
          <w:p w14:paraId="70859EFD"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(15.699)</w:t>
            </w:r>
          </w:p>
        </w:tc>
        <w:tc>
          <w:tcPr>
            <w:tcW w:w="597" w:type="pct"/>
            <w:tcBorders>
              <w:top w:val="nil"/>
              <w:left w:val="nil"/>
              <w:bottom w:val="nil"/>
              <w:right w:val="nil"/>
            </w:tcBorders>
            <w:shd w:val="clear" w:color="auto" w:fill="auto"/>
            <w:noWrap/>
            <w:vAlign w:val="bottom"/>
            <w:hideMark/>
          </w:tcPr>
          <w:p w14:paraId="513151FC"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(15.720)</w:t>
            </w:r>
          </w:p>
        </w:tc>
        <w:tc>
          <w:tcPr>
            <w:tcW w:w="597" w:type="pct"/>
            <w:tcBorders>
              <w:top w:val="nil"/>
              <w:left w:val="nil"/>
              <w:bottom w:val="nil"/>
              <w:right w:val="nil"/>
            </w:tcBorders>
            <w:shd w:val="clear" w:color="auto" w:fill="auto"/>
            <w:noWrap/>
            <w:vAlign w:val="bottom"/>
            <w:hideMark/>
          </w:tcPr>
          <w:p w14:paraId="6C2316F9"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(15.695)</w:t>
            </w:r>
          </w:p>
        </w:tc>
        <w:tc>
          <w:tcPr>
            <w:tcW w:w="597" w:type="pct"/>
            <w:tcBorders>
              <w:top w:val="nil"/>
              <w:left w:val="nil"/>
              <w:bottom w:val="nil"/>
              <w:right w:val="nil"/>
            </w:tcBorders>
            <w:shd w:val="clear" w:color="auto" w:fill="auto"/>
            <w:noWrap/>
            <w:vAlign w:val="bottom"/>
            <w:hideMark/>
          </w:tcPr>
          <w:p w14:paraId="193533EA"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(15.662)</w:t>
            </w:r>
          </w:p>
        </w:tc>
        <w:tc>
          <w:tcPr>
            <w:tcW w:w="681" w:type="pct"/>
            <w:tcBorders>
              <w:top w:val="nil"/>
              <w:left w:val="nil"/>
              <w:bottom w:val="nil"/>
              <w:right w:val="nil"/>
            </w:tcBorders>
            <w:shd w:val="clear" w:color="auto" w:fill="auto"/>
            <w:noWrap/>
            <w:vAlign w:val="bottom"/>
            <w:hideMark/>
          </w:tcPr>
          <w:p w14:paraId="29154963"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(15.699)</w:t>
            </w:r>
          </w:p>
        </w:tc>
      </w:tr>
      <w:tr w:rsidR="0070091A" w:rsidRPr="00F72CC4" w14:paraId="74404A47" w14:textId="77777777" w:rsidTr="0070091A">
        <w:trPr>
          <w:trHeight w:val="276"/>
        </w:trPr>
        <w:tc>
          <w:tcPr>
            <w:tcW w:w="1336" w:type="pct"/>
            <w:tcBorders>
              <w:top w:val="nil"/>
              <w:left w:val="nil"/>
              <w:bottom w:val="nil"/>
              <w:right w:val="nil"/>
            </w:tcBorders>
            <w:shd w:val="clear" w:color="auto" w:fill="auto"/>
            <w:noWrap/>
            <w:vAlign w:val="bottom"/>
            <w:hideMark/>
          </w:tcPr>
          <w:p w14:paraId="7E17C84B" w14:textId="77777777" w:rsidR="0070091A" w:rsidRPr="0070091A" w:rsidRDefault="0070091A" w:rsidP="00EF3B85">
            <w:pPr>
              <w:widowControl/>
              <w:jc w:val="left"/>
              <w:rPr>
                <w:rFonts w:ascii="Times New Roman" w:eastAsia="宋体" w:hAnsi="Times New Roman" w:cs="Times New Roman"/>
                <w:kern w:val="0"/>
                <w:sz w:val="22"/>
              </w:rPr>
            </w:pPr>
            <w:proofErr w:type="spellStart"/>
            <w:r w:rsidRPr="00F72CC4">
              <w:rPr>
                <w:rFonts w:ascii="Times New Roman" w:eastAsia="等线" w:hAnsi="Times New Roman" w:cs="Times New Roman"/>
                <w:i/>
                <w:color w:val="000000"/>
                <w:kern w:val="0"/>
                <w:sz w:val="22"/>
              </w:rPr>
              <w:t>SignUNPRI</w:t>
            </w:r>
            <w:proofErr w:type="spellEnd"/>
          </w:p>
        </w:tc>
        <w:tc>
          <w:tcPr>
            <w:tcW w:w="597" w:type="pct"/>
            <w:tcBorders>
              <w:top w:val="nil"/>
              <w:left w:val="nil"/>
              <w:bottom w:val="nil"/>
              <w:right w:val="nil"/>
            </w:tcBorders>
            <w:shd w:val="clear" w:color="auto" w:fill="auto"/>
            <w:noWrap/>
            <w:vAlign w:val="bottom"/>
            <w:hideMark/>
          </w:tcPr>
          <w:p w14:paraId="716BCF58"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1.917***</w:t>
            </w:r>
          </w:p>
        </w:tc>
        <w:tc>
          <w:tcPr>
            <w:tcW w:w="597" w:type="pct"/>
            <w:tcBorders>
              <w:top w:val="nil"/>
              <w:left w:val="nil"/>
              <w:bottom w:val="nil"/>
              <w:right w:val="nil"/>
            </w:tcBorders>
            <w:shd w:val="clear" w:color="auto" w:fill="auto"/>
            <w:noWrap/>
            <w:vAlign w:val="bottom"/>
            <w:hideMark/>
          </w:tcPr>
          <w:p w14:paraId="4FFE449A"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1.932***</w:t>
            </w:r>
          </w:p>
        </w:tc>
        <w:tc>
          <w:tcPr>
            <w:tcW w:w="597" w:type="pct"/>
            <w:tcBorders>
              <w:top w:val="nil"/>
              <w:left w:val="nil"/>
              <w:bottom w:val="nil"/>
              <w:right w:val="nil"/>
            </w:tcBorders>
            <w:shd w:val="clear" w:color="auto" w:fill="auto"/>
            <w:noWrap/>
            <w:vAlign w:val="bottom"/>
            <w:hideMark/>
          </w:tcPr>
          <w:p w14:paraId="689A957E"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1.799***</w:t>
            </w:r>
          </w:p>
        </w:tc>
        <w:tc>
          <w:tcPr>
            <w:tcW w:w="597" w:type="pct"/>
            <w:tcBorders>
              <w:top w:val="nil"/>
              <w:left w:val="nil"/>
              <w:bottom w:val="nil"/>
              <w:right w:val="nil"/>
            </w:tcBorders>
            <w:shd w:val="clear" w:color="auto" w:fill="auto"/>
            <w:noWrap/>
            <w:vAlign w:val="bottom"/>
            <w:hideMark/>
          </w:tcPr>
          <w:p w14:paraId="0D6602E7"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1.988***</w:t>
            </w:r>
          </w:p>
        </w:tc>
        <w:tc>
          <w:tcPr>
            <w:tcW w:w="597" w:type="pct"/>
            <w:tcBorders>
              <w:top w:val="nil"/>
              <w:left w:val="nil"/>
              <w:bottom w:val="nil"/>
              <w:right w:val="nil"/>
            </w:tcBorders>
            <w:shd w:val="clear" w:color="auto" w:fill="auto"/>
            <w:noWrap/>
            <w:vAlign w:val="bottom"/>
            <w:hideMark/>
          </w:tcPr>
          <w:p w14:paraId="1D8A22A0"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1.695***</w:t>
            </w:r>
          </w:p>
        </w:tc>
        <w:tc>
          <w:tcPr>
            <w:tcW w:w="681" w:type="pct"/>
            <w:tcBorders>
              <w:top w:val="nil"/>
              <w:left w:val="nil"/>
              <w:bottom w:val="nil"/>
              <w:right w:val="nil"/>
            </w:tcBorders>
            <w:shd w:val="clear" w:color="auto" w:fill="auto"/>
            <w:noWrap/>
            <w:vAlign w:val="bottom"/>
            <w:hideMark/>
          </w:tcPr>
          <w:p w14:paraId="575F0B45"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1.107***</w:t>
            </w:r>
          </w:p>
        </w:tc>
      </w:tr>
      <w:tr w:rsidR="0070091A" w:rsidRPr="00F72CC4" w14:paraId="68621E79" w14:textId="77777777" w:rsidTr="0070091A">
        <w:trPr>
          <w:trHeight w:val="276"/>
        </w:trPr>
        <w:tc>
          <w:tcPr>
            <w:tcW w:w="1336" w:type="pct"/>
            <w:tcBorders>
              <w:top w:val="nil"/>
              <w:left w:val="nil"/>
              <w:bottom w:val="nil"/>
              <w:right w:val="nil"/>
            </w:tcBorders>
            <w:shd w:val="clear" w:color="auto" w:fill="auto"/>
            <w:noWrap/>
            <w:vAlign w:val="bottom"/>
            <w:hideMark/>
          </w:tcPr>
          <w:p w14:paraId="616E7B6E" w14:textId="77777777" w:rsidR="0070091A" w:rsidRPr="0070091A" w:rsidRDefault="0070091A" w:rsidP="00EF3B85">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66820BB1"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(0.139)</w:t>
            </w:r>
          </w:p>
        </w:tc>
        <w:tc>
          <w:tcPr>
            <w:tcW w:w="597" w:type="pct"/>
            <w:tcBorders>
              <w:top w:val="nil"/>
              <w:left w:val="nil"/>
              <w:bottom w:val="nil"/>
              <w:right w:val="nil"/>
            </w:tcBorders>
            <w:shd w:val="clear" w:color="auto" w:fill="auto"/>
            <w:noWrap/>
            <w:vAlign w:val="bottom"/>
            <w:hideMark/>
          </w:tcPr>
          <w:p w14:paraId="26077240"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(0.169)</w:t>
            </w:r>
          </w:p>
        </w:tc>
        <w:tc>
          <w:tcPr>
            <w:tcW w:w="597" w:type="pct"/>
            <w:tcBorders>
              <w:top w:val="nil"/>
              <w:left w:val="nil"/>
              <w:bottom w:val="nil"/>
              <w:right w:val="nil"/>
            </w:tcBorders>
            <w:shd w:val="clear" w:color="auto" w:fill="auto"/>
            <w:noWrap/>
            <w:vAlign w:val="bottom"/>
            <w:hideMark/>
          </w:tcPr>
          <w:p w14:paraId="06B6B8C7"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(0.163)</w:t>
            </w:r>
          </w:p>
        </w:tc>
        <w:tc>
          <w:tcPr>
            <w:tcW w:w="597" w:type="pct"/>
            <w:tcBorders>
              <w:top w:val="nil"/>
              <w:left w:val="nil"/>
              <w:bottom w:val="nil"/>
              <w:right w:val="nil"/>
            </w:tcBorders>
            <w:shd w:val="clear" w:color="auto" w:fill="auto"/>
            <w:noWrap/>
            <w:vAlign w:val="bottom"/>
            <w:hideMark/>
          </w:tcPr>
          <w:p w14:paraId="2ADB4E43"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(0.202)</w:t>
            </w:r>
          </w:p>
        </w:tc>
        <w:tc>
          <w:tcPr>
            <w:tcW w:w="597" w:type="pct"/>
            <w:tcBorders>
              <w:top w:val="nil"/>
              <w:left w:val="nil"/>
              <w:bottom w:val="nil"/>
              <w:right w:val="nil"/>
            </w:tcBorders>
            <w:shd w:val="clear" w:color="auto" w:fill="auto"/>
            <w:noWrap/>
            <w:vAlign w:val="bottom"/>
            <w:hideMark/>
          </w:tcPr>
          <w:p w14:paraId="3A561B02"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(0.175)</w:t>
            </w:r>
          </w:p>
        </w:tc>
        <w:tc>
          <w:tcPr>
            <w:tcW w:w="681" w:type="pct"/>
            <w:tcBorders>
              <w:top w:val="nil"/>
              <w:left w:val="nil"/>
              <w:bottom w:val="nil"/>
              <w:right w:val="nil"/>
            </w:tcBorders>
            <w:shd w:val="clear" w:color="auto" w:fill="auto"/>
            <w:noWrap/>
            <w:vAlign w:val="bottom"/>
            <w:hideMark/>
          </w:tcPr>
          <w:p w14:paraId="1456FE2F"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(0.401)</w:t>
            </w:r>
          </w:p>
        </w:tc>
      </w:tr>
      <w:tr w:rsidR="0070091A" w:rsidRPr="00F72CC4" w14:paraId="5D1A2F26" w14:textId="77777777" w:rsidTr="0070091A">
        <w:trPr>
          <w:trHeight w:val="276"/>
        </w:trPr>
        <w:tc>
          <w:tcPr>
            <w:tcW w:w="1336" w:type="pct"/>
            <w:tcBorders>
              <w:top w:val="nil"/>
              <w:left w:val="nil"/>
              <w:bottom w:val="nil"/>
              <w:right w:val="nil"/>
            </w:tcBorders>
            <w:shd w:val="clear" w:color="auto" w:fill="auto"/>
            <w:noWrap/>
            <w:vAlign w:val="bottom"/>
            <w:hideMark/>
          </w:tcPr>
          <w:p w14:paraId="1737FA27" w14:textId="77777777" w:rsidR="0070091A" w:rsidRPr="0070091A" w:rsidRDefault="0070091A" w:rsidP="00EF3B85">
            <w:pPr>
              <w:widowControl/>
              <w:jc w:val="left"/>
              <w:rPr>
                <w:rFonts w:ascii="Times New Roman" w:eastAsia="宋体" w:hAnsi="Times New Roman" w:cs="Times New Roman"/>
                <w:kern w:val="0"/>
                <w:sz w:val="22"/>
              </w:rPr>
            </w:pPr>
            <w:r w:rsidRPr="00F72CC4">
              <w:rPr>
                <w:rFonts w:ascii="Times New Roman" w:eastAsia="等线" w:hAnsi="Times New Roman" w:cs="Times New Roman"/>
                <w:i/>
                <w:color w:val="000000"/>
                <w:kern w:val="0"/>
                <w:sz w:val="22"/>
              </w:rPr>
              <w:t>Past Performance: High</w:t>
            </w:r>
          </w:p>
        </w:tc>
        <w:tc>
          <w:tcPr>
            <w:tcW w:w="597" w:type="pct"/>
            <w:tcBorders>
              <w:top w:val="nil"/>
              <w:left w:val="nil"/>
              <w:bottom w:val="nil"/>
              <w:right w:val="nil"/>
            </w:tcBorders>
            <w:shd w:val="clear" w:color="auto" w:fill="auto"/>
            <w:noWrap/>
            <w:vAlign w:val="bottom"/>
            <w:hideMark/>
          </w:tcPr>
          <w:p w14:paraId="598456C0"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0.593***</w:t>
            </w:r>
          </w:p>
        </w:tc>
        <w:tc>
          <w:tcPr>
            <w:tcW w:w="597" w:type="pct"/>
            <w:tcBorders>
              <w:top w:val="nil"/>
              <w:left w:val="nil"/>
              <w:bottom w:val="nil"/>
              <w:right w:val="nil"/>
            </w:tcBorders>
            <w:shd w:val="clear" w:color="auto" w:fill="auto"/>
            <w:noWrap/>
            <w:vAlign w:val="bottom"/>
            <w:hideMark/>
          </w:tcPr>
          <w:p w14:paraId="4500E083"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0.592***</w:t>
            </w:r>
          </w:p>
        </w:tc>
        <w:tc>
          <w:tcPr>
            <w:tcW w:w="597" w:type="pct"/>
            <w:tcBorders>
              <w:top w:val="nil"/>
              <w:left w:val="nil"/>
              <w:bottom w:val="nil"/>
              <w:right w:val="nil"/>
            </w:tcBorders>
            <w:shd w:val="clear" w:color="auto" w:fill="auto"/>
            <w:noWrap/>
            <w:vAlign w:val="bottom"/>
            <w:hideMark/>
          </w:tcPr>
          <w:p w14:paraId="4DB1D67C"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0.610***</w:t>
            </w:r>
          </w:p>
        </w:tc>
        <w:tc>
          <w:tcPr>
            <w:tcW w:w="597" w:type="pct"/>
            <w:tcBorders>
              <w:top w:val="nil"/>
              <w:left w:val="nil"/>
              <w:bottom w:val="nil"/>
              <w:right w:val="nil"/>
            </w:tcBorders>
            <w:shd w:val="clear" w:color="auto" w:fill="auto"/>
            <w:noWrap/>
            <w:vAlign w:val="bottom"/>
            <w:hideMark/>
          </w:tcPr>
          <w:p w14:paraId="3A7E252B"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0.590***</w:t>
            </w:r>
          </w:p>
        </w:tc>
        <w:tc>
          <w:tcPr>
            <w:tcW w:w="597" w:type="pct"/>
            <w:tcBorders>
              <w:top w:val="nil"/>
              <w:left w:val="nil"/>
              <w:bottom w:val="nil"/>
              <w:right w:val="nil"/>
            </w:tcBorders>
            <w:shd w:val="clear" w:color="auto" w:fill="auto"/>
            <w:noWrap/>
            <w:vAlign w:val="bottom"/>
            <w:hideMark/>
          </w:tcPr>
          <w:p w14:paraId="1464BF76"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0.640***</w:t>
            </w:r>
          </w:p>
        </w:tc>
        <w:tc>
          <w:tcPr>
            <w:tcW w:w="681" w:type="pct"/>
            <w:tcBorders>
              <w:top w:val="nil"/>
              <w:left w:val="nil"/>
              <w:bottom w:val="nil"/>
              <w:right w:val="nil"/>
            </w:tcBorders>
            <w:shd w:val="clear" w:color="auto" w:fill="auto"/>
            <w:noWrap/>
            <w:vAlign w:val="bottom"/>
            <w:hideMark/>
          </w:tcPr>
          <w:p w14:paraId="7811C75D"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0.607***</w:t>
            </w:r>
          </w:p>
        </w:tc>
      </w:tr>
      <w:tr w:rsidR="0070091A" w:rsidRPr="00F72CC4" w14:paraId="03FE2E68" w14:textId="77777777" w:rsidTr="0070091A">
        <w:trPr>
          <w:trHeight w:val="276"/>
        </w:trPr>
        <w:tc>
          <w:tcPr>
            <w:tcW w:w="1336" w:type="pct"/>
            <w:tcBorders>
              <w:top w:val="nil"/>
              <w:left w:val="nil"/>
              <w:bottom w:val="nil"/>
              <w:right w:val="nil"/>
            </w:tcBorders>
            <w:shd w:val="clear" w:color="auto" w:fill="auto"/>
            <w:noWrap/>
            <w:vAlign w:val="bottom"/>
            <w:hideMark/>
          </w:tcPr>
          <w:p w14:paraId="508FA217" w14:textId="77777777" w:rsidR="0070091A" w:rsidRPr="0070091A" w:rsidRDefault="0070091A" w:rsidP="00EF3B85">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314A2BAA"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(0.145)</w:t>
            </w:r>
          </w:p>
        </w:tc>
        <w:tc>
          <w:tcPr>
            <w:tcW w:w="597" w:type="pct"/>
            <w:tcBorders>
              <w:top w:val="nil"/>
              <w:left w:val="nil"/>
              <w:bottom w:val="nil"/>
              <w:right w:val="nil"/>
            </w:tcBorders>
            <w:shd w:val="clear" w:color="auto" w:fill="auto"/>
            <w:noWrap/>
            <w:vAlign w:val="bottom"/>
            <w:hideMark/>
          </w:tcPr>
          <w:p w14:paraId="0579F466"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(0.145)</w:t>
            </w:r>
          </w:p>
        </w:tc>
        <w:tc>
          <w:tcPr>
            <w:tcW w:w="597" w:type="pct"/>
            <w:tcBorders>
              <w:top w:val="nil"/>
              <w:left w:val="nil"/>
              <w:bottom w:val="nil"/>
              <w:right w:val="nil"/>
            </w:tcBorders>
            <w:shd w:val="clear" w:color="auto" w:fill="auto"/>
            <w:noWrap/>
            <w:vAlign w:val="bottom"/>
            <w:hideMark/>
          </w:tcPr>
          <w:p w14:paraId="32A1A627"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(0.144)</w:t>
            </w:r>
          </w:p>
        </w:tc>
        <w:tc>
          <w:tcPr>
            <w:tcW w:w="597" w:type="pct"/>
            <w:tcBorders>
              <w:top w:val="nil"/>
              <w:left w:val="nil"/>
              <w:bottom w:val="nil"/>
              <w:right w:val="nil"/>
            </w:tcBorders>
            <w:shd w:val="clear" w:color="auto" w:fill="auto"/>
            <w:noWrap/>
            <w:vAlign w:val="bottom"/>
            <w:hideMark/>
          </w:tcPr>
          <w:p w14:paraId="7E6FE960"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(0.146)</w:t>
            </w:r>
          </w:p>
        </w:tc>
        <w:tc>
          <w:tcPr>
            <w:tcW w:w="597" w:type="pct"/>
            <w:tcBorders>
              <w:top w:val="nil"/>
              <w:left w:val="nil"/>
              <w:bottom w:val="nil"/>
              <w:right w:val="nil"/>
            </w:tcBorders>
            <w:shd w:val="clear" w:color="auto" w:fill="auto"/>
            <w:noWrap/>
            <w:vAlign w:val="bottom"/>
            <w:hideMark/>
          </w:tcPr>
          <w:p w14:paraId="26590575"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(0.147)</w:t>
            </w:r>
          </w:p>
        </w:tc>
        <w:tc>
          <w:tcPr>
            <w:tcW w:w="681" w:type="pct"/>
            <w:tcBorders>
              <w:top w:val="nil"/>
              <w:left w:val="nil"/>
              <w:bottom w:val="nil"/>
              <w:right w:val="nil"/>
            </w:tcBorders>
            <w:shd w:val="clear" w:color="auto" w:fill="auto"/>
            <w:noWrap/>
            <w:vAlign w:val="bottom"/>
            <w:hideMark/>
          </w:tcPr>
          <w:p w14:paraId="40331D77"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(0.145)</w:t>
            </w:r>
          </w:p>
        </w:tc>
      </w:tr>
      <w:tr w:rsidR="0070091A" w:rsidRPr="00F72CC4" w14:paraId="5C4BCBF8" w14:textId="77777777" w:rsidTr="0070091A">
        <w:trPr>
          <w:trHeight w:val="276"/>
        </w:trPr>
        <w:tc>
          <w:tcPr>
            <w:tcW w:w="1336" w:type="pct"/>
            <w:tcBorders>
              <w:top w:val="nil"/>
              <w:left w:val="nil"/>
              <w:bottom w:val="nil"/>
              <w:right w:val="nil"/>
            </w:tcBorders>
            <w:shd w:val="clear" w:color="auto" w:fill="auto"/>
            <w:noWrap/>
            <w:vAlign w:val="bottom"/>
            <w:hideMark/>
          </w:tcPr>
          <w:p w14:paraId="49470CE5" w14:textId="77777777" w:rsidR="0070091A" w:rsidRPr="0070091A" w:rsidRDefault="0070091A" w:rsidP="00EF3B85">
            <w:pPr>
              <w:widowControl/>
              <w:jc w:val="left"/>
              <w:rPr>
                <w:rFonts w:ascii="Times New Roman" w:eastAsia="宋体" w:hAnsi="Times New Roman" w:cs="Times New Roman"/>
                <w:kern w:val="0"/>
                <w:sz w:val="22"/>
              </w:rPr>
            </w:pPr>
            <w:r w:rsidRPr="00F72CC4">
              <w:rPr>
                <w:rFonts w:ascii="Times New Roman" w:eastAsia="等线" w:hAnsi="Times New Roman" w:cs="Times New Roman"/>
                <w:i/>
                <w:color w:val="000000"/>
                <w:kern w:val="0"/>
                <w:sz w:val="22"/>
              </w:rPr>
              <w:t>Past Performance: Middle</w:t>
            </w:r>
          </w:p>
        </w:tc>
        <w:tc>
          <w:tcPr>
            <w:tcW w:w="597" w:type="pct"/>
            <w:tcBorders>
              <w:top w:val="nil"/>
              <w:left w:val="nil"/>
              <w:bottom w:val="nil"/>
              <w:right w:val="nil"/>
            </w:tcBorders>
            <w:shd w:val="clear" w:color="auto" w:fill="auto"/>
            <w:noWrap/>
            <w:vAlign w:val="bottom"/>
            <w:hideMark/>
          </w:tcPr>
          <w:p w14:paraId="45C6811C"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0.239***</w:t>
            </w:r>
          </w:p>
        </w:tc>
        <w:tc>
          <w:tcPr>
            <w:tcW w:w="597" w:type="pct"/>
            <w:tcBorders>
              <w:top w:val="nil"/>
              <w:left w:val="nil"/>
              <w:bottom w:val="nil"/>
              <w:right w:val="nil"/>
            </w:tcBorders>
            <w:shd w:val="clear" w:color="auto" w:fill="auto"/>
            <w:noWrap/>
            <w:vAlign w:val="bottom"/>
            <w:hideMark/>
          </w:tcPr>
          <w:p w14:paraId="6B53F9CB"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0.239***</w:t>
            </w:r>
          </w:p>
        </w:tc>
        <w:tc>
          <w:tcPr>
            <w:tcW w:w="597" w:type="pct"/>
            <w:tcBorders>
              <w:top w:val="nil"/>
              <w:left w:val="nil"/>
              <w:bottom w:val="nil"/>
              <w:right w:val="nil"/>
            </w:tcBorders>
            <w:shd w:val="clear" w:color="auto" w:fill="auto"/>
            <w:noWrap/>
            <w:vAlign w:val="bottom"/>
            <w:hideMark/>
          </w:tcPr>
          <w:p w14:paraId="0FA2CCCC"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0.234***</w:t>
            </w:r>
          </w:p>
        </w:tc>
        <w:tc>
          <w:tcPr>
            <w:tcW w:w="597" w:type="pct"/>
            <w:tcBorders>
              <w:top w:val="nil"/>
              <w:left w:val="nil"/>
              <w:bottom w:val="nil"/>
              <w:right w:val="nil"/>
            </w:tcBorders>
            <w:shd w:val="clear" w:color="auto" w:fill="auto"/>
            <w:noWrap/>
            <w:vAlign w:val="bottom"/>
            <w:hideMark/>
          </w:tcPr>
          <w:p w14:paraId="73975EE3"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0.240***</w:t>
            </w:r>
          </w:p>
        </w:tc>
        <w:tc>
          <w:tcPr>
            <w:tcW w:w="597" w:type="pct"/>
            <w:tcBorders>
              <w:top w:val="nil"/>
              <w:left w:val="nil"/>
              <w:bottom w:val="nil"/>
              <w:right w:val="nil"/>
            </w:tcBorders>
            <w:shd w:val="clear" w:color="auto" w:fill="auto"/>
            <w:noWrap/>
            <w:vAlign w:val="bottom"/>
            <w:hideMark/>
          </w:tcPr>
          <w:p w14:paraId="11200DD3"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0.181**</w:t>
            </w:r>
          </w:p>
        </w:tc>
        <w:tc>
          <w:tcPr>
            <w:tcW w:w="681" w:type="pct"/>
            <w:tcBorders>
              <w:top w:val="nil"/>
              <w:left w:val="nil"/>
              <w:bottom w:val="nil"/>
              <w:right w:val="nil"/>
            </w:tcBorders>
            <w:shd w:val="clear" w:color="auto" w:fill="auto"/>
            <w:noWrap/>
            <w:vAlign w:val="bottom"/>
            <w:hideMark/>
          </w:tcPr>
          <w:p w14:paraId="15BF05BC"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0.229***</w:t>
            </w:r>
          </w:p>
        </w:tc>
      </w:tr>
      <w:tr w:rsidR="0070091A" w:rsidRPr="00F72CC4" w14:paraId="57FA39B5" w14:textId="77777777" w:rsidTr="0070091A">
        <w:trPr>
          <w:trHeight w:val="276"/>
        </w:trPr>
        <w:tc>
          <w:tcPr>
            <w:tcW w:w="1336" w:type="pct"/>
            <w:tcBorders>
              <w:top w:val="nil"/>
              <w:left w:val="nil"/>
              <w:bottom w:val="nil"/>
              <w:right w:val="nil"/>
            </w:tcBorders>
            <w:shd w:val="clear" w:color="auto" w:fill="auto"/>
            <w:noWrap/>
            <w:vAlign w:val="bottom"/>
            <w:hideMark/>
          </w:tcPr>
          <w:p w14:paraId="62DCDEA8" w14:textId="77777777" w:rsidR="0070091A" w:rsidRPr="0070091A" w:rsidRDefault="0070091A" w:rsidP="00EF3B85">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4E56ACA5"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(0.079)</w:t>
            </w:r>
          </w:p>
        </w:tc>
        <w:tc>
          <w:tcPr>
            <w:tcW w:w="597" w:type="pct"/>
            <w:tcBorders>
              <w:top w:val="nil"/>
              <w:left w:val="nil"/>
              <w:bottom w:val="nil"/>
              <w:right w:val="nil"/>
            </w:tcBorders>
            <w:shd w:val="clear" w:color="auto" w:fill="auto"/>
            <w:noWrap/>
            <w:vAlign w:val="bottom"/>
            <w:hideMark/>
          </w:tcPr>
          <w:p w14:paraId="6E2A1912"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(0.079)</w:t>
            </w:r>
          </w:p>
        </w:tc>
        <w:tc>
          <w:tcPr>
            <w:tcW w:w="597" w:type="pct"/>
            <w:tcBorders>
              <w:top w:val="nil"/>
              <w:left w:val="nil"/>
              <w:bottom w:val="nil"/>
              <w:right w:val="nil"/>
            </w:tcBorders>
            <w:shd w:val="clear" w:color="auto" w:fill="auto"/>
            <w:noWrap/>
            <w:vAlign w:val="bottom"/>
            <w:hideMark/>
          </w:tcPr>
          <w:p w14:paraId="6010AD4A"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(0.079)</w:t>
            </w:r>
          </w:p>
        </w:tc>
        <w:tc>
          <w:tcPr>
            <w:tcW w:w="597" w:type="pct"/>
            <w:tcBorders>
              <w:top w:val="nil"/>
              <w:left w:val="nil"/>
              <w:bottom w:val="nil"/>
              <w:right w:val="nil"/>
            </w:tcBorders>
            <w:shd w:val="clear" w:color="auto" w:fill="auto"/>
            <w:noWrap/>
            <w:vAlign w:val="bottom"/>
            <w:hideMark/>
          </w:tcPr>
          <w:p w14:paraId="7AD4E37E"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(0.079)</w:t>
            </w:r>
          </w:p>
        </w:tc>
        <w:tc>
          <w:tcPr>
            <w:tcW w:w="597" w:type="pct"/>
            <w:tcBorders>
              <w:top w:val="nil"/>
              <w:left w:val="nil"/>
              <w:bottom w:val="nil"/>
              <w:right w:val="nil"/>
            </w:tcBorders>
            <w:shd w:val="clear" w:color="auto" w:fill="auto"/>
            <w:noWrap/>
            <w:vAlign w:val="bottom"/>
            <w:hideMark/>
          </w:tcPr>
          <w:p w14:paraId="54286364"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(0.080)</w:t>
            </w:r>
          </w:p>
        </w:tc>
        <w:tc>
          <w:tcPr>
            <w:tcW w:w="681" w:type="pct"/>
            <w:tcBorders>
              <w:top w:val="nil"/>
              <w:left w:val="nil"/>
              <w:bottom w:val="nil"/>
              <w:right w:val="nil"/>
            </w:tcBorders>
            <w:shd w:val="clear" w:color="auto" w:fill="auto"/>
            <w:noWrap/>
            <w:vAlign w:val="bottom"/>
            <w:hideMark/>
          </w:tcPr>
          <w:p w14:paraId="2C79CEAB"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(0.079)</w:t>
            </w:r>
          </w:p>
        </w:tc>
      </w:tr>
      <w:tr w:rsidR="0070091A" w:rsidRPr="00F72CC4" w14:paraId="4C235C6C" w14:textId="77777777" w:rsidTr="0070091A">
        <w:trPr>
          <w:trHeight w:val="276"/>
        </w:trPr>
        <w:tc>
          <w:tcPr>
            <w:tcW w:w="1336" w:type="pct"/>
            <w:tcBorders>
              <w:top w:val="nil"/>
              <w:left w:val="nil"/>
              <w:bottom w:val="nil"/>
              <w:right w:val="nil"/>
            </w:tcBorders>
            <w:shd w:val="clear" w:color="auto" w:fill="auto"/>
            <w:noWrap/>
            <w:vAlign w:val="bottom"/>
            <w:hideMark/>
          </w:tcPr>
          <w:p w14:paraId="3584A873" w14:textId="77777777" w:rsidR="0070091A" w:rsidRPr="0070091A" w:rsidRDefault="0070091A" w:rsidP="00EF3B85">
            <w:pPr>
              <w:widowControl/>
              <w:jc w:val="left"/>
              <w:rPr>
                <w:rFonts w:ascii="Times New Roman" w:eastAsia="宋体" w:hAnsi="Times New Roman" w:cs="Times New Roman"/>
                <w:kern w:val="0"/>
                <w:sz w:val="22"/>
              </w:rPr>
            </w:pPr>
            <w:r w:rsidRPr="00F72CC4">
              <w:rPr>
                <w:rFonts w:ascii="Times New Roman" w:eastAsia="等线" w:hAnsi="Times New Roman" w:cs="Times New Roman"/>
                <w:i/>
                <w:color w:val="000000"/>
                <w:kern w:val="0"/>
                <w:sz w:val="22"/>
              </w:rPr>
              <w:t>Fund Family Size: Large</w:t>
            </w:r>
          </w:p>
        </w:tc>
        <w:tc>
          <w:tcPr>
            <w:tcW w:w="597" w:type="pct"/>
            <w:tcBorders>
              <w:top w:val="nil"/>
              <w:left w:val="nil"/>
              <w:bottom w:val="nil"/>
              <w:right w:val="nil"/>
            </w:tcBorders>
            <w:shd w:val="clear" w:color="auto" w:fill="auto"/>
            <w:noWrap/>
            <w:vAlign w:val="bottom"/>
            <w:hideMark/>
          </w:tcPr>
          <w:p w14:paraId="3D3F197F"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-0.206*</w:t>
            </w:r>
          </w:p>
        </w:tc>
        <w:tc>
          <w:tcPr>
            <w:tcW w:w="597" w:type="pct"/>
            <w:tcBorders>
              <w:top w:val="nil"/>
              <w:left w:val="nil"/>
              <w:bottom w:val="nil"/>
              <w:right w:val="nil"/>
            </w:tcBorders>
            <w:shd w:val="clear" w:color="auto" w:fill="auto"/>
            <w:noWrap/>
            <w:vAlign w:val="bottom"/>
            <w:hideMark/>
          </w:tcPr>
          <w:p w14:paraId="38C1EF2F"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-0.206*</w:t>
            </w:r>
          </w:p>
        </w:tc>
        <w:tc>
          <w:tcPr>
            <w:tcW w:w="597" w:type="pct"/>
            <w:tcBorders>
              <w:top w:val="nil"/>
              <w:left w:val="nil"/>
              <w:bottom w:val="nil"/>
              <w:right w:val="nil"/>
            </w:tcBorders>
            <w:shd w:val="clear" w:color="auto" w:fill="auto"/>
            <w:noWrap/>
            <w:vAlign w:val="bottom"/>
            <w:hideMark/>
          </w:tcPr>
          <w:p w14:paraId="0301B3F2"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-0.208*</w:t>
            </w:r>
          </w:p>
        </w:tc>
        <w:tc>
          <w:tcPr>
            <w:tcW w:w="597" w:type="pct"/>
            <w:tcBorders>
              <w:top w:val="nil"/>
              <w:left w:val="nil"/>
              <w:bottom w:val="nil"/>
              <w:right w:val="nil"/>
            </w:tcBorders>
            <w:shd w:val="clear" w:color="auto" w:fill="auto"/>
            <w:noWrap/>
            <w:vAlign w:val="bottom"/>
            <w:hideMark/>
          </w:tcPr>
          <w:p w14:paraId="73610488"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-0.205*</w:t>
            </w:r>
          </w:p>
        </w:tc>
        <w:tc>
          <w:tcPr>
            <w:tcW w:w="597" w:type="pct"/>
            <w:tcBorders>
              <w:top w:val="nil"/>
              <w:left w:val="nil"/>
              <w:bottom w:val="nil"/>
              <w:right w:val="nil"/>
            </w:tcBorders>
            <w:shd w:val="clear" w:color="auto" w:fill="auto"/>
            <w:noWrap/>
            <w:vAlign w:val="bottom"/>
            <w:hideMark/>
          </w:tcPr>
          <w:p w14:paraId="6BF7C965"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-0.217*</w:t>
            </w:r>
          </w:p>
        </w:tc>
        <w:tc>
          <w:tcPr>
            <w:tcW w:w="681" w:type="pct"/>
            <w:tcBorders>
              <w:top w:val="nil"/>
              <w:left w:val="nil"/>
              <w:bottom w:val="nil"/>
              <w:right w:val="nil"/>
            </w:tcBorders>
            <w:shd w:val="clear" w:color="auto" w:fill="auto"/>
            <w:noWrap/>
            <w:vAlign w:val="bottom"/>
            <w:hideMark/>
          </w:tcPr>
          <w:p w14:paraId="1BF61F81"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-0.208*</w:t>
            </w:r>
          </w:p>
        </w:tc>
      </w:tr>
      <w:tr w:rsidR="0070091A" w:rsidRPr="00F72CC4" w14:paraId="433B347A" w14:textId="77777777" w:rsidTr="0070091A">
        <w:trPr>
          <w:trHeight w:val="276"/>
        </w:trPr>
        <w:tc>
          <w:tcPr>
            <w:tcW w:w="1336" w:type="pct"/>
            <w:tcBorders>
              <w:top w:val="nil"/>
              <w:left w:val="nil"/>
              <w:bottom w:val="nil"/>
              <w:right w:val="nil"/>
            </w:tcBorders>
            <w:shd w:val="clear" w:color="auto" w:fill="auto"/>
            <w:noWrap/>
            <w:vAlign w:val="bottom"/>
            <w:hideMark/>
          </w:tcPr>
          <w:p w14:paraId="039D7CCC" w14:textId="77777777" w:rsidR="0070091A" w:rsidRPr="0070091A" w:rsidRDefault="0070091A" w:rsidP="00EF3B85">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4BC93E41"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(0.118)</w:t>
            </w:r>
          </w:p>
        </w:tc>
        <w:tc>
          <w:tcPr>
            <w:tcW w:w="597" w:type="pct"/>
            <w:tcBorders>
              <w:top w:val="nil"/>
              <w:left w:val="nil"/>
              <w:bottom w:val="nil"/>
              <w:right w:val="nil"/>
            </w:tcBorders>
            <w:shd w:val="clear" w:color="auto" w:fill="auto"/>
            <w:noWrap/>
            <w:vAlign w:val="bottom"/>
            <w:hideMark/>
          </w:tcPr>
          <w:p w14:paraId="02661A89"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(0.118)</w:t>
            </w:r>
          </w:p>
        </w:tc>
        <w:tc>
          <w:tcPr>
            <w:tcW w:w="597" w:type="pct"/>
            <w:tcBorders>
              <w:top w:val="nil"/>
              <w:left w:val="nil"/>
              <w:bottom w:val="nil"/>
              <w:right w:val="nil"/>
            </w:tcBorders>
            <w:shd w:val="clear" w:color="auto" w:fill="auto"/>
            <w:noWrap/>
            <w:vAlign w:val="bottom"/>
            <w:hideMark/>
          </w:tcPr>
          <w:p w14:paraId="2214A1DC"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(0.118)</w:t>
            </w:r>
          </w:p>
        </w:tc>
        <w:tc>
          <w:tcPr>
            <w:tcW w:w="597" w:type="pct"/>
            <w:tcBorders>
              <w:top w:val="nil"/>
              <w:left w:val="nil"/>
              <w:bottom w:val="nil"/>
              <w:right w:val="nil"/>
            </w:tcBorders>
            <w:shd w:val="clear" w:color="auto" w:fill="auto"/>
            <w:noWrap/>
            <w:vAlign w:val="bottom"/>
            <w:hideMark/>
          </w:tcPr>
          <w:p w14:paraId="0C922F39"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(0.118)</w:t>
            </w:r>
          </w:p>
        </w:tc>
        <w:tc>
          <w:tcPr>
            <w:tcW w:w="597" w:type="pct"/>
            <w:tcBorders>
              <w:top w:val="nil"/>
              <w:left w:val="nil"/>
              <w:bottom w:val="nil"/>
              <w:right w:val="nil"/>
            </w:tcBorders>
            <w:shd w:val="clear" w:color="auto" w:fill="auto"/>
            <w:noWrap/>
            <w:vAlign w:val="bottom"/>
            <w:hideMark/>
          </w:tcPr>
          <w:p w14:paraId="5F2A4DF6"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(0.117)</w:t>
            </w:r>
          </w:p>
        </w:tc>
        <w:tc>
          <w:tcPr>
            <w:tcW w:w="681" w:type="pct"/>
            <w:tcBorders>
              <w:top w:val="nil"/>
              <w:left w:val="nil"/>
              <w:bottom w:val="nil"/>
              <w:right w:val="nil"/>
            </w:tcBorders>
            <w:shd w:val="clear" w:color="auto" w:fill="auto"/>
            <w:noWrap/>
            <w:vAlign w:val="bottom"/>
            <w:hideMark/>
          </w:tcPr>
          <w:p w14:paraId="74FDAF4E"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(0.118)</w:t>
            </w:r>
          </w:p>
        </w:tc>
      </w:tr>
      <w:tr w:rsidR="0070091A" w:rsidRPr="00F72CC4" w14:paraId="5D759AB2" w14:textId="77777777" w:rsidTr="0070091A">
        <w:trPr>
          <w:trHeight w:val="276"/>
        </w:trPr>
        <w:tc>
          <w:tcPr>
            <w:tcW w:w="1336" w:type="pct"/>
            <w:tcBorders>
              <w:top w:val="nil"/>
              <w:left w:val="nil"/>
              <w:bottom w:val="nil"/>
              <w:right w:val="nil"/>
            </w:tcBorders>
            <w:shd w:val="clear" w:color="auto" w:fill="auto"/>
            <w:noWrap/>
            <w:vAlign w:val="bottom"/>
            <w:hideMark/>
          </w:tcPr>
          <w:p w14:paraId="515910F3" w14:textId="77777777" w:rsidR="0070091A" w:rsidRPr="0070091A" w:rsidRDefault="0070091A" w:rsidP="00EF3B85">
            <w:pPr>
              <w:widowControl/>
              <w:jc w:val="left"/>
              <w:rPr>
                <w:rFonts w:ascii="Times New Roman" w:eastAsia="宋体" w:hAnsi="Times New Roman" w:cs="Times New Roman"/>
                <w:kern w:val="0"/>
                <w:sz w:val="22"/>
              </w:rPr>
            </w:pPr>
            <w:r w:rsidRPr="00F72CC4">
              <w:rPr>
                <w:rFonts w:ascii="Times New Roman" w:eastAsia="等线" w:hAnsi="Times New Roman" w:cs="Times New Roman"/>
                <w:i/>
                <w:color w:val="000000"/>
                <w:kern w:val="0"/>
                <w:sz w:val="22"/>
              </w:rPr>
              <w:t>Fund Family Size: Middle</w:t>
            </w:r>
          </w:p>
        </w:tc>
        <w:tc>
          <w:tcPr>
            <w:tcW w:w="597" w:type="pct"/>
            <w:tcBorders>
              <w:top w:val="nil"/>
              <w:left w:val="nil"/>
              <w:bottom w:val="nil"/>
              <w:right w:val="nil"/>
            </w:tcBorders>
            <w:shd w:val="clear" w:color="auto" w:fill="auto"/>
            <w:noWrap/>
            <w:vAlign w:val="bottom"/>
            <w:hideMark/>
          </w:tcPr>
          <w:p w14:paraId="60EC11F1"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0.167***</w:t>
            </w:r>
          </w:p>
        </w:tc>
        <w:tc>
          <w:tcPr>
            <w:tcW w:w="597" w:type="pct"/>
            <w:tcBorders>
              <w:top w:val="nil"/>
              <w:left w:val="nil"/>
              <w:bottom w:val="nil"/>
              <w:right w:val="nil"/>
            </w:tcBorders>
            <w:shd w:val="clear" w:color="auto" w:fill="auto"/>
            <w:noWrap/>
            <w:vAlign w:val="bottom"/>
            <w:hideMark/>
          </w:tcPr>
          <w:p w14:paraId="5B793852"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0.167***</w:t>
            </w:r>
          </w:p>
        </w:tc>
        <w:tc>
          <w:tcPr>
            <w:tcW w:w="597" w:type="pct"/>
            <w:tcBorders>
              <w:top w:val="nil"/>
              <w:left w:val="nil"/>
              <w:bottom w:val="nil"/>
              <w:right w:val="nil"/>
            </w:tcBorders>
            <w:shd w:val="clear" w:color="auto" w:fill="auto"/>
            <w:noWrap/>
            <w:vAlign w:val="bottom"/>
            <w:hideMark/>
          </w:tcPr>
          <w:p w14:paraId="54727F99"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0.167***</w:t>
            </w:r>
          </w:p>
        </w:tc>
        <w:tc>
          <w:tcPr>
            <w:tcW w:w="597" w:type="pct"/>
            <w:tcBorders>
              <w:top w:val="nil"/>
              <w:left w:val="nil"/>
              <w:bottom w:val="nil"/>
              <w:right w:val="nil"/>
            </w:tcBorders>
            <w:shd w:val="clear" w:color="auto" w:fill="auto"/>
            <w:noWrap/>
            <w:vAlign w:val="bottom"/>
            <w:hideMark/>
          </w:tcPr>
          <w:p w14:paraId="4795FA4E"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0.167***</w:t>
            </w:r>
          </w:p>
        </w:tc>
        <w:tc>
          <w:tcPr>
            <w:tcW w:w="597" w:type="pct"/>
            <w:tcBorders>
              <w:top w:val="nil"/>
              <w:left w:val="nil"/>
              <w:bottom w:val="nil"/>
              <w:right w:val="nil"/>
            </w:tcBorders>
            <w:shd w:val="clear" w:color="auto" w:fill="auto"/>
            <w:noWrap/>
            <w:vAlign w:val="bottom"/>
            <w:hideMark/>
          </w:tcPr>
          <w:p w14:paraId="5FB0677D"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0.166***</w:t>
            </w:r>
          </w:p>
        </w:tc>
        <w:tc>
          <w:tcPr>
            <w:tcW w:w="681" w:type="pct"/>
            <w:tcBorders>
              <w:top w:val="nil"/>
              <w:left w:val="nil"/>
              <w:bottom w:val="nil"/>
              <w:right w:val="nil"/>
            </w:tcBorders>
            <w:shd w:val="clear" w:color="auto" w:fill="auto"/>
            <w:noWrap/>
            <w:vAlign w:val="bottom"/>
            <w:hideMark/>
          </w:tcPr>
          <w:p w14:paraId="0D7F087F"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0.166***</w:t>
            </w:r>
          </w:p>
        </w:tc>
      </w:tr>
      <w:tr w:rsidR="0070091A" w:rsidRPr="00F72CC4" w14:paraId="0F1A2798" w14:textId="77777777" w:rsidTr="0070091A">
        <w:trPr>
          <w:trHeight w:val="276"/>
        </w:trPr>
        <w:tc>
          <w:tcPr>
            <w:tcW w:w="1336" w:type="pct"/>
            <w:tcBorders>
              <w:top w:val="nil"/>
              <w:left w:val="nil"/>
              <w:bottom w:val="nil"/>
              <w:right w:val="nil"/>
            </w:tcBorders>
            <w:shd w:val="clear" w:color="auto" w:fill="auto"/>
            <w:noWrap/>
            <w:vAlign w:val="bottom"/>
            <w:hideMark/>
          </w:tcPr>
          <w:p w14:paraId="03BC7F1A" w14:textId="77777777" w:rsidR="0070091A" w:rsidRPr="0070091A" w:rsidRDefault="0070091A" w:rsidP="00EF3B85">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7164B327"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(0.063)</w:t>
            </w:r>
          </w:p>
        </w:tc>
        <w:tc>
          <w:tcPr>
            <w:tcW w:w="597" w:type="pct"/>
            <w:tcBorders>
              <w:top w:val="nil"/>
              <w:left w:val="nil"/>
              <w:bottom w:val="nil"/>
              <w:right w:val="nil"/>
            </w:tcBorders>
            <w:shd w:val="clear" w:color="auto" w:fill="auto"/>
            <w:noWrap/>
            <w:vAlign w:val="bottom"/>
            <w:hideMark/>
          </w:tcPr>
          <w:p w14:paraId="3F39CD8A"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(0.063)</w:t>
            </w:r>
          </w:p>
        </w:tc>
        <w:tc>
          <w:tcPr>
            <w:tcW w:w="597" w:type="pct"/>
            <w:tcBorders>
              <w:top w:val="nil"/>
              <w:left w:val="nil"/>
              <w:bottom w:val="nil"/>
              <w:right w:val="nil"/>
            </w:tcBorders>
            <w:shd w:val="clear" w:color="auto" w:fill="auto"/>
            <w:noWrap/>
            <w:vAlign w:val="bottom"/>
            <w:hideMark/>
          </w:tcPr>
          <w:p w14:paraId="278EF00A"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(0.064)</w:t>
            </w:r>
          </w:p>
        </w:tc>
        <w:tc>
          <w:tcPr>
            <w:tcW w:w="597" w:type="pct"/>
            <w:tcBorders>
              <w:top w:val="nil"/>
              <w:left w:val="nil"/>
              <w:bottom w:val="nil"/>
              <w:right w:val="nil"/>
            </w:tcBorders>
            <w:shd w:val="clear" w:color="auto" w:fill="auto"/>
            <w:noWrap/>
            <w:vAlign w:val="bottom"/>
            <w:hideMark/>
          </w:tcPr>
          <w:p w14:paraId="319B7F5C"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(0.064)</w:t>
            </w:r>
          </w:p>
        </w:tc>
        <w:tc>
          <w:tcPr>
            <w:tcW w:w="597" w:type="pct"/>
            <w:tcBorders>
              <w:top w:val="nil"/>
              <w:left w:val="nil"/>
              <w:bottom w:val="nil"/>
              <w:right w:val="nil"/>
            </w:tcBorders>
            <w:shd w:val="clear" w:color="auto" w:fill="auto"/>
            <w:noWrap/>
            <w:vAlign w:val="bottom"/>
            <w:hideMark/>
          </w:tcPr>
          <w:p w14:paraId="3571AA17"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(0.063)</w:t>
            </w:r>
          </w:p>
        </w:tc>
        <w:tc>
          <w:tcPr>
            <w:tcW w:w="681" w:type="pct"/>
            <w:tcBorders>
              <w:top w:val="nil"/>
              <w:left w:val="nil"/>
              <w:bottom w:val="nil"/>
              <w:right w:val="nil"/>
            </w:tcBorders>
            <w:shd w:val="clear" w:color="auto" w:fill="auto"/>
            <w:noWrap/>
            <w:vAlign w:val="bottom"/>
            <w:hideMark/>
          </w:tcPr>
          <w:p w14:paraId="6496FAA3"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(0.063)</w:t>
            </w:r>
          </w:p>
        </w:tc>
      </w:tr>
      <w:tr w:rsidR="0070091A" w:rsidRPr="00F72CC4" w14:paraId="7C706910" w14:textId="77777777" w:rsidTr="0070091A">
        <w:trPr>
          <w:trHeight w:val="276"/>
        </w:trPr>
        <w:tc>
          <w:tcPr>
            <w:tcW w:w="1336" w:type="pct"/>
            <w:tcBorders>
              <w:top w:val="nil"/>
              <w:left w:val="nil"/>
              <w:bottom w:val="nil"/>
              <w:right w:val="nil"/>
            </w:tcBorders>
            <w:shd w:val="clear" w:color="auto" w:fill="auto"/>
            <w:noWrap/>
            <w:vAlign w:val="bottom"/>
            <w:hideMark/>
          </w:tcPr>
          <w:p w14:paraId="796DA6AA" w14:textId="77777777" w:rsidR="0070091A" w:rsidRPr="0070091A" w:rsidRDefault="0070091A" w:rsidP="00EF3B85">
            <w:pPr>
              <w:widowControl/>
              <w:jc w:val="left"/>
              <w:rPr>
                <w:rFonts w:ascii="Times New Roman" w:eastAsia="宋体" w:hAnsi="Times New Roman" w:cs="Times New Roman"/>
                <w:kern w:val="0"/>
                <w:sz w:val="22"/>
              </w:rPr>
            </w:pPr>
            <w:r w:rsidRPr="00F72CC4">
              <w:rPr>
                <w:rFonts w:ascii="Times New Roman" w:eastAsia="等线" w:hAnsi="Times New Roman" w:cs="Times New Roman"/>
                <w:i/>
                <w:color w:val="000000"/>
                <w:kern w:val="0"/>
                <w:sz w:val="22"/>
              </w:rPr>
              <w:t>Fund Size: Large</w:t>
            </w:r>
          </w:p>
        </w:tc>
        <w:tc>
          <w:tcPr>
            <w:tcW w:w="597" w:type="pct"/>
            <w:tcBorders>
              <w:top w:val="nil"/>
              <w:left w:val="nil"/>
              <w:bottom w:val="nil"/>
              <w:right w:val="nil"/>
            </w:tcBorders>
            <w:shd w:val="clear" w:color="auto" w:fill="auto"/>
            <w:noWrap/>
            <w:vAlign w:val="bottom"/>
            <w:hideMark/>
          </w:tcPr>
          <w:p w14:paraId="7E9FCDA7"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0.156</w:t>
            </w:r>
          </w:p>
        </w:tc>
        <w:tc>
          <w:tcPr>
            <w:tcW w:w="597" w:type="pct"/>
            <w:tcBorders>
              <w:top w:val="nil"/>
              <w:left w:val="nil"/>
              <w:bottom w:val="nil"/>
              <w:right w:val="nil"/>
            </w:tcBorders>
            <w:shd w:val="clear" w:color="auto" w:fill="auto"/>
            <w:noWrap/>
            <w:vAlign w:val="bottom"/>
            <w:hideMark/>
          </w:tcPr>
          <w:p w14:paraId="53A17049"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0.156</w:t>
            </w:r>
          </w:p>
        </w:tc>
        <w:tc>
          <w:tcPr>
            <w:tcW w:w="597" w:type="pct"/>
            <w:tcBorders>
              <w:top w:val="nil"/>
              <w:left w:val="nil"/>
              <w:bottom w:val="nil"/>
              <w:right w:val="nil"/>
            </w:tcBorders>
            <w:shd w:val="clear" w:color="auto" w:fill="auto"/>
            <w:noWrap/>
            <w:vAlign w:val="bottom"/>
            <w:hideMark/>
          </w:tcPr>
          <w:p w14:paraId="735D7AA8"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0.155</w:t>
            </w:r>
          </w:p>
        </w:tc>
        <w:tc>
          <w:tcPr>
            <w:tcW w:w="597" w:type="pct"/>
            <w:tcBorders>
              <w:top w:val="nil"/>
              <w:left w:val="nil"/>
              <w:bottom w:val="nil"/>
              <w:right w:val="nil"/>
            </w:tcBorders>
            <w:shd w:val="clear" w:color="auto" w:fill="auto"/>
            <w:noWrap/>
            <w:vAlign w:val="bottom"/>
            <w:hideMark/>
          </w:tcPr>
          <w:p w14:paraId="64376C93"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0.157</w:t>
            </w:r>
          </w:p>
        </w:tc>
        <w:tc>
          <w:tcPr>
            <w:tcW w:w="597" w:type="pct"/>
            <w:tcBorders>
              <w:top w:val="nil"/>
              <w:left w:val="nil"/>
              <w:bottom w:val="nil"/>
              <w:right w:val="nil"/>
            </w:tcBorders>
            <w:shd w:val="clear" w:color="auto" w:fill="auto"/>
            <w:noWrap/>
            <w:vAlign w:val="bottom"/>
            <w:hideMark/>
          </w:tcPr>
          <w:p w14:paraId="3D4D32D2"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0.137</w:t>
            </w:r>
          </w:p>
        </w:tc>
        <w:tc>
          <w:tcPr>
            <w:tcW w:w="681" w:type="pct"/>
            <w:tcBorders>
              <w:top w:val="nil"/>
              <w:left w:val="nil"/>
              <w:bottom w:val="nil"/>
              <w:right w:val="nil"/>
            </w:tcBorders>
            <w:shd w:val="clear" w:color="auto" w:fill="auto"/>
            <w:noWrap/>
            <w:vAlign w:val="bottom"/>
            <w:hideMark/>
          </w:tcPr>
          <w:p w14:paraId="55A37FF3"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0.157</w:t>
            </w:r>
          </w:p>
        </w:tc>
      </w:tr>
      <w:tr w:rsidR="0070091A" w:rsidRPr="00F72CC4" w14:paraId="450087F1" w14:textId="77777777" w:rsidTr="0070091A">
        <w:trPr>
          <w:trHeight w:val="276"/>
        </w:trPr>
        <w:tc>
          <w:tcPr>
            <w:tcW w:w="1336" w:type="pct"/>
            <w:tcBorders>
              <w:top w:val="nil"/>
              <w:left w:val="nil"/>
              <w:bottom w:val="nil"/>
              <w:right w:val="nil"/>
            </w:tcBorders>
            <w:shd w:val="clear" w:color="auto" w:fill="auto"/>
            <w:noWrap/>
            <w:vAlign w:val="bottom"/>
            <w:hideMark/>
          </w:tcPr>
          <w:p w14:paraId="7F7B7834" w14:textId="77777777" w:rsidR="0070091A" w:rsidRPr="0070091A" w:rsidRDefault="0070091A" w:rsidP="00EF3B85">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3EBF6A96"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(0.114)</w:t>
            </w:r>
          </w:p>
        </w:tc>
        <w:tc>
          <w:tcPr>
            <w:tcW w:w="597" w:type="pct"/>
            <w:tcBorders>
              <w:top w:val="nil"/>
              <w:left w:val="nil"/>
              <w:bottom w:val="nil"/>
              <w:right w:val="nil"/>
            </w:tcBorders>
            <w:shd w:val="clear" w:color="auto" w:fill="auto"/>
            <w:noWrap/>
            <w:vAlign w:val="bottom"/>
            <w:hideMark/>
          </w:tcPr>
          <w:p w14:paraId="5068D488"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(0.114)</w:t>
            </w:r>
          </w:p>
        </w:tc>
        <w:tc>
          <w:tcPr>
            <w:tcW w:w="597" w:type="pct"/>
            <w:tcBorders>
              <w:top w:val="nil"/>
              <w:left w:val="nil"/>
              <w:bottom w:val="nil"/>
              <w:right w:val="nil"/>
            </w:tcBorders>
            <w:shd w:val="clear" w:color="auto" w:fill="auto"/>
            <w:noWrap/>
            <w:vAlign w:val="bottom"/>
            <w:hideMark/>
          </w:tcPr>
          <w:p w14:paraId="60AE4FA7"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(0.114)</w:t>
            </w:r>
          </w:p>
        </w:tc>
        <w:tc>
          <w:tcPr>
            <w:tcW w:w="597" w:type="pct"/>
            <w:tcBorders>
              <w:top w:val="nil"/>
              <w:left w:val="nil"/>
              <w:bottom w:val="nil"/>
              <w:right w:val="nil"/>
            </w:tcBorders>
            <w:shd w:val="clear" w:color="auto" w:fill="auto"/>
            <w:noWrap/>
            <w:vAlign w:val="bottom"/>
            <w:hideMark/>
          </w:tcPr>
          <w:p w14:paraId="1A32A93D"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(0.114)</w:t>
            </w:r>
          </w:p>
        </w:tc>
        <w:tc>
          <w:tcPr>
            <w:tcW w:w="597" w:type="pct"/>
            <w:tcBorders>
              <w:top w:val="nil"/>
              <w:left w:val="nil"/>
              <w:bottom w:val="nil"/>
              <w:right w:val="nil"/>
            </w:tcBorders>
            <w:shd w:val="clear" w:color="auto" w:fill="auto"/>
            <w:noWrap/>
            <w:vAlign w:val="bottom"/>
            <w:hideMark/>
          </w:tcPr>
          <w:p w14:paraId="24934E65"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(0.112)</w:t>
            </w:r>
          </w:p>
        </w:tc>
        <w:tc>
          <w:tcPr>
            <w:tcW w:w="681" w:type="pct"/>
            <w:tcBorders>
              <w:top w:val="nil"/>
              <w:left w:val="nil"/>
              <w:bottom w:val="nil"/>
              <w:right w:val="nil"/>
            </w:tcBorders>
            <w:shd w:val="clear" w:color="auto" w:fill="auto"/>
            <w:noWrap/>
            <w:vAlign w:val="bottom"/>
            <w:hideMark/>
          </w:tcPr>
          <w:p w14:paraId="42334C3D"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(0.114)</w:t>
            </w:r>
          </w:p>
        </w:tc>
      </w:tr>
      <w:tr w:rsidR="0070091A" w:rsidRPr="00F72CC4" w14:paraId="767FE98D" w14:textId="77777777" w:rsidTr="0070091A">
        <w:trPr>
          <w:trHeight w:val="276"/>
        </w:trPr>
        <w:tc>
          <w:tcPr>
            <w:tcW w:w="1336" w:type="pct"/>
            <w:tcBorders>
              <w:top w:val="nil"/>
              <w:left w:val="nil"/>
              <w:bottom w:val="nil"/>
              <w:right w:val="nil"/>
            </w:tcBorders>
            <w:shd w:val="clear" w:color="auto" w:fill="auto"/>
            <w:noWrap/>
            <w:vAlign w:val="bottom"/>
            <w:hideMark/>
          </w:tcPr>
          <w:p w14:paraId="406C02D7" w14:textId="77777777" w:rsidR="0070091A" w:rsidRPr="0070091A" w:rsidRDefault="0070091A" w:rsidP="00EF3B85">
            <w:pPr>
              <w:widowControl/>
              <w:jc w:val="left"/>
              <w:rPr>
                <w:rFonts w:ascii="Times New Roman" w:eastAsia="宋体" w:hAnsi="Times New Roman" w:cs="Times New Roman"/>
                <w:kern w:val="0"/>
                <w:sz w:val="22"/>
              </w:rPr>
            </w:pPr>
            <w:r w:rsidRPr="00F72CC4">
              <w:rPr>
                <w:rFonts w:ascii="Times New Roman" w:eastAsia="等线" w:hAnsi="Times New Roman" w:cs="Times New Roman"/>
                <w:i/>
                <w:color w:val="000000"/>
                <w:kern w:val="0"/>
                <w:sz w:val="22"/>
              </w:rPr>
              <w:t>Fund Size: Middle</w:t>
            </w:r>
          </w:p>
        </w:tc>
        <w:tc>
          <w:tcPr>
            <w:tcW w:w="597" w:type="pct"/>
            <w:tcBorders>
              <w:top w:val="nil"/>
              <w:left w:val="nil"/>
              <w:bottom w:val="nil"/>
              <w:right w:val="nil"/>
            </w:tcBorders>
            <w:shd w:val="clear" w:color="auto" w:fill="auto"/>
            <w:noWrap/>
            <w:vAlign w:val="bottom"/>
            <w:hideMark/>
          </w:tcPr>
          <w:p w14:paraId="0AB5C73A"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0.174**</w:t>
            </w:r>
          </w:p>
        </w:tc>
        <w:tc>
          <w:tcPr>
            <w:tcW w:w="597" w:type="pct"/>
            <w:tcBorders>
              <w:top w:val="nil"/>
              <w:left w:val="nil"/>
              <w:bottom w:val="nil"/>
              <w:right w:val="nil"/>
            </w:tcBorders>
            <w:shd w:val="clear" w:color="auto" w:fill="auto"/>
            <w:noWrap/>
            <w:vAlign w:val="bottom"/>
            <w:hideMark/>
          </w:tcPr>
          <w:p w14:paraId="7AA8BCBB"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0.174**</w:t>
            </w:r>
          </w:p>
        </w:tc>
        <w:tc>
          <w:tcPr>
            <w:tcW w:w="597" w:type="pct"/>
            <w:tcBorders>
              <w:top w:val="nil"/>
              <w:left w:val="nil"/>
              <w:bottom w:val="nil"/>
              <w:right w:val="nil"/>
            </w:tcBorders>
            <w:shd w:val="clear" w:color="auto" w:fill="auto"/>
            <w:noWrap/>
            <w:vAlign w:val="bottom"/>
            <w:hideMark/>
          </w:tcPr>
          <w:p w14:paraId="365D48C5"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0.174**</w:t>
            </w:r>
          </w:p>
        </w:tc>
        <w:tc>
          <w:tcPr>
            <w:tcW w:w="597" w:type="pct"/>
            <w:tcBorders>
              <w:top w:val="nil"/>
              <w:left w:val="nil"/>
              <w:bottom w:val="nil"/>
              <w:right w:val="nil"/>
            </w:tcBorders>
            <w:shd w:val="clear" w:color="auto" w:fill="auto"/>
            <w:noWrap/>
            <w:vAlign w:val="bottom"/>
            <w:hideMark/>
          </w:tcPr>
          <w:p w14:paraId="33BD8AB4"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0.174**</w:t>
            </w:r>
          </w:p>
        </w:tc>
        <w:tc>
          <w:tcPr>
            <w:tcW w:w="597" w:type="pct"/>
            <w:tcBorders>
              <w:top w:val="nil"/>
              <w:left w:val="nil"/>
              <w:bottom w:val="nil"/>
              <w:right w:val="nil"/>
            </w:tcBorders>
            <w:shd w:val="clear" w:color="auto" w:fill="auto"/>
            <w:noWrap/>
            <w:vAlign w:val="bottom"/>
            <w:hideMark/>
          </w:tcPr>
          <w:p w14:paraId="097EECC4"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0.170**</w:t>
            </w:r>
          </w:p>
        </w:tc>
        <w:tc>
          <w:tcPr>
            <w:tcW w:w="681" w:type="pct"/>
            <w:tcBorders>
              <w:top w:val="nil"/>
              <w:left w:val="nil"/>
              <w:bottom w:val="nil"/>
              <w:right w:val="nil"/>
            </w:tcBorders>
            <w:shd w:val="clear" w:color="auto" w:fill="auto"/>
            <w:noWrap/>
            <w:vAlign w:val="bottom"/>
            <w:hideMark/>
          </w:tcPr>
          <w:p w14:paraId="654DD8B8"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0.174**</w:t>
            </w:r>
          </w:p>
        </w:tc>
      </w:tr>
      <w:tr w:rsidR="0070091A" w:rsidRPr="00F72CC4" w14:paraId="39EF577F" w14:textId="77777777" w:rsidTr="0070091A">
        <w:trPr>
          <w:trHeight w:val="276"/>
        </w:trPr>
        <w:tc>
          <w:tcPr>
            <w:tcW w:w="1336" w:type="pct"/>
            <w:tcBorders>
              <w:top w:val="nil"/>
              <w:left w:val="nil"/>
              <w:bottom w:val="nil"/>
              <w:right w:val="nil"/>
            </w:tcBorders>
            <w:shd w:val="clear" w:color="auto" w:fill="auto"/>
            <w:noWrap/>
            <w:vAlign w:val="bottom"/>
            <w:hideMark/>
          </w:tcPr>
          <w:p w14:paraId="242FB6D8" w14:textId="77777777" w:rsidR="0070091A" w:rsidRPr="0070091A" w:rsidRDefault="0070091A" w:rsidP="00EF3B85">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5586303E"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(0.068)</w:t>
            </w:r>
          </w:p>
        </w:tc>
        <w:tc>
          <w:tcPr>
            <w:tcW w:w="597" w:type="pct"/>
            <w:tcBorders>
              <w:top w:val="nil"/>
              <w:left w:val="nil"/>
              <w:bottom w:val="nil"/>
              <w:right w:val="nil"/>
            </w:tcBorders>
            <w:shd w:val="clear" w:color="auto" w:fill="auto"/>
            <w:noWrap/>
            <w:vAlign w:val="bottom"/>
            <w:hideMark/>
          </w:tcPr>
          <w:p w14:paraId="17F5A812"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(0.068)</w:t>
            </w:r>
          </w:p>
        </w:tc>
        <w:tc>
          <w:tcPr>
            <w:tcW w:w="597" w:type="pct"/>
            <w:tcBorders>
              <w:top w:val="nil"/>
              <w:left w:val="nil"/>
              <w:bottom w:val="nil"/>
              <w:right w:val="nil"/>
            </w:tcBorders>
            <w:shd w:val="clear" w:color="auto" w:fill="auto"/>
            <w:noWrap/>
            <w:vAlign w:val="bottom"/>
            <w:hideMark/>
          </w:tcPr>
          <w:p w14:paraId="463D8372"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(0.068)</w:t>
            </w:r>
          </w:p>
        </w:tc>
        <w:tc>
          <w:tcPr>
            <w:tcW w:w="597" w:type="pct"/>
            <w:tcBorders>
              <w:top w:val="nil"/>
              <w:left w:val="nil"/>
              <w:bottom w:val="nil"/>
              <w:right w:val="nil"/>
            </w:tcBorders>
            <w:shd w:val="clear" w:color="auto" w:fill="auto"/>
            <w:noWrap/>
            <w:vAlign w:val="bottom"/>
            <w:hideMark/>
          </w:tcPr>
          <w:p w14:paraId="40E87C23"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(0.068)</w:t>
            </w:r>
          </w:p>
        </w:tc>
        <w:tc>
          <w:tcPr>
            <w:tcW w:w="597" w:type="pct"/>
            <w:tcBorders>
              <w:top w:val="nil"/>
              <w:left w:val="nil"/>
              <w:bottom w:val="nil"/>
              <w:right w:val="nil"/>
            </w:tcBorders>
            <w:shd w:val="clear" w:color="auto" w:fill="auto"/>
            <w:noWrap/>
            <w:vAlign w:val="bottom"/>
            <w:hideMark/>
          </w:tcPr>
          <w:p w14:paraId="31EF2EBF"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(0.068)</w:t>
            </w:r>
          </w:p>
        </w:tc>
        <w:tc>
          <w:tcPr>
            <w:tcW w:w="681" w:type="pct"/>
            <w:tcBorders>
              <w:top w:val="nil"/>
              <w:left w:val="nil"/>
              <w:bottom w:val="nil"/>
              <w:right w:val="nil"/>
            </w:tcBorders>
            <w:shd w:val="clear" w:color="auto" w:fill="auto"/>
            <w:noWrap/>
            <w:vAlign w:val="bottom"/>
            <w:hideMark/>
          </w:tcPr>
          <w:p w14:paraId="3FE11BAB"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(0.068)</w:t>
            </w:r>
          </w:p>
        </w:tc>
      </w:tr>
      <w:tr w:rsidR="0070091A" w:rsidRPr="00F72CC4" w14:paraId="61035C10" w14:textId="77777777" w:rsidTr="0070091A">
        <w:trPr>
          <w:trHeight w:val="276"/>
        </w:trPr>
        <w:tc>
          <w:tcPr>
            <w:tcW w:w="1336" w:type="pct"/>
            <w:tcBorders>
              <w:top w:val="nil"/>
              <w:left w:val="nil"/>
              <w:bottom w:val="nil"/>
              <w:right w:val="nil"/>
            </w:tcBorders>
            <w:shd w:val="clear" w:color="auto" w:fill="auto"/>
            <w:noWrap/>
            <w:vAlign w:val="bottom"/>
            <w:hideMark/>
          </w:tcPr>
          <w:p w14:paraId="2DFC7DF4" w14:textId="77777777" w:rsidR="0070091A" w:rsidRPr="0070091A" w:rsidRDefault="0070091A" w:rsidP="00EF3B85">
            <w:pPr>
              <w:widowControl/>
              <w:jc w:val="left"/>
              <w:rPr>
                <w:rFonts w:ascii="Times New Roman" w:eastAsia="宋体" w:hAnsi="Times New Roman" w:cs="Times New Roman"/>
                <w:kern w:val="0"/>
                <w:sz w:val="22"/>
              </w:rPr>
            </w:pPr>
            <w:proofErr w:type="spellStart"/>
            <w:r w:rsidRPr="00F72CC4">
              <w:rPr>
                <w:rFonts w:ascii="Times New Roman" w:eastAsia="等线" w:hAnsi="Times New Roman" w:cs="Times New Roman"/>
                <w:i/>
                <w:color w:val="000000"/>
                <w:kern w:val="0"/>
                <w:sz w:val="22"/>
              </w:rPr>
              <w:t>SignUNPRI</w:t>
            </w:r>
            <w:proofErr w:type="spellEnd"/>
            <w:r w:rsidRPr="00F72CC4">
              <w:rPr>
                <w:rFonts w:ascii="Times New Roman" w:eastAsia="等线" w:hAnsi="Times New Roman" w:cs="Times New Roman"/>
                <w:i/>
                <w:color w:val="000000"/>
                <w:kern w:val="0"/>
                <w:sz w:val="22"/>
              </w:rPr>
              <w:t>*Male</w:t>
            </w:r>
          </w:p>
        </w:tc>
        <w:tc>
          <w:tcPr>
            <w:tcW w:w="597" w:type="pct"/>
            <w:tcBorders>
              <w:top w:val="nil"/>
              <w:left w:val="nil"/>
              <w:bottom w:val="nil"/>
              <w:right w:val="nil"/>
            </w:tcBorders>
            <w:shd w:val="clear" w:color="auto" w:fill="auto"/>
            <w:noWrap/>
            <w:vAlign w:val="bottom"/>
            <w:hideMark/>
          </w:tcPr>
          <w:p w14:paraId="4A78B2D0"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-3.025***</w:t>
            </w:r>
          </w:p>
        </w:tc>
        <w:tc>
          <w:tcPr>
            <w:tcW w:w="597" w:type="pct"/>
            <w:tcBorders>
              <w:top w:val="nil"/>
              <w:left w:val="nil"/>
              <w:bottom w:val="nil"/>
              <w:right w:val="nil"/>
            </w:tcBorders>
            <w:shd w:val="clear" w:color="auto" w:fill="auto"/>
            <w:noWrap/>
            <w:vAlign w:val="bottom"/>
            <w:hideMark/>
          </w:tcPr>
          <w:p w14:paraId="13709FBF"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-3.023***</w:t>
            </w:r>
          </w:p>
        </w:tc>
        <w:tc>
          <w:tcPr>
            <w:tcW w:w="597" w:type="pct"/>
            <w:tcBorders>
              <w:top w:val="nil"/>
              <w:left w:val="nil"/>
              <w:bottom w:val="nil"/>
              <w:right w:val="nil"/>
            </w:tcBorders>
            <w:shd w:val="clear" w:color="auto" w:fill="auto"/>
            <w:noWrap/>
            <w:vAlign w:val="bottom"/>
            <w:hideMark/>
          </w:tcPr>
          <w:p w14:paraId="62AD0F1E"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-2.994***</w:t>
            </w:r>
          </w:p>
        </w:tc>
        <w:tc>
          <w:tcPr>
            <w:tcW w:w="597" w:type="pct"/>
            <w:tcBorders>
              <w:top w:val="nil"/>
              <w:left w:val="nil"/>
              <w:bottom w:val="nil"/>
              <w:right w:val="nil"/>
            </w:tcBorders>
            <w:shd w:val="clear" w:color="auto" w:fill="auto"/>
            <w:noWrap/>
            <w:vAlign w:val="bottom"/>
            <w:hideMark/>
          </w:tcPr>
          <w:p w14:paraId="2429DC99"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-3.031***</w:t>
            </w:r>
          </w:p>
        </w:tc>
        <w:tc>
          <w:tcPr>
            <w:tcW w:w="597" w:type="pct"/>
            <w:tcBorders>
              <w:top w:val="nil"/>
              <w:left w:val="nil"/>
              <w:bottom w:val="nil"/>
              <w:right w:val="nil"/>
            </w:tcBorders>
            <w:shd w:val="clear" w:color="auto" w:fill="auto"/>
            <w:noWrap/>
            <w:vAlign w:val="bottom"/>
            <w:hideMark/>
          </w:tcPr>
          <w:p w14:paraId="7500A63B"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-3.029***</w:t>
            </w:r>
          </w:p>
        </w:tc>
        <w:tc>
          <w:tcPr>
            <w:tcW w:w="681" w:type="pct"/>
            <w:tcBorders>
              <w:top w:val="nil"/>
              <w:left w:val="nil"/>
              <w:bottom w:val="nil"/>
              <w:right w:val="nil"/>
            </w:tcBorders>
            <w:shd w:val="clear" w:color="auto" w:fill="auto"/>
            <w:noWrap/>
            <w:vAlign w:val="bottom"/>
            <w:hideMark/>
          </w:tcPr>
          <w:p w14:paraId="34F61EAB"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-3.013***</w:t>
            </w:r>
          </w:p>
        </w:tc>
      </w:tr>
      <w:tr w:rsidR="0070091A" w:rsidRPr="00F72CC4" w14:paraId="7DC900A5" w14:textId="77777777" w:rsidTr="0070091A">
        <w:trPr>
          <w:trHeight w:val="276"/>
        </w:trPr>
        <w:tc>
          <w:tcPr>
            <w:tcW w:w="1336" w:type="pct"/>
            <w:tcBorders>
              <w:top w:val="nil"/>
              <w:left w:val="nil"/>
              <w:bottom w:val="nil"/>
              <w:right w:val="nil"/>
            </w:tcBorders>
            <w:shd w:val="clear" w:color="auto" w:fill="auto"/>
            <w:noWrap/>
            <w:vAlign w:val="bottom"/>
            <w:hideMark/>
          </w:tcPr>
          <w:p w14:paraId="58EFB8C3" w14:textId="77777777" w:rsidR="0070091A" w:rsidRPr="0070091A" w:rsidRDefault="0070091A" w:rsidP="00EF3B85">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7F9000B4"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(0.339)</w:t>
            </w:r>
          </w:p>
        </w:tc>
        <w:tc>
          <w:tcPr>
            <w:tcW w:w="597" w:type="pct"/>
            <w:tcBorders>
              <w:top w:val="nil"/>
              <w:left w:val="nil"/>
              <w:bottom w:val="nil"/>
              <w:right w:val="nil"/>
            </w:tcBorders>
            <w:shd w:val="clear" w:color="auto" w:fill="auto"/>
            <w:noWrap/>
            <w:vAlign w:val="bottom"/>
            <w:hideMark/>
          </w:tcPr>
          <w:p w14:paraId="527800DC"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(0.339)</w:t>
            </w:r>
          </w:p>
        </w:tc>
        <w:tc>
          <w:tcPr>
            <w:tcW w:w="597" w:type="pct"/>
            <w:tcBorders>
              <w:top w:val="nil"/>
              <w:left w:val="nil"/>
              <w:bottom w:val="nil"/>
              <w:right w:val="nil"/>
            </w:tcBorders>
            <w:shd w:val="clear" w:color="auto" w:fill="auto"/>
            <w:noWrap/>
            <w:vAlign w:val="bottom"/>
            <w:hideMark/>
          </w:tcPr>
          <w:p w14:paraId="60C5E158"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(0.338)</w:t>
            </w:r>
          </w:p>
        </w:tc>
        <w:tc>
          <w:tcPr>
            <w:tcW w:w="597" w:type="pct"/>
            <w:tcBorders>
              <w:top w:val="nil"/>
              <w:left w:val="nil"/>
              <w:bottom w:val="nil"/>
              <w:right w:val="nil"/>
            </w:tcBorders>
            <w:shd w:val="clear" w:color="auto" w:fill="auto"/>
            <w:noWrap/>
            <w:vAlign w:val="bottom"/>
            <w:hideMark/>
          </w:tcPr>
          <w:p w14:paraId="2262DC9D"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(0.340)</w:t>
            </w:r>
          </w:p>
        </w:tc>
        <w:tc>
          <w:tcPr>
            <w:tcW w:w="597" w:type="pct"/>
            <w:tcBorders>
              <w:top w:val="nil"/>
              <w:left w:val="nil"/>
              <w:bottom w:val="nil"/>
              <w:right w:val="nil"/>
            </w:tcBorders>
            <w:shd w:val="clear" w:color="auto" w:fill="auto"/>
            <w:noWrap/>
            <w:vAlign w:val="bottom"/>
            <w:hideMark/>
          </w:tcPr>
          <w:p w14:paraId="45B63F3D"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(0.336)</w:t>
            </w:r>
          </w:p>
        </w:tc>
        <w:tc>
          <w:tcPr>
            <w:tcW w:w="681" w:type="pct"/>
            <w:tcBorders>
              <w:top w:val="nil"/>
              <w:left w:val="nil"/>
              <w:bottom w:val="nil"/>
              <w:right w:val="nil"/>
            </w:tcBorders>
            <w:shd w:val="clear" w:color="auto" w:fill="auto"/>
            <w:noWrap/>
            <w:vAlign w:val="bottom"/>
            <w:hideMark/>
          </w:tcPr>
          <w:p w14:paraId="7BA4D695"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(0.338)</w:t>
            </w:r>
          </w:p>
        </w:tc>
      </w:tr>
      <w:tr w:rsidR="0070091A" w:rsidRPr="00F72CC4" w14:paraId="2C0498D3" w14:textId="77777777" w:rsidTr="0070091A">
        <w:trPr>
          <w:trHeight w:val="276"/>
        </w:trPr>
        <w:tc>
          <w:tcPr>
            <w:tcW w:w="1336" w:type="pct"/>
            <w:tcBorders>
              <w:top w:val="nil"/>
              <w:left w:val="nil"/>
              <w:bottom w:val="nil"/>
              <w:right w:val="nil"/>
            </w:tcBorders>
            <w:shd w:val="clear" w:color="auto" w:fill="auto"/>
            <w:noWrap/>
            <w:vAlign w:val="bottom"/>
            <w:hideMark/>
          </w:tcPr>
          <w:p w14:paraId="232AB726" w14:textId="4A2B2498" w:rsidR="0070091A" w:rsidRPr="0070091A" w:rsidRDefault="0070091A" w:rsidP="0070091A">
            <w:pPr>
              <w:widowControl/>
              <w:jc w:val="left"/>
              <w:rPr>
                <w:rFonts w:ascii="Times New Roman" w:eastAsia="宋体" w:hAnsi="Times New Roman" w:cs="Times New Roman"/>
                <w:kern w:val="0"/>
                <w:sz w:val="22"/>
              </w:rPr>
            </w:pPr>
            <w:proofErr w:type="spellStart"/>
            <w:r w:rsidRPr="00F72CC4">
              <w:rPr>
                <w:rFonts w:ascii="Times New Roman" w:eastAsia="等线" w:hAnsi="Times New Roman" w:cs="Times New Roman"/>
                <w:i/>
                <w:color w:val="000000"/>
                <w:kern w:val="0"/>
                <w:sz w:val="22"/>
              </w:rPr>
              <w:t>SignUNPRI</w:t>
            </w:r>
            <w:proofErr w:type="spellEnd"/>
            <w:r w:rsidRPr="00F72CC4">
              <w:rPr>
                <w:rFonts w:ascii="Times New Roman" w:eastAsia="等线" w:hAnsi="Times New Roman" w:cs="Times New Roman"/>
                <w:i/>
                <w:color w:val="000000"/>
                <w:kern w:val="0"/>
                <w:sz w:val="22"/>
              </w:rPr>
              <w:t>*Male</w:t>
            </w:r>
          </w:p>
        </w:tc>
        <w:tc>
          <w:tcPr>
            <w:tcW w:w="597" w:type="pct"/>
            <w:tcBorders>
              <w:top w:val="nil"/>
              <w:left w:val="nil"/>
              <w:bottom w:val="nil"/>
              <w:right w:val="nil"/>
            </w:tcBorders>
            <w:shd w:val="clear" w:color="auto" w:fill="auto"/>
            <w:noWrap/>
            <w:vAlign w:val="bottom"/>
            <w:hideMark/>
          </w:tcPr>
          <w:p w14:paraId="38C0F45D" w14:textId="77777777" w:rsidR="0070091A" w:rsidRPr="0070091A" w:rsidRDefault="0070091A" w:rsidP="0070091A">
            <w:pPr>
              <w:widowControl/>
              <w:jc w:val="left"/>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5D6B592B"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-0.032</w:t>
            </w:r>
          </w:p>
        </w:tc>
        <w:tc>
          <w:tcPr>
            <w:tcW w:w="597" w:type="pct"/>
            <w:tcBorders>
              <w:top w:val="nil"/>
              <w:left w:val="nil"/>
              <w:bottom w:val="nil"/>
              <w:right w:val="nil"/>
            </w:tcBorders>
            <w:shd w:val="clear" w:color="auto" w:fill="auto"/>
            <w:noWrap/>
            <w:vAlign w:val="bottom"/>
            <w:hideMark/>
          </w:tcPr>
          <w:p w14:paraId="7A48A819" w14:textId="77777777" w:rsidR="0070091A" w:rsidRPr="0070091A" w:rsidRDefault="0070091A" w:rsidP="0070091A">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5065D359"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6D69D85E"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681" w:type="pct"/>
            <w:tcBorders>
              <w:top w:val="nil"/>
              <w:left w:val="nil"/>
              <w:bottom w:val="nil"/>
              <w:right w:val="nil"/>
            </w:tcBorders>
            <w:shd w:val="clear" w:color="auto" w:fill="auto"/>
            <w:noWrap/>
            <w:vAlign w:val="bottom"/>
            <w:hideMark/>
          </w:tcPr>
          <w:p w14:paraId="109E8297" w14:textId="77777777" w:rsidR="0070091A" w:rsidRPr="0070091A" w:rsidRDefault="0070091A" w:rsidP="0070091A">
            <w:pPr>
              <w:widowControl/>
              <w:jc w:val="center"/>
              <w:rPr>
                <w:rFonts w:ascii="Times New Roman" w:eastAsia="Times New Roman" w:hAnsi="Times New Roman" w:cs="Times New Roman"/>
                <w:kern w:val="0"/>
                <w:sz w:val="22"/>
              </w:rPr>
            </w:pPr>
          </w:p>
        </w:tc>
      </w:tr>
      <w:tr w:rsidR="0070091A" w:rsidRPr="00F72CC4" w14:paraId="6AE77F5B" w14:textId="77777777" w:rsidTr="0070091A">
        <w:trPr>
          <w:trHeight w:val="276"/>
        </w:trPr>
        <w:tc>
          <w:tcPr>
            <w:tcW w:w="1336" w:type="pct"/>
            <w:tcBorders>
              <w:top w:val="nil"/>
              <w:left w:val="nil"/>
              <w:bottom w:val="nil"/>
              <w:right w:val="nil"/>
            </w:tcBorders>
            <w:shd w:val="clear" w:color="auto" w:fill="auto"/>
            <w:noWrap/>
            <w:vAlign w:val="bottom"/>
            <w:hideMark/>
          </w:tcPr>
          <w:p w14:paraId="47679272"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6B69F74D" w14:textId="77777777" w:rsidR="0070091A" w:rsidRPr="0070091A" w:rsidRDefault="0070091A" w:rsidP="0070091A">
            <w:pPr>
              <w:widowControl/>
              <w:jc w:val="left"/>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5B4147A5"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(0.199)</w:t>
            </w:r>
          </w:p>
        </w:tc>
        <w:tc>
          <w:tcPr>
            <w:tcW w:w="597" w:type="pct"/>
            <w:tcBorders>
              <w:top w:val="nil"/>
              <w:left w:val="nil"/>
              <w:bottom w:val="nil"/>
              <w:right w:val="nil"/>
            </w:tcBorders>
            <w:shd w:val="clear" w:color="auto" w:fill="auto"/>
            <w:noWrap/>
            <w:vAlign w:val="bottom"/>
            <w:hideMark/>
          </w:tcPr>
          <w:p w14:paraId="72667CC0" w14:textId="77777777" w:rsidR="0070091A" w:rsidRPr="0070091A" w:rsidRDefault="0070091A" w:rsidP="0070091A">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60CCBC99"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296C1452"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681" w:type="pct"/>
            <w:tcBorders>
              <w:top w:val="nil"/>
              <w:left w:val="nil"/>
              <w:bottom w:val="nil"/>
              <w:right w:val="nil"/>
            </w:tcBorders>
            <w:shd w:val="clear" w:color="auto" w:fill="auto"/>
            <w:noWrap/>
            <w:vAlign w:val="bottom"/>
            <w:hideMark/>
          </w:tcPr>
          <w:p w14:paraId="3254665B" w14:textId="77777777" w:rsidR="0070091A" w:rsidRPr="0070091A" w:rsidRDefault="0070091A" w:rsidP="0070091A">
            <w:pPr>
              <w:widowControl/>
              <w:jc w:val="center"/>
              <w:rPr>
                <w:rFonts w:ascii="Times New Roman" w:eastAsia="Times New Roman" w:hAnsi="Times New Roman" w:cs="Times New Roman"/>
                <w:kern w:val="0"/>
                <w:sz w:val="22"/>
              </w:rPr>
            </w:pPr>
          </w:p>
        </w:tc>
      </w:tr>
      <w:tr w:rsidR="0070091A" w:rsidRPr="00F72CC4" w14:paraId="74543E46" w14:textId="77777777" w:rsidTr="0070091A">
        <w:trPr>
          <w:trHeight w:val="276"/>
        </w:trPr>
        <w:tc>
          <w:tcPr>
            <w:tcW w:w="1336" w:type="pct"/>
            <w:tcBorders>
              <w:top w:val="nil"/>
              <w:left w:val="nil"/>
              <w:bottom w:val="nil"/>
              <w:right w:val="nil"/>
            </w:tcBorders>
            <w:shd w:val="clear" w:color="auto" w:fill="auto"/>
            <w:noWrap/>
            <w:vAlign w:val="bottom"/>
            <w:hideMark/>
          </w:tcPr>
          <w:p w14:paraId="4E0DBF24" w14:textId="325CB1FE" w:rsidR="0070091A" w:rsidRPr="0070091A" w:rsidRDefault="0070091A" w:rsidP="0070091A">
            <w:pPr>
              <w:widowControl/>
              <w:jc w:val="left"/>
              <w:rPr>
                <w:rFonts w:ascii="Times New Roman" w:eastAsia="宋体" w:hAnsi="Times New Roman" w:cs="Times New Roman"/>
                <w:kern w:val="0"/>
                <w:sz w:val="22"/>
              </w:rPr>
            </w:pPr>
            <w:proofErr w:type="spellStart"/>
            <w:r w:rsidRPr="00F72CC4">
              <w:rPr>
                <w:rFonts w:ascii="Times New Roman" w:eastAsia="等线" w:hAnsi="Times New Roman" w:cs="Times New Roman"/>
                <w:i/>
                <w:color w:val="000000"/>
                <w:kern w:val="0"/>
                <w:sz w:val="22"/>
              </w:rPr>
              <w:t>SignUNPRI</w:t>
            </w:r>
            <w:proofErr w:type="spellEnd"/>
            <w:r w:rsidRPr="00F72CC4">
              <w:rPr>
                <w:rFonts w:ascii="Times New Roman" w:eastAsia="等线" w:hAnsi="Times New Roman" w:cs="Times New Roman"/>
                <w:i/>
                <w:color w:val="000000"/>
                <w:kern w:val="0"/>
                <w:sz w:val="22"/>
              </w:rPr>
              <w:t>*</w:t>
            </w:r>
            <w:proofErr w:type="spellStart"/>
            <w:r w:rsidRPr="00F72CC4">
              <w:rPr>
                <w:rFonts w:ascii="Times New Roman" w:eastAsia="等线" w:hAnsi="Times New Roman" w:cs="Times New Roman"/>
                <w:i/>
                <w:color w:val="000000"/>
                <w:kern w:val="0"/>
                <w:sz w:val="22"/>
              </w:rPr>
              <w:t>HighIncome</w:t>
            </w:r>
            <w:proofErr w:type="spellEnd"/>
          </w:p>
        </w:tc>
        <w:tc>
          <w:tcPr>
            <w:tcW w:w="597" w:type="pct"/>
            <w:tcBorders>
              <w:top w:val="nil"/>
              <w:left w:val="nil"/>
              <w:bottom w:val="nil"/>
              <w:right w:val="nil"/>
            </w:tcBorders>
            <w:shd w:val="clear" w:color="auto" w:fill="auto"/>
            <w:noWrap/>
            <w:vAlign w:val="bottom"/>
            <w:hideMark/>
          </w:tcPr>
          <w:p w14:paraId="006AB64D" w14:textId="77777777" w:rsidR="0070091A" w:rsidRPr="0070091A" w:rsidRDefault="0070091A" w:rsidP="0070091A">
            <w:pPr>
              <w:widowControl/>
              <w:jc w:val="left"/>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18E062DE"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733DAFA5"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0.276</w:t>
            </w:r>
          </w:p>
        </w:tc>
        <w:tc>
          <w:tcPr>
            <w:tcW w:w="597" w:type="pct"/>
            <w:tcBorders>
              <w:top w:val="nil"/>
              <w:left w:val="nil"/>
              <w:bottom w:val="nil"/>
              <w:right w:val="nil"/>
            </w:tcBorders>
            <w:shd w:val="clear" w:color="auto" w:fill="auto"/>
            <w:noWrap/>
            <w:vAlign w:val="bottom"/>
            <w:hideMark/>
          </w:tcPr>
          <w:p w14:paraId="20883FD9" w14:textId="77777777" w:rsidR="0070091A" w:rsidRPr="0070091A" w:rsidRDefault="0070091A" w:rsidP="0070091A">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26061D1C"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681" w:type="pct"/>
            <w:tcBorders>
              <w:top w:val="nil"/>
              <w:left w:val="nil"/>
              <w:bottom w:val="nil"/>
              <w:right w:val="nil"/>
            </w:tcBorders>
            <w:shd w:val="clear" w:color="auto" w:fill="auto"/>
            <w:noWrap/>
            <w:vAlign w:val="bottom"/>
            <w:hideMark/>
          </w:tcPr>
          <w:p w14:paraId="53977444" w14:textId="77777777" w:rsidR="0070091A" w:rsidRPr="0070091A" w:rsidRDefault="0070091A" w:rsidP="0070091A">
            <w:pPr>
              <w:widowControl/>
              <w:jc w:val="center"/>
              <w:rPr>
                <w:rFonts w:ascii="Times New Roman" w:eastAsia="Times New Roman" w:hAnsi="Times New Roman" w:cs="Times New Roman"/>
                <w:kern w:val="0"/>
                <w:sz w:val="22"/>
              </w:rPr>
            </w:pPr>
          </w:p>
        </w:tc>
      </w:tr>
      <w:tr w:rsidR="0070091A" w:rsidRPr="00F72CC4" w14:paraId="21152397" w14:textId="77777777" w:rsidTr="0070091A">
        <w:trPr>
          <w:trHeight w:val="276"/>
        </w:trPr>
        <w:tc>
          <w:tcPr>
            <w:tcW w:w="1336" w:type="pct"/>
            <w:tcBorders>
              <w:top w:val="nil"/>
              <w:left w:val="nil"/>
              <w:bottom w:val="nil"/>
              <w:right w:val="nil"/>
            </w:tcBorders>
            <w:shd w:val="clear" w:color="auto" w:fill="auto"/>
            <w:noWrap/>
            <w:vAlign w:val="bottom"/>
            <w:hideMark/>
          </w:tcPr>
          <w:p w14:paraId="5EE60102"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38C1940D" w14:textId="77777777" w:rsidR="0070091A" w:rsidRPr="0070091A" w:rsidRDefault="0070091A" w:rsidP="0070091A">
            <w:pPr>
              <w:widowControl/>
              <w:jc w:val="left"/>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755986E5"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0698E6AC"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(0.201)</w:t>
            </w:r>
          </w:p>
        </w:tc>
        <w:tc>
          <w:tcPr>
            <w:tcW w:w="597" w:type="pct"/>
            <w:tcBorders>
              <w:top w:val="nil"/>
              <w:left w:val="nil"/>
              <w:bottom w:val="nil"/>
              <w:right w:val="nil"/>
            </w:tcBorders>
            <w:shd w:val="clear" w:color="auto" w:fill="auto"/>
            <w:noWrap/>
            <w:vAlign w:val="bottom"/>
            <w:hideMark/>
          </w:tcPr>
          <w:p w14:paraId="32D6021E" w14:textId="77777777" w:rsidR="0070091A" w:rsidRPr="0070091A" w:rsidRDefault="0070091A" w:rsidP="0070091A">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571C0420"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681" w:type="pct"/>
            <w:tcBorders>
              <w:top w:val="nil"/>
              <w:left w:val="nil"/>
              <w:bottom w:val="nil"/>
              <w:right w:val="nil"/>
            </w:tcBorders>
            <w:shd w:val="clear" w:color="auto" w:fill="auto"/>
            <w:noWrap/>
            <w:vAlign w:val="bottom"/>
            <w:hideMark/>
          </w:tcPr>
          <w:p w14:paraId="68D7278C" w14:textId="77777777" w:rsidR="0070091A" w:rsidRPr="0070091A" w:rsidRDefault="0070091A" w:rsidP="0070091A">
            <w:pPr>
              <w:widowControl/>
              <w:jc w:val="center"/>
              <w:rPr>
                <w:rFonts w:ascii="Times New Roman" w:eastAsia="Times New Roman" w:hAnsi="Times New Roman" w:cs="Times New Roman"/>
                <w:kern w:val="0"/>
                <w:sz w:val="22"/>
              </w:rPr>
            </w:pPr>
          </w:p>
        </w:tc>
      </w:tr>
      <w:tr w:rsidR="0070091A" w:rsidRPr="00F72CC4" w14:paraId="22AC6C88" w14:textId="77777777" w:rsidTr="0070091A">
        <w:trPr>
          <w:trHeight w:val="276"/>
        </w:trPr>
        <w:tc>
          <w:tcPr>
            <w:tcW w:w="1336" w:type="pct"/>
            <w:tcBorders>
              <w:top w:val="nil"/>
              <w:left w:val="nil"/>
              <w:bottom w:val="nil"/>
              <w:right w:val="nil"/>
            </w:tcBorders>
            <w:shd w:val="clear" w:color="auto" w:fill="auto"/>
            <w:noWrap/>
            <w:vAlign w:val="bottom"/>
            <w:hideMark/>
          </w:tcPr>
          <w:p w14:paraId="430329C1" w14:textId="1313ACF8" w:rsidR="0070091A" w:rsidRPr="0070091A" w:rsidRDefault="0070091A" w:rsidP="0070091A">
            <w:pPr>
              <w:widowControl/>
              <w:jc w:val="left"/>
              <w:rPr>
                <w:rFonts w:ascii="Times New Roman" w:eastAsia="宋体" w:hAnsi="Times New Roman" w:cs="Times New Roman"/>
                <w:kern w:val="0"/>
                <w:sz w:val="22"/>
              </w:rPr>
            </w:pPr>
            <w:proofErr w:type="spellStart"/>
            <w:r w:rsidRPr="00F72CC4">
              <w:rPr>
                <w:rFonts w:ascii="Times New Roman" w:eastAsia="等线" w:hAnsi="Times New Roman" w:cs="Times New Roman"/>
                <w:i/>
                <w:color w:val="000000"/>
                <w:kern w:val="0"/>
                <w:sz w:val="22"/>
              </w:rPr>
              <w:t>SignUNPRI</w:t>
            </w:r>
            <w:proofErr w:type="spellEnd"/>
            <w:r w:rsidRPr="00F72CC4">
              <w:rPr>
                <w:rFonts w:ascii="Times New Roman" w:eastAsia="等线" w:hAnsi="Times New Roman" w:cs="Times New Roman"/>
                <w:i/>
                <w:color w:val="000000"/>
                <w:kern w:val="0"/>
                <w:sz w:val="22"/>
              </w:rPr>
              <w:t>*</w:t>
            </w:r>
            <w:proofErr w:type="spellStart"/>
            <w:r w:rsidRPr="00F72CC4">
              <w:rPr>
                <w:rFonts w:ascii="Times New Roman" w:eastAsia="等线" w:hAnsi="Times New Roman" w:cs="Times New Roman"/>
                <w:i/>
                <w:color w:val="000000"/>
                <w:kern w:val="0"/>
                <w:sz w:val="22"/>
              </w:rPr>
              <w:t>HighRisk</w:t>
            </w:r>
            <w:proofErr w:type="spellEnd"/>
          </w:p>
        </w:tc>
        <w:tc>
          <w:tcPr>
            <w:tcW w:w="597" w:type="pct"/>
            <w:tcBorders>
              <w:top w:val="nil"/>
              <w:left w:val="nil"/>
              <w:bottom w:val="nil"/>
              <w:right w:val="nil"/>
            </w:tcBorders>
            <w:shd w:val="clear" w:color="auto" w:fill="auto"/>
            <w:noWrap/>
            <w:vAlign w:val="bottom"/>
            <w:hideMark/>
          </w:tcPr>
          <w:p w14:paraId="6B65990B" w14:textId="77777777" w:rsidR="0070091A" w:rsidRPr="0070091A" w:rsidRDefault="0070091A" w:rsidP="0070091A">
            <w:pPr>
              <w:widowControl/>
              <w:jc w:val="left"/>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33AD2339"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142D0EA9"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1F9831C7"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-0.104</w:t>
            </w:r>
          </w:p>
        </w:tc>
        <w:tc>
          <w:tcPr>
            <w:tcW w:w="597" w:type="pct"/>
            <w:tcBorders>
              <w:top w:val="nil"/>
              <w:left w:val="nil"/>
              <w:bottom w:val="nil"/>
              <w:right w:val="nil"/>
            </w:tcBorders>
            <w:shd w:val="clear" w:color="auto" w:fill="auto"/>
            <w:noWrap/>
            <w:vAlign w:val="bottom"/>
            <w:hideMark/>
          </w:tcPr>
          <w:p w14:paraId="2CBA649A" w14:textId="77777777" w:rsidR="0070091A" w:rsidRPr="0070091A" w:rsidRDefault="0070091A" w:rsidP="0070091A">
            <w:pPr>
              <w:widowControl/>
              <w:jc w:val="center"/>
              <w:rPr>
                <w:rFonts w:ascii="Times New Roman" w:eastAsia="宋体" w:hAnsi="Times New Roman" w:cs="Times New Roman"/>
                <w:kern w:val="0"/>
                <w:sz w:val="22"/>
              </w:rPr>
            </w:pPr>
          </w:p>
        </w:tc>
        <w:tc>
          <w:tcPr>
            <w:tcW w:w="681" w:type="pct"/>
            <w:tcBorders>
              <w:top w:val="nil"/>
              <w:left w:val="nil"/>
              <w:bottom w:val="nil"/>
              <w:right w:val="nil"/>
            </w:tcBorders>
            <w:shd w:val="clear" w:color="auto" w:fill="auto"/>
            <w:noWrap/>
            <w:vAlign w:val="bottom"/>
            <w:hideMark/>
          </w:tcPr>
          <w:p w14:paraId="05B24276" w14:textId="77777777" w:rsidR="0070091A" w:rsidRPr="0070091A" w:rsidRDefault="0070091A" w:rsidP="0070091A">
            <w:pPr>
              <w:widowControl/>
              <w:jc w:val="center"/>
              <w:rPr>
                <w:rFonts w:ascii="Times New Roman" w:eastAsia="Times New Roman" w:hAnsi="Times New Roman" w:cs="Times New Roman"/>
                <w:kern w:val="0"/>
                <w:sz w:val="22"/>
              </w:rPr>
            </w:pPr>
          </w:p>
        </w:tc>
      </w:tr>
      <w:tr w:rsidR="0070091A" w:rsidRPr="00F72CC4" w14:paraId="7B54FC19" w14:textId="77777777" w:rsidTr="0070091A">
        <w:trPr>
          <w:trHeight w:val="276"/>
        </w:trPr>
        <w:tc>
          <w:tcPr>
            <w:tcW w:w="1336" w:type="pct"/>
            <w:tcBorders>
              <w:top w:val="nil"/>
              <w:left w:val="nil"/>
              <w:bottom w:val="nil"/>
              <w:right w:val="nil"/>
            </w:tcBorders>
            <w:shd w:val="clear" w:color="auto" w:fill="auto"/>
            <w:noWrap/>
            <w:vAlign w:val="bottom"/>
            <w:hideMark/>
          </w:tcPr>
          <w:p w14:paraId="4BCC51B5"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78675E59" w14:textId="77777777" w:rsidR="0070091A" w:rsidRPr="0070091A" w:rsidRDefault="0070091A" w:rsidP="0070091A">
            <w:pPr>
              <w:widowControl/>
              <w:jc w:val="left"/>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309B751E"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56E8D23E"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3CD68644"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(0.214)</w:t>
            </w:r>
          </w:p>
        </w:tc>
        <w:tc>
          <w:tcPr>
            <w:tcW w:w="597" w:type="pct"/>
            <w:tcBorders>
              <w:top w:val="nil"/>
              <w:left w:val="nil"/>
              <w:bottom w:val="nil"/>
              <w:right w:val="nil"/>
            </w:tcBorders>
            <w:shd w:val="clear" w:color="auto" w:fill="auto"/>
            <w:noWrap/>
            <w:vAlign w:val="bottom"/>
            <w:hideMark/>
          </w:tcPr>
          <w:p w14:paraId="0CE9AE35" w14:textId="77777777" w:rsidR="0070091A" w:rsidRPr="0070091A" w:rsidRDefault="0070091A" w:rsidP="0070091A">
            <w:pPr>
              <w:widowControl/>
              <w:jc w:val="center"/>
              <w:rPr>
                <w:rFonts w:ascii="Times New Roman" w:eastAsia="宋体" w:hAnsi="Times New Roman" w:cs="Times New Roman"/>
                <w:kern w:val="0"/>
                <w:sz w:val="22"/>
              </w:rPr>
            </w:pPr>
          </w:p>
        </w:tc>
        <w:tc>
          <w:tcPr>
            <w:tcW w:w="681" w:type="pct"/>
            <w:tcBorders>
              <w:top w:val="nil"/>
              <w:left w:val="nil"/>
              <w:bottom w:val="nil"/>
              <w:right w:val="nil"/>
            </w:tcBorders>
            <w:shd w:val="clear" w:color="auto" w:fill="auto"/>
            <w:noWrap/>
            <w:vAlign w:val="bottom"/>
            <w:hideMark/>
          </w:tcPr>
          <w:p w14:paraId="7BCCD003" w14:textId="77777777" w:rsidR="0070091A" w:rsidRPr="0070091A" w:rsidRDefault="0070091A" w:rsidP="0070091A">
            <w:pPr>
              <w:widowControl/>
              <w:jc w:val="center"/>
              <w:rPr>
                <w:rFonts w:ascii="Times New Roman" w:eastAsia="Times New Roman" w:hAnsi="Times New Roman" w:cs="Times New Roman"/>
                <w:kern w:val="0"/>
                <w:sz w:val="22"/>
              </w:rPr>
            </w:pPr>
          </w:p>
        </w:tc>
      </w:tr>
      <w:tr w:rsidR="0070091A" w:rsidRPr="00F72CC4" w14:paraId="50EC763D" w14:textId="77777777" w:rsidTr="0070091A">
        <w:trPr>
          <w:trHeight w:val="276"/>
        </w:trPr>
        <w:tc>
          <w:tcPr>
            <w:tcW w:w="1336" w:type="pct"/>
            <w:tcBorders>
              <w:top w:val="nil"/>
              <w:left w:val="nil"/>
              <w:bottom w:val="nil"/>
              <w:right w:val="nil"/>
            </w:tcBorders>
            <w:shd w:val="clear" w:color="auto" w:fill="auto"/>
            <w:noWrap/>
            <w:vAlign w:val="bottom"/>
            <w:hideMark/>
          </w:tcPr>
          <w:p w14:paraId="06583269" w14:textId="7EF6E29E" w:rsidR="0070091A" w:rsidRPr="0070091A" w:rsidRDefault="0070091A" w:rsidP="0070091A">
            <w:pPr>
              <w:widowControl/>
              <w:jc w:val="left"/>
              <w:rPr>
                <w:rFonts w:ascii="Times New Roman" w:eastAsia="宋体" w:hAnsi="Times New Roman" w:cs="Times New Roman"/>
                <w:kern w:val="0"/>
                <w:sz w:val="22"/>
              </w:rPr>
            </w:pPr>
            <w:proofErr w:type="spellStart"/>
            <w:r w:rsidRPr="00F72CC4">
              <w:rPr>
                <w:rFonts w:ascii="Times New Roman" w:eastAsia="等线" w:hAnsi="Times New Roman" w:cs="Times New Roman"/>
                <w:i/>
                <w:color w:val="000000"/>
                <w:kern w:val="0"/>
                <w:sz w:val="22"/>
              </w:rPr>
              <w:t>SignUNPRI</w:t>
            </w:r>
            <w:proofErr w:type="spellEnd"/>
            <w:r w:rsidRPr="00F72CC4">
              <w:rPr>
                <w:rFonts w:ascii="Times New Roman" w:eastAsia="等线" w:hAnsi="Times New Roman" w:cs="Times New Roman"/>
                <w:i/>
                <w:color w:val="000000"/>
                <w:kern w:val="0"/>
                <w:sz w:val="22"/>
              </w:rPr>
              <w:t>*Experience</w:t>
            </w:r>
          </w:p>
        </w:tc>
        <w:tc>
          <w:tcPr>
            <w:tcW w:w="597" w:type="pct"/>
            <w:tcBorders>
              <w:top w:val="nil"/>
              <w:left w:val="nil"/>
              <w:bottom w:val="nil"/>
              <w:right w:val="nil"/>
            </w:tcBorders>
            <w:shd w:val="clear" w:color="auto" w:fill="auto"/>
            <w:noWrap/>
            <w:vAlign w:val="bottom"/>
            <w:hideMark/>
          </w:tcPr>
          <w:p w14:paraId="0092AC35" w14:textId="77777777" w:rsidR="0070091A" w:rsidRPr="0070091A" w:rsidRDefault="0070091A" w:rsidP="0070091A">
            <w:pPr>
              <w:widowControl/>
              <w:jc w:val="left"/>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15E51A5D"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1131229A"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2509317F"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6CBC922A"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0.023</w:t>
            </w:r>
          </w:p>
        </w:tc>
        <w:tc>
          <w:tcPr>
            <w:tcW w:w="681" w:type="pct"/>
            <w:tcBorders>
              <w:top w:val="nil"/>
              <w:left w:val="nil"/>
              <w:bottom w:val="nil"/>
              <w:right w:val="nil"/>
            </w:tcBorders>
            <w:shd w:val="clear" w:color="auto" w:fill="auto"/>
            <w:noWrap/>
            <w:vAlign w:val="bottom"/>
            <w:hideMark/>
          </w:tcPr>
          <w:p w14:paraId="19404038" w14:textId="77777777" w:rsidR="0070091A" w:rsidRPr="0070091A" w:rsidRDefault="0070091A" w:rsidP="0070091A">
            <w:pPr>
              <w:widowControl/>
              <w:jc w:val="center"/>
              <w:rPr>
                <w:rFonts w:ascii="Times New Roman" w:eastAsia="宋体" w:hAnsi="Times New Roman" w:cs="Times New Roman"/>
                <w:kern w:val="0"/>
                <w:sz w:val="22"/>
              </w:rPr>
            </w:pPr>
          </w:p>
        </w:tc>
      </w:tr>
      <w:tr w:rsidR="0070091A" w:rsidRPr="00F72CC4" w14:paraId="561DA169" w14:textId="77777777" w:rsidTr="0070091A">
        <w:trPr>
          <w:trHeight w:val="276"/>
        </w:trPr>
        <w:tc>
          <w:tcPr>
            <w:tcW w:w="1336" w:type="pct"/>
            <w:tcBorders>
              <w:top w:val="nil"/>
              <w:left w:val="nil"/>
              <w:bottom w:val="nil"/>
              <w:right w:val="nil"/>
            </w:tcBorders>
            <w:shd w:val="clear" w:color="auto" w:fill="auto"/>
            <w:noWrap/>
            <w:vAlign w:val="bottom"/>
            <w:hideMark/>
          </w:tcPr>
          <w:p w14:paraId="1A80F075" w14:textId="77777777" w:rsidR="0070091A" w:rsidRPr="0070091A" w:rsidRDefault="0070091A" w:rsidP="00EF3B85">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5F957A5D" w14:textId="77777777" w:rsidR="0070091A" w:rsidRPr="0070091A" w:rsidRDefault="0070091A" w:rsidP="00EF3B85">
            <w:pPr>
              <w:widowControl/>
              <w:jc w:val="left"/>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04843507" w14:textId="77777777" w:rsidR="0070091A" w:rsidRPr="0070091A" w:rsidRDefault="0070091A" w:rsidP="00EF3B85">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5EF30EF4" w14:textId="77777777" w:rsidR="0070091A" w:rsidRPr="0070091A" w:rsidRDefault="0070091A" w:rsidP="00EF3B85">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2D91966F" w14:textId="77777777" w:rsidR="0070091A" w:rsidRPr="0070091A" w:rsidRDefault="0070091A" w:rsidP="00EF3B85">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4544FA77" w14:textId="77777777" w:rsidR="0070091A" w:rsidRPr="0070091A" w:rsidRDefault="0070091A" w:rsidP="00EF3B85">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(0.023)</w:t>
            </w:r>
          </w:p>
        </w:tc>
        <w:tc>
          <w:tcPr>
            <w:tcW w:w="681" w:type="pct"/>
            <w:tcBorders>
              <w:top w:val="nil"/>
              <w:left w:val="nil"/>
              <w:bottom w:val="nil"/>
              <w:right w:val="nil"/>
            </w:tcBorders>
            <w:shd w:val="clear" w:color="auto" w:fill="auto"/>
            <w:noWrap/>
            <w:vAlign w:val="bottom"/>
            <w:hideMark/>
          </w:tcPr>
          <w:p w14:paraId="02496E6B" w14:textId="77777777" w:rsidR="0070091A" w:rsidRPr="0070091A" w:rsidRDefault="0070091A" w:rsidP="00EF3B85">
            <w:pPr>
              <w:widowControl/>
              <w:jc w:val="center"/>
              <w:rPr>
                <w:rFonts w:ascii="Times New Roman" w:eastAsia="宋体" w:hAnsi="Times New Roman" w:cs="Times New Roman"/>
                <w:kern w:val="0"/>
                <w:sz w:val="22"/>
              </w:rPr>
            </w:pPr>
          </w:p>
        </w:tc>
      </w:tr>
      <w:tr w:rsidR="0070091A" w:rsidRPr="00F72CC4" w14:paraId="05039783" w14:textId="77777777" w:rsidTr="0070091A">
        <w:trPr>
          <w:trHeight w:val="276"/>
        </w:trPr>
        <w:tc>
          <w:tcPr>
            <w:tcW w:w="1336" w:type="pct"/>
            <w:tcBorders>
              <w:top w:val="nil"/>
              <w:left w:val="nil"/>
              <w:bottom w:val="nil"/>
              <w:right w:val="nil"/>
            </w:tcBorders>
            <w:shd w:val="clear" w:color="auto" w:fill="auto"/>
            <w:noWrap/>
            <w:vAlign w:val="bottom"/>
            <w:hideMark/>
          </w:tcPr>
          <w:p w14:paraId="49C62F3C" w14:textId="1EB9C538" w:rsidR="0070091A" w:rsidRPr="0070091A" w:rsidRDefault="0070091A" w:rsidP="0070091A">
            <w:pPr>
              <w:widowControl/>
              <w:jc w:val="left"/>
              <w:rPr>
                <w:rFonts w:ascii="Times New Roman" w:eastAsia="宋体" w:hAnsi="Times New Roman" w:cs="Times New Roman"/>
                <w:kern w:val="0"/>
                <w:sz w:val="22"/>
              </w:rPr>
            </w:pPr>
            <w:proofErr w:type="spellStart"/>
            <w:r w:rsidRPr="00F72CC4">
              <w:rPr>
                <w:rFonts w:ascii="Times New Roman" w:eastAsia="等线" w:hAnsi="Times New Roman" w:cs="Times New Roman"/>
                <w:i/>
                <w:color w:val="000000"/>
                <w:kern w:val="0"/>
                <w:sz w:val="22"/>
              </w:rPr>
              <w:t>SignUNPRI</w:t>
            </w:r>
            <w:proofErr w:type="spellEnd"/>
            <w:r w:rsidRPr="00F72CC4">
              <w:rPr>
                <w:rFonts w:ascii="Times New Roman" w:eastAsia="等线" w:hAnsi="Times New Roman" w:cs="Times New Roman"/>
                <w:i/>
                <w:color w:val="000000"/>
                <w:kern w:val="0"/>
                <w:sz w:val="22"/>
              </w:rPr>
              <w:t>*Age</w:t>
            </w:r>
          </w:p>
        </w:tc>
        <w:tc>
          <w:tcPr>
            <w:tcW w:w="597" w:type="pct"/>
            <w:tcBorders>
              <w:top w:val="nil"/>
              <w:left w:val="nil"/>
              <w:bottom w:val="nil"/>
              <w:right w:val="nil"/>
            </w:tcBorders>
            <w:shd w:val="clear" w:color="auto" w:fill="auto"/>
            <w:noWrap/>
            <w:vAlign w:val="bottom"/>
            <w:hideMark/>
          </w:tcPr>
          <w:p w14:paraId="530EE577" w14:textId="77777777" w:rsidR="0070091A" w:rsidRPr="0070091A" w:rsidRDefault="0070091A" w:rsidP="0070091A">
            <w:pPr>
              <w:widowControl/>
              <w:jc w:val="left"/>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7D85E9CF"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15679367"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418E8ACB"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146F6650"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681" w:type="pct"/>
            <w:tcBorders>
              <w:top w:val="nil"/>
              <w:left w:val="nil"/>
              <w:bottom w:val="nil"/>
              <w:right w:val="nil"/>
            </w:tcBorders>
            <w:shd w:val="clear" w:color="auto" w:fill="auto"/>
            <w:noWrap/>
            <w:vAlign w:val="bottom"/>
            <w:hideMark/>
          </w:tcPr>
          <w:p w14:paraId="10B4D95E"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0.027**</w:t>
            </w:r>
          </w:p>
        </w:tc>
      </w:tr>
      <w:tr w:rsidR="0070091A" w:rsidRPr="00F72CC4" w14:paraId="35BC9D70" w14:textId="77777777" w:rsidTr="0070091A">
        <w:trPr>
          <w:trHeight w:val="276"/>
        </w:trPr>
        <w:tc>
          <w:tcPr>
            <w:tcW w:w="1336" w:type="pct"/>
            <w:tcBorders>
              <w:top w:val="nil"/>
              <w:left w:val="nil"/>
              <w:bottom w:val="nil"/>
              <w:right w:val="nil"/>
            </w:tcBorders>
            <w:shd w:val="clear" w:color="auto" w:fill="auto"/>
            <w:noWrap/>
            <w:vAlign w:val="bottom"/>
            <w:hideMark/>
          </w:tcPr>
          <w:p w14:paraId="75D81E14" w14:textId="77777777" w:rsidR="0070091A" w:rsidRPr="0070091A" w:rsidRDefault="0070091A" w:rsidP="0070091A">
            <w:pPr>
              <w:widowControl/>
              <w:jc w:val="center"/>
              <w:rPr>
                <w:rFonts w:ascii="Times New Roman" w:eastAsia="宋体"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7F06ECE2" w14:textId="77777777" w:rsidR="0070091A" w:rsidRPr="0070091A" w:rsidRDefault="0070091A" w:rsidP="0070091A">
            <w:pPr>
              <w:widowControl/>
              <w:jc w:val="left"/>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47BA919D"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5B710315"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19902EAC"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597" w:type="pct"/>
            <w:tcBorders>
              <w:top w:val="nil"/>
              <w:left w:val="nil"/>
              <w:bottom w:val="nil"/>
              <w:right w:val="nil"/>
            </w:tcBorders>
            <w:shd w:val="clear" w:color="auto" w:fill="auto"/>
            <w:noWrap/>
            <w:vAlign w:val="bottom"/>
            <w:hideMark/>
          </w:tcPr>
          <w:p w14:paraId="4B5B417E" w14:textId="77777777" w:rsidR="0070091A" w:rsidRPr="0070091A" w:rsidRDefault="0070091A" w:rsidP="0070091A">
            <w:pPr>
              <w:widowControl/>
              <w:jc w:val="center"/>
              <w:rPr>
                <w:rFonts w:ascii="Times New Roman" w:eastAsia="Times New Roman" w:hAnsi="Times New Roman" w:cs="Times New Roman"/>
                <w:kern w:val="0"/>
                <w:sz w:val="22"/>
              </w:rPr>
            </w:pPr>
          </w:p>
        </w:tc>
        <w:tc>
          <w:tcPr>
            <w:tcW w:w="681" w:type="pct"/>
            <w:tcBorders>
              <w:top w:val="nil"/>
              <w:left w:val="nil"/>
              <w:bottom w:val="nil"/>
              <w:right w:val="nil"/>
            </w:tcBorders>
            <w:shd w:val="clear" w:color="auto" w:fill="auto"/>
            <w:noWrap/>
            <w:vAlign w:val="bottom"/>
            <w:hideMark/>
          </w:tcPr>
          <w:p w14:paraId="06EC63C8"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(0.013)</w:t>
            </w:r>
          </w:p>
        </w:tc>
      </w:tr>
      <w:tr w:rsidR="0070091A" w:rsidRPr="00F72CC4" w14:paraId="7C8FD42B" w14:textId="77777777" w:rsidTr="0070091A">
        <w:trPr>
          <w:trHeight w:val="276"/>
        </w:trPr>
        <w:tc>
          <w:tcPr>
            <w:tcW w:w="1336" w:type="pct"/>
            <w:tcBorders>
              <w:top w:val="nil"/>
              <w:left w:val="nil"/>
              <w:bottom w:val="single" w:sz="4" w:space="0" w:color="000000"/>
              <w:right w:val="nil"/>
            </w:tcBorders>
            <w:shd w:val="clear" w:color="auto" w:fill="auto"/>
            <w:noWrap/>
            <w:vAlign w:val="bottom"/>
            <w:hideMark/>
          </w:tcPr>
          <w:p w14:paraId="1FF0AADB" w14:textId="77777777" w:rsidR="0070091A" w:rsidRPr="0070091A" w:rsidRDefault="0070091A" w:rsidP="0070091A">
            <w:pPr>
              <w:widowControl/>
              <w:jc w:val="left"/>
              <w:rPr>
                <w:rFonts w:ascii="Times New Roman" w:eastAsia="宋体" w:hAnsi="Times New Roman" w:cs="Times New Roman"/>
                <w:kern w:val="0"/>
                <w:sz w:val="22"/>
              </w:rPr>
            </w:pPr>
            <w:r w:rsidRPr="0070091A">
              <w:rPr>
                <w:rFonts w:ascii="Times New Roman" w:eastAsia="宋体" w:hAnsi="Times New Roman" w:cs="Times New Roman"/>
                <w:kern w:val="0"/>
                <w:sz w:val="22"/>
              </w:rPr>
              <w:t>Observations</w:t>
            </w:r>
          </w:p>
        </w:tc>
        <w:tc>
          <w:tcPr>
            <w:tcW w:w="597" w:type="pct"/>
            <w:tcBorders>
              <w:top w:val="nil"/>
              <w:left w:val="nil"/>
              <w:bottom w:val="single" w:sz="4" w:space="0" w:color="000000"/>
              <w:right w:val="nil"/>
            </w:tcBorders>
            <w:shd w:val="clear" w:color="auto" w:fill="auto"/>
            <w:noWrap/>
            <w:vAlign w:val="bottom"/>
            <w:hideMark/>
          </w:tcPr>
          <w:p w14:paraId="6ED74CE0"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11,040</w:t>
            </w:r>
          </w:p>
        </w:tc>
        <w:tc>
          <w:tcPr>
            <w:tcW w:w="597" w:type="pct"/>
            <w:tcBorders>
              <w:top w:val="nil"/>
              <w:left w:val="nil"/>
              <w:bottom w:val="single" w:sz="4" w:space="0" w:color="000000"/>
              <w:right w:val="nil"/>
            </w:tcBorders>
            <w:shd w:val="clear" w:color="auto" w:fill="auto"/>
            <w:noWrap/>
            <w:vAlign w:val="bottom"/>
            <w:hideMark/>
          </w:tcPr>
          <w:p w14:paraId="54AD2BDA"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11,040</w:t>
            </w:r>
          </w:p>
        </w:tc>
        <w:tc>
          <w:tcPr>
            <w:tcW w:w="597" w:type="pct"/>
            <w:tcBorders>
              <w:top w:val="nil"/>
              <w:left w:val="nil"/>
              <w:bottom w:val="single" w:sz="4" w:space="0" w:color="000000"/>
              <w:right w:val="nil"/>
            </w:tcBorders>
            <w:shd w:val="clear" w:color="auto" w:fill="auto"/>
            <w:noWrap/>
            <w:vAlign w:val="bottom"/>
            <w:hideMark/>
          </w:tcPr>
          <w:p w14:paraId="12783B6A"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11,040</w:t>
            </w:r>
          </w:p>
        </w:tc>
        <w:tc>
          <w:tcPr>
            <w:tcW w:w="597" w:type="pct"/>
            <w:tcBorders>
              <w:top w:val="nil"/>
              <w:left w:val="nil"/>
              <w:bottom w:val="single" w:sz="4" w:space="0" w:color="000000"/>
              <w:right w:val="nil"/>
            </w:tcBorders>
            <w:shd w:val="clear" w:color="auto" w:fill="auto"/>
            <w:noWrap/>
            <w:vAlign w:val="bottom"/>
            <w:hideMark/>
          </w:tcPr>
          <w:p w14:paraId="298C1698"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11,040</w:t>
            </w:r>
          </w:p>
        </w:tc>
        <w:tc>
          <w:tcPr>
            <w:tcW w:w="597" w:type="pct"/>
            <w:tcBorders>
              <w:top w:val="nil"/>
              <w:left w:val="nil"/>
              <w:bottom w:val="single" w:sz="4" w:space="0" w:color="000000"/>
              <w:right w:val="nil"/>
            </w:tcBorders>
            <w:shd w:val="clear" w:color="auto" w:fill="auto"/>
            <w:noWrap/>
            <w:vAlign w:val="bottom"/>
            <w:hideMark/>
          </w:tcPr>
          <w:p w14:paraId="7E4B8AD3"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11,040</w:t>
            </w:r>
          </w:p>
        </w:tc>
        <w:tc>
          <w:tcPr>
            <w:tcW w:w="681" w:type="pct"/>
            <w:tcBorders>
              <w:top w:val="nil"/>
              <w:left w:val="nil"/>
              <w:bottom w:val="single" w:sz="4" w:space="0" w:color="000000"/>
              <w:right w:val="nil"/>
            </w:tcBorders>
            <w:shd w:val="clear" w:color="auto" w:fill="auto"/>
            <w:noWrap/>
            <w:vAlign w:val="bottom"/>
            <w:hideMark/>
          </w:tcPr>
          <w:p w14:paraId="3319B70A" w14:textId="77777777" w:rsidR="0070091A" w:rsidRPr="0070091A" w:rsidRDefault="0070091A" w:rsidP="0070091A">
            <w:pPr>
              <w:widowControl/>
              <w:jc w:val="center"/>
              <w:rPr>
                <w:rFonts w:ascii="Times New Roman" w:eastAsia="宋体" w:hAnsi="Times New Roman" w:cs="Times New Roman"/>
                <w:kern w:val="0"/>
                <w:sz w:val="22"/>
              </w:rPr>
            </w:pPr>
            <w:r w:rsidRPr="0070091A">
              <w:rPr>
                <w:rFonts w:ascii="Times New Roman" w:eastAsia="宋体" w:hAnsi="Times New Roman" w:cs="Times New Roman"/>
                <w:kern w:val="0"/>
                <w:sz w:val="22"/>
              </w:rPr>
              <w:t>11,040</w:t>
            </w:r>
          </w:p>
        </w:tc>
      </w:tr>
    </w:tbl>
    <w:p w14:paraId="7DF948B4" w14:textId="77777777" w:rsidR="0070091A" w:rsidRDefault="0070091A" w:rsidP="00AB0BEE">
      <w:pPr>
        <w:spacing w:line="360" w:lineRule="auto"/>
        <w:ind w:left="420" w:hangingChars="200" w:hanging="420"/>
        <w:rPr>
          <w:rFonts w:ascii="Times New Roman" w:hAnsi="Times New Roman" w:cs="Times New Roman"/>
        </w:rPr>
      </w:pPr>
    </w:p>
    <w:sectPr w:rsidR="0070091A" w:rsidSect="008A25AB">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1BF0A" w14:textId="77777777" w:rsidR="008A25AB" w:rsidRDefault="008A25AB" w:rsidP="003D4C6F">
      <w:r>
        <w:separator/>
      </w:r>
    </w:p>
  </w:endnote>
  <w:endnote w:type="continuationSeparator" w:id="0">
    <w:p w14:paraId="7B0695EE" w14:textId="77777777" w:rsidR="008A25AB" w:rsidRDefault="008A25AB" w:rsidP="003D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70927"/>
      <w:docPartObj>
        <w:docPartGallery w:val="Page Numbers (Bottom of Page)"/>
        <w:docPartUnique/>
      </w:docPartObj>
    </w:sdtPr>
    <w:sdtEndPr>
      <w:rPr>
        <w:rFonts w:ascii="Times New Roman" w:hAnsi="Times New Roman" w:cs="Times New Roman"/>
      </w:rPr>
    </w:sdtEndPr>
    <w:sdtContent>
      <w:p w14:paraId="43FEA039" w14:textId="77777777" w:rsidR="009D2C1F" w:rsidRPr="009B449E" w:rsidRDefault="009D2C1F">
        <w:pPr>
          <w:pStyle w:val="af4"/>
          <w:jc w:val="center"/>
          <w:rPr>
            <w:rFonts w:ascii="Times New Roman" w:hAnsi="Times New Roman" w:cs="Times New Roman"/>
          </w:rPr>
        </w:pPr>
        <w:r w:rsidRPr="009B449E">
          <w:rPr>
            <w:rFonts w:ascii="Times New Roman" w:hAnsi="Times New Roman" w:cs="Times New Roman"/>
          </w:rPr>
          <w:fldChar w:fldCharType="begin"/>
        </w:r>
        <w:r w:rsidRPr="009B449E">
          <w:rPr>
            <w:rFonts w:ascii="Times New Roman" w:hAnsi="Times New Roman" w:cs="Times New Roman"/>
          </w:rPr>
          <w:instrText>PAGE   \* MERGEFORMAT</w:instrText>
        </w:r>
        <w:r w:rsidRPr="009B449E">
          <w:rPr>
            <w:rFonts w:ascii="Times New Roman" w:hAnsi="Times New Roman" w:cs="Times New Roman"/>
          </w:rPr>
          <w:fldChar w:fldCharType="separate"/>
        </w:r>
        <w:r>
          <w:rPr>
            <w:rFonts w:ascii="Times New Roman" w:hAnsi="Times New Roman" w:cs="Times New Roman"/>
            <w:noProof/>
          </w:rPr>
          <w:t>1</w:t>
        </w:r>
        <w:r w:rsidRPr="009B449E">
          <w:rPr>
            <w:rFonts w:ascii="Times New Roman" w:hAnsi="Times New Roman" w:cs="Times New Roman"/>
          </w:rPr>
          <w:fldChar w:fldCharType="end"/>
        </w:r>
      </w:p>
    </w:sdtContent>
  </w:sdt>
  <w:p w14:paraId="1A557E1B" w14:textId="77777777" w:rsidR="009D2C1F" w:rsidRPr="009B449E" w:rsidRDefault="009D2C1F">
    <w:pPr>
      <w:pStyle w:val="af4"/>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C2FA" w14:textId="77777777" w:rsidR="00BD0646" w:rsidRPr="00007349" w:rsidRDefault="00BD0646">
    <w:pPr>
      <w:pStyle w:val="af4"/>
      <w:jc w:val="center"/>
    </w:pPr>
  </w:p>
  <w:p w14:paraId="3565C770" w14:textId="77777777" w:rsidR="00BD0646" w:rsidRPr="00007349" w:rsidRDefault="00BD0646">
    <w:pPr>
      <w:pStyle w:val="af4"/>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ED89" w14:textId="77777777" w:rsidR="008A25AB" w:rsidRDefault="008A25AB" w:rsidP="003D4C6F">
      <w:r>
        <w:separator/>
      </w:r>
    </w:p>
  </w:footnote>
  <w:footnote w:type="continuationSeparator" w:id="0">
    <w:p w14:paraId="3AE29B2A" w14:textId="77777777" w:rsidR="008A25AB" w:rsidRDefault="008A25AB" w:rsidP="003D4C6F">
      <w:r>
        <w:continuationSeparator/>
      </w:r>
    </w:p>
  </w:footnote>
  <w:footnote w:id="1">
    <w:p w14:paraId="328C1B43" w14:textId="73D88387" w:rsidR="009D2C1F" w:rsidRPr="00571319" w:rsidRDefault="009D2C1F" w:rsidP="009D2C1F">
      <w:pPr>
        <w:pStyle w:val="ae"/>
        <w:keepLines/>
        <w:jc w:val="both"/>
        <w:rPr>
          <w:rFonts w:ascii="Times New Roman" w:hAnsi="Times New Roman" w:cs="Times New Roman"/>
        </w:rPr>
      </w:pPr>
      <w:r w:rsidRPr="00571319">
        <w:rPr>
          <w:rStyle w:val="af0"/>
          <w:rFonts w:ascii="Times New Roman" w:hAnsi="Times New Roman" w:cs="Times New Roman"/>
        </w:rPr>
        <w:footnoteRef/>
      </w:r>
      <w:r w:rsidRPr="009B449E">
        <w:rPr>
          <w:rFonts w:ascii="Times New Roman" w:hAnsi="Times New Roman" w:cs="Times New Roman"/>
        </w:rPr>
        <w:t xml:space="preserve">Please send correspondence to </w:t>
      </w:r>
      <w:proofErr w:type="spellStart"/>
      <w:r>
        <w:rPr>
          <w:rFonts w:ascii="Times New Roman" w:hAnsi="Times New Roman" w:cs="Times New Roman"/>
        </w:rPr>
        <w:t>Hongyu</w:t>
      </w:r>
      <w:proofErr w:type="spellEnd"/>
      <w:r>
        <w:rPr>
          <w:rFonts w:ascii="Times New Roman" w:hAnsi="Times New Roman" w:cs="Times New Roman"/>
        </w:rPr>
        <w:t xml:space="preserve"> Xiang</w:t>
      </w:r>
      <w:r w:rsidRPr="009B449E">
        <w:rPr>
          <w:rFonts w:ascii="Times New Roman" w:hAnsi="Times New Roman" w:cs="Times New Roman"/>
        </w:rPr>
        <w:t xml:space="preserve">. E-mail: </w:t>
      </w:r>
      <w:r>
        <w:rPr>
          <w:rFonts w:ascii="Times New Roman" w:hAnsi="Times New Roman" w:cs="Times New Roman"/>
        </w:rPr>
        <w:t>xianghy@bnu.edu.cn</w:t>
      </w:r>
      <w:r w:rsidRPr="009B449E">
        <w:rPr>
          <w:rFonts w:ascii="Times New Roman" w:hAnsi="Times New Roman" w:cs="Times New Roman"/>
        </w:rPr>
        <w:t>.</w:t>
      </w:r>
      <w:r>
        <w:rPr>
          <w:rFonts w:ascii="Times New Roman" w:hAnsi="Times New Roman" w:cs="Times New Roman"/>
        </w:rPr>
        <w:t xml:space="preserve"> P</w:t>
      </w:r>
      <w:r>
        <w:rPr>
          <w:rFonts w:ascii="Times New Roman" w:hAnsi="Times New Roman" w:cs="Times New Roman" w:hint="eastAsia"/>
        </w:rPr>
        <w:t>ostal</w:t>
      </w:r>
      <w:r>
        <w:rPr>
          <w:rFonts w:ascii="Times New Roman" w:hAnsi="Times New Roman" w:cs="Times New Roman"/>
        </w:rPr>
        <w:t xml:space="preserve"> address: Business School, Beijing Normal University. </w:t>
      </w:r>
      <w:proofErr w:type="spellStart"/>
      <w:r w:rsidRPr="00D062AF">
        <w:rPr>
          <w:rFonts w:ascii="Times New Roman" w:hAnsi="Times New Roman" w:cs="Times New Roman"/>
        </w:rPr>
        <w:t>Hongyu</w:t>
      </w:r>
      <w:proofErr w:type="spellEnd"/>
      <w:r w:rsidRPr="00D062AF">
        <w:rPr>
          <w:rFonts w:ascii="Times New Roman" w:hAnsi="Times New Roman" w:cs="Times New Roman"/>
        </w:rPr>
        <w:t xml:space="preserve"> Xiang </w:t>
      </w:r>
      <w:r>
        <w:rPr>
          <w:rFonts w:ascii="Times New Roman" w:hAnsi="Times New Roman" w:cs="Times New Roman"/>
        </w:rPr>
        <w:t>acknowledges</w:t>
      </w:r>
      <w:r w:rsidRPr="00D062AF">
        <w:rPr>
          <w:rFonts w:ascii="Times New Roman" w:hAnsi="Times New Roman" w:cs="Times New Roman"/>
        </w:rPr>
        <w:t xml:space="preserve"> </w:t>
      </w:r>
      <w:r>
        <w:rPr>
          <w:rFonts w:ascii="Times New Roman" w:hAnsi="Times New Roman" w:cs="Times New Roman"/>
        </w:rPr>
        <w:t xml:space="preserve">the </w:t>
      </w:r>
      <w:r w:rsidRPr="00D062AF">
        <w:rPr>
          <w:rFonts w:ascii="Times New Roman" w:hAnsi="Times New Roman" w:cs="Times New Roman"/>
        </w:rPr>
        <w:t xml:space="preserve">financial support provided by National Natural Science Foundation of China (NSFC) (72203024) and Fundamental Research Funds for the Central Universities (2021NTSS09). </w:t>
      </w:r>
    </w:p>
  </w:footnote>
  <w:footnote w:id="2">
    <w:p w14:paraId="1925991D" w14:textId="44BE1C85" w:rsidR="00971A28" w:rsidRPr="00817903" w:rsidRDefault="00971A28">
      <w:pPr>
        <w:pStyle w:val="ae"/>
        <w:rPr>
          <w:rFonts w:ascii="Times New Roman" w:hAnsi="Times New Roman" w:cs="Times New Roman"/>
        </w:rPr>
      </w:pPr>
      <w:r w:rsidRPr="00817903">
        <w:rPr>
          <w:rStyle w:val="af0"/>
          <w:rFonts w:ascii="Times New Roman" w:hAnsi="Times New Roman" w:cs="Times New Roman"/>
        </w:rPr>
        <w:footnoteRef/>
      </w:r>
      <w:r w:rsidRPr="00817903">
        <w:rPr>
          <w:rFonts w:ascii="Times New Roman" w:hAnsi="Times New Roman" w:cs="Times New Roman"/>
        </w:rPr>
        <w:t xml:space="preserve"> This paper does not distinguish among ESG investing, socially responsible investing, and sustainable investing.</w:t>
      </w:r>
    </w:p>
  </w:footnote>
  <w:footnote w:id="3">
    <w:p w14:paraId="65DE4AA1" w14:textId="5A09BEA4" w:rsidR="00817903" w:rsidRDefault="00817903">
      <w:pPr>
        <w:pStyle w:val="ae"/>
      </w:pPr>
      <w:r w:rsidRPr="00817903">
        <w:rPr>
          <w:rStyle w:val="af0"/>
          <w:rFonts w:ascii="Times New Roman" w:hAnsi="Times New Roman" w:cs="Times New Roman"/>
        </w:rPr>
        <w:footnoteRef/>
      </w:r>
      <w:r w:rsidRPr="00817903">
        <w:rPr>
          <w:rFonts w:ascii="Times New Roman" w:hAnsi="Times New Roman" w:cs="Times New Roman"/>
        </w:rPr>
        <w:t xml:space="preserve"> The information and data regarding the UNPRI are collected from the official website of the UNPRI.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B92"/>
    <w:rsid w:val="00007194"/>
    <w:rsid w:val="00020E7E"/>
    <w:rsid w:val="00026832"/>
    <w:rsid w:val="00026C0F"/>
    <w:rsid w:val="0003332D"/>
    <w:rsid w:val="00040CD3"/>
    <w:rsid w:val="000441F6"/>
    <w:rsid w:val="0008749C"/>
    <w:rsid w:val="000879BB"/>
    <w:rsid w:val="00090F3C"/>
    <w:rsid w:val="000E797A"/>
    <w:rsid w:val="000F2960"/>
    <w:rsid w:val="001020A7"/>
    <w:rsid w:val="00103314"/>
    <w:rsid w:val="00130C5C"/>
    <w:rsid w:val="0013104B"/>
    <w:rsid w:val="00143F61"/>
    <w:rsid w:val="001476E2"/>
    <w:rsid w:val="00164A7A"/>
    <w:rsid w:val="001733B1"/>
    <w:rsid w:val="00187A67"/>
    <w:rsid w:val="001962D2"/>
    <w:rsid w:val="00197028"/>
    <w:rsid w:val="001A1BD4"/>
    <w:rsid w:val="001A6B18"/>
    <w:rsid w:val="001D34CF"/>
    <w:rsid w:val="001E7EE2"/>
    <w:rsid w:val="001F4A7C"/>
    <w:rsid w:val="001F5707"/>
    <w:rsid w:val="00205AFC"/>
    <w:rsid w:val="00210FA1"/>
    <w:rsid w:val="002500F4"/>
    <w:rsid w:val="00262EC3"/>
    <w:rsid w:val="002821C8"/>
    <w:rsid w:val="0029014C"/>
    <w:rsid w:val="002972B1"/>
    <w:rsid w:val="002B6DC3"/>
    <w:rsid w:val="002D20D9"/>
    <w:rsid w:val="00307CF0"/>
    <w:rsid w:val="0031094C"/>
    <w:rsid w:val="003112AB"/>
    <w:rsid w:val="00313884"/>
    <w:rsid w:val="00322CDC"/>
    <w:rsid w:val="003329DF"/>
    <w:rsid w:val="00340E8F"/>
    <w:rsid w:val="003458A8"/>
    <w:rsid w:val="00357BE2"/>
    <w:rsid w:val="0038563C"/>
    <w:rsid w:val="003B5D0A"/>
    <w:rsid w:val="003B5E62"/>
    <w:rsid w:val="003C17C8"/>
    <w:rsid w:val="003D17D2"/>
    <w:rsid w:val="003D4C6F"/>
    <w:rsid w:val="003D67E4"/>
    <w:rsid w:val="00402D13"/>
    <w:rsid w:val="0040627D"/>
    <w:rsid w:val="00410B48"/>
    <w:rsid w:val="00423B95"/>
    <w:rsid w:val="004260A3"/>
    <w:rsid w:val="00443CB0"/>
    <w:rsid w:val="004610F0"/>
    <w:rsid w:val="0046484C"/>
    <w:rsid w:val="00465F2E"/>
    <w:rsid w:val="004776ED"/>
    <w:rsid w:val="0049067D"/>
    <w:rsid w:val="004950C5"/>
    <w:rsid w:val="0049536F"/>
    <w:rsid w:val="0049727F"/>
    <w:rsid w:val="004A1567"/>
    <w:rsid w:val="004B22DE"/>
    <w:rsid w:val="004B4A29"/>
    <w:rsid w:val="004C1C42"/>
    <w:rsid w:val="004E1733"/>
    <w:rsid w:val="005075DA"/>
    <w:rsid w:val="005414A3"/>
    <w:rsid w:val="00544116"/>
    <w:rsid w:val="0056461C"/>
    <w:rsid w:val="00572B25"/>
    <w:rsid w:val="00596A46"/>
    <w:rsid w:val="005C5C4B"/>
    <w:rsid w:val="005D719C"/>
    <w:rsid w:val="005D7DC9"/>
    <w:rsid w:val="005E210C"/>
    <w:rsid w:val="005E63A6"/>
    <w:rsid w:val="005F17DE"/>
    <w:rsid w:val="005F7F72"/>
    <w:rsid w:val="0060663B"/>
    <w:rsid w:val="00607813"/>
    <w:rsid w:val="00611639"/>
    <w:rsid w:val="00612B2F"/>
    <w:rsid w:val="00645CA1"/>
    <w:rsid w:val="006518AD"/>
    <w:rsid w:val="00656743"/>
    <w:rsid w:val="00665875"/>
    <w:rsid w:val="00672BCB"/>
    <w:rsid w:val="0069224F"/>
    <w:rsid w:val="006B00E8"/>
    <w:rsid w:val="006B265A"/>
    <w:rsid w:val="006B4EEF"/>
    <w:rsid w:val="006D287D"/>
    <w:rsid w:val="006D36D0"/>
    <w:rsid w:val="006D3E02"/>
    <w:rsid w:val="006D699A"/>
    <w:rsid w:val="006E79AB"/>
    <w:rsid w:val="006F6F4F"/>
    <w:rsid w:val="0070091A"/>
    <w:rsid w:val="00706E32"/>
    <w:rsid w:val="00707B44"/>
    <w:rsid w:val="007111AF"/>
    <w:rsid w:val="00711EF4"/>
    <w:rsid w:val="00727F02"/>
    <w:rsid w:val="00737D20"/>
    <w:rsid w:val="00742DD8"/>
    <w:rsid w:val="00757841"/>
    <w:rsid w:val="00764340"/>
    <w:rsid w:val="00791A05"/>
    <w:rsid w:val="00797293"/>
    <w:rsid w:val="007A44A3"/>
    <w:rsid w:val="007B49D5"/>
    <w:rsid w:val="007D0573"/>
    <w:rsid w:val="007D1425"/>
    <w:rsid w:val="007D51A4"/>
    <w:rsid w:val="007D62D6"/>
    <w:rsid w:val="007D76A2"/>
    <w:rsid w:val="007F0B04"/>
    <w:rsid w:val="007F0C70"/>
    <w:rsid w:val="007F1D4A"/>
    <w:rsid w:val="007F5296"/>
    <w:rsid w:val="00807EDC"/>
    <w:rsid w:val="00810E0F"/>
    <w:rsid w:val="00812376"/>
    <w:rsid w:val="00817903"/>
    <w:rsid w:val="0082309E"/>
    <w:rsid w:val="0084739D"/>
    <w:rsid w:val="00851B0C"/>
    <w:rsid w:val="0085430E"/>
    <w:rsid w:val="00862CFA"/>
    <w:rsid w:val="00873D70"/>
    <w:rsid w:val="008778B0"/>
    <w:rsid w:val="008778D5"/>
    <w:rsid w:val="00881279"/>
    <w:rsid w:val="008819EA"/>
    <w:rsid w:val="00885C31"/>
    <w:rsid w:val="008A25AB"/>
    <w:rsid w:val="008C61F3"/>
    <w:rsid w:val="008D2623"/>
    <w:rsid w:val="008D4872"/>
    <w:rsid w:val="008D5031"/>
    <w:rsid w:val="008E1649"/>
    <w:rsid w:val="008E1930"/>
    <w:rsid w:val="009049D8"/>
    <w:rsid w:val="009121A6"/>
    <w:rsid w:val="00925080"/>
    <w:rsid w:val="00926D2C"/>
    <w:rsid w:val="009421D1"/>
    <w:rsid w:val="009459B6"/>
    <w:rsid w:val="00954134"/>
    <w:rsid w:val="00965229"/>
    <w:rsid w:val="00966503"/>
    <w:rsid w:val="00971A28"/>
    <w:rsid w:val="009730EF"/>
    <w:rsid w:val="00983152"/>
    <w:rsid w:val="00983C2C"/>
    <w:rsid w:val="009860E0"/>
    <w:rsid w:val="00986DCA"/>
    <w:rsid w:val="009C4C9E"/>
    <w:rsid w:val="009C75FF"/>
    <w:rsid w:val="009D1F96"/>
    <w:rsid w:val="009D2559"/>
    <w:rsid w:val="009D2C1F"/>
    <w:rsid w:val="009D2FE9"/>
    <w:rsid w:val="009F1438"/>
    <w:rsid w:val="00A03061"/>
    <w:rsid w:val="00A122D6"/>
    <w:rsid w:val="00A31980"/>
    <w:rsid w:val="00A36111"/>
    <w:rsid w:val="00A3662A"/>
    <w:rsid w:val="00A4317F"/>
    <w:rsid w:val="00A45F02"/>
    <w:rsid w:val="00A53C2A"/>
    <w:rsid w:val="00A6133E"/>
    <w:rsid w:val="00A73071"/>
    <w:rsid w:val="00A7677B"/>
    <w:rsid w:val="00A93270"/>
    <w:rsid w:val="00A95F43"/>
    <w:rsid w:val="00AB0BEE"/>
    <w:rsid w:val="00AC1DC7"/>
    <w:rsid w:val="00AC6AC0"/>
    <w:rsid w:val="00AC7247"/>
    <w:rsid w:val="00AC77C1"/>
    <w:rsid w:val="00AD08EC"/>
    <w:rsid w:val="00AD308A"/>
    <w:rsid w:val="00AD65AC"/>
    <w:rsid w:val="00AF0192"/>
    <w:rsid w:val="00AF3958"/>
    <w:rsid w:val="00B11988"/>
    <w:rsid w:val="00B12C7F"/>
    <w:rsid w:val="00B134A9"/>
    <w:rsid w:val="00B15400"/>
    <w:rsid w:val="00B2052D"/>
    <w:rsid w:val="00B25609"/>
    <w:rsid w:val="00B328AD"/>
    <w:rsid w:val="00B430A1"/>
    <w:rsid w:val="00B56105"/>
    <w:rsid w:val="00B741D6"/>
    <w:rsid w:val="00B80EFD"/>
    <w:rsid w:val="00B859C3"/>
    <w:rsid w:val="00B95472"/>
    <w:rsid w:val="00BD0646"/>
    <w:rsid w:val="00BD4056"/>
    <w:rsid w:val="00BD5C92"/>
    <w:rsid w:val="00BE632C"/>
    <w:rsid w:val="00BE6E53"/>
    <w:rsid w:val="00C04D19"/>
    <w:rsid w:val="00C10152"/>
    <w:rsid w:val="00C1053C"/>
    <w:rsid w:val="00C14C12"/>
    <w:rsid w:val="00C2663A"/>
    <w:rsid w:val="00C35699"/>
    <w:rsid w:val="00C454CA"/>
    <w:rsid w:val="00C52002"/>
    <w:rsid w:val="00C60191"/>
    <w:rsid w:val="00C64E52"/>
    <w:rsid w:val="00C6795A"/>
    <w:rsid w:val="00C815D7"/>
    <w:rsid w:val="00C85BD3"/>
    <w:rsid w:val="00C96248"/>
    <w:rsid w:val="00CA06AB"/>
    <w:rsid w:val="00CC2183"/>
    <w:rsid w:val="00CC4F75"/>
    <w:rsid w:val="00CE1AB6"/>
    <w:rsid w:val="00CF3836"/>
    <w:rsid w:val="00CF66E8"/>
    <w:rsid w:val="00CF701C"/>
    <w:rsid w:val="00D11DF4"/>
    <w:rsid w:val="00D1528D"/>
    <w:rsid w:val="00D20EDE"/>
    <w:rsid w:val="00D23C31"/>
    <w:rsid w:val="00D60021"/>
    <w:rsid w:val="00D63B92"/>
    <w:rsid w:val="00D6486A"/>
    <w:rsid w:val="00D72336"/>
    <w:rsid w:val="00D8094A"/>
    <w:rsid w:val="00D850C4"/>
    <w:rsid w:val="00D8607A"/>
    <w:rsid w:val="00D952CF"/>
    <w:rsid w:val="00DA2A22"/>
    <w:rsid w:val="00DA7DD9"/>
    <w:rsid w:val="00DB05B8"/>
    <w:rsid w:val="00DD5E3A"/>
    <w:rsid w:val="00DE11BF"/>
    <w:rsid w:val="00DE6633"/>
    <w:rsid w:val="00DF01D3"/>
    <w:rsid w:val="00DF54D5"/>
    <w:rsid w:val="00E073C8"/>
    <w:rsid w:val="00E31AAB"/>
    <w:rsid w:val="00E42192"/>
    <w:rsid w:val="00E5482C"/>
    <w:rsid w:val="00E55249"/>
    <w:rsid w:val="00E60483"/>
    <w:rsid w:val="00E60774"/>
    <w:rsid w:val="00E85D97"/>
    <w:rsid w:val="00EA6000"/>
    <w:rsid w:val="00EC5D85"/>
    <w:rsid w:val="00ED74F7"/>
    <w:rsid w:val="00F03A65"/>
    <w:rsid w:val="00F071CA"/>
    <w:rsid w:val="00F10DA1"/>
    <w:rsid w:val="00F26DF1"/>
    <w:rsid w:val="00F44BD4"/>
    <w:rsid w:val="00F4516B"/>
    <w:rsid w:val="00F476AF"/>
    <w:rsid w:val="00F52A11"/>
    <w:rsid w:val="00F72CC4"/>
    <w:rsid w:val="00F74942"/>
    <w:rsid w:val="00F84B1A"/>
    <w:rsid w:val="00F902B5"/>
    <w:rsid w:val="00FB1E4E"/>
    <w:rsid w:val="00FC0059"/>
    <w:rsid w:val="00FD5804"/>
    <w:rsid w:val="00FD7977"/>
    <w:rsid w:val="00FD7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965F4"/>
  <w15:chartTrackingRefBased/>
  <w15:docId w15:val="{FD7851DA-48A2-4D64-BA81-A83545FE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3B9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D63B9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D63B9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D63B92"/>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D63B92"/>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D63B92"/>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D63B92"/>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D63B92"/>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D63B9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63B92"/>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D63B92"/>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D63B92"/>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D63B92"/>
    <w:rPr>
      <w:rFonts w:cstheme="majorBidi"/>
      <w:color w:val="0F4761" w:themeColor="accent1" w:themeShade="BF"/>
      <w:sz w:val="28"/>
      <w:szCs w:val="28"/>
    </w:rPr>
  </w:style>
  <w:style w:type="character" w:customStyle="1" w:styleId="50">
    <w:name w:val="标题 5 字符"/>
    <w:basedOn w:val="a0"/>
    <w:link w:val="5"/>
    <w:uiPriority w:val="9"/>
    <w:semiHidden/>
    <w:rsid w:val="00D63B92"/>
    <w:rPr>
      <w:rFonts w:cstheme="majorBidi"/>
      <w:color w:val="0F4761" w:themeColor="accent1" w:themeShade="BF"/>
      <w:sz w:val="24"/>
      <w:szCs w:val="24"/>
    </w:rPr>
  </w:style>
  <w:style w:type="character" w:customStyle="1" w:styleId="60">
    <w:name w:val="标题 6 字符"/>
    <w:basedOn w:val="a0"/>
    <w:link w:val="6"/>
    <w:uiPriority w:val="9"/>
    <w:semiHidden/>
    <w:rsid w:val="00D63B92"/>
    <w:rPr>
      <w:rFonts w:cstheme="majorBidi"/>
      <w:b/>
      <w:bCs/>
      <w:color w:val="0F4761" w:themeColor="accent1" w:themeShade="BF"/>
    </w:rPr>
  </w:style>
  <w:style w:type="character" w:customStyle="1" w:styleId="70">
    <w:name w:val="标题 7 字符"/>
    <w:basedOn w:val="a0"/>
    <w:link w:val="7"/>
    <w:uiPriority w:val="9"/>
    <w:semiHidden/>
    <w:rsid w:val="00D63B92"/>
    <w:rPr>
      <w:rFonts w:cstheme="majorBidi"/>
      <w:b/>
      <w:bCs/>
      <w:color w:val="595959" w:themeColor="text1" w:themeTint="A6"/>
    </w:rPr>
  </w:style>
  <w:style w:type="character" w:customStyle="1" w:styleId="80">
    <w:name w:val="标题 8 字符"/>
    <w:basedOn w:val="a0"/>
    <w:link w:val="8"/>
    <w:uiPriority w:val="9"/>
    <w:semiHidden/>
    <w:rsid w:val="00D63B92"/>
    <w:rPr>
      <w:rFonts w:cstheme="majorBidi"/>
      <w:color w:val="595959" w:themeColor="text1" w:themeTint="A6"/>
    </w:rPr>
  </w:style>
  <w:style w:type="character" w:customStyle="1" w:styleId="90">
    <w:name w:val="标题 9 字符"/>
    <w:basedOn w:val="a0"/>
    <w:link w:val="9"/>
    <w:uiPriority w:val="9"/>
    <w:semiHidden/>
    <w:rsid w:val="00D63B92"/>
    <w:rPr>
      <w:rFonts w:eastAsiaTheme="majorEastAsia" w:cstheme="majorBidi"/>
      <w:color w:val="595959" w:themeColor="text1" w:themeTint="A6"/>
    </w:rPr>
  </w:style>
  <w:style w:type="paragraph" w:styleId="a3">
    <w:name w:val="Title"/>
    <w:basedOn w:val="a"/>
    <w:next w:val="a"/>
    <w:link w:val="a4"/>
    <w:uiPriority w:val="10"/>
    <w:qFormat/>
    <w:rsid w:val="00D63B9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D63B9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63B9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D63B9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63B92"/>
    <w:pPr>
      <w:spacing w:before="160" w:after="160"/>
      <w:jc w:val="center"/>
    </w:pPr>
    <w:rPr>
      <w:i/>
      <w:iCs/>
      <w:color w:val="404040" w:themeColor="text1" w:themeTint="BF"/>
    </w:rPr>
  </w:style>
  <w:style w:type="character" w:customStyle="1" w:styleId="a8">
    <w:name w:val="引用 字符"/>
    <w:basedOn w:val="a0"/>
    <w:link w:val="a7"/>
    <w:uiPriority w:val="29"/>
    <w:rsid w:val="00D63B92"/>
    <w:rPr>
      <w:i/>
      <w:iCs/>
      <w:color w:val="404040" w:themeColor="text1" w:themeTint="BF"/>
    </w:rPr>
  </w:style>
  <w:style w:type="paragraph" w:styleId="a9">
    <w:name w:val="List Paragraph"/>
    <w:basedOn w:val="a"/>
    <w:uiPriority w:val="34"/>
    <w:qFormat/>
    <w:rsid w:val="00D63B92"/>
    <w:pPr>
      <w:ind w:left="720"/>
      <w:contextualSpacing/>
    </w:pPr>
  </w:style>
  <w:style w:type="character" w:styleId="aa">
    <w:name w:val="Intense Emphasis"/>
    <w:basedOn w:val="a0"/>
    <w:uiPriority w:val="21"/>
    <w:qFormat/>
    <w:rsid w:val="00D63B92"/>
    <w:rPr>
      <w:i/>
      <w:iCs/>
      <w:color w:val="0F4761" w:themeColor="accent1" w:themeShade="BF"/>
    </w:rPr>
  </w:style>
  <w:style w:type="paragraph" w:styleId="ab">
    <w:name w:val="Intense Quote"/>
    <w:basedOn w:val="a"/>
    <w:next w:val="a"/>
    <w:link w:val="ac"/>
    <w:uiPriority w:val="30"/>
    <w:qFormat/>
    <w:rsid w:val="00D63B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D63B92"/>
    <w:rPr>
      <w:i/>
      <w:iCs/>
      <w:color w:val="0F4761" w:themeColor="accent1" w:themeShade="BF"/>
    </w:rPr>
  </w:style>
  <w:style w:type="character" w:styleId="ad">
    <w:name w:val="Intense Reference"/>
    <w:basedOn w:val="a0"/>
    <w:uiPriority w:val="32"/>
    <w:qFormat/>
    <w:rsid w:val="00D63B92"/>
    <w:rPr>
      <w:b/>
      <w:bCs/>
      <w:smallCaps/>
      <w:color w:val="0F4761" w:themeColor="accent1" w:themeShade="BF"/>
      <w:spacing w:val="5"/>
    </w:rPr>
  </w:style>
  <w:style w:type="paragraph" w:styleId="ae">
    <w:name w:val="footnote text"/>
    <w:basedOn w:val="a"/>
    <w:link w:val="af"/>
    <w:uiPriority w:val="99"/>
    <w:unhideWhenUsed/>
    <w:qFormat/>
    <w:rsid w:val="003D4C6F"/>
    <w:pPr>
      <w:snapToGrid w:val="0"/>
      <w:jc w:val="left"/>
    </w:pPr>
    <w:rPr>
      <w:sz w:val="18"/>
      <w:szCs w:val="18"/>
    </w:rPr>
  </w:style>
  <w:style w:type="character" w:customStyle="1" w:styleId="af">
    <w:name w:val="脚注文本 字符"/>
    <w:basedOn w:val="a0"/>
    <w:link w:val="ae"/>
    <w:uiPriority w:val="99"/>
    <w:qFormat/>
    <w:rsid w:val="003D4C6F"/>
    <w:rPr>
      <w:sz w:val="18"/>
      <w:szCs w:val="18"/>
    </w:rPr>
  </w:style>
  <w:style w:type="character" w:styleId="af0">
    <w:name w:val="footnote reference"/>
    <w:basedOn w:val="a0"/>
    <w:uiPriority w:val="99"/>
    <w:unhideWhenUsed/>
    <w:qFormat/>
    <w:rsid w:val="003D4C6F"/>
    <w:rPr>
      <w:vertAlign w:val="superscript"/>
    </w:rPr>
  </w:style>
  <w:style w:type="character" w:styleId="af1">
    <w:name w:val="Placeholder Text"/>
    <w:basedOn w:val="a0"/>
    <w:uiPriority w:val="99"/>
    <w:semiHidden/>
    <w:rsid w:val="00262EC3"/>
    <w:rPr>
      <w:color w:val="808080"/>
    </w:rPr>
  </w:style>
  <w:style w:type="paragraph" w:styleId="af2">
    <w:name w:val="header"/>
    <w:basedOn w:val="a"/>
    <w:link w:val="af3"/>
    <w:uiPriority w:val="99"/>
    <w:unhideWhenUsed/>
    <w:rsid w:val="009D2559"/>
    <w:pPr>
      <w:tabs>
        <w:tab w:val="center" w:pos="4153"/>
        <w:tab w:val="right" w:pos="8306"/>
      </w:tabs>
      <w:snapToGrid w:val="0"/>
      <w:jc w:val="center"/>
    </w:pPr>
    <w:rPr>
      <w:sz w:val="18"/>
      <w:szCs w:val="18"/>
    </w:rPr>
  </w:style>
  <w:style w:type="character" w:customStyle="1" w:styleId="af3">
    <w:name w:val="页眉 字符"/>
    <w:basedOn w:val="a0"/>
    <w:link w:val="af2"/>
    <w:uiPriority w:val="99"/>
    <w:rsid w:val="009D2559"/>
    <w:rPr>
      <w:sz w:val="18"/>
      <w:szCs w:val="18"/>
    </w:rPr>
  </w:style>
  <w:style w:type="paragraph" w:styleId="af4">
    <w:name w:val="footer"/>
    <w:basedOn w:val="a"/>
    <w:link w:val="af5"/>
    <w:uiPriority w:val="99"/>
    <w:unhideWhenUsed/>
    <w:rsid w:val="009D2559"/>
    <w:pPr>
      <w:tabs>
        <w:tab w:val="center" w:pos="4153"/>
        <w:tab w:val="right" w:pos="8306"/>
      </w:tabs>
      <w:snapToGrid w:val="0"/>
      <w:jc w:val="left"/>
    </w:pPr>
    <w:rPr>
      <w:sz w:val="18"/>
      <w:szCs w:val="18"/>
    </w:rPr>
  </w:style>
  <w:style w:type="character" w:customStyle="1" w:styleId="af5">
    <w:name w:val="页脚 字符"/>
    <w:basedOn w:val="a0"/>
    <w:link w:val="af4"/>
    <w:uiPriority w:val="99"/>
    <w:rsid w:val="009D25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0165">
      <w:bodyDiv w:val="1"/>
      <w:marLeft w:val="0"/>
      <w:marRight w:val="0"/>
      <w:marTop w:val="0"/>
      <w:marBottom w:val="0"/>
      <w:divBdr>
        <w:top w:val="none" w:sz="0" w:space="0" w:color="auto"/>
        <w:left w:val="none" w:sz="0" w:space="0" w:color="auto"/>
        <w:bottom w:val="none" w:sz="0" w:space="0" w:color="auto"/>
        <w:right w:val="none" w:sz="0" w:space="0" w:color="auto"/>
      </w:divBdr>
    </w:div>
    <w:div w:id="296299308">
      <w:bodyDiv w:val="1"/>
      <w:marLeft w:val="0"/>
      <w:marRight w:val="0"/>
      <w:marTop w:val="0"/>
      <w:marBottom w:val="0"/>
      <w:divBdr>
        <w:top w:val="none" w:sz="0" w:space="0" w:color="auto"/>
        <w:left w:val="none" w:sz="0" w:space="0" w:color="auto"/>
        <w:bottom w:val="none" w:sz="0" w:space="0" w:color="auto"/>
        <w:right w:val="none" w:sz="0" w:space="0" w:color="auto"/>
      </w:divBdr>
    </w:div>
    <w:div w:id="333075878">
      <w:bodyDiv w:val="1"/>
      <w:marLeft w:val="0"/>
      <w:marRight w:val="0"/>
      <w:marTop w:val="0"/>
      <w:marBottom w:val="0"/>
      <w:divBdr>
        <w:top w:val="none" w:sz="0" w:space="0" w:color="auto"/>
        <w:left w:val="none" w:sz="0" w:space="0" w:color="auto"/>
        <w:bottom w:val="none" w:sz="0" w:space="0" w:color="auto"/>
        <w:right w:val="none" w:sz="0" w:space="0" w:color="auto"/>
      </w:divBdr>
    </w:div>
    <w:div w:id="339285334">
      <w:bodyDiv w:val="1"/>
      <w:marLeft w:val="0"/>
      <w:marRight w:val="0"/>
      <w:marTop w:val="0"/>
      <w:marBottom w:val="0"/>
      <w:divBdr>
        <w:top w:val="none" w:sz="0" w:space="0" w:color="auto"/>
        <w:left w:val="none" w:sz="0" w:space="0" w:color="auto"/>
        <w:bottom w:val="none" w:sz="0" w:space="0" w:color="auto"/>
        <w:right w:val="none" w:sz="0" w:space="0" w:color="auto"/>
      </w:divBdr>
    </w:div>
    <w:div w:id="549924841">
      <w:bodyDiv w:val="1"/>
      <w:marLeft w:val="0"/>
      <w:marRight w:val="0"/>
      <w:marTop w:val="0"/>
      <w:marBottom w:val="0"/>
      <w:divBdr>
        <w:top w:val="none" w:sz="0" w:space="0" w:color="auto"/>
        <w:left w:val="none" w:sz="0" w:space="0" w:color="auto"/>
        <w:bottom w:val="none" w:sz="0" w:space="0" w:color="auto"/>
        <w:right w:val="none" w:sz="0" w:space="0" w:color="auto"/>
      </w:divBdr>
    </w:div>
    <w:div w:id="656804476">
      <w:bodyDiv w:val="1"/>
      <w:marLeft w:val="0"/>
      <w:marRight w:val="0"/>
      <w:marTop w:val="0"/>
      <w:marBottom w:val="0"/>
      <w:divBdr>
        <w:top w:val="none" w:sz="0" w:space="0" w:color="auto"/>
        <w:left w:val="none" w:sz="0" w:space="0" w:color="auto"/>
        <w:bottom w:val="none" w:sz="0" w:space="0" w:color="auto"/>
        <w:right w:val="none" w:sz="0" w:space="0" w:color="auto"/>
      </w:divBdr>
    </w:div>
    <w:div w:id="774063076">
      <w:bodyDiv w:val="1"/>
      <w:marLeft w:val="0"/>
      <w:marRight w:val="0"/>
      <w:marTop w:val="0"/>
      <w:marBottom w:val="0"/>
      <w:divBdr>
        <w:top w:val="none" w:sz="0" w:space="0" w:color="auto"/>
        <w:left w:val="none" w:sz="0" w:space="0" w:color="auto"/>
        <w:bottom w:val="none" w:sz="0" w:space="0" w:color="auto"/>
        <w:right w:val="none" w:sz="0" w:space="0" w:color="auto"/>
      </w:divBdr>
    </w:div>
    <w:div w:id="905381709">
      <w:bodyDiv w:val="1"/>
      <w:marLeft w:val="0"/>
      <w:marRight w:val="0"/>
      <w:marTop w:val="0"/>
      <w:marBottom w:val="0"/>
      <w:divBdr>
        <w:top w:val="none" w:sz="0" w:space="0" w:color="auto"/>
        <w:left w:val="none" w:sz="0" w:space="0" w:color="auto"/>
        <w:bottom w:val="none" w:sz="0" w:space="0" w:color="auto"/>
        <w:right w:val="none" w:sz="0" w:space="0" w:color="auto"/>
      </w:divBdr>
    </w:div>
    <w:div w:id="1052729234">
      <w:bodyDiv w:val="1"/>
      <w:marLeft w:val="0"/>
      <w:marRight w:val="0"/>
      <w:marTop w:val="0"/>
      <w:marBottom w:val="0"/>
      <w:divBdr>
        <w:top w:val="none" w:sz="0" w:space="0" w:color="auto"/>
        <w:left w:val="none" w:sz="0" w:space="0" w:color="auto"/>
        <w:bottom w:val="none" w:sz="0" w:space="0" w:color="auto"/>
        <w:right w:val="none" w:sz="0" w:space="0" w:color="auto"/>
      </w:divBdr>
    </w:div>
    <w:div w:id="1216039063">
      <w:bodyDiv w:val="1"/>
      <w:marLeft w:val="0"/>
      <w:marRight w:val="0"/>
      <w:marTop w:val="0"/>
      <w:marBottom w:val="0"/>
      <w:divBdr>
        <w:top w:val="none" w:sz="0" w:space="0" w:color="auto"/>
        <w:left w:val="none" w:sz="0" w:space="0" w:color="auto"/>
        <w:bottom w:val="none" w:sz="0" w:space="0" w:color="auto"/>
        <w:right w:val="none" w:sz="0" w:space="0" w:color="auto"/>
      </w:divBdr>
    </w:div>
    <w:div w:id="1243375691">
      <w:bodyDiv w:val="1"/>
      <w:marLeft w:val="0"/>
      <w:marRight w:val="0"/>
      <w:marTop w:val="0"/>
      <w:marBottom w:val="0"/>
      <w:divBdr>
        <w:top w:val="none" w:sz="0" w:space="0" w:color="auto"/>
        <w:left w:val="none" w:sz="0" w:space="0" w:color="auto"/>
        <w:bottom w:val="none" w:sz="0" w:space="0" w:color="auto"/>
        <w:right w:val="none" w:sz="0" w:space="0" w:color="auto"/>
      </w:divBdr>
    </w:div>
    <w:div w:id="1635330966">
      <w:bodyDiv w:val="1"/>
      <w:marLeft w:val="0"/>
      <w:marRight w:val="0"/>
      <w:marTop w:val="0"/>
      <w:marBottom w:val="0"/>
      <w:divBdr>
        <w:top w:val="none" w:sz="0" w:space="0" w:color="auto"/>
        <w:left w:val="none" w:sz="0" w:space="0" w:color="auto"/>
        <w:bottom w:val="none" w:sz="0" w:space="0" w:color="auto"/>
        <w:right w:val="none" w:sz="0" w:space="0" w:color="auto"/>
      </w:divBdr>
    </w:div>
    <w:div w:id="20482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7DFB-AEF8-4674-8CD6-7C453327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18</Pages>
  <Words>3131</Words>
  <Characters>17851</Characters>
  <Application>Microsoft Office Word</Application>
  <DocSecurity>0</DocSecurity>
  <Lines>148</Lines>
  <Paragraphs>41</Paragraphs>
  <ScaleCrop>false</ScaleCrop>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HONGYU XIANG</dc:creator>
  <cp:keywords/>
  <dc:description/>
  <cp:lastModifiedBy>HONGYU XIANG</cp:lastModifiedBy>
  <cp:revision>246</cp:revision>
  <dcterms:created xsi:type="dcterms:W3CDTF">2024-03-02T08:34:00Z</dcterms:created>
  <dcterms:modified xsi:type="dcterms:W3CDTF">2024-03-05T13:09:00Z</dcterms:modified>
</cp:coreProperties>
</file>