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3694" w:rsidRPr="00B7156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3694">
        <w:rPr>
          <w:rFonts w:ascii="Times New Roman" w:hAnsi="Times New Roman" w:cs="Times New Roman"/>
          <w:b/>
          <w:sz w:val="28"/>
          <w:szCs w:val="28"/>
          <w:lang w:val="en-US"/>
        </w:rPr>
        <w:t>Market structure, efficiency and profitability in the Italian banking sector</w:t>
      </w:r>
    </w:p>
    <w:p w:rsid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lang w:val="en-US"/>
        </w:rPr>
      </w:pPr>
    </w:p>
    <w:p w:rsidR="00F63694" w:rsidRPr="00B71564" w:rsidRDefault="00F63694" w:rsidP="00F6369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63694" w:rsidRPr="008329B4" w:rsidRDefault="00F63694" w:rsidP="00F63694">
      <w:pPr>
        <w:jc w:val="center"/>
        <w:rPr>
          <w:rFonts w:ascii="Times New Roman" w:hAnsi="Times New Roman" w:cs="Times New Roman"/>
          <w:iCs/>
          <w:sz w:val="26"/>
          <w:szCs w:val="26"/>
          <w:lang w:val="en-GB"/>
        </w:rPr>
      </w:pPr>
      <w:r w:rsidRPr="008329B4">
        <w:rPr>
          <w:rFonts w:ascii="Times New Roman" w:hAnsi="Times New Roman" w:cs="Times New Roman"/>
          <w:iCs/>
          <w:sz w:val="26"/>
          <w:szCs w:val="26"/>
          <w:lang w:val="en-GB"/>
        </w:rPr>
        <w:t>Paolo Coccorese</w:t>
      </w:r>
    </w:p>
    <w:p w:rsidR="00F63694" w:rsidRPr="00F42593" w:rsidRDefault="00F63694" w:rsidP="00F63694">
      <w:pPr>
        <w:pStyle w:val="Titolo4"/>
        <w:spacing w:before="120"/>
        <w:jc w:val="center"/>
        <w:rPr>
          <w:rFonts w:ascii="Times New Roman" w:hAnsi="Times New Roman" w:cs="Times New Roman"/>
          <w:b w:val="0"/>
          <w:iCs w:val="0"/>
          <w:color w:val="auto"/>
          <w:lang w:val="en-US"/>
        </w:rPr>
      </w:pPr>
      <w:r w:rsidRPr="00F42593">
        <w:rPr>
          <w:rFonts w:ascii="Times New Roman" w:hAnsi="Times New Roman" w:cs="Times New Roman"/>
          <w:b w:val="0"/>
          <w:iCs w:val="0"/>
          <w:color w:val="auto"/>
          <w:lang w:val="en-US"/>
        </w:rPr>
        <w:t>Department of Economics and Statistics, University of Salerno, Italy</w:t>
      </w:r>
    </w:p>
    <w:p w:rsidR="00F63694" w:rsidRPr="008329B4" w:rsidRDefault="00F63694" w:rsidP="00F63694">
      <w:pPr>
        <w:jc w:val="both"/>
        <w:rPr>
          <w:rFonts w:ascii="Times New Roman" w:hAnsi="Times New Roman" w:cs="Times New Roman"/>
          <w:lang w:val="en-GB"/>
        </w:rPr>
      </w:pPr>
    </w:p>
    <w:p w:rsidR="00F63694" w:rsidRPr="008329B4" w:rsidRDefault="00F63694" w:rsidP="00F63694">
      <w:pPr>
        <w:jc w:val="center"/>
        <w:rPr>
          <w:rFonts w:ascii="Times New Roman" w:hAnsi="Times New Roman" w:cs="Times New Roman"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iCs/>
          <w:sz w:val="26"/>
          <w:szCs w:val="26"/>
          <w:lang w:val="en-GB"/>
        </w:rPr>
        <w:t xml:space="preserve">Antonio </w:t>
      </w:r>
      <w:proofErr w:type="spellStart"/>
      <w:r>
        <w:rPr>
          <w:rFonts w:ascii="Times New Roman" w:hAnsi="Times New Roman" w:cs="Times New Roman"/>
          <w:iCs/>
          <w:sz w:val="26"/>
          <w:szCs w:val="26"/>
          <w:lang w:val="en-GB"/>
        </w:rPr>
        <w:t>Cardone</w:t>
      </w:r>
      <w:proofErr w:type="spellEnd"/>
    </w:p>
    <w:p w:rsidR="00F63694" w:rsidRPr="00F42593" w:rsidRDefault="00F63694" w:rsidP="00F63694">
      <w:pPr>
        <w:pStyle w:val="Titolo4"/>
        <w:spacing w:before="120"/>
        <w:jc w:val="center"/>
        <w:rPr>
          <w:rFonts w:ascii="Times New Roman" w:hAnsi="Times New Roman" w:cs="Times New Roman"/>
          <w:b w:val="0"/>
          <w:iCs w:val="0"/>
          <w:color w:val="auto"/>
          <w:lang w:val="en-US"/>
        </w:rPr>
      </w:pPr>
      <w:r w:rsidRPr="00F42593">
        <w:rPr>
          <w:rFonts w:ascii="Times New Roman" w:hAnsi="Times New Roman" w:cs="Times New Roman"/>
          <w:b w:val="0"/>
          <w:iCs w:val="0"/>
          <w:color w:val="auto"/>
          <w:lang w:val="en-US"/>
        </w:rPr>
        <w:t>Department of Economics and Statistics, University of Salerno, Italy</w:t>
      </w:r>
    </w:p>
    <w:p w:rsidR="00F63694" w:rsidRP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lang w:val="en-US"/>
        </w:rPr>
      </w:pPr>
    </w:p>
    <w:p w:rsid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360" w:lineRule="auto"/>
        <w:jc w:val="center"/>
        <w:rPr>
          <w:rFonts w:ascii="Times New Roman" w:hAnsi="Times New Roman" w:cs="Times New Roman"/>
          <w:smallCaps/>
          <w:lang w:val="en-US"/>
        </w:rPr>
      </w:pPr>
      <w:r w:rsidRPr="00B71564">
        <w:rPr>
          <w:rFonts w:ascii="Times New Roman" w:hAnsi="Times New Roman" w:cs="Times New Roman"/>
          <w:smallCaps/>
          <w:lang w:val="en-US"/>
        </w:rPr>
        <w:t>Abstract</w:t>
      </w:r>
    </w:p>
    <w:p w:rsidR="00493201" w:rsidRPr="00B71564" w:rsidRDefault="00F63694" w:rsidP="0049320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3694">
        <w:rPr>
          <w:rFonts w:ascii="Times New Roman" w:hAnsi="Times New Roman" w:cs="Times New Roman"/>
          <w:lang w:val="en-US"/>
        </w:rPr>
        <w:t xml:space="preserve">In this paper we </w:t>
      </w:r>
      <w:r>
        <w:rPr>
          <w:rFonts w:ascii="Times New Roman" w:hAnsi="Times New Roman" w:cs="Times New Roman"/>
          <w:lang w:val="en-US"/>
        </w:rPr>
        <w:t>investigate</w:t>
      </w:r>
      <w:r w:rsidRPr="00F63694">
        <w:rPr>
          <w:rFonts w:ascii="Times New Roman" w:hAnsi="Times New Roman" w:cs="Times New Roman"/>
          <w:lang w:val="en-US"/>
        </w:rPr>
        <w:t xml:space="preserve"> the relationship between market structure and profitability for the Italian banking industry </w:t>
      </w:r>
      <w:r>
        <w:rPr>
          <w:rFonts w:ascii="Times New Roman" w:hAnsi="Times New Roman" w:cs="Times New Roman"/>
          <w:lang w:val="en-US"/>
        </w:rPr>
        <w:t>over</w:t>
      </w:r>
      <w:r w:rsidRPr="00F63694">
        <w:rPr>
          <w:rFonts w:ascii="Times New Roman" w:hAnsi="Times New Roman" w:cs="Times New Roman"/>
          <w:lang w:val="en-US"/>
        </w:rPr>
        <w:t xml:space="preserve"> the period 1999-2016, taking into account also banks’ efficiency</w:t>
      </w:r>
      <w:r>
        <w:rPr>
          <w:rFonts w:ascii="Times New Roman" w:hAnsi="Times New Roman" w:cs="Times New Roman"/>
          <w:lang w:val="en-US"/>
        </w:rPr>
        <w:t>.</w:t>
      </w:r>
      <w:r w:rsidRPr="00F6369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Our</w:t>
      </w:r>
      <w:r w:rsidRPr="00F6369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empirical </w:t>
      </w:r>
      <w:r w:rsidRPr="00F63694">
        <w:rPr>
          <w:rFonts w:ascii="Times New Roman" w:hAnsi="Times New Roman" w:cs="Times New Roman"/>
          <w:lang w:val="en-US"/>
        </w:rPr>
        <w:t xml:space="preserve">results </w:t>
      </w:r>
      <w:r>
        <w:rPr>
          <w:rFonts w:ascii="Times New Roman" w:hAnsi="Times New Roman" w:cs="Times New Roman"/>
          <w:lang w:val="en-US"/>
        </w:rPr>
        <w:t xml:space="preserve">provide </w:t>
      </w:r>
      <w:r w:rsidRPr="00F63694">
        <w:rPr>
          <w:rFonts w:ascii="Times New Roman" w:hAnsi="Times New Roman" w:cs="Times New Roman"/>
          <w:lang w:val="en-US"/>
        </w:rPr>
        <w:t xml:space="preserve">support </w:t>
      </w:r>
      <w:r>
        <w:rPr>
          <w:rFonts w:ascii="Times New Roman" w:hAnsi="Times New Roman" w:cs="Times New Roman"/>
          <w:lang w:val="en-US"/>
        </w:rPr>
        <w:t xml:space="preserve">to </w:t>
      </w:r>
      <w:r w:rsidRPr="00F63694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‘efficie</w:t>
      </w:r>
      <w:r w:rsidR="00523BAA">
        <w:rPr>
          <w:rFonts w:ascii="Times New Roman" w:hAnsi="Times New Roman" w:cs="Times New Roman"/>
          <w:lang w:val="en-US"/>
        </w:rPr>
        <w:t>nt-</w:t>
      </w:r>
      <w:r>
        <w:rPr>
          <w:rFonts w:ascii="Times New Roman" w:hAnsi="Times New Roman" w:cs="Times New Roman"/>
          <w:lang w:val="en-US"/>
        </w:rPr>
        <w:t>structure’ hypothesis, while market structure variables</w:t>
      </w:r>
      <w:r w:rsidR="00523BAA">
        <w:rPr>
          <w:rFonts w:ascii="Times New Roman" w:hAnsi="Times New Roman" w:cs="Times New Roman"/>
          <w:lang w:val="en-US"/>
        </w:rPr>
        <w:t xml:space="preserve"> –</w:t>
      </w:r>
      <w:r w:rsidR="00493201">
        <w:rPr>
          <w:rFonts w:ascii="Times New Roman" w:hAnsi="Times New Roman" w:cs="Times New Roman"/>
          <w:lang w:val="en-US"/>
        </w:rPr>
        <w:t xml:space="preserve"> and the </w:t>
      </w:r>
      <w:r w:rsidR="00523BAA">
        <w:rPr>
          <w:rFonts w:ascii="Times New Roman" w:hAnsi="Times New Roman" w:cs="Times New Roman"/>
          <w:lang w:val="en-US"/>
        </w:rPr>
        <w:t xml:space="preserve">related </w:t>
      </w:r>
      <w:r w:rsidR="00493201">
        <w:rPr>
          <w:rFonts w:ascii="Times New Roman" w:hAnsi="Times New Roman" w:cs="Times New Roman"/>
          <w:lang w:val="en-US"/>
        </w:rPr>
        <w:t>noticeable concentration process of the last decades</w:t>
      </w:r>
      <w:r w:rsidR="00523BAA">
        <w:rPr>
          <w:rFonts w:ascii="Times New Roman" w:hAnsi="Times New Roman" w:cs="Times New Roman"/>
          <w:lang w:val="en-US"/>
        </w:rPr>
        <w:t xml:space="preserve"> –</w:t>
      </w:r>
      <w:r>
        <w:rPr>
          <w:rFonts w:ascii="Times New Roman" w:hAnsi="Times New Roman" w:cs="Times New Roman"/>
          <w:lang w:val="en-US"/>
        </w:rPr>
        <w:t xml:space="preserve"> seem not to </w:t>
      </w:r>
      <w:r w:rsidR="00493201">
        <w:rPr>
          <w:rFonts w:ascii="Times New Roman" w:hAnsi="Times New Roman" w:cs="Times New Roman"/>
          <w:lang w:val="en-US"/>
        </w:rPr>
        <w:t xml:space="preserve">have </w:t>
      </w:r>
      <w:r>
        <w:rPr>
          <w:rFonts w:ascii="Times New Roman" w:hAnsi="Times New Roman" w:cs="Times New Roman"/>
          <w:lang w:val="en-US"/>
        </w:rPr>
        <w:t>affect</w:t>
      </w:r>
      <w:r w:rsidR="00493201">
        <w:rPr>
          <w:rFonts w:ascii="Times New Roman" w:hAnsi="Times New Roman" w:cs="Times New Roman"/>
          <w:lang w:val="en-US"/>
        </w:rPr>
        <w:t>ed</w:t>
      </w:r>
      <w:r>
        <w:rPr>
          <w:rFonts w:ascii="Times New Roman" w:hAnsi="Times New Roman" w:cs="Times New Roman"/>
          <w:lang w:val="en-US"/>
        </w:rPr>
        <w:t xml:space="preserve"> banks’ returns.</w:t>
      </w:r>
    </w:p>
    <w:p w:rsidR="00F63694" w:rsidRPr="00B7156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63694" w:rsidRPr="00B71564" w:rsidRDefault="00F63694" w:rsidP="00F636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3694" w:rsidRPr="00B71564" w:rsidRDefault="00F63694" w:rsidP="00F636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63694" w:rsidRPr="00B71564" w:rsidRDefault="00F63694" w:rsidP="00493201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1564"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B7156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93201">
        <w:rPr>
          <w:rFonts w:ascii="Times New Roman" w:hAnsi="Times New Roman" w:cs="Times New Roman"/>
          <w:sz w:val="20"/>
          <w:szCs w:val="20"/>
          <w:lang w:val="en-US"/>
        </w:rPr>
        <w:t xml:space="preserve">banking industry, </w:t>
      </w:r>
      <w:r w:rsidR="00493201" w:rsidRPr="00493201">
        <w:rPr>
          <w:rFonts w:ascii="Times New Roman" w:hAnsi="Times New Roman" w:cs="Times New Roman"/>
          <w:sz w:val="20"/>
          <w:szCs w:val="20"/>
          <w:lang w:val="en-US"/>
        </w:rPr>
        <w:t>market structu</w:t>
      </w:r>
      <w:r w:rsidR="00493201">
        <w:rPr>
          <w:rFonts w:ascii="Times New Roman" w:hAnsi="Times New Roman" w:cs="Times New Roman"/>
          <w:sz w:val="20"/>
          <w:szCs w:val="20"/>
          <w:lang w:val="en-US"/>
        </w:rPr>
        <w:t>re, efficiency, profitability</w:t>
      </w:r>
    </w:p>
    <w:p w:rsidR="00F63694" w:rsidRPr="00B71564" w:rsidRDefault="00F63694" w:rsidP="00F63694">
      <w:pPr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1564">
        <w:rPr>
          <w:rFonts w:ascii="Times New Roman" w:hAnsi="Times New Roman" w:cs="Times New Roman"/>
          <w:i/>
          <w:sz w:val="20"/>
          <w:szCs w:val="20"/>
          <w:lang w:val="en-US"/>
        </w:rPr>
        <w:t>JEL classification codes</w:t>
      </w:r>
      <w:r w:rsidRPr="00B7156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93201" w:rsidRPr="00493201">
        <w:rPr>
          <w:rFonts w:ascii="Times New Roman" w:hAnsi="Times New Roman" w:cs="Times New Roman"/>
          <w:sz w:val="20"/>
          <w:szCs w:val="20"/>
          <w:lang w:val="en-US"/>
        </w:rPr>
        <w:t>G21, L11</w:t>
      </w:r>
    </w:p>
    <w:p w:rsidR="00F63694" w:rsidRPr="00B7156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694" w:rsidRPr="00B71564" w:rsidRDefault="00F63694" w:rsidP="00F63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63694" w:rsidRPr="00F63694" w:rsidRDefault="00F63694" w:rsidP="00F63694">
      <w:pPr>
        <w:tabs>
          <w:tab w:val="left" w:pos="6420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63694">
        <w:rPr>
          <w:rFonts w:ascii="Times New Roman" w:hAnsi="Times New Roman" w:cs="Times New Roman"/>
          <w:i/>
          <w:sz w:val="20"/>
          <w:szCs w:val="20"/>
          <w:lang w:val="en-GB"/>
        </w:rPr>
        <w:t>Corresponding author:</w:t>
      </w:r>
    </w:p>
    <w:p w:rsidR="00F63694" w:rsidRPr="008329B4" w:rsidRDefault="00F63694" w:rsidP="00F63694">
      <w:pPr>
        <w:tabs>
          <w:tab w:val="left" w:pos="6420"/>
        </w:tabs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329B4">
        <w:rPr>
          <w:rFonts w:ascii="Times New Roman" w:hAnsi="Times New Roman" w:cs="Times New Roman"/>
          <w:sz w:val="20"/>
          <w:szCs w:val="20"/>
        </w:rPr>
        <w:t>Paolo Coccorese</w:t>
      </w:r>
    </w:p>
    <w:p w:rsidR="00F63694" w:rsidRPr="008329B4" w:rsidRDefault="00F63694" w:rsidP="00F63694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329B4">
        <w:rPr>
          <w:rFonts w:ascii="Times New Roman" w:hAnsi="Times New Roman" w:cs="Times New Roman"/>
          <w:sz w:val="20"/>
          <w:szCs w:val="20"/>
        </w:rPr>
        <w:t>Università degli Studi di Salerno</w:t>
      </w:r>
    </w:p>
    <w:p w:rsidR="00F63694" w:rsidRPr="008329B4" w:rsidRDefault="00F63694" w:rsidP="00F63694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329B4">
        <w:rPr>
          <w:rFonts w:ascii="Times New Roman" w:hAnsi="Times New Roman" w:cs="Times New Roman"/>
          <w:sz w:val="20"/>
          <w:szCs w:val="20"/>
        </w:rPr>
        <w:t>Dipartimento di Scienze Economiche e Statistiche</w:t>
      </w:r>
    </w:p>
    <w:p w:rsidR="00F63694" w:rsidRPr="008329B4" w:rsidRDefault="00F63694" w:rsidP="00F63694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329B4">
        <w:rPr>
          <w:rFonts w:ascii="Times New Roman" w:hAnsi="Times New Roman" w:cs="Times New Roman"/>
          <w:sz w:val="20"/>
          <w:szCs w:val="20"/>
        </w:rPr>
        <w:t xml:space="preserve">Via Giovanni Paolo II, 132 - 84084 Fisciano (SA) - </w:t>
      </w:r>
      <w:proofErr w:type="spellStart"/>
      <w:r w:rsidRPr="008329B4">
        <w:rPr>
          <w:rFonts w:ascii="Times New Roman" w:hAnsi="Times New Roman" w:cs="Times New Roman"/>
          <w:sz w:val="20"/>
          <w:szCs w:val="20"/>
        </w:rPr>
        <w:t>Italy</w:t>
      </w:r>
      <w:proofErr w:type="spellEnd"/>
    </w:p>
    <w:p w:rsidR="00F63694" w:rsidRPr="008329B4" w:rsidRDefault="00F63694" w:rsidP="00F63694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lang w:val="en-GB"/>
        </w:rPr>
      </w:pPr>
      <w:r w:rsidRPr="008329B4">
        <w:rPr>
          <w:rFonts w:ascii="Times New Roman" w:hAnsi="Times New Roman" w:cs="Times New Roman"/>
          <w:sz w:val="20"/>
          <w:szCs w:val="20"/>
          <w:lang w:val="en-GB"/>
        </w:rPr>
        <w:t>Tel.: (+39) 089-</w:t>
      </w:r>
      <w:proofErr w:type="gramStart"/>
      <w:r w:rsidRPr="008329B4">
        <w:rPr>
          <w:rFonts w:ascii="Times New Roman" w:hAnsi="Times New Roman" w:cs="Times New Roman"/>
          <w:sz w:val="20"/>
          <w:szCs w:val="20"/>
          <w:lang w:val="en-GB"/>
        </w:rPr>
        <w:t>962338  -</w:t>
      </w:r>
      <w:proofErr w:type="gramEnd"/>
      <w:r w:rsidRPr="008329B4">
        <w:rPr>
          <w:rFonts w:ascii="Times New Roman" w:hAnsi="Times New Roman" w:cs="Times New Roman"/>
          <w:sz w:val="20"/>
          <w:szCs w:val="20"/>
          <w:lang w:val="en-GB"/>
        </w:rPr>
        <w:t xml:space="preserve">  Fax: (+39) 089-962049</w:t>
      </w:r>
    </w:p>
    <w:p w:rsidR="00F63694" w:rsidRPr="008329B4" w:rsidRDefault="00F63694" w:rsidP="00F63694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lang w:val="en-GB"/>
        </w:rPr>
      </w:pPr>
      <w:r w:rsidRPr="008329B4">
        <w:rPr>
          <w:rFonts w:ascii="Times New Roman" w:hAnsi="Times New Roman" w:cs="Times New Roman"/>
          <w:sz w:val="20"/>
          <w:szCs w:val="20"/>
          <w:lang w:val="en-GB"/>
        </w:rPr>
        <w:t>E-mail: coccorese@unisa.it</w:t>
      </w:r>
    </w:p>
    <w:p w:rsidR="00F63694" w:rsidRPr="008329B4" w:rsidRDefault="00F63694" w:rsidP="00F63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F63694" w:rsidRPr="00B71564" w:rsidRDefault="00F63694" w:rsidP="00F636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F63694" w:rsidRDefault="00F6369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C7747" w:rsidRDefault="003C7747" w:rsidP="003C7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63694" w:rsidRDefault="00F63694" w:rsidP="003C7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7747" w:rsidRPr="0049545B" w:rsidRDefault="003C7747" w:rsidP="003C7747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 Introduction</w:t>
      </w:r>
    </w:p>
    <w:p w:rsidR="00243617" w:rsidRDefault="003C7747" w:rsidP="002436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3617">
        <w:rPr>
          <w:rFonts w:ascii="Times New Roman" w:hAnsi="Times New Roman" w:cs="Times New Roman"/>
          <w:sz w:val="24"/>
          <w:szCs w:val="24"/>
          <w:lang w:val="en-GB"/>
        </w:rPr>
        <w:t>In this paper</w:t>
      </w:r>
      <w:r w:rsidR="00C3312F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we explor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312F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link</w:t>
      </w:r>
      <w:r w:rsidR="00C3312F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between market structure and profitability for the Italian b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anking industry over</w:t>
      </w:r>
      <w:r w:rsidR="00C3312F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the period 1999-2016, taking into account also banks’ efficiency. The topic is worth of investigation 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because, according to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the European Central Bank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, during the sample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years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in Italy there has been a drop of operating banks (from 890 to 611), an increase of their network size (the average number of branches per bank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passed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from 30.5 to 48), and an outstanding rise of both the share of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total assets of 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the five largest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banks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(from 25% to 43%, the highest in the EU) and the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proofErr w:type="spellStart"/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>Herfindahl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-Hirshman</w:t>
      </w:r>
      <w:proofErr w:type="spellEnd"/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 index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HHI, 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from 220 to 452, the third highest).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Did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this in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crease of concentration produce</w:t>
      </w:r>
      <w:r w:rsidR="00B94D31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effects on banks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’ profitability?</w:t>
      </w:r>
    </w:p>
    <w:p w:rsidR="00243617" w:rsidRPr="00243617" w:rsidRDefault="00B94D31" w:rsidP="002436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According to the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“structure-conduct-performance” (SCP) paradigm (Mason, 1939; Bain, 1951), the performance of an industry depends on the behaviour of incumbent 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banks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, which in turn is determined by the market structure, usually </w:t>
      </w:r>
      <w:proofErr w:type="spellStart"/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proxied</w:t>
      </w:r>
      <w:proofErr w:type="spellEnd"/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concentration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level.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Accordingly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more concentrated 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industries</w:t>
      </w:r>
      <w:r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improve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banks’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market power, positive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influencing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their profits but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negative consequences on customers (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less favourable interest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rates, higher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service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fees).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 xml:space="preserve"> However,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the ‘efficient-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structure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(ES) hypothesis 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243617">
        <w:rPr>
          <w:rFonts w:ascii="Times New Roman" w:hAnsi="Times New Roman" w:cs="Times New Roman"/>
          <w:sz w:val="24"/>
          <w:szCs w:val="24"/>
          <w:lang w:val="en-GB"/>
        </w:rPr>
        <w:t>Demsetz</w:t>
      </w:r>
      <w:proofErr w:type="spellEnd"/>
      <w:r w:rsidR="00243617">
        <w:rPr>
          <w:rFonts w:ascii="Times New Roman" w:hAnsi="Times New Roman" w:cs="Times New Roman"/>
          <w:sz w:val="24"/>
          <w:szCs w:val="24"/>
          <w:lang w:val="en-GB"/>
        </w:rPr>
        <w:t xml:space="preserve">, 1973; </w:t>
      </w:r>
      <w:proofErr w:type="spellStart"/>
      <w:r w:rsidR="00243617">
        <w:rPr>
          <w:rFonts w:ascii="Times New Roman" w:hAnsi="Times New Roman" w:cs="Times New Roman"/>
          <w:sz w:val="24"/>
          <w:szCs w:val="24"/>
          <w:lang w:val="en-GB"/>
        </w:rPr>
        <w:t>Peltzman</w:t>
      </w:r>
      <w:proofErr w:type="spellEnd"/>
      <w:r w:rsidR="00243617">
        <w:rPr>
          <w:rFonts w:ascii="Times New Roman" w:hAnsi="Times New Roman" w:cs="Times New Roman"/>
          <w:sz w:val="24"/>
          <w:szCs w:val="24"/>
          <w:lang w:val="en-GB"/>
        </w:rPr>
        <w:t>, 1977)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maintains that </w:t>
      </w:r>
      <w:r w:rsidR="005132F3" w:rsidRPr="005132F3">
        <w:rPr>
          <w:rFonts w:ascii="Times New Roman" w:hAnsi="Times New Roman" w:cs="Times New Roman"/>
          <w:sz w:val="24"/>
          <w:szCs w:val="24"/>
          <w:lang w:val="en-GB"/>
        </w:rPr>
        <w:t xml:space="preserve">greater 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market concentration could result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 differences in efficiency among 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banks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>more efficient bank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s get both higher market shares and profits, so a spurious positive relationship between profits and concentration</w:t>
      </w:r>
      <w:r w:rsidR="001F7F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may emerge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F7F9C">
        <w:rPr>
          <w:rFonts w:ascii="Times New Roman" w:hAnsi="Times New Roman" w:cs="Times New Roman"/>
          <w:sz w:val="24"/>
          <w:szCs w:val="24"/>
          <w:lang w:val="en-GB"/>
        </w:rPr>
        <w:t xml:space="preserve">unless we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 xml:space="preserve">control for </w:t>
      </w:r>
      <w:r w:rsidR="001F7F9C">
        <w:rPr>
          <w:rFonts w:ascii="Times New Roman" w:hAnsi="Times New Roman" w:cs="Times New Roman"/>
          <w:sz w:val="24"/>
          <w:szCs w:val="24"/>
          <w:lang w:val="en-GB"/>
        </w:rPr>
        <w:t>efficiency</w:t>
      </w:r>
      <w:r w:rsidR="00243617" w:rsidRPr="0024361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43617" w:rsidRDefault="00272388" w:rsidP="00AF3E7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Regarding Italy, 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>past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 xml:space="preserve"> studies ha</w:t>
      </w:r>
      <w:r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243617">
        <w:rPr>
          <w:rFonts w:ascii="Times New Roman" w:hAnsi="Times New Roman" w:cs="Times New Roman"/>
          <w:sz w:val="24"/>
          <w:szCs w:val="24"/>
          <w:lang w:val="en-GB"/>
        </w:rPr>
        <w:t xml:space="preserve"> shown that concentration and competition may coexist (e.g. Coccorese, 2005, 2009)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 xml:space="preserve">, however they have normally employed methodologies developed within </w:t>
      </w:r>
      <w:r w:rsidR="00D34B7B" w:rsidRPr="00D34B7B">
        <w:rPr>
          <w:rFonts w:ascii="Times New Roman" w:hAnsi="Times New Roman" w:cs="Times New Roman"/>
          <w:sz w:val="24"/>
          <w:szCs w:val="24"/>
          <w:lang w:val="en-GB"/>
        </w:rPr>
        <w:t>the New Empirical Industrial Organization (NEIO)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 xml:space="preserve"> the estimation of </w:t>
      </w:r>
      <w:r w:rsidR="00D34B7B" w:rsidRPr="00D34B7B">
        <w:rPr>
          <w:rFonts w:ascii="Times New Roman" w:hAnsi="Times New Roman" w:cs="Times New Roman"/>
          <w:sz w:val="24"/>
          <w:szCs w:val="24"/>
          <w:lang w:val="en-GB"/>
        </w:rPr>
        <w:t xml:space="preserve">conjectural variation 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 xml:space="preserve">parameters or Lerner indices, while there is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quite 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>few evidence based on structural measures and especially concerning the very last years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 xml:space="preserve"> and the related </w:t>
      </w:r>
      <w:r w:rsidR="00D34B7B">
        <w:rPr>
          <w:rFonts w:ascii="Times New Roman" w:hAnsi="Times New Roman" w:cs="Times New Roman"/>
          <w:sz w:val="24"/>
          <w:szCs w:val="24"/>
          <w:lang w:val="en-GB"/>
        </w:rPr>
        <w:t>sharply increasing concentration.</w:t>
      </w:r>
    </w:p>
    <w:p w:rsidR="00272388" w:rsidRDefault="00272388" w:rsidP="0027238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what follows, 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Section 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describes 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econometric 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strategy and </w:t>
      </w:r>
      <w:r>
        <w:rPr>
          <w:rFonts w:ascii="Times New Roman" w:hAnsi="Times New Roman" w:cs="Times New Roman"/>
          <w:sz w:val="24"/>
          <w:szCs w:val="24"/>
          <w:lang w:val="en-GB"/>
        </w:rPr>
        <w:t>data,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 Section 3 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>discusses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 empirical findings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72388">
        <w:rPr>
          <w:rFonts w:ascii="Times New Roman" w:hAnsi="Times New Roman" w:cs="Times New Roman"/>
          <w:sz w:val="24"/>
          <w:szCs w:val="24"/>
          <w:lang w:val="en-GB"/>
        </w:rPr>
        <w:t xml:space="preserve"> and Section 4 concludes.</w:t>
      </w:r>
    </w:p>
    <w:p w:rsidR="00C3312F" w:rsidRPr="00272388" w:rsidRDefault="00C3312F" w:rsidP="00C33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7747" w:rsidRPr="00272388" w:rsidRDefault="003C7747" w:rsidP="009E5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9545B" w:rsidRPr="0049545B" w:rsidRDefault="003C7747" w:rsidP="009E5280">
      <w:pPr>
        <w:keepNext/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2. </w:t>
      </w:r>
      <w:r w:rsidR="0049545B" w:rsidRPr="0049545B">
        <w:rPr>
          <w:rFonts w:ascii="Times New Roman" w:hAnsi="Times New Roman" w:cs="Times New Roman"/>
          <w:i/>
          <w:sz w:val="24"/>
          <w:szCs w:val="24"/>
          <w:lang w:val="en-GB"/>
        </w:rPr>
        <w:t>Model specification</w:t>
      </w:r>
    </w:p>
    <w:p w:rsidR="00EC74E8" w:rsidRDefault="00EC74E8" w:rsidP="006D36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 as to assess the SCP and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 xml:space="preserve">hypotheses for the </w:t>
      </w:r>
      <w:r>
        <w:rPr>
          <w:rFonts w:ascii="Times New Roman" w:hAnsi="Times New Roman" w:cs="Times New Roman"/>
          <w:sz w:val="24"/>
          <w:szCs w:val="24"/>
          <w:lang w:val="en-GB"/>
        </w:rPr>
        <w:t>Italian bank</w:t>
      </w:r>
      <w:r w:rsidR="0045344A">
        <w:rPr>
          <w:rFonts w:ascii="Times New Roman" w:hAnsi="Times New Roman" w:cs="Times New Roman"/>
          <w:sz w:val="24"/>
          <w:szCs w:val="24"/>
          <w:lang w:val="en-GB"/>
        </w:rPr>
        <w:t>ing market</w:t>
      </w:r>
      <w:r>
        <w:rPr>
          <w:rFonts w:ascii="Times New Roman" w:hAnsi="Times New Roman" w:cs="Times New Roman"/>
          <w:sz w:val="24"/>
          <w:szCs w:val="24"/>
          <w:lang w:val="en-GB"/>
        </w:rPr>
        <w:t>, we estimate the following equation: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  <w:gridCol w:w="595"/>
      </w:tblGrid>
      <w:tr w:rsidR="00EF0548" w:rsidRPr="00FB26EE" w:rsidTr="00EF0548">
        <w:tc>
          <w:tcPr>
            <w:tcW w:w="9043" w:type="dxa"/>
            <w:vAlign w:val="center"/>
          </w:tcPr>
          <w:p w:rsidR="00EF0548" w:rsidRPr="00FB26EE" w:rsidRDefault="008A5840" w:rsidP="006D369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0548">
              <w:rPr>
                <w:rFonts w:ascii="Times New Roman" w:hAnsi="Times New Roman" w:cs="Times New Roman"/>
                <w:position w:val="-12"/>
                <w:sz w:val="24"/>
                <w:szCs w:val="24"/>
                <w:lang w:val="en-GB"/>
              </w:rPr>
              <w:object w:dxaOrig="6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15pt;height:18.5pt" o:ole="">
                  <v:imagedata r:id="rId7" o:title=""/>
                </v:shape>
                <o:OLEObject Type="Embed" ProgID="Equation.DSMT4" ShapeID="_x0000_i1025" DrawAspect="Content" ObjectID="_1629291594" r:id="rId8"/>
              </w:object>
            </w:r>
            <w:r w:rsidR="00EF0548" w:rsidRPr="00FB26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595" w:type="dxa"/>
            <w:vAlign w:val="center"/>
          </w:tcPr>
          <w:p w:rsidR="00EF0548" w:rsidRPr="00FB26EE" w:rsidRDefault="00EF0548" w:rsidP="006D369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26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FB26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</w:tbl>
    <w:p w:rsidR="00EF0548" w:rsidRPr="008A5840" w:rsidRDefault="00EF0548" w:rsidP="00777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 xml:space="preserve">, for each bank </w:t>
      </w:r>
      <w:proofErr w:type="spellStart"/>
      <w:r w:rsidR="00777E0D" w:rsidRPr="00777E0D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proofErr w:type="spellEnd"/>
      <w:r w:rsidR="009D6DF0" w:rsidRPr="009D6D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 xml:space="preserve">and year </w:t>
      </w:r>
      <w:r w:rsidR="009D6DF0" w:rsidRPr="00EF0548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128" w:rsidRPr="001F5128">
        <w:rPr>
          <w:rFonts w:ascii="Times New Roman" w:hAnsi="Times New Roman" w:cs="Times New Roman"/>
          <w:i/>
          <w:sz w:val="24"/>
          <w:szCs w:val="24"/>
          <w:lang w:val="en-GB"/>
        </w:rPr>
        <w:sym w:font="Symbol" w:char="F070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 xml:space="preserve">performance 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>measure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F0548">
        <w:rPr>
          <w:rFonts w:ascii="Times New Roman" w:hAnsi="Times New Roman" w:cs="Times New Roman"/>
          <w:i/>
          <w:sz w:val="24"/>
          <w:szCs w:val="24"/>
          <w:lang w:val="en-GB"/>
        </w:rPr>
        <w:t>HHI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a weighted average of the </w:t>
      </w:r>
      <w:r w:rsidR="005132F3">
        <w:rPr>
          <w:rFonts w:ascii="Times New Roman" w:hAnsi="Times New Roman" w:cs="Times New Roman"/>
          <w:sz w:val="24"/>
          <w:szCs w:val="24"/>
          <w:lang w:val="en-GB"/>
        </w:rPr>
        <w:t>HHI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regions where 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operates (</w:t>
      </w:r>
      <w:r w:rsidR="002A6085">
        <w:rPr>
          <w:rFonts w:ascii="Times New Roman" w:hAnsi="Times New Roman" w:cs="Times New Roman"/>
          <w:sz w:val="24"/>
          <w:szCs w:val="24"/>
          <w:lang w:val="en-GB"/>
        </w:rPr>
        <w:t xml:space="preserve">computed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taking into account the number of banks’ branches,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due to lack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data on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banks’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deposits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loans at the local level</w:t>
      </w:r>
      <w:r w:rsidR="002A6085">
        <w:rPr>
          <w:rFonts w:ascii="Times New Roman" w:hAnsi="Times New Roman" w:cs="Times New Roman"/>
          <w:sz w:val="24"/>
          <w:szCs w:val="24"/>
          <w:lang w:val="en-GB"/>
        </w:rPr>
        <w:t xml:space="preserve">; for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multi-regional </w:t>
      </w:r>
      <w:r w:rsidR="002A6085">
        <w:rPr>
          <w:rFonts w:ascii="Times New Roman" w:hAnsi="Times New Roman" w:cs="Times New Roman"/>
          <w:sz w:val="24"/>
          <w:szCs w:val="24"/>
          <w:lang w:val="en-GB"/>
        </w:rPr>
        <w:t xml:space="preserve">banks, </w:t>
      </w:r>
      <w:r w:rsidR="002A6085" w:rsidRPr="002A6085">
        <w:rPr>
          <w:rFonts w:ascii="Times New Roman" w:hAnsi="Times New Roman" w:cs="Times New Roman"/>
          <w:i/>
          <w:sz w:val="24"/>
          <w:szCs w:val="24"/>
          <w:lang w:val="en-GB"/>
        </w:rPr>
        <w:t>HHI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2A6085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>weight</w:t>
      </w:r>
      <w:r w:rsidR="002A6085">
        <w:rPr>
          <w:rFonts w:ascii="Times New Roman" w:hAnsi="Times New Roman"/>
          <w:sz w:val="24"/>
          <w:szCs w:val="24"/>
          <w:lang w:val="en-GB"/>
        </w:rPr>
        <w:t>ed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 by </w:t>
      </w:r>
      <w:r w:rsidR="002A6085">
        <w:rPr>
          <w:rFonts w:ascii="Times New Roman" w:hAnsi="Times New Roman"/>
          <w:sz w:val="24"/>
          <w:szCs w:val="24"/>
          <w:lang w:val="en-GB"/>
        </w:rPr>
        <w:t>their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 branches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8A7265">
        <w:rPr>
          <w:rFonts w:ascii="Times New Roman" w:hAnsi="Times New Roman" w:cs="Times New Roman"/>
          <w:i/>
          <w:sz w:val="24"/>
          <w:szCs w:val="24"/>
          <w:lang w:val="en-GB"/>
        </w:rPr>
        <w:t>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again a weighted average of bank’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 xml:space="preserve">regional </w:t>
      </w:r>
      <w:r>
        <w:rPr>
          <w:rFonts w:ascii="Times New Roman" w:hAnsi="Times New Roman" w:cs="Times New Roman"/>
          <w:sz w:val="24"/>
          <w:szCs w:val="24"/>
          <w:lang w:val="en-GB"/>
        </w:rPr>
        <w:t>market share</w:t>
      </w:r>
      <w:r w:rsidR="009D6DF0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7885">
        <w:rPr>
          <w:rFonts w:ascii="Times New Roman" w:hAnsi="Times New Roman" w:cs="Times New Roman"/>
          <w:i/>
          <w:sz w:val="24"/>
          <w:szCs w:val="24"/>
          <w:lang w:val="en-GB"/>
        </w:rPr>
        <w:t>X_</w:t>
      </w:r>
      <w:r w:rsidR="001F5128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8A7265" w:rsidRPr="008A7265">
        <w:rPr>
          <w:rFonts w:ascii="Times New Roman" w:hAnsi="Times New Roman" w:cs="Times New Roman"/>
          <w:i/>
          <w:sz w:val="24"/>
          <w:szCs w:val="24"/>
          <w:lang w:val="en-GB"/>
        </w:rPr>
        <w:t>FF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 is a 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noBreakHyphen/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>efficiency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measure 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(capturing 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 cap</w:t>
      </w:r>
      <w:r w:rsidR="001F5128" w:rsidRPr="001F5128">
        <w:rPr>
          <w:rFonts w:ascii="Times New Roman" w:hAnsi="Times New Roman" w:cs="Times New Roman"/>
          <w:sz w:val="24"/>
          <w:szCs w:val="24"/>
          <w:lang w:val="en-GB"/>
        </w:rPr>
        <w:t>ability of produc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F5128" w:rsidRPr="001F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F5128" w:rsidRPr="001F5128">
        <w:rPr>
          <w:rFonts w:ascii="Times New Roman" w:hAnsi="Times New Roman" w:cs="Times New Roman"/>
          <w:sz w:val="24"/>
          <w:szCs w:val="24"/>
          <w:lang w:val="en-GB"/>
        </w:rPr>
        <w:t xml:space="preserve"> output at minimum cost 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due to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better</w:t>
      </w:r>
      <w:r w:rsidR="001F5128" w:rsidRPr="001F5128">
        <w:rPr>
          <w:rFonts w:ascii="Times New Roman" w:hAnsi="Times New Roman" w:cs="Times New Roman"/>
          <w:sz w:val="24"/>
          <w:szCs w:val="24"/>
          <w:lang w:val="en-GB"/>
        </w:rPr>
        <w:t xml:space="preserve"> management or technology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F5128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CE7885">
        <w:rPr>
          <w:rFonts w:ascii="Times New Roman" w:hAnsi="Times New Roman" w:cs="Times New Roman"/>
          <w:i/>
          <w:sz w:val="24"/>
          <w:szCs w:val="24"/>
          <w:lang w:val="en-GB"/>
        </w:rPr>
        <w:t>_</w:t>
      </w:r>
      <w:r w:rsidR="001F5128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="001F5128" w:rsidRPr="008A7265">
        <w:rPr>
          <w:rFonts w:ascii="Times New Roman" w:hAnsi="Times New Roman" w:cs="Times New Roman"/>
          <w:i/>
          <w:sz w:val="24"/>
          <w:szCs w:val="24"/>
          <w:lang w:val="en-GB"/>
        </w:rPr>
        <w:t>FF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 is a </w:t>
      </w:r>
      <w:r w:rsidR="00CE7885" w:rsidRPr="00CE7885">
        <w:rPr>
          <w:rFonts w:ascii="Times New Roman" w:hAnsi="Times New Roman" w:cs="Times New Roman"/>
          <w:sz w:val="24"/>
          <w:szCs w:val="24"/>
          <w:lang w:val="en-GB"/>
        </w:rPr>
        <w:t>scale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7885" w:rsidRPr="00CE7885">
        <w:rPr>
          <w:rFonts w:ascii="Times New Roman" w:hAnsi="Times New Roman" w:cs="Times New Roman"/>
          <w:sz w:val="24"/>
          <w:szCs w:val="24"/>
          <w:lang w:val="en-GB"/>
        </w:rPr>
        <w:t>efficiency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measure </w:t>
      </w:r>
      <w:r w:rsidR="00CE788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 xml:space="preserve">indicating </w:t>
      </w:r>
      <w:r w:rsidR="00CE7885" w:rsidRPr="00CE7885">
        <w:rPr>
          <w:rFonts w:ascii="Times New Roman" w:hAnsi="Times New Roman" w:cs="Times New Roman"/>
          <w:sz w:val="24"/>
          <w:szCs w:val="24"/>
          <w:lang w:val="en-GB"/>
        </w:rPr>
        <w:t>the ability of produc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E7885" w:rsidRPr="00CE78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7885" w:rsidRPr="00CE7885">
        <w:rPr>
          <w:rFonts w:ascii="Times New Roman" w:hAnsi="Times New Roman" w:cs="Times New Roman"/>
          <w:sz w:val="24"/>
          <w:szCs w:val="24"/>
          <w:lang w:val="en-GB"/>
        </w:rPr>
        <w:t xml:space="preserve">output 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682957">
        <w:rPr>
          <w:rFonts w:ascii="Times New Roman" w:hAnsi="Times New Roman" w:cs="Times New Roman"/>
          <w:sz w:val="24"/>
          <w:szCs w:val="24"/>
          <w:lang w:val="en-GB"/>
        </w:rPr>
        <w:t xml:space="preserve">lower unit costs for a 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given technology)</w:t>
      </w:r>
      <w:r w:rsidR="001F51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A7265" w:rsidRPr="00FB26EE">
        <w:rPr>
          <w:rFonts w:ascii="Times New Roman" w:hAnsi="Times New Roman" w:cs="Times New Roman"/>
          <w:b/>
          <w:sz w:val="24"/>
          <w:szCs w:val="24"/>
          <w:lang w:val="en-GB"/>
        </w:rPr>
        <w:t>X</w:t>
      </w:r>
      <w:r w:rsidR="008A7265" w:rsidRPr="00FB26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A7265" w:rsidRPr="00FB26E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vector </w:t>
      </w:r>
      <w:r w:rsidR="008A7265" w:rsidRPr="00FB26EE">
        <w:rPr>
          <w:rFonts w:ascii="Times New Roman" w:hAnsi="Times New Roman" w:cs="Times New Roman"/>
          <w:sz w:val="24"/>
          <w:szCs w:val="24"/>
          <w:lang w:val="en-GB"/>
        </w:rPr>
        <w:t xml:space="preserve">of control variables 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>affect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 banks’ p</w:t>
      </w:r>
      <w:r w:rsidR="00777E0D">
        <w:rPr>
          <w:rFonts w:ascii="Times New Roman" w:hAnsi="Times New Roman" w:cs="Times New Roman"/>
          <w:sz w:val="24"/>
          <w:szCs w:val="24"/>
          <w:lang w:val="en-GB"/>
        </w:rPr>
        <w:t>erformance</w:t>
      </w:r>
      <w:r w:rsidR="008A726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A5840" w:rsidRPr="008A5840">
        <w:rPr>
          <w:rFonts w:ascii="Times New Roman" w:hAnsi="Times New Roman" w:cs="Times New Roman"/>
          <w:i/>
          <w:sz w:val="24"/>
          <w:szCs w:val="24"/>
          <w:lang w:val="en-GB"/>
        </w:rPr>
        <w:sym w:font="Symbol" w:char="F064"/>
      </w:r>
      <w:r w:rsidR="008A5840" w:rsidRPr="008A5840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t</w:t>
      </w:r>
      <w:r w:rsidR="008A5840" w:rsidRPr="008A584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A5840">
        <w:rPr>
          <w:rFonts w:ascii="Times New Roman" w:hAnsi="Times New Roman" w:cs="Times New Roman"/>
          <w:i/>
          <w:sz w:val="24"/>
          <w:szCs w:val="24"/>
          <w:lang w:val="en-GB"/>
        </w:rPr>
        <w:sym w:font="Symbol" w:char="F06C"/>
      </w:r>
      <w:proofErr w:type="spellStart"/>
      <w:r w:rsidR="008A5840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</w:t>
      </w:r>
      <w:proofErr w:type="spellEnd"/>
      <w:r w:rsidR="008A5840" w:rsidRPr="008A5840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r w:rsidR="008A5840">
        <w:rPr>
          <w:rFonts w:ascii="Times New Roman" w:hAnsi="Times New Roman" w:cs="Times New Roman"/>
          <w:sz w:val="24"/>
          <w:szCs w:val="24"/>
          <w:lang w:val="en-GB"/>
        </w:rPr>
        <w:t xml:space="preserve">year and bank </w:t>
      </w:r>
      <w:r w:rsidR="008A5840" w:rsidRPr="008A5840">
        <w:rPr>
          <w:rFonts w:ascii="Times New Roman" w:hAnsi="Times New Roman" w:cs="Times New Roman"/>
          <w:sz w:val="24"/>
          <w:szCs w:val="24"/>
          <w:lang w:val="en-GB"/>
        </w:rPr>
        <w:t xml:space="preserve">dummies, respectively, </w:t>
      </w:r>
      <w:r w:rsidR="008A7265" w:rsidRPr="008A584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A7265" w:rsidRPr="008A5840">
        <w:rPr>
          <w:rFonts w:ascii="Times New Roman" w:hAnsi="Times New Roman" w:cs="Times New Roman"/>
          <w:i/>
          <w:sz w:val="24"/>
          <w:szCs w:val="24"/>
          <w:lang w:val="en-GB"/>
        </w:rPr>
        <w:sym w:font="Symbol" w:char="F065"/>
      </w:r>
      <w:r w:rsidR="008A5840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it</w:t>
      </w:r>
      <w:r w:rsidR="008A7265" w:rsidRPr="008A5840">
        <w:rPr>
          <w:rFonts w:ascii="Times New Roman" w:hAnsi="Times New Roman" w:cs="Times New Roman"/>
          <w:sz w:val="24"/>
          <w:szCs w:val="24"/>
          <w:lang w:val="en-GB"/>
        </w:rPr>
        <w:t xml:space="preserve"> is the error term.</w:t>
      </w:r>
    </w:p>
    <w:p w:rsidR="00334EB6" w:rsidRPr="00334EB6" w:rsidRDefault="00334EB6" w:rsidP="00334E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performance indices, we employ the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return-on-assets ratio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334EB6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the ratio between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net </w:t>
      </w:r>
      <w:r>
        <w:rPr>
          <w:rFonts w:ascii="Times New Roman" w:hAnsi="Times New Roman" w:cs="Times New Roman"/>
          <w:sz w:val="24"/>
          <w:szCs w:val="24"/>
          <w:lang w:val="en-GB"/>
        </w:rPr>
        <w:t>interest margin and total assets (</w:t>
      </w:r>
      <w:r w:rsidRPr="00334EB6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>
        <w:rPr>
          <w:rFonts w:ascii="Times New Roman" w:hAnsi="Times New Roman" w:cs="Times New Roman"/>
          <w:sz w:val="24"/>
          <w:szCs w:val="24"/>
          <w:lang w:val="en-GB"/>
        </w:rPr>
        <w:t>), and a measure of the role of non-interest returns (</w:t>
      </w:r>
      <w:r w:rsidRPr="00334EB6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calculated as 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(1+</w:t>
      </w:r>
      <w:r w:rsidRPr="002F3B05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)/(1+</w:t>
      </w:r>
      <w:r w:rsidRPr="002F3B05">
        <w:rPr>
          <w:rFonts w:ascii="Times New Roman" w:hAnsi="Times New Roman" w:cs="Times New Roman"/>
          <w:i/>
          <w:sz w:val="24"/>
          <w:szCs w:val="24"/>
          <w:lang w:val="en-GB"/>
        </w:rPr>
        <w:t>NIM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(Goldberg and Rai, 1996, p. 752)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The first captures banks’ ability to generate profits through their 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>business, the second concentrates on the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 pricing capacity (i.e.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the ability of 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charg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3B05" w:rsidRPr="00334EB6">
        <w:rPr>
          <w:rFonts w:ascii="Times New Roman" w:hAnsi="Times New Roman" w:cs="Times New Roman"/>
          <w:sz w:val="24"/>
          <w:szCs w:val="24"/>
          <w:lang w:val="en-GB"/>
        </w:rPr>
        <w:t xml:space="preserve">higher loan rates 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and/or 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lower deposit rates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), the third focuses on their </w:t>
      </w:r>
      <w:r w:rsidR="008A5840">
        <w:rPr>
          <w:rFonts w:ascii="Times New Roman" w:hAnsi="Times New Roman" w:cs="Times New Roman"/>
          <w:sz w:val="24"/>
          <w:szCs w:val="24"/>
          <w:lang w:val="en-GB"/>
        </w:rPr>
        <w:t>potential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F3B05">
        <w:rPr>
          <w:rFonts w:ascii="Times New Roman" w:hAnsi="Times New Roman" w:cs="Times New Roman"/>
          <w:sz w:val="24"/>
          <w:szCs w:val="24"/>
          <w:lang w:val="en-GB"/>
        </w:rPr>
        <w:t>earn from non-traditional services</w:t>
      </w:r>
      <w:r w:rsidRPr="00334EB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460D9" w:rsidRDefault="008A7265" w:rsidP="008D0BF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Regarding </w:t>
      </w:r>
      <w:r w:rsidR="00FF155E" w:rsidRPr="00FF155E">
        <w:rPr>
          <w:rFonts w:ascii="Times New Roman" w:hAnsi="Times New Roman" w:cs="Times New Roman"/>
          <w:i/>
          <w:sz w:val="24"/>
          <w:szCs w:val="24"/>
          <w:lang w:val="en-GB"/>
        </w:rPr>
        <w:t>X_E</w:t>
      </w:r>
      <w:r w:rsidRPr="00FF155E">
        <w:rPr>
          <w:rFonts w:ascii="Times New Roman" w:hAnsi="Times New Roman" w:cs="Times New Roman"/>
          <w:i/>
          <w:sz w:val="24"/>
          <w:szCs w:val="24"/>
          <w:lang w:val="en-GB"/>
        </w:rPr>
        <w:t>FF</w:t>
      </w:r>
      <w:r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we make use of bank-level cost efficiency scores 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>derived from an ad-</w:t>
      </w:r>
      <w:r w:rsidR="00D65EF4">
        <w:rPr>
          <w:rFonts w:ascii="Times New Roman" w:hAnsi="Times New Roman" w:cs="Times New Roman"/>
          <w:sz w:val="24"/>
          <w:szCs w:val="24"/>
          <w:lang w:val="en-GB"/>
        </w:rPr>
        <w:t xml:space="preserve">hoc estimation of </w:t>
      </w:r>
      <w:r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8A7265">
        <w:rPr>
          <w:rFonts w:ascii="Times New Roman" w:hAnsi="Times New Roman" w:cs="Times New Roman"/>
          <w:sz w:val="24"/>
          <w:szCs w:val="24"/>
          <w:lang w:val="en-GB"/>
        </w:rPr>
        <w:t>translog</w:t>
      </w:r>
      <w:proofErr w:type="spellEnd"/>
      <w:r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3141"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stochastic </w:t>
      </w:r>
      <w:r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cost frontier function 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Aigner</w:t>
      </w:r>
      <w:proofErr w:type="spellEnd"/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 et al.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 1977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Meeusen</w:t>
      </w:r>
      <w:proofErr w:type="spellEnd"/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 and van den </w:t>
      </w:r>
      <w:proofErr w:type="spellStart"/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Broeck</w:t>
      </w:r>
      <w:proofErr w:type="spellEnd"/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1977)</w:t>
      </w:r>
      <w:r w:rsidR="00FC3F52">
        <w:rPr>
          <w:rFonts w:ascii="Times New Roman" w:hAnsi="Times New Roman" w:cs="Times New Roman"/>
          <w:sz w:val="24"/>
          <w:szCs w:val="24"/>
          <w:lang w:val="en-GB"/>
        </w:rPr>
        <w:t xml:space="preserve">, where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the specification of the error term is made up of two components</w:t>
      </w:r>
      <w:r w:rsidR="00FF155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 inefficiency (the deviation between the observed output and the ‘frontier’ output, i.e. the efficient output from a given input set</w:t>
      </w:r>
      <w:r w:rsidR="00FF155E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this term</w:t>
      </w:r>
      <w:r w:rsidR="002460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460D9" w:rsidRPr="002460D9">
        <w:rPr>
          <w:rFonts w:ascii="Times New Roman" w:hAnsi="Times New Roman" w:cs="Times New Roman"/>
          <w:i/>
          <w:sz w:val="24"/>
          <w:szCs w:val="24"/>
          <w:lang w:val="en-GB"/>
        </w:rPr>
        <w:t>u</w:t>
      </w:r>
      <w:r w:rsidR="002460D9" w:rsidRPr="002460D9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it</w:t>
      </w:r>
      <w:proofErr w:type="spellEnd"/>
      <w:r w:rsidR="002460D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F155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E7AA6">
        <w:rPr>
          <w:rFonts w:ascii="Times New Roman" w:hAnsi="Times New Roman" w:cs="Times New Roman"/>
          <w:sz w:val="24"/>
          <w:szCs w:val="24"/>
          <w:lang w:val="en-GB"/>
        </w:rPr>
        <w:t xml:space="preserve">assumed to be </w:t>
      </w:r>
      <w:r w:rsidR="00FF155E" w:rsidRPr="00FF155E">
        <w:rPr>
          <w:rFonts w:ascii="Times New Roman" w:hAnsi="Times New Roman" w:cs="Times New Roman"/>
          <w:sz w:val="24"/>
          <w:szCs w:val="24"/>
          <w:lang w:val="en-GB"/>
        </w:rPr>
        <w:t>distributed as a positive half-normal random variable</w:t>
      </w:r>
      <w:r w:rsidRPr="008A7265">
        <w:rPr>
          <w:rFonts w:ascii="Times New Roman" w:hAnsi="Times New Roman" w:cs="Times New Roman"/>
          <w:sz w:val="24"/>
          <w:szCs w:val="24"/>
          <w:lang w:val="en-GB"/>
        </w:rPr>
        <w:t>) and unobserved heterogeneity (due to stochastic shocks and measurement errors).</w:t>
      </w:r>
      <w:r w:rsidR="00FB7D4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F155E">
        <w:rPr>
          <w:rFonts w:ascii="Times New Roman" w:hAnsi="Times New Roman" w:cs="Times New Roman"/>
          <w:sz w:val="24"/>
          <w:szCs w:val="24"/>
          <w:lang w:val="en-GB"/>
        </w:rPr>
        <w:t xml:space="preserve">efficiency </w:t>
      </w:r>
      <w:r w:rsidR="00FB7D4F">
        <w:rPr>
          <w:rFonts w:ascii="Times New Roman" w:hAnsi="Times New Roman" w:cs="Times New Roman"/>
          <w:sz w:val="24"/>
          <w:szCs w:val="24"/>
          <w:lang w:val="en-GB"/>
        </w:rPr>
        <w:t xml:space="preserve">scores </w:t>
      </w:r>
      <w:r w:rsidR="002460D9" w:rsidRPr="002460D9">
        <w:rPr>
          <w:rFonts w:ascii="Times New Roman" w:hAnsi="Times New Roman" w:cs="Times New Roman"/>
          <w:sz w:val="24"/>
          <w:szCs w:val="24"/>
          <w:lang w:val="en-GB"/>
        </w:rPr>
        <w:t xml:space="preserve">(calculated as </w:t>
      </w:r>
      <w:r w:rsidR="002460D9" w:rsidRPr="002460D9">
        <w:rPr>
          <w:rFonts w:ascii="Times New Roman" w:hAnsi="Times New Roman" w:cs="Times New Roman"/>
          <w:position w:val="-16"/>
          <w:sz w:val="24"/>
          <w:szCs w:val="24"/>
          <w:lang w:val="en-GB"/>
        </w:rPr>
        <w:object w:dxaOrig="2820" w:dyaOrig="440">
          <v:shape id="_x0000_i1026" type="#_x0000_t75" style="width:140.15pt;height:21.95pt" o:ole="">
            <v:imagedata r:id="rId9" o:title=""/>
          </v:shape>
          <o:OLEObject Type="Embed" ProgID="Equation.DSMT4" ShapeID="_x0000_i1026" DrawAspect="Content" ObjectID="_1629291595" r:id="rId10"/>
        </w:object>
      </w:r>
      <w:r w:rsidR="002460D9" w:rsidRPr="002460D9">
        <w:rPr>
          <w:rFonts w:ascii="Times New Roman" w:hAnsi="Times New Roman" w:cs="Times New Roman"/>
          <w:sz w:val="24"/>
          <w:szCs w:val="24"/>
          <w:lang w:val="en-GB"/>
        </w:rPr>
        <w:t xml:space="preserve">, where </w:t>
      </w:r>
      <w:r w:rsidR="002460D9" w:rsidRPr="002460D9">
        <w:rPr>
          <w:rFonts w:ascii="Times New Roman" w:hAnsi="Times New Roman" w:cs="Times New Roman"/>
          <w:i/>
          <w:sz w:val="24"/>
          <w:szCs w:val="24"/>
          <w:lang w:val="en-GB"/>
        </w:rPr>
        <w:sym w:font="Symbol" w:char="F065"/>
      </w:r>
      <w:r w:rsidR="002460D9" w:rsidRPr="002460D9">
        <w:rPr>
          <w:rFonts w:ascii="Times New Roman" w:hAnsi="Times New Roman" w:cs="Times New Roman"/>
          <w:i/>
          <w:sz w:val="24"/>
          <w:szCs w:val="24"/>
          <w:vertAlign w:val="subscript"/>
          <w:lang w:val="en-GB"/>
        </w:rPr>
        <w:t>it</w:t>
      </w:r>
      <w:r w:rsidR="002460D9" w:rsidRPr="002460D9">
        <w:rPr>
          <w:rFonts w:ascii="Times New Roman" w:hAnsi="Times New Roman" w:cs="Times New Roman"/>
          <w:sz w:val="24"/>
          <w:szCs w:val="24"/>
          <w:lang w:val="en-GB"/>
        </w:rPr>
        <w:t xml:space="preserve"> is the overall error term</w:t>
      </w:r>
      <w:r w:rsidR="002460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460D9" w:rsidRPr="002460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7D4F" w:rsidRPr="00FB7D4F">
        <w:rPr>
          <w:rFonts w:ascii="Times New Roman" w:hAnsi="Times New Roman" w:cs="Times New Roman"/>
          <w:sz w:val="24"/>
          <w:szCs w:val="24"/>
          <w:lang w:val="en-GB"/>
        </w:rPr>
        <w:t>range from 0 to 1</w:t>
      </w:r>
      <w:r w:rsidR="00FB7D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B7D4F" w:rsidRPr="00FB7D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FB7D4F">
        <w:rPr>
          <w:rFonts w:ascii="Times New Roman" w:hAnsi="Times New Roman" w:cs="Times New Roman"/>
          <w:sz w:val="24"/>
          <w:szCs w:val="24"/>
          <w:lang w:val="en-GB"/>
        </w:rPr>
        <w:t xml:space="preserve"> 1 characteriz</w:t>
      </w:r>
      <w:r w:rsidR="00DE3141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FB7D4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FB7D4F" w:rsidRPr="00FB7D4F">
        <w:rPr>
          <w:rFonts w:ascii="Times New Roman" w:hAnsi="Times New Roman" w:cs="Times New Roman"/>
          <w:sz w:val="24"/>
          <w:szCs w:val="24"/>
          <w:lang w:val="en-GB"/>
        </w:rPr>
        <w:t xml:space="preserve"> fully efficient bank.</w:t>
      </w:r>
      <w:r w:rsidR="00D65EF4">
        <w:rPr>
          <w:rStyle w:val="Rimandonotaapidipagina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8A72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64CB9" w:rsidRDefault="00461EB9" w:rsidP="00C05ED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From the same estimation we get also the </w:t>
      </w:r>
      <w:r w:rsidR="007E7AA6">
        <w:rPr>
          <w:rFonts w:ascii="Times New Roman" w:hAnsi="Times New Roman" w:cs="Times New Roman"/>
          <w:sz w:val="24"/>
          <w:szCs w:val="24"/>
          <w:lang w:val="en-GB"/>
        </w:rPr>
        <w:t>variable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61EB9">
        <w:rPr>
          <w:rFonts w:ascii="Times New Roman" w:hAnsi="Times New Roman" w:cs="Times New Roman"/>
          <w:i/>
          <w:sz w:val="24"/>
          <w:szCs w:val="24"/>
          <w:lang w:val="en-GB"/>
        </w:rPr>
        <w:t>S_EFF</w:t>
      </w:r>
      <w:r w:rsidR="00252165">
        <w:rPr>
          <w:rFonts w:ascii="Times New Roman" w:hAnsi="Times New Roman" w:cs="Times New Roman"/>
          <w:sz w:val="24"/>
          <w:szCs w:val="24"/>
          <w:lang w:val="en-GB"/>
        </w:rPr>
        <w:t xml:space="preserve">. We first </w:t>
      </w:r>
      <w:r w:rsidR="00964CB9">
        <w:rPr>
          <w:rFonts w:ascii="Times New Roman" w:hAnsi="Times New Roman" w:cs="Times New Roman"/>
          <w:sz w:val="24"/>
          <w:szCs w:val="24"/>
          <w:lang w:val="en-GB"/>
        </w:rPr>
        <w:t xml:space="preserve">compute </w:t>
      </w:r>
      <w:r w:rsidR="00252165" w:rsidRPr="001140F9">
        <w:rPr>
          <w:rFonts w:ascii="Times New Roman" w:hAnsi="Times New Roman"/>
          <w:sz w:val="24"/>
          <w:szCs w:val="24"/>
          <w:lang w:val="en-GB"/>
        </w:rPr>
        <w:t>returns to scale (</w:t>
      </w:r>
      <w:proofErr w:type="spellStart"/>
      <w:r w:rsidR="00252165" w:rsidRPr="001140F9">
        <w:rPr>
          <w:rFonts w:ascii="Times New Roman" w:hAnsi="Times New Roman"/>
          <w:i/>
          <w:sz w:val="24"/>
          <w:szCs w:val="24"/>
          <w:lang w:val="en-GB"/>
        </w:rPr>
        <w:t>RTS</w:t>
      </w:r>
      <w:r w:rsidR="00252165" w:rsidRPr="001140F9">
        <w:rPr>
          <w:rFonts w:ascii="Times New Roman" w:hAnsi="Times New Roman"/>
          <w:i/>
          <w:sz w:val="24"/>
          <w:szCs w:val="24"/>
          <w:vertAlign w:val="subscript"/>
          <w:lang w:val="en-GB"/>
        </w:rPr>
        <w:t>it</w:t>
      </w:r>
      <w:proofErr w:type="spellEnd"/>
      <w:r w:rsidR="00252165" w:rsidRPr="001140F9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 the reciprocal of the </w:t>
      </w:r>
      <w:r w:rsidRPr="00461EB9">
        <w:rPr>
          <w:rFonts w:ascii="Times New Roman" w:hAnsi="Times New Roman" w:cs="Times New Roman"/>
          <w:sz w:val="24"/>
          <w:szCs w:val="24"/>
          <w:lang w:val="en-GB"/>
        </w:rPr>
        <w:t>cost elasticity with respect to output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When</w:t>
      </w:r>
      <w:r w:rsidRPr="001140F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52165" w:rsidRPr="001140F9">
        <w:rPr>
          <w:rFonts w:ascii="Times New Roman" w:hAnsi="Times New Roman"/>
          <w:i/>
          <w:sz w:val="24"/>
          <w:szCs w:val="24"/>
          <w:lang w:val="en-GB"/>
        </w:rPr>
        <w:t>RTS</w:t>
      </w:r>
      <w:r w:rsidRPr="001140F9">
        <w:rPr>
          <w:rFonts w:ascii="Times New Roman" w:hAnsi="Times New Roman"/>
          <w:i/>
          <w:sz w:val="24"/>
          <w:szCs w:val="24"/>
          <w:vertAlign w:val="subscript"/>
          <w:lang w:val="en-GB"/>
        </w:rPr>
        <w:t>it</w:t>
      </w:r>
      <w:proofErr w:type="spellEnd"/>
      <w:r w:rsidRPr="001140F9">
        <w:rPr>
          <w:rFonts w:ascii="Times New Roman" w:hAnsi="Times New Roman"/>
          <w:sz w:val="24"/>
          <w:szCs w:val="24"/>
          <w:lang w:val="en-GB"/>
        </w:rPr>
        <w:t>&gt;1 (</w:t>
      </w:r>
      <w:proofErr w:type="spellStart"/>
      <w:r w:rsidR="00252165" w:rsidRPr="001140F9">
        <w:rPr>
          <w:rFonts w:ascii="Times New Roman" w:hAnsi="Times New Roman"/>
          <w:i/>
          <w:sz w:val="24"/>
          <w:szCs w:val="24"/>
          <w:lang w:val="en-GB"/>
        </w:rPr>
        <w:t>RTS</w:t>
      </w:r>
      <w:r w:rsidRPr="001140F9">
        <w:rPr>
          <w:rFonts w:ascii="Times New Roman" w:hAnsi="Times New Roman"/>
          <w:i/>
          <w:sz w:val="24"/>
          <w:szCs w:val="24"/>
          <w:vertAlign w:val="subscript"/>
          <w:lang w:val="en-GB"/>
        </w:rPr>
        <w:t>it</w:t>
      </w:r>
      <w:proofErr w:type="spellEnd"/>
      <w:r w:rsidRPr="001140F9">
        <w:rPr>
          <w:rFonts w:ascii="Times New Roman" w:hAnsi="Times New Roman"/>
          <w:sz w:val="24"/>
          <w:szCs w:val="24"/>
          <w:lang w:val="en-GB"/>
        </w:rPr>
        <w:t>&lt;1)</w:t>
      </w:r>
      <w:r w:rsidR="008D0BF2">
        <w:rPr>
          <w:rFonts w:ascii="Times New Roman" w:hAnsi="Times New Roman"/>
          <w:sz w:val="24"/>
          <w:szCs w:val="24"/>
          <w:lang w:val="en-GB"/>
        </w:rPr>
        <w:t>,</w:t>
      </w:r>
      <w:r w:rsidRPr="001140F9">
        <w:rPr>
          <w:rFonts w:ascii="Times New Roman" w:hAnsi="Times New Roman"/>
          <w:sz w:val="24"/>
          <w:szCs w:val="24"/>
          <w:lang w:val="en-GB"/>
        </w:rPr>
        <w:t xml:space="preserve"> bank</w:t>
      </w:r>
      <w:r w:rsidR="00F6318C">
        <w:rPr>
          <w:rFonts w:ascii="Times New Roman" w:hAnsi="Times New Roman"/>
          <w:sz w:val="24"/>
          <w:szCs w:val="24"/>
          <w:lang w:val="en-GB"/>
        </w:rPr>
        <w:t>s</w:t>
      </w:r>
      <w:r w:rsidRPr="00114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6318C" w:rsidRPr="00F6318C">
        <w:rPr>
          <w:rFonts w:ascii="Times New Roman" w:hAnsi="Times New Roman"/>
          <w:sz w:val="24"/>
          <w:szCs w:val="24"/>
          <w:lang w:val="en-GB"/>
        </w:rPr>
        <w:t>are</w:t>
      </w:r>
      <w:r w:rsidRPr="001140F9">
        <w:rPr>
          <w:rFonts w:ascii="Times New Roman" w:hAnsi="Times New Roman"/>
          <w:sz w:val="24"/>
          <w:szCs w:val="24"/>
          <w:lang w:val="en-GB"/>
        </w:rPr>
        <w:t xml:space="preserve"> enjoying economies (diseconomies) of scale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, i.e. </w:t>
      </w:r>
      <w:r w:rsidR="00F6318C">
        <w:rPr>
          <w:rFonts w:ascii="Times New Roman" w:hAnsi="Times New Roman"/>
          <w:sz w:val="24"/>
          <w:szCs w:val="24"/>
          <w:lang w:val="en-GB"/>
        </w:rPr>
        <w:t>they are</w:t>
      </w:r>
      <w:r w:rsidR="008D0BF2" w:rsidRPr="008D0BF2">
        <w:rPr>
          <w:rFonts w:ascii="Times New Roman" w:hAnsi="Times New Roman"/>
          <w:sz w:val="24"/>
          <w:szCs w:val="24"/>
          <w:lang w:val="en-GB"/>
        </w:rPr>
        <w:t xml:space="preserve"> operating below 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(above) </w:t>
      </w:r>
      <w:r w:rsidR="008D0BF2" w:rsidRPr="008D0BF2">
        <w:rPr>
          <w:rFonts w:ascii="Times New Roman" w:hAnsi="Times New Roman"/>
          <w:sz w:val="24"/>
          <w:szCs w:val="24"/>
          <w:lang w:val="en-GB"/>
        </w:rPr>
        <w:t xml:space="preserve">optimal scale levels </w:t>
      </w:r>
      <w:r w:rsidR="008D0BF2">
        <w:rPr>
          <w:rFonts w:ascii="Times New Roman" w:hAnsi="Times New Roman"/>
          <w:sz w:val="24"/>
          <w:szCs w:val="24"/>
          <w:lang w:val="en-GB"/>
        </w:rPr>
        <w:t>of production</w:t>
      </w:r>
      <w:r w:rsidR="00DE3141">
        <w:rPr>
          <w:rFonts w:ascii="Times New Roman" w:hAnsi="Times New Roman"/>
          <w:sz w:val="24"/>
          <w:szCs w:val="24"/>
          <w:lang w:val="en-GB"/>
        </w:rPr>
        <w:t>,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0BF2" w:rsidRPr="008D0BF2">
        <w:rPr>
          <w:rFonts w:ascii="Times New Roman" w:hAnsi="Times New Roman"/>
          <w:sz w:val="24"/>
          <w:szCs w:val="24"/>
          <w:lang w:val="en-GB"/>
        </w:rPr>
        <w:t>and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E7AA6">
        <w:rPr>
          <w:rFonts w:ascii="Times New Roman" w:hAnsi="Times New Roman"/>
          <w:sz w:val="24"/>
          <w:szCs w:val="24"/>
          <w:lang w:val="en-GB"/>
        </w:rPr>
        <w:t>may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0BF2" w:rsidRPr="008D0BF2">
        <w:rPr>
          <w:rFonts w:ascii="Times New Roman" w:hAnsi="Times New Roman"/>
          <w:sz w:val="24"/>
          <w:szCs w:val="24"/>
          <w:lang w:val="en-GB"/>
        </w:rPr>
        <w:t xml:space="preserve">lower costs by increasing </w:t>
      </w:r>
      <w:r w:rsidR="008D0BF2">
        <w:rPr>
          <w:rFonts w:ascii="Times New Roman" w:hAnsi="Times New Roman"/>
          <w:sz w:val="24"/>
          <w:szCs w:val="24"/>
          <w:lang w:val="en-GB"/>
        </w:rPr>
        <w:t xml:space="preserve">(decreasing) </w:t>
      </w:r>
      <w:r w:rsidR="008D0BF2" w:rsidRPr="008D0BF2">
        <w:rPr>
          <w:rFonts w:ascii="Times New Roman" w:hAnsi="Times New Roman"/>
          <w:sz w:val="24"/>
          <w:szCs w:val="24"/>
          <w:lang w:val="en-GB"/>
        </w:rPr>
        <w:t>output further</w:t>
      </w:r>
      <w:r w:rsidR="00DE3141">
        <w:rPr>
          <w:rFonts w:ascii="Times New Roman" w:hAnsi="Times New Roman"/>
          <w:sz w:val="24"/>
          <w:szCs w:val="24"/>
          <w:lang w:val="en-GB"/>
        </w:rPr>
        <w:t>;</w:t>
      </w:r>
      <w:r w:rsidRPr="001140F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52165" w:rsidRPr="001140F9">
        <w:rPr>
          <w:rFonts w:ascii="Times New Roman" w:hAnsi="Times New Roman"/>
          <w:i/>
          <w:sz w:val="24"/>
          <w:szCs w:val="24"/>
          <w:lang w:val="en-GB"/>
        </w:rPr>
        <w:t>RTS</w:t>
      </w:r>
      <w:r w:rsidR="008D0BF2" w:rsidRPr="001140F9">
        <w:rPr>
          <w:rFonts w:ascii="Times New Roman" w:hAnsi="Times New Roman"/>
          <w:i/>
          <w:sz w:val="24"/>
          <w:szCs w:val="24"/>
          <w:vertAlign w:val="subscript"/>
          <w:lang w:val="en-GB"/>
        </w:rPr>
        <w:t>it</w:t>
      </w:r>
      <w:proofErr w:type="spellEnd"/>
      <w:r w:rsidRPr="001140F9">
        <w:rPr>
          <w:rFonts w:ascii="Times New Roman" w:hAnsi="Times New Roman"/>
          <w:sz w:val="24"/>
          <w:szCs w:val="24"/>
          <w:lang w:val="en-GB"/>
        </w:rPr>
        <w:t xml:space="preserve">=1 indicates the </w:t>
      </w:r>
      <w:r w:rsidR="00C05ED9">
        <w:rPr>
          <w:rFonts w:ascii="Times New Roman" w:hAnsi="Times New Roman"/>
          <w:sz w:val="24"/>
          <w:szCs w:val="24"/>
          <w:lang w:val="en-GB"/>
        </w:rPr>
        <w:t>quantity minimiz</w:t>
      </w:r>
      <w:r w:rsidR="00DE3141">
        <w:rPr>
          <w:rFonts w:ascii="Times New Roman" w:hAnsi="Times New Roman"/>
          <w:sz w:val="24"/>
          <w:szCs w:val="24"/>
          <w:lang w:val="en-GB"/>
        </w:rPr>
        <w:t>ing</w:t>
      </w:r>
      <w:r w:rsidR="00C05ED9">
        <w:rPr>
          <w:rFonts w:ascii="Times New Roman" w:hAnsi="Times New Roman"/>
          <w:sz w:val="24"/>
          <w:szCs w:val="24"/>
          <w:lang w:val="en-GB"/>
        </w:rPr>
        <w:t xml:space="preserve"> average costs (i.e. </w:t>
      </w:r>
      <w:r w:rsidRPr="001140F9">
        <w:rPr>
          <w:rFonts w:ascii="Times New Roman" w:hAnsi="Times New Roman"/>
          <w:sz w:val="24"/>
          <w:szCs w:val="24"/>
          <w:lang w:val="en-GB"/>
        </w:rPr>
        <w:t>constant returns to scale</w:t>
      </w:r>
      <w:r w:rsidR="00C05ED9">
        <w:rPr>
          <w:rFonts w:ascii="Times New Roman" w:hAnsi="Times New Roman"/>
          <w:sz w:val="24"/>
          <w:szCs w:val="24"/>
          <w:lang w:val="en-GB"/>
        </w:rPr>
        <w:t>)</w:t>
      </w:r>
      <w:r w:rsidRPr="001140F9">
        <w:rPr>
          <w:rFonts w:ascii="Times New Roman" w:hAnsi="Times New Roman"/>
          <w:sz w:val="24"/>
          <w:szCs w:val="24"/>
          <w:lang w:val="en-GB"/>
        </w:rPr>
        <w:t>.</w:t>
      </w:r>
      <w:r w:rsidR="00964CB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E3141">
        <w:rPr>
          <w:rFonts w:ascii="Times New Roman" w:hAnsi="Times New Roman"/>
          <w:sz w:val="24"/>
          <w:szCs w:val="24"/>
          <w:lang w:val="en-GB"/>
        </w:rPr>
        <w:t>I</w:t>
      </w:r>
      <w:r w:rsidR="00964CB9">
        <w:rPr>
          <w:rFonts w:ascii="Times New Roman" w:hAnsi="Times New Roman"/>
          <w:sz w:val="24"/>
          <w:szCs w:val="24"/>
          <w:lang w:val="en-GB"/>
        </w:rPr>
        <w:t xml:space="preserve">n order to have an indicator of scale economies ranging between 0 and 1 (with increasing values meaning that banks are </w:t>
      </w:r>
      <w:r w:rsidR="007E7AA6">
        <w:rPr>
          <w:rFonts w:ascii="Times New Roman" w:hAnsi="Times New Roman"/>
          <w:sz w:val="24"/>
          <w:szCs w:val="24"/>
          <w:lang w:val="en-GB"/>
        </w:rPr>
        <w:t>c</w:t>
      </w:r>
      <w:r w:rsidR="00DE3141">
        <w:rPr>
          <w:rFonts w:ascii="Times New Roman" w:hAnsi="Times New Roman"/>
          <w:sz w:val="24"/>
          <w:szCs w:val="24"/>
          <w:lang w:val="en-GB"/>
        </w:rPr>
        <w:t>loser</w:t>
      </w:r>
      <w:r w:rsidR="00964CB9">
        <w:rPr>
          <w:rFonts w:ascii="Times New Roman" w:hAnsi="Times New Roman"/>
          <w:sz w:val="24"/>
          <w:szCs w:val="24"/>
          <w:lang w:val="en-GB"/>
        </w:rPr>
        <w:t xml:space="preserve"> and close</w:t>
      </w:r>
      <w:r w:rsidR="00DE3141">
        <w:rPr>
          <w:rFonts w:ascii="Times New Roman" w:hAnsi="Times New Roman"/>
          <w:sz w:val="24"/>
          <w:szCs w:val="24"/>
          <w:lang w:val="en-GB"/>
        </w:rPr>
        <w:t>r</w:t>
      </w:r>
      <w:r w:rsidR="00964CB9">
        <w:rPr>
          <w:rFonts w:ascii="Times New Roman" w:hAnsi="Times New Roman"/>
          <w:sz w:val="24"/>
          <w:szCs w:val="24"/>
          <w:lang w:val="en-GB"/>
        </w:rPr>
        <w:t xml:space="preserve"> to their efficient scale), we </w:t>
      </w:r>
      <w:r w:rsidR="000B368C">
        <w:rPr>
          <w:rFonts w:ascii="Times New Roman" w:hAnsi="Times New Roman"/>
          <w:sz w:val="24"/>
          <w:szCs w:val="24"/>
          <w:lang w:val="en-GB"/>
        </w:rPr>
        <w:t>set</w:t>
      </w:r>
      <w:r w:rsidR="00964CB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4CB9" w:rsidRPr="00964CB9">
        <w:rPr>
          <w:rFonts w:ascii="Times New Roman" w:hAnsi="Times New Roman"/>
          <w:i/>
          <w:sz w:val="24"/>
          <w:szCs w:val="24"/>
          <w:lang w:val="en-GB"/>
        </w:rPr>
        <w:t>S_EFF</w:t>
      </w:r>
      <w:r w:rsidR="000B368C" w:rsidRPr="000B368C">
        <w:rPr>
          <w:rFonts w:ascii="Times New Roman" w:hAnsi="Times New Roman"/>
          <w:sz w:val="24"/>
          <w:szCs w:val="24"/>
          <w:lang w:val="en-GB"/>
        </w:rPr>
        <w:t>=</w:t>
      </w:r>
      <w:r w:rsidR="000B368C" w:rsidRPr="000B368C">
        <w:rPr>
          <w:rFonts w:ascii="Times New Roman" w:hAnsi="Times New Roman"/>
          <w:i/>
          <w:sz w:val="24"/>
          <w:szCs w:val="24"/>
          <w:lang w:val="en-GB"/>
        </w:rPr>
        <w:t>RTS</w:t>
      </w:r>
      <w:r w:rsidR="000B368C">
        <w:rPr>
          <w:rFonts w:ascii="Times New Roman" w:hAnsi="Times New Roman"/>
          <w:sz w:val="24"/>
          <w:szCs w:val="24"/>
          <w:lang w:val="en-GB"/>
        </w:rPr>
        <w:t xml:space="preserve"> when </w:t>
      </w:r>
      <w:r w:rsidR="000B368C" w:rsidRPr="000B368C">
        <w:rPr>
          <w:rFonts w:ascii="Times New Roman" w:hAnsi="Times New Roman"/>
          <w:i/>
          <w:sz w:val="24"/>
          <w:szCs w:val="24"/>
          <w:lang w:val="en-GB"/>
        </w:rPr>
        <w:t>RTS</w:t>
      </w:r>
      <w:r w:rsidR="000B368C">
        <w:rPr>
          <w:rFonts w:ascii="Times New Roman" w:hAnsi="Times New Roman"/>
          <w:sz w:val="24"/>
          <w:szCs w:val="24"/>
          <w:lang w:val="en-GB"/>
        </w:rPr>
        <w:sym w:font="Symbol" w:char="F0A3"/>
      </w:r>
      <w:r w:rsidR="000B368C" w:rsidRPr="000B368C">
        <w:rPr>
          <w:rFonts w:ascii="Times New Roman" w:hAnsi="Times New Roman"/>
          <w:sz w:val="24"/>
          <w:szCs w:val="24"/>
          <w:lang w:val="en-GB"/>
        </w:rPr>
        <w:t>1</w:t>
      </w:r>
      <w:r w:rsidR="000B368C">
        <w:rPr>
          <w:rFonts w:ascii="Times New Roman" w:hAnsi="Times New Roman"/>
          <w:sz w:val="24"/>
          <w:szCs w:val="24"/>
          <w:lang w:val="en-GB"/>
        </w:rPr>
        <w:t xml:space="preserve">, and </w:t>
      </w:r>
      <w:r w:rsidR="000B368C" w:rsidRPr="00964CB9">
        <w:rPr>
          <w:rFonts w:ascii="Times New Roman" w:hAnsi="Times New Roman"/>
          <w:i/>
          <w:sz w:val="24"/>
          <w:szCs w:val="24"/>
          <w:lang w:val="en-GB"/>
        </w:rPr>
        <w:t>S_EFF</w:t>
      </w:r>
      <w:r w:rsidR="000B368C" w:rsidRPr="000B368C">
        <w:rPr>
          <w:rFonts w:ascii="Times New Roman" w:hAnsi="Times New Roman"/>
          <w:sz w:val="24"/>
          <w:szCs w:val="24"/>
          <w:lang w:val="en-GB"/>
        </w:rPr>
        <w:t>=</w:t>
      </w:r>
      <w:r w:rsidR="000B368C">
        <w:rPr>
          <w:rFonts w:ascii="Times New Roman" w:hAnsi="Times New Roman"/>
          <w:sz w:val="24"/>
          <w:szCs w:val="24"/>
          <w:lang w:val="en-GB"/>
        </w:rPr>
        <w:t>2–</w:t>
      </w:r>
      <w:r w:rsidR="000B368C" w:rsidRPr="000B368C">
        <w:rPr>
          <w:rFonts w:ascii="Times New Roman" w:hAnsi="Times New Roman"/>
          <w:i/>
          <w:sz w:val="24"/>
          <w:szCs w:val="24"/>
          <w:lang w:val="en-GB"/>
        </w:rPr>
        <w:t>RTS</w:t>
      </w:r>
      <w:r w:rsidR="000B368C">
        <w:rPr>
          <w:rFonts w:ascii="Times New Roman" w:hAnsi="Times New Roman"/>
          <w:sz w:val="24"/>
          <w:szCs w:val="24"/>
          <w:lang w:val="en-GB"/>
        </w:rPr>
        <w:t xml:space="preserve"> when </w:t>
      </w:r>
      <w:r w:rsidR="000B368C" w:rsidRPr="000B368C">
        <w:rPr>
          <w:rFonts w:ascii="Times New Roman" w:hAnsi="Times New Roman"/>
          <w:i/>
          <w:sz w:val="24"/>
          <w:szCs w:val="24"/>
          <w:lang w:val="en-GB"/>
        </w:rPr>
        <w:t>RTS</w:t>
      </w:r>
      <w:r w:rsidR="000B368C" w:rsidRPr="000B368C">
        <w:rPr>
          <w:rFonts w:ascii="Times New Roman" w:hAnsi="Times New Roman"/>
          <w:sz w:val="24"/>
          <w:szCs w:val="24"/>
          <w:lang w:val="en-GB"/>
        </w:rPr>
        <w:t> </w:t>
      </w:r>
      <w:r w:rsidR="000B368C">
        <w:rPr>
          <w:rFonts w:ascii="Times New Roman" w:hAnsi="Times New Roman"/>
          <w:sz w:val="24"/>
          <w:szCs w:val="24"/>
          <w:lang w:val="en-GB"/>
        </w:rPr>
        <w:t>&gt;</w:t>
      </w:r>
      <w:r w:rsidR="000B368C" w:rsidRPr="000B368C">
        <w:rPr>
          <w:rFonts w:ascii="Times New Roman" w:hAnsi="Times New Roman"/>
          <w:sz w:val="24"/>
          <w:szCs w:val="24"/>
          <w:lang w:val="en-GB"/>
        </w:rPr>
        <w:t> 1</w:t>
      </w:r>
      <w:r w:rsidR="000B368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B368C">
        <w:rPr>
          <w:rFonts w:ascii="Times New Roman" w:hAnsi="Times New Roman"/>
          <w:sz w:val="24"/>
          <w:szCs w:val="24"/>
          <w:lang w:val="en-GB"/>
        </w:rPr>
        <w:lastRenderedPageBreak/>
        <w:t xml:space="preserve">In this way, </w:t>
      </w:r>
      <w:r w:rsidR="00C05ED9">
        <w:rPr>
          <w:rFonts w:ascii="Times New Roman" w:hAnsi="Times New Roman"/>
          <w:sz w:val="24"/>
          <w:szCs w:val="24"/>
          <w:lang w:val="en-GB"/>
        </w:rPr>
        <w:t xml:space="preserve">both </w:t>
      </w:r>
      <w:r w:rsidR="000B368C" w:rsidRPr="005302A9">
        <w:rPr>
          <w:rFonts w:ascii="Times New Roman" w:hAnsi="Times New Roman"/>
          <w:i/>
          <w:sz w:val="24"/>
          <w:szCs w:val="24"/>
          <w:lang w:val="en-GB"/>
        </w:rPr>
        <w:t>RTS</w:t>
      </w:r>
      <w:r w:rsidR="00964CB9" w:rsidRPr="00964CB9">
        <w:rPr>
          <w:rFonts w:ascii="Times New Roman" w:hAnsi="Times New Roman"/>
          <w:sz w:val="24"/>
          <w:szCs w:val="24"/>
          <w:lang w:val="en-GB"/>
        </w:rPr>
        <w:t xml:space="preserve">&gt;1 and </w:t>
      </w:r>
      <w:r w:rsidR="000B368C" w:rsidRPr="005302A9">
        <w:rPr>
          <w:rFonts w:ascii="Times New Roman" w:hAnsi="Times New Roman"/>
          <w:i/>
          <w:sz w:val="24"/>
          <w:szCs w:val="24"/>
          <w:lang w:val="en-GB"/>
        </w:rPr>
        <w:t>RTS</w:t>
      </w:r>
      <w:r w:rsidR="00964CB9" w:rsidRPr="00964CB9">
        <w:rPr>
          <w:rFonts w:ascii="Times New Roman" w:hAnsi="Times New Roman"/>
          <w:sz w:val="24"/>
          <w:szCs w:val="24"/>
          <w:lang w:val="en-GB"/>
        </w:rPr>
        <w:t xml:space="preserve">&lt;1 </w:t>
      </w:r>
      <w:r w:rsidR="00DE3141">
        <w:rPr>
          <w:rFonts w:ascii="Times New Roman" w:hAnsi="Times New Roman"/>
          <w:sz w:val="24"/>
          <w:szCs w:val="24"/>
          <w:lang w:val="en-GB"/>
        </w:rPr>
        <w:t xml:space="preserve">indicate </w:t>
      </w:r>
      <w:r w:rsidR="00964CB9" w:rsidRPr="00964CB9">
        <w:rPr>
          <w:rFonts w:ascii="Times New Roman" w:hAnsi="Times New Roman"/>
          <w:sz w:val="24"/>
          <w:szCs w:val="24"/>
          <w:lang w:val="en-GB"/>
        </w:rPr>
        <w:t>inefficienc</w:t>
      </w:r>
      <w:r w:rsidR="00DE3141">
        <w:rPr>
          <w:rFonts w:ascii="Times New Roman" w:hAnsi="Times New Roman"/>
          <w:sz w:val="24"/>
          <w:szCs w:val="24"/>
          <w:lang w:val="en-GB"/>
        </w:rPr>
        <w:t>y</w:t>
      </w:r>
      <w:r w:rsidR="00964CB9" w:rsidRPr="00964CB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05ED9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="009E1075">
        <w:rPr>
          <w:rFonts w:ascii="Times New Roman" w:hAnsi="Times New Roman"/>
          <w:sz w:val="24"/>
          <w:szCs w:val="24"/>
          <w:lang w:val="en-GB"/>
        </w:rPr>
        <w:t xml:space="preserve">higher values of </w:t>
      </w:r>
      <w:r w:rsidR="009E1075" w:rsidRPr="00C05ED9">
        <w:rPr>
          <w:rFonts w:ascii="Times New Roman" w:hAnsi="Times New Roman"/>
          <w:i/>
          <w:sz w:val="24"/>
          <w:szCs w:val="24"/>
          <w:lang w:val="en-GB"/>
        </w:rPr>
        <w:t>S_EFF</w:t>
      </w:r>
      <w:r w:rsidR="009E1075">
        <w:rPr>
          <w:rFonts w:ascii="Times New Roman" w:hAnsi="Times New Roman"/>
          <w:sz w:val="24"/>
          <w:szCs w:val="24"/>
          <w:lang w:val="en-GB"/>
        </w:rPr>
        <w:t xml:space="preserve"> imply</w:t>
      </w:r>
      <w:r w:rsidR="00C05ED9">
        <w:rPr>
          <w:rFonts w:ascii="Times New Roman" w:hAnsi="Times New Roman"/>
          <w:sz w:val="24"/>
          <w:szCs w:val="24"/>
          <w:lang w:val="en-GB"/>
        </w:rPr>
        <w:t>ing</w:t>
      </w:r>
      <w:r w:rsidR="009E107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05ED9">
        <w:rPr>
          <w:rFonts w:ascii="Times New Roman" w:hAnsi="Times New Roman"/>
          <w:sz w:val="24"/>
          <w:szCs w:val="24"/>
          <w:lang w:val="en-GB"/>
        </w:rPr>
        <w:t xml:space="preserve">increasing </w:t>
      </w:r>
      <w:r w:rsidR="009E1075">
        <w:rPr>
          <w:rFonts w:ascii="Times New Roman" w:hAnsi="Times New Roman"/>
          <w:sz w:val="24"/>
          <w:szCs w:val="24"/>
          <w:lang w:val="en-GB"/>
        </w:rPr>
        <w:t>scale efficiency.</w:t>
      </w:r>
    </w:p>
    <w:p w:rsidR="003E4681" w:rsidRDefault="003E4681" w:rsidP="003E468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In line w</w:t>
      </w:r>
      <w:r w:rsidR="000E7DCB">
        <w:rPr>
          <w:rFonts w:ascii="Times New Roman" w:hAnsi="Times New Roman"/>
          <w:sz w:val="24"/>
          <w:szCs w:val="24"/>
          <w:lang w:val="en-GB"/>
        </w:rPr>
        <w:t xml:space="preserve">ith Goldberg and Rai (1996) and Berger and </w:t>
      </w:r>
      <w:proofErr w:type="spellStart"/>
      <w:r w:rsidR="000E7DCB">
        <w:rPr>
          <w:rFonts w:ascii="Times New Roman" w:hAnsi="Times New Roman"/>
          <w:sz w:val="24"/>
          <w:szCs w:val="24"/>
          <w:lang w:val="en-GB"/>
        </w:rPr>
        <w:t>Hannan</w:t>
      </w:r>
      <w:proofErr w:type="spellEnd"/>
      <w:r w:rsidR="000E7DCB">
        <w:rPr>
          <w:rFonts w:ascii="Times New Roman" w:hAnsi="Times New Roman"/>
          <w:sz w:val="24"/>
          <w:szCs w:val="24"/>
          <w:lang w:val="en-GB"/>
        </w:rPr>
        <w:t xml:space="preserve"> (1997)</w:t>
      </w:r>
      <w:r>
        <w:rPr>
          <w:rFonts w:ascii="Times New Roman" w:hAnsi="Times New Roman"/>
          <w:sz w:val="24"/>
          <w:szCs w:val="24"/>
          <w:lang w:val="en-GB"/>
        </w:rPr>
        <w:t xml:space="preserve">, we use our model to test </w:t>
      </w:r>
      <w:r w:rsidR="00096E8A">
        <w:rPr>
          <w:rFonts w:ascii="Times New Roman" w:hAnsi="Times New Roman"/>
          <w:sz w:val="24"/>
          <w:szCs w:val="24"/>
          <w:lang w:val="en-GB"/>
        </w:rPr>
        <w:t>some</w:t>
      </w:r>
      <w:r w:rsidRPr="003E468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hypotheses. If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Pr="003E4681">
        <w:rPr>
          <w:rFonts w:ascii="Times New Roman" w:hAnsi="Times New Roman"/>
          <w:sz w:val="24"/>
          <w:szCs w:val="24"/>
          <w:vertAlign w:val="sub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 xml:space="preserve">&gt;0 and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sym w:font="Symbol" w:char="F0B3"/>
      </w:r>
      <w:r>
        <w:rPr>
          <w:rFonts w:ascii="Times New Roman" w:hAnsi="Times New Roman"/>
          <w:sz w:val="24"/>
          <w:szCs w:val="24"/>
          <w:lang w:val="en-GB"/>
        </w:rPr>
        <w:t xml:space="preserve">0, while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7E7AA6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0 and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="007E7AA6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0, there would be </w:t>
      </w:r>
      <w:r w:rsidR="00F6318C">
        <w:rPr>
          <w:rFonts w:ascii="Times New Roman" w:hAnsi="Times New Roman"/>
          <w:sz w:val="24"/>
          <w:szCs w:val="24"/>
          <w:lang w:val="en-GB"/>
        </w:rPr>
        <w:t xml:space="preserve">confirmation </w:t>
      </w:r>
      <w:r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096E8A">
        <w:rPr>
          <w:rFonts w:ascii="Times New Roman" w:hAnsi="Times New Roman"/>
          <w:sz w:val="24"/>
          <w:szCs w:val="24"/>
          <w:lang w:val="en-GB"/>
        </w:rPr>
        <w:t>SCP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4681">
        <w:rPr>
          <w:rFonts w:ascii="Times New Roman" w:hAnsi="Times New Roman"/>
          <w:sz w:val="24"/>
          <w:szCs w:val="24"/>
          <w:lang w:val="en-GB"/>
        </w:rPr>
        <w:t>hypothesis</w:t>
      </w:r>
      <w:r>
        <w:rPr>
          <w:rFonts w:ascii="Times New Roman" w:hAnsi="Times New Roman"/>
          <w:sz w:val="24"/>
          <w:szCs w:val="24"/>
          <w:lang w:val="en-GB"/>
        </w:rPr>
        <w:t xml:space="preserve">, as banks gain higher profits as a result of non-competitive conduct due to market concentration. If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Pr="003E4681">
        <w:rPr>
          <w:rFonts w:ascii="Times New Roman" w:hAnsi="Times New Roman"/>
          <w:sz w:val="24"/>
          <w:szCs w:val="24"/>
          <w:vertAlign w:val="subscript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sym w:font="Symbol" w:char="F0B3"/>
      </w:r>
      <w:r>
        <w:rPr>
          <w:rFonts w:ascii="Times New Roman" w:hAnsi="Times New Roman"/>
          <w:sz w:val="24"/>
          <w:szCs w:val="24"/>
          <w:lang w:val="en-GB"/>
        </w:rPr>
        <w:t xml:space="preserve">0 and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DE1E8F">
        <w:rPr>
          <w:rFonts w:ascii="Times New Roman" w:hAnsi="Times New Roman"/>
          <w:sz w:val="24"/>
          <w:szCs w:val="24"/>
          <w:lang w:val="en-GB"/>
        </w:rPr>
        <w:t>&gt;</w:t>
      </w:r>
      <w:r>
        <w:rPr>
          <w:rFonts w:ascii="Times New Roman" w:hAnsi="Times New Roman"/>
          <w:sz w:val="24"/>
          <w:szCs w:val="24"/>
          <w:lang w:val="en-GB"/>
        </w:rPr>
        <w:t xml:space="preserve">0, </w:t>
      </w:r>
      <w:r w:rsidR="00D80770">
        <w:rPr>
          <w:rFonts w:ascii="Times New Roman" w:hAnsi="Times New Roman"/>
          <w:sz w:val="24"/>
          <w:szCs w:val="24"/>
          <w:lang w:val="en-GB"/>
        </w:rPr>
        <w:t>but again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7E7AA6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0 and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="007E7AA6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0, </w:t>
      </w:r>
      <w:r w:rsidR="00D80770">
        <w:rPr>
          <w:rFonts w:ascii="Times New Roman" w:hAnsi="Times New Roman"/>
          <w:sz w:val="24"/>
          <w:szCs w:val="24"/>
          <w:lang w:val="en-GB"/>
        </w:rPr>
        <w:t xml:space="preserve">market conditions would be compatible with the </w:t>
      </w:r>
      <w:r w:rsidR="00D80770" w:rsidRPr="003E4681">
        <w:rPr>
          <w:rFonts w:ascii="Times New Roman" w:hAnsi="Times New Roman"/>
          <w:sz w:val="24"/>
          <w:szCs w:val="24"/>
          <w:lang w:val="en-GB"/>
        </w:rPr>
        <w:t>relative market power hypothesis (RMP)</w:t>
      </w:r>
      <w:r w:rsidR="00D80770">
        <w:rPr>
          <w:rFonts w:ascii="Times New Roman" w:hAnsi="Times New Roman"/>
          <w:sz w:val="24"/>
          <w:szCs w:val="24"/>
          <w:lang w:val="en-GB"/>
        </w:rPr>
        <w:t>, according to which banks are able to exert market power (and gain more profits) thanks to larger market shares.</w:t>
      </w:r>
      <w:r w:rsidR="00D80770" w:rsidRPr="003E468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80770">
        <w:rPr>
          <w:rFonts w:ascii="Times New Roman" w:hAnsi="Times New Roman"/>
          <w:sz w:val="24"/>
          <w:szCs w:val="24"/>
          <w:lang w:val="en-GB"/>
        </w:rPr>
        <w:t>Note that this hypothesis may occur also in less concentrated markets.</w:t>
      </w:r>
    </w:p>
    <w:p w:rsidR="00334EB6" w:rsidRDefault="00096A37" w:rsidP="00334EB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case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Pr="003E4681">
        <w:rPr>
          <w:rFonts w:ascii="Times New Roman" w:hAnsi="Times New Roman"/>
          <w:sz w:val="24"/>
          <w:szCs w:val="24"/>
          <w:vertAlign w:val="subscript"/>
          <w:lang w:val="en-GB"/>
        </w:rPr>
        <w:t>1</w:t>
      </w:r>
      <w:r w:rsidR="007E7AA6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0 and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=0, but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GB"/>
        </w:rPr>
        <w:t xml:space="preserve">&gt;0 and/or </w:t>
      </w:r>
      <w:r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 xml:space="preserve">&gt;0, there is signal that </w:t>
      </w:r>
      <w:r w:rsidRPr="00096A37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96E8A">
        <w:rPr>
          <w:rFonts w:ascii="Times New Roman" w:hAnsi="Times New Roman"/>
          <w:sz w:val="24"/>
          <w:szCs w:val="24"/>
          <w:lang w:val="en-GB"/>
        </w:rPr>
        <w:t xml:space="preserve">ES </w:t>
      </w:r>
      <w:r w:rsidRPr="00096A37">
        <w:rPr>
          <w:rFonts w:ascii="Times New Roman" w:hAnsi="Times New Roman"/>
          <w:sz w:val="24"/>
          <w:szCs w:val="24"/>
          <w:lang w:val="en-GB"/>
        </w:rPr>
        <w:t>hypothesis</w:t>
      </w:r>
      <w:r>
        <w:rPr>
          <w:rFonts w:ascii="Times New Roman" w:hAnsi="Times New Roman"/>
          <w:sz w:val="24"/>
          <w:szCs w:val="24"/>
          <w:lang w:val="en-GB"/>
        </w:rPr>
        <w:t xml:space="preserve"> is at work</w:t>
      </w:r>
      <w:r w:rsidR="00F6318C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6318C">
        <w:rPr>
          <w:rFonts w:ascii="Times New Roman" w:hAnsi="Times New Roman"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lang w:val="en-GB"/>
        </w:rPr>
        <w:t>ow</w:t>
      </w:r>
      <w:r w:rsidRPr="00096A37">
        <w:rPr>
          <w:rFonts w:ascii="Times New Roman" w:hAnsi="Times New Roman"/>
          <w:sz w:val="24"/>
          <w:szCs w:val="24"/>
          <w:lang w:val="en-GB"/>
        </w:rPr>
        <w:t xml:space="preserve"> more efficient </w:t>
      </w:r>
      <w:r>
        <w:rPr>
          <w:rFonts w:ascii="Times New Roman" w:hAnsi="Times New Roman"/>
          <w:sz w:val="24"/>
          <w:szCs w:val="24"/>
          <w:lang w:val="en-GB"/>
        </w:rPr>
        <w:t>banks</w:t>
      </w:r>
      <w:r w:rsidRPr="00096A3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enjoy </w:t>
      </w:r>
      <w:r w:rsidRPr="00096A37">
        <w:rPr>
          <w:rFonts w:ascii="Times New Roman" w:hAnsi="Times New Roman"/>
          <w:sz w:val="24"/>
          <w:szCs w:val="24"/>
          <w:lang w:val="en-GB"/>
        </w:rPr>
        <w:t>higher profits</w:t>
      </w:r>
      <w:r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096A37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because of their superior efficiency, can gain </w:t>
      </w:r>
      <w:r w:rsidRPr="00096A37">
        <w:rPr>
          <w:rFonts w:ascii="Times New Roman" w:hAnsi="Times New Roman"/>
          <w:sz w:val="24"/>
          <w:szCs w:val="24"/>
          <w:lang w:val="en-GB"/>
        </w:rPr>
        <w:t>higher market share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96A37">
        <w:rPr>
          <w:rFonts w:ascii="Times New Roman" w:hAnsi="Times New Roman"/>
          <w:sz w:val="24"/>
          <w:szCs w:val="24"/>
          <w:lang w:val="en-GB"/>
        </w:rPr>
        <w:t>and</w:t>
      </w:r>
      <w:r>
        <w:rPr>
          <w:rFonts w:ascii="Times New Roman" w:hAnsi="Times New Roman"/>
          <w:sz w:val="24"/>
          <w:szCs w:val="24"/>
          <w:lang w:val="en-GB"/>
        </w:rPr>
        <w:t xml:space="preserve"> likely operate </w:t>
      </w:r>
      <w:r w:rsidRPr="00096A37">
        <w:rPr>
          <w:rFonts w:ascii="Times New Roman" w:hAnsi="Times New Roman"/>
          <w:sz w:val="24"/>
          <w:szCs w:val="24"/>
          <w:lang w:val="en-GB"/>
        </w:rPr>
        <w:t>in markets with higher concentration.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6915">
        <w:rPr>
          <w:rFonts w:ascii="Times New Roman" w:hAnsi="Times New Roman"/>
          <w:sz w:val="24"/>
          <w:szCs w:val="24"/>
          <w:lang w:val="en-GB"/>
        </w:rPr>
        <w:t>However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16C37">
        <w:rPr>
          <w:rFonts w:ascii="Times New Roman" w:hAnsi="Times New Roman"/>
          <w:sz w:val="24"/>
          <w:szCs w:val="24"/>
          <w:lang w:val="en-GB"/>
        </w:rPr>
        <w:t xml:space="preserve">we can also </w:t>
      </w:r>
      <w:r>
        <w:rPr>
          <w:rFonts w:ascii="Times New Roman" w:hAnsi="Times New Roman"/>
          <w:sz w:val="24"/>
          <w:szCs w:val="24"/>
          <w:lang w:val="en-GB"/>
        </w:rPr>
        <w:t xml:space="preserve">disentangle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the role of X-efficiency and scale efficiency. When </w:t>
      </w:r>
      <w:r w:rsidR="00166915"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="00166915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&gt;0, banks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 xml:space="preserve">with superior management or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better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>production processes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 can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 xml:space="preserve">operate </w:t>
      </w:r>
      <w:r w:rsidR="00166915">
        <w:rPr>
          <w:rFonts w:ascii="Times New Roman" w:hAnsi="Times New Roman"/>
          <w:sz w:val="24"/>
          <w:szCs w:val="24"/>
          <w:lang w:val="en-GB"/>
        </w:rPr>
        <w:t>with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 xml:space="preserve"> lower costs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thus obtaining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 xml:space="preserve">higher profits </w:t>
      </w:r>
      <w:r w:rsidR="00166915">
        <w:rPr>
          <w:rFonts w:ascii="Times New Roman" w:hAnsi="Times New Roman"/>
          <w:sz w:val="24"/>
          <w:szCs w:val="24"/>
          <w:lang w:val="en-GB"/>
        </w:rPr>
        <w:t>(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>X-efficiency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 hypothesis, ESX). When </w:t>
      </w:r>
      <w:r w:rsidR="00166915"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="00166915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&gt;0, banks may be characterized by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 xml:space="preserve">similar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technology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>and management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 xml:space="preserve">but operate at different levels of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scale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>economies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, and those closer to the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 xml:space="preserve">optimal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level 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 xml:space="preserve">have </w:t>
      </w:r>
      <w:r w:rsidR="00166915">
        <w:rPr>
          <w:rFonts w:ascii="Times New Roman" w:hAnsi="Times New Roman"/>
          <w:sz w:val="24"/>
          <w:szCs w:val="24"/>
          <w:lang w:val="en-GB"/>
        </w:rPr>
        <w:t>lower</w:t>
      </w:r>
      <w:r w:rsidR="00166915" w:rsidRPr="00166915">
        <w:rPr>
          <w:rFonts w:ascii="Times New Roman" w:hAnsi="Times New Roman"/>
          <w:sz w:val="24"/>
          <w:szCs w:val="24"/>
          <w:lang w:val="en-GB"/>
        </w:rPr>
        <w:t xml:space="preserve"> costs 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(scale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>efficiency</w:t>
      </w:r>
      <w:r w:rsidR="0016691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>hypothesis</w:t>
      </w:r>
      <w:r w:rsidR="00166915">
        <w:rPr>
          <w:rFonts w:ascii="Times New Roman" w:hAnsi="Times New Roman"/>
          <w:sz w:val="24"/>
          <w:szCs w:val="24"/>
          <w:lang w:val="en-GB"/>
        </w:rPr>
        <w:t>,</w:t>
      </w:r>
      <w:r w:rsidR="00166915" w:rsidRPr="003E4681">
        <w:rPr>
          <w:rFonts w:ascii="Times New Roman" w:hAnsi="Times New Roman"/>
          <w:sz w:val="24"/>
          <w:szCs w:val="24"/>
          <w:lang w:val="en-GB"/>
        </w:rPr>
        <w:t xml:space="preserve"> ESS)</w:t>
      </w:r>
      <w:r w:rsidR="00166915">
        <w:rPr>
          <w:rFonts w:ascii="Times New Roman" w:hAnsi="Times New Roman"/>
          <w:sz w:val="24"/>
          <w:szCs w:val="24"/>
          <w:lang w:val="en-GB"/>
        </w:rPr>
        <w:t>.</w:t>
      </w:r>
      <w:r w:rsidR="00334EB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34EB6" w:rsidRPr="003E4681">
        <w:rPr>
          <w:rFonts w:ascii="Times New Roman" w:hAnsi="Times New Roman"/>
          <w:sz w:val="24"/>
          <w:szCs w:val="24"/>
          <w:lang w:val="en-GB"/>
        </w:rPr>
        <w:t xml:space="preserve">Both </w:t>
      </w:r>
      <w:r w:rsidR="00334EB6">
        <w:rPr>
          <w:rFonts w:ascii="Times New Roman" w:hAnsi="Times New Roman"/>
          <w:sz w:val="24"/>
          <w:szCs w:val="24"/>
          <w:lang w:val="en-GB"/>
        </w:rPr>
        <w:t xml:space="preserve">ESX and ESS, as told, postulate </w:t>
      </w:r>
      <w:r w:rsidR="00334EB6" w:rsidRPr="003E4681">
        <w:rPr>
          <w:rFonts w:ascii="Times New Roman" w:hAnsi="Times New Roman"/>
          <w:sz w:val="24"/>
          <w:szCs w:val="24"/>
          <w:lang w:val="en-GB"/>
        </w:rPr>
        <w:t xml:space="preserve">an alternative </w:t>
      </w:r>
      <w:r w:rsidR="00334EB6">
        <w:rPr>
          <w:rFonts w:ascii="Times New Roman" w:hAnsi="Times New Roman"/>
          <w:sz w:val="24"/>
          <w:szCs w:val="24"/>
          <w:lang w:val="en-GB"/>
        </w:rPr>
        <w:t xml:space="preserve">reason </w:t>
      </w:r>
      <w:r w:rsidR="00334EB6" w:rsidRPr="003E4681">
        <w:rPr>
          <w:rFonts w:ascii="Times New Roman" w:hAnsi="Times New Roman"/>
          <w:sz w:val="24"/>
          <w:szCs w:val="24"/>
          <w:lang w:val="en-GB"/>
        </w:rPr>
        <w:t xml:space="preserve">for the positive </w:t>
      </w:r>
      <w:r w:rsidR="00334EB6">
        <w:rPr>
          <w:rFonts w:ascii="Times New Roman" w:hAnsi="Times New Roman"/>
          <w:sz w:val="24"/>
          <w:szCs w:val="24"/>
          <w:lang w:val="en-GB"/>
        </w:rPr>
        <w:t xml:space="preserve">link </w:t>
      </w:r>
      <w:r w:rsidR="00334EB6" w:rsidRPr="003E4681">
        <w:rPr>
          <w:rFonts w:ascii="Times New Roman" w:hAnsi="Times New Roman"/>
          <w:sz w:val="24"/>
          <w:szCs w:val="24"/>
          <w:lang w:val="en-GB"/>
        </w:rPr>
        <w:t>between market structure</w:t>
      </w:r>
      <w:r w:rsidR="00334EB6">
        <w:rPr>
          <w:rFonts w:ascii="Times New Roman" w:hAnsi="Times New Roman"/>
          <w:sz w:val="24"/>
          <w:szCs w:val="24"/>
          <w:lang w:val="en-GB"/>
        </w:rPr>
        <w:t xml:space="preserve"> and profitability</w:t>
      </w:r>
      <w:r w:rsidR="00334EB6" w:rsidRPr="003E4681">
        <w:rPr>
          <w:rFonts w:ascii="Times New Roman" w:hAnsi="Times New Roman"/>
          <w:sz w:val="24"/>
          <w:szCs w:val="24"/>
          <w:lang w:val="en-GB"/>
        </w:rPr>
        <w:t>.</w:t>
      </w:r>
    </w:p>
    <w:p w:rsidR="008737DD" w:rsidRDefault="00096E8A" w:rsidP="008737D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However, w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 xml:space="preserve">hen </w:t>
      </w:r>
      <w:r w:rsidR="008737DD" w:rsidRPr="008737DD">
        <w:rPr>
          <w:rFonts w:ascii="Times New Roman" w:hAnsi="Times New Roman"/>
          <w:i/>
          <w:sz w:val="24"/>
          <w:szCs w:val="24"/>
          <w:lang w:val="en-GB"/>
        </w:rPr>
        <w:t>NIMTA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 xml:space="preserve"> is the dependent variable, the </w:t>
      </w:r>
      <w:r w:rsidR="008737DD">
        <w:rPr>
          <w:rFonts w:ascii="Times New Roman" w:hAnsi="Times New Roman"/>
          <w:sz w:val="24"/>
          <w:szCs w:val="24"/>
          <w:lang w:val="en-GB"/>
        </w:rPr>
        <w:t xml:space="preserve">above hypotheses imply that </w:t>
      </w:r>
      <w:r w:rsidR="00F16C37"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="00F16C37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="00F16C37">
        <w:rPr>
          <w:rFonts w:ascii="Times New Roman" w:hAnsi="Times New Roman"/>
          <w:sz w:val="24"/>
          <w:szCs w:val="24"/>
          <w:lang w:val="en-GB"/>
        </w:rPr>
        <w:t xml:space="preserve">&lt;0 and/or </w:t>
      </w:r>
      <w:r w:rsidR="00F16C37" w:rsidRPr="003E4681">
        <w:rPr>
          <w:rFonts w:ascii="Times New Roman" w:hAnsi="Times New Roman"/>
          <w:i/>
          <w:sz w:val="24"/>
          <w:szCs w:val="24"/>
          <w:lang w:val="en-GB"/>
        </w:rPr>
        <w:sym w:font="Symbol" w:char="F062"/>
      </w:r>
      <w:r w:rsidR="00F16C37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="00F16C37">
        <w:rPr>
          <w:rFonts w:ascii="Times New Roman" w:hAnsi="Times New Roman"/>
          <w:sz w:val="24"/>
          <w:szCs w:val="24"/>
          <w:lang w:val="en-GB"/>
        </w:rPr>
        <w:t xml:space="preserve">&lt;0 </w:t>
      </w:r>
      <w:r w:rsidR="00E30A63">
        <w:rPr>
          <w:rFonts w:ascii="Times New Roman" w:hAnsi="Times New Roman"/>
          <w:sz w:val="24"/>
          <w:szCs w:val="24"/>
          <w:lang w:val="en-GB"/>
        </w:rPr>
        <w:t>(Goldberg and Rai, 1996, p. 756)</w:t>
      </w:r>
      <w:r w:rsidR="008737DD">
        <w:rPr>
          <w:rFonts w:ascii="Times New Roman" w:hAnsi="Times New Roman"/>
          <w:sz w:val="24"/>
          <w:szCs w:val="24"/>
          <w:lang w:val="en-GB"/>
        </w:rPr>
        <w:t xml:space="preserve">; actually, it is plausible that, 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>the greater the efficiency</w:t>
      </w:r>
      <w:r w:rsidR="008737DD">
        <w:rPr>
          <w:rFonts w:ascii="Times New Roman" w:hAnsi="Times New Roman"/>
          <w:sz w:val="24"/>
          <w:szCs w:val="24"/>
          <w:lang w:val="en-GB"/>
        </w:rPr>
        <w:t>,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8737DD">
        <w:rPr>
          <w:rFonts w:ascii="Times New Roman" w:hAnsi="Times New Roman"/>
          <w:sz w:val="24"/>
          <w:szCs w:val="24"/>
          <w:lang w:val="en-GB"/>
        </w:rPr>
        <w:t>lower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 xml:space="preserve"> the interest margin</w:t>
      </w:r>
      <w:r w:rsidR="008737DD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because</w:t>
      </w:r>
      <w:r w:rsidR="008737DD">
        <w:rPr>
          <w:rFonts w:ascii="Times New Roman" w:hAnsi="Times New Roman"/>
          <w:sz w:val="24"/>
          <w:szCs w:val="24"/>
          <w:lang w:val="en-GB"/>
        </w:rPr>
        <w:t xml:space="preserve"> banks can provide their credit services at a </w:t>
      </w:r>
      <w:r w:rsidR="00056A33">
        <w:rPr>
          <w:rFonts w:ascii="Times New Roman" w:hAnsi="Times New Roman"/>
          <w:sz w:val="24"/>
          <w:szCs w:val="24"/>
          <w:lang w:val="en-GB"/>
        </w:rPr>
        <w:t>lower price than other competit</w:t>
      </w:r>
      <w:r w:rsidR="008737DD">
        <w:rPr>
          <w:rFonts w:ascii="Times New Roman" w:hAnsi="Times New Roman"/>
          <w:sz w:val="24"/>
          <w:szCs w:val="24"/>
          <w:lang w:val="en-GB"/>
        </w:rPr>
        <w:t>ors</w:t>
      </w:r>
      <w:r w:rsidR="008737DD" w:rsidRPr="008737DD">
        <w:rPr>
          <w:rFonts w:ascii="Times New Roman" w:hAnsi="Times New Roman"/>
          <w:sz w:val="24"/>
          <w:szCs w:val="24"/>
          <w:lang w:val="en-GB"/>
        </w:rPr>
        <w:t>.</w:t>
      </w:r>
    </w:p>
    <w:p w:rsidR="00056A33" w:rsidRPr="002A6085" w:rsidRDefault="002F3B05" w:rsidP="002A608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As control variables, </w:t>
      </w:r>
      <w:r w:rsidR="00056A33">
        <w:rPr>
          <w:rFonts w:ascii="Times New Roman" w:hAnsi="Times New Roman"/>
          <w:sz w:val="24"/>
          <w:szCs w:val="24"/>
          <w:lang w:val="en-GB"/>
        </w:rPr>
        <w:t>we include: banks’ total assets (</w:t>
      </w:r>
      <w:proofErr w:type="spellStart"/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lnTOTAST</w:t>
      </w:r>
      <w:proofErr w:type="spellEnd"/>
      <w:r w:rsidR="00056A33">
        <w:rPr>
          <w:rFonts w:ascii="Times New Roman" w:hAnsi="Times New Roman"/>
          <w:sz w:val="24"/>
          <w:szCs w:val="24"/>
          <w:lang w:val="en-GB"/>
        </w:rPr>
        <w:t>)</w:t>
      </w:r>
      <w:r w:rsidR="00142983">
        <w:rPr>
          <w:rFonts w:ascii="Times New Roman" w:hAnsi="Times New Roman"/>
          <w:sz w:val="24"/>
          <w:szCs w:val="24"/>
          <w:lang w:val="en-GB"/>
        </w:rPr>
        <w:t>, account</w:t>
      </w:r>
      <w:r w:rsidR="00096E8A">
        <w:rPr>
          <w:rFonts w:ascii="Times New Roman" w:hAnsi="Times New Roman"/>
          <w:sz w:val="24"/>
          <w:szCs w:val="24"/>
          <w:lang w:val="en-GB"/>
        </w:rPr>
        <w:t>ing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 xml:space="preserve"> for differences</w:t>
      </w:r>
      <w:r w:rsidR="00056A3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>related to bank size</w:t>
      </w:r>
      <w:r w:rsidR="00056A33">
        <w:rPr>
          <w:rFonts w:ascii="Times New Roman" w:hAnsi="Times New Roman"/>
          <w:sz w:val="24"/>
          <w:szCs w:val="24"/>
          <w:lang w:val="en-GB"/>
        </w:rPr>
        <w:t>; the equity</w:t>
      </w:r>
      <w:r w:rsidR="00096E8A">
        <w:rPr>
          <w:rFonts w:ascii="Times New Roman" w:hAnsi="Times New Roman"/>
          <w:sz w:val="24"/>
          <w:szCs w:val="24"/>
          <w:lang w:val="en-GB"/>
        </w:rPr>
        <w:t>-to-assets ratio</w:t>
      </w:r>
      <w:r w:rsidR="00056A33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EQAST</w:t>
      </w:r>
      <w:r w:rsidR="00056A33">
        <w:rPr>
          <w:rFonts w:ascii="Times New Roman" w:hAnsi="Times New Roman"/>
          <w:sz w:val="24"/>
          <w:szCs w:val="24"/>
          <w:lang w:val="en-GB"/>
        </w:rPr>
        <w:t>)</w:t>
      </w:r>
      <w:r w:rsidR="00142983">
        <w:rPr>
          <w:rFonts w:ascii="Times New Roman" w:hAnsi="Times New Roman"/>
          <w:sz w:val="24"/>
          <w:szCs w:val="24"/>
          <w:lang w:val="en-GB"/>
        </w:rPr>
        <w:t>, which</w:t>
      </w:r>
      <w:r w:rsidR="00056A33">
        <w:rPr>
          <w:rFonts w:ascii="Times New Roman" w:hAnsi="Times New Roman"/>
          <w:sz w:val="24"/>
          <w:szCs w:val="24"/>
          <w:lang w:val="en-GB"/>
        </w:rPr>
        <w:t xml:space="preserve"> captures the role of capitalization; the </w:t>
      </w:r>
      <w:r w:rsidR="00096E8A">
        <w:rPr>
          <w:rFonts w:ascii="Times New Roman" w:hAnsi="Times New Roman"/>
          <w:sz w:val="24"/>
          <w:szCs w:val="24"/>
          <w:lang w:val="en-GB"/>
        </w:rPr>
        <w:t xml:space="preserve">loans-to-assets </w:t>
      </w:r>
      <w:r w:rsidR="00056A33">
        <w:rPr>
          <w:rFonts w:ascii="Times New Roman" w:hAnsi="Times New Roman"/>
          <w:sz w:val="24"/>
          <w:szCs w:val="24"/>
          <w:lang w:val="en-GB"/>
        </w:rPr>
        <w:t>ratio (</w:t>
      </w:r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LOANAST</w:t>
      </w:r>
      <w:r w:rsidR="00056A33">
        <w:rPr>
          <w:rFonts w:ascii="Times New Roman" w:hAnsi="Times New Roman"/>
          <w:sz w:val="24"/>
          <w:szCs w:val="24"/>
          <w:lang w:val="en-GB"/>
        </w:rPr>
        <w:t>)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, that helps to </w:t>
      </w:r>
      <w:r w:rsidR="00096E8A">
        <w:rPr>
          <w:rFonts w:ascii="Times New Roman" w:hAnsi="Times New Roman"/>
          <w:sz w:val="24"/>
          <w:szCs w:val="24"/>
          <w:lang w:val="en-GB"/>
        </w:rPr>
        <w:t xml:space="preserve">control for 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23BAA">
        <w:rPr>
          <w:rFonts w:ascii="Times New Roman" w:hAnsi="Times New Roman"/>
          <w:sz w:val="24"/>
          <w:szCs w:val="24"/>
          <w:lang w:val="en-GB"/>
        </w:rPr>
        <w:t>influence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 of banks’ core activity, i.e.</w:t>
      </w:r>
      <w:r w:rsidR="00142983" w:rsidRPr="001429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2983">
        <w:rPr>
          <w:rFonts w:ascii="Times New Roman" w:hAnsi="Times New Roman"/>
          <w:sz w:val="24"/>
          <w:szCs w:val="24"/>
          <w:lang w:val="en-GB"/>
        </w:rPr>
        <w:t>loan management;</w:t>
      </w:r>
      <w:r w:rsidR="00056A33">
        <w:rPr>
          <w:rFonts w:ascii="Times New Roman" w:hAnsi="Times New Roman"/>
          <w:sz w:val="24"/>
          <w:szCs w:val="24"/>
          <w:lang w:val="en-GB"/>
        </w:rPr>
        <w:t xml:space="preserve"> the share of non-performing loans (</w:t>
      </w:r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NPL</w:t>
      </w:r>
      <w:r w:rsidR="00056A33">
        <w:rPr>
          <w:rFonts w:ascii="Times New Roman" w:hAnsi="Times New Roman"/>
          <w:sz w:val="24"/>
          <w:szCs w:val="24"/>
          <w:lang w:val="en-GB"/>
        </w:rPr>
        <w:t>)</w:t>
      </w:r>
      <w:r w:rsidR="00142983">
        <w:rPr>
          <w:rFonts w:ascii="Times New Roman" w:hAnsi="Times New Roman"/>
          <w:sz w:val="24"/>
          <w:szCs w:val="24"/>
          <w:lang w:val="en-GB"/>
        </w:rPr>
        <w:t>, a</w:t>
      </w:r>
      <w:r w:rsidR="00056A3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>prox</w:t>
      </w:r>
      <w:r w:rsidR="00142983">
        <w:rPr>
          <w:rFonts w:ascii="Times New Roman" w:hAnsi="Times New Roman"/>
          <w:sz w:val="24"/>
          <w:szCs w:val="24"/>
          <w:lang w:val="en-GB"/>
        </w:rPr>
        <w:t>y for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 xml:space="preserve"> credit risk</w:t>
      </w:r>
      <w:r w:rsidR="00096E8A">
        <w:rPr>
          <w:rFonts w:ascii="Times New Roman" w:hAnsi="Times New Roman"/>
          <w:sz w:val="24"/>
          <w:szCs w:val="24"/>
          <w:lang w:val="en-GB"/>
        </w:rPr>
        <w:t xml:space="preserve"> that w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 xml:space="preserve">e expect 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>negative</w:t>
      </w:r>
      <w:r w:rsidR="00096E8A">
        <w:rPr>
          <w:rFonts w:ascii="Times New Roman" w:hAnsi="Times New Roman"/>
          <w:sz w:val="24"/>
          <w:szCs w:val="24"/>
          <w:lang w:val="en-GB"/>
        </w:rPr>
        <w:t>ly</w:t>
      </w:r>
      <w:r w:rsidR="00056A33" w:rsidRPr="00056A3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impact performance; </w:t>
      </w:r>
      <w:r w:rsidR="00056A33">
        <w:rPr>
          <w:rFonts w:ascii="Times New Roman" w:hAnsi="Times New Roman"/>
          <w:sz w:val="24"/>
          <w:szCs w:val="24"/>
          <w:lang w:val="en-GB"/>
        </w:rPr>
        <w:t>the average cost per employee (</w:t>
      </w:r>
      <w:proofErr w:type="spellStart"/>
      <w:r w:rsidR="00096E8A">
        <w:rPr>
          <w:rFonts w:ascii="Times New Roman" w:hAnsi="Times New Roman"/>
          <w:i/>
          <w:sz w:val="24"/>
          <w:szCs w:val="24"/>
          <w:lang w:val="en-GB"/>
        </w:rPr>
        <w:t>lnW</w:t>
      </w:r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AGE</w:t>
      </w:r>
      <w:proofErr w:type="spellEnd"/>
      <w:r w:rsidR="00056A33">
        <w:rPr>
          <w:rFonts w:ascii="Times New Roman" w:hAnsi="Times New Roman"/>
          <w:sz w:val="24"/>
          <w:szCs w:val="24"/>
          <w:lang w:val="en-GB"/>
        </w:rPr>
        <w:t xml:space="preserve">), 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supposed to </w:t>
      </w:r>
      <w:r w:rsidR="00142983">
        <w:rPr>
          <w:rFonts w:ascii="Times New Roman" w:hAnsi="Times New Roman"/>
          <w:sz w:val="24"/>
          <w:szCs w:val="24"/>
          <w:lang w:val="en-GB"/>
        </w:rPr>
        <w:t xml:space="preserve">negatively affect banks’ performance; </w:t>
      </w:r>
      <w:r w:rsidR="00056A33">
        <w:rPr>
          <w:rFonts w:ascii="Times New Roman" w:hAnsi="Times New Roman"/>
          <w:sz w:val="24"/>
          <w:szCs w:val="24"/>
          <w:lang w:val="en-GB"/>
        </w:rPr>
        <w:t>and banks’ age (</w:t>
      </w:r>
      <w:proofErr w:type="spellStart"/>
      <w:r w:rsidR="00056A33" w:rsidRPr="00056A33">
        <w:rPr>
          <w:rFonts w:ascii="Times New Roman" w:hAnsi="Times New Roman"/>
          <w:i/>
          <w:sz w:val="24"/>
          <w:szCs w:val="24"/>
          <w:lang w:val="en-GB"/>
        </w:rPr>
        <w:t>lnBANKAGE</w:t>
      </w:r>
      <w:proofErr w:type="spellEnd"/>
      <w:r w:rsidR="00056A33">
        <w:rPr>
          <w:rFonts w:ascii="Times New Roman" w:hAnsi="Times New Roman"/>
          <w:sz w:val="24"/>
          <w:szCs w:val="24"/>
          <w:lang w:val="en-GB"/>
        </w:rPr>
        <w:t>)</w:t>
      </w:r>
      <w:r w:rsidR="002A6085">
        <w:rPr>
          <w:rFonts w:ascii="Times New Roman" w:hAnsi="Times New Roman"/>
          <w:sz w:val="24"/>
          <w:szCs w:val="24"/>
          <w:lang w:val="en-GB"/>
        </w:rPr>
        <w:t>, which should catch</w:t>
      </w:r>
      <w:r w:rsidR="00142983" w:rsidRPr="0014298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6085">
        <w:rPr>
          <w:rFonts w:ascii="Times New Roman" w:hAnsi="Times New Roman"/>
          <w:sz w:val="24"/>
          <w:szCs w:val="24"/>
          <w:lang w:val="en-GB"/>
        </w:rPr>
        <w:t>their</w:t>
      </w:r>
      <w:r w:rsidR="00142983" w:rsidRPr="00142983">
        <w:rPr>
          <w:rFonts w:ascii="Times New Roman" w:hAnsi="Times New Roman"/>
          <w:sz w:val="24"/>
          <w:szCs w:val="24"/>
          <w:lang w:val="en-GB"/>
        </w:rPr>
        <w:t xml:space="preserve"> business experience </w:t>
      </w:r>
      <w:r w:rsidR="00096E8A">
        <w:rPr>
          <w:rFonts w:ascii="Times New Roman" w:hAnsi="Times New Roman"/>
          <w:sz w:val="24"/>
          <w:szCs w:val="24"/>
          <w:lang w:val="en-GB"/>
        </w:rPr>
        <w:t>and</w:t>
      </w:r>
      <w:r w:rsidR="00142983" w:rsidRPr="00142983">
        <w:rPr>
          <w:rFonts w:ascii="Times New Roman" w:hAnsi="Times New Roman"/>
          <w:sz w:val="24"/>
          <w:szCs w:val="24"/>
          <w:lang w:val="en-GB"/>
        </w:rPr>
        <w:t xml:space="preserve"> length of relationship with borrowers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, both exerting positive influence on performance. We also add two macroeconomic variables: the per capita </w:t>
      </w:r>
      <w:r w:rsidR="007954D8">
        <w:rPr>
          <w:rFonts w:ascii="Times New Roman" w:hAnsi="Times New Roman"/>
          <w:sz w:val="24"/>
          <w:szCs w:val="24"/>
          <w:lang w:val="en-GB"/>
        </w:rPr>
        <w:t>GDP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2A6085">
        <w:rPr>
          <w:rFonts w:ascii="Times New Roman" w:hAnsi="Times New Roman"/>
          <w:sz w:val="24"/>
          <w:szCs w:val="24"/>
          <w:lang w:val="en-GB"/>
        </w:rPr>
        <w:t>region</w:t>
      </w:r>
      <w:r w:rsidR="00096E8A">
        <w:rPr>
          <w:rFonts w:ascii="Times New Roman" w:hAnsi="Times New Roman"/>
          <w:sz w:val="24"/>
          <w:szCs w:val="24"/>
          <w:lang w:val="en-GB"/>
        </w:rPr>
        <w:t>s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where 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banks are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>located (</w:t>
      </w:r>
      <w:proofErr w:type="spellStart"/>
      <w:r w:rsidR="00F16C37">
        <w:rPr>
          <w:rFonts w:ascii="Times New Roman" w:hAnsi="Times New Roman"/>
          <w:i/>
          <w:sz w:val="24"/>
          <w:szCs w:val="24"/>
          <w:lang w:val="en-GB"/>
        </w:rPr>
        <w:t>lnG</w:t>
      </w:r>
      <w:r w:rsidR="002A6085" w:rsidRPr="002A6085">
        <w:rPr>
          <w:rFonts w:ascii="Times New Roman" w:hAnsi="Times New Roman"/>
          <w:i/>
          <w:sz w:val="24"/>
          <w:szCs w:val="24"/>
          <w:lang w:val="en-GB"/>
        </w:rPr>
        <w:t>DPPERCAP</w:t>
      </w:r>
      <w:proofErr w:type="spellEnd"/>
      <w:r w:rsidR="002A6085" w:rsidRPr="002A6085">
        <w:rPr>
          <w:rFonts w:ascii="Times New Roman" w:hAnsi="Times New Roman"/>
          <w:sz w:val="24"/>
          <w:szCs w:val="24"/>
          <w:lang w:val="en-GB"/>
        </w:rPr>
        <w:t>), gauging the impact of local economic conditions (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as before,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>for multi-</w:t>
      </w:r>
      <w:r w:rsidR="002A6085">
        <w:rPr>
          <w:rFonts w:ascii="Times New Roman" w:hAnsi="Times New Roman"/>
          <w:sz w:val="24"/>
          <w:szCs w:val="24"/>
          <w:lang w:val="en-GB"/>
        </w:rPr>
        <w:t>region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 banks weights are given by </w:t>
      </w:r>
      <w:r w:rsidR="002A6085">
        <w:rPr>
          <w:rFonts w:ascii="Times New Roman" w:hAnsi="Times New Roman"/>
          <w:sz w:val="24"/>
          <w:szCs w:val="24"/>
          <w:lang w:val="en-GB"/>
        </w:rPr>
        <w:t>their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 branches);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the yearly rate of </w:t>
      </w:r>
      <w:r w:rsidR="002A6085">
        <w:rPr>
          <w:rFonts w:ascii="Times New Roman" w:hAnsi="Times New Roman"/>
          <w:sz w:val="24"/>
          <w:szCs w:val="24"/>
          <w:lang w:val="en-GB"/>
        </w:rPr>
        <w:t xml:space="preserve">GDP 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>growth (</w:t>
      </w:r>
      <w:r w:rsidR="002A6085" w:rsidRPr="002A6085">
        <w:rPr>
          <w:rFonts w:ascii="Times New Roman" w:hAnsi="Times New Roman"/>
          <w:i/>
          <w:sz w:val="24"/>
          <w:szCs w:val="24"/>
          <w:lang w:val="en-GB"/>
        </w:rPr>
        <w:t>GDPGROWTH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>), control</w:t>
      </w:r>
      <w:r w:rsidR="007954D8">
        <w:rPr>
          <w:rFonts w:ascii="Times New Roman" w:hAnsi="Times New Roman"/>
          <w:sz w:val="24"/>
          <w:szCs w:val="24"/>
          <w:lang w:val="en-GB"/>
        </w:rPr>
        <w:t>ling</w:t>
      </w:r>
      <w:r w:rsidR="002A6085" w:rsidRPr="002A6085">
        <w:rPr>
          <w:rFonts w:ascii="Times New Roman" w:hAnsi="Times New Roman"/>
          <w:sz w:val="24"/>
          <w:szCs w:val="24"/>
          <w:lang w:val="en-GB"/>
        </w:rPr>
        <w:t xml:space="preserve"> for </w:t>
      </w:r>
      <w:r w:rsidR="0049545B" w:rsidRPr="0049545B">
        <w:rPr>
          <w:rFonts w:ascii="Times New Roman" w:hAnsi="Times New Roman"/>
          <w:sz w:val="24"/>
          <w:szCs w:val="24"/>
          <w:lang w:val="en-GB"/>
        </w:rPr>
        <w:t xml:space="preserve">the speed of </w:t>
      </w:r>
      <w:r w:rsidR="0049545B">
        <w:rPr>
          <w:rFonts w:ascii="Times New Roman" w:hAnsi="Times New Roman"/>
          <w:sz w:val="24"/>
          <w:szCs w:val="24"/>
          <w:lang w:val="en-GB"/>
        </w:rPr>
        <w:t xml:space="preserve">economic </w:t>
      </w:r>
      <w:r w:rsidR="0049545B" w:rsidRPr="0049545B">
        <w:rPr>
          <w:rFonts w:ascii="Times New Roman" w:hAnsi="Times New Roman"/>
          <w:sz w:val="24"/>
          <w:szCs w:val="24"/>
          <w:lang w:val="en-GB"/>
        </w:rPr>
        <w:t>development</w:t>
      </w:r>
      <w:r w:rsidR="0049545B">
        <w:rPr>
          <w:rFonts w:ascii="Times New Roman" w:hAnsi="Times New Roman"/>
          <w:sz w:val="24"/>
          <w:szCs w:val="24"/>
          <w:lang w:val="en-GB"/>
        </w:rPr>
        <w:t xml:space="preserve"> in the business area</w:t>
      </w:r>
      <w:r w:rsidR="002A6085">
        <w:rPr>
          <w:rFonts w:ascii="Times New Roman" w:hAnsi="Times New Roman"/>
          <w:sz w:val="24"/>
          <w:szCs w:val="24"/>
          <w:lang w:val="en-GB"/>
        </w:rPr>
        <w:t>.</w:t>
      </w:r>
    </w:p>
    <w:p w:rsidR="003E4681" w:rsidRDefault="0049545B" w:rsidP="003E468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Descriptive statistics of </w:t>
      </w:r>
      <w:r w:rsidRPr="0049545B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954D8">
        <w:rPr>
          <w:rFonts w:ascii="Times New Roman" w:hAnsi="Times New Roman"/>
          <w:sz w:val="24"/>
          <w:szCs w:val="24"/>
          <w:lang w:val="en-GB"/>
        </w:rPr>
        <w:t xml:space="preserve">above </w:t>
      </w:r>
      <w:r w:rsidRPr="0049545B">
        <w:rPr>
          <w:rFonts w:ascii="Times New Roman" w:hAnsi="Times New Roman"/>
          <w:sz w:val="24"/>
          <w:szCs w:val="24"/>
          <w:lang w:val="en-GB"/>
        </w:rPr>
        <w:t>variables</w:t>
      </w:r>
      <w:r w:rsidR="007954D8">
        <w:rPr>
          <w:rFonts w:ascii="Times New Roman" w:hAnsi="Times New Roman"/>
          <w:sz w:val="24"/>
          <w:szCs w:val="24"/>
          <w:lang w:val="en-GB"/>
        </w:rPr>
        <w:t xml:space="preserve"> (including </w:t>
      </w:r>
      <w:r w:rsidRPr="0049545B">
        <w:rPr>
          <w:rFonts w:ascii="Times New Roman" w:hAnsi="Times New Roman"/>
          <w:sz w:val="24"/>
          <w:szCs w:val="24"/>
          <w:lang w:val="en-GB"/>
        </w:rPr>
        <w:t>description and data sources</w:t>
      </w:r>
      <w:r w:rsidR="007954D8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are provided in Table 1.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 Our sample period </w:t>
      </w:r>
      <w:r w:rsidR="00F16C37">
        <w:rPr>
          <w:rFonts w:ascii="Times New Roman" w:hAnsi="Times New Roman"/>
          <w:sz w:val="24"/>
          <w:szCs w:val="24"/>
          <w:lang w:val="en-GB"/>
        </w:rPr>
        <w:t>is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 1999 to 2016</w:t>
      </w:r>
      <w:r w:rsidR="00272388">
        <w:rPr>
          <w:rFonts w:ascii="Times New Roman" w:hAnsi="Times New Roman"/>
          <w:sz w:val="24"/>
          <w:szCs w:val="24"/>
          <w:lang w:val="en-GB"/>
        </w:rPr>
        <w:t xml:space="preserve"> and considers 838 Italian banks (9,360 observations)</w:t>
      </w:r>
      <w:r w:rsidR="00143DF4">
        <w:rPr>
          <w:rFonts w:ascii="Times New Roman" w:hAnsi="Times New Roman"/>
          <w:sz w:val="24"/>
          <w:szCs w:val="24"/>
          <w:lang w:val="en-GB"/>
        </w:rPr>
        <w:t>.</w:t>
      </w:r>
    </w:p>
    <w:p w:rsidR="00CB37F5" w:rsidRDefault="00CB37F5" w:rsidP="003E468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02B11" w:rsidRPr="00CB37F5" w:rsidRDefault="00302B11" w:rsidP="00302B11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CB37F5">
        <w:rPr>
          <w:rFonts w:ascii="Times New Roman" w:hAnsi="Times New Roman" w:cs="Times New Roman"/>
          <w:i/>
          <w:lang w:val="en-GB"/>
        </w:rPr>
        <w:t>Table 1 – Summary statistics and data description</w:t>
      </w:r>
    </w:p>
    <w:p w:rsidR="00302B11" w:rsidRDefault="00302B11" w:rsidP="00302B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994"/>
        <w:gridCol w:w="993"/>
        <w:gridCol w:w="994"/>
        <w:gridCol w:w="993"/>
        <w:gridCol w:w="1056"/>
        <w:gridCol w:w="1056"/>
      </w:tblGrid>
      <w:tr w:rsidR="00302B11" w:rsidRPr="00F01058" w:rsidTr="00302B11">
        <w:trPr>
          <w:trHeight w:val="290"/>
        </w:trPr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B36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Std</w:t>
            </w:r>
            <w:proofErr w:type="spellEnd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dev</w:t>
            </w:r>
            <w:proofErr w:type="spellEnd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Median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obs</w:t>
            </w:r>
            <w:proofErr w:type="spellEnd"/>
            <w:r w:rsidRPr="005641A3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ROA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0.6557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0.8118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-5.1534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0.7273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2.7566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NIMTA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2.6671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0.7906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-1.1394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2.6609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8.7862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NIR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7E32AB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98.0441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7E32AB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0.8246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7E32AB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91.6892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7E32AB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98.1338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7E32AB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102.5618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DF17C6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HHI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15.3146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131.2330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0.2330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41A3">
              <w:rPr>
                <w:rFonts w:ascii="Arial" w:hAnsi="Arial" w:cs="Arial"/>
                <w:sz w:val="18"/>
                <w:szCs w:val="18"/>
              </w:rPr>
              <w:t>344.80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DF17C6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MS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1.4865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3.3942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0.4766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56.6469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DF17C6" w:rsidRDefault="00302B11" w:rsidP="00302B1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X_</w:t>
            </w:r>
            <w:r w:rsidRPr="00DF17C6">
              <w:rPr>
                <w:rFonts w:ascii="Arial" w:hAnsi="Arial" w:cs="Arial"/>
                <w:i/>
                <w:sz w:val="18"/>
                <w:szCs w:val="18"/>
              </w:rPr>
              <w:t>EFF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0.8455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0.0474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0.4367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0.8519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0.9661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DF17C6" w:rsidRDefault="00302B11" w:rsidP="00302B1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sz w:val="18"/>
                <w:szCs w:val="18"/>
              </w:rPr>
              <w:t>S_EFF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0.9011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0.0677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0.9114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0.9999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TOTAST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41A3">
              <w:rPr>
                <w:rFonts w:ascii="Arial" w:hAnsi="Arial" w:cs="Arial"/>
                <w:sz w:val="18"/>
                <w:szCs w:val="18"/>
              </w:rPr>
              <w:t>517.70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41A3">
              <w:rPr>
                <w:rFonts w:ascii="Arial" w:hAnsi="Arial" w:cs="Arial"/>
                <w:sz w:val="18"/>
                <w:szCs w:val="18"/>
              </w:rPr>
              <w:t>432.82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6.1090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336.3801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439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641A3">
              <w:rPr>
                <w:rFonts w:ascii="Arial" w:hAnsi="Arial" w:cs="Arial"/>
                <w:sz w:val="18"/>
                <w:szCs w:val="18"/>
              </w:rPr>
              <w:t>130.80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EQAST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0.1055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0.0407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0.0981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0.7794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LOANAST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0.7141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0.1271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0.2566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0.7247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0.9499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NPL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0.0242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0.0232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0.0166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0.2481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WAGE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69.0944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8.7295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24.0589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68.2920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158.95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BANKAGE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54.4256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23.4561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GDPPERCAP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29.0544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6.7704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15.3257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30.5457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38.2323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  <w:tr w:rsidR="00302B11" w:rsidRPr="00F01058" w:rsidTr="00302B11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B361D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GDPGROWTH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0.0484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2.6286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-24.9173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0.3622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23.0408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B11" w:rsidRPr="005641A3" w:rsidRDefault="00302B11" w:rsidP="00302B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1A3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</w:tr>
    </w:tbl>
    <w:p w:rsidR="00302B11" w:rsidRPr="00F01058" w:rsidRDefault="00302B11" w:rsidP="00302B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302B11" w:rsidRDefault="00302B11" w:rsidP="00302B1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9245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5600"/>
        <w:gridCol w:w="1914"/>
      </w:tblGrid>
      <w:tr w:rsidR="00302B11" w:rsidRPr="00F01058" w:rsidTr="00302B11"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F0105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Variable</w:t>
            </w:r>
            <w:proofErr w:type="spellEnd"/>
          </w:p>
        </w:tc>
        <w:tc>
          <w:tcPr>
            <w:tcW w:w="5600" w:type="dxa"/>
            <w:tcBorders>
              <w:top w:val="single" w:sz="12" w:space="0" w:color="auto"/>
              <w:bottom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01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1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</w:t>
            </w:r>
          </w:p>
        </w:tc>
      </w:tr>
      <w:tr w:rsidR="00302B11" w:rsidRPr="00F01058" w:rsidTr="00302B11"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ROA</w:t>
            </w:r>
          </w:p>
        </w:tc>
        <w:tc>
          <w:tcPr>
            <w:tcW w:w="5600" w:type="dxa"/>
            <w:tcBorders>
              <w:top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Income before tax/Total assets (%)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NIMTA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Net interest margin/Total assets (%)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NIR</w:t>
            </w:r>
          </w:p>
        </w:tc>
        <w:tc>
          <w:tcPr>
            <w:tcW w:w="5600" w:type="dxa"/>
          </w:tcPr>
          <w:p w:rsidR="00302B11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(1+</w:t>
            </w:r>
            <w:r w:rsidRPr="005D20B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ROA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)/(1+</w:t>
            </w:r>
            <w:r w:rsidRPr="005D20B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NIMTA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 (%)</w:t>
            </w:r>
          </w:p>
        </w:tc>
        <w:tc>
          <w:tcPr>
            <w:tcW w:w="1914" w:type="dxa"/>
          </w:tcPr>
          <w:p w:rsidR="00302B11" w:rsidRPr="00787585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HHI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eighted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HHI for the bank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Own</w:t>
            </w:r>
            <w:proofErr w:type="spellEnd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calculations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MS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</w:t>
            </w: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eighted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bank’s market share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Own</w:t>
            </w:r>
            <w:proofErr w:type="spellEnd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calculations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X_EFF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X-efficiency (based on a stochastic cost frontier estimation)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Own</w:t>
            </w:r>
            <w:proofErr w:type="spellEnd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calculations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S_EFF</w:t>
            </w:r>
          </w:p>
        </w:tc>
        <w:tc>
          <w:tcPr>
            <w:tcW w:w="5600" w:type="dxa"/>
          </w:tcPr>
          <w:p w:rsidR="00302B11" w:rsidRPr="00787585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Scale efficiency (based on a stochastic cost frontier estimation)</w:t>
            </w:r>
          </w:p>
        </w:tc>
        <w:tc>
          <w:tcPr>
            <w:tcW w:w="1914" w:type="dxa"/>
          </w:tcPr>
          <w:p w:rsidR="00302B11" w:rsidRPr="00787585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Own</w:t>
            </w:r>
            <w:proofErr w:type="spellEnd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7585">
              <w:rPr>
                <w:rFonts w:ascii="Arial" w:hAnsi="Arial" w:cs="Arial"/>
                <w:color w:val="000000"/>
                <w:sz w:val="18"/>
                <w:szCs w:val="18"/>
              </w:rPr>
              <w:t>calculations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TOTAST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assets</w:t>
            </w: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million euro at constant 2010 values</w:t>
            </w:r>
            <w:r w:rsidRPr="00F0105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EQAST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 equity/Total assets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LOANAS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F01058">
              <w:rPr>
                <w:rFonts w:ascii="Arial" w:hAnsi="Arial" w:cs="Arial"/>
                <w:color w:val="000000"/>
                <w:sz w:val="18"/>
                <w:szCs w:val="18"/>
              </w:rPr>
              <w:t>loans</w:t>
            </w:r>
            <w:proofErr w:type="spellEnd"/>
            <w:r w:rsidRPr="00F01058">
              <w:rPr>
                <w:rFonts w:ascii="Arial" w:hAnsi="Arial" w:cs="Arial"/>
                <w:color w:val="000000"/>
                <w:sz w:val="18"/>
                <w:szCs w:val="18"/>
              </w:rPr>
              <w:t xml:space="preserve">/Total </w:t>
            </w:r>
            <w:proofErr w:type="spellStart"/>
            <w:r w:rsidRPr="00F01058">
              <w:rPr>
                <w:rFonts w:ascii="Arial" w:hAnsi="Arial" w:cs="Arial"/>
                <w:color w:val="000000"/>
                <w:sz w:val="18"/>
                <w:szCs w:val="18"/>
              </w:rPr>
              <w:t>assets</w:t>
            </w:r>
            <w:proofErr w:type="spellEnd"/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NPL</w:t>
            </w:r>
          </w:p>
        </w:tc>
        <w:tc>
          <w:tcPr>
            <w:tcW w:w="5600" w:type="dxa"/>
          </w:tcPr>
          <w:p w:rsidR="00302B11" w:rsidRPr="009B361D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B361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Bad loans/Total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customer loans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</w:t>
            </w:r>
          </w:p>
        </w:tc>
      </w:tr>
      <w:tr w:rsidR="00302B11" w:rsidRPr="009B361D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WAGE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Average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labour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cost (thousand euro at constant 2010 values)</w:t>
            </w:r>
          </w:p>
        </w:tc>
        <w:tc>
          <w:tcPr>
            <w:tcW w:w="1914" w:type="dxa"/>
          </w:tcPr>
          <w:p w:rsidR="00302B11" w:rsidRPr="00CC4499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ABI</w:t>
            </w:r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BANKAGE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Age of bank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Bank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Italy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GDPPERCAP</w:t>
            </w:r>
          </w:p>
        </w:tc>
        <w:tc>
          <w:tcPr>
            <w:tcW w:w="5600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Regional per capita GDP (thousand euro at constant 2010 values)</w:t>
            </w:r>
          </w:p>
        </w:tc>
        <w:tc>
          <w:tcPr>
            <w:tcW w:w="1914" w:type="dxa"/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Istat</w:t>
            </w:r>
            <w:proofErr w:type="spellEnd"/>
          </w:p>
        </w:tc>
      </w:tr>
      <w:tr w:rsidR="00302B11" w:rsidRPr="00F01058" w:rsidTr="00302B11">
        <w:tc>
          <w:tcPr>
            <w:tcW w:w="1731" w:type="dxa"/>
            <w:tcBorders>
              <w:bottom w:val="single" w:sz="12" w:space="0" w:color="auto"/>
            </w:tcBorders>
            <w:vAlign w:val="center"/>
          </w:tcPr>
          <w:p w:rsidR="00302B11" w:rsidRPr="00DA20C3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A20C3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GDPGROWTH</w:t>
            </w:r>
          </w:p>
        </w:tc>
        <w:tc>
          <w:tcPr>
            <w:tcW w:w="5600" w:type="dxa"/>
            <w:tcBorders>
              <w:bottom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Regional GDP yearly rate of growth (%)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302B11" w:rsidRPr="00F01058" w:rsidRDefault="00302B11" w:rsidP="0030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Istat</w:t>
            </w:r>
            <w:proofErr w:type="spellEnd"/>
          </w:p>
        </w:tc>
      </w:tr>
    </w:tbl>
    <w:p w:rsidR="00B9553F" w:rsidRDefault="00B9553F" w:rsidP="00C05ED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E5280" w:rsidRDefault="009E5280" w:rsidP="00C05ED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9545B" w:rsidRPr="0049545B" w:rsidRDefault="003C7747" w:rsidP="009E5280">
      <w:pPr>
        <w:keepNext/>
        <w:spacing w:after="240"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3. </w:t>
      </w:r>
      <w:r w:rsidR="0049545B">
        <w:rPr>
          <w:rFonts w:ascii="Times New Roman" w:hAnsi="Times New Roman"/>
          <w:i/>
          <w:sz w:val="24"/>
          <w:szCs w:val="24"/>
          <w:lang w:val="en-GB"/>
        </w:rPr>
        <w:t>Empirical</w:t>
      </w:r>
      <w:r w:rsidR="0049545B" w:rsidRPr="0049545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49545B">
        <w:rPr>
          <w:rFonts w:ascii="Times New Roman" w:hAnsi="Times New Roman"/>
          <w:i/>
          <w:sz w:val="24"/>
          <w:szCs w:val="24"/>
          <w:lang w:val="en-GB"/>
        </w:rPr>
        <w:t>evidence</w:t>
      </w:r>
    </w:p>
    <w:p w:rsidR="00451663" w:rsidRDefault="0049545B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have </w:t>
      </w:r>
      <w:r w:rsidR="007954D8">
        <w:rPr>
          <w:rFonts w:ascii="Times New Roman" w:hAnsi="Times New Roman"/>
          <w:sz w:val="24"/>
          <w:szCs w:val="24"/>
          <w:lang w:val="en-GB"/>
        </w:rPr>
        <w:t xml:space="preserve">first </w:t>
      </w:r>
      <w:r>
        <w:rPr>
          <w:rFonts w:ascii="Times New Roman" w:hAnsi="Times New Roman"/>
          <w:sz w:val="24"/>
          <w:szCs w:val="24"/>
          <w:lang w:val="en-GB"/>
        </w:rPr>
        <w:t xml:space="preserve">estimated a fixed effects version of Equation (1), whose results are shown in Table 2. </w:t>
      </w:r>
      <w:r w:rsidR="00F16C37">
        <w:rPr>
          <w:rFonts w:ascii="Times New Roman" w:hAnsi="Times New Roman"/>
          <w:sz w:val="24"/>
          <w:szCs w:val="24"/>
          <w:lang w:val="en-GB"/>
        </w:rPr>
        <w:t>When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9545B">
        <w:rPr>
          <w:rFonts w:ascii="Times New Roman" w:hAnsi="Times New Roman"/>
          <w:i/>
          <w:sz w:val="24"/>
          <w:szCs w:val="24"/>
          <w:lang w:val="en-GB"/>
        </w:rPr>
        <w:t>ROA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16C37"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>s the dependent variable</w:t>
      </w:r>
      <w:r w:rsidR="004A7CAD">
        <w:rPr>
          <w:rFonts w:ascii="Times New Roman" w:hAnsi="Times New Roman"/>
          <w:sz w:val="24"/>
          <w:szCs w:val="24"/>
          <w:lang w:val="en-GB"/>
        </w:rPr>
        <w:t xml:space="preserve"> (first column)</w:t>
      </w:r>
      <w:r>
        <w:rPr>
          <w:rFonts w:ascii="Times New Roman" w:hAnsi="Times New Roman"/>
          <w:sz w:val="24"/>
          <w:szCs w:val="24"/>
          <w:lang w:val="en-GB"/>
        </w:rPr>
        <w:t xml:space="preserve">, among the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regressors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of interest </w:t>
      </w:r>
      <w:r w:rsidR="00143DF4">
        <w:rPr>
          <w:rFonts w:ascii="Times New Roman" w:hAnsi="Times New Roman"/>
          <w:sz w:val="24"/>
          <w:szCs w:val="24"/>
          <w:lang w:val="en-GB"/>
        </w:rPr>
        <w:t>(</w:t>
      </w:r>
      <w:r w:rsidR="00143DF4" w:rsidRPr="00143DF4">
        <w:rPr>
          <w:rFonts w:ascii="Times New Roman" w:hAnsi="Times New Roman"/>
          <w:i/>
          <w:sz w:val="24"/>
          <w:szCs w:val="24"/>
          <w:lang w:val="en-GB"/>
        </w:rPr>
        <w:t>HHI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43DF4" w:rsidRPr="00143DF4">
        <w:rPr>
          <w:rFonts w:ascii="Times New Roman" w:hAnsi="Times New Roman"/>
          <w:i/>
          <w:sz w:val="24"/>
          <w:szCs w:val="24"/>
          <w:lang w:val="en-GB"/>
        </w:rPr>
        <w:t>MS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43DF4" w:rsidRPr="00143DF4">
        <w:rPr>
          <w:rFonts w:ascii="Times New Roman" w:hAnsi="Times New Roman"/>
          <w:i/>
          <w:sz w:val="24"/>
          <w:szCs w:val="24"/>
          <w:lang w:val="en-GB"/>
        </w:rPr>
        <w:t>X_EFF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143DF4" w:rsidRPr="00143DF4">
        <w:rPr>
          <w:rFonts w:ascii="Times New Roman" w:hAnsi="Times New Roman"/>
          <w:i/>
          <w:sz w:val="24"/>
          <w:szCs w:val="24"/>
          <w:lang w:val="en-GB"/>
        </w:rPr>
        <w:t>S_EFF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 xml:space="preserve">only </w:t>
      </w:r>
      <w:r w:rsidRPr="0049545B">
        <w:rPr>
          <w:rFonts w:ascii="Times New Roman" w:hAnsi="Times New Roman"/>
          <w:i/>
          <w:sz w:val="24"/>
          <w:szCs w:val="24"/>
          <w:lang w:val="en-GB"/>
        </w:rPr>
        <w:t>X_EFF</w:t>
      </w:r>
      <w:r>
        <w:rPr>
          <w:rFonts w:ascii="Times New Roman" w:hAnsi="Times New Roman"/>
          <w:sz w:val="24"/>
          <w:szCs w:val="24"/>
          <w:lang w:val="en-GB"/>
        </w:rPr>
        <w:t xml:space="preserve"> is significant (at the 1% level) with positive coefficient. Th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is evidence rules out both the SCP and RMP hypotheses for the Italian banking industry, and supports the </w:t>
      </w:r>
      <w:r w:rsidR="00143DF4" w:rsidRPr="00143DF4">
        <w:rPr>
          <w:rFonts w:ascii="Times New Roman" w:hAnsi="Times New Roman"/>
          <w:sz w:val="24"/>
          <w:szCs w:val="24"/>
          <w:lang w:val="en-GB"/>
        </w:rPr>
        <w:t xml:space="preserve">ESX version 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(but not the ESS version) </w:t>
      </w:r>
      <w:r w:rsidR="00143DF4" w:rsidRPr="00143DF4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7954D8">
        <w:rPr>
          <w:rFonts w:ascii="Times New Roman" w:hAnsi="Times New Roman"/>
          <w:sz w:val="24"/>
          <w:szCs w:val="24"/>
          <w:lang w:val="en-GB"/>
        </w:rPr>
        <w:t>ES</w:t>
      </w:r>
      <w:r w:rsidR="00143DF4" w:rsidRPr="00143DF4">
        <w:rPr>
          <w:rFonts w:ascii="Times New Roman" w:hAnsi="Times New Roman"/>
          <w:sz w:val="24"/>
          <w:szCs w:val="24"/>
          <w:lang w:val="en-GB"/>
        </w:rPr>
        <w:t xml:space="preserve"> hypothesis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: higher profits seem to have characterized </w:t>
      </w:r>
      <w:r w:rsidR="00F16C37">
        <w:rPr>
          <w:rFonts w:ascii="Times New Roman" w:hAnsi="Times New Roman"/>
          <w:sz w:val="24"/>
          <w:szCs w:val="24"/>
          <w:lang w:val="en-GB"/>
        </w:rPr>
        <w:t>only</w:t>
      </w:r>
      <w:r w:rsidR="00143DF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43DF4">
        <w:rPr>
          <w:rFonts w:ascii="Times New Roman" w:hAnsi="Times New Roman"/>
          <w:sz w:val="24"/>
          <w:szCs w:val="24"/>
          <w:lang w:val="en-GB"/>
        </w:rPr>
        <w:lastRenderedPageBreak/>
        <w:t>more efficient banks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, particularly those with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 xml:space="preserve">superior skill in minimizing the 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production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 xml:space="preserve">costs of 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>output bundle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, i.e. much closer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 xml:space="preserve">to the minimum 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cost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>that could be achieved</w:t>
      </w:r>
      <w:r w:rsidR="009549E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49E6" w:rsidRPr="009549E6">
        <w:rPr>
          <w:rFonts w:ascii="Times New Roman" w:hAnsi="Times New Roman"/>
          <w:sz w:val="24"/>
          <w:szCs w:val="24"/>
          <w:lang w:val="en-GB"/>
        </w:rPr>
        <w:t>on the efficient frontier</w:t>
      </w:r>
      <w:r w:rsidR="00143DF4" w:rsidRPr="00B955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B37F5" w:rsidRDefault="00CB37F5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37F5" w:rsidRPr="00CB37F5" w:rsidRDefault="00CB37F5" w:rsidP="00CB37F5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CB37F5">
        <w:rPr>
          <w:rFonts w:ascii="Times New Roman" w:hAnsi="Times New Roman" w:cs="Times New Roman"/>
          <w:i/>
          <w:lang w:val="en-GB"/>
        </w:rPr>
        <w:t>Table 2 – Estimation results: panel regressions</w:t>
      </w:r>
    </w:p>
    <w:p w:rsidR="00CB37F5" w:rsidRPr="00392173" w:rsidRDefault="00CB37F5" w:rsidP="00CB37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903"/>
        <w:gridCol w:w="676"/>
        <w:gridCol w:w="430"/>
        <w:gridCol w:w="902"/>
        <w:gridCol w:w="677"/>
        <w:gridCol w:w="430"/>
        <w:gridCol w:w="884"/>
        <w:gridCol w:w="709"/>
        <w:gridCol w:w="437"/>
      </w:tblGrid>
      <w:tr w:rsidR="00CB37F5" w:rsidRPr="00DF17C6" w:rsidTr="00806443">
        <w:trPr>
          <w:trHeight w:val="290"/>
        </w:trPr>
        <w:tc>
          <w:tcPr>
            <w:tcW w:w="1507" w:type="dxa"/>
            <w:tcBorders>
              <w:top w:val="nil"/>
              <w:left w:val="nil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ROA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NIMTA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NIR</w:t>
            </w:r>
          </w:p>
        </w:tc>
      </w:tr>
      <w:tr w:rsidR="00CB37F5" w:rsidRPr="00DF17C6" w:rsidTr="00806443">
        <w:trPr>
          <w:trHeight w:val="290"/>
        </w:trPr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Coef</w:t>
            </w:r>
            <w:proofErr w:type="spellEnd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Coef</w:t>
            </w:r>
            <w:proofErr w:type="spellEnd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Coef</w:t>
            </w:r>
            <w:proofErr w:type="spellEnd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t</w:t>
            </w: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</w:p>
        </w:tc>
      </w:tr>
      <w:tr w:rsidR="00CB37F5" w:rsidRPr="00DF17C6" w:rsidTr="00806443">
        <w:trPr>
          <w:trHeight w:val="290"/>
        </w:trPr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HHI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-0.0004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-1.11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-0.0013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1.07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MS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-0.0132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0.0656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-2.52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X_</w:t>
            </w:r>
            <w:r w:rsidRPr="00DF17C6">
              <w:rPr>
                <w:rFonts w:ascii="Arial" w:hAnsi="Arial" w:cs="Arial"/>
                <w:i/>
                <w:sz w:val="18"/>
                <w:szCs w:val="18"/>
              </w:rPr>
              <w:t>EFF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3.5981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-3.3014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-7.76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0.0668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S_</w:t>
            </w:r>
            <w:r w:rsidRPr="00DF17C6">
              <w:rPr>
                <w:rFonts w:ascii="Arial" w:hAnsi="Arial" w:cs="Arial"/>
                <w:i/>
                <w:sz w:val="18"/>
                <w:szCs w:val="18"/>
              </w:rPr>
              <w:t>EFF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0.4497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-2.4196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-4.19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0.0272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lnTOTAST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-0.0918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-1.35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-0.3434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-6.17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0.0024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EQAST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-2.7414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-5.00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1.2152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-6.48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LOANAST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-0.7675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2.2093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13.63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-0.0287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-14.17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NPL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-9.8873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-12.35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-1.6382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-11.66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ln</w:t>
            </w: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WAGE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-0.3268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0.8743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7.67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-8.26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lnBANKAGE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0.2121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0.0282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0.0017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lnGDPPERCAP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0.1239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1.2856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-0.0111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-2.27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GDPGROWTH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-0.0073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color w:val="000000"/>
                <w:sz w:val="18"/>
                <w:szCs w:val="18"/>
              </w:rPr>
              <w:t>R</w:t>
            </w:r>
            <w:r w:rsidRPr="00DF17C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0.4399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0.7319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0.2674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9,360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9,360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2FF9">
              <w:rPr>
                <w:rFonts w:ascii="Arial" w:hAnsi="Arial" w:cs="Arial"/>
                <w:sz w:val="18"/>
                <w:szCs w:val="18"/>
              </w:rPr>
              <w:t>9,360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542FF9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7F5" w:rsidRDefault="00CB37F5" w:rsidP="00CB37F5">
      <w:pPr>
        <w:spacing w:before="60"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A20C3">
        <w:rPr>
          <w:rFonts w:ascii="Times New Roman" w:hAnsi="Times New Roman" w:cs="Times New Roman"/>
          <w:sz w:val="18"/>
          <w:szCs w:val="18"/>
          <w:lang w:val="en-US"/>
        </w:rPr>
        <w:t>Significance for the parameter estimates: *** = 1% leve</w:t>
      </w:r>
      <w:r>
        <w:rPr>
          <w:rFonts w:ascii="Times New Roman" w:hAnsi="Times New Roman" w:cs="Times New Roman"/>
          <w:sz w:val="18"/>
          <w:szCs w:val="18"/>
          <w:lang w:val="en-US"/>
        </w:rPr>
        <w:t>l; ** = 5% level; * = 10% level</w:t>
      </w:r>
      <w:r w:rsidRPr="00DA20C3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B37F5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A20C3">
        <w:rPr>
          <w:rFonts w:ascii="Times New Roman" w:hAnsi="Times New Roman" w:cs="Times New Roman"/>
          <w:sz w:val="18"/>
          <w:szCs w:val="18"/>
          <w:lang w:val="en-US"/>
        </w:rPr>
        <w:t xml:space="preserve">All regressions include </w:t>
      </w:r>
      <w:r>
        <w:rPr>
          <w:rFonts w:ascii="Times New Roman" w:hAnsi="Times New Roman" w:cs="Times New Roman"/>
          <w:sz w:val="18"/>
          <w:szCs w:val="18"/>
          <w:lang w:val="en-US"/>
        </w:rPr>
        <w:t>year</w:t>
      </w:r>
      <w:r w:rsidRPr="00DA20C3">
        <w:rPr>
          <w:rFonts w:ascii="Times New Roman" w:hAnsi="Times New Roman" w:cs="Times New Roman"/>
          <w:sz w:val="18"/>
          <w:szCs w:val="18"/>
          <w:lang w:val="en-US"/>
        </w:rPr>
        <w:t xml:space="preserve"> dummies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and bank fixed effects </w:t>
      </w:r>
      <w:r w:rsidRPr="00DA20C3">
        <w:rPr>
          <w:rFonts w:ascii="Times New Roman" w:hAnsi="Times New Roman" w:cs="Times New Roman"/>
          <w:sz w:val="18"/>
          <w:szCs w:val="18"/>
          <w:lang w:val="en-US"/>
        </w:rPr>
        <w:t>(coefficient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DA20C3">
        <w:rPr>
          <w:rFonts w:ascii="Times New Roman" w:hAnsi="Times New Roman" w:cs="Times New Roman"/>
          <w:sz w:val="18"/>
          <w:szCs w:val="18"/>
          <w:lang w:val="en-US"/>
        </w:rPr>
        <w:t xml:space="preserve"> are not reported).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B37F5" w:rsidRPr="00DA20C3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F17C6">
        <w:rPr>
          <w:rFonts w:ascii="Times New Roman" w:hAnsi="Times New Roman" w:cs="Times New Roman"/>
          <w:i/>
          <w:sz w:val="18"/>
          <w:szCs w:val="18"/>
          <w:lang w:val="en-US"/>
        </w:rPr>
        <w:t>t</w:t>
      </w:r>
      <w:r>
        <w:rPr>
          <w:rFonts w:ascii="Times New Roman" w:hAnsi="Times New Roman" w:cs="Times New Roman"/>
          <w:sz w:val="18"/>
          <w:szCs w:val="18"/>
          <w:lang w:val="en-US"/>
        </w:rPr>
        <w:t>-values are based on robust standard errors.</w:t>
      </w:r>
    </w:p>
    <w:p w:rsidR="00CB37F5" w:rsidRDefault="00CB37F5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824E9" w:rsidRDefault="004A7CAD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regression results with </w:t>
      </w:r>
      <w:r w:rsidRPr="004A7CAD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1125F" w:rsidRPr="0051125F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as dependent variable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(second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and third columns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highlight </w:t>
      </w:r>
      <w:r w:rsidR="007954D8">
        <w:rPr>
          <w:rFonts w:ascii="Times New Roman" w:hAnsi="Times New Roman" w:cs="Times New Roman"/>
          <w:sz w:val="24"/>
          <w:szCs w:val="24"/>
          <w:lang w:val="en-GB"/>
        </w:rPr>
        <w:t xml:space="preserve">additional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important features of Italian banks.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First, the market share variable (</w:t>
      </w:r>
      <w:r w:rsidR="0051125F" w:rsidRPr="00143DF4">
        <w:rPr>
          <w:rFonts w:ascii="Times New Roman" w:hAnsi="Times New Roman" w:cs="Times New Roman"/>
          <w:i/>
          <w:sz w:val="24"/>
          <w:szCs w:val="24"/>
          <w:lang w:val="en-GB"/>
        </w:rPr>
        <w:t>MS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) is significant with positive and negative coefficients, respectively. Therefore, a higher level of profitability comes from traditional activities of banks with higher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market share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, and from non-traditional activities of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>banks with lower market share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. In the first case (</w:t>
      </w:r>
      <w:r w:rsidR="0051125F" w:rsidRPr="0051125F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), we are focusing on banks’ ability of setting 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>pric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>deposits and loans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far from the competitive levels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, so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 xml:space="preserve">positive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coefficient of </w:t>
      </w:r>
      <w:r w:rsidR="0051125F" w:rsidRPr="001F4AE2">
        <w:rPr>
          <w:rFonts w:ascii="Times New Roman" w:hAnsi="Times New Roman" w:cs="Times New Roman"/>
          <w:i/>
          <w:sz w:val="24"/>
          <w:szCs w:val="24"/>
          <w:lang w:val="en-GB"/>
        </w:rPr>
        <w:t>MS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indicates that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 xml:space="preserve">banks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with larger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market share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>price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1125F" w:rsidRPr="004A7CAD">
        <w:rPr>
          <w:rFonts w:ascii="Times New Roman" w:hAnsi="Times New Roman" w:cs="Times New Roman"/>
          <w:sz w:val="24"/>
          <w:szCs w:val="24"/>
          <w:lang w:val="en-GB"/>
        </w:rPr>
        <w:t xml:space="preserve"> their products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37F5" w:rsidRPr="00CB37F5">
        <w:rPr>
          <w:rFonts w:ascii="Times New Roman" w:hAnsi="Times New Roman" w:cs="Times New Roman"/>
          <w:sz w:val="24"/>
          <w:szCs w:val="24"/>
          <w:lang w:val="en-GB"/>
        </w:rPr>
        <w:t>in an anti-competitive fashion</w:t>
      </w:r>
      <w:bookmarkStart w:id="0" w:name="_GoBack"/>
      <w:bookmarkEnd w:id="0"/>
      <w:r w:rsidR="0051125F">
        <w:rPr>
          <w:rFonts w:ascii="Times New Roman" w:hAnsi="Times New Roman" w:cs="Times New Roman"/>
          <w:sz w:val="24"/>
          <w:szCs w:val="24"/>
          <w:lang w:val="en-GB"/>
        </w:rPr>
        <w:t>. In the second case (</w:t>
      </w:r>
      <w:r w:rsidR="0051125F" w:rsidRPr="0051125F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 xml:space="preserve">the negative coefficient of </w:t>
      </w:r>
      <w:r w:rsidR="009824E9" w:rsidRPr="001F4AE2">
        <w:rPr>
          <w:rFonts w:ascii="Times New Roman" w:hAnsi="Times New Roman" w:cs="Times New Roman"/>
          <w:i/>
          <w:sz w:val="24"/>
          <w:szCs w:val="24"/>
          <w:lang w:val="en-GB"/>
        </w:rPr>
        <w:t>MS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 xml:space="preserve"> suggests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 xml:space="preserve"> that banks with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reduced market share </w:t>
      </w:r>
      <w:r w:rsidR="0051125F">
        <w:rPr>
          <w:rFonts w:ascii="Times New Roman" w:hAnsi="Times New Roman" w:cs="Times New Roman"/>
          <w:sz w:val="24"/>
          <w:szCs w:val="24"/>
          <w:lang w:val="en-GB"/>
        </w:rPr>
        <w:t>have had to balance their lower weight in credit markets with a stronger – and successful – business diversification.</w:t>
      </w:r>
    </w:p>
    <w:p w:rsidR="009824E9" w:rsidRDefault="001A25A6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Moreover,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in both regressions </w:t>
      </w:r>
      <w:r w:rsidRPr="001F4AE2">
        <w:rPr>
          <w:rFonts w:ascii="Times New Roman" w:hAnsi="Times New Roman" w:cs="Times New Roman"/>
          <w:i/>
          <w:sz w:val="24"/>
          <w:szCs w:val="24"/>
          <w:lang w:val="en-GB"/>
        </w:rPr>
        <w:t>X_EFF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1F4AE2">
        <w:rPr>
          <w:rFonts w:ascii="Times New Roman" w:hAnsi="Times New Roman" w:cs="Times New Roman"/>
          <w:i/>
          <w:sz w:val="24"/>
          <w:szCs w:val="24"/>
          <w:lang w:val="en-GB"/>
        </w:rPr>
        <w:t>S_EFF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6C37">
        <w:rPr>
          <w:rFonts w:ascii="Times New Roman" w:hAnsi="Times New Roman" w:cs="Times New Roman"/>
          <w:sz w:val="24"/>
          <w:szCs w:val="24"/>
          <w:lang w:val="en-GB"/>
        </w:rPr>
        <w:t>exhibit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significant</w:t>
      </w:r>
      <w:r w:rsidR="00F16C37">
        <w:rPr>
          <w:rFonts w:ascii="Times New Roman" w:hAnsi="Times New Roman" w:cs="Times New Roman"/>
          <w:sz w:val="24"/>
          <w:szCs w:val="24"/>
          <w:lang w:val="en-GB"/>
        </w:rPr>
        <w:t xml:space="preserve"> coefficients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– negative for </w:t>
      </w:r>
      <w:r w:rsidR="00101E36" w:rsidRPr="00101E36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, positive for </w:t>
      </w:r>
      <w:r w:rsidR="00101E36" w:rsidRPr="00101E36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4A7CAD" w:rsidRPr="004A7C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meaning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most efficient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banks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0A63">
        <w:rPr>
          <w:rFonts w:ascii="Times New Roman" w:hAnsi="Times New Roman" w:cs="Times New Roman"/>
          <w:sz w:val="24"/>
          <w:szCs w:val="24"/>
          <w:lang w:val="en-GB"/>
        </w:rPr>
        <w:t>gain</w:t>
      </w:r>
      <w:r w:rsidR="0062610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30A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higher </w:t>
      </w:r>
      <w:r w:rsidR="00E30A63">
        <w:rPr>
          <w:rFonts w:ascii="Times New Roman" w:hAnsi="Times New Roman" w:cs="Times New Roman"/>
          <w:sz w:val="24"/>
          <w:szCs w:val="24"/>
          <w:lang w:val="en-GB"/>
        </w:rPr>
        <w:t xml:space="preserve">profits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>both</w:t>
      </w:r>
      <w:r w:rsidR="00E30A63">
        <w:rPr>
          <w:rFonts w:ascii="Times New Roman" w:hAnsi="Times New Roman" w:cs="Times New Roman"/>
          <w:sz w:val="24"/>
          <w:szCs w:val="24"/>
          <w:lang w:val="en-GB"/>
        </w:rPr>
        <w:t xml:space="preserve"> lowering their margin on intermediation activity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exploiting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 the provision of other services</w:t>
      </w:r>
      <w:r w:rsidR="00E30A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49545B" w:rsidRDefault="00101E36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Putting together the previous </w:t>
      </w:r>
      <w:r w:rsidR="009824E9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we are led to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 xml:space="preserve">accept the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modi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fi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ed e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ffi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cient structure hypothesis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’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(Shepherd,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1986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451663">
        <w:rPr>
          <w:rFonts w:ascii="Times New Roman" w:hAnsi="Times New Roman" w:cs="Times New Roman"/>
          <w:sz w:val="24"/>
          <w:szCs w:val="24"/>
          <w:lang w:val="en-GB"/>
        </w:rPr>
        <w:t>Maudos</w:t>
      </w:r>
      <w:proofErr w:type="spellEnd"/>
      <w:r w:rsidR="00451663">
        <w:rPr>
          <w:rFonts w:ascii="Times New Roman" w:hAnsi="Times New Roman" w:cs="Times New Roman"/>
          <w:sz w:val="24"/>
          <w:szCs w:val="24"/>
          <w:lang w:val="en-GB"/>
        </w:rPr>
        <w:t>, 1998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626108">
        <w:rPr>
          <w:rFonts w:ascii="Times New Roman" w:hAnsi="Times New Roman" w:cs="Times New Roman"/>
          <w:sz w:val="24"/>
          <w:szCs w:val="24"/>
          <w:lang w:val="en-GB"/>
        </w:rPr>
        <w:t xml:space="preserve">claims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that the variance in performance is explained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by e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ffi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ciency as well as by the residual in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fl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uence of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market share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. Actually,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 xml:space="preserve"> market share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captures the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impact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 xml:space="preserve">of factors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that are not related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to e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ffi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 xml:space="preserve">ciency,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like market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 xml:space="preserve"> power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and/or product di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erentiation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, while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market concentration does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not directly a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="00451663" w:rsidRPr="00451663">
        <w:rPr>
          <w:rFonts w:ascii="Times New Roman" w:hAnsi="Times New Roman" w:cs="Times New Roman"/>
          <w:sz w:val="24"/>
          <w:szCs w:val="24"/>
          <w:lang w:val="en-GB"/>
        </w:rPr>
        <w:t>ect business performance.</w:t>
      </w:r>
    </w:p>
    <w:p w:rsidR="00451663" w:rsidRDefault="007954D8" w:rsidP="004516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Looking at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>the coefficients of control variables, bank size (</w:t>
      </w:r>
      <w:proofErr w:type="spellStart"/>
      <w:r w:rsidR="00451663" w:rsidRPr="00451663">
        <w:rPr>
          <w:rFonts w:ascii="Times New Roman" w:hAnsi="Times New Roman" w:cs="Times New Roman"/>
          <w:i/>
          <w:sz w:val="24"/>
          <w:szCs w:val="24"/>
          <w:lang w:val="en-GB"/>
        </w:rPr>
        <w:t>lnTOTAST</w:t>
      </w:r>
      <w:proofErr w:type="spellEnd"/>
      <w:r w:rsidR="0045166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does not significantly </w:t>
      </w:r>
      <w:r w:rsidR="00F16C37">
        <w:rPr>
          <w:rFonts w:ascii="Times New Roman" w:hAnsi="Times New Roman" w:cs="Times New Roman"/>
          <w:sz w:val="24"/>
          <w:szCs w:val="24"/>
          <w:lang w:val="en-GB"/>
        </w:rPr>
        <w:t>influence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1663" w:rsidRPr="00451663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but its impact is </w:t>
      </w:r>
      <w:r w:rsidR="00101E36">
        <w:rPr>
          <w:rFonts w:ascii="Times New Roman" w:hAnsi="Times New Roman" w:cs="Times New Roman"/>
          <w:sz w:val="24"/>
          <w:szCs w:val="24"/>
          <w:lang w:val="en-GB"/>
        </w:rPr>
        <w:t xml:space="preserve">positive on </w:t>
      </w:r>
      <w:r w:rsidR="00D87C65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451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and negative on </w:t>
      </w:r>
      <w:r w:rsidR="00D87C65" w:rsidRPr="00D87C65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: this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may signal that the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 xml:space="preserve">diversification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of larger banks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 xml:space="preserve">leads to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higher returns and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>lower risk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the latter effect implies also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 xml:space="preserve">lower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yields in the credit market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>(Goldberg and Rai, 1996, p. 757)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 Bank capitalization 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EQAST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negatively affects both </w:t>
      </w:r>
      <w:r w:rsidR="00B07461" w:rsidRPr="00B07461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07461" w:rsidRPr="00B07461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, but positively </w:t>
      </w:r>
      <w:r w:rsidR="00B07461" w:rsidRPr="00B07461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: hence,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 xml:space="preserve">less capital and greater leverage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allow higher profits thanks to 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more aggressive management of assets and liabilities, but imply also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>increased borrowing costs</w:t>
      </w:r>
      <w:r w:rsidR="00B07461">
        <w:rPr>
          <w:rFonts w:ascii="Times New Roman" w:hAnsi="Times New Roman" w:cs="Times New Roman"/>
          <w:sz w:val="24"/>
          <w:szCs w:val="24"/>
          <w:lang w:val="en-GB"/>
        </w:rPr>
        <w:t xml:space="preserve"> that reduce </w:t>
      </w:r>
      <w:r w:rsidR="00B07461" w:rsidRPr="00B07461">
        <w:rPr>
          <w:rFonts w:ascii="Times New Roman" w:hAnsi="Times New Roman" w:cs="Times New Roman"/>
          <w:sz w:val="24"/>
          <w:szCs w:val="24"/>
          <w:lang w:val="en-GB"/>
        </w:rPr>
        <w:t>interest margins.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 Higher loans-to-assets ratios (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LOANAST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>) significantly reduce profitability (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>) because of the higher interest expenses</w:t>
      </w:r>
      <w:r w:rsidR="00626108">
        <w:rPr>
          <w:rFonts w:ascii="Times New Roman" w:hAnsi="Times New Roman" w:cs="Times New Roman"/>
          <w:sz w:val="24"/>
          <w:szCs w:val="24"/>
          <w:lang w:val="en-GB"/>
        </w:rPr>
        <w:t xml:space="preserve"> paid on gathered funds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>, but guarantee also higher margins (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). As expected, performance is adversely </w:t>
      </w:r>
      <w:r w:rsidR="004D0C1C">
        <w:rPr>
          <w:rFonts w:ascii="Times New Roman" w:hAnsi="Times New Roman" w:cs="Times New Roman"/>
          <w:sz w:val="24"/>
          <w:szCs w:val="24"/>
          <w:lang w:val="en-GB"/>
        </w:rPr>
        <w:t xml:space="preserve">and significantly </w:t>
      </w:r>
      <w:r w:rsidR="001937FB">
        <w:rPr>
          <w:rFonts w:ascii="Times New Roman" w:hAnsi="Times New Roman" w:cs="Times New Roman"/>
          <w:sz w:val="24"/>
          <w:szCs w:val="24"/>
          <w:lang w:val="en-GB"/>
        </w:rPr>
        <w:t>influenced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 by non-performing loans (</w:t>
      </w:r>
      <w:r w:rsidR="00621427" w:rsidRPr="00621427">
        <w:rPr>
          <w:rFonts w:ascii="Times New Roman" w:hAnsi="Times New Roman" w:cs="Times New Roman"/>
          <w:i/>
          <w:sz w:val="24"/>
          <w:szCs w:val="24"/>
          <w:lang w:val="en-GB"/>
        </w:rPr>
        <w:t>NPL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labour costs 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4D0C1C" w:rsidRPr="004D0C1C">
        <w:rPr>
          <w:rFonts w:ascii="Times New Roman" w:hAnsi="Times New Roman" w:cs="Times New Roman"/>
          <w:i/>
          <w:sz w:val="24"/>
          <w:szCs w:val="24"/>
          <w:lang w:val="en-GB"/>
        </w:rPr>
        <w:t>lnWAGE</w:t>
      </w:r>
      <w:proofErr w:type="spellEnd"/>
      <w:r w:rsidR="004D0C1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DE6F56" w:rsidRPr="00DE6F56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 regression th</w:t>
      </w:r>
      <w:r w:rsidR="001937FB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 coefficient is positive, showing that banks with higher costs per employee </w:t>
      </w:r>
      <w:r w:rsidR="00621427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able to pass on them on customers through loan rates). The coefficient of </w:t>
      </w:r>
      <w:proofErr w:type="spellStart"/>
      <w:r w:rsidR="00DE6F56" w:rsidRPr="00DE6F56">
        <w:rPr>
          <w:rFonts w:ascii="Times New Roman" w:hAnsi="Times New Roman" w:cs="Times New Roman"/>
          <w:i/>
          <w:sz w:val="24"/>
          <w:szCs w:val="24"/>
          <w:lang w:val="en-GB"/>
        </w:rPr>
        <w:t>lnBANKAGE</w:t>
      </w:r>
      <w:proofErr w:type="spellEnd"/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 is always positive, but significant only for </w:t>
      </w:r>
      <w:r w:rsidR="00DE6F56" w:rsidRPr="00DE6F56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="00D87C65" w:rsidRPr="00D87C6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87C65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>, meaning that older banks are characterized by higher overall profits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 especially in non-traditional services</w:t>
      </w:r>
      <w:r w:rsidR="00DE6F56">
        <w:rPr>
          <w:rFonts w:ascii="Times New Roman" w:hAnsi="Times New Roman" w:cs="Times New Roman"/>
          <w:sz w:val="24"/>
          <w:szCs w:val="24"/>
          <w:lang w:val="en-GB"/>
        </w:rPr>
        <w:t>. Finally, the per capita GDP (</w:t>
      </w:r>
      <w:proofErr w:type="spellStart"/>
      <w:r w:rsidR="00DE6F56" w:rsidRPr="00DE6F56">
        <w:rPr>
          <w:rFonts w:ascii="Times New Roman" w:hAnsi="Times New Roman" w:cs="Times New Roman"/>
          <w:i/>
          <w:sz w:val="24"/>
          <w:szCs w:val="24"/>
          <w:lang w:val="en-GB"/>
        </w:rPr>
        <w:t>lnGDPPERCAP</w:t>
      </w:r>
      <w:proofErr w:type="spellEnd"/>
      <w:r w:rsidR="00DE6F56">
        <w:rPr>
          <w:rFonts w:ascii="Times New Roman" w:hAnsi="Times New Roman" w:cs="Times New Roman"/>
          <w:sz w:val="24"/>
          <w:szCs w:val="24"/>
          <w:lang w:val="en-GB"/>
        </w:rPr>
        <w:t xml:space="preserve">) is 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positively associated with </w:t>
      </w:r>
      <w:r w:rsidR="00D87C65" w:rsidRPr="00D87C65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and negatively with </w:t>
      </w:r>
      <w:r w:rsidR="00D87C65" w:rsidRPr="00D87C65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, while the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reverse</w:t>
      </w:r>
      <w:r w:rsidR="00D87C65">
        <w:rPr>
          <w:rFonts w:ascii="Times New Roman" w:hAnsi="Times New Roman" w:cs="Times New Roman"/>
          <w:sz w:val="24"/>
          <w:szCs w:val="24"/>
          <w:lang w:val="en-GB"/>
        </w:rPr>
        <w:t xml:space="preserve"> happens for </w:t>
      </w:r>
      <w:r w:rsidR="00D87C65" w:rsidRPr="00FE30CA">
        <w:rPr>
          <w:rFonts w:ascii="Times New Roman" w:hAnsi="Times New Roman" w:cs="Times New Roman"/>
          <w:i/>
          <w:sz w:val="24"/>
          <w:szCs w:val="24"/>
          <w:lang w:val="en-GB"/>
        </w:rPr>
        <w:t>GDPGROWTH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; therefore, higher incomes but slower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 rate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 of GDP growth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increase profits from lending activities (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probably because in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 xml:space="preserve">more rich areas as well as in bad 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times banks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 xml:space="preserve">are not forced to 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compete </w:t>
      </w:r>
      <w:r w:rsidR="00852FB6" w:rsidRPr="00852FB6">
        <w:rPr>
          <w:rFonts w:ascii="Times New Roman" w:hAnsi="Times New Roman" w:cs="Times New Roman"/>
          <w:sz w:val="24"/>
          <w:szCs w:val="24"/>
          <w:lang w:val="en-GB"/>
        </w:rPr>
        <w:t xml:space="preserve">aggressively to 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 xml:space="preserve">preserve or even </w:t>
      </w:r>
      <w:r w:rsidR="00852FB6" w:rsidRPr="00852FB6">
        <w:rPr>
          <w:rFonts w:ascii="Times New Roman" w:hAnsi="Times New Roman" w:cs="Times New Roman"/>
          <w:sz w:val="24"/>
          <w:szCs w:val="24"/>
          <w:lang w:val="en-GB"/>
        </w:rPr>
        <w:t>grow their customer base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) but not from the other types of business</w:t>
      </w:r>
      <w:r w:rsidR="00852FB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12B3E">
        <w:rPr>
          <w:rStyle w:val="Rimandonotaapidipagina"/>
          <w:rFonts w:ascii="Times New Roman" w:hAnsi="Times New Roman" w:cs="Times New Roman"/>
          <w:sz w:val="24"/>
          <w:szCs w:val="24"/>
          <w:lang w:val="en-GB"/>
        </w:rPr>
        <w:footnoteReference w:id="2"/>
      </w:r>
    </w:p>
    <w:p w:rsidR="00305B3E" w:rsidRDefault="002403BC" w:rsidP="00305B3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Some authors hold that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bank</w:t>
      </w:r>
      <w:r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 xml:space="preserve"> profits show a tendency to persist over 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(e.g.: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Berger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 xml:space="preserve"> Goddard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et al.,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2004)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due to 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>hurdles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 xml:space="preserve"> to market competition, 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>problems of asymmetric information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C729FE">
        <w:rPr>
          <w:rFonts w:ascii="Times New Roman" w:hAnsi="Times New Roman" w:cs="Times New Roman"/>
          <w:sz w:val="24"/>
          <w:szCs w:val="24"/>
          <w:lang w:val="en-GB"/>
        </w:rPr>
        <w:t>credit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 provision,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 xml:space="preserve">or sensitivity to </w:t>
      </w:r>
      <w:proofErr w:type="spellStart"/>
      <w:r w:rsidR="00322D6A">
        <w:rPr>
          <w:rFonts w:ascii="Times New Roman" w:hAnsi="Times New Roman" w:cs="Times New Roman"/>
          <w:sz w:val="24"/>
          <w:szCs w:val="24"/>
          <w:lang w:val="en-GB"/>
        </w:rPr>
        <w:t>autocorrelated</w:t>
      </w:r>
      <w:proofErr w:type="spellEnd"/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macroeconomic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shocks (</w:t>
      </w:r>
      <w:proofErr w:type="spellStart"/>
      <w:r w:rsidRPr="002403BC">
        <w:rPr>
          <w:rFonts w:ascii="Times New Roman" w:hAnsi="Times New Roman" w:cs="Times New Roman"/>
          <w:sz w:val="24"/>
          <w:szCs w:val="24"/>
          <w:lang w:val="en-GB"/>
        </w:rPr>
        <w:t>Athanasoglou</w:t>
      </w:r>
      <w:proofErr w:type="spellEnd"/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 et al., 2008</w:t>
      </w:r>
      <w:r w:rsidRPr="002403BC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22D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37FB">
        <w:rPr>
          <w:rFonts w:ascii="Times New Roman" w:hAnsi="Times New Roman" w:cs="Times New Roman"/>
          <w:sz w:val="24"/>
          <w:szCs w:val="24"/>
          <w:lang w:val="en-GB"/>
        </w:rPr>
        <w:t>One</w:t>
      </w:r>
      <w:r w:rsidR="00DD1D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1DDE">
        <w:rPr>
          <w:rFonts w:ascii="Times New Roman" w:hAnsi="Times New Roman" w:cs="Times New Roman"/>
          <w:sz w:val="24"/>
          <w:szCs w:val="24"/>
          <w:lang w:val="en-GB"/>
        </w:rPr>
        <w:t>way to cope with the possibility of persistence of bank profitability is using a</w:t>
      </w:r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 xml:space="preserve"> dynamic model specification</w:t>
      </w:r>
      <w:r w:rsidR="00EC1DDE">
        <w:rPr>
          <w:rFonts w:ascii="Times New Roman" w:hAnsi="Times New Roman" w:cs="Times New Roman"/>
          <w:sz w:val="24"/>
          <w:szCs w:val="24"/>
          <w:lang w:val="en-GB"/>
        </w:rPr>
        <w:t xml:space="preserve">, also because 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05B3E" w:rsidRPr="00EC1DDE">
        <w:rPr>
          <w:rFonts w:ascii="Times New Roman" w:hAnsi="Times New Roman" w:cs="Times New Roman"/>
          <w:sz w:val="24"/>
          <w:szCs w:val="24"/>
          <w:lang w:val="en-GB"/>
        </w:rPr>
        <w:t xml:space="preserve">ordinary least squares 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regression </w:t>
      </w:r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 xml:space="preserve">with the lagged dependent variable </w:t>
      </w:r>
      <w:r w:rsidR="00DD1D46">
        <w:rPr>
          <w:rFonts w:ascii="Times New Roman" w:hAnsi="Times New Roman" w:cs="Times New Roman"/>
          <w:sz w:val="24"/>
          <w:szCs w:val="24"/>
          <w:lang w:val="en-GB"/>
        </w:rPr>
        <w:t>may generate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B3E" w:rsidRPr="00EC1DDE">
        <w:rPr>
          <w:rFonts w:ascii="Times New Roman" w:hAnsi="Times New Roman" w:cs="Times New Roman"/>
          <w:sz w:val="24"/>
          <w:szCs w:val="24"/>
          <w:lang w:val="en-GB"/>
        </w:rPr>
        <w:t xml:space="preserve">biased and inconsistent 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coefficients </w:t>
      </w:r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>Baltagi</w:t>
      </w:r>
      <w:proofErr w:type="spellEnd"/>
      <w:r w:rsidR="00305B3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 xml:space="preserve"> 2001</w:t>
      </w:r>
      <w:r w:rsidR="00DD1D46">
        <w:rPr>
          <w:rFonts w:ascii="Times New Roman" w:hAnsi="Times New Roman" w:cs="Times New Roman"/>
          <w:sz w:val="24"/>
          <w:szCs w:val="24"/>
          <w:lang w:val="en-GB"/>
        </w:rPr>
        <w:t>, pp. 129-130</w:t>
      </w:r>
      <w:r w:rsidR="00EC1DDE" w:rsidRPr="00EC1DDE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 He</w:t>
      </w:r>
      <w:r w:rsidR="001937F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 xml:space="preserve">we employ a two-step system GMM estimator (Arellano and </w:t>
      </w:r>
      <w:proofErr w:type="spellStart"/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>Bover</w:t>
      </w:r>
      <w:proofErr w:type="spellEnd"/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 xml:space="preserve">, 1995; Blundell and Bond, 1998), where the first differenced values </w:t>
      </w:r>
      <w:r w:rsidR="00C729F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 xml:space="preserve"> lagged values are used as instruments for the lagged dependent variables. 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 xml:space="preserve">This approach allows also </w:t>
      </w:r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 xml:space="preserve">to control for possible </w:t>
      </w:r>
      <w:proofErr w:type="spellStart"/>
      <w:r w:rsidR="00000B1A">
        <w:rPr>
          <w:rFonts w:ascii="Times New Roman" w:hAnsi="Times New Roman" w:cs="Times New Roman"/>
          <w:sz w:val="24"/>
          <w:szCs w:val="24"/>
          <w:lang w:val="en-GB"/>
        </w:rPr>
        <w:t>endogeneity</w:t>
      </w:r>
      <w:proofErr w:type="spellEnd"/>
      <w:r w:rsidR="00000B1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05B3E" w:rsidRPr="00305B3E">
        <w:rPr>
          <w:rFonts w:ascii="Times New Roman" w:hAnsi="Times New Roman" w:cs="Times New Roman"/>
          <w:sz w:val="24"/>
          <w:szCs w:val="24"/>
          <w:lang w:val="en-GB"/>
        </w:rPr>
        <w:t xml:space="preserve">reverse causality between </w:t>
      </w:r>
      <w:r w:rsidR="00305B3E">
        <w:rPr>
          <w:rFonts w:ascii="Times New Roman" w:hAnsi="Times New Roman" w:cs="Times New Roman"/>
          <w:sz w:val="24"/>
          <w:szCs w:val="24"/>
          <w:lang w:val="en-GB"/>
        </w:rPr>
        <w:t>our bank variables and profitability.</w:t>
      </w:r>
    </w:p>
    <w:p w:rsidR="00E12B3E" w:rsidRDefault="001D042B" w:rsidP="001937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</w:t>
      </w:r>
      <w:r w:rsidRPr="001D042B">
        <w:rPr>
          <w:rFonts w:ascii="Times New Roman" w:hAnsi="Times New Roman" w:cs="Times New Roman"/>
          <w:sz w:val="24"/>
          <w:szCs w:val="24"/>
          <w:lang w:val="en-GB"/>
        </w:rPr>
        <w:t xml:space="preserve">he results of the system-GMM estimations </w:t>
      </w:r>
      <w:r w:rsidR="00C729FE">
        <w:rPr>
          <w:rFonts w:ascii="Times New Roman" w:hAnsi="Times New Roman" w:cs="Times New Roman"/>
          <w:sz w:val="24"/>
          <w:szCs w:val="24"/>
          <w:lang w:val="en-GB"/>
        </w:rPr>
        <w:t xml:space="preserve">of Equation (1)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shown in Table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D042B">
        <w:rPr>
          <w:rFonts w:ascii="Times New Roman" w:hAnsi="Times New Roman" w:cs="Times New Roman"/>
          <w:sz w:val="24"/>
          <w:szCs w:val="24"/>
          <w:lang w:val="en-GB"/>
        </w:rPr>
        <w:t xml:space="preserve">. They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largely</w:t>
      </w:r>
      <w:r w:rsidR="00FE32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D042B">
        <w:rPr>
          <w:rFonts w:ascii="Times New Roman" w:hAnsi="Times New Roman" w:cs="Times New Roman"/>
          <w:sz w:val="24"/>
          <w:szCs w:val="24"/>
          <w:lang w:val="en-GB"/>
        </w:rPr>
        <w:t xml:space="preserve">confirm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FE32AF">
        <w:rPr>
          <w:rFonts w:ascii="Times New Roman" w:hAnsi="Times New Roman" w:cs="Times New Roman"/>
          <w:sz w:val="24"/>
          <w:szCs w:val="24"/>
          <w:lang w:val="en-GB"/>
        </w:rPr>
        <w:t>indications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E32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In addition, </w:t>
      </w:r>
      <w:r w:rsidR="00523BAA" w:rsidRPr="00523BAA">
        <w:rPr>
          <w:rFonts w:ascii="Times New Roman" w:hAnsi="Times New Roman" w:cs="Times New Roman"/>
          <w:i/>
          <w:sz w:val="24"/>
          <w:szCs w:val="24"/>
          <w:lang w:val="en-GB"/>
        </w:rPr>
        <w:t>S_EFF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appears to positively impact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Pr="001D042B">
        <w:rPr>
          <w:rFonts w:ascii="Times New Roman" w:hAnsi="Times New Roman" w:cs="Times New Roman"/>
          <w:i/>
          <w:sz w:val="24"/>
          <w:szCs w:val="24"/>
          <w:lang w:val="en-GB"/>
        </w:rPr>
        <w:t>ROA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 (at the 10% level),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while market concentration negatively affects </w:t>
      </w:r>
      <w:r w:rsidRPr="001D042B">
        <w:rPr>
          <w:rFonts w:ascii="Times New Roman" w:hAnsi="Times New Roman" w:cs="Times New Roman"/>
          <w:i/>
          <w:sz w:val="24"/>
          <w:szCs w:val="24"/>
          <w:lang w:val="en-GB"/>
        </w:rPr>
        <w:t>NIMTA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(although at the 10% significance level)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positively influences </w:t>
      </w:r>
      <w:r w:rsidRPr="001D042B">
        <w:rPr>
          <w:rFonts w:ascii="Times New Roman" w:hAnsi="Times New Roman" w:cs="Times New Roman"/>
          <w:i/>
          <w:sz w:val="24"/>
          <w:szCs w:val="24"/>
          <w:lang w:val="en-GB"/>
        </w:rPr>
        <w:t>NIR</w:t>
      </w:r>
      <w:r w:rsidR="00FE32A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>Overall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 xml:space="preserve">, we get a further proof that the situation of the Italian banking industry is compatible with the </w:t>
      </w:r>
      <w:r w:rsidR="00C729FE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>hypothesis, with a prominent role played by X-efficiency.</w:t>
      </w:r>
    </w:p>
    <w:p w:rsidR="00CB37F5" w:rsidRDefault="00CB37F5" w:rsidP="001937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37F5" w:rsidRPr="00CB37F5" w:rsidRDefault="00CB37F5" w:rsidP="00CB37F5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CB37F5">
        <w:rPr>
          <w:rFonts w:ascii="Times New Roman" w:hAnsi="Times New Roman" w:cs="Times New Roman"/>
          <w:i/>
          <w:lang w:val="en-GB"/>
        </w:rPr>
        <w:t>Table 3 – Estimation results: GMM regressions</w:t>
      </w:r>
    </w:p>
    <w:p w:rsidR="00CB37F5" w:rsidRPr="00392173" w:rsidRDefault="00CB37F5" w:rsidP="00CB37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903"/>
        <w:gridCol w:w="676"/>
        <w:gridCol w:w="430"/>
        <w:gridCol w:w="902"/>
        <w:gridCol w:w="677"/>
        <w:gridCol w:w="430"/>
        <w:gridCol w:w="944"/>
        <w:gridCol w:w="722"/>
        <w:gridCol w:w="430"/>
      </w:tblGrid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7F5" w:rsidRPr="00392173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6C0F3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ROA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6C0F3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NIMTA</w:t>
            </w: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</w:pPr>
            <w:r w:rsidRPr="006C0F3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Dep. var.: </w:t>
            </w: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  <w:lang w:val="en-GB"/>
              </w:rPr>
              <w:t>NIR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7F5" w:rsidRPr="00392173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Coef</w:t>
            </w:r>
            <w:proofErr w:type="spellEnd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Coef</w:t>
            </w:r>
            <w:proofErr w:type="spellEnd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Coef</w:t>
            </w:r>
            <w:proofErr w:type="spellEnd"/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0F3D">
              <w:rPr>
                <w:rFonts w:ascii="Arial" w:hAnsi="Arial" w:cs="Arial"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6C0F3D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ROA_LAGGED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0.2732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sz w:val="18"/>
                <w:szCs w:val="18"/>
              </w:rPr>
              <w:t>NIMTA_LAGGED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0.3786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sz w:val="18"/>
                <w:szCs w:val="18"/>
              </w:rPr>
              <w:t>NIR_LAGGED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0.2326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HHI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-0.0003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0.0007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MS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-0.0232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-1.57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-0.0491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-2.84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sz w:val="18"/>
                <w:szCs w:val="18"/>
              </w:rPr>
              <w:t>X_INEFF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4.2938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-3.2161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-5.26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7.5173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F17C6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F17C6">
              <w:rPr>
                <w:rFonts w:ascii="Arial" w:hAnsi="Arial" w:cs="Arial"/>
                <w:i/>
                <w:sz w:val="18"/>
                <w:szCs w:val="18"/>
              </w:rPr>
              <w:t>S_INEFF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0.9728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0.2193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0.3867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lnTOTAST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0.0613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-0.1476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0.2376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EQAST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-1.0853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1.9903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-3.0861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-2.79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LOANAST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-1.7811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-6.44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1.4424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-3.2832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-10.37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NPL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-12.1078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-10.05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-1.0730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-2.47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-11.3294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-9.70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lnWAGE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-0.6664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0.3002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-0.9447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-3.93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lnBANKAGE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0.1008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4.71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0.0202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0.0858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lnGDPPERCAP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-0.5535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-6.42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-0.3854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-3.58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-0.0986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-1.10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D5E65">
              <w:rPr>
                <w:rFonts w:ascii="Arial" w:hAnsi="Arial" w:cs="Arial"/>
                <w:i/>
                <w:color w:val="000000"/>
                <w:sz w:val="18"/>
                <w:szCs w:val="18"/>
              </w:rPr>
              <w:t>GDPGROWTH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0.0019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 xml:space="preserve">N. </w:t>
            </w:r>
            <w:proofErr w:type="spellStart"/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 w:rsidRPr="00DF17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9,356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9,359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9,356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E65">
              <w:rPr>
                <w:rFonts w:ascii="Arial" w:hAnsi="Arial" w:cs="Arial"/>
                <w:sz w:val="18"/>
                <w:szCs w:val="18"/>
              </w:rPr>
              <w:t>AR(1)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-2.48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-3.32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157C0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sz w:val="18"/>
                <w:szCs w:val="18"/>
              </w:rPr>
              <w:t>AR(1) (p-</w:t>
            </w:r>
            <w:proofErr w:type="spellStart"/>
            <w:r w:rsidRPr="00D157C0">
              <w:rPr>
                <w:rFonts w:ascii="Arial" w:hAnsi="Arial" w:cs="Arial"/>
                <w:i/>
                <w:sz w:val="18"/>
                <w:szCs w:val="18"/>
              </w:rPr>
              <w:t>value</w:t>
            </w:r>
            <w:proofErr w:type="spellEnd"/>
            <w:r w:rsidRPr="00D157C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C24AD1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24AD1">
              <w:rPr>
                <w:rFonts w:ascii="Arial" w:hAnsi="Arial" w:cs="Arial"/>
                <w:i/>
                <w:sz w:val="18"/>
                <w:szCs w:val="18"/>
              </w:rPr>
              <w:t>0.00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C24AD1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E65">
              <w:rPr>
                <w:rFonts w:ascii="Arial" w:hAnsi="Arial" w:cs="Arial"/>
                <w:sz w:val="18"/>
                <w:szCs w:val="18"/>
              </w:rPr>
              <w:t>AR(2)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-3.08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0.71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157C0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sz w:val="18"/>
                <w:szCs w:val="18"/>
              </w:rPr>
              <w:t>AR(2) (p-</w:t>
            </w:r>
            <w:proofErr w:type="spellStart"/>
            <w:r w:rsidRPr="00D157C0">
              <w:rPr>
                <w:rFonts w:ascii="Arial" w:hAnsi="Arial" w:cs="Arial"/>
                <w:i/>
                <w:sz w:val="18"/>
                <w:szCs w:val="18"/>
              </w:rPr>
              <w:t>value</w:t>
            </w:r>
            <w:proofErr w:type="spellEnd"/>
            <w:r w:rsidRPr="00D157C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C24AD1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24AD1">
              <w:rPr>
                <w:rFonts w:ascii="Arial" w:hAnsi="Arial" w:cs="Arial"/>
                <w:i/>
                <w:sz w:val="18"/>
                <w:szCs w:val="18"/>
              </w:rPr>
              <w:t>0.48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A20C3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37F5" w:rsidRPr="00AD5E65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E65">
              <w:rPr>
                <w:rFonts w:ascii="Arial" w:hAnsi="Arial" w:cs="Arial"/>
                <w:sz w:val="18"/>
                <w:szCs w:val="18"/>
              </w:rPr>
              <w:t>Hansen J test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732.17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737.90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32AB">
              <w:rPr>
                <w:rFonts w:ascii="Arial" w:hAnsi="Arial" w:cs="Arial"/>
                <w:sz w:val="18"/>
                <w:szCs w:val="18"/>
              </w:rPr>
              <w:t>729.50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7F5" w:rsidRPr="00D157C0" w:rsidTr="00806443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D157C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Hansen J test (p-value)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D157C0" w:rsidRDefault="00CB37F5" w:rsidP="0080644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57C0">
              <w:rPr>
                <w:rFonts w:ascii="Arial" w:hAnsi="Arial" w:cs="Arial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C24AD1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24AD1">
              <w:rPr>
                <w:rFonts w:ascii="Arial" w:hAnsi="Arial" w:cs="Arial"/>
                <w:i/>
                <w:sz w:val="18"/>
                <w:szCs w:val="18"/>
              </w:rPr>
              <w:t>0.25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F5" w:rsidRPr="007E32AB" w:rsidRDefault="00CB37F5" w:rsidP="00806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37F5" w:rsidRDefault="00CB37F5" w:rsidP="00CB37F5">
      <w:pPr>
        <w:spacing w:before="60"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A20C3">
        <w:rPr>
          <w:rFonts w:ascii="Times New Roman" w:hAnsi="Times New Roman" w:cs="Times New Roman"/>
          <w:sz w:val="18"/>
          <w:szCs w:val="18"/>
          <w:lang w:val="en-US"/>
        </w:rPr>
        <w:t>Significance for the parameter estimates: *** = 1% leve</w:t>
      </w:r>
      <w:r>
        <w:rPr>
          <w:rFonts w:ascii="Times New Roman" w:hAnsi="Times New Roman" w:cs="Times New Roman"/>
          <w:sz w:val="18"/>
          <w:szCs w:val="18"/>
          <w:lang w:val="en-US"/>
        </w:rPr>
        <w:t>l; ** = 5% level; * = 10% level</w:t>
      </w:r>
      <w:r w:rsidRPr="00DA20C3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CB37F5" w:rsidRPr="00DC6CDB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C6CDB">
        <w:rPr>
          <w:rFonts w:ascii="Times New Roman" w:hAnsi="Times New Roman" w:cs="Times New Roman"/>
          <w:i/>
          <w:sz w:val="18"/>
          <w:szCs w:val="18"/>
          <w:lang w:val="en-US"/>
        </w:rPr>
        <w:t>t</w:t>
      </w:r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-values are based on two-step standard errors incorporating the </w:t>
      </w:r>
      <w:proofErr w:type="spellStart"/>
      <w:r w:rsidRPr="00DC6CDB">
        <w:rPr>
          <w:rFonts w:ascii="Times New Roman" w:hAnsi="Times New Roman" w:cs="Times New Roman"/>
          <w:sz w:val="18"/>
          <w:szCs w:val="18"/>
          <w:lang w:val="en-US"/>
        </w:rPr>
        <w:t>Windmeijer</w:t>
      </w:r>
      <w:proofErr w:type="spellEnd"/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 correction.</w:t>
      </w:r>
    </w:p>
    <w:p w:rsidR="00CB37F5" w:rsidRPr="00DC6CDB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C6CDB">
        <w:rPr>
          <w:rFonts w:ascii="Times New Roman" w:hAnsi="Times New Roman" w:cs="Times New Roman"/>
          <w:sz w:val="18"/>
          <w:szCs w:val="18"/>
          <w:lang w:val="en-US"/>
        </w:rPr>
        <w:t>All regressions include year fixed effects (coefficients are not reported).</w:t>
      </w:r>
    </w:p>
    <w:p w:rsidR="00CB37F5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Lagged dependent variables are treated as endogenous; bank variables are treated as predetermined; economic variables and year dummies are treated as exogenous. </w:t>
      </w:r>
      <w:proofErr w:type="spellStart"/>
      <w:r w:rsidRPr="00DC6CDB">
        <w:rPr>
          <w:rFonts w:ascii="Times New Roman" w:hAnsi="Times New Roman" w:cs="Times New Roman"/>
          <w:sz w:val="18"/>
          <w:szCs w:val="18"/>
          <w:lang w:val="en-US"/>
        </w:rPr>
        <w:t>Regressors</w:t>
      </w:r>
      <w:proofErr w:type="spellEnd"/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 have been instrumented by their second and third order lags.</w:t>
      </w:r>
    </w:p>
    <w:p w:rsidR="00CB37F5" w:rsidRPr="00DA20C3" w:rsidRDefault="00CB37F5" w:rsidP="00CB37F5">
      <w:pPr>
        <w:spacing w:after="0" w:line="240" w:lineRule="auto"/>
        <w:ind w:right="113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AR(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1) and AR(2) statistics test </w:t>
      </w:r>
      <w:r w:rsidRPr="00DC6CDB">
        <w:rPr>
          <w:rFonts w:ascii="Times New Roman" w:hAnsi="Times New Roman" w:cs="Times New Roman"/>
          <w:sz w:val="18"/>
          <w:szCs w:val="18"/>
          <w:lang w:val="en-US"/>
        </w:rPr>
        <w:t>first-order and second-order serial correlation in the residuals of the estimated equations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respectively. </w:t>
      </w:r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The Hansen </w:t>
      </w:r>
      <w:r w:rsidRPr="00DC6CDB">
        <w:rPr>
          <w:rFonts w:ascii="Times New Roman" w:hAnsi="Times New Roman" w:cs="Times New Roman"/>
          <w:i/>
          <w:sz w:val="18"/>
          <w:szCs w:val="18"/>
          <w:lang w:val="en-US"/>
        </w:rPr>
        <w:t>J</w:t>
      </w:r>
      <w:r w:rsidRPr="00DC6CDB">
        <w:rPr>
          <w:rFonts w:ascii="Times New Roman" w:hAnsi="Times New Roman" w:cs="Times New Roman"/>
          <w:sz w:val="18"/>
          <w:szCs w:val="18"/>
          <w:lang w:val="en-US"/>
        </w:rPr>
        <w:t xml:space="preserve"> statistic tests the instruments’ joint validity.</w:t>
      </w:r>
    </w:p>
    <w:p w:rsidR="00CB37F5" w:rsidRPr="00CB37F5" w:rsidRDefault="00CB37F5" w:rsidP="001937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552" w:rsidRDefault="00C729FE" w:rsidP="00CB37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D042B" w:rsidRPr="001D042B">
        <w:rPr>
          <w:rFonts w:ascii="Times New Roman" w:hAnsi="Times New Roman" w:cs="Times New Roman"/>
          <w:sz w:val="24"/>
          <w:szCs w:val="24"/>
          <w:lang w:val="en-GB"/>
        </w:rPr>
        <w:t xml:space="preserve">he control variables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000B1A">
        <w:rPr>
          <w:rFonts w:ascii="Times New Roman" w:hAnsi="Times New Roman" w:cs="Times New Roman"/>
          <w:sz w:val="24"/>
          <w:szCs w:val="24"/>
          <w:lang w:val="en-GB"/>
        </w:rPr>
        <w:t xml:space="preserve">exhibit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generally coherent </w:t>
      </w:r>
      <w:r w:rsidR="00000B1A">
        <w:rPr>
          <w:rFonts w:ascii="Times New Roman" w:hAnsi="Times New Roman" w:cs="Times New Roman"/>
          <w:sz w:val="24"/>
          <w:szCs w:val="24"/>
          <w:lang w:val="en-GB"/>
        </w:rPr>
        <w:t>coefficients</w:t>
      </w:r>
      <w:r w:rsidR="001D042B" w:rsidRPr="001D042B">
        <w:rPr>
          <w:rFonts w:ascii="Times New Roman" w:hAnsi="Times New Roman" w:cs="Times New Roman"/>
          <w:sz w:val="24"/>
          <w:szCs w:val="24"/>
          <w:lang w:val="en-GB"/>
        </w:rPr>
        <w:t xml:space="preserve">. We just note that </w:t>
      </w:r>
      <w:proofErr w:type="spellStart"/>
      <w:r w:rsidR="00744A24" w:rsidRPr="00744A24">
        <w:rPr>
          <w:rFonts w:ascii="Times New Roman" w:hAnsi="Times New Roman" w:cs="Times New Roman"/>
          <w:i/>
          <w:sz w:val="24"/>
          <w:szCs w:val="24"/>
          <w:lang w:val="en-GB"/>
        </w:rPr>
        <w:t>lnGDPPERCAP</w:t>
      </w:r>
      <w:proofErr w:type="spellEnd"/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ha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523BAA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lang w:val="en-GB"/>
        </w:rPr>
        <w:t>ly negative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coefficient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4551F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 now banks appear to gain higher profits in less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 economically developed areas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. The coefficients of the lagged dependent variables </w:t>
      </w:r>
      <w:r w:rsidR="00000B1A" w:rsidRPr="00000B1A">
        <w:rPr>
          <w:rFonts w:ascii="Times New Roman" w:hAnsi="Times New Roman" w:cs="Times New Roman"/>
          <w:sz w:val="24"/>
          <w:szCs w:val="24"/>
          <w:lang w:val="en-GB"/>
        </w:rPr>
        <w:t xml:space="preserve">confirm </w:t>
      </w:r>
      <w:r>
        <w:rPr>
          <w:rFonts w:ascii="Times New Roman" w:hAnsi="Times New Roman" w:cs="Times New Roman"/>
          <w:sz w:val="24"/>
          <w:szCs w:val="24"/>
          <w:lang w:val="en-GB"/>
        </w:rPr>
        <w:t>profit</w:t>
      </w:r>
      <w:r w:rsidR="00000B1A" w:rsidRPr="00000B1A">
        <w:rPr>
          <w:rFonts w:ascii="Times New Roman" w:hAnsi="Times New Roman" w:cs="Times New Roman"/>
          <w:sz w:val="24"/>
          <w:szCs w:val="24"/>
          <w:lang w:val="en-GB"/>
        </w:rPr>
        <w:t xml:space="preserve"> persistence.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CF7552" w:rsidRPr="00CF7552">
        <w:rPr>
          <w:rFonts w:ascii="Times New Roman" w:hAnsi="Times New Roman" w:cs="Times New Roman"/>
          <w:sz w:val="24"/>
          <w:szCs w:val="24"/>
          <w:lang w:val="en-GB"/>
        </w:rPr>
        <w:t>the estimat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ed coefficients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 xml:space="preserve">range between 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>0.2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 and 0.38, </w:t>
      </w:r>
      <w:r w:rsidR="00CF7552" w:rsidRPr="00CF7552">
        <w:rPr>
          <w:rFonts w:ascii="Times New Roman" w:hAnsi="Times New Roman" w:cs="Times New Roman"/>
          <w:sz w:val="24"/>
          <w:szCs w:val="24"/>
          <w:lang w:val="en-GB"/>
        </w:rPr>
        <w:t>indicat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CF7552" w:rsidRPr="00CF7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 xml:space="preserve">persistence of profitability 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for Italian banks is rather low (which foreshadows </w:t>
      </w:r>
      <w:r w:rsidR="00CF7552" w:rsidRPr="00CF755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51F">
        <w:rPr>
          <w:rFonts w:ascii="Times New Roman" w:hAnsi="Times New Roman" w:cs="Times New Roman"/>
          <w:sz w:val="24"/>
          <w:szCs w:val="24"/>
          <w:lang w:val="en-GB"/>
        </w:rPr>
        <w:t>good</w:t>
      </w:r>
      <w:r w:rsidR="00AF3E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4551F"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="00AF3E74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CF7552" w:rsidRPr="00CF7552">
        <w:rPr>
          <w:rFonts w:ascii="Times New Roman" w:hAnsi="Times New Roman" w:cs="Times New Roman"/>
          <w:sz w:val="24"/>
          <w:szCs w:val="24"/>
          <w:lang w:val="en-GB"/>
        </w:rPr>
        <w:t>competiti</w:t>
      </w:r>
      <w:r w:rsidR="00AF3E74">
        <w:rPr>
          <w:rFonts w:ascii="Times New Roman" w:hAnsi="Times New Roman" w:cs="Times New Roman"/>
          <w:sz w:val="24"/>
          <w:szCs w:val="24"/>
          <w:lang w:val="en-GB"/>
        </w:rPr>
        <w:t>on</w:t>
      </w:r>
      <w:r w:rsidR="00CF755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000B1A" w:rsidRPr="00000B1A" w:rsidRDefault="00A10A86" w:rsidP="00CB37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Table 3 highlights that 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>AR(</w:t>
      </w:r>
      <w:proofErr w:type="gramEnd"/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1) test is </w:t>
      </w:r>
      <w:r w:rsidR="00FE30CA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rejected (high first-order autocorrelation), while the AR(2) test cannot be rejected at the 5% significance level </w:t>
      </w:r>
      <w:r w:rsidR="00744A24">
        <w:rPr>
          <w:rFonts w:ascii="Times New Roman" w:hAnsi="Times New Roman" w:cs="Times New Roman"/>
          <w:sz w:val="24"/>
          <w:szCs w:val="24"/>
          <w:lang w:val="en-GB"/>
        </w:rPr>
        <w:t xml:space="preserve">in two over three estimations 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(no evidence of second-order autocorrelation). Under this respect, our GMM specification is 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 xml:space="preserve">broadly 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consistent. 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>Finally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, the Hansen tests of </w:t>
      </w:r>
      <w:proofErr w:type="spellStart"/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>overidentifying</w:t>
      </w:r>
      <w:proofErr w:type="spellEnd"/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 restrictions 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>is never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 xml:space="preserve"> rejected, thus </w:t>
      </w:r>
      <w:r w:rsidR="00E12B3E">
        <w:rPr>
          <w:rFonts w:ascii="Times New Roman" w:hAnsi="Times New Roman" w:cs="Times New Roman"/>
          <w:sz w:val="24"/>
          <w:szCs w:val="24"/>
          <w:lang w:val="en-GB"/>
        </w:rPr>
        <w:t xml:space="preserve">confirming </w:t>
      </w:r>
      <w:r w:rsidR="00744A24" w:rsidRPr="00744A24">
        <w:rPr>
          <w:rFonts w:ascii="Times New Roman" w:hAnsi="Times New Roman" w:cs="Times New Roman"/>
          <w:sz w:val="24"/>
          <w:szCs w:val="24"/>
          <w:lang w:val="en-GB"/>
        </w:rPr>
        <w:t>the validity of instruments.</w:t>
      </w:r>
    </w:p>
    <w:p w:rsidR="003C7747" w:rsidRDefault="003C7747" w:rsidP="003C774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5280" w:rsidRDefault="009E5280" w:rsidP="003C774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7747" w:rsidRPr="0049545B" w:rsidRDefault="003C7747" w:rsidP="009E5280">
      <w:pPr>
        <w:keepNext/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4. Conclus</w:t>
      </w:r>
      <w:r w:rsidRPr="0049545B">
        <w:rPr>
          <w:rFonts w:ascii="Times New Roman" w:hAnsi="Times New Roman" w:cs="Times New Roman"/>
          <w:i/>
          <w:sz w:val="24"/>
          <w:szCs w:val="24"/>
          <w:lang w:val="en-GB"/>
        </w:rPr>
        <w:t>ion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</w:p>
    <w:p w:rsidR="00F36BA4" w:rsidRPr="00C3312F" w:rsidRDefault="00272388" w:rsidP="00F36B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his paper </w:t>
      </w:r>
      <w:r>
        <w:rPr>
          <w:rFonts w:ascii="Times New Roman" w:hAnsi="Times New Roman" w:cs="Times New Roman"/>
          <w:sz w:val="24"/>
          <w:szCs w:val="24"/>
          <w:lang w:val="en-GB"/>
        </w:rPr>
        <w:t>we have examined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link between market power and 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profitability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Italian banks in the light of 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10A86">
        <w:rPr>
          <w:rFonts w:ascii="Times New Roman" w:hAnsi="Times New Roman" w:cs="Times New Roman"/>
          <w:sz w:val="24"/>
          <w:szCs w:val="24"/>
          <w:lang w:val="en-GB"/>
        </w:rPr>
        <w:t>SCP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10A86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 hypotheses. Using </w:t>
      </w:r>
      <w:r>
        <w:rPr>
          <w:rFonts w:ascii="Times New Roman" w:hAnsi="Times New Roman" w:cs="Times New Roman"/>
          <w:sz w:val="24"/>
          <w:szCs w:val="24"/>
          <w:lang w:val="en-GB"/>
        </w:rPr>
        <w:t>a sample of 838 banks for the period 1999-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>201</w:t>
      </w: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>, we estimate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both a panel regression and a GMM model, 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 xml:space="preserve">finding that market structure </w:t>
      </w:r>
      <w:r w:rsidR="00B4551F">
        <w:rPr>
          <w:rFonts w:ascii="Times New Roman" w:hAnsi="Times New Roman" w:cs="Times New Roman"/>
          <w:sz w:val="24"/>
          <w:szCs w:val="24"/>
          <w:lang w:val="en-GB"/>
        </w:rPr>
        <w:t>did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 xml:space="preserve"> not </w:t>
      </w:r>
      <w:r w:rsidR="00B4551F">
        <w:rPr>
          <w:rFonts w:ascii="Times New Roman" w:hAnsi="Times New Roman" w:cs="Times New Roman"/>
          <w:sz w:val="24"/>
          <w:szCs w:val="24"/>
          <w:lang w:val="en-GB"/>
        </w:rPr>
        <w:t xml:space="preserve">affect </w:t>
      </w:r>
      <w:r w:rsidR="00AF3E74">
        <w:rPr>
          <w:rFonts w:ascii="Times New Roman" w:hAnsi="Times New Roman" w:cs="Times New Roman"/>
          <w:sz w:val="24"/>
          <w:szCs w:val="24"/>
          <w:lang w:val="en-GB"/>
        </w:rPr>
        <w:t xml:space="preserve">profitability, while a significant 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>role has been played by efficiency, particularly X-efficiency (i.e. banks’ closeness to the ‘best practise’ cost frontier).</w:t>
      </w:r>
    </w:p>
    <w:p w:rsidR="00F36BA4" w:rsidRPr="00D34B7B" w:rsidRDefault="00B4551F" w:rsidP="001F7F9C">
      <w:pPr>
        <w:keepNext/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Empirical results rule out any evidence of 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>collusive behavio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C3312F" w:rsidRPr="00C3312F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 xml:space="preserve">among Italian banks, </w:t>
      </w:r>
      <w:r w:rsidR="00C107BB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 xml:space="preserve"> profitability has been mainly driven by efficiency gains. Therefore, </w:t>
      </w:r>
      <w:r w:rsidR="009E5280">
        <w:rPr>
          <w:rFonts w:ascii="Times New Roman" w:hAnsi="Times New Roman" w:cs="Times New Roman"/>
          <w:sz w:val="24"/>
          <w:szCs w:val="24"/>
          <w:lang w:val="en-GB"/>
        </w:rPr>
        <w:t xml:space="preserve">in spite of the </w:t>
      </w:r>
      <w:r w:rsidR="00C107BB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9E5280" w:rsidRPr="009E5280">
        <w:rPr>
          <w:rFonts w:ascii="Times New Roman" w:hAnsi="Times New Roman" w:cs="Times New Roman"/>
          <w:sz w:val="24"/>
          <w:szCs w:val="24"/>
          <w:lang w:val="en-GB"/>
        </w:rPr>
        <w:t xml:space="preserve">noticeable </w:t>
      </w:r>
      <w:r w:rsidR="009E5280">
        <w:rPr>
          <w:rFonts w:ascii="Times New Roman" w:hAnsi="Times New Roman" w:cs="Times New Roman"/>
          <w:sz w:val="24"/>
          <w:szCs w:val="24"/>
          <w:lang w:val="en-GB"/>
        </w:rPr>
        <w:t>consolidation</w:t>
      </w:r>
      <w:r w:rsidR="009E5280" w:rsidRPr="009E5280">
        <w:rPr>
          <w:rFonts w:ascii="Times New Roman" w:hAnsi="Times New Roman" w:cs="Times New Roman"/>
          <w:sz w:val="24"/>
          <w:szCs w:val="24"/>
          <w:lang w:val="en-GB"/>
        </w:rPr>
        <w:t xml:space="preserve"> process</w:t>
      </w:r>
      <w:r w:rsidR="009E528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E5280" w:rsidRPr="009E52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107BB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 xml:space="preserve"> appear to confirm that </w:t>
      </w:r>
      <w:r w:rsidR="00F36BA4" w:rsidRPr="00D34B7B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F36BA4">
        <w:rPr>
          <w:rFonts w:ascii="Times New Roman" w:hAnsi="Times New Roman" w:cs="Times New Roman"/>
          <w:sz w:val="24"/>
          <w:szCs w:val="24"/>
          <w:lang w:val="en-GB"/>
        </w:rPr>
        <w:t>Italian banking industry there is no apparent conflict between concentration and competition</w:t>
      </w:r>
      <w:r w:rsidR="008321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43617" w:rsidRPr="00D34B7B" w:rsidRDefault="00243617" w:rsidP="00C331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2196" w:rsidRDefault="0083219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32196" w:rsidRPr="00832196" w:rsidRDefault="0083219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3219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References</w:t>
      </w:r>
    </w:p>
    <w:p w:rsidR="00832196" w:rsidRDefault="008321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[1] 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Mason, E.S., 1939. Price and production policies of large-scale enterprise.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American Economic Review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en-GB"/>
        </w:rPr>
        <w:t>(1)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7022B">
        <w:rPr>
          <w:rFonts w:ascii="Times New Roman" w:hAnsi="Times New Roman" w:cs="Times New Roman"/>
          <w:sz w:val="24"/>
          <w:szCs w:val="24"/>
          <w:lang w:val="en-GB"/>
        </w:rPr>
        <w:t>Papers and Proceedings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61-74.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>Bain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J.S.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>1951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Relation of profit rate to industrial concentration: American manufacturing, 1936-1940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E84">
        <w:rPr>
          <w:rFonts w:ascii="Times New Roman" w:hAnsi="Times New Roman" w:cs="Times New Roman"/>
          <w:i/>
          <w:sz w:val="24"/>
          <w:szCs w:val="24"/>
          <w:lang w:val="en-US"/>
        </w:rPr>
        <w:t>Quarterly Journal of Economics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65</w:t>
      </w:r>
      <w:r>
        <w:rPr>
          <w:rFonts w:ascii="Times New Roman" w:hAnsi="Times New Roman" w:cs="Times New Roman"/>
          <w:sz w:val="24"/>
          <w:szCs w:val="24"/>
          <w:lang w:val="en-US"/>
        </w:rPr>
        <w:t>(3)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, 293-324. </w:t>
      </w:r>
    </w:p>
    <w:p w:rsidR="00302B11" w:rsidRPr="00521E84" w:rsidRDefault="00302B11" w:rsidP="0047022B">
      <w:pPr>
        <w:pStyle w:val="Default"/>
        <w:spacing w:line="360" w:lineRule="auto"/>
        <w:ind w:left="567" w:hanging="567"/>
        <w:jc w:val="both"/>
        <w:rPr>
          <w:color w:val="auto"/>
          <w:lang w:val="en-US"/>
        </w:rPr>
      </w:pPr>
      <w:r>
        <w:rPr>
          <w:lang w:val="en-GB"/>
        </w:rPr>
        <w:t>[</w:t>
      </w:r>
      <w:r>
        <w:rPr>
          <w:color w:val="auto"/>
          <w:lang w:val="en-US"/>
        </w:rPr>
        <w:t>3</w:t>
      </w:r>
      <w:r>
        <w:rPr>
          <w:bCs/>
        </w:rPr>
        <w:t>]</w:t>
      </w:r>
      <w:r>
        <w:rPr>
          <w:color w:val="auto"/>
          <w:lang w:val="en-US"/>
        </w:rPr>
        <w:t> </w:t>
      </w:r>
      <w:proofErr w:type="spellStart"/>
      <w:r w:rsidRPr="00521E84">
        <w:rPr>
          <w:color w:val="auto"/>
          <w:lang w:val="en-US"/>
        </w:rPr>
        <w:t>Demsetz</w:t>
      </w:r>
      <w:proofErr w:type="spellEnd"/>
      <w:r>
        <w:rPr>
          <w:color w:val="auto"/>
          <w:lang w:val="en-US"/>
        </w:rPr>
        <w:t>,</w:t>
      </w:r>
      <w:r w:rsidRPr="00521E84">
        <w:rPr>
          <w:color w:val="auto"/>
          <w:lang w:val="en-US"/>
        </w:rPr>
        <w:t xml:space="preserve"> H.</w:t>
      </w:r>
      <w:r>
        <w:rPr>
          <w:color w:val="auto"/>
          <w:lang w:val="en-US"/>
        </w:rPr>
        <w:t>,</w:t>
      </w:r>
      <w:r w:rsidRPr="00521E84">
        <w:rPr>
          <w:color w:val="auto"/>
          <w:lang w:val="en-US"/>
        </w:rPr>
        <w:t xml:space="preserve"> 1973</w:t>
      </w:r>
      <w:r>
        <w:rPr>
          <w:color w:val="auto"/>
          <w:lang w:val="en-US"/>
        </w:rPr>
        <w:t>.</w:t>
      </w:r>
      <w:r w:rsidRPr="00521E84">
        <w:rPr>
          <w:color w:val="auto"/>
          <w:lang w:val="en-US"/>
        </w:rPr>
        <w:t xml:space="preserve"> Industry structure, market rivalry, and public policy</w:t>
      </w:r>
      <w:r>
        <w:rPr>
          <w:color w:val="auto"/>
          <w:lang w:val="en-US"/>
        </w:rPr>
        <w:t>.</w:t>
      </w:r>
      <w:r w:rsidRPr="00521E84">
        <w:rPr>
          <w:color w:val="auto"/>
          <w:lang w:val="en-US"/>
        </w:rPr>
        <w:t xml:space="preserve"> </w:t>
      </w:r>
      <w:r w:rsidRPr="00521E84">
        <w:rPr>
          <w:i/>
          <w:color w:val="auto"/>
          <w:lang w:val="en-US"/>
        </w:rPr>
        <w:t>Journal of Law and Economics</w:t>
      </w:r>
      <w:r w:rsidRPr="00521E84">
        <w:rPr>
          <w:color w:val="auto"/>
          <w:lang w:val="en-US"/>
        </w:rPr>
        <w:t xml:space="preserve"> 16(1),</w:t>
      </w:r>
      <w:r>
        <w:rPr>
          <w:color w:val="auto"/>
          <w:lang w:val="en-US"/>
        </w:rPr>
        <w:t xml:space="preserve"> </w:t>
      </w:r>
      <w:r w:rsidRPr="00521E84">
        <w:rPr>
          <w:color w:val="auto"/>
          <w:lang w:val="en-US"/>
        </w:rPr>
        <w:t xml:space="preserve">1-9. </w:t>
      </w:r>
    </w:p>
    <w:p w:rsidR="00302B11" w:rsidRPr="00521E84" w:rsidRDefault="00302B11" w:rsidP="0047022B">
      <w:pPr>
        <w:pStyle w:val="Default"/>
        <w:spacing w:line="360" w:lineRule="auto"/>
        <w:ind w:left="567" w:hanging="567"/>
        <w:jc w:val="both"/>
        <w:rPr>
          <w:color w:val="auto"/>
          <w:lang w:val="en-US"/>
        </w:rPr>
      </w:pPr>
      <w:r>
        <w:rPr>
          <w:lang w:val="en-GB"/>
        </w:rPr>
        <w:t>[</w:t>
      </w:r>
      <w:r>
        <w:rPr>
          <w:color w:val="auto"/>
          <w:lang w:val="en-US"/>
        </w:rPr>
        <w:t>4</w:t>
      </w:r>
      <w:r>
        <w:rPr>
          <w:bCs/>
        </w:rPr>
        <w:t>]</w:t>
      </w:r>
      <w:r>
        <w:rPr>
          <w:color w:val="auto"/>
          <w:lang w:val="en-US"/>
        </w:rPr>
        <w:t> </w:t>
      </w:r>
      <w:proofErr w:type="spellStart"/>
      <w:r w:rsidRPr="00521E84">
        <w:rPr>
          <w:color w:val="auto"/>
          <w:lang w:val="en-US"/>
        </w:rPr>
        <w:t>Peltzman</w:t>
      </w:r>
      <w:proofErr w:type="spellEnd"/>
      <w:r>
        <w:rPr>
          <w:color w:val="auto"/>
          <w:lang w:val="en-US"/>
        </w:rPr>
        <w:t>,</w:t>
      </w:r>
      <w:r w:rsidRPr="00521E84">
        <w:rPr>
          <w:color w:val="auto"/>
          <w:lang w:val="en-US"/>
        </w:rPr>
        <w:t xml:space="preserve"> S.</w:t>
      </w:r>
      <w:r>
        <w:rPr>
          <w:color w:val="auto"/>
          <w:lang w:val="en-US"/>
        </w:rPr>
        <w:t>,</w:t>
      </w:r>
      <w:r w:rsidRPr="00521E84">
        <w:rPr>
          <w:color w:val="auto"/>
          <w:lang w:val="en-US"/>
        </w:rPr>
        <w:t xml:space="preserve"> 1977</w:t>
      </w:r>
      <w:r>
        <w:rPr>
          <w:color w:val="auto"/>
          <w:lang w:val="en-US"/>
        </w:rPr>
        <w:t>.</w:t>
      </w:r>
      <w:r w:rsidRPr="00521E84">
        <w:rPr>
          <w:color w:val="auto"/>
          <w:lang w:val="en-US"/>
        </w:rPr>
        <w:t xml:space="preserve"> The </w:t>
      </w:r>
      <w:r>
        <w:rPr>
          <w:color w:val="auto"/>
          <w:lang w:val="en-US"/>
        </w:rPr>
        <w:t>g</w:t>
      </w:r>
      <w:r w:rsidRPr="00521E84">
        <w:rPr>
          <w:color w:val="auto"/>
          <w:lang w:val="en-US"/>
        </w:rPr>
        <w:t xml:space="preserve">ains and </w:t>
      </w:r>
      <w:r>
        <w:rPr>
          <w:color w:val="auto"/>
          <w:lang w:val="en-US"/>
        </w:rPr>
        <w:t>l</w:t>
      </w:r>
      <w:r w:rsidRPr="00521E84">
        <w:rPr>
          <w:color w:val="auto"/>
          <w:lang w:val="en-US"/>
        </w:rPr>
        <w:t xml:space="preserve">osses from </w:t>
      </w:r>
      <w:r>
        <w:rPr>
          <w:color w:val="auto"/>
          <w:lang w:val="en-US"/>
        </w:rPr>
        <w:t>i</w:t>
      </w:r>
      <w:r w:rsidRPr="00521E84">
        <w:rPr>
          <w:color w:val="auto"/>
          <w:lang w:val="en-US"/>
        </w:rPr>
        <w:t xml:space="preserve">ndustrial </w:t>
      </w:r>
      <w:r>
        <w:rPr>
          <w:color w:val="auto"/>
          <w:lang w:val="en-US"/>
        </w:rPr>
        <w:t>c</w:t>
      </w:r>
      <w:r w:rsidRPr="00521E84">
        <w:rPr>
          <w:color w:val="auto"/>
          <w:lang w:val="en-US"/>
        </w:rPr>
        <w:t>oncentration</w:t>
      </w:r>
      <w:r>
        <w:rPr>
          <w:color w:val="auto"/>
          <w:lang w:val="en-US"/>
        </w:rPr>
        <w:t>.</w:t>
      </w:r>
      <w:r w:rsidRPr="00521E84">
        <w:rPr>
          <w:color w:val="auto"/>
          <w:lang w:val="en-US"/>
        </w:rPr>
        <w:t xml:space="preserve"> </w:t>
      </w:r>
      <w:r w:rsidRPr="00521E84">
        <w:rPr>
          <w:i/>
          <w:color w:val="auto"/>
          <w:lang w:val="en-US"/>
        </w:rPr>
        <w:t>Journal of Law and Economics</w:t>
      </w:r>
      <w:r w:rsidRPr="00521E84">
        <w:rPr>
          <w:color w:val="auto"/>
          <w:lang w:val="en-US"/>
        </w:rPr>
        <w:t xml:space="preserve"> 20(2), 229-263.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>Coccorese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Competition in markets with dominant firms: A note on the evidence from the Italian banking industry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E84">
        <w:rPr>
          <w:rFonts w:ascii="Times New Roman" w:hAnsi="Times New Roman" w:cs="Times New Roman"/>
          <w:i/>
          <w:sz w:val="24"/>
          <w:szCs w:val="24"/>
          <w:lang w:val="en-US"/>
        </w:rPr>
        <w:t>Journal of Banking and Finance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sz w:val="24"/>
          <w:szCs w:val="24"/>
          <w:lang w:val="en-US"/>
        </w:rPr>
        <w:t>(5)</w:t>
      </w:r>
      <w:r w:rsidRPr="00521E84">
        <w:rPr>
          <w:rFonts w:ascii="Times New Roman" w:hAnsi="Times New Roman" w:cs="Times New Roman"/>
          <w:sz w:val="24"/>
          <w:szCs w:val="24"/>
          <w:lang w:val="en-US"/>
        </w:rPr>
        <w:t>, 1083-1093.</w:t>
      </w:r>
    </w:p>
    <w:p w:rsidR="00302B11" w:rsidRPr="00521E84" w:rsidRDefault="00302B11" w:rsidP="0047022B">
      <w:pPr>
        <w:tabs>
          <w:tab w:val="left" w:pos="28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[6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Coccorese, P., 2009. Market power in local banking monopolies.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Journal of Banking and Finance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33</w:t>
      </w:r>
      <w:r>
        <w:rPr>
          <w:rFonts w:ascii="Times New Roman" w:hAnsi="Times New Roman" w:cs="Times New Roman"/>
          <w:sz w:val="24"/>
          <w:szCs w:val="24"/>
          <w:lang w:val="en-GB"/>
        </w:rPr>
        <w:t>(7)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, 1196-1210.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[7</w:t>
      </w:r>
      <w:r w:rsidRPr="00302B11">
        <w:rPr>
          <w:bCs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Goldberg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L.G., Rai</w:t>
      </w:r>
      <w:r>
        <w:rPr>
          <w:rFonts w:ascii="Times New Roman" w:hAnsi="Times New Roman" w:cs="Times New Roman"/>
          <w:sz w:val="24"/>
          <w:szCs w:val="24"/>
          <w:lang w:val="en-GB"/>
        </w:rPr>
        <w:t>, A., 1996.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The structure-performance relationship for European banking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Journal of Banking and Finance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en-GB"/>
        </w:rPr>
        <w:t>(4)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, 745-771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2B11" w:rsidRPr="00521E84" w:rsidRDefault="00302B11" w:rsidP="0047022B">
      <w:pPr>
        <w:pStyle w:val="Default"/>
        <w:spacing w:line="360" w:lineRule="auto"/>
        <w:ind w:left="567" w:hanging="567"/>
        <w:jc w:val="both"/>
        <w:rPr>
          <w:lang w:val="en-GB"/>
        </w:rPr>
      </w:pPr>
      <w:r>
        <w:rPr>
          <w:lang w:val="en-GB"/>
        </w:rPr>
        <w:t>[8</w:t>
      </w:r>
      <w:r w:rsidRPr="00302B11">
        <w:rPr>
          <w:bCs/>
          <w:lang w:val="en-GB"/>
        </w:rPr>
        <w:t>]</w:t>
      </w:r>
      <w:r>
        <w:rPr>
          <w:lang w:val="en-GB"/>
        </w:rPr>
        <w:t> </w:t>
      </w:r>
      <w:proofErr w:type="spellStart"/>
      <w:r w:rsidRPr="00521E84">
        <w:rPr>
          <w:lang w:val="en-GB"/>
        </w:rPr>
        <w:t>Aigner</w:t>
      </w:r>
      <w:proofErr w:type="spellEnd"/>
      <w:r w:rsidRPr="00521E84">
        <w:rPr>
          <w:lang w:val="en-GB"/>
        </w:rPr>
        <w:t xml:space="preserve">, D.J., Lovell, C.K.A., Schmidt, P., 1977. Formulation and estimation of stochastic frontier production function models. </w:t>
      </w:r>
      <w:r w:rsidRPr="00521E84">
        <w:rPr>
          <w:i/>
          <w:lang w:val="en-GB"/>
        </w:rPr>
        <w:t>Journal of Econometrics</w:t>
      </w:r>
      <w:r w:rsidRPr="00521E84">
        <w:rPr>
          <w:lang w:val="en-GB"/>
        </w:rPr>
        <w:t xml:space="preserve"> 6</w:t>
      </w:r>
      <w:r>
        <w:rPr>
          <w:lang w:val="en-GB"/>
        </w:rPr>
        <w:t>(1)</w:t>
      </w:r>
      <w:r w:rsidRPr="00521E84">
        <w:rPr>
          <w:lang w:val="en-GB"/>
        </w:rPr>
        <w:t>, 21-37.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[9</w:t>
      </w:r>
      <w:r w:rsidRPr="00302B11">
        <w:rPr>
          <w:bCs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521E84">
        <w:rPr>
          <w:rFonts w:ascii="Times New Roman" w:hAnsi="Times New Roman" w:cs="Times New Roman"/>
          <w:sz w:val="24"/>
          <w:szCs w:val="24"/>
          <w:lang w:val="en-GB"/>
        </w:rPr>
        <w:t>Meeusen</w:t>
      </w:r>
      <w:proofErr w:type="spellEnd"/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, W., van den </w:t>
      </w:r>
      <w:proofErr w:type="spellStart"/>
      <w:r w:rsidRPr="00521E84">
        <w:rPr>
          <w:rFonts w:ascii="Times New Roman" w:hAnsi="Times New Roman" w:cs="Times New Roman"/>
          <w:sz w:val="24"/>
          <w:szCs w:val="24"/>
          <w:lang w:val="en-GB"/>
        </w:rPr>
        <w:t>Broeck</w:t>
      </w:r>
      <w:proofErr w:type="spellEnd"/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, J., 1977. Efficiency estimation from Cobb-Douglas production functions with composed error.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International Economic Review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GB"/>
        </w:rPr>
        <w:t>(2)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, 435-444.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02B11">
        <w:rPr>
          <w:rFonts w:ascii="Times New Roman" w:hAnsi="Times New Roman" w:cs="Times New Roman"/>
          <w:sz w:val="24"/>
          <w:szCs w:val="24"/>
        </w:rPr>
        <w:t>[</w:t>
      </w:r>
      <w:r w:rsidRPr="00C24AD1">
        <w:rPr>
          <w:rFonts w:ascii="Times New Roman" w:hAnsi="Times New Roman" w:cs="Times New Roman"/>
          <w:sz w:val="24"/>
          <w:szCs w:val="24"/>
        </w:rPr>
        <w:t>10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AD1">
        <w:rPr>
          <w:rFonts w:ascii="Times New Roman" w:hAnsi="Times New Roman" w:cs="Times New Roman"/>
          <w:sz w:val="24"/>
          <w:szCs w:val="24"/>
        </w:rPr>
        <w:t xml:space="preserve">Berger, A.N., </w:t>
      </w:r>
      <w:proofErr w:type="spellStart"/>
      <w:r w:rsidRPr="00C24AD1">
        <w:rPr>
          <w:rFonts w:ascii="Times New Roman" w:hAnsi="Times New Roman" w:cs="Times New Roman"/>
          <w:sz w:val="24"/>
          <w:szCs w:val="24"/>
        </w:rPr>
        <w:t>Hannan</w:t>
      </w:r>
      <w:proofErr w:type="spellEnd"/>
      <w:r w:rsidRPr="00C24AD1">
        <w:rPr>
          <w:rFonts w:ascii="Times New Roman" w:hAnsi="Times New Roman" w:cs="Times New Roman"/>
          <w:sz w:val="24"/>
          <w:szCs w:val="24"/>
        </w:rPr>
        <w:t xml:space="preserve">, T.H., 1997.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fficiency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easures to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istinguish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mong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lternative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xplanations of the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tructure</w:t>
      </w:r>
      <w:r>
        <w:rPr>
          <w:rFonts w:ascii="Times New Roman" w:hAnsi="Times New Roman" w:cs="Times New Roman"/>
          <w:sz w:val="24"/>
          <w:szCs w:val="24"/>
          <w:lang w:val="en-GB"/>
        </w:rPr>
        <w:t>-p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erformance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elationship in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anking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Managerial Finance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23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(1),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[11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Shepherd, W.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G.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1986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Tobin’s q and the structure performance relationship: </w:t>
      </w:r>
      <w:r>
        <w:rPr>
          <w:rFonts w:ascii="Times New Roman" w:hAnsi="Times New Roman" w:cs="Times New Roman"/>
          <w:sz w:val="24"/>
          <w:szCs w:val="24"/>
          <w:lang w:val="en-GB"/>
        </w:rPr>
        <w:t>Comment.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American Economic Review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76</w:t>
      </w:r>
      <w:r>
        <w:rPr>
          <w:rFonts w:ascii="Times New Roman" w:hAnsi="Times New Roman" w:cs="Times New Roman"/>
          <w:sz w:val="24"/>
          <w:szCs w:val="24"/>
          <w:lang w:val="en-GB"/>
        </w:rPr>
        <w:t>(5)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, 1205-1210.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[12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521E84">
        <w:rPr>
          <w:rFonts w:ascii="Times New Roman" w:hAnsi="Times New Roman" w:cs="Times New Roman"/>
          <w:sz w:val="24"/>
          <w:szCs w:val="24"/>
          <w:lang w:val="en-GB"/>
        </w:rPr>
        <w:t>Maudos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J., 1998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Market structure and performance in Spanish banking using a direct measure of efficiency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Applied Financial Economics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GB"/>
        </w:rPr>
        <w:t>(2)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, 191-200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[13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Berger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1995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The profit-relationship in banking</w:t>
      </w:r>
      <w:r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ests of market-power and efficient-market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hypotheses.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Journal of Money Credit and Banking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(2),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40</w:t>
      </w:r>
      <w:r>
        <w:rPr>
          <w:rFonts w:ascii="Times New Roman" w:hAnsi="Times New Roman" w:cs="Times New Roman"/>
          <w:sz w:val="24"/>
          <w:szCs w:val="24"/>
          <w:lang w:val="en-GB"/>
        </w:rPr>
        <w:t>4-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431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[14</w:t>
      </w:r>
      <w:r w:rsidRPr="00302B11">
        <w:rPr>
          <w:bCs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Goddard, J., </w:t>
      </w:r>
      <w:proofErr w:type="spellStart"/>
      <w:r w:rsidRPr="00521E84">
        <w:rPr>
          <w:rFonts w:ascii="Times New Roman" w:hAnsi="Times New Roman" w:cs="Times New Roman"/>
          <w:sz w:val="24"/>
          <w:szCs w:val="24"/>
          <w:lang w:val="en-GB"/>
        </w:rPr>
        <w:t>Molyneux</w:t>
      </w:r>
      <w:proofErr w:type="spellEnd"/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P.,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Wilson</w:t>
      </w:r>
      <w:r>
        <w:rPr>
          <w:rFonts w:ascii="Times New Roman" w:hAnsi="Times New Roman" w:cs="Times New Roman"/>
          <w:sz w:val="24"/>
          <w:szCs w:val="24"/>
          <w:lang w:val="en-GB"/>
        </w:rPr>
        <w:t>, O.S.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J.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2004. The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rofitability of European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anks: A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ross-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ectional and </w:t>
      </w:r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ynamic 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anel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nalysis.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The Manchester School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72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(3)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363</w:t>
      </w:r>
      <w:r>
        <w:rPr>
          <w:rFonts w:ascii="Times New Roman" w:hAnsi="Times New Roman" w:cs="Times New Roman"/>
          <w:sz w:val="24"/>
          <w:szCs w:val="24"/>
          <w:lang w:val="en-GB"/>
        </w:rPr>
        <w:t>-3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81.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02B11">
        <w:rPr>
          <w:rFonts w:ascii="Times New Roman" w:hAnsi="Times New Roman" w:cs="Times New Roman"/>
          <w:sz w:val="24"/>
          <w:szCs w:val="24"/>
        </w:rPr>
        <w:t>[</w:t>
      </w:r>
      <w:r w:rsidRPr="00C24AD1">
        <w:rPr>
          <w:rFonts w:ascii="Times New Roman" w:hAnsi="Times New Roman" w:cs="Times New Roman"/>
          <w:sz w:val="24"/>
          <w:szCs w:val="24"/>
        </w:rPr>
        <w:t>15</w:t>
      </w:r>
      <w:r>
        <w:rPr>
          <w:bCs/>
        </w:rPr>
        <w:t>]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24AD1">
        <w:rPr>
          <w:rFonts w:ascii="Times New Roman" w:hAnsi="Times New Roman" w:cs="Times New Roman"/>
          <w:sz w:val="24"/>
          <w:szCs w:val="24"/>
        </w:rPr>
        <w:t>Athanasoglou</w:t>
      </w:r>
      <w:proofErr w:type="spellEnd"/>
      <w:r w:rsidRPr="00C24AD1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C24AD1">
        <w:rPr>
          <w:rFonts w:ascii="Times New Roman" w:hAnsi="Times New Roman" w:cs="Times New Roman"/>
          <w:sz w:val="24"/>
          <w:szCs w:val="24"/>
        </w:rPr>
        <w:t>Brissimis</w:t>
      </w:r>
      <w:proofErr w:type="spellEnd"/>
      <w:r w:rsidRPr="00C24AD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24AD1">
        <w:rPr>
          <w:rFonts w:ascii="Times New Roman" w:hAnsi="Times New Roman" w:cs="Times New Roman"/>
          <w:sz w:val="24"/>
          <w:szCs w:val="24"/>
        </w:rPr>
        <w:t>Delis</w:t>
      </w:r>
      <w:proofErr w:type="spellEnd"/>
      <w:r w:rsidRPr="00C24AD1">
        <w:rPr>
          <w:rFonts w:ascii="Times New Roman" w:hAnsi="Times New Roman" w:cs="Times New Roman"/>
          <w:sz w:val="24"/>
          <w:szCs w:val="24"/>
        </w:rPr>
        <w:t xml:space="preserve">, M., 2008.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Bank-specific, industry-specific and macroeconomic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determinants of bank profitability. </w:t>
      </w:r>
      <w:r w:rsidRPr="00521E84">
        <w:rPr>
          <w:rFonts w:ascii="Times New Roman" w:hAnsi="Times New Roman" w:cs="Times New Roman"/>
          <w:i/>
          <w:sz w:val="24"/>
          <w:szCs w:val="24"/>
          <w:lang w:val="en-GB"/>
        </w:rPr>
        <w:t>Journal of International Financial Markets Institutions and Money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18(2)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121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136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2B11" w:rsidRPr="00521E84" w:rsidRDefault="00302B11" w:rsidP="0047022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[16</w:t>
      </w:r>
      <w:r>
        <w:rPr>
          <w:bCs/>
        </w:rPr>
        <w:t>] </w:t>
      </w:r>
      <w:proofErr w:type="spellStart"/>
      <w:r w:rsidRPr="00521E84">
        <w:rPr>
          <w:rFonts w:ascii="Times New Roman" w:hAnsi="Times New Roman" w:cs="Times New Roman"/>
          <w:sz w:val="24"/>
          <w:szCs w:val="24"/>
          <w:lang w:val="en-GB"/>
        </w:rPr>
        <w:t>Baltagi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.H.,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2001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Econometrics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nalysis of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anel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Pr="006E6E2D">
        <w:rPr>
          <w:rFonts w:ascii="Times New Roman" w:hAnsi="Times New Roman" w:cs="Times New Roman"/>
          <w:i/>
          <w:sz w:val="24"/>
          <w:szCs w:val="24"/>
          <w:lang w:val="en-GB"/>
        </w:rPr>
        <w:t>ata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6E6E2D">
        <w:rPr>
          <w:rFonts w:ascii="Times New Roman" w:hAnsi="Times New Roman" w:cs="Times New Roman"/>
          <w:sz w:val="24"/>
          <w:szCs w:val="24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Edition, </w:t>
      </w:r>
      <w:r w:rsidRPr="00521E84">
        <w:rPr>
          <w:rFonts w:ascii="Times New Roman" w:hAnsi="Times New Roman" w:cs="Times New Roman"/>
          <w:sz w:val="24"/>
          <w:szCs w:val="24"/>
          <w:lang w:val="en-GB"/>
        </w:rPr>
        <w:t>West Sussex</w:t>
      </w:r>
      <w:r>
        <w:rPr>
          <w:rFonts w:ascii="Times New Roman" w:hAnsi="Times New Roman" w:cs="Times New Roman"/>
          <w:sz w:val="24"/>
          <w:szCs w:val="24"/>
          <w:lang w:val="en-GB"/>
        </w:rPr>
        <w:t>: John Wiley &amp; Sons.</w:t>
      </w:r>
    </w:p>
    <w:p w:rsidR="00302B11" w:rsidRPr="00521E84" w:rsidRDefault="00302B11" w:rsidP="0047022B">
      <w:pPr>
        <w:pStyle w:val="NormaleWeb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</w:rPr>
      </w:pPr>
      <w:r>
        <w:t>[</w:t>
      </w:r>
      <w:r>
        <w:rPr>
          <w:bCs/>
        </w:rPr>
        <w:t>17] </w:t>
      </w:r>
      <w:r w:rsidRPr="00521E84">
        <w:rPr>
          <w:bCs/>
        </w:rPr>
        <w:t>Arellano</w:t>
      </w:r>
      <w:r>
        <w:rPr>
          <w:bCs/>
        </w:rPr>
        <w:t>,</w:t>
      </w:r>
      <w:r w:rsidRPr="00521E84">
        <w:rPr>
          <w:bCs/>
        </w:rPr>
        <w:t xml:space="preserve"> M.</w:t>
      </w:r>
      <w:r>
        <w:rPr>
          <w:bCs/>
        </w:rPr>
        <w:t>,</w:t>
      </w:r>
      <w:r w:rsidRPr="00521E84">
        <w:rPr>
          <w:bCs/>
        </w:rPr>
        <w:t xml:space="preserve"> </w:t>
      </w:r>
      <w:proofErr w:type="spellStart"/>
      <w:r w:rsidRPr="00521E84">
        <w:rPr>
          <w:bCs/>
        </w:rPr>
        <w:t>Bover</w:t>
      </w:r>
      <w:proofErr w:type="spellEnd"/>
      <w:r>
        <w:rPr>
          <w:bCs/>
        </w:rPr>
        <w:t>, O.,</w:t>
      </w:r>
      <w:r w:rsidRPr="00521E84">
        <w:rPr>
          <w:bCs/>
        </w:rPr>
        <w:t xml:space="preserve"> 1995</w:t>
      </w:r>
      <w:r>
        <w:rPr>
          <w:bCs/>
        </w:rPr>
        <w:t>.</w:t>
      </w:r>
      <w:r w:rsidRPr="00521E84">
        <w:rPr>
          <w:bCs/>
        </w:rPr>
        <w:t xml:space="preserve"> Another look at the instrumental variable estimation of error-components models. </w:t>
      </w:r>
      <w:r w:rsidRPr="00521E84">
        <w:rPr>
          <w:bCs/>
          <w:i/>
        </w:rPr>
        <w:t>Journal of Econometrics</w:t>
      </w:r>
      <w:r w:rsidRPr="00521E84">
        <w:rPr>
          <w:bCs/>
        </w:rPr>
        <w:t xml:space="preserve"> 68</w:t>
      </w:r>
      <w:r>
        <w:rPr>
          <w:bCs/>
        </w:rPr>
        <w:t>(1)</w:t>
      </w:r>
      <w:r w:rsidRPr="00521E84">
        <w:rPr>
          <w:bCs/>
        </w:rPr>
        <w:t>, 29-51.</w:t>
      </w:r>
    </w:p>
    <w:p w:rsidR="00302B11" w:rsidRPr="00521E84" w:rsidRDefault="00302B11" w:rsidP="0047022B">
      <w:pPr>
        <w:pStyle w:val="NormaleWeb"/>
        <w:tabs>
          <w:tab w:val="left" w:pos="567"/>
        </w:tabs>
        <w:spacing w:before="0" w:beforeAutospacing="0" w:after="0" w:afterAutospacing="0" w:line="360" w:lineRule="auto"/>
        <w:ind w:left="567" w:hanging="567"/>
        <w:jc w:val="both"/>
        <w:rPr>
          <w:bCs/>
        </w:rPr>
      </w:pPr>
      <w:r>
        <w:t>[</w:t>
      </w:r>
      <w:r>
        <w:rPr>
          <w:bCs/>
        </w:rPr>
        <w:t>18] </w:t>
      </w:r>
      <w:r w:rsidRPr="00521E84">
        <w:rPr>
          <w:bCs/>
        </w:rPr>
        <w:t>Blundell</w:t>
      </w:r>
      <w:r>
        <w:rPr>
          <w:bCs/>
        </w:rPr>
        <w:t>,</w:t>
      </w:r>
      <w:r w:rsidRPr="00521E84">
        <w:rPr>
          <w:bCs/>
        </w:rPr>
        <w:t xml:space="preserve"> R.</w:t>
      </w:r>
      <w:r>
        <w:rPr>
          <w:bCs/>
        </w:rPr>
        <w:t>,</w:t>
      </w:r>
      <w:r w:rsidRPr="00521E84">
        <w:rPr>
          <w:bCs/>
        </w:rPr>
        <w:t xml:space="preserve"> </w:t>
      </w:r>
      <w:r>
        <w:rPr>
          <w:bCs/>
        </w:rPr>
        <w:t xml:space="preserve">Bond, S., </w:t>
      </w:r>
      <w:r w:rsidRPr="00521E84">
        <w:rPr>
          <w:bCs/>
        </w:rPr>
        <w:t>1998</w:t>
      </w:r>
      <w:r>
        <w:rPr>
          <w:bCs/>
        </w:rPr>
        <w:t>.</w:t>
      </w:r>
      <w:r w:rsidRPr="00521E84">
        <w:rPr>
          <w:bCs/>
        </w:rPr>
        <w:t xml:space="preserve"> Initial conditions and moment restrictions in dynamic panel data models. </w:t>
      </w:r>
      <w:r w:rsidRPr="00521E84">
        <w:rPr>
          <w:bCs/>
          <w:i/>
        </w:rPr>
        <w:t>Journal of Econometrics</w:t>
      </w:r>
      <w:r w:rsidRPr="00521E84">
        <w:rPr>
          <w:bCs/>
        </w:rPr>
        <w:t xml:space="preserve"> 87</w:t>
      </w:r>
      <w:r>
        <w:rPr>
          <w:bCs/>
        </w:rPr>
        <w:t>(1)</w:t>
      </w:r>
      <w:r w:rsidRPr="00521E84">
        <w:rPr>
          <w:bCs/>
        </w:rPr>
        <w:t>, 115-143.</w:t>
      </w:r>
    </w:p>
    <w:p w:rsidR="00832196" w:rsidRDefault="008321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9545B" w:rsidRDefault="0049545B" w:rsidP="00CB37F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95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E24" w:rsidRDefault="00F30E24" w:rsidP="00D65EF4">
      <w:pPr>
        <w:spacing w:after="0" w:line="240" w:lineRule="auto"/>
      </w:pPr>
      <w:r>
        <w:separator/>
      </w:r>
    </w:p>
  </w:endnote>
  <w:endnote w:type="continuationSeparator" w:id="0">
    <w:p w:rsidR="00F30E24" w:rsidRDefault="00F30E24" w:rsidP="00D6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E24" w:rsidRDefault="00F30E24" w:rsidP="00D65EF4">
      <w:pPr>
        <w:spacing w:after="0" w:line="240" w:lineRule="auto"/>
      </w:pPr>
      <w:r>
        <w:separator/>
      </w:r>
    </w:p>
  </w:footnote>
  <w:footnote w:type="continuationSeparator" w:id="0">
    <w:p w:rsidR="00F30E24" w:rsidRDefault="00F30E24" w:rsidP="00D65EF4">
      <w:pPr>
        <w:spacing w:after="0" w:line="240" w:lineRule="auto"/>
      </w:pPr>
      <w:r>
        <w:continuationSeparator/>
      </w:r>
    </w:p>
  </w:footnote>
  <w:footnote w:id="1">
    <w:p w:rsidR="00302B11" w:rsidRPr="00D65EF4" w:rsidRDefault="00302B11" w:rsidP="00D65EF4">
      <w:pPr>
        <w:pStyle w:val="Testonotaapidipagina"/>
        <w:jc w:val="both"/>
        <w:rPr>
          <w:rFonts w:ascii="Times New Roman" w:hAnsi="Times New Roman" w:cs="Times New Roman"/>
          <w:lang w:val="en-GB"/>
        </w:rPr>
      </w:pPr>
      <w:r w:rsidRPr="00D65EF4">
        <w:rPr>
          <w:rStyle w:val="Rimandonotaapidipagina"/>
          <w:rFonts w:ascii="Times New Roman" w:hAnsi="Times New Roman" w:cs="Times New Roman"/>
        </w:rPr>
        <w:footnoteRef/>
      </w:r>
      <w:r w:rsidRPr="00D65EF4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Specifically, </w:t>
      </w:r>
      <w:r w:rsidRPr="00461EB9">
        <w:rPr>
          <w:rFonts w:ascii="Times New Roman" w:hAnsi="Times New Roman" w:cs="Times New Roman"/>
          <w:lang w:val="en-GB"/>
        </w:rPr>
        <w:t xml:space="preserve">we </w:t>
      </w:r>
      <w:r>
        <w:rPr>
          <w:rFonts w:ascii="Times New Roman" w:hAnsi="Times New Roman" w:cs="Times New Roman"/>
          <w:lang w:val="en-GB"/>
        </w:rPr>
        <w:t>estimate</w:t>
      </w:r>
      <w:r w:rsidRPr="00461EB9">
        <w:rPr>
          <w:rFonts w:ascii="Times New Roman" w:hAnsi="Times New Roman" w:cs="Times New Roman"/>
          <w:lang w:val="en-GB"/>
        </w:rPr>
        <w:t xml:space="preserve"> a standard </w:t>
      </w:r>
      <w:proofErr w:type="spellStart"/>
      <w:r w:rsidRPr="00461EB9">
        <w:rPr>
          <w:rFonts w:ascii="Times New Roman" w:hAnsi="Times New Roman" w:cs="Times New Roman"/>
          <w:lang w:val="en-GB"/>
        </w:rPr>
        <w:t>translog</w:t>
      </w:r>
      <w:proofErr w:type="spellEnd"/>
      <w:r w:rsidRPr="00461EB9">
        <w:rPr>
          <w:rFonts w:ascii="Times New Roman" w:hAnsi="Times New Roman" w:cs="Times New Roman"/>
          <w:lang w:val="en-GB"/>
        </w:rPr>
        <w:t xml:space="preserve"> specification with three inputs </w:t>
      </w:r>
      <w:r>
        <w:rPr>
          <w:rFonts w:ascii="Times New Roman" w:hAnsi="Times New Roman" w:cs="Times New Roman"/>
          <w:lang w:val="en-GB"/>
        </w:rPr>
        <w:t>(</w:t>
      </w:r>
      <w:r w:rsidRPr="00AC3987">
        <w:rPr>
          <w:rFonts w:ascii="Times New Roman" w:hAnsi="Times New Roman" w:cs="Times New Roman"/>
          <w:lang w:val="en-GB"/>
        </w:rPr>
        <w:t>interest expenses, personnel expenses, and other operati</w:t>
      </w:r>
      <w:r>
        <w:rPr>
          <w:rFonts w:ascii="Times New Roman" w:hAnsi="Times New Roman" w:cs="Times New Roman"/>
          <w:lang w:val="en-GB"/>
        </w:rPr>
        <w:t>ng costs</w:t>
      </w:r>
      <w:r w:rsidRPr="00AC3987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 xml:space="preserve"> </w:t>
      </w:r>
      <w:r w:rsidRPr="00461EB9">
        <w:rPr>
          <w:rFonts w:ascii="Times New Roman" w:hAnsi="Times New Roman" w:cs="Times New Roman"/>
          <w:lang w:val="en-GB"/>
        </w:rPr>
        <w:t>and one output</w:t>
      </w:r>
      <w:r>
        <w:rPr>
          <w:rFonts w:ascii="Times New Roman" w:hAnsi="Times New Roman" w:cs="Times New Roman"/>
          <w:lang w:val="en-GB"/>
        </w:rPr>
        <w:t xml:space="preserve"> (loans).</w:t>
      </w:r>
      <w:r w:rsidRPr="00461EB9">
        <w:rPr>
          <w:rFonts w:ascii="Times New Roman" w:hAnsi="Times New Roman" w:cs="Times New Roman"/>
          <w:lang w:val="en-GB"/>
        </w:rPr>
        <w:t xml:space="preserve"> </w:t>
      </w:r>
      <w:r w:rsidRPr="00D65EF4">
        <w:rPr>
          <w:rFonts w:ascii="Times New Roman" w:hAnsi="Times New Roman" w:cs="Times New Roman"/>
          <w:lang w:val="en-GB"/>
        </w:rPr>
        <w:t>Details</w:t>
      </w:r>
      <w:r>
        <w:rPr>
          <w:rFonts w:ascii="Times New Roman" w:hAnsi="Times New Roman" w:cs="Times New Roman"/>
          <w:lang w:val="en-GB"/>
        </w:rPr>
        <w:t xml:space="preserve"> </w:t>
      </w:r>
      <w:r w:rsidRPr="00D65EF4">
        <w:rPr>
          <w:rFonts w:ascii="Times New Roman" w:hAnsi="Times New Roman" w:cs="Times New Roman"/>
          <w:lang w:val="en-GB"/>
        </w:rPr>
        <w:t>are not reported here due to space limitations, but are available from the authors upon request.</w:t>
      </w:r>
    </w:p>
  </w:footnote>
  <w:footnote w:id="2">
    <w:p w:rsidR="00302B11" w:rsidRPr="00305B3E" w:rsidRDefault="00302B11" w:rsidP="00E12B3E">
      <w:pPr>
        <w:pStyle w:val="Testonotaapidipagina"/>
        <w:jc w:val="both"/>
        <w:rPr>
          <w:rFonts w:ascii="Times New Roman" w:hAnsi="Times New Roman" w:cs="Times New Roman"/>
          <w:lang w:val="en-GB"/>
        </w:rPr>
      </w:pPr>
      <w:r w:rsidRPr="00305B3E">
        <w:rPr>
          <w:rStyle w:val="Rimandonotaapidipagina"/>
          <w:rFonts w:ascii="Times New Roman" w:hAnsi="Times New Roman" w:cs="Times New Roman"/>
        </w:rPr>
        <w:footnoteRef/>
      </w:r>
      <w:r w:rsidRPr="00305B3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As a robustness check, we have replaced the </w:t>
      </w:r>
      <w:r w:rsidRPr="00305B3E">
        <w:rPr>
          <w:rFonts w:ascii="Times New Roman" w:hAnsi="Times New Roman" w:cs="Times New Roman"/>
          <w:i/>
          <w:lang w:val="en-GB"/>
        </w:rPr>
        <w:t>X_EFF</w:t>
      </w:r>
      <w:r>
        <w:rPr>
          <w:rFonts w:ascii="Times New Roman" w:hAnsi="Times New Roman" w:cs="Times New Roman"/>
          <w:lang w:val="en-GB"/>
        </w:rPr>
        <w:t xml:space="preserve"> variable with </w:t>
      </w:r>
      <w:r w:rsidRPr="00305B3E">
        <w:rPr>
          <w:rFonts w:ascii="Times New Roman" w:hAnsi="Times New Roman" w:cs="Times New Roman"/>
          <w:lang w:val="en-GB"/>
        </w:rPr>
        <w:t xml:space="preserve">the ratio between non-interest operating costs and total assets, an </w:t>
      </w:r>
      <w:r>
        <w:rPr>
          <w:rFonts w:ascii="Times New Roman" w:hAnsi="Times New Roman" w:cs="Times New Roman"/>
          <w:lang w:val="en-GB"/>
        </w:rPr>
        <w:t xml:space="preserve">accounting </w:t>
      </w:r>
      <w:r w:rsidRPr="00305B3E">
        <w:rPr>
          <w:rFonts w:ascii="Times New Roman" w:hAnsi="Times New Roman" w:cs="Times New Roman"/>
          <w:lang w:val="en-GB"/>
        </w:rPr>
        <w:t xml:space="preserve">indicator for quick assessment of </w:t>
      </w:r>
      <w:r>
        <w:rPr>
          <w:rFonts w:ascii="Times New Roman" w:hAnsi="Times New Roman" w:cs="Times New Roman"/>
          <w:lang w:val="en-GB"/>
        </w:rPr>
        <w:t>banks’</w:t>
      </w:r>
      <w:r w:rsidRPr="00305B3E">
        <w:rPr>
          <w:rFonts w:ascii="Times New Roman" w:hAnsi="Times New Roman" w:cs="Times New Roman"/>
          <w:lang w:val="en-GB"/>
        </w:rPr>
        <w:t xml:space="preserve"> operational efficiency (interest expenses were ignored because they may correlate more with market rates than with management ability).</w:t>
      </w:r>
      <w:r>
        <w:rPr>
          <w:rFonts w:ascii="Times New Roman" w:hAnsi="Times New Roman" w:cs="Times New Roman"/>
          <w:lang w:val="en-GB"/>
        </w:rPr>
        <w:t xml:space="preserve"> The related results substantially confirm the previous evidence, so we do not report them (but are available from the authors upon request).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8"/>
    <w:rsid w:val="00000B1A"/>
    <w:rsid w:val="00046743"/>
    <w:rsid w:val="00056A33"/>
    <w:rsid w:val="00096A37"/>
    <w:rsid w:val="00096E8A"/>
    <w:rsid w:val="000B368C"/>
    <w:rsid w:val="000E7DCB"/>
    <w:rsid w:val="00101E36"/>
    <w:rsid w:val="001154B5"/>
    <w:rsid w:val="00133E82"/>
    <w:rsid w:val="00142983"/>
    <w:rsid w:val="00143DF4"/>
    <w:rsid w:val="00166915"/>
    <w:rsid w:val="001937FB"/>
    <w:rsid w:val="001A25A6"/>
    <w:rsid w:val="001D042B"/>
    <w:rsid w:val="001F4AE2"/>
    <w:rsid w:val="001F5128"/>
    <w:rsid w:val="001F7F9C"/>
    <w:rsid w:val="002403BC"/>
    <w:rsid w:val="00243617"/>
    <w:rsid w:val="002460D9"/>
    <w:rsid w:val="00246144"/>
    <w:rsid w:val="00252165"/>
    <w:rsid w:val="00272388"/>
    <w:rsid w:val="002A6085"/>
    <w:rsid w:val="002D6C7E"/>
    <w:rsid w:val="002F3B05"/>
    <w:rsid w:val="00302B11"/>
    <w:rsid w:val="00305B3E"/>
    <w:rsid w:val="00322D6A"/>
    <w:rsid w:val="00334EB6"/>
    <w:rsid w:val="003464DC"/>
    <w:rsid w:val="003C7747"/>
    <w:rsid w:val="003E4681"/>
    <w:rsid w:val="00451663"/>
    <w:rsid w:val="0045344A"/>
    <w:rsid w:val="00461EB9"/>
    <w:rsid w:val="0047022B"/>
    <w:rsid w:val="00493201"/>
    <w:rsid w:val="0049545B"/>
    <w:rsid w:val="004A7CAD"/>
    <w:rsid w:val="004D0C1C"/>
    <w:rsid w:val="0051125F"/>
    <w:rsid w:val="005132F3"/>
    <w:rsid w:val="00523BAA"/>
    <w:rsid w:val="005302A9"/>
    <w:rsid w:val="00542FF9"/>
    <w:rsid w:val="00570ED3"/>
    <w:rsid w:val="00621427"/>
    <w:rsid w:val="00626108"/>
    <w:rsid w:val="006436A0"/>
    <w:rsid w:val="00682957"/>
    <w:rsid w:val="006D3693"/>
    <w:rsid w:val="00740A20"/>
    <w:rsid w:val="00744A24"/>
    <w:rsid w:val="00777E0D"/>
    <w:rsid w:val="007954D8"/>
    <w:rsid w:val="007E32AB"/>
    <w:rsid w:val="007E7AA6"/>
    <w:rsid w:val="00832196"/>
    <w:rsid w:val="00845B18"/>
    <w:rsid w:val="00852FB6"/>
    <w:rsid w:val="008737DD"/>
    <w:rsid w:val="00876DD2"/>
    <w:rsid w:val="008A5840"/>
    <w:rsid w:val="008A7265"/>
    <w:rsid w:val="008D0BF2"/>
    <w:rsid w:val="00913567"/>
    <w:rsid w:val="00921092"/>
    <w:rsid w:val="00927F25"/>
    <w:rsid w:val="009549E6"/>
    <w:rsid w:val="00964CB9"/>
    <w:rsid w:val="009824E9"/>
    <w:rsid w:val="009A782E"/>
    <w:rsid w:val="009C4313"/>
    <w:rsid w:val="009D6DF0"/>
    <w:rsid w:val="009E1075"/>
    <w:rsid w:val="009E3164"/>
    <w:rsid w:val="009E5280"/>
    <w:rsid w:val="00A10A86"/>
    <w:rsid w:val="00AC3987"/>
    <w:rsid w:val="00AF3E74"/>
    <w:rsid w:val="00B07461"/>
    <w:rsid w:val="00B4551F"/>
    <w:rsid w:val="00B76486"/>
    <w:rsid w:val="00B94D31"/>
    <w:rsid w:val="00B9553F"/>
    <w:rsid w:val="00C05ED9"/>
    <w:rsid w:val="00C107BB"/>
    <w:rsid w:val="00C24AD1"/>
    <w:rsid w:val="00C3312F"/>
    <w:rsid w:val="00C3770D"/>
    <w:rsid w:val="00C729FE"/>
    <w:rsid w:val="00CB37F5"/>
    <w:rsid w:val="00CE7885"/>
    <w:rsid w:val="00CF7552"/>
    <w:rsid w:val="00D2718F"/>
    <w:rsid w:val="00D34B7B"/>
    <w:rsid w:val="00D34E7E"/>
    <w:rsid w:val="00D65EF4"/>
    <w:rsid w:val="00D80770"/>
    <w:rsid w:val="00D87C65"/>
    <w:rsid w:val="00DD1D46"/>
    <w:rsid w:val="00DE1E8F"/>
    <w:rsid w:val="00DE3141"/>
    <w:rsid w:val="00DE6F56"/>
    <w:rsid w:val="00E12B3E"/>
    <w:rsid w:val="00E30A63"/>
    <w:rsid w:val="00E90AF5"/>
    <w:rsid w:val="00EC1DDE"/>
    <w:rsid w:val="00EC74E8"/>
    <w:rsid w:val="00EF0548"/>
    <w:rsid w:val="00F16C37"/>
    <w:rsid w:val="00F30E24"/>
    <w:rsid w:val="00F36BA4"/>
    <w:rsid w:val="00F6318C"/>
    <w:rsid w:val="00F63694"/>
    <w:rsid w:val="00F861A4"/>
    <w:rsid w:val="00FB7D4F"/>
    <w:rsid w:val="00FC3F52"/>
    <w:rsid w:val="00FE30CA"/>
    <w:rsid w:val="00FE32AF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7B3"/>
  <w15:chartTrackingRefBased/>
  <w15:docId w15:val="{C56EFC24-E4FA-41DB-8643-A7C5916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69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D65E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5EF4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65EF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A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02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70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3694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AC71-D77D-4CB5-8E70-DF0DC55C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3624</Words>
  <Characters>20589</Characters>
  <Application>Microsoft Office Word</Application>
  <DocSecurity>0</DocSecurity>
  <Lines>857</Lines>
  <Paragraphs>620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Coccorese</dc:creator>
  <cp:keywords/>
  <dc:description/>
  <cp:lastModifiedBy>Coccorese</cp:lastModifiedBy>
  <cp:revision>4</cp:revision>
  <dcterms:created xsi:type="dcterms:W3CDTF">2019-09-06T13:50:00Z</dcterms:created>
  <dcterms:modified xsi:type="dcterms:W3CDTF">2019-09-06T14:13:00Z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