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FCA8C" w14:textId="365D8C1D" w:rsidR="000F53B9" w:rsidRDefault="001C025E" w:rsidP="00C92D15">
      <w:pPr>
        <w:pStyle w:val="Heading1"/>
        <w:rPr>
          <w:rStyle w:val="BookTitle"/>
          <w:i w:val="0"/>
          <w:iCs w:val="0"/>
          <w:color w:val="000000" w:themeColor="text1"/>
          <w:sz w:val="40"/>
          <w:szCs w:val="40"/>
        </w:rPr>
      </w:pPr>
      <w:r>
        <w:rPr>
          <w:rStyle w:val="BookTitle"/>
          <w:i w:val="0"/>
          <w:iCs w:val="0"/>
          <w:color w:val="000000" w:themeColor="text1"/>
          <w:sz w:val="40"/>
          <w:szCs w:val="40"/>
        </w:rPr>
        <w:t>Determinant of</w:t>
      </w:r>
      <w:r w:rsidR="00C8751C" w:rsidRPr="008F4331">
        <w:rPr>
          <w:rStyle w:val="BookTitle"/>
          <w:i w:val="0"/>
          <w:iCs w:val="0"/>
          <w:color w:val="000000" w:themeColor="text1"/>
          <w:sz w:val="40"/>
          <w:szCs w:val="40"/>
        </w:rPr>
        <w:t xml:space="preserve"> Bank Risk in </w:t>
      </w:r>
      <w:r>
        <w:rPr>
          <w:rStyle w:val="BookTitle"/>
          <w:i w:val="0"/>
          <w:iCs w:val="0"/>
          <w:color w:val="000000" w:themeColor="text1"/>
          <w:sz w:val="40"/>
          <w:szCs w:val="40"/>
        </w:rPr>
        <w:t xml:space="preserve">Listed </w:t>
      </w:r>
      <w:r w:rsidR="00C8751C" w:rsidRPr="008F4331">
        <w:rPr>
          <w:rStyle w:val="BookTitle"/>
          <w:i w:val="0"/>
          <w:iCs w:val="0"/>
          <w:color w:val="000000" w:themeColor="text1"/>
          <w:sz w:val="40"/>
          <w:szCs w:val="40"/>
        </w:rPr>
        <w:t>Commercial Banks</w:t>
      </w:r>
      <w:r>
        <w:rPr>
          <w:rStyle w:val="BookTitle"/>
          <w:i w:val="0"/>
          <w:iCs w:val="0"/>
          <w:color w:val="000000" w:themeColor="text1"/>
          <w:sz w:val="40"/>
          <w:szCs w:val="40"/>
        </w:rPr>
        <w:t xml:space="preserve"> in Indonesia</w:t>
      </w:r>
    </w:p>
    <w:p w14:paraId="5DF9A533" w14:textId="77777777" w:rsidR="001C025E" w:rsidRPr="001C025E" w:rsidRDefault="001C025E" w:rsidP="001C025E"/>
    <w:p w14:paraId="41968CA6" w14:textId="41D3B895" w:rsidR="00C8751C" w:rsidRDefault="00C8751C" w:rsidP="00C92D15"/>
    <w:p w14:paraId="3CBBFBE4" w14:textId="272FB6DF" w:rsidR="00C8751C" w:rsidRPr="00AA7832" w:rsidRDefault="008F4331" w:rsidP="00C92D15">
      <w:pPr>
        <w:rPr>
          <w:b/>
        </w:rPr>
      </w:pPr>
      <w:r>
        <w:rPr>
          <w:b/>
          <w:bCs/>
        </w:rPr>
        <w:t>Cicilia Monica Agustina</w:t>
      </w:r>
      <w:r w:rsidRPr="008F4331">
        <w:rPr>
          <w:b/>
          <w:bCs/>
          <w:vertAlign w:val="superscript"/>
        </w:rPr>
        <w:t>1</w:t>
      </w:r>
      <w:r w:rsidR="00C8751C" w:rsidRPr="00C8751C">
        <w:rPr>
          <w:b/>
          <w:bCs/>
        </w:rPr>
        <w:t xml:space="preserve">, </w:t>
      </w:r>
      <w:r w:rsidRPr="008F4331">
        <w:rPr>
          <w:b/>
        </w:rPr>
        <w:t>Adler Haymans Manurung</w:t>
      </w:r>
      <w:r w:rsidRPr="008F4331">
        <w:rPr>
          <w:b/>
          <w:vertAlign w:val="superscript"/>
        </w:rPr>
        <w:t>2</w:t>
      </w:r>
      <w:r w:rsidR="00AA7832">
        <w:rPr>
          <w:b/>
        </w:rPr>
        <w:t xml:space="preserve"> Amran Manurung</w:t>
      </w:r>
      <w:r w:rsidR="00AA7832" w:rsidRPr="00AA7832">
        <w:rPr>
          <w:b/>
          <w:vertAlign w:val="superscript"/>
        </w:rPr>
        <w:t>3</w:t>
      </w:r>
    </w:p>
    <w:p w14:paraId="750894C8" w14:textId="77777777" w:rsidR="00C92D15" w:rsidRPr="00C8751C" w:rsidRDefault="00C92D15" w:rsidP="00C92D15">
      <w:pPr>
        <w:jc w:val="center"/>
        <w:rPr>
          <w:b/>
          <w:bCs/>
        </w:rPr>
      </w:pPr>
    </w:p>
    <w:p w14:paraId="325DFCEF" w14:textId="7B247CC6" w:rsidR="00C8751C" w:rsidRPr="008F4331" w:rsidRDefault="008F4331" w:rsidP="00C8751C">
      <w:pPr>
        <w:pStyle w:val="ListParagraph"/>
        <w:numPr>
          <w:ilvl w:val="0"/>
          <w:numId w:val="1"/>
        </w:numPr>
        <w:rPr>
          <w:rFonts w:cstheme="minorHAnsi"/>
        </w:rPr>
      </w:pPr>
      <w:r>
        <w:rPr>
          <w:rFonts w:cstheme="minorHAnsi"/>
        </w:rPr>
        <w:t xml:space="preserve">Accounting Department, BINUS Graduate Program and Master of Accounting at </w:t>
      </w:r>
      <w:r w:rsidRPr="008F4331">
        <w:rPr>
          <w:rFonts w:cstheme="minorHAnsi"/>
        </w:rPr>
        <w:t>Bina Nusantara Unive</w:t>
      </w:r>
      <w:r>
        <w:rPr>
          <w:rFonts w:cstheme="minorHAnsi"/>
        </w:rPr>
        <w:t>rsity, Jakarta 11480, Indonesia</w:t>
      </w:r>
      <w:r w:rsidR="00C92D15">
        <w:rPr>
          <w:rFonts w:cstheme="minorHAnsi"/>
        </w:rPr>
        <w:t>,</w:t>
      </w:r>
    </w:p>
    <w:p w14:paraId="2B0E014F" w14:textId="3C699D74" w:rsidR="00C8751C" w:rsidRDefault="00C8751C" w:rsidP="00C92D15">
      <w:pPr>
        <w:tabs>
          <w:tab w:val="left" w:pos="270"/>
        </w:tabs>
        <w:ind w:left="360" w:hanging="360"/>
      </w:pPr>
      <w:r>
        <w:t xml:space="preserve">2. </w:t>
      </w:r>
      <w:r w:rsidR="008F4331" w:rsidRPr="008F4331">
        <w:t>Professor Capital Market and Banking at Univers</w:t>
      </w:r>
      <w:r w:rsidR="00C92D15">
        <w:t xml:space="preserve">ity of </w:t>
      </w:r>
      <w:proofErr w:type="spellStart"/>
      <w:r w:rsidR="00C92D15">
        <w:t>Bhayangkara</w:t>
      </w:r>
      <w:proofErr w:type="spellEnd"/>
      <w:r w:rsidR="00C92D15">
        <w:t> Jakarta Raya, Jakarta 12550, Indonesia</w:t>
      </w:r>
    </w:p>
    <w:p w14:paraId="380AABFF" w14:textId="5740649C" w:rsidR="00C8751C" w:rsidRDefault="00AA7832" w:rsidP="00C8751C">
      <w:r>
        <w:t xml:space="preserve">3. Lecturer at Faculty of Economic and </w:t>
      </w:r>
      <w:proofErr w:type="spellStart"/>
      <w:r>
        <w:t>Bisnis</w:t>
      </w:r>
      <w:proofErr w:type="spellEnd"/>
      <w:r>
        <w:t xml:space="preserve">, University of HKBP </w:t>
      </w:r>
      <w:proofErr w:type="spellStart"/>
      <w:r>
        <w:t>Nomensen</w:t>
      </w:r>
      <w:proofErr w:type="spellEnd"/>
      <w:r>
        <w:t>, Medan</w:t>
      </w:r>
    </w:p>
    <w:p w14:paraId="6A653BF7" w14:textId="77777777" w:rsidR="00C92D15" w:rsidRDefault="00C92D15" w:rsidP="00C8751C"/>
    <w:p w14:paraId="567F08BE" w14:textId="77777777" w:rsidR="001D0520" w:rsidRDefault="00C8751C" w:rsidP="00C8751C">
      <w:r w:rsidRPr="00C8751C">
        <w:rPr>
          <w:b/>
          <w:bCs/>
        </w:rPr>
        <w:t>Abstract:</w:t>
      </w:r>
      <w:r>
        <w:t xml:space="preserve"> </w:t>
      </w:r>
    </w:p>
    <w:p w14:paraId="53589B18" w14:textId="4CA7A558" w:rsidR="00C8751C" w:rsidRDefault="00C8751C" w:rsidP="00C8751C">
      <w:r>
        <w:t>This study aims to determine the effect of Net Interest Margin (NIM), Non-Performing Loan (NPL), oil price, exchange rate, market power, and female BOD gender on bank risk in go public commercial banks listed on the IDX and KLSE (2009-2019). In this study, the sampling technique used was purposive sampling technique which resulted in 32 banks. The secondary data used is obtained from financial reports published on the official IDX and IDX websites. The data analysis method used in this research is panel data regression analysis.</w:t>
      </w:r>
    </w:p>
    <w:p w14:paraId="0942DB43" w14:textId="77777777" w:rsidR="00C8751C" w:rsidRDefault="00C8751C" w:rsidP="00C8751C">
      <w:r>
        <w:t>The results showed that the total assets variable affects NIM, NPL, Oil Prices, Exchange Rates, Market Power, and Female BOD Gender on Bank Risk in Go Public Commercial Banks listed on the IDX and KLSE. The regression test results can be concluded that the constant coefficient value of -0.770544 means that if the variable NIM (X1), NPL (X2), Exchange Rate (X3), Oil Price (X4), Market Power (X5), and Female BDO Gender (X6) is zero, then the amount of Bank Risk is -0.1770544.</w:t>
      </w:r>
    </w:p>
    <w:p w14:paraId="64E25043" w14:textId="77777777" w:rsidR="00C8751C" w:rsidRDefault="00C8751C" w:rsidP="00C8751C"/>
    <w:p w14:paraId="0701691E" w14:textId="614B69F8" w:rsidR="00C8751C" w:rsidRDefault="00C8751C" w:rsidP="00C8751C">
      <w:r>
        <w:t>Keywords: Bank, Profitability, Total Assets</w:t>
      </w:r>
      <w:r w:rsidR="00163254">
        <w:t>, Non-Performing Loan, Net Interest Margin, Exchange Rate</w:t>
      </w:r>
    </w:p>
    <w:p w14:paraId="51820ED6" w14:textId="66631D37" w:rsidR="00C8751C" w:rsidRDefault="00C8751C" w:rsidP="00C8751C"/>
    <w:p w14:paraId="0364A82B" w14:textId="3A212E91" w:rsidR="00A9112B" w:rsidRDefault="00A9112B" w:rsidP="00C8751C"/>
    <w:p w14:paraId="2604383C" w14:textId="0AEE1B2F" w:rsidR="00DA1968" w:rsidRDefault="00DA1968" w:rsidP="00C8751C"/>
    <w:p w14:paraId="6B959531" w14:textId="6540AF5F" w:rsidR="00DA1968" w:rsidRDefault="00DA1968" w:rsidP="00C8751C"/>
    <w:p w14:paraId="7D94ACF2" w14:textId="4BBBAD29" w:rsidR="00C92D15" w:rsidRDefault="00C92D15" w:rsidP="00C8751C"/>
    <w:p w14:paraId="79EED170" w14:textId="59E5A3D5" w:rsidR="00C92D15" w:rsidRDefault="00C92D15" w:rsidP="00C8751C"/>
    <w:p w14:paraId="59CAFCD1" w14:textId="77777777" w:rsidR="00C92D15" w:rsidRDefault="00C92D15" w:rsidP="00C8751C"/>
    <w:p w14:paraId="0502FA6F" w14:textId="77777777" w:rsidR="00DA1968" w:rsidRDefault="00DA1968" w:rsidP="00C8751C"/>
    <w:p w14:paraId="1834650B" w14:textId="2D152393" w:rsidR="00A9112B" w:rsidRDefault="00A9112B" w:rsidP="00C8751C"/>
    <w:p w14:paraId="1F028A4F" w14:textId="3F80AC40" w:rsidR="00A9112B" w:rsidRDefault="00A9112B" w:rsidP="00C8751C"/>
    <w:p w14:paraId="3C0CE70B" w14:textId="3AD8E298" w:rsidR="00C8751C" w:rsidRPr="00836DC2" w:rsidRDefault="00C8751C" w:rsidP="00836DC2">
      <w:pPr>
        <w:pStyle w:val="ListParagraph"/>
        <w:numPr>
          <w:ilvl w:val="0"/>
          <w:numId w:val="2"/>
        </w:numPr>
        <w:ind w:left="360"/>
        <w:rPr>
          <w:b/>
          <w:bCs/>
        </w:rPr>
      </w:pPr>
      <w:r w:rsidRPr="00836DC2">
        <w:rPr>
          <w:b/>
          <w:bCs/>
        </w:rPr>
        <w:t>Introduction</w:t>
      </w:r>
    </w:p>
    <w:p w14:paraId="56085B8C" w14:textId="670FB2EA" w:rsidR="00C8751C" w:rsidRDefault="00C8751C" w:rsidP="00C8751C">
      <w:pPr>
        <w:ind w:firstLine="720"/>
      </w:pPr>
      <w:r>
        <w:t>According to Law Number 10 of 1998 concerning Banking, Banks are mentioned as business entities that collect funds from the public in the form of deposits and channel them to the public in the form of credit and or other forms in order to improve people's lives. Commercial banks are banks that carry out business activities conventionally and or based on sharia principles, which in their activities provide services in payment traffic (</w:t>
      </w:r>
      <w:proofErr w:type="spellStart"/>
      <w:r>
        <w:t>Jayengsari</w:t>
      </w:r>
      <w:proofErr w:type="spellEnd"/>
      <w:r>
        <w:t xml:space="preserve"> &amp; Ahmad, 2021).</w:t>
      </w:r>
    </w:p>
    <w:p w14:paraId="19ACFFCD" w14:textId="77777777" w:rsidR="00C8751C" w:rsidRDefault="00C8751C" w:rsidP="00C8751C">
      <w:pPr>
        <w:ind w:firstLine="720"/>
      </w:pPr>
      <w:r>
        <w:t>The banking industry needs to control the risks of each business unit of the company, this aims to improve the quality of risk management implementation in the banking industry in Indonesia so as to create a banking industry that can withstand every risk in its business. Every bank business is run in a controlled risk corridor. The orderly implementation of risk management in each bank will ultimately help create a healthy banking industry. The implementation of risk management is an important part of achieving the bank's financial performance. The increase in losses incurred by banks as a result of inadequate risk management practices and the adverse impact on the financial performance of banks is a major concern of bank management and regulators (</w:t>
      </w:r>
      <w:proofErr w:type="spellStart"/>
      <w:r>
        <w:t>Fadun</w:t>
      </w:r>
      <w:proofErr w:type="spellEnd"/>
      <w:r>
        <w:t xml:space="preserve"> &amp; </w:t>
      </w:r>
      <w:proofErr w:type="spellStart"/>
      <w:r>
        <w:t>Oye</w:t>
      </w:r>
      <w:proofErr w:type="spellEnd"/>
      <w:r>
        <w:t xml:space="preserve">, 2020). </w:t>
      </w:r>
    </w:p>
    <w:p w14:paraId="1CDE0B34" w14:textId="2A3E6737" w:rsidR="00C8751C" w:rsidRDefault="00C8751C" w:rsidP="00C8751C">
      <w:pPr>
        <w:ind w:firstLine="720"/>
      </w:pPr>
      <w:r>
        <w:t xml:space="preserve">Risk is the opportunity for loss to occur. In Indonesia, the financial industry realizes that risk occurs in every line of business and type of risk. So, it is necessary to have risk management as a structured and systematic process in identifying, measuring, mapping, developing alternative risk handling, monitoring, and controlling risk handling. Good risk management and governance are expected to detect losses that may arise in the future and the need for additional capital if the impact of projected losses can result in the amount of capital below the minimum required by the Bank Indonesia supervisory authority. Risk profile factor assessment is an assessment of inherent risk and the quality of risk management implementation in the bank's operational activities. Risks that must be assessed consist of 8 (eight) types of risks, </w:t>
      </w:r>
      <w:r w:rsidR="005522A4">
        <w:t>which is</w:t>
      </w:r>
      <w:r>
        <w:t xml:space="preserve"> credit risk, market risk, operational risk, liquidity risk, legal risk, strategic risk, compliance risk, and reputation risk (Bank Indonesia: SEBI No. 13/24/DPNP: 2011). </w:t>
      </w:r>
    </w:p>
    <w:p w14:paraId="0D60986B" w14:textId="3C33938B" w:rsidR="00C8751C" w:rsidRDefault="00C8751C" w:rsidP="00C8751C">
      <w:pPr>
        <w:ind w:firstLine="720"/>
      </w:pPr>
      <w:r>
        <w:t>Banking risk management will affect the soundness of the bank as Bank Indonesia assesses banking performance based on the bank's risk management (Bank Indonesia Regulation No: 13/1/PBI/2011). Banks in Indonesia must assess the risks they face and these banks are required to publish their risk profile in their financial statements. The presentation of the risk profile provides transparency of banking performance that is useful for stakeholders such as debtors, investors, and others.</w:t>
      </w:r>
    </w:p>
    <w:p w14:paraId="1793AB01" w14:textId="28D96902" w:rsidR="00C8751C" w:rsidRDefault="00C8751C" w:rsidP="00C8751C">
      <w:pPr>
        <w:ind w:firstLine="720"/>
      </w:pPr>
      <w:r>
        <w:t xml:space="preserve">Banking companies in Indonesia include state-owned banks, foreign exchange national private commercial banks, non-foreign exchange national private commercial banks, regional development banks, mixed banks, and foreign banks. Commercial banks can be divided into two categories, </w:t>
      </w:r>
      <w:r w:rsidR="005522A4">
        <w:t>which is</w:t>
      </w:r>
      <w:r>
        <w:t>, go-public commercial banks and non-go-public commercial banks. Banks that have status as public companies are required to be more transparent in carrying out their activities because every event or incident that occurs will be in the spotlight of the public, investors, and the mass media.</w:t>
      </w:r>
    </w:p>
    <w:p w14:paraId="21B01AE2" w14:textId="06F40931" w:rsidR="00C8751C" w:rsidRDefault="00C8751C" w:rsidP="00C8751C">
      <w:pPr>
        <w:ind w:firstLine="720"/>
      </w:pPr>
      <w:r>
        <w:t xml:space="preserve">Banks that have gone public status must be able to manage as well as possible the funds obtained from the public, especially the management of their capital because it will be the concern </w:t>
      </w:r>
      <w:r>
        <w:lastRenderedPageBreak/>
        <w:t>of customers and investors. Therefore, banks must be able to provide information about their operational activities and financial condition.</w:t>
      </w:r>
    </w:p>
    <w:p w14:paraId="4A4EB5A1" w14:textId="77777777" w:rsidR="00C8751C" w:rsidRDefault="00C8751C" w:rsidP="004C28D2">
      <w:pPr>
        <w:ind w:firstLine="720"/>
        <w:jc w:val="both"/>
      </w:pPr>
      <w:r>
        <w:t>Risk profile is one of the indicators used by investors as one of the stakeholder indicators to assess the condition of the company (</w:t>
      </w:r>
      <w:proofErr w:type="spellStart"/>
      <w:r>
        <w:t>Khairani</w:t>
      </w:r>
      <w:proofErr w:type="spellEnd"/>
      <w:r>
        <w:t xml:space="preserve"> &amp; </w:t>
      </w:r>
      <w:proofErr w:type="spellStart"/>
      <w:r>
        <w:t>Dillak</w:t>
      </w:r>
      <w:proofErr w:type="spellEnd"/>
      <w:r>
        <w:t>, 2018). Many internal factors can affect bank risk, including the cost of financial intermediation, which is measured by the difference between the interest income earned by the bank and the interest expense that must be borne by the bank (Net Interest Margin). NIM is used to measure the ability of bank management to earn income by using its productive assets, considering that the bank's operating income is highly dependent on the difference in interest from loans disbursed.</w:t>
      </w:r>
    </w:p>
    <w:p w14:paraId="5B113E98" w14:textId="54D7B03B" w:rsidR="00C8751C" w:rsidRDefault="00C8751C" w:rsidP="004C28D2">
      <w:pPr>
        <w:ind w:firstLine="720"/>
        <w:jc w:val="both"/>
      </w:pPr>
      <w:r>
        <w:t>One of the factors that determine profitability is the fluctuating lending rates that have a direct impact on customers and the bank itself. The increasing credit interest rates will also result in bad debts, caused by debtors who borrow money from the bank may not be able to pay their debts. High credit interest rates will cause people to be unable to pay interest and principal debts, resulting in bad credit, this increases the NPL (Non-Performing Loan) ratio of a bank and reduces the level of bank health in terms of profitability.</w:t>
      </w:r>
    </w:p>
    <w:p w14:paraId="7190A22B" w14:textId="0CBCDA38" w:rsidR="00C8751C" w:rsidRDefault="00C8751C" w:rsidP="004C28D2">
      <w:pPr>
        <w:ind w:firstLine="720"/>
        <w:jc w:val="both"/>
      </w:pPr>
      <w:r w:rsidRPr="00C8751C">
        <w:t>Macroeconomic factors such as inflation rates, world oil</w:t>
      </w:r>
      <w:r>
        <w:t>,</w:t>
      </w:r>
      <w:r w:rsidRPr="00C8751C">
        <w:t xml:space="preserve"> and gold prices, bank interest rates, the value of the dollar against the rupiah</w:t>
      </w:r>
      <w:r>
        <w:t>,</w:t>
      </w:r>
      <w:r w:rsidRPr="00C8751C">
        <w:t xml:space="preserve"> and various other factors. A macroeconomic variable that often changes is the world oil price. This can be seen throughout 2019, the average Brent crude oil futures price was at US$ 64.5 per barrel. The US benchmark crude oil futures price, WTI, stood at US$ 57 per barrel. When compared to the position at the beginning of last year (year on year/</w:t>
      </w:r>
      <w:proofErr w:type="spellStart"/>
      <w:r w:rsidRPr="00C8751C">
        <w:t>yoy</w:t>
      </w:r>
      <w:proofErr w:type="spellEnd"/>
      <w:r w:rsidRPr="00C8751C">
        <w:t>), Brent oil prices rose 23.2% and WTI oil rose higher by 35.3%.</w:t>
      </w:r>
    </w:p>
    <w:p w14:paraId="0B62F490" w14:textId="77777777" w:rsidR="00C8751C" w:rsidRDefault="00C8751C" w:rsidP="00C8751C">
      <w:pPr>
        <w:ind w:firstLine="720"/>
      </w:pPr>
      <w:r>
        <w:t>The exchange rate as one of the macroeconomic variables also continued to change. The rupiah exchange rate against the US dollar was recorded at Rp14,250 per US dollar or strengthened by 0.91 percent compared to the year-end 2018 level of Rp14,380 per US dollar. Meanwhile, on average in 2019 the rupiah exchange rate reached Rp14,180 per US dollar or strengthened 0.41 percent compared to the average in 2018 of Rp14,246 per US dollar. The trend of Indonesia's currency exchange rate continues to experience an increase in depreciation. This makes the value of the rupiah currency fall against foreign currencies. This condition will cause problems for economic activity actors who use imported raw materials.</w:t>
      </w:r>
    </w:p>
    <w:p w14:paraId="07ED8756" w14:textId="36B859D4" w:rsidR="00C8751C" w:rsidRDefault="00C8751C" w:rsidP="00C8751C">
      <w:pPr>
        <w:ind w:firstLine="720"/>
      </w:pPr>
      <w:r>
        <w:t xml:space="preserve">The depreciation of the rupiah will increase the price of raw materials and burden production costs it will reduce the income of these producers. This will ultimately result in a default on loan payments to banks so it will increase the NPF ratio of banks. Research conducted by </w:t>
      </w:r>
      <w:proofErr w:type="spellStart"/>
      <w:r>
        <w:t>Shingjergji</w:t>
      </w:r>
      <w:proofErr w:type="spellEnd"/>
      <w:r>
        <w:t xml:space="preserve"> (2013) found that the exchange rate has a positive relationship with the banking NPL ratio. In contrast to these results, research by Linda, </w:t>
      </w:r>
      <w:proofErr w:type="spellStart"/>
      <w:r>
        <w:t>Wati</w:t>
      </w:r>
      <w:proofErr w:type="spellEnd"/>
      <w:r>
        <w:t xml:space="preserve">, &amp; </w:t>
      </w:r>
      <w:proofErr w:type="spellStart"/>
      <w:r>
        <w:t>Wati</w:t>
      </w:r>
      <w:proofErr w:type="spellEnd"/>
      <w:r>
        <w:t xml:space="preserve"> (2015) research by </w:t>
      </w:r>
      <w:proofErr w:type="spellStart"/>
      <w:r>
        <w:t>Febrianti</w:t>
      </w:r>
      <w:proofErr w:type="spellEnd"/>
      <w:r>
        <w:t xml:space="preserve"> &amp; </w:t>
      </w:r>
      <w:proofErr w:type="spellStart"/>
      <w:r>
        <w:t>Ashar</w:t>
      </w:r>
      <w:proofErr w:type="spellEnd"/>
      <w:r>
        <w:t xml:space="preserve"> (2016) found that the exchange rate has no significant effect on banking NPF.</w:t>
      </w:r>
    </w:p>
    <w:p w14:paraId="595AFABF" w14:textId="525926B8" w:rsidR="00C8751C" w:rsidRDefault="00CE4810" w:rsidP="00C8751C">
      <w:pPr>
        <w:ind w:firstLine="720"/>
      </w:pPr>
      <w:r w:rsidRPr="00CE4810">
        <w:t>Female board diversity can improve the company's ability to achieve financial performance. The reason is that it can represent the interests of different stakeholders (</w:t>
      </w:r>
      <w:proofErr w:type="spellStart"/>
      <w:r w:rsidRPr="00CE4810">
        <w:t>Harjoto</w:t>
      </w:r>
      <w:proofErr w:type="spellEnd"/>
      <w:r w:rsidRPr="00CE4810">
        <w:t xml:space="preserve"> et al., 2015). On the other hand, the positive impact on firm performance caused by high gender diversity on the board is still not widely accepted by specialized literature (</w:t>
      </w:r>
      <w:proofErr w:type="spellStart"/>
      <w:r w:rsidRPr="00CE4810">
        <w:t>Joecks</w:t>
      </w:r>
      <w:proofErr w:type="spellEnd"/>
      <w:r w:rsidRPr="00CE4810">
        <w:t xml:space="preserve"> et al., 2013). Previous research related to gender diversity and firm performance obtained negative results (de Andres et al., 2005), while other researchers showed a positive effect (Campbell and </w:t>
      </w:r>
      <w:proofErr w:type="spellStart"/>
      <w:r w:rsidRPr="00CE4810">
        <w:t>Mínguez</w:t>
      </w:r>
      <w:proofErr w:type="spellEnd"/>
      <w:r w:rsidRPr="00CE4810">
        <w:t xml:space="preserve">-Vera, 2008). In fact, some researchers found a relationship between the two variables (Rose, 2007). Research in Indonesia itself, obtained mixed results. Wijaya and </w:t>
      </w:r>
      <w:proofErr w:type="spellStart"/>
      <w:r w:rsidRPr="00CE4810">
        <w:t>Suprasto</w:t>
      </w:r>
      <w:proofErr w:type="spellEnd"/>
      <w:r w:rsidRPr="00CE4810">
        <w:t xml:space="preserve"> (2015) prove a positive effect, other studies show no effect (</w:t>
      </w:r>
      <w:proofErr w:type="spellStart"/>
      <w:r w:rsidRPr="00CE4810">
        <w:t>Mardiyati</w:t>
      </w:r>
      <w:proofErr w:type="spellEnd"/>
      <w:r w:rsidRPr="00CE4810">
        <w:t xml:space="preserve">, 2012; </w:t>
      </w:r>
      <w:proofErr w:type="spellStart"/>
      <w:r w:rsidRPr="00CE4810">
        <w:t>Astuti</w:t>
      </w:r>
      <w:proofErr w:type="spellEnd"/>
      <w:r w:rsidRPr="00CE4810">
        <w:t>, 2017).</w:t>
      </w:r>
    </w:p>
    <w:p w14:paraId="412F4ED7" w14:textId="4EF05A75" w:rsidR="00515CCE" w:rsidRDefault="00515CCE" w:rsidP="00C8751C">
      <w:pPr>
        <w:ind w:firstLine="720"/>
      </w:pPr>
    </w:p>
    <w:p w14:paraId="75CB17DD" w14:textId="0B5F5F91" w:rsidR="00515CCE" w:rsidRDefault="00515CCE" w:rsidP="00C8751C">
      <w:pPr>
        <w:ind w:firstLine="720"/>
      </w:pPr>
    </w:p>
    <w:p w14:paraId="64E1EEE7" w14:textId="77777777" w:rsidR="00515CCE" w:rsidRDefault="00515CCE" w:rsidP="00C8751C">
      <w:pPr>
        <w:ind w:firstLine="720"/>
      </w:pPr>
    </w:p>
    <w:p w14:paraId="143E0B42" w14:textId="269E3D5A" w:rsidR="003A1259" w:rsidRPr="003A1259" w:rsidRDefault="003A1259" w:rsidP="003A1259">
      <w:pPr>
        <w:pStyle w:val="ListParagraph"/>
        <w:numPr>
          <w:ilvl w:val="0"/>
          <w:numId w:val="1"/>
        </w:numPr>
        <w:rPr>
          <w:b/>
          <w:bCs/>
        </w:rPr>
      </w:pPr>
      <w:r>
        <w:rPr>
          <w:b/>
          <w:bCs/>
        </w:rPr>
        <w:t>Banking Theory</w:t>
      </w:r>
      <w:r w:rsidR="00CE4810" w:rsidRPr="003A1259">
        <w:rPr>
          <w:b/>
          <w:bCs/>
        </w:rPr>
        <w:tab/>
      </w:r>
    </w:p>
    <w:p w14:paraId="3130CCBD" w14:textId="77777777" w:rsidR="00836DC2" w:rsidRDefault="00836DC2" w:rsidP="00836DC2">
      <w:pPr>
        <w:ind w:firstLine="720"/>
      </w:pPr>
      <w:r>
        <w:t>Bank is an institution that receives or collects funds from the public and then distributes them to other parties in need either by credit or by other instruments approved by government regulations. Based on this concept, in short, the bank has a function as a transformation institution. The transformation carried out by the bank is the transformation of time, size, risk and liquidity. Funds are collected from the community in small to large amounts and channeled with a larger value (size) to the community, although generally to companies and to individuals in the form of individual loans, which are better known as consumer loans (Manurung, 2017).</w:t>
      </w:r>
    </w:p>
    <w:p w14:paraId="05BA72B3" w14:textId="5CCEEFD4" w:rsidR="00FE77D8" w:rsidRDefault="00836DC2" w:rsidP="00FE77D8">
      <w:pPr>
        <w:ind w:firstLine="720"/>
      </w:pPr>
      <w:r>
        <w:t>Banks in their activities carry out transformations for value, risk time and liquidity. This means that the bank receives or collects funds from parties with a surplus and distributes them to those with a deficit. Households save in the form of securities or time deposits. If the securities held, the household carries out its activities in the financial market. If savings are made in deposits, the funds are placed in a bank. If the company needs funds, the company can obtain funds from the financial market sector at the bank. In the financial market sector, banks can sell debentures or shares. If a company obtains funding from a bank, it is known as credit, so that the bank's financial statements appear credit. (Manurung, 2017, p.5).</w:t>
      </w:r>
    </w:p>
    <w:p w14:paraId="061AC2AA" w14:textId="7FD327A5" w:rsidR="00FE77D8" w:rsidRPr="00FE77D8" w:rsidRDefault="00FE77D8" w:rsidP="00FE77D8">
      <w:pPr>
        <w:ind w:firstLine="2610"/>
        <w:rPr>
          <w:b/>
          <w:bCs/>
        </w:rPr>
      </w:pPr>
      <w:r w:rsidRPr="00FE77D8">
        <w:rPr>
          <w:b/>
          <w:bCs/>
        </w:rPr>
        <w:t>Economic Agency Financial Decisions</w:t>
      </w:r>
    </w:p>
    <w:p w14:paraId="30CAEE7A" w14:textId="4140790B" w:rsidR="00836DC2" w:rsidRDefault="00836DC2" w:rsidP="00836DC2">
      <w:pPr>
        <w:ind w:left="360"/>
      </w:pPr>
      <w:r w:rsidRPr="00836DC2">
        <w:rPr>
          <w:noProof/>
        </w:rPr>
        <w:lastRenderedPageBreak/>
        <w:drawing>
          <wp:inline distT="0" distB="0" distL="0" distR="0" wp14:anchorId="6D356084" wp14:editId="7743CD38">
            <wp:extent cx="5210175" cy="5162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10175" cy="5162550"/>
                    </a:xfrm>
                    <a:prstGeom prst="rect">
                      <a:avLst/>
                    </a:prstGeom>
                    <a:noFill/>
                    <a:ln>
                      <a:noFill/>
                    </a:ln>
                  </pic:spPr>
                </pic:pic>
              </a:graphicData>
            </a:graphic>
          </wp:inline>
        </w:drawing>
      </w:r>
    </w:p>
    <w:p w14:paraId="617065B3" w14:textId="223F8255" w:rsidR="00836DC2" w:rsidRDefault="002C4B8F" w:rsidP="002C4B8F">
      <w:pPr>
        <w:ind w:firstLine="360"/>
        <w:rPr>
          <w:rFonts w:cstheme="minorHAnsi"/>
        </w:rPr>
      </w:pPr>
      <w:r w:rsidRPr="002C4B8F">
        <w:rPr>
          <w:rFonts w:cstheme="minorHAnsi"/>
        </w:rPr>
        <w:t>Financial decisions of economic agents in the simple model in the picture above. each type of agent is denoted by a specific subscript: f for company, h for household and b for bank. For simplicity, the public sector (government and central bank) is omitted (</w:t>
      </w:r>
      <w:proofErr w:type="spellStart"/>
      <w:r w:rsidRPr="002C4B8F">
        <w:rPr>
          <w:rFonts w:cstheme="minorHAnsi"/>
        </w:rPr>
        <w:t>Freixas</w:t>
      </w:r>
      <w:proofErr w:type="spellEnd"/>
      <w:r w:rsidRPr="002C4B8F">
        <w:rPr>
          <w:rFonts w:cstheme="minorHAnsi"/>
        </w:rPr>
        <w:t xml:space="preserve"> and Rochet, 2008).</w:t>
      </w:r>
    </w:p>
    <w:p w14:paraId="409A7A09" w14:textId="5AD1AA8F" w:rsidR="002C4B8F" w:rsidRDefault="002C4B8F" w:rsidP="002C4B8F">
      <w:r>
        <w:t>a.</w:t>
      </w:r>
      <w:r>
        <w:tab/>
      </w:r>
      <w:r w:rsidR="008E69B7">
        <w:t>Consumer</w:t>
      </w:r>
    </w:p>
    <w:p w14:paraId="3727C662" w14:textId="4355B14F" w:rsidR="008E69B7" w:rsidRDefault="002C4B8F" w:rsidP="008E69B7">
      <w:pPr>
        <w:ind w:firstLine="720"/>
      </w:pPr>
      <w:r w:rsidRPr="002C4B8F">
        <w:t xml:space="preserve">The consumer chooses his consumption profile (C1, C2) and the allocation of his savings between Dh bank deposits and </w:t>
      </w:r>
      <w:proofErr w:type="spellStart"/>
      <w:r w:rsidRPr="002C4B8F">
        <w:t>Bh</w:t>
      </w:r>
      <w:proofErr w:type="spellEnd"/>
      <w:r w:rsidRPr="002C4B8F">
        <w:t xml:space="preserve"> securities (bonds), in a way that maximizes his utility function under his budget constraint:</w:t>
      </w:r>
    </w:p>
    <w:p w14:paraId="410987C4" w14:textId="2C68802E" w:rsidR="008E69B7" w:rsidRDefault="00FE28E2" w:rsidP="008E69B7">
      <w:pPr>
        <w:ind w:firstLine="720"/>
      </w:pPr>
      <w:r>
        <w:rPr>
          <w:rFonts w:ascii="Times New Roman" w:hAnsi="Times New Roman" w:cs="Times New Roman"/>
          <w:noProof/>
          <w:sz w:val="24"/>
          <w:szCs w:val="24"/>
          <w:lang w:val="id-ID" w:eastAsia="zh-CN"/>
        </w:rPr>
        <mc:AlternateContent>
          <mc:Choice Requires="wps">
            <w:drawing>
              <wp:anchor distT="0" distB="0" distL="114300" distR="114300" simplePos="0" relativeHeight="251659264" behindDoc="0" locked="0" layoutInCell="1" allowOverlap="1" wp14:anchorId="69C81FF1" wp14:editId="1B4CC275">
                <wp:simplePos x="0" y="0"/>
                <wp:positionH relativeFrom="column">
                  <wp:posOffset>781050</wp:posOffset>
                </wp:positionH>
                <wp:positionV relativeFrom="paragraph">
                  <wp:posOffset>-635</wp:posOffset>
                </wp:positionV>
                <wp:extent cx="45719" cy="723900"/>
                <wp:effectExtent l="19050" t="0" r="12065" b="19050"/>
                <wp:wrapNone/>
                <wp:docPr id="40" name="Left Brace 40"/>
                <wp:cNvGraphicFramePr/>
                <a:graphic xmlns:a="http://schemas.openxmlformats.org/drawingml/2006/main">
                  <a:graphicData uri="http://schemas.microsoft.com/office/word/2010/wordprocessingShape">
                    <wps:wsp>
                      <wps:cNvSpPr/>
                      <wps:spPr>
                        <a:xfrm>
                          <a:off x="0" y="0"/>
                          <a:ext cx="45719" cy="7239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B4E1FC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0" o:spid="_x0000_s1026" type="#_x0000_t87" style="position:absolute;margin-left:61.5pt;margin-top:-.05pt;width:3.6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" adj="114" strokecolor="black [3200]" strokeweight=".5pt">
                <v:stroke joinstyle="miter"/>
              </v:shape>
            </w:pict>
          </mc:Fallback>
        </mc:AlternateContent>
      </w:r>
      <w:r w:rsidR="008E69B7">
        <w:tab/>
        <w:t xml:space="preserve">Max </w:t>
      </w:r>
      <w:proofErr w:type="gramStart"/>
      <w:r w:rsidR="008E69B7">
        <w:t>u(</w:t>
      </w:r>
      <w:proofErr w:type="gramEnd"/>
      <w:r w:rsidR="008E69B7">
        <w:t>C1, C2)</w:t>
      </w:r>
    </w:p>
    <w:p w14:paraId="25AA4372" w14:textId="4D4C0BA0" w:rsidR="008E69B7" w:rsidRDefault="008E69B7" w:rsidP="008E69B7">
      <w:pPr>
        <w:ind w:firstLine="720"/>
      </w:pPr>
      <w:r>
        <w:t xml:space="preserve">Ph </w:t>
      </w:r>
      <w:r>
        <w:tab/>
        <w:t xml:space="preserve">C1 + </w:t>
      </w:r>
      <w:proofErr w:type="spellStart"/>
      <w:r>
        <w:t>Bh</w:t>
      </w:r>
      <w:proofErr w:type="spellEnd"/>
      <w:r>
        <w:t xml:space="preserve"> + Dh = </w:t>
      </w:r>
      <w:proofErr w:type="spellStart"/>
      <w:r>
        <w:t>ωI</w:t>
      </w:r>
      <w:proofErr w:type="spellEnd"/>
      <w:r>
        <w:t>,</w:t>
      </w:r>
    </w:p>
    <w:p w14:paraId="0FEA2CB5" w14:textId="77777777" w:rsidR="008E69B7" w:rsidRDefault="008E69B7" w:rsidP="008E69B7">
      <w:pPr>
        <w:ind w:firstLine="720"/>
      </w:pPr>
      <w:r>
        <w:tab/>
        <w:t xml:space="preserve">P c2 = </w:t>
      </w:r>
      <w:proofErr w:type="spellStart"/>
      <w:r>
        <w:t>Πf</w:t>
      </w:r>
      <w:proofErr w:type="spellEnd"/>
      <w:r>
        <w:t xml:space="preserve">+ </w:t>
      </w:r>
      <w:proofErr w:type="spellStart"/>
      <w:r>
        <w:t>Πb</w:t>
      </w:r>
      <w:proofErr w:type="spellEnd"/>
      <w:r>
        <w:t>+(1+</w:t>
      </w:r>
      <w:proofErr w:type="gramStart"/>
      <w:r>
        <w:t>r)</w:t>
      </w:r>
      <w:proofErr w:type="spellStart"/>
      <w:r>
        <w:t>Bh</w:t>
      </w:r>
      <w:proofErr w:type="spellEnd"/>
      <w:proofErr w:type="gramEnd"/>
      <w:r>
        <w:t>+(1+rd)Dh</w:t>
      </w:r>
    </w:p>
    <w:p w14:paraId="497FFB24" w14:textId="567B176E" w:rsidR="008E69B7" w:rsidRDefault="00FE28E2" w:rsidP="008E69B7">
      <w:pPr>
        <w:ind w:firstLine="720"/>
      </w:pPr>
      <w:r w:rsidRPr="00FE28E2">
        <w:t xml:space="preserve">ω1 denotes the initial funding of consumer goods, P denotes the price of C2, </w:t>
      </w:r>
      <w:proofErr w:type="spellStart"/>
      <w:r w:rsidRPr="00FE28E2">
        <w:t>Πf</w:t>
      </w:r>
      <w:proofErr w:type="spellEnd"/>
      <w:r w:rsidRPr="00FE28E2">
        <w:t xml:space="preserve"> and </w:t>
      </w:r>
      <w:proofErr w:type="spellStart"/>
      <w:r w:rsidRPr="00FE28E2">
        <w:t>Πb</w:t>
      </w:r>
      <w:proofErr w:type="spellEnd"/>
      <w:r w:rsidRPr="00FE28E2">
        <w:t xml:space="preserve"> which respectively represent the profits of companies and banks (distributed to consumer shareholders at t = 2) and r and </w:t>
      </w:r>
      <w:proofErr w:type="spellStart"/>
      <w:r w:rsidRPr="00FE28E2">
        <w:t>rd</w:t>
      </w:r>
      <w:proofErr w:type="spellEnd"/>
      <w:r w:rsidRPr="00FE28E2">
        <w:t xml:space="preserve"> are the interest rates paid by bonds and deposits. Since, securities and bank deposits are perfect substitutes, it is clear that consumer (Ph) programs have an interior solution only when these interest rates are the same: r = </w:t>
      </w:r>
      <w:proofErr w:type="spellStart"/>
      <w:r w:rsidRPr="00FE28E2">
        <w:t>rd</w:t>
      </w:r>
      <w:proofErr w:type="spellEnd"/>
      <w:r w:rsidRPr="00FE28E2">
        <w:t xml:space="preserve"> (</w:t>
      </w:r>
      <w:proofErr w:type="spellStart"/>
      <w:r w:rsidRPr="00FE28E2">
        <w:t>Freixas</w:t>
      </w:r>
      <w:proofErr w:type="spellEnd"/>
      <w:r w:rsidRPr="00FE28E2">
        <w:t xml:space="preserve"> and Rochet, 2008).</w:t>
      </w:r>
    </w:p>
    <w:p w14:paraId="55FC36C8" w14:textId="4CF73102" w:rsidR="002C4B8F" w:rsidRDefault="002C4B8F" w:rsidP="002C4B8F">
      <w:r>
        <w:lastRenderedPageBreak/>
        <w:t>b.</w:t>
      </w:r>
      <w:r>
        <w:tab/>
      </w:r>
      <w:r w:rsidR="00FE28E2">
        <w:t>Company</w:t>
      </w:r>
    </w:p>
    <w:p w14:paraId="1C2F5E48" w14:textId="113324A5" w:rsidR="00FE28E2" w:rsidRDefault="00FE28E2" w:rsidP="00FE28E2">
      <w:pPr>
        <w:ind w:firstLine="720"/>
      </w:pPr>
      <w:r>
        <w:t xml:space="preserve">The company chooses investment grade I and finances it through bank loans </w:t>
      </w:r>
      <w:proofErr w:type="spellStart"/>
      <w:r>
        <w:t>Lf</w:t>
      </w:r>
      <w:proofErr w:type="spellEnd"/>
      <w:r>
        <w:t xml:space="preserve"> and issuing Bf securities in a profit-maximizing manner:</w:t>
      </w:r>
    </w:p>
    <w:p w14:paraId="37FE6B7E" w14:textId="3A3523B6" w:rsidR="00C85B79" w:rsidRDefault="00C85B79" w:rsidP="00C85B79">
      <w:pPr>
        <w:ind w:firstLine="720"/>
      </w:pPr>
      <w:r>
        <w:rPr>
          <w:rFonts w:ascii="Times New Roman" w:hAnsi="Times New Roman" w:cs="Times New Roman"/>
          <w:noProof/>
          <w:sz w:val="24"/>
          <w:szCs w:val="24"/>
          <w:lang w:val="id-ID" w:eastAsia="zh-CN"/>
        </w:rPr>
        <mc:AlternateContent>
          <mc:Choice Requires="wps">
            <w:drawing>
              <wp:anchor distT="0" distB="0" distL="114300" distR="114300" simplePos="0" relativeHeight="251661312" behindDoc="0" locked="0" layoutInCell="1" allowOverlap="1" wp14:anchorId="6693948A" wp14:editId="3559C4F2">
                <wp:simplePos x="0" y="0"/>
                <wp:positionH relativeFrom="column">
                  <wp:posOffset>762000</wp:posOffset>
                </wp:positionH>
                <wp:positionV relativeFrom="paragraph">
                  <wp:posOffset>11430</wp:posOffset>
                </wp:positionV>
                <wp:extent cx="45719" cy="723900"/>
                <wp:effectExtent l="19050" t="0" r="12065" b="19050"/>
                <wp:wrapNone/>
                <wp:docPr id="3" name="Left Brace 3"/>
                <wp:cNvGraphicFramePr/>
                <a:graphic xmlns:a="http://schemas.openxmlformats.org/drawingml/2006/main">
                  <a:graphicData uri="http://schemas.microsoft.com/office/word/2010/wordprocessingShape">
                    <wps:wsp>
                      <wps:cNvSpPr/>
                      <wps:spPr>
                        <a:xfrm>
                          <a:off x="0" y="0"/>
                          <a:ext cx="45719" cy="7239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DD883C" id="Left Brace 3" o:spid="_x0000_s1026" type="#_x0000_t87" style="position:absolute;margin-left:60pt;margin-top:.9pt;width:3.6pt;height:5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" adj="114" strokecolor="black [3200]" strokeweight=".5pt">
                <v:stroke joinstyle="miter"/>
              </v:shape>
            </w:pict>
          </mc:Fallback>
        </mc:AlternateContent>
      </w:r>
      <w:r>
        <w:tab/>
        <w:t xml:space="preserve">Max </w:t>
      </w:r>
      <w:proofErr w:type="spellStart"/>
      <w:r>
        <w:t>Πf</w:t>
      </w:r>
      <w:proofErr w:type="spellEnd"/>
    </w:p>
    <w:p w14:paraId="366E8C87" w14:textId="71D421B2" w:rsidR="00C85B79" w:rsidRDefault="00C85B79" w:rsidP="00C85B79">
      <w:pPr>
        <w:ind w:firstLine="720"/>
      </w:pPr>
      <w:r>
        <w:t xml:space="preserve">Ph </w:t>
      </w:r>
      <w:r>
        <w:tab/>
      </w:r>
      <w:proofErr w:type="spellStart"/>
      <w:r>
        <w:t>Π</w:t>
      </w:r>
      <w:proofErr w:type="gramStart"/>
      <w:r>
        <w:t>f</w:t>
      </w:r>
      <w:proofErr w:type="spellEnd"/>
      <w:r>
        <w:t xml:space="preserve">  =</w:t>
      </w:r>
      <w:proofErr w:type="gramEnd"/>
      <w:r>
        <w:t xml:space="preserve"> </w:t>
      </w:r>
      <w:proofErr w:type="spellStart"/>
      <w:r>
        <w:t>Pf</w:t>
      </w:r>
      <w:proofErr w:type="spellEnd"/>
      <w:r>
        <w:t xml:space="preserve">  (I) – (1 + r) Bf – (1 + </w:t>
      </w:r>
      <w:proofErr w:type="spellStart"/>
      <w:r>
        <w:t>rL</w:t>
      </w:r>
      <w:proofErr w:type="spellEnd"/>
      <w:r>
        <w:t xml:space="preserve">) </w:t>
      </w:r>
      <w:proofErr w:type="spellStart"/>
      <w:r>
        <w:t>Lf</w:t>
      </w:r>
      <w:proofErr w:type="spellEnd"/>
      <w:r>
        <w:t xml:space="preserve">, </w:t>
      </w:r>
    </w:p>
    <w:p w14:paraId="6040A67A" w14:textId="48476689" w:rsidR="00FE28E2" w:rsidRDefault="00C85B79" w:rsidP="00C85B79">
      <w:pPr>
        <w:ind w:firstLine="720"/>
      </w:pPr>
      <w:r>
        <w:tab/>
        <w:t xml:space="preserve">I = </w:t>
      </w:r>
      <w:proofErr w:type="gramStart"/>
      <w:r>
        <w:t>Bf  +</w:t>
      </w:r>
      <w:proofErr w:type="gramEnd"/>
      <w:r>
        <w:t xml:space="preserve"> </w:t>
      </w:r>
      <w:proofErr w:type="spellStart"/>
      <w:r>
        <w:t>Lf</w:t>
      </w:r>
      <w:proofErr w:type="spellEnd"/>
    </w:p>
    <w:p w14:paraId="47CE8780" w14:textId="634D5156" w:rsidR="002C4B8F" w:rsidRDefault="00FE28E2" w:rsidP="00FE28E2">
      <w:pPr>
        <w:ind w:firstLine="720"/>
      </w:pPr>
      <w:r>
        <w:t xml:space="preserve">Where f denotes the production function of the representative company and </w:t>
      </w:r>
      <w:proofErr w:type="spellStart"/>
      <w:r>
        <w:t>rL</w:t>
      </w:r>
      <w:proofErr w:type="spellEnd"/>
      <w:r>
        <w:t xml:space="preserve"> is the bank loan interest rate. </w:t>
      </w:r>
      <w:r w:rsidR="00C85B79">
        <w:t>B</w:t>
      </w:r>
      <w:r>
        <w:t xml:space="preserve">ecause bank loans and bonds here are perfect substitutes, </w:t>
      </w:r>
      <w:proofErr w:type="spellStart"/>
      <w:r>
        <w:t>Pf</w:t>
      </w:r>
      <w:proofErr w:type="spellEnd"/>
      <w:r>
        <w:t xml:space="preserve"> has an interior solution only when: r = </w:t>
      </w:r>
      <w:proofErr w:type="spellStart"/>
      <w:r>
        <w:t>rL</w:t>
      </w:r>
      <w:proofErr w:type="spellEnd"/>
      <w:r>
        <w:t xml:space="preserve"> (</w:t>
      </w:r>
      <w:proofErr w:type="spellStart"/>
      <w:r>
        <w:t>Freixas</w:t>
      </w:r>
      <w:proofErr w:type="spellEnd"/>
      <w:r>
        <w:t xml:space="preserve"> and Rochet, 2008).</w:t>
      </w:r>
    </w:p>
    <w:p w14:paraId="49E26C3C" w14:textId="4F76486C" w:rsidR="002C4B8F" w:rsidRDefault="002C4B8F" w:rsidP="002C4B8F">
      <w:r>
        <w:t>c.</w:t>
      </w:r>
      <w:r>
        <w:tab/>
      </w:r>
      <w:r w:rsidR="00C85B79">
        <w:t>Bank</w:t>
      </w:r>
    </w:p>
    <w:p w14:paraId="254B39D0" w14:textId="68B8BF9F" w:rsidR="00C85B79" w:rsidRDefault="00C85B79" w:rsidP="002C4B8F">
      <w:pPr>
        <w:ind w:firstLine="720"/>
      </w:pPr>
      <w:r w:rsidRPr="00C85B79">
        <w:t xml:space="preserve">The bank chooses the supply of </w:t>
      </w:r>
      <w:proofErr w:type="spellStart"/>
      <w:r w:rsidRPr="00C85B79">
        <w:t>Lb</w:t>
      </w:r>
      <w:proofErr w:type="spellEnd"/>
      <w:r w:rsidRPr="00C85B79">
        <w:t xml:space="preserve"> loans, the demand for deposits of Db and the issuance of Bb bonds in a way that maximizes its profits (</w:t>
      </w:r>
      <w:proofErr w:type="spellStart"/>
      <w:r w:rsidRPr="00C85B79">
        <w:t>Freixas</w:t>
      </w:r>
      <w:proofErr w:type="spellEnd"/>
      <w:r w:rsidRPr="00C85B79">
        <w:t xml:space="preserve"> and Rochet, 2008).</w:t>
      </w:r>
    </w:p>
    <w:p w14:paraId="7363BE03" w14:textId="23A7DBC1" w:rsidR="00C85B79" w:rsidRDefault="00C85B79" w:rsidP="00C85B79">
      <w:pPr>
        <w:ind w:firstLine="720"/>
      </w:pPr>
      <w:r>
        <w:rPr>
          <w:rFonts w:ascii="Times New Roman" w:hAnsi="Times New Roman" w:cs="Times New Roman"/>
          <w:noProof/>
          <w:sz w:val="24"/>
          <w:szCs w:val="24"/>
          <w:lang w:val="id-ID" w:eastAsia="zh-CN"/>
        </w:rPr>
        <mc:AlternateContent>
          <mc:Choice Requires="wps">
            <w:drawing>
              <wp:anchor distT="0" distB="0" distL="114300" distR="114300" simplePos="0" relativeHeight="251663360" behindDoc="0" locked="0" layoutInCell="1" allowOverlap="1" wp14:anchorId="662DC629" wp14:editId="6B6EEB39">
                <wp:simplePos x="0" y="0"/>
                <wp:positionH relativeFrom="column">
                  <wp:posOffset>807085</wp:posOffset>
                </wp:positionH>
                <wp:positionV relativeFrom="paragraph">
                  <wp:posOffset>12700</wp:posOffset>
                </wp:positionV>
                <wp:extent cx="45719" cy="723900"/>
                <wp:effectExtent l="19050" t="0" r="12065" b="19050"/>
                <wp:wrapNone/>
                <wp:docPr id="4" name="Left Brace 4"/>
                <wp:cNvGraphicFramePr/>
                <a:graphic xmlns:a="http://schemas.openxmlformats.org/drawingml/2006/main">
                  <a:graphicData uri="http://schemas.microsoft.com/office/word/2010/wordprocessingShape">
                    <wps:wsp>
                      <wps:cNvSpPr/>
                      <wps:spPr>
                        <a:xfrm>
                          <a:off x="0" y="0"/>
                          <a:ext cx="45719" cy="7239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FEF2B6" id="Left Brace 4" o:spid="_x0000_s1026" type="#_x0000_t87" style="position:absolute;margin-left:63.55pt;margin-top:1pt;width:3.6pt;height:5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" adj="114" strokecolor="black [3200]" strokeweight=".5pt">
                <v:stroke joinstyle="miter"/>
              </v:shape>
            </w:pict>
          </mc:Fallback>
        </mc:AlternateContent>
      </w:r>
      <w:r>
        <w:tab/>
        <w:t xml:space="preserve">Max </w:t>
      </w:r>
      <w:proofErr w:type="spellStart"/>
      <w:r>
        <w:t>Πb</w:t>
      </w:r>
      <w:proofErr w:type="spellEnd"/>
    </w:p>
    <w:p w14:paraId="547D5E64" w14:textId="77777777" w:rsidR="00C85B79" w:rsidRDefault="00C85B79" w:rsidP="00C85B79">
      <w:pPr>
        <w:ind w:firstLine="720"/>
      </w:pPr>
      <w:r>
        <w:t>Pb</w:t>
      </w:r>
      <w:r>
        <w:tab/>
      </w:r>
      <w:proofErr w:type="spellStart"/>
      <w:r>
        <w:t>Π</w:t>
      </w:r>
      <w:proofErr w:type="gramStart"/>
      <w:r>
        <w:t>b</w:t>
      </w:r>
      <w:proofErr w:type="spellEnd"/>
      <w:r>
        <w:t xml:space="preserve">  =</w:t>
      </w:r>
      <w:proofErr w:type="gramEnd"/>
      <w:r>
        <w:t xml:space="preserve"> </w:t>
      </w:r>
      <w:proofErr w:type="spellStart"/>
      <w:r>
        <w:t>rLLb</w:t>
      </w:r>
      <w:proofErr w:type="spellEnd"/>
      <w:r>
        <w:t xml:space="preserve"> – </w:t>
      </w:r>
      <w:proofErr w:type="spellStart"/>
      <w:r>
        <w:t>rBb</w:t>
      </w:r>
      <w:proofErr w:type="spellEnd"/>
      <w:r>
        <w:t xml:space="preserve"> – </w:t>
      </w:r>
      <w:proofErr w:type="spellStart"/>
      <w:r>
        <w:t>rDDb</w:t>
      </w:r>
      <w:proofErr w:type="spellEnd"/>
      <w:r>
        <w:t xml:space="preserve">, </w:t>
      </w:r>
    </w:p>
    <w:p w14:paraId="0E5F1D9B" w14:textId="201BA904" w:rsidR="002C4B8F" w:rsidRDefault="00C85B79" w:rsidP="00C85B79">
      <w:pPr>
        <w:ind w:firstLine="720"/>
      </w:pPr>
      <w:r>
        <w:tab/>
      </w:r>
      <w:proofErr w:type="spellStart"/>
      <w:r>
        <w:t>Lb</w:t>
      </w:r>
      <w:proofErr w:type="spellEnd"/>
      <w:r>
        <w:t xml:space="preserve"> = Bb + Db</w:t>
      </w:r>
    </w:p>
    <w:p w14:paraId="71FF74AF" w14:textId="7AC3908C" w:rsidR="002C4B8F" w:rsidRDefault="002C4B8F" w:rsidP="002C4B8F">
      <w:r>
        <w:t>d.</w:t>
      </w:r>
      <w:r>
        <w:tab/>
      </w:r>
      <w:r w:rsidR="00C85B79">
        <w:t>General Equilibrium</w:t>
      </w:r>
    </w:p>
    <w:p w14:paraId="702C524F" w14:textId="5A13D1F2" w:rsidR="002C4B8F" w:rsidRDefault="00C85B79" w:rsidP="002C4B8F">
      <w:pPr>
        <w:ind w:firstLine="720"/>
      </w:pPr>
      <w:r w:rsidRPr="00C85B79">
        <w:t xml:space="preserve">The general equilibrium is characterized by an interest rate vector (r, r </w:t>
      </w:r>
      <w:proofErr w:type="spellStart"/>
      <w:r w:rsidRPr="00C85B79">
        <w:t>L,r</w:t>
      </w:r>
      <w:proofErr w:type="spellEnd"/>
      <w:r w:rsidRPr="00C85B79">
        <w:t xml:space="preserve"> D) and three demand and supply level vectors (C1, C2, </w:t>
      </w:r>
      <w:proofErr w:type="spellStart"/>
      <w:r w:rsidRPr="00C85B79">
        <w:t>Bh</w:t>
      </w:r>
      <w:proofErr w:type="spellEnd"/>
      <w:r w:rsidRPr="00C85B79">
        <w:t xml:space="preserve">, Dh) for consumers, (I, Bf, </w:t>
      </w:r>
      <w:proofErr w:type="spellStart"/>
      <w:r w:rsidRPr="00C85B79">
        <w:t>Lf</w:t>
      </w:r>
      <w:proofErr w:type="spellEnd"/>
      <w:r w:rsidRPr="00C85B79">
        <w:t>) for firms and (</w:t>
      </w:r>
      <w:proofErr w:type="spellStart"/>
      <w:r w:rsidRPr="00C85B79">
        <w:t>Lb,Bb</w:t>
      </w:r>
      <w:proofErr w:type="spellEnd"/>
      <w:r w:rsidRPr="00C85B79">
        <w:t>, Db) for the bank, so that each agent behaves optimally (its decision respectively solves P h, P f, or P b); any free market (</w:t>
      </w:r>
      <w:proofErr w:type="spellStart"/>
      <w:r w:rsidRPr="00C85B79">
        <w:t>Freixas</w:t>
      </w:r>
      <w:proofErr w:type="spellEnd"/>
      <w:r w:rsidRPr="00C85B79">
        <w:t xml:space="preserve"> and Rochet, 2008).</w:t>
      </w:r>
      <w:r w:rsidR="002C4B8F">
        <w:t xml:space="preserve"> </w:t>
      </w:r>
    </w:p>
    <w:p w14:paraId="367D8798" w14:textId="77777777" w:rsidR="00C85B79" w:rsidRDefault="00C85B79" w:rsidP="00C85B79">
      <w:pPr>
        <w:ind w:firstLine="810"/>
      </w:pPr>
      <w:r>
        <w:t>I = S (good market)</w:t>
      </w:r>
    </w:p>
    <w:p w14:paraId="08C7AEAF" w14:textId="77777777" w:rsidR="00C85B79" w:rsidRDefault="00C85B79" w:rsidP="00C85B79">
      <w:pPr>
        <w:ind w:firstLine="810"/>
      </w:pPr>
      <w:r>
        <w:t>Db = Dh (Deposit Market)</w:t>
      </w:r>
    </w:p>
    <w:p w14:paraId="6F852898" w14:textId="77777777" w:rsidR="00C85B79" w:rsidRDefault="00C85B79" w:rsidP="00C85B79">
      <w:pPr>
        <w:ind w:firstLine="810"/>
      </w:pPr>
      <w:proofErr w:type="spellStart"/>
      <w:r>
        <w:t>Lf</w:t>
      </w:r>
      <w:proofErr w:type="spellEnd"/>
      <w:r>
        <w:t xml:space="preserve"> = </w:t>
      </w:r>
      <w:proofErr w:type="spellStart"/>
      <w:r>
        <w:t>Lb</w:t>
      </w:r>
      <w:proofErr w:type="spellEnd"/>
      <w:r>
        <w:t xml:space="preserve"> (Credit Market)</w:t>
      </w:r>
    </w:p>
    <w:p w14:paraId="7977C241" w14:textId="653FFE80" w:rsidR="002C4B8F" w:rsidRDefault="00C85B79" w:rsidP="00C85B79">
      <w:pPr>
        <w:ind w:firstLine="810"/>
      </w:pPr>
      <w:proofErr w:type="spellStart"/>
      <w:r>
        <w:t>Bh</w:t>
      </w:r>
      <w:proofErr w:type="spellEnd"/>
      <w:r>
        <w:t xml:space="preserve"> = Bf + Bb (Bond Market)</w:t>
      </w:r>
    </w:p>
    <w:p w14:paraId="631364D1" w14:textId="42CEFC49" w:rsidR="00C85B79" w:rsidRDefault="00C85B79" w:rsidP="00C85B79">
      <w:pPr>
        <w:ind w:firstLine="810"/>
      </w:pPr>
      <w:r w:rsidRPr="00C85B79">
        <w:t>In banks it is clear that banks are intermediary institutions where there are liabilities in the form of securities and assets in the form of investments. Assets in the form of investment can be stated in the form of credit, securities such as bonds and cash while banks abroad can invest in stocks and commodities. While in the company there are also securities and loans for sources of funding and investment as opposed to the balance sheet (</w:t>
      </w:r>
      <w:proofErr w:type="spellStart"/>
      <w:r w:rsidRPr="00C85B79">
        <w:t>Freixas</w:t>
      </w:r>
      <w:proofErr w:type="spellEnd"/>
      <w:r w:rsidRPr="00C85B79">
        <w:t xml:space="preserve"> and Rochet, 2008).</w:t>
      </w:r>
    </w:p>
    <w:p w14:paraId="19B15BE8" w14:textId="77777777" w:rsidR="00C85B79" w:rsidRPr="00836DC2" w:rsidRDefault="00C85B79" w:rsidP="00C85B79">
      <w:pPr>
        <w:ind w:firstLine="810"/>
      </w:pPr>
    </w:p>
    <w:p w14:paraId="3053AA4D" w14:textId="2714B6DD" w:rsidR="00CE4810" w:rsidRPr="00CE4810" w:rsidRDefault="003A1259" w:rsidP="00CE4810">
      <w:pPr>
        <w:rPr>
          <w:b/>
          <w:bCs/>
        </w:rPr>
      </w:pPr>
      <w:r>
        <w:rPr>
          <w:b/>
          <w:bCs/>
        </w:rPr>
        <w:t xml:space="preserve">3. Operational Variable and </w:t>
      </w:r>
      <w:r w:rsidR="00CE4810" w:rsidRPr="00CE4810">
        <w:rPr>
          <w:b/>
          <w:bCs/>
        </w:rPr>
        <w:t>Methods</w:t>
      </w:r>
    </w:p>
    <w:p w14:paraId="14B9260A" w14:textId="45562F5E" w:rsidR="00CE4810" w:rsidRDefault="003A1259" w:rsidP="003A1259">
      <w:r>
        <w:t>Operational Variable</w:t>
      </w:r>
    </w:p>
    <w:p w14:paraId="1DF50DD9" w14:textId="77777777" w:rsidR="00CE4810" w:rsidRDefault="00CE4810" w:rsidP="003A1259">
      <w:r>
        <w:t>a.</w:t>
      </w:r>
      <w:r>
        <w:tab/>
        <w:t>Bank Risks</w:t>
      </w:r>
    </w:p>
    <w:p w14:paraId="20FE6CBA" w14:textId="5D995E7F" w:rsidR="00CE4810" w:rsidRDefault="00CE4810" w:rsidP="00CE4810">
      <w:pPr>
        <w:ind w:firstLine="720"/>
      </w:pPr>
      <w:r>
        <w:t xml:space="preserve">Every activity carried out by humans, even technology, has risks that will be faced. Manurung (2017) defines risk as "the loss experienced by an institution due to unclear events that will occur in the future where risk can be measured and minimized". </w:t>
      </w:r>
      <w:proofErr w:type="spellStart"/>
      <w:r>
        <w:t>Jorion</w:t>
      </w:r>
      <w:proofErr w:type="spellEnd"/>
      <w:r>
        <w:t xml:space="preserve"> (2007) defines risk as </w:t>
      </w:r>
      <w:r>
        <w:lastRenderedPageBreak/>
        <w:t>"The volatility of unexpected outcomes, which can represent the value of assets, equity or earnings". Based on some of the definitions above, the onset of a risk cannot be predicted with certainty when it will come.</w:t>
      </w:r>
    </w:p>
    <w:p w14:paraId="6439E450" w14:textId="77777777" w:rsidR="00CE4810" w:rsidRDefault="00CE4810" w:rsidP="003A1259">
      <w:r>
        <w:t>b.</w:t>
      </w:r>
      <w:r>
        <w:tab/>
        <w:t>Net Interest Margin</w:t>
      </w:r>
    </w:p>
    <w:p w14:paraId="1BF8B0E6" w14:textId="24E39478" w:rsidR="00CE4810" w:rsidRDefault="00CE4810" w:rsidP="00CE4810">
      <w:pPr>
        <w:ind w:firstLine="720"/>
      </w:pPr>
      <w:r>
        <w:t>To measure the interest profit received by banks from their business activities, ratio analysis is used. One of the ratios used is Net Interest Margin (NIM). NIM is the ratio between Interest Income minus Interest Expenses divided by Average Interest Earning Assets (</w:t>
      </w:r>
      <w:proofErr w:type="spellStart"/>
      <w:r>
        <w:t>Riyadi</w:t>
      </w:r>
      <w:proofErr w:type="spellEnd"/>
      <w:r>
        <w:t xml:space="preserve">, 2004: 140). </w:t>
      </w:r>
      <w:proofErr w:type="spellStart"/>
      <w:r>
        <w:t>Dendawijaya</w:t>
      </w:r>
      <w:proofErr w:type="spellEnd"/>
      <w:r>
        <w:t xml:space="preserve"> (2006: 122) in Dewi (2013), Net Interest Margin (NIM) is: "The ratio used to measure the ability of bank management in managing its productive assets to generate net interest income. The greater this ratio, the increase in interest income on productive assets managed by the bank, so that the possibility of a bank in problematic conditions getting smaller ". </w:t>
      </w:r>
    </w:p>
    <w:p w14:paraId="3F95639E" w14:textId="461440E6" w:rsidR="00CE4810" w:rsidRDefault="00CE4810" w:rsidP="00CE4810">
      <w:pPr>
        <w:ind w:firstLine="720"/>
      </w:pPr>
      <w:r>
        <w:t>NIM is also measured by the ratio of net interest income to earning assets. Net interest income is obtained from interest income minus interest expense. Productive assets that are taken into account are interest-earning productive assets such as placements with other banks, securities, investments, and loans.</w:t>
      </w:r>
    </w:p>
    <w:p w14:paraId="6B685E33" w14:textId="77777777" w:rsidR="00CE4810" w:rsidRDefault="00CE4810" w:rsidP="003A1259">
      <w:r>
        <w:t>c.</w:t>
      </w:r>
      <w:r>
        <w:tab/>
        <w:t>Non-Performing Loan (NPL)</w:t>
      </w:r>
    </w:p>
    <w:p w14:paraId="3E6FEDAF" w14:textId="4B9B086D" w:rsidR="00CE4810" w:rsidRDefault="00CE4810" w:rsidP="00CE4810">
      <w:pPr>
        <w:ind w:firstLine="720"/>
      </w:pPr>
      <w:r>
        <w:t xml:space="preserve">One way to measure non-performing loans or bad debts is by using ratio analysis, especially the Non-Performing Loan (NPL) ratio. According to </w:t>
      </w:r>
      <w:proofErr w:type="spellStart"/>
      <w:r>
        <w:t>Taswan</w:t>
      </w:r>
      <w:proofErr w:type="spellEnd"/>
      <w:r>
        <w:t xml:space="preserve"> (2008: 61) in Dewi (2013) the definition of NPL is: "the ratio used to measure the ability of bank management to manage non-performing loans granted by the bank. The credit risk accepted by the bank is one of the bank's business risks, resulting from uncertainty in its return or resulting from the non-payment of credit provided by the bank to the debtor ".</w:t>
      </w:r>
    </w:p>
    <w:p w14:paraId="62402BA8" w14:textId="77777777" w:rsidR="00CE4810" w:rsidRDefault="00CE4810" w:rsidP="003A1259">
      <w:r>
        <w:t>d.</w:t>
      </w:r>
      <w:r>
        <w:tab/>
        <w:t>World Oil Price</w:t>
      </w:r>
    </w:p>
    <w:p w14:paraId="52D7BD2C" w14:textId="400068CC" w:rsidR="00CE4810" w:rsidRDefault="00CE4810" w:rsidP="00CE4810">
      <w:pPr>
        <w:ind w:firstLine="720"/>
      </w:pPr>
      <w:r>
        <w:t xml:space="preserve">In this study, the unit of measure for crude oil used is the barrel. The currency used as a medium of exchange is the United States dollar. One of the choices of the US dollar as a medium of exchange for oil is because the US dollar is known almost all over the world. Along with the emergence of newly industrialized countries, the demand for crude oil will be higher. The increase in demand for crude oil will directly affect the world price of crude oil. If this is related to economic activity, the price of oil will affect the economy of a country. </w:t>
      </w:r>
    </w:p>
    <w:p w14:paraId="39812577" w14:textId="77777777" w:rsidR="00CE4810" w:rsidRDefault="00CE4810" w:rsidP="003A1259">
      <w:r>
        <w:t>e.</w:t>
      </w:r>
      <w:r>
        <w:tab/>
        <w:t>Exchange Rate</w:t>
      </w:r>
    </w:p>
    <w:p w14:paraId="159F20E1" w14:textId="6AC1226A" w:rsidR="00CE4810" w:rsidRDefault="00CE4810" w:rsidP="00CE4810">
      <w:pPr>
        <w:ind w:firstLine="720"/>
      </w:pPr>
      <w:r>
        <w:t>The exchange rate in a country can be influenced by government policies set in the country. Government policy in strengthening a country's exchange rate significantly against other countries' exchange rates is called revaluation. While the government policy of significantly weakening a country's exchange rate against other countries' exchange rates is called devaluation (</w:t>
      </w:r>
      <w:proofErr w:type="spellStart"/>
      <w:r>
        <w:t>Syarifuddin</w:t>
      </w:r>
      <w:proofErr w:type="spellEnd"/>
      <w:r>
        <w:t>, 2016).</w:t>
      </w:r>
    </w:p>
    <w:p w14:paraId="51B633D0" w14:textId="77777777" w:rsidR="00CE4810" w:rsidRDefault="00CE4810" w:rsidP="003A1259">
      <w:r>
        <w:t>f.</w:t>
      </w:r>
      <w:r>
        <w:tab/>
        <w:t>Market Power</w:t>
      </w:r>
    </w:p>
    <w:p w14:paraId="0E10C7E7" w14:textId="1B3DBFA1" w:rsidR="00CE4810" w:rsidRDefault="00CE4810" w:rsidP="00CE4810">
      <w:pPr>
        <w:ind w:firstLine="720"/>
      </w:pPr>
      <w:r>
        <w:t xml:space="preserve">Market power is one of the external factors that influence bank risk-taking in Indonesia. Berger et al. (2009) argue that concentration competition can influence each other and can significantly affect bank risk-taking (Hendra, 2017). According to Guerrero-Mora and Sepulveda-Villareal, companies that have great market power are able to maintain the elasticity of consumer demand for their products to be more rigid. If the elasticity of consumer demand for the company's </w:t>
      </w:r>
      <w:r>
        <w:lastRenderedPageBreak/>
        <w:t>products is relatively rigid, the company will be able to make consumers more dependent on the company's products (</w:t>
      </w:r>
      <w:proofErr w:type="spellStart"/>
      <w:r>
        <w:t>Cahya</w:t>
      </w:r>
      <w:proofErr w:type="spellEnd"/>
      <w:r>
        <w:t>, 2014).</w:t>
      </w:r>
    </w:p>
    <w:p w14:paraId="3BCEAD7D" w14:textId="77777777" w:rsidR="00CE4810" w:rsidRDefault="00CE4810" w:rsidP="003A1259">
      <w:r>
        <w:t>g.</w:t>
      </w:r>
      <w:r>
        <w:tab/>
        <w:t>Women's BOD Gender</w:t>
      </w:r>
    </w:p>
    <w:p w14:paraId="02E26782" w14:textId="020122F8" w:rsidR="00CE4810" w:rsidRDefault="00CE4810" w:rsidP="00CE4810">
      <w:pPr>
        <w:ind w:firstLine="720"/>
      </w:pPr>
      <w:r>
        <w:t>Gender is the difference and function of social roles constructed by society. Based on the current investment trend towards socially responsible investment, when investment decision-making by investors and analysts (market opinion makers) considers the presence of equal numbers of women and men (gender diversity) on the board as a positive investment variable, it can encourage the company's stock preference and thus can drive the demand for the company's shares (Bear et al., 2010). As a result, economic results, media visibility, and demonstration of commitment to social and ethical issues can lead to increased demand for shares and an increase in the company's share price.</w:t>
      </w:r>
    </w:p>
    <w:p w14:paraId="0AF1F4F1" w14:textId="2C72D20A" w:rsidR="00CE4810" w:rsidRDefault="00CE4810" w:rsidP="00CE4810">
      <w:pPr>
        <w:ind w:firstLine="720"/>
      </w:pPr>
      <w:r>
        <w:t>Whether or not the number of women has an effect on firm performance may be due to the overall low or high representation of women (</w:t>
      </w:r>
      <w:proofErr w:type="spellStart"/>
      <w:r>
        <w:t>Joecks</w:t>
      </w:r>
      <w:proofErr w:type="spellEnd"/>
      <w:r>
        <w:t xml:space="preserve"> et al., 2013). Differences in innate characteristics between women and men such as women being more risk averse than men (</w:t>
      </w:r>
      <w:proofErr w:type="spellStart"/>
      <w:r>
        <w:t>Croson</w:t>
      </w:r>
      <w:proofErr w:type="spellEnd"/>
      <w:r>
        <w:t xml:space="preserve"> and Gneezy, 2009) and women often proposing less aggressive strategies and sustainable investment criteria (</w:t>
      </w:r>
      <w:proofErr w:type="spellStart"/>
      <w:r>
        <w:t>Apesteguia</w:t>
      </w:r>
      <w:proofErr w:type="spellEnd"/>
      <w:r>
        <w:t xml:space="preserve"> et al., 2012), as well as gender diversity on boards, can add value to male-dominated boards through the submission of different perspectives (Farrell and Hersch, 2005).</w:t>
      </w:r>
    </w:p>
    <w:p w14:paraId="70A45CF4" w14:textId="77777777" w:rsidR="00CE4810" w:rsidRDefault="00CE4810" w:rsidP="003A1259">
      <w:r>
        <w:t>h.</w:t>
      </w:r>
      <w:r>
        <w:tab/>
        <w:t>Total Company Assets</w:t>
      </w:r>
    </w:p>
    <w:p w14:paraId="0BAE6158" w14:textId="3F511811" w:rsidR="00CE4810" w:rsidRDefault="00CE4810" w:rsidP="00CE4810">
      <w:pPr>
        <w:ind w:firstLine="720"/>
      </w:pPr>
      <w:r>
        <w:t xml:space="preserve">According to </w:t>
      </w:r>
      <w:proofErr w:type="spellStart"/>
      <w:r>
        <w:t>Sudarsi</w:t>
      </w:r>
      <w:proofErr w:type="spellEnd"/>
      <w:r>
        <w:t xml:space="preserve"> et al (2012) in </w:t>
      </w:r>
      <w:proofErr w:type="spellStart"/>
      <w:r>
        <w:t>Brilliano</w:t>
      </w:r>
      <w:proofErr w:type="spellEnd"/>
      <w:r>
        <w:t xml:space="preserve"> (2016) and </w:t>
      </w:r>
      <w:proofErr w:type="spellStart"/>
      <w:r>
        <w:t>Meliza</w:t>
      </w:r>
      <w:proofErr w:type="spellEnd"/>
      <w:r>
        <w:t xml:space="preserve"> et al, (2018) one of the company sizes is from total assets, </w:t>
      </w:r>
      <w:r w:rsidR="005522A4">
        <w:t>which is</w:t>
      </w:r>
      <w:r>
        <w:t xml:space="preserve"> by means of the natural logarithm of the company's total assets. Measurement of total assets using the logarithm of total assets, the use of the natural logarithm (Ln) in this study is intended to reduce data fluctuations and excessive numbers. If the total asset value is used directly, the variable value will be very large, </w:t>
      </w:r>
      <w:r w:rsidR="005522A4">
        <w:t>which is</w:t>
      </w:r>
      <w:r>
        <w:t xml:space="preserve"> billions and even trillions. By using the natural logarithm of total assets, the value of billions and even trillions can be simplified, without changing the proportion of the actual original value.</w:t>
      </w:r>
    </w:p>
    <w:p w14:paraId="0C919EA5" w14:textId="22A18BA6" w:rsidR="00CE4810" w:rsidRDefault="003A1259" w:rsidP="003A1259">
      <w:r>
        <w:t xml:space="preserve">Estimation </w:t>
      </w:r>
      <w:r w:rsidR="00CE4810">
        <w:t>Methods</w:t>
      </w:r>
    </w:p>
    <w:p w14:paraId="497FC63B" w14:textId="2A77188D" w:rsidR="00CE4810" w:rsidRDefault="00CE4810" w:rsidP="00CE4810">
      <w:pPr>
        <w:ind w:firstLine="720"/>
      </w:pPr>
      <w:r>
        <w:t xml:space="preserve">The data in this study were collected through secondary data collection, in the form of time series and cross-sections. The data used in this study are commercial banks going public that report their finances to Bank Indonesia and commercial banks going public in Malaysia during the study period, </w:t>
      </w:r>
      <w:r w:rsidR="005522A4">
        <w:t>which is</w:t>
      </w:r>
      <w:r>
        <w:t xml:space="preserve"> from 2009 to 2019. Data sources were obtained through the Indonesia Stock Exchange website, </w:t>
      </w:r>
      <w:r w:rsidR="005522A4">
        <w:t>which is</w:t>
      </w:r>
      <w:r>
        <w:t xml:space="preserve"> http://www.idx.co.id, http://www.bursamalaysia.com, and www.bloomberg.com and economic journal articles.</w:t>
      </w:r>
    </w:p>
    <w:p w14:paraId="09F8F91F" w14:textId="2F79E365" w:rsidR="003A1259" w:rsidRDefault="003A1259" w:rsidP="003A1259"/>
    <w:p w14:paraId="721557F4" w14:textId="3C924DE0" w:rsidR="003A1259" w:rsidRDefault="003A1259" w:rsidP="003A1259">
      <w:r>
        <w:t>Analysis</w:t>
      </w:r>
    </w:p>
    <w:p w14:paraId="45E4984E" w14:textId="77777777" w:rsidR="00CE4810" w:rsidRDefault="00CE4810" w:rsidP="00CE4810">
      <w:pPr>
        <w:ind w:firstLine="720"/>
      </w:pPr>
      <w:r>
        <w:t>Data analysis is an important thing to do in conducting a study. With the right analysis, it becomes useful for solving the problem at hand. The analysis is carried out in the following way:</w:t>
      </w:r>
    </w:p>
    <w:p w14:paraId="6DB3BE20" w14:textId="77777777" w:rsidR="00CE4810" w:rsidRDefault="00CE4810" w:rsidP="00CE4810">
      <w:pPr>
        <w:ind w:firstLine="720"/>
      </w:pPr>
      <w:r>
        <w:t>1.</w:t>
      </w:r>
      <w:r>
        <w:tab/>
        <w:t xml:space="preserve">Collecting banking financial report data during the 2009-2019 period accessed through the websites www.idx.co.id, www.bursamalaysia.com, and www.finance.yahoo.com </w:t>
      </w:r>
    </w:p>
    <w:p w14:paraId="1E0E21A2" w14:textId="6A3E8F22" w:rsidR="00CE4810" w:rsidRDefault="00CE4810" w:rsidP="00CE4810">
      <w:pPr>
        <w:ind w:firstLine="720"/>
      </w:pPr>
      <w:r>
        <w:t>2.</w:t>
      </w:r>
      <w:r>
        <w:tab/>
        <w:t>The panel data model is used in this study to predict how far the influence of the independent variables on the dependent variable is, panel data is a combination of time series and cross-section data, able to provide more data so as to produce a greater degree of freedom.</w:t>
      </w:r>
    </w:p>
    <w:tbl>
      <w:tblPr>
        <w:tblStyle w:val="PlainTable21"/>
        <w:tblW w:w="9661" w:type="dxa"/>
        <w:tblInd w:w="-299" w:type="dxa"/>
        <w:tblLayout w:type="fixed"/>
        <w:tblLook w:val="04A0" w:firstRow="1" w:lastRow="0" w:firstColumn="1" w:lastColumn="0" w:noHBand="0" w:noVBand="1"/>
      </w:tblPr>
      <w:tblGrid>
        <w:gridCol w:w="1364"/>
        <w:gridCol w:w="991"/>
        <w:gridCol w:w="1079"/>
        <w:gridCol w:w="992"/>
        <w:gridCol w:w="993"/>
        <w:gridCol w:w="1134"/>
        <w:gridCol w:w="1124"/>
        <w:gridCol w:w="992"/>
        <w:gridCol w:w="992"/>
      </w:tblGrid>
      <w:tr w:rsidR="005522A4" w:rsidRPr="0059588D" w14:paraId="4B521086" w14:textId="77777777" w:rsidTr="00163254">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364" w:type="dxa"/>
            <w:tcBorders>
              <w:top w:val="single" w:sz="12" w:space="0" w:color="auto"/>
              <w:left w:val="single" w:sz="12" w:space="0" w:color="auto"/>
              <w:bottom w:val="nil"/>
              <w:right w:val="single" w:sz="12" w:space="0" w:color="auto"/>
            </w:tcBorders>
            <w:vAlign w:val="center"/>
          </w:tcPr>
          <w:p w14:paraId="465E8F0F" w14:textId="77777777" w:rsidR="005522A4" w:rsidRPr="0059588D" w:rsidRDefault="005522A4" w:rsidP="00E65106">
            <w:pPr>
              <w:autoSpaceDE w:val="0"/>
              <w:autoSpaceDN w:val="0"/>
              <w:adjustRightInd w:val="0"/>
              <w:spacing w:line="276" w:lineRule="auto"/>
              <w:jc w:val="both"/>
              <w:rPr>
                <w:rFonts w:ascii="Times New Roman" w:hAnsi="Times New Roman" w:cs="Times New Roman"/>
                <w:color w:val="000000"/>
                <w:sz w:val="22"/>
                <w:szCs w:val="22"/>
                <w:lang w:eastAsia="id-ID"/>
              </w:rPr>
            </w:pPr>
          </w:p>
        </w:tc>
        <w:tc>
          <w:tcPr>
            <w:tcW w:w="991" w:type="dxa"/>
            <w:tcBorders>
              <w:top w:val="single" w:sz="12" w:space="0" w:color="auto"/>
              <w:left w:val="single" w:sz="12" w:space="0" w:color="auto"/>
              <w:bottom w:val="single" w:sz="4" w:space="0" w:color="auto"/>
              <w:right w:val="nil"/>
            </w:tcBorders>
            <w:vAlign w:val="center"/>
            <w:hideMark/>
          </w:tcPr>
          <w:p w14:paraId="34A31BF3" w14:textId="77777777" w:rsidR="005522A4" w:rsidRPr="0059588D" w:rsidRDefault="005522A4" w:rsidP="00E65106">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b w:val="0"/>
                <w:color w:val="000000"/>
                <w:sz w:val="22"/>
                <w:szCs w:val="22"/>
                <w:lang w:eastAsia="id-ID"/>
              </w:rPr>
              <w:t>Bank Risk</w:t>
            </w:r>
          </w:p>
        </w:tc>
        <w:tc>
          <w:tcPr>
            <w:tcW w:w="1079" w:type="dxa"/>
            <w:tcBorders>
              <w:top w:val="single" w:sz="12" w:space="0" w:color="7F7F7F" w:themeColor="text1" w:themeTint="80"/>
              <w:left w:val="nil"/>
              <w:bottom w:val="single" w:sz="4" w:space="0" w:color="auto"/>
              <w:right w:val="nil"/>
            </w:tcBorders>
            <w:vAlign w:val="center"/>
            <w:hideMark/>
          </w:tcPr>
          <w:p w14:paraId="70740986" w14:textId="77777777" w:rsidR="005522A4" w:rsidRPr="0059588D" w:rsidRDefault="005522A4" w:rsidP="00E65106">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b w:val="0"/>
                <w:color w:val="000000"/>
                <w:sz w:val="22"/>
                <w:szCs w:val="22"/>
                <w:lang w:eastAsia="id-ID"/>
              </w:rPr>
              <w:t>Total Asset</w:t>
            </w:r>
          </w:p>
        </w:tc>
        <w:tc>
          <w:tcPr>
            <w:tcW w:w="992" w:type="dxa"/>
            <w:tcBorders>
              <w:top w:val="single" w:sz="12" w:space="0" w:color="7F7F7F" w:themeColor="text1" w:themeTint="80"/>
              <w:left w:val="nil"/>
              <w:bottom w:val="single" w:sz="4" w:space="0" w:color="auto"/>
              <w:right w:val="nil"/>
            </w:tcBorders>
            <w:vAlign w:val="center"/>
            <w:hideMark/>
          </w:tcPr>
          <w:p w14:paraId="2E9E4820" w14:textId="77777777" w:rsidR="005522A4" w:rsidRPr="0059588D" w:rsidRDefault="005522A4" w:rsidP="00E65106">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b w:val="0"/>
                <w:color w:val="000000"/>
                <w:sz w:val="22"/>
                <w:szCs w:val="22"/>
                <w:lang w:eastAsia="id-ID"/>
              </w:rPr>
              <w:t>NIM</w:t>
            </w:r>
          </w:p>
        </w:tc>
        <w:tc>
          <w:tcPr>
            <w:tcW w:w="993" w:type="dxa"/>
            <w:tcBorders>
              <w:top w:val="single" w:sz="12" w:space="0" w:color="7F7F7F" w:themeColor="text1" w:themeTint="80"/>
              <w:left w:val="nil"/>
              <w:bottom w:val="single" w:sz="4" w:space="0" w:color="auto"/>
              <w:right w:val="nil"/>
            </w:tcBorders>
            <w:vAlign w:val="center"/>
            <w:hideMark/>
          </w:tcPr>
          <w:p w14:paraId="0941C394" w14:textId="77777777" w:rsidR="005522A4" w:rsidRPr="0059588D" w:rsidRDefault="005522A4" w:rsidP="00E65106">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b w:val="0"/>
                <w:color w:val="000000"/>
                <w:sz w:val="22"/>
                <w:szCs w:val="22"/>
                <w:lang w:eastAsia="id-ID"/>
              </w:rPr>
              <w:t>NPL</w:t>
            </w:r>
          </w:p>
        </w:tc>
        <w:tc>
          <w:tcPr>
            <w:tcW w:w="1134" w:type="dxa"/>
            <w:tcBorders>
              <w:top w:val="single" w:sz="12" w:space="0" w:color="7F7F7F" w:themeColor="text1" w:themeTint="80"/>
              <w:left w:val="nil"/>
              <w:bottom w:val="single" w:sz="4" w:space="0" w:color="auto"/>
              <w:right w:val="nil"/>
            </w:tcBorders>
            <w:vAlign w:val="center"/>
            <w:hideMark/>
          </w:tcPr>
          <w:p w14:paraId="3AF8B0F9" w14:textId="7F9636DB" w:rsidR="005522A4" w:rsidRPr="0059588D" w:rsidRDefault="00F02C04" w:rsidP="00E65106">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Pr>
                <w:rFonts w:ascii="Times New Roman" w:hAnsi="Times New Roman" w:cs="Times New Roman"/>
                <w:b w:val="0"/>
                <w:color w:val="000000"/>
                <w:sz w:val="22"/>
                <w:szCs w:val="22"/>
                <w:lang w:eastAsia="id-ID"/>
              </w:rPr>
              <w:t>EXCHANGE RATE</w:t>
            </w:r>
          </w:p>
        </w:tc>
        <w:tc>
          <w:tcPr>
            <w:tcW w:w="1124" w:type="dxa"/>
            <w:tcBorders>
              <w:top w:val="single" w:sz="12" w:space="0" w:color="7F7F7F" w:themeColor="text1" w:themeTint="80"/>
              <w:left w:val="nil"/>
              <w:bottom w:val="single" w:sz="4" w:space="0" w:color="auto"/>
              <w:right w:val="nil"/>
            </w:tcBorders>
            <w:vAlign w:val="center"/>
            <w:hideMark/>
          </w:tcPr>
          <w:p w14:paraId="71AA20BD" w14:textId="1DA23310" w:rsidR="005522A4" w:rsidRPr="0059588D" w:rsidRDefault="00F02C04" w:rsidP="00E65106">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Pr>
                <w:rFonts w:ascii="Times New Roman" w:hAnsi="Times New Roman" w:cs="Times New Roman"/>
                <w:b w:val="0"/>
                <w:color w:val="000000"/>
                <w:sz w:val="22"/>
                <w:szCs w:val="22"/>
                <w:lang w:eastAsia="id-ID"/>
              </w:rPr>
              <w:t>OIL PRICE</w:t>
            </w:r>
          </w:p>
        </w:tc>
        <w:tc>
          <w:tcPr>
            <w:tcW w:w="992" w:type="dxa"/>
            <w:tcBorders>
              <w:top w:val="single" w:sz="12" w:space="0" w:color="7F7F7F" w:themeColor="text1" w:themeTint="80"/>
              <w:left w:val="nil"/>
              <w:bottom w:val="single" w:sz="4" w:space="0" w:color="auto"/>
              <w:right w:val="nil"/>
            </w:tcBorders>
            <w:vAlign w:val="center"/>
            <w:hideMark/>
          </w:tcPr>
          <w:p w14:paraId="26B6DC29" w14:textId="77777777" w:rsidR="005522A4" w:rsidRPr="0059588D" w:rsidRDefault="005522A4" w:rsidP="00E65106">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b w:val="0"/>
                <w:color w:val="000000"/>
                <w:sz w:val="22"/>
                <w:szCs w:val="22"/>
                <w:lang w:eastAsia="id-ID"/>
              </w:rPr>
              <w:t>Market Power</w:t>
            </w:r>
          </w:p>
        </w:tc>
        <w:tc>
          <w:tcPr>
            <w:tcW w:w="992" w:type="dxa"/>
            <w:tcBorders>
              <w:top w:val="single" w:sz="12" w:space="0" w:color="auto"/>
              <w:left w:val="nil"/>
              <w:bottom w:val="single" w:sz="4" w:space="0" w:color="auto"/>
              <w:right w:val="single" w:sz="12" w:space="0" w:color="auto"/>
            </w:tcBorders>
            <w:vAlign w:val="center"/>
            <w:hideMark/>
          </w:tcPr>
          <w:p w14:paraId="5028E124" w14:textId="77777777" w:rsidR="005522A4" w:rsidRPr="0059588D" w:rsidRDefault="005522A4" w:rsidP="00E65106">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b w:val="0"/>
                <w:color w:val="000000"/>
                <w:sz w:val="22"/>
                <w:szCs w:val="22"/>
                <w:lang w:eastAsia="id-ID"/>
              </w:rPr>
              <w:t>Gender BDO</w:t>
            </w:r>
          </w:p>
        </w:tc>
      </w:tr>
      <w:tr w:rsidR="005522A4" w:rsidRPr="0059588D" w14:paraId="6CC4CE56" w14:textId="77777777" w:rsidTr="0016325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364" w:type="dxa"/>
            <w:tcBorders>
              <w:top w:val="nil"/>
              <w:left w:val="single" w:sz="12" w:space="0" w:color="auto"/>
              <w:bottom w:val="nil"/>
              <w:right w:val="nil"/>
            </w:tcBorders>
            <w:hideMark/>
          </w:tcPr>
          <w:p w14:paraId="2650B47B" w14:textId="77777777" w:rsidR="005522A4" w:rsidRPr="0059588D" w:rsidRDefault="005522A4" w:rsidP="00E65106">
            <w:pPr>
              <w:autoSpaceDE w:val="0"/>
              <w:autoSpaceDN w:val="0"/>
              <w:adjustRightInd w:val="0"/>
              <w:spacing w:line="276" w:lineRule="auto"/>
              <w:ind w:left="23"/>
              <w:jc w:val="both"/>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xml:space="preserve"> Mean</w:t>
            </w:r>
          </w:p>
        </w:tc>
        <w:tc>
          <w:tcPr>
            <w:tcW w:w="991" w:type="dxa"/>
            <w:tcBorders>
              <w:top w:val="single" w:sz="4" w:space="0" w:color="auto"/>
              <w:left w:val="nil"/>
              <w:bottom w:val="nil"/>
              <w:right w:val="nil"/>
            </w:tcBorders>
            <w:vAlign w:val="center"/>
            <w:hideMark/>
          </w:tcPr>
          <w:p w14:paraId="01289752"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0.004298</w:t>
            </w:r>
          </w:p>
        </w:tc>
        <w:tc>
          <w:tcPr>
            <w:tcW w:w="1079" w:type="dxa"/>
            <w:tcBorders>
              <w:top w:val="single" w:sz="4" w:space="0" w:color="auto"/>
              <w:left w:val="nil"/>
              <w:bottom w:val="nil"/>
              <w:right w:val="nil"/>
            </w:tcBorders>
            <w:vAlign w:val="center"/>
            <w:hideMark/>
          </w:tcPr>
          <w:p w14:paraId="0D41E6F4" w14:textId="77777777" w:rsidR="005522A4" w:rsidRPr="0059588D" w:rsidRDefault="005522A4" w:rsidP="00E65106">
            <w:pPr>
              <w:autoSpaceDE w:val="0"/>
              <w:autoSpaceDN w:val="0"/>
              <w:adjustRightInd w:val="0"/>
              <w:spacing w:line="276" w:lineRule="auto"/>
              <w:ind w:left="-125" w:right="1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59588D">
              <w:rPr>
                <w:rFonts w:ascii="Times New Roman" w:hAnsi="Times New Roman" w:cs="Times New Roman"/>
                <w:color w:val="000000"/>
                <w:sz w:val="22"/>
                <w:szCs w:val="22"/>
              </w:rPr>
              <w:t>0.469107</w:t>
            </w:r>
          </w:p>
        </w:tc>
        <w:tc>
          <w:tcPr>
            <w:tcW w:w="992" w:type="dxa"/>
            <w:tcBorders>
              <w:top w:val="single" w:sz="4" w:space="0" w:color="auto"/>
              <w:left w:val="nil"/>
              <w:bottom w:val="nil"/>
              <w:right w:val="nil"/>
            </w:tcBorders>
            <w:vAlign w:val="center"/>
            <w:hideMark/>
          </w:tcPr>
          <w:p w14:paraId="3445E108"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0.739744</w:t>
            </w:r>
          </w:p>
        </w:tc>
        <w:tc>
          <w:tcPr>
            <w:tcW w:w="993" w:type="dxa"/>
            <w:tcBorders>
              <w:top w:val="single" w:sz="4" w:space="0" w:color="auto"/>
              <w:left w:val="nil"/>
              <w:bottom w:val="nil"/>
              <w:right w:val="nil"/>
            </w:tcBorders>
            <w:vAlign w:val="center"/>
            <w:hideMark/>
          </w:tcPr>
          <w:p w14:paraId="77D6AC55"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0.269940</w:t>
            </w:r>
          </w:p>
        </w:tc>
        <w:tc>
          <w:tcPr>
            <w:tcW w:w="1134" w:type="dxa"/>
            <w:tcBorders>
              <w:top w:val="single" w:sz="4" w:space="0" w:color="auto"/>
              <w:left w:val="nil"/>
              <w:bottom w:val="nil"/>
              <w:right w:val="nil"/>
            </w:tcBorders>
            <w:vAlign w:val="center"/>
            <w:hideMark/>
          </w:tcPr>
          <w:p w14:paraId="019E38D3"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sz w:val="22"/>
                <w:szCs w:val="22"/>
              </w:rPr>
              <w:t>13.572442</w:t>
            </w:r>
          </w:p>
        </w:tc>
        <w:tc>
          <w:tcPr>
            <w:tcW w:w="1124" w:type="dxa"/>
            <w:tcBorders>
              <w:top w:val="single" w:sz="4" w:space="0" w:color="auto"/>
              <w:left w:val="nil"/>
              <w:bottom w:val="nil"/>
              <w:right w:val="nil"/>
            </w:tcBorders>
            <w:vAlign w:val="center"/>
            <w:hideMark/>
          </w:tcPr>
          <w:p w14:paraId="2DF69CCB"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56.132664</w:t>
            </w:r>
          </w:p>
        </w:tc>
        <w:tc>
          <w:tcPr>
            <w:tcW w:w="992" w:type="dxa"/>
            <w:tcBorders>
              <w:top w:val="single" w:sz="4" w:space="0" w:color="auto"/>
              <w:left w:val="nil"/>
              <w:bottom w:val="nil"/>
              <w:right w:val="nil"/>
            </w:tcBorders>
            <w:vAlign w:val="center"/>
            <w:hideMark/>
          </w:tcPr>
          <w:p w14:paraId="68E9DCAE"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sz w:val="22"/>
                <w:szCs w:val="22"/>
              </w:rPr>
              <w:t>1.785436</w:t>
            </w:r>
          </w:p>
        </w:tc>
        <w:tc>
          <w:tcPr>
            <w:tcW w:w="992" w:type="dxa"/>
            <w:tcBorders>
              <w:top w:val="single" w:sz="4" w:space="0" w:color="auto"/>
              <w:left w:val="nil"/>
              <w:bottom w:val="nil"/>
              <w:right w:val="single" w:sz="12" w:space="0" w:color="auto"/>
            </w:tcBorders>
            <w:vAlign w:val="center"/>
            <w:hideMark/>
          </w:tcPr>
          <w:p w14:paraId="6EC3E8BF"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sz w:val="22"/>
                <w:szCs w:val="22"/>
              </w:rPr>
              <w:t>0.173526</w:t>
            </w:r>
          </w:p>
        </w:tc>
      </w:tr>
      <w:tr w:rsidR="005522A4" w:rsidRPr="0059588D" w14:paraId="75EEA419" w14:textId="77777777" w:rsidTr="00163254">
        <w:trPr>
          <w:trHeight w:val="225"/>
        </w:trPr>
        <w:tc>
          <w:tcPr>
            <w:cnfStyle w:val="001000000000" w:firstRow="0" w:lastRow="0" w:firstColumn="1" w:lastColumn="0" w:oddVBand="0" w:evenVBand="0" w:oddHBand="0" w:evenHBand="0" w:firstRowFirstColumn="0" w:firstRowLastColumn="0" w:lastRowFirstColumn="0" w:lastRowLastColumn="0"/>
            <w:tcW w:w="1364" w:type="dxa"/>
            <w:tcBorders>
              <w:top w:val="nil"/>
              <w:left w:val="single" w:sz="12" w:space="0" w:color="auto"/>
              <w:bottom w:val="nil"/>
              <w:right w:val="nil"/>
            </w:tcBorders>
            <w:hideMark/>
          </w:tcPr>
          <w:p w14:paraId="552CA942" w14:textId="77777777" w:rsidR="005522A4" w:rsidRPr="0059588D" w:rsidRDefault="005522A4" w:rsidP="00E65106">
            <w:pPr>
              <w:autoSpaceDE w:val="0"/>
              <w:autoSpaceDN w:val="0"/>
              <w:adjustRightInd w:val="0"/>
              <w:spacing w:line="276" w:lineRule="auto"/>
              <w:ind w:left="23"/>
              <w:jc w:val="both"/>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Median</w:t>
            </w:r>
          </w:p>
        </w:tc>
        <w:tc>
          <w:tcPr>
            <w:tcW w:w="991" w:type="dxa"/>
            <w:tcBorders>
              <w:top w:val="nil"/>
              <w:left w:val="nil"/>
              <w:bottom w:val="nil"/>
              <w:right w:val="nil"/>
            </w:tcBorders>
            <w:hideMark/>
          </w:tcPr>
          <w:p w14:paraId="2D663819"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0.005850</w:t>
            </w:r>
          </w:p>
        </w:tc>
        <w:tc>
          <w:tcPr>
            <w:tcW w:w="1079" w:type="dxa"/>
            <w:tcBorders>
              <w:top w:val="nil"/>
              <w:left w:val="nil"/>
              <w:bottom w:val="nil"/>
              <w:right w:val="nil"/>
            </w:tcBorders>
            <w:hideMark/>
          </w:tcPr>
          <w:p w14:paraId="4582D8DE"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0.342763</w:t>
            </w:r>
          </w:p>
        </w:tc>
        <w:tc>
          <w:tcPr>
            <w:tcW w:w="992" w:type="dxa"/>
            <w:tcBorders>
              <w:top w:val="nil"/>
              <w:left w:val="nil"/>
              <w:bottom w:val="nil"/>
              <w:right w:val="nil"/>
            </w:tcBorders>
            <w:hideMark/>
          </w:tcPr>
          <w:p w14:paraId="47C6A8EB"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0.725275</w:t>
            </w:r>
          </w:p>
        </w:tc>
        <w:tc>
          <w:tcPr>
            <w:tcW w:w="993" w:type="dxa"/>
            <w:tcBorders>
              <w:top w:val="nil"/>
              <w:left w:val="nil"/>
              <w:bottom w:val="nil"/>
              <w:right w:val="nil"/>
            </w:tcBorders>
            <w:hideMark/>
          </w:tcPr>
          <w:p w14:paraId="2B4B2B45"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0.399975</w:t>
            </w:r>
          </w:p>
        </w:tc>
        <w:tc>
          <w:tcPr>
            <w:tcW w:w="1134" w:type="dxa"/>
            <w:tcBorders>
              <w:top w:val="nil"/>
              <w:left w:val="nil"/>
              <w:bottom w:val="nil"/>
              <w:right w:val="nil"/>
            </w:tcBorders>
            <w:hideMark/>
          </w:tcPr>
          <w:p w14:paraId="7DC7BF1E"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0.2156432</w:t>
            </w:r>
          </w:p>
        </w:tc>
        <w:tc>
          <w:tcPr>
            <w:tcW w:w="1124" w:type="dxa"/>
            <w:tcBorders>
              <w:top w:val="nil"/>
              <w:left w:val="nil"/>
              <w:bottom w:val="nil"/>
              <w:right w:val="nil"/>
            </w:tcBorders>
            <w:hideMark/>
          </w:tcPr>
          <w:p w14:paraId="72FBE5EB"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29.793145</w:t>
            </w:r>
          </w:p>
        </w:tc>
        <w:tc>
          <w:tcPr>
            <w:tcW w:w="992" w:type="dxa"/>
            <w:tcBorders>
              <w:top w:val="nil"/>
              <w:left w:val="nil"/>
              <w:bottom w:val="nil"/>
              <w:right w:val="nil"/>
            </w:tcBorders>
            <w:hideMark/>
          </w:tcPr>
          <w:p w14:paraId="44B06AAC"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2.850000</w:t>
            </w:r>
          </w:p>
        </w:tc>
        <w:tc>
          <w:tcPr>
            <w:tcW w:w="992" w:type="dxa"/>
            <w:tcBorders>
              <w:top w:val="nil"/>
              <w:left w:val="nil"/>
              <w:bottom w:val="nil"/>
              <w:right w:val="single" w:sz="12" w:space="0" w:color="7F7F7F" w:themeColor="text1" w:themeTint="80"/>
            </w:tcBorders>
            <w:hideMark/>
          </w:tcPr>
          <w:p w14:paraId="3EF91D87"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0.758929</w:t>
            </w:r>
          </w:p>
        </w:tc>
      </w:tr>
      <w:tr w:rsidR="005522A4" w:rsidRPr="0059588D" w14:paraId="58DEA40A" w14:textId="77777777" w:rsidTr="0016325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364" w:type="dxa"/>
            <w:tcBorders>
              <w:top w:val="nil"/>
              <w:left w:val="single" w:sz="12" w:space="0" w:color="auto"/>
              <w:bottom w:val="nil"/>
              <w:right w:val="nil"/>
            </w:tcBorders>
            <w:hideMark/>
          </w:tcPr>
          <w:p w14:paraId="5F1A4E0A" w14:textId="77777777" w:rsidR="005522A4" w:rsidRPr="0059588D" w:rsidRDefault="005522A4" w:rsidP="00E65106">
            <w:pPr>
              <w:autoSpaceDE w:val="0"/>
              <w:autoSpaceDN w:val="0"/>
              <w:adjustRightInd w:val="0"/>
              <w:spacing w:line="276" w:lineRule="auto"/>
              <w:ind w:left="23"/>
              <w:jc w:val="both"/>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Maximum</w:t>
            </w:r>
          </w:p>
        </w:tc>
        <w:tc>
          <w:tcPr>
            <w:tcW w:w="991" w:type="dxa"/>
            <w:tcBorders>
              <w:top w:val="nil"/>
              <w:left w:val="nil"/>
              <w:bottom w:val="nil"/>
              <w:right w:val="nil"/>
            </w:tcBorders>
            <w:hideMark/>
          </w:tcPr>
          <w:p w14:paraId="0F30B253"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0.113000</w:t>
            </w:r>
          </w:p>
        </w:tc>
        <w:tc>
          <w:tcPr>
            <w:tcW w:w="1079" w:type="dxa"/>
            <w:tcBorders>
              <w:top w:val="nil"/>
              <w:left w:val="nil"/>
              <w:bottom w:val="nil"/>
              <w:right w:val="nil"/>
            </w:tcBorders>
            <w:hideMark/>
          </w:tcPr>
          <w:p w14:paraId="5A35C1B7"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0.327653</w:t>
            </w:r>
          </w:p>
        </w:tc>
        <w:tc>
          <w:tcPr>
            <w:tcW w:w="992" w:type="dxa"/>
            <w:tcBorders>
              <w:top w:val="nil"/>
              <w:left w:val="nil"/>
              <w:bottom w:val="nil"/>
              <w:right w:val="nil"/>
            </w:tcBorders>
            <w:hideMark/>
          </w:tcPr>
          <w:p w14:paraId="5B555FB9"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0.835165</w:t>
            </w:r>
          </w:p>
        </w:tc>
        <w:tc>
          <w:tcPr>
            <w:tcW w:w="993" w:type="dxa"/>
            <w:tcBorders>
              <w:top w:val="nil"/>
              <w:left w:val="nil"/>
              <w:bottom w:val="nil"/>
              <w:right w:val="nil"/>
            </w:tcBorders>
            <w:hideMark/>
          </w:tcPr>
          <w:p w14:paraId="754618AA"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0.464430</w:t>
            </w:r>
          </w:p>
        </w:tc>
        <w:tc>
          <w:tcPr>
            <w:tcW w:w="1134" w:type="dxa"/>
            <w:tcBorders>
              <w:top w:val="nil"/>
              <w:left w:val="nil"/>
              <w:bottom w:val="nil"/>
              <w:right w:val="nil"/>
            </w:tcBorders>
            <w:hideMark/>
          </w:tcPr>
          <w:p w14:paraId="1D2D3782"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sz w:val="22"/>
                <w:szCs w:val="22"/>
              </w:rPr>
              <w:t>15.354446</w:t>
            </w:r>
          </w:p>
        </w:tc>
        <w:tc>
          <w:tcPr>
            <w:tcW w:w="1124" w:type="dxa"/>
            <w:tcBorders>
              <w:top w:val="nil"/>
              <w:left w:val="nil"/>
              <w:bottom w:val="nil"/>
              <w:right w:val="nil"/>
            </w:tcBorders>
            <w:hideMark/>
          </w:tcPr>
          <w:p w14:paraId="6AB7328B"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73.221316</w:t>
            </w:r>
          </w:p>
        </w:tc>
        <w:tc>
          <w:tcPr>
            <w:tcW w:w="992" w:type="dxa"/>
            <w:tcBorders>
              <w:top w:val="nil"/>
              <w:left w:val="nil"/>
              <w:bottom w:val="nil"/>
              <w:right w:val="nil"/>
            </w:tcBorders>
            <w:hideMark/>
          </w:tcPr>
          <w:p w14:paraId="111AE0CE"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w:t>
            </w:r>
            <w:r w:rsidRPr="0059588D">
              <w:rPr>
                <w:rFonts w:ascii="Times New Roman" w:hAnsi="Times New Roman" w:cs="Times New Roman"/>
                <w:sz w:val="22"/>
                <w:szCs w:val="22"/>
              </w:rPr>
              <w:t>18.543227</w:t>
            </w:r>
          </w:p>
        </w:tc>
        <w:tc>
          <w:tcPr>
            <w:tcW w:w="992" w:type="dxa"/>
            <w:tcBorders>
              <w:top w:val="nil"/>
              <w:left w:val="nil"/>
              <w:bottom w:val="nil"/>
              <w:right w:val="single" w:sz="12" w:space="0" w:color="auto"/>
            </w:tcBorders>
            <w:hideMark/>
          </w:tcPr>
          <w:p w14:paraId="4F2EFE4D"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w:t>
            </w:r>
            <w:r w:rsidRPr="0059588D">
              <w:rPr>
                <w:rFonts w:ascii="Times New Roman" w:hAnsi="Times New Roman" w:cs="Times New Roman"/>
                <w:sz w:val="22"/>
                <w:szCs w:val="22"/>
              </w:rPr>
              <w:t>0.427843</w:t>
            </w:r>
          </w:p>
        </w:tc>
      </w:tr>
      <w:tr w:rsidR="005522A4" w:rsidRPr="0059588D" w14:paraId="643B5B6A" w14:textId="77777777" w:rsidTr="00163254">
        <w:trPr>
          <w:trHeight w:val="225"/>
        </w:trPr>
        <w:tc>
          <w:tcPr>
            <w:cnfStyle w:val="001000000000" w:firstRow="0" w:lastRow="0" w:firstColumn="1" w:lastColumn="0" w:oddVBand="0" w:evenVBand="0" w:oddHBand="0" w:evenHBand="0" w:firstRowFirstColumn="0" w:firstRowLastColumn="0" w:lastRowFirstColumn="0" w:lastRowLastColumn="0"/>
            <w:tcW w:w="1364" w:type="dxa"/>
            <w:tcBorders>
              <w:top w:val="nil"/>
              <w:left w:val="single" w:sz="12" w:space="0" w:color="auto"/>
              <w:bottom w:val="nil"/>
              <w:right w:val="nil"/>
            </w:tcBorders>
            <w:hideMark/>
          </w:tcPr>
          <w:p w14:paraId="70480C31" w14:textId="77777777" w:rsidR="005522A4" w:rsidRPr="0059588D" w:rsidRDefault="005522A4" w:rsidP="00E65106">
            <w:pPr>
              <w:autoSpaceDE w:val="0"/>
              <w:autoSpaceDN w:val="0"/>
              <w:adjustRightInd w:val="0"/>
              <w:spacing w:line="276" w:lineRule="auto"/>
              <w:ind w:left="23"/>
              <w:jc w:val="both"/>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Minimum</w:t>
            </w:r>
          </w:p>
        </w:tc>
        <w:tc>
          <w:tcPr>
            <w:tcW w:w="991" w:type="dxa"/>
            <w:tcBorders>
              <w:top w:val="nil"/>
              <w:left w:val="nil"/>
              <w:bottom w:val="nil"/>
              <w:right w:val="nil"/>
            </w:tcBorders>
            <w:hideMark/>
          </w:tcPr>
          <w:p w14:paraId="1708979C"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-0.201300</w:t>
            </w:r>
          </w:p>
        </w:tc>
        <w:tc>
          <w:tcPr>
            <w:tcW w:w="1079" w:type="dxa"/>
            <w:tcBorders>
              <w:top w:val="nil"/>
              <w:left w:val="nil"/>
              <w:bottom w:val="nil"/>
              <w:right w:val="nil"/>
            </w:tcBorders>
            <w:hideMark/>
          </w:tcPr>
          <w:p w14:paraId="3FACED0D"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-0.134254</w:t>
            </w:r>
          </w:p>
        </w:tc>
        <w:tc>
          <w:tcPr>
            <w:tcW w:w="992" w:type="dxa"/>
            <w:tcBorders>
              <w:top w:val="nil"/>
              <w:left w:val="nil"/>
              <w:bottom w:val="nil"/>
              <w:right w:val="nil"/>
            </w:tcBorders>
            <w:hideMark/>
          </w:tcPr>
          <w:p w14:paraId="680EDA18"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0.670330</w:t>
            </w:r>
          </w:p>
        </w:tc>
        <w:tc>
          <w:tcPr>
            <w:tcW w:w="993" w:type="dxa"/>
            <w:tcBorders>
              <w:top w:val="nil"/>
              <w:left w:val="nil"/>
              <w:bottom w:val="nil"/>
              <w:right w:val="nil"/>
            </w:tcBorders>
            <w:hideMark/>
          </w:tcPr>
          <w:p w14:paraId="1CD1CAC6"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0.129421</w:t>
            </w:r>
          </w:p>
        </w:tc>
        <w:tc>
          <w:tcPr>
            <w:tcW w:w="1134" w:type="dxa"/>
            <w:tcBorders>
              <w:top w:val="nil"/>
              <w:left w:val="nil"/>
              <w:bottom w:val="nil"/>
              <w:right w:val="nil"/>
            </w:tcBorders>
            <w:hideMark/>
          </w:tcPr>
          <w:p w14:paraId="375CD1AA"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sz w:val="22"/>
                <w:szCs w:val="22"/>
              </w:rPr>
              <w:t>9.796261</w:t>
            </w:r>
          </w:p>
        </w:tc>
        <w:tc>
          <w:tcPr>
            <w:tcW w:w="1124" w:type="dxa"/>
            <w:tcBorders>
              <w:top w:val="nil"/>
              <w:left w:val="nil"/>
              <w:bottom w:val="nil"/>
              <w:right w:val="nil"/>
            </w:tcBorders>
            <w:hideMark/>
          </w:tcPr>
          <w:p w14:paraId="7EE44863"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27.874484</w:t>
            </w:r>
          </w:p>
        </w:tc>
        <w:tc>
          <w:tcPr>
            <w:tcW w:w="992" w:type="dxa"/>
            <w:tcBorders>
              <w:top w:val="nil"/>
              <w:left w:val="nil"/>
              <w:bottom w:val="nil"/>
              <w:right w:val="nil"/>
            </w:tcBorders>
            <w:hideMark/>
          </w:tcPr>
          <w:p w14:paraId="16B9F1CF"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sz w:val="22"/>
                <w:szCs w:val="22"/>
              </w:rPr>
              <w:t>0.231554</w:t>
            </w:r>
          </w:p>
        </w:tc>
        <w:tc>
          <w:tcPr>
            <w:tcW w:w="992" w:type="dxa"/>
            <w:tcBorders>
              <w:top w:val="nil"/>
              <w:left w:val="nil"/>
              <w:bottom w:val="nil"/>
              <w:right w:val="single" w:sz="12" w:space="0" w:color="7F7F7F" w:themeColor="text1" w:themeTint="80"/>
            </w:tcBorders>
            <w:hideMark/>
          </w:tcPr>
          <w:p w14:paraId="767E3EC7"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0.000000</w:t>
            </w:r>
          </w:p>
        </w:tc>
      </w:tr>
      <w:tr w:rsidR="005522A4" w:rsidRPr="0059588D" w14:paraId="62ED4C31" w14:textId="77777777" w:rsidTr="0016325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364" w:type="dxa"/>
            <w:tcBorders>
              <w:top w:val="nil"/>
              <w:left w:val="single" w:sz="12" w:space="0" w:color="auto"/>
              <w:bottom w:val="nil"/>
              <w:right w:val="nil"/>
            </w:tcBorders>
            <w:hideMark/>
          </w:tcPr>
          <w:p w14:paraId="542EECEA" w14:textId="77777777" w:rsidR="005522A4" w:rsidRPr="0059588D" w:rsidRDefault="005522A4" w:rsidP="00E65106">
            <w:pPr>
              <w:autoSpaceDE w:val="0"/>
              <w:autoSpaceDN w:val="0"/>
              <w:adjustRightInd w:val="0"/>
              <w:spacing w:line="276" w:lineRule="auto"/>
              <w:ind w:left="23"/>
              <w:jc w:val="both"/>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Std. Dev.</w:t>
            </w:r>
          </w:p>
        </w:tc>
        <w:tc>
          <w:tcPr>
            <w:tcW w:w="991" w:type="dxa"/>
            <w:tcBorders>
              <w:top w:val="nil"/>
              <w:left w:val="nil"/>
              <w:bottom w:val="nil"/>
              <w:right w:val="nil"/>
            </w:tcBorders>
            <w:hideMark/>
          </w:tcPr>
          <w:p w14:paraId="2743AD11"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0.048177</w:t>
            </w:r>
          </w:p>
        </w:tc>
        <w:tc>
          <w:tcPr>
            <w:tcW w:w="1079" w:type="dxa"/>
            <w:tcBorders>
              <w:top w:val="nil"/>
              <w:left w:val="nil"/>
              <w:bottom w:val="nil"/>
              <w:right w:val="nil"/>
            </w:tcBorders>
            <w:hideMark/>
          </w:tcPr>
          <w:p w14:paraId="6A5339C4"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0.125561</w:t>
            </w:r>
          </w:p>
        </w:tc>
        <w:tc>
          <w:tcPr>
            <w:tcW w:w="992" w:type="dxa"/>
            <w:tcBorders>
              <w:top w:val="nil"/>
              <w:left w:val="nil"/>
              <w:bottom w:val="nil"/>
              <w:right w:val="nil"/>
            </w:tcBorders>
            <w:hideMark/>
          </w:tcPr>
          <w:p w14:paraId="15DC172E"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0.045354</w:t>
            </w:r>
          </w:p>
        </w:tc>
        <w:tc>
          <w:tcPr>
            <w:tcW w:w="993" w:type="dxa"/>
            <w:tcBorders>
              <w:top w:val="nil"/>
              <w:left w:val="nil"/>
              <w:bottom w:val="nil"/>
              <w:right w:val="nil"/>
            </w:tcBorders>
            <w:hideMark/>
          </w:tcPr>
          <w:p w14:paraId="377206AB"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0.149762</w:t>
            </w:r>
          </w:p>
        </w:tc>
        <w:tc>
          <w:tcPr>
            <w:tcW w:w="1134" w:type="dxa"/>
            <w:tcBorders>
              <w:top w:val="nil"/>
              <w:left w:val="nil"/>
              <w:bottom w:val="nil"/>
              <w:right w:val="nil"/>
            </w:tcBorders>
            <w:hideMark/>
          </w:tcPr>
          <w:p w14:paraId="2C76A87C"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w:t>
            </w:r>
            <w:r w:rsidRPr="0059588D">
              <w:rPr>
                <w:rFonts w:ascii="Times New Roman" w:hAnsi="Times New Roman" w:cs="Times New Roman"/>
                <w:sz w:val="22"/>
                <w:szCs w:val="22"/>
              </w:rPr>
              <w:t>0.585217</w:t>
            </w:r>
          </w:p>
        </w:tc>
        <w:tc>
          <w:tcPr>
            <w:tcW w:w="1124" w:type="dxa"/>
            <w:tcBorders>
              <w:top w:val="nil"/>
              <w:left w:val="nil"/>
              <w:bottom w:val="nil"/>
              <w:right w:val="nil"/>
            </w:tcBorders>
            <w:hideMark/>
          </w:tcPr>
          <w:p w14:paraId="5F2A7922"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8.319775</w:t>
            </w:r>
          </w:p>
        </w:tc>
        <w:tc>
          <w:tcPr>
            <w:tcW w:w="992" w:type="dxa"/>
            <w:tcBorders>
              <w:top w:val="nil"/>
              <w:left w:val="nil"/>
              <w:bottom w:val="nil"/>
              <w:right w:val="nil"/>
            </w:tcBorders>
            <w:hideMark/>
          </w:tcPr>
          <w:p w14:paraId="7B75F041"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1.341870</w:t>
            </w:r>
          </w:p>
        </w:tc>
        <w:tc>
          <w:tcPr>
            <w:tcW w:w="992" w:type="dxa"/>
            <w:tcBorders>
              <w:top w:val="nil"/>
              <w:left w:val="nil"/>
              <w:bottom w:val="nil"/>
              <w:right w:val="single" w:sz="12" w:space="0" w:color="auto"/>
            </w:tcBorders>
            <w:hideMark/>
          </w:tcPr>
          <w:p w14:paraId="768EE4D2"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w:t>
            </w:r>
            <w:r w:rsidRPr="0059588D">
              <w:rPr>
                <w:rFonts w:ascii="Times New Roman" w:hAnsi="Times New Roman" w:cs="Times New Roman"/>
                <w:sz w:val="22"/>
                <w:szCs w:val="22"/>
              </w:rPr>
              <w:t>0.194421</w:t>
            </w:r>
          </w:p>
        </w:tc>
      </w:tr>
      <w:tr w:rsidR="005522A4" w:rsidRPr="0059588D" w14:paraId="4E7A2C26" w14:textId="77777777" w:rsidTr="00163254">
        <w:trPr>
          <w:trHeight w:val="225"/>
        </w:trPr>
        <w:tc>
          <w:tcPr>
            <w:cnfStyle w:val="001000000000" w:firstRow="0" w:lastRow="0" w:firstColumn="1" w:lastColumn="0" w:oddVBand="0" w:evenVBand="0" w:oddHBand="0" w:evenHBand="0" w:firstRowFirstColumn="0" w:firstRowLastColumn="0" w:lastRowFirstColumn="0" w:lastRowLastColumn="0"/>
            <w:tcW w:w="1364" w:type="dxa"/>
            <w:tcBorders>
              <w:top w:val="nil"/>
              <w:left w:val="single" w:sz="12" w:space="0" w:color="auto"/>
              <w:bottom w:val="nil"/>
              <w:right w:val="nil"/>
            </w:tcBorders>
            <w:hideMark/>
          </w:tcPr>
          <w:p w14:paraId="4490D00A" w14:textId="77777777" w:rsidR="005522A4" w:rsidRPr="0059588D" w:rsidRDefault="005522A4" w:rsidP="00E65106">
            <w:pPr>
              <w:autoSpaceDE w:val="0"/>
              <w:autoSpaceDN w:val="0"/>
              <w:adjustRightInd w:val="0"/>
              <w:spacing w:line="276" w:lineRule="auto"/>
              <w:ind w:left="23"/>
              <w:jc w:val="both"/>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Skewness</w:t>
            </w:r>
          </w:p>
        </w:tc>
        <w:tc>
          <w:tcPr>
            <w:tcW w:w="991" w:type="dxa"/>
            <w:tcBorders>
              <w:top w:val="nil"/>
              <w:left w:val="nil"/>
              <w:bottom w:val="nil"/>
              <w:right w:val="nil"/>
            </w:tcBorders>
            <w:hideMark/>
          </w:tcPr>
          <w:p w14:paraId="0289DA1E"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-1.198343</w:t>
            </w:r>
          </w:p>
        </w:tc>
        <w:tc>
          <w:tcPr>
            <w:tcW w:w="1079" w:type="dxa"/>
            <w:tcBorders>
              <w:top w:val="nil"/>
              <w:left w:val="nil"/>
              <w:bottom w:val="nil"/>
              <w:right w:val="nil"/>
            </w:tcBorders>
            <w:hideMark/>
          </w:tcPr>
          <w:p w14:paraId="7D815323"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-1.425132</w:t>
            </w:r>
          </w:p>
        </w:tc>
        <w:tc>
          <w:tcPr>
            <w:tcW w:w="992" w:type="dxa"/>
            <w:tcBorders>
              <w:top w:val="nil"/>
              <w:left w:val="nil"/>
              <w:bottom w:val="nil"/>
              <w:right w:val="nil"/>
            </w:tcBorders>
            <w:hideMark/>
          </w:tcPr>
          <w:p w14:paraId="655F664B"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0.672097</w:t>
            </w:r>
          </w:p>
        </w:tc>
        <w:tc>
          <w:tcPr>
            <w:tcW w:w="993" w:type="dxa"/>
            <w:tcBorders>
              <w:top w:val="nil"/>
              <w:left w:val="nil"/>
              <w:bottom w:val="nil"/>
              <w:right w:val="nil"/>
            </w:tcBorders>
            <w:hideMark/>
          </w:tcPr>
          <w:p w14:paraId="17E4307A"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-1.537715</w:t>
            </w:r>
          </w:p>
        </w:tc>
        <w:tc>
          <w:tcPr>
            <w:tcW w:w="1134" w:type="dxa"/>
            <w:tcBorders>
              <w:top w:val="nil"/>
              <w:left w:val="nil"/>
              <w:bottom w:val="nil"/>
              <w:right w:val="nil"/>
            </w:tcBorders>
            <w:hideMark/>
          </w:tcPr>
          <w:p w14:paraId="28247B02"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3.153667</w:t>
            </w:r>
          </w:p>
        </w:tc>
        <w:tc>
          <w:tcPr>
            <w:tcW w:w="1124" w:type="dxa"/>
            <w:tcBorders>
              <w:top w:val="nil"/>
              <w:left w:val="nil"/>
              <w:bottom w:val="nil"/>
              <w:right w:val="nil"/>
            </w:tcBorders>
            <w:hideMark/>
          </w:tcPr>
          <w:p w14:paraId="1A8FC888"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0.298945</w:t>
            </w:r>
          </w:p>
        </w:tc>
        <w:tc>
          <w:tcPr>
            <w:tcW w:w="992" w:type="dxa"/>
            <w:tcBorders>
              <w:top w:val="nil"/>
              <w:left w:val="nil"/>
              <w:bottom w:val="nil"/>
              <w:right w:val="nil"/>
            </w:tcBorders>
            <w:hideMark/>
          </w:tcPr>
          <w:p w14:paraId="190CC3DA"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0.026963</w:t>
            </w:r>
          </w:p>
        </w:tc>
        <w:tc>
          <w:tcPr>
            <w:tcW w:w="992" w:type="dxa"/>
            <w:tcBorders>
              <w:top w:val="nil"/>
              <w:left w:val="nil"/>
              <w:bottom w:val="nil"/>
              <w:right w:val="single" w:sz="12" w:space="0" w:color="7F7F7F" w:themeColor="text1" w:themeTint="80"/>
            </w:tcBorders>
            <w:hideMark/>
          </w:tcPr>
          <w:p w14:paraId="19C24FC0"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0.307215</w:t>
            </w:r>
          </w:p>
        </w:tc>
      </w:tr>
      <w:tr w:rsidR="005522A4" w:rsidRPr="0059588D" w14:paraId="26C3A96F" w14:textId="77777777" w:rsidTr="0016325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364" w:type="dxa"/>
            <w:tcBorders>
              <w:top w:val="nil"/>
              <w:left w:val="single" w:sz="12" w:space="0" w:color="auto"/>
              <w:bottom w:val="nil"/>
              <w:right w:val="nil"/>
            </w:tcBorders>
            <w:hideMark/>
          </w:tcPr>
          <w:p w14:paraId="3FFC9EDF" w14:textId="77777777" w:rsidR="005522A4" w:rsidRPr="0059588D" w:rsidRDefault="005522A4" w:rsidP="00E65106">
            <w:pPr>
              <w:autoSpaceDE w:val="0"/>
              <w:autoSpaceDN w:val="0"/>
              <w:adjustRightInd w:val="0"/>
              <w:spacing w:line="276" w:lineRule="auto"/>
              <w:ind w:left="23"/>
              <w:jc w:val="both"/>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Kurtosis</w:t>
            </w:r>
          </w:p>
        </w:tc>
        <w:tc>
          <w:tcPr>
            <w:tcW w:w="991" w:type="dxa"/>
            <w:tcBorders>
              <w:top w:val="nil"/>
              <w:left w:val="nil"/>
              <w:bottom w:val="nil"/>
              <w:right w:val="nil"/>
            </w:tcBorders>
            <w:hideMark/>
          </w:tcPr>
          <w:p w14:paraId="5967AE85"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8.267382</w:t>
            </w:r>
          </w:p>
        </w:tc>
        <w:tc>
          <w:tcPr>
            <w:tcW w:w="1079" w:type="dxa"/>
            <w:tcBorders>
              <w:top w:val="nil"/>
              <w:left w:val="nil"/>
              <w:bottom w:val="nil"/>
              <w:right w:val="nil"/>
            </w:tcBorders>
            <w:hideMark/>
          </w:tcPr>
          <w:p w14:paraId="799F1887"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5.327765</w:t>
            </w:r>
          </w:p>
        </w:tc>
        <w:tc>
          <w:tcPr>
            <w:tcW w:w="992" w:type="dxa"/>
            <w:tcBorders>
              <w:top w:val="nil"/>
              <w:left w:val="nil"/>
              <w:bottom w:val="nil"/>
              <w:right w:val="nil"/>
            </w:tcBorders>
            <w:hideMark/>
          </w:tcPr>
          <w:p w14:paraId="677CE8AE"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2.149337</w:t>
            </w:r>
          </w:p>
        </w:tc>
        <w:tc>
          <w:tcPr>
            <w:tcW w:w="993" w:type="dxa"/>
            <w:tcBorders>
              <w:top w:val="nil"/>
              <w:left w:val="nil"/>
              <w:bottom w:val="nil"/>
              <w:right w:val="nil"/>
            </w:tcBorders>
            <w:hideMark/>
          </w:tcPr>
          <w:p w14:paraId="3DF73BF2"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4.146588</w:t>
            </w:r>
          </w:p>
        </w:tc>
        <w:tc>
          <w:tcPr>
            <w:tcW w:w="1134" w:type="dxa"/>
            <w:tcBorders>
              <w:top w:val="nil"/>
              <w:left w:val="nil"/>
              <w:bottom w:val="nil"/>
              <w:right w:val="nil"/>
            </w:tcBorders>
            <w:hideMark/>
          </w:tcPr>
          <w:p w14:paraId="50C3797F"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11.22430</w:t>
            </w:r>
          </w:p>
        </w:tc>
        <w:tc>
          <w:tcPr>
            <w:tcW w:w="1124" w:type="dxa"/>
            <w:tcBorders>
              <w:top w:val="nil"/>
              <w:left w:val="nil"/>
              <w:bottom w:val="nil"/>
              <w:right w:val="nil"/>
            </w:tcBorders>
            <w:hideMark/>
          </w:tcPr>
          <w:p w14:paraId="7618DB05"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2.267010</w:t>
            </w:r>
          </w:p>
        </w:tc>
        <w:tc>
          <w:tcPr>
            <w:tcW w:w="992" w:type="dxa"/>
            <w:tcBorders>
              <w:top w:val="nil"/>
              <w:left w:val="nil"/>
              <w:bottom w:val="nil"/>
              <w:right w:val="nil"/>
            </w:tcBorders>
            <w:hideMark/>
          </w:tcPr>
          <w:p w14:paraId="32973F82"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2.965338</w:t>
            </w:r>
          </w:p>
        </w:tc>
        <w:tc>
          <w:tcPr>
            <w:tcW w:w="992" w:type="dxa"/>
            <w:tcBorders>
              <w:top w:val="nil"/>
              <w:left w:val="nil"/>
              <w:bottom w:val="nil"/>
              <w:right w:val="single" w:sz="12" w:space="0" w:color="auto"/>
            </w:tcBorders>
            <w:hideMark/>
          </w:tcPr>
          <w:p w14:paraId="6F6C3F42"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1.385402</w:t>
            </w:r>
          </w:p>
        </w:tc>
      </w:tr>
      <w:tr w:rsidR="005522A4" w:rsidRPr="0059588D" w14:paraId="3B673838" w14:textId="77777777" w:rsidTr="00163254">
        <w:trPr>
          <w:trHeight w:val="225"/>
        </w:trPr>
        <w:tc>
          <w:tcPr>
            <w:cnfStyle w:val="001000000000" w:firstRow="0" w:lastRow="0" w:firstColumn="1" w:lastColumn="0" w:oddVBand="0" w:evenVBand="0" w:oddHBand="0" w:evenHBand="0" w:firstRowFirstColumn="0" w:firstRowLastColumn="0" w:lastRowFirstColumn="0" w:lastRowLastColumn="0"/>
            <w:tcW w:w="1364" w:type="dxa"/>
            <w:tcBorders>
              <w:top w:val="nil"/>
              <w:left w:val="single" w:sz="12" w:space="0" w:color="auto"/>
              <w:bottom w:val="nil"/>
              <w:right w:val="nil"/>
            </w:tcBorders>
            <w:hideMark/>
          </w:tcPr>
          <w:p w14:paraId="3B47D4E0" w14:textId="77777777" w:rsidR="005522A4" w:rsidRPr="0059588D" w:rsidRDefault="005522A4" w:rsidP="00E65106">
            <w:pPr>
              <w:autoSpaceDE w:val="0"/>
              <w:autoSpaceDN w:val="0"/>
              <w:adjustRightInd w:val="0"/>
              <w:spacing w:line="276" w:lineRule="auto"/>
              <w:ind w:left="23"/>
              <w:jc w:val="both"/>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Jarque-</w:t>
            </w:r>
            <w:proofErr w:type="spellStart"/>
            <w:r w:rsidRPr="0059588D">
              <w:rPr>
                <w:rFonts w:ascii="Times New Roman" w:hAnsi="Times New Roman" w:cs="Times New Roman"/>
                <w:color w:val="000000"/>
                <w:sz w:val="22"/>
                <w:szCs w:val="22"/>
                <w:lang w:eastAsia="id-ID"/>
              </w:rPr>
              <w:t>Bera</w:t>
            </w:r>
            <w:proofErr w:type="spellEnd"/>
          </w:p>
        </w:tc>
        <w:tc>
          <w:tcPr>
            <w:tcW w:w="991" w:type="dxa"/>
            <w:tcBorders>
              <w:top w:val="nil"/>
              <w:left w:val="nil"/>
              <w:bottom w:val="nil"/>
              <w:right w:val="nil"/>
            </w:tcBorders>
            <w:hideMark/>
          </w:tcPr>
          <w:p w14:paraId="4DBE6F23"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83.72356</w:t>
            </w:r>
          </w:p>
        </w:tc>
        <w:tc>
          <w:tcPr>
            <w:tcW w:w="1079" w:type="dxa"/>
            <w:tcBorders>
              <w:top w:val="nil"/>
              <w:left w:val="nil"/>
              <w:bottom w:val="nil"/>
              <w:right w:val="nil"/>
            </w:tcBorders>
            <w:hideMark/>
          </w:tcPr>
          <w:p w14:paraId="1DBA82C9"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47.309041</w:t>
            </w:r>
          </w:p>
        </w:tc>
        <w:tc>
          <w:tcPr>
            <w:tcW w:w="992" w:type="dxa"/>
            <w:tcBorders>
              <w:top w:val="nil"/>
              <w:left w:val="nil"/>
              <w:bottom w:val="nil"/>
              <w:right w:val="nil"/>
            </w:tcBorders>
            <w:hideMark/>
          </w:tcPr>
          <w:p w14:paraId="1738102B"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6.326212</w:t>
            </w:r>
          </w:p>
        </w:tc>
        <w:tc>
          <w:tcPr>
            <w:tcW w:w="993" w:type="dxa"/>
            <w:tcBorders>
              <w:top w:val="nil"/>
              <w:left w:val="nil"/>
              <w:bottom w:val="nil"/>
              <w:right w:val="nil"/>
            </w:tcBorders>
            <w:hideMark/>
          </w:tcPr>
          <w:p w14:paraId="5CD10F78"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26.93232</w:t>
            </w:r>
          </w:p>
        </w:tc>
        <w:tc>
          <w:tcPr>
            <w:tcW w:w="1134" w:type="dxa"/>
            <w:tcBorders>
              <w:top w:val="nil"/>
              <w:left w:val="nil"/>
              <w:bottom w:val="nil"/>
              <w:right w:val="nil"/>
            </w:tcBorders>
            <w:hideMark/>
          </w:tcPr>
          <w:p w14:paraId="5B4B643B"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268.5539</w:t>
            </w:r>
          </w:p>
        </w:tc>
        <w:tc>
          <w:tcPr>
            <w:tcW w:w="1124" w:type="dxa"/>
            <w:tcBorders>
              <w:top w:val="nil"/>
              <w:left w:val="nil"/>
              <w:bottom w:val="nil"/>
              <w:right w:val="nil"/>
            </w:tcBorders>
            <w:hideMark/>
          </w:tcPr>
          <w:p w14:paraId="76510C03"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2.236865</w:t>
            </w:r>
          </w:p>
        </w:tc>
        <w:tc>
          <w:tcPr>
            <w:tcW w:w="992" w:type="dxa"/>
            <w:tcBorders>
              <w:top w:val="nil"/>
              <w:left w:val="nil"/>
              <w:bottom w:val="nil"/>
              <w:right w:val="nil"/>
            </w:tcBorders>
            <w:hideMark/>
          </w:tcPr>
          <w:p w14:paraId="1E46D477"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0.010274</w:t>
            </w:r>
          </w:p>
        </w:tc>
        <w:tc>
          <w:tcPr>
            <w:tcW w:w="992" w:type="dxa"/>
            <w:tcBorders>
              <w:top w:val="nil"/>
              <w:left w:val="nil"/>
              <w:bottom w:val="nil"/>
              <w:right w:val="single" w:sz="12" w:space="0" w:color="7F7F7F" w:themeColor="text1" w:themeTint="80"/>
            </w:tcBorders>
            <w:hideMark/>
          </w:tcPr>
          <w:p w14:paraId="1E5198FF"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7.461130</w:t>
            </w:r>
          </w:p>
        </w:tc>
      </w:tr>
      <w:tr w:rsidR="005522A4" w:rsidRPr="0059588D" w14:paraId="6197CFF6" w14:textId="77777777" w:rsidTr="0016325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364" w:type="dxa"/>
            <w:tcBorders>
              <w:top w:val="nil"/>
              <w:left w:val="single" w:sz="12" w:space="0" w:color="auto"/>
              <w:bottom w:val="nil"/>
              <w:right w:val="nil"/>
            </w:tcBorders>
            <w:hideMark/>
          </w:tcPr>
          <w:p w14:paraId="01E47E0F" w14:textId="77777777" w:rsidR="005522A4" w:rsidRPr="0059588D" w:rsidRDefault="005522A4" w:rsidP="00E65106">
            <w:pPr>
              <w:autoSpaceDE w:val="0"/>
              <w:autoSpaceDN w:val="0"/>
              <w:adjustRightInd w:val="0"/>
              <w:spacing w:line="276" w:lineRule="auto"/>
              <w:ind w:left="23"/>
              <w:jc w:val="both"/>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Probability</w:t>
            </w:r>
          </w:p>
        </w:tc>
        <w:tc>
          <w:tcPr>
            <w:tcW w:w="991" w:type="dxa"/>
            <w:tcBorders>
              <w:top w:val="nil"/>
              <w:left w:val="nil"/>
              <w:bottom w:val="nil"/>
              <w:right w:val="nil"/>
            </w:tcBorders>
            <w:hideMark/>
          </w:tcPr>
          <w:p w14:paraId="35C4C464"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0.000000</w:t>
            </w:r>
          </w:p>
        </w:tc>
        <w:tc>
          <w:tcPr>
            <w:tcW w:w="1079" w:type="dxa"/>
            <w:tcBorders>
              <w:top w:val="nil"/>
              <w:left w:val="nil"/>
              <w:bottom w:val="nil"/>
              <w:right w:val="nil"/>
            </w:tcBorders>
            <w:hideMark/>
          </w:tcPr>
          <w:p w14:paraId="58AEF9FC"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0.000000</w:t>
            </w:r>
          </w:p>
        </w:tc>
        <w:tc>
          <w:tcPr>
            <w:tcW w:w="992" w:type="dxa"/>
            <w:tcBorders>
              <w:top w:val="nil"/>
              <w:left w:val="nil"/>
              <w:bottom w:val="nil"/>
              <w:right w:val="nil"/>
            </w:tcBorders>
            <w:hideMark/>
          </w:tcPr>
          <w:p w14:paraId="4BB9183B"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0.042294</w:t>
            </w:r>
          </w:p>
        </w:tc>
        <w:tc>
          <w:tcPr>
            <w:tcW w:w="993" w:type="dxa"/>
            <w:tcBorders>
              <w:top w:val="nil"/>
              <w:left w:val="nil"/>
              <w:bottom w:val="nil"/>
              <w:right w:val="nil"/>
            </w:tcBorders>
            <w:hideMark/>
          </w:tcPr>
          <w:p w14:paraId="16E3678D"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0.000001</w:t>
            </w:r>
          </w:p>
        </w:tc>
        <w:tc>
          <w:tcPr>
            <w:tcW w:w="1134" w:type="dxa"/>
            <w:tcBorders>
              <w:top w:val="nil"/>
              <w:left w:val="nil"/>
              <w:bottom w:val="nil"/>
              <w:right w:val="nil"/>
            </w:tcBorders>
            <w:hideMark/>
          </w:tcPr>
          <w:p w14:paraId="2D085714"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0.000000</w:t>
            </w:r>
          </w:p>
        </w:tc>
        <w:tc>
          <w:tcPr>
            <w:tcW w:w="1124" w:type="dxa"/>
            <w:tcBorders>
              <w:top w:val="nil"/>
              <w:left w:val="nil"/>
              <w:bottom w:val="nil"/>
              <w:right w:val="nil"/>
            </w:tcBorders>
            <w:hideMark/>
          </w:tcPr>
          <w:p w14:paraId="34015F5A"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0.326792</w:t>
            </w:r>
          </w:p>
        </w:tc>
        <w:tc>
          <w:tcPr>
            <w:tcW w:w="992" w:type="dxa"/>
            <w:tcBorders>
              <w:top w:val="nil"/>
              <w:left w:val="nil"/>
              <w:bottom w:val="nil"/>
              <w:right w:val="nil"/>
            </w:tcBorders>
            <w:hideMark/>
          </w:tcPr>
          <w:p w14:paraId="33B3C54E"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0.994876</w:t>
            </w:r>
          </w:p>
        </w:tc>
        <w:tc>
          <w:tcPr>
            <w:tcW w:w="992" w:type="dxa"/>
            <w:tcBorders>
              <w:top w:val="nil"/>
              <w:left w:val="nil"/>
              <w:bottom w:val="nil"/>
              <w:right w:val="single" w:sz="12" w:space="0" w:color="auto"/>
            </w:tcBorders>
            <w:hideMark/>
          </w:tcPr>
          <w:p w14:paraId="12A5115D"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0.023979</w:t>
            </w:r>
          </w:p>
        </w:tc>
      </w:tr>
      <w:tr w:rsidR="005522A4" w:rsidRPr="0059588D" w14:paraId="413427A5" w14:textId="77777777" w:rsidTr="00163254">
        <w:trPr>
          <w:trHeight w:val="225"/>
        </w:trPr>
        <w:tc>
          <w:tcPr>
            <w:cnfStyle w:val="001000000000" w:firstRow="0" w:lastRow="0" w:firstColumn="1" w:lastColumn="0" w:oddVBand="0" w:evenVBand="0" w:oddHBand="0" w:evenHBand="0" w:firstRowFirstColumn="0" w:firstRowLastColumn="0" w:lastRowFirstColumn="0" w:lastRowLastColumn="0"/>
            <w:tcW w:w="1364" w:type="dxa"/>
            <w:tcBorders>
              <w:top w:val="nil"/>
              <w:left w:val="single" w:sz="12" w:space="0" w:color="auto"/>
              <w:bottom w:val="nil"/>
              <w:right w:val="nil"/>
            </w:tcBorders>
            <w:hideMark/>
          </w:tcPr>
          <w:p w14:paraId="1811EC88" w14:textId="77777777" w:rsidR="005522A4" w:rsidRPr="0059588D" w:rsidRDefault="005522A4" w:rsidP="00E65106">
            <w:pPr>
              <w:autoSpaceDE w:val="0"/>
              <w:autoSpaceDN w:val="0"/>
              <w:adjustRightInd w:val="0"/>
              <w:spacing w:line="276" w:lineRule="auto"/>
              <w:ind w:left="23"/>
              <w:jc w:val="both"/>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Sum</w:t>
            </w:r>
          </w:p>
        </w:tc>
        <w:tc>
          <w:tcPr>
            <w:tcW w:w="991" w:type="dxa"/>
            <w:tcBorders>
              <w:top w:val="nil"/>
              <w:left w:val="nil"/>
              <w:bottom w:val="nil"/>
              <w:right w:val="nil"/>
            </w:tcBorders>
            <w:hideMark/>
          </w:tcPr>
          <w:p w14:paraId="02ABE0EC"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0.257900</w:t>
            </w:r>
          </w:p>
        </w:tc>
        <w:tc>
          <w:tcPr>
            <w:tcW w:w="1079" w:type="dxa"/>
            <w:tcBorders>
              <w:top w:val="nil"/>
              <w:left w:val="nil"/>
              <w:bottom w:val="nil"/>
              <w:right w:val="nil"/>
            </w:tcBorders>
            <w:hideMark/>
          </w:tcPr>
          <w:p w14:paraId="16E0641A"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0.271640</w:t>
            </w:r>
          </w:p>
        </w:tc>
        <w:tc>
          <w:tcPr>
            <w:tcW w:w="992" w:type="dxa"/>
            <w:tcBorders>
              <w:top w:val="nil"/>
              <w:left w:val="nil"/>
              <w:bottom w:val="nil"/>
              <w:right w:val="nil"/>
            </w:tcBorders>
            <w:hideMark/>
          </w:tcPr>
          <w:p w14:paraId="396CECED"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44.38462</w:t>
            </w:r>
          </w:p>
        </w:tc>
        <w:tc>
          <w:tcPr>
            <w:tcW w:w="993" w:type="dxa"/>
            <w:tcBorders>
              <w:top w:val="nil"/>
              <w:left w:val="nil"/>
              <w:bottom w:val="nil"/>
              <w:right w:val="nil"/>
            </w:tcBorders>
            <w:hideMark/>
          </w:tcPr>
          <w:p w14:paraId="22CA0269"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58.19641</w:t>
            </w:r>
          </w:p>
        </w:tc>
        <w:tc>
          <w:tcPr>
            <w:tcW w:w="1134" w:type="dxa"/>
            <w:tcBorders>
              <w:top w:val="nil"/>
              <w:left w:val="nil"/>
              <w:bottom w:val="nil"/>
              <w:right w:val="nil"/>
            </w:tcBorders>
            <w:hideMark/>
          </w:tcPr>
          <w:p w14:paraId="3ACB4678"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0.073400</w:t>
            </w:r>
          </w:p>
        </w:tc>
        <w:tc>
          <w:tcPr>
            <w:tcW w:w="1124" w:type="dxa"/>
            <w:tcBorders>
              <w:top w:val="nil"/>
              <w:left w:val="nil"/>
              <w:bottom w:val="nil"/>
              <w:right w:val="nil"/>
            </w:tcBorders>
            <w:hideMark/>
          </w:tcPr>
          <w:p w14:paraId="235B38A5"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1806.039</w:t>
            </w:r>
          </w:p>
        </w:tc>
        <w:tc>
          <w:tcPr>
            <w:tcW w:w="992" w:type="dxa"/>
            <w:tcBorders>
              <w:top w:val="nil"/>
              <w:left w:val="nil"/>
              <w:bottom w:val="nil"/>
              <w:right w:val="nil"/>
            </w:tcBorders>
            <w:hideMark/>
          </w:tcPr>
          <w:p w14:paraId="7D98DD9E"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162.1300</w:t>
            </w:r>
          </w:p>
        </w:tc>
        <w:tc>
          <w:tcPr>
            <w:tcW w:w="992" w:type="dxa"/>
            <w:tcBorders>
              <w:top w:val="nil"/>
              <w:left w:val="nil"/>
              <w:bottom w:val="nil"/>
              <w:right w:val="single" w:sz="12" w:space="0" w:color="7F7F7F" w:themeColor="text1" w:themeTint="80"/>
            </w:tcBorders>
            <w:hideMark/>
          </w:tcPr>
          <w:p w14:paraId="6C7AE1C5" w14:textId="77777777" w:rsidR="005522A4" w:rsidRPr="0059588D" w:rsidRDefault="005522A4" w:rsidP="00E65106">
            <w:pPr>
              <w:autoSpaceDE w:val="0"/>
              <w:autoSpaceDN w:val="0"/>
              <w:adjustRightInd w:val="0"/>
              <w:spacing w:line="276" w:lineRule="auto"/>
              <w:ind w:left="-1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48.32143</w:t>
            </w:r>
          </w:p>
        </w:tc>
      </w:tr>
      <w:tr w:rsidR="005522A4" w:rsidRPr="0059588D" w14:paraId="747822C6" w14:textId="77777777" w:rsidTr="0016325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364" w:type="dxa"/>
            <w:tcBorders>
              <w:top w:val="nil"/>
              <w:left w:val="single" w:sz="12" w:space="0" w:color="auto"/>
              <w:bottom w:val="nil"/>
              <w:right w:val="nil"/>
            </w:tcBorders>
            <w:hideMark/>
          </w:tcPr>
          <w:p w14:paraId="08E1C022" w14:textId="77777777" w:rsidR="005522A4" w:rsidRPr="0059588D" w:rsidRDefault="005522A4" w:rsidP="00E65106">
            <w:pPr>
              <w:autoSpaceDE w:val="0"/>
              <w:autoSpaceDN w:val="0"/>
              <w:adjustRightInd w:val="0"/>
              <w:spacing w:line="276" w:lineRule="auto"/>
              <w:ind w:left="23"/>
              <w:jc w:val="both"/>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xml:space="preserve">Sum </w:t>
            </w:r>
            <w:proofErr w:type="spellStart"/>
            <w:r w:rsidRPr="0059588D">
              <w:rPr>
                <w:rFonts w:ascii="Times New Roman" w:hAnsi="Times New Roman" w:cs="Times New Roman"/>
                <w:color w:val="000000"/>
                <w:sz w:val="22"/>
                <w:szCs w:val="22"/>
                <w:lang w:eastAsia="id-ID"/>
              </w:rPr>
              <w:t>Sq.Dev</w:t>
            </w:r>
            <w:proofErr w:type="spellEnd"/>
            <w:r w:rsidRPr="0059588D">
              <w:rPr>
                <w:rFonts w:ascii="Times New Roman" w:hAnsi="Times New Roman" w:cs="Times New Roman"/>
                <w:color w:val="000000"/>
                <w:sz w:val="22"/>
                <w:szCs w:val="22"/>
                <w:lang w:eastAsia="id-ID"/>
              </w:rPr>
              <w:t>.</w:t>
            </w:r>
          </w:p>
        </w:tc>
        <w:tc>
          <w:tcPr>
            <w:tcW w:w="991" w:type="dxa"/>
            <w:tcBorders>
              <w:top w:val="nil"/>
              <w:left w:val="nil"/>
              <w:bottom w:val="nil"/>
              <w:right w:val="nil"/>
            </w:tcBorders>
            <w:hideMark/>
          </w:tcPr>
          <w:p w14:paraId="57948E00"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0.136938</w:t>
            </w:r>
          </w:p>
        </w:tc>
        <w:tc>
          <w:tcPr>
            <w:tcW w:w="1079" w:type="dxa"/>
            <w:tcBorders>
              <w:top w:val="nil"/>
              <w:left w:val="nil"/>
              <w:bottom w:val="nil"/>
              <w:right w:val="nil"/>
            </w:tcBorders>
            <w:hideMark/>
          </w:tcPr>
          <w:p w14:paraId="791871EF"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0.212647</w:t>
            </w:r>
          </w:p>
        </w:tc>
        <w:tc>
          <w:tcPr>
            <w:tcW w:w="992" w:type="dxa"/>
            <w:tcBorders>
              <w:top w:val="nil"/>
              <w:left w:val="nil"/>
              <w:bottom w:val="nil"/>
              <w:right w:val="nil"/>
            </w:tcBorders>
            <w:hideMark/>
          </w:tcPr>
          <w:p w14:paraId="39D7D928"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0.121360</w:t>
            </w:r>
          </w:p>
        </w:tc>
        <w:tc>
          <w:tcPr>
            <w:tcW w:w="993" w:type="dxa"/>
            <w:tcBorders>
              <w:top w:val="nil"/>
              <w:left w:val="nil"/>
              <w:bottom w:val="nil"/>
              <w:right w:val="nil"/>
            </w:tcBorders>
            <w:hideMark/>
          </w:tcPr>
          <w:p w14:paraId="28B2ACC6"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0.146100</w:t>
            </w:r>
          </w:p>
        </w:tc>
        <w:tc>
          <w:tcPr>
            <w:tcW w:w="1134" w:type="dxa"/>
            <w:tcBorders>
              <w:top w:val="nil"/>
              <w:left w:val="nil"/>
              <w:bottom w:val="nil"/>
              <w:right w:val="nil"/>
            </w:tcBorders>
            <w:hideMark/>
          </w:tcPr>
          <w:p w14:paraId="699AE837"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0.001015</w:t>
            </w:r>
          </w:p>
        </w:tc>
        <w:tc>
          <w:tcPr>
            <w:tcW w:w="1124" w:type="dxa"/>
            <w:tcBorders>
              <w:top w:val="nil"/>
              <w:left w:val="nil"/>
              <w:bottom w:val="nil"/>
              <w:right w:val="nil"/>
            </w:tcBorders>
            <w:hideMark/>
          </w:tcPr>
          <w:p w14:paraId="76CB8056"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102.7665</w:t>
            </w:r>
          </w:p>
        </w:tc>
        <w:tc>
          <w:tcPr>
            <w:tcW w:w="992" w:type="dxa"/>
            <w:tcBorders>
              <w:top w:val="nil"/>
              <w:left w:val="nil"/>
              <w:bottom w:val="nil"/>
              <w:right w:val="nil"/>
            </w:tcBorders>
            <w:hideMark/>
          </w:tcPr>
          <w:p w14:paraId="780754D5"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106.2362</w:t>
            </w:r>
          </w:p>
        </w:tc>
        <w:tc>
          <w:tcPr>
            <w:tcW w:w="992" w:type="dxa"/>
            <w:tcBorders>
              <w:top w:val="nil"/>
              <w:left w:val="nil"/>
              <w:bottom w:val="nil"/>
              <w:right w:val="single" w:sz="12" w:space="0" w:color="auto"/>
            </w:tcBorders>
            <w:hideMark/>
          </w:tcPr>
          <w:p w14:paraId="4C4E574E" w14:textId="77777777" w:rsidR="005522A4" w:rsidRPr="0059588D" w:rsidRDefault="005522A4" w:rsidP="00E65106">
            <w:pPr>
              <w:autoSpaceDE w:val="0"/>
              <w:autoSpaceDN w:val="0"/>
              <w:adjustRightInd w:val="0"/>
              <w:spacing w:line="276" w:lineRule="auto"/>
              <w:ind w:left="-1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1.019579</w:t>
            </w:r>
          </w:p>
        </w:tc>
      </w:tr>
      <w:tr w:rsidR="005522A4" w:rsidRPr="0059588D" w14:paraId="36F878A6" w14:textId="77777777" w:rsidTr="00163254">
        <w:trPr>
          <w:trHeight w:val="225"/>
        </w:trPr>
        <w:tc>
          <w:tcPr>
            <w:cnfStyle w:val="001000000000" w:firstRow="0" w:lastRow="0" w:firstColumn="1" w:lastColumn="0" w:oddVBand="0" w:evenVBand="0" w:oddHBand="0" w:evenHBand="0" w:firstRowFirstColumn="0" w:firstRowLastColumn="0" w:lastRowFirstColumn="0" w:lastRowLastColumn="0"/>
            <w:tcW w:w="1364" w:type="dxa"/>
            <w:tcBorders>
              <w:top w:val="nil"/>
              <w:left w:val="single" w:sz="12" w:space="0" w:color="auto"/>
              <w:bottom w:val="single" w:sz="4" w:space="0" w:color="auto"/>
              <w:right w:val="nil"/>
            </w:tcBorders>
            <w:hideMark/>
          </w:tcPr>
          <w:p w14:paraId="3FDB0529" w14:textId="77777777" w:rsidR="005522A4" w:rsidRPr="0059588D" w:rsidRDefault="005522A4" w:rsidP="00E65106">
            <w:pPr>
              <w:autoSpaceDE w:val="0"/>
              <w:autoSpaceDN w:val="0"/>
              <w:adjustRightInd w:val="0"/>
              <w:spacing w:line="276" w:lineRule="auto"/>
              <w:ind w:left="23"/>
              <w:jc w:val="both"/>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Observations</w:t>
            </w:r>
          </w:p>
        </w:tc>
        <w:tc>
          <w:tcPr>
            <w:tcW w:w="991" w:type="dxa"/>
            <w:tcBorders>
              <w:top w:val="nil"/>
              <w:left w:val="nil"/>
              <w:bottom w:val="single" w:sz="4" w:space="0" w:color="auto"/>
              <w:right w:val="nil"/>
            </w:tcBorders>
            <w:hideMark/>
          </w:tcPr>
          <w:p w14:paraId="5061B9DB" w14:textId="77777777" w:rsidR="005522A4" w:rsidRPr="0059588D" w:rsidRDefault="005522A4" w:rsidP="00E65106">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id-ID"/>
              </w:rPr>
            </w:pPr>
            <w:r w:rsidRPr="0059588D">
              <w:rPr>
                <w:rFonts w:ascii="Times New Roman" w:hAnsi="Times New Roman" w:cs="Times New Roman"/>
                <w:color w:val="000000"/>
                <w:sz w:val="22"/>
                <w:szCs w:val="22"/>
                <w:lang w:eastAsia="id-ID"/>
              </w:rPr>
              <w:t> 320</w:t>
            </w:r>
          </w:p>
        </w:tc>
        <w:tc>
          <w:tcPr>
            <w:tcW w:w="1079" w:type="dxa"/>
            <w:tcBorders>
              <w:top w:val="nil"/>
              <w:left w:val="nil"/>
              <w:bottom w:val="single" w:sz="4" w:space="0" w:color="auto"/>
              <w:right w:val="nil"/>
            </w:tcBorders>
            <w:hideMark/>
          </w:tcPr>
          <w:p w14:paraId="5023D6BB" w14:textId="77777777" w:rsidR="005522A4" w:rsidRPr="0059588D" w:rsidRDefault="005522A4" w:rsidP="00E65106">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9588D">
              <w:rPr>
                <w:rFonts w:ascii="Times New Roman" w:hAnsi="Times New Roman" w:cs="Times New Roman"/>
                <w:color w:val="000000"/>
                <w:sz w:val="22"/>
                <w:szCs w:val="22"/>
                <w:lang w:eastAsia="id-ID"/>
              </w:rPr>
              <w:t>320</w:t>
            </w:r>
          </w:p>
        </w:tc>
        <w:tc>
          <w:tcPr>
            <w:tcW w:w="992" w:type="dxa"/>
            <w:tcBorders>
              <w:top w:val="nil"/>
              <w:left w:val="nil"/>
              <w:bottom w:val="single" w:sz="4" w:space="0" w:color="auto"/>
              <w:right w:val="nil"/>
            </w:tcBorders>
            <w:hideMark/>
          </w:tcPr>
          <w:p w14:paraId="09F1AB6A" w14:textId="77777777" w:rsidR="005522A4" w:rsidRPr="0059588D" w:rsidRDefault="005522A4" w:rsidP="00E65106">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9588D">
              <w:rPr>
                <w:rFonts w:ascii="Times New Roman" w:hAnsi="Times New Roman" w:cs="Times New Roman"/>
                <w:color w:val="000000"/>
                <w:sz w:val="22"/>
                <w:szCs w:val="22"/>
                <w:lang w:eastAsia="id-ID"/>
              </w:rPr>
              <w:t>320</w:t>
            </w:r>
          </w:p>
        </w:tc>
        <w:tc>
          <w:tcPr>
            <w:tcW w:w="993" w:type="dxa"/>
            <w:tcBorders>
              <w:top w:val="nil"/>
              <w:left w:val="nil"/>
              <w:bottom w:val="single" w:sz="4" w:space="0" w:color="auto"/>
              <w:right w:val="nil"/>
            </w:tcBorders>
            <w:hideMark/>
          </w:tcPr>
          <w:p w14:paraId="1749AF11" w14:textId="77777777" w:rsidR="005522A4" w:rsidRPr="0059588D" w:rsidRDefault="005522A4" w:rsidP="00E65106">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9588D">
              <w:rPr>
                <w:rFonts w:ascii="Times New Roman" w:hAnsi="Times New Roman" w:cs="Times New Roman"/>
                <w:color w:val="000000"/>
                <w:sz w:val="22"/>
                <w:szCs w:val="22"/>
                <w:lang w:eastAsia="id-ID"/>
              </w:rPr>
              <w:t>320</w:t>
            </w:r>
          </w:p>
        </w:tc>
        <w:tc>
          <w:tcPr>
            <w:tcW w:w="1134" w:type="dxa"/>
            <w:tcBorders>
              <w:top w:val="nil"/>
              <w:left w:val="nil"/>
              <w:bottom w:val="single" w:sz="4" w:space="0" w:color="auto"/>
              <w:right w:val="nil"/>
            </w:tcBorders>
            <w:hideMark/>
          </w:tcPr>
          <w:p w14:paraId="00CDE371" w14:textId="77777777" w:rsidR="005522A4" w:rsidRPr="0059588D" w:rsidRDefault="005522A4" w:rsidP="00E65106">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9588D">
              <w:rPr>
                <w:rFonts w:ascii="Times New Roman" w:hAnsi="Times New Roman" w:cs="Times New Roman"/>
                <w:color w:val="000000"/>
                <w:sz w:val="22"/>
                <w:szCs w:val="22"/>
                <w:lang w:eastAsia="id-ID"/>
              </w:rPr>
              <w:t>320</w:t>
            </w:r>
          </w:p>
        </w:tc>
        <w:tc>
          <w:tcPr>
            <w:tcW w:w="1124" w:type="dxa"/>
            <w:tcBorders>
              <w:top w:val="nil"/>
              <w:left w:val="nil"/>
              <w:bottom w:val="single" w:sz="4" w:space="0" w:color="auto"/>
              <w:right w:val="nil"/>
            </w:tcBorders>
            <w:hideMark/>
          </w:tcPr>
          <w:p w14:paraId="759B055E" w14:textId="77777777" w:rsidR="005522A4" w:rsidRPr="0059588D" w:rsidRDefault="005522A4" w:rsidP="00E65106">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9588D">
              <w:rPr>
                <w:rFonts w:ascii="Times New Roman" w:hAnsi="Times New Roman" w:cs="Times New Roman"/>
                <w:color w:val="000000"/>
                <w:sz w:val="22"/>
                <w:szCs w:val="22"/>
                <w:lang w:eastAsia="id-ID"/>
              </w:rPr>
              <w:t>320</w:t>
            </w:r>
          </w:p>
        </w:tc>
        <w:tc>
          <w:tcPr>
            <w:tcW w:w="992" w:type="dxa"/>
            <w:tcBorders>
              <w:top w:val="nil"/>
              <w:left w:val="nil"/>
              <w:bottom w:val="single" w:sz="4" w:space="0" w:color="auto"/>
              <w:right w:val="nil"/>
            </w:tcBorders>
            <w:hideMark/>
          </w:tcPr>
          <w:p w14:paraId="5729E481" w14:textId="77777777" w:rsidR="005522A4" w:rsidRPr="0059588D" w:rsidRDefault="005522A4" w:rsidP="00E65106">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9588D">
              <w:rPr>
                <w:rFonts w:ascii="Times New Roman" w:hAnsi="Times New Roman" w:cs="Times New Roman"/>
                <w:color w:val="000000"/>
                <w:sz w:val="22"/>
                <w:szCs w:val="22"/>
                <w:lang w:eastAsia="id-ID"/>
              </w:rPr>
              <w:t>320</w:t>
            </w:r>
          </w:p>
        </w:tc>
        <w:tc>
          <w:tcPr>
            <w:tcW w:w="992" w:type="dxa"/>
            <w:tcBorders>
              <w:top w:val="nil"/>
              <w:left w:val="nil"/>
              <w:bottom w:val="single" w:sz="4" w:space="0" w:color="auto"/>
              <w:right w:val="single" w:sz="12" w:space="0" w:color="auto"/>
            </w:tcBorders>
            <w:hideMark/>
          </w:tcPr>
          <w:p w14:paraId="7D3009E4" w14:textId="77777777" w:rsidR="005522A4" w:rsidRPr="0059588D" w:rsidRDefault="005522A4" w:rsidP="00E65106">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9588D">
              <w:rPr>
                <w:rFonts w:ascii="Times New Roman" w:hAnsi="Times New Roman" w:cs="Times New Roman"/>
                <w:color w:val="000000"/>
                <w:sz w:val="22"/>
                <w:szCs w:val="22"/>
                <w:lang w:eastAsia="id-ID"/>
              </w:rPr>
              <w:t>320</w:t>
            </w:r>
          </w:p>
        </w:tc>
      </w:tr>
    </w:tbl>
    <w:p w14:paraId="4DC40222" w14:textId="77777777" w:rsidR="00C8751C" w:rsidRDefault="00C8751C" w:rsidP="00C8751C"/>
    <w:p w14:paraId="1B05E016" w14:textId="4A4B99DF" w:rsidR="00C8751C" w:rsidRDefault="005522A4" w:rsidP="005522A4">
      <w:r w:rsidRPr="005522A4">
        <w:t>From Table 4.1, the results of descriptive statistical testing show the minimum, maximum, average (mean), and standard deviation values for each variable. It is known that the smallest value (minimum) of bank risk is -0.201300, meaning that the lowest return vulnerability is -0.201% of the bank's total investment. The largest value (maximum) of 0.113 means that the bank's largest return vulnerability amounts to 1.13% of the bank's total assets. The average value (mean) for the bank risk variable obtained a mean value of 0.0042 with positive results indicates that banks have good portfolio risk. This shows the level of bank risk to generate profits in managing funds invested in overall assets, so the higher the bank's risk level is usually also followed by large profits. The magnitude of the standard deviation of 0.0481 which is greater than the average value, explains the magnitude of the deviation of the bank's ability to generate profits from the average bank risk generated.</w:t>
      </w:r>
    </w:p>
    <w:p w14:paraId="578B0741" w14:textId="5A84869C" w:rsidR="005522A4" w:rsidRDefault="005522A4" w:rsidP="005522A4">
      <w:r>
        <w:t>Data Model Selection Results</w:t>
      </w:r>
    </w:p>
    <w:p w14:paraId="0BA22B26" w14:textId="2DE8BBAA" w:rsidR="005522A4" w:rsidRDefault="005522A4" w:rsidP="005522A4">
      <w:r>
        <w:t>Chow Test</w:t>
      </w:r>
    </w:p>
    <w:p w14:paraId="47EB694D" w14:textId="0AA7C06D" w:rsidR="005522A4" w:rsidRDefault="005522A4" w:rsidP="005522A4">
      <w:r>
        <w:t xml:space="preserve">If in panel data analysis there are three models offered, which </w:t>
      </w:r>
      <w:r w:rsidR="00515CCE">
        <w:t>are</w:t>
      </w:r>
      <w:r>
        <w:t xml:space="preserve"> Ordinary Least Square (Common Effect), fixed effect model, and random effect model. From the test results with the Chow Test in Table 4.2, it can be seen that the Cross-Section </w:t>
      </w:r>
      <w:proofErr w:type="spellStart"/>
      <w:r>
        <w:t>F</w:t>
      </w:r>
      <w:proofErr w:type="spellEnd"/>
      <w:r>
        <w:t xml:space="preserve"> probability value is 0.0000 (&lt;0.05), meaning that H0 is rejected. Thus, Ha is accepted, Ha in the Chow Test is the Fixed Effect Model, so according to the Chow Test, the right model for this panel data test is the Fixed Effect Model.</w:t>
      </w:r>
    </w:p>
    <w:tbl>
      <w:tblPr>
        <w:tblW w:w="7515" w:type="dxa"/>
        <w:tblInd w:w="709" w:type="dxa"/>
        <w:tblLayout w:type="fixed"/>
        <w:tblCellMar>
          <w:left w:w="0" w:type="dxa"/>
          <w:right w:w="0" w:type="dxa"/>
        </w:tblCellMar>
        <w:tblLook w:val="04A0" w:firstRow="1" w:lastRow="0" w:firstColumn="1" w:lastColumn="0" w:noHBand="0" w:noVBand="1"/>
      </w:tblPr>
      <w:tblGrid>
        <w:gridCol w:w="2019"/>
        <w:gridCol w:w="1103"/>
        <w:gridCol w:w="1207"/>
        <w:gridCol w:w="1313"/>
        <w:gridCol w:w="1873"/>
      </w:tblGrid>
      <w:tr w:rsidR="005522A4" w:rsidRPr="0059588D" w14:paraId="0A2D8CA8" w14:textId="77777777" w:rsidTr="00E65106">
        <w:trPr>
          <w:trHeight w:val="225"/>
        </w:trPr>
        <w:tc>
          <w:tcPr>
            <w:tcW w:w="4329" w:type="dxa"/>
            <w:gridSpan w:val="3"/>
            <w:vAlign w:val="bottom"/>
            <w:hideMark/>
          </w:tcPr>
          <w:p w14:paraId="0D4111EB"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Redundant Fixed Effects Tests</w:t>
            </w:r>
          </w:p>
        </w:tc>
        <w:tc>
          <w:tcPr>
            <w:tcW w:w="1313" w:type="dxa"/>
            <w:vAlign w:val="bottom"/>
          </w:tcPr>
          <w:p w14:paraId="145928B5"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873" w:type="dxa"/>
            <w:vAlign w:val="bottom"/>
          </w:tcPr>
          <w:p w14:paraId="3B7B7468"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08E08F32" w14:textId="77777777" w:rsidTr="00E65106">
        <w:trPr>
          <w:trHeight w:val="225"/>
        </w:trPr>
        <w:tc>
          <w:tcPr>
            <w:tcW w:w="4329" w:type="dxa"/>
            <w:gridSpan w:val="3"/>
            <w:vAlign w:val="bottom"/>
            <w:hideMark/>
          </w:tcPr>
          <w:p w14:paraId="1079B877"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Equation: Untitled</w:t>
            </w:r>
          </w:p>
        </w:tc>
        <w:tc>
          <w:tcPr>
            <w:tcW w:w="1313" w:type="dxa"/>
            <w:vAlign w:val="bottom"/>
          </w:tcPr>
          <w:p w14:paraId="28A65FE2"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873" w:type="dxa"/>
            <w:vAlign w:val="bottom"/>
          </w:tcPr>
          <w:p w14:paraId="11B932DA"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4209889A" w14:textId="77777777" w:rsidTr="00E65106">
        <w:trPr>
          <w:trHeight w:val="225"/>
        </w:trPr>
        <w:tc>
          <w:tcPr>
            <w:tcW w:w="5642" w:type="dxa"/>
            <w:gridSpan w:val="4"/>
            <w:vAlign w:val="bottom"/>
            <w:hideMark/>
          </w:tcPr>
          <w:p w14:paraId="29E214E8"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Test cross-section fixed effects</w:t>
            </w:r>
          </w:p>
        </w:tc>
        <w:tc>
          <w:tcPr>
            <w:tcW w:w="1873" w:type="dxa"/>
            <w:vAlign w:val="bottom"/>
          </w:tcPr>
          <w:p w14:paraId="6148D468"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6F6EAA74" w14:textId="77777777" w:rsidTr="00E65106">
        <w:trPr>
          <w:trHeight w:hRule="exact" w:val="90"/>
        </w:trPr>
        <w:tc>
          <w:tcPr>
            <w:tcW w:w="2019" w:type="dxa"/>
            <w:tcBorders>
              <w:top w:val="nil"/>
              <w:left w:val="nil"/>
              <w:bottom w:val="double" w:sz="6" w:space="0" w:color="auto"/>
              <w:right w:val="nil"/>
            </w:tcBorders>
            <w:vAlign w:val="bottom"/>
          </w:tcPr>
          <w:p w14:paraId="02CA483A"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tcBorders>
              <w:top w:val="nil"/>
              <w:left w:val="nil"/>
              <w:bottom w:val="double" w:sz="6" w:space="0" w:color="auto"/>
              <w:right w:val="nil"/>
            </w:tcBorders>
            <w:vAlign w:val="bottom"/>
          </w:tcPr>
          <w:p w14:paraId="2541891A"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tcBorders>
              <w:top w:val="nil"/>
              <w:left w:val="nil"/>
              <w:bottom w:val="double" w:sz="6" w:space="0" w:color="auto"/>
              <w:right w:val="nil"/>
            </w:tcBorders>
            <w:vAlign w:val="bottom"/>
          </w:tcPr>
          <w:p w14:paraId="5E356E7B"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313" w:type="dxa"/>
            <w:tcBorders>
              <w:top w:val="nil"/>
              <w:left w:val="nil"/>
              <w:bottom w:val="double" w:sz="6" w:space="0" w:color="auto"/>
              <w:right w:val="nil"/>
            </w:tcBorders>
            <w:vAlign w:val="bottom"/>
          </w:tcPr>
          <w:p w14:paraId="42DC52D4"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873" w:type="dxa"/>
            <w:tcBorders>
              <w:top w:val="nil"/>
              <w:left w:val="nil"/>
              <w:bottom w:val="double" w:sz="6" w:space="0" w:color="auto"/>
              <w:right w:val="nil"/>
            </w:tcBorders>
            <w:vAlign w:val="bottom"/>
          </w:tcPr>
          <w:p w14:paraId="1962694F"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736A150F" w14:textId="77777777" w:rsidTr="00E65106">
        <w:trPr>
          <w:trHeight w:hRule="exact" w:val="135"/>
        </w:trPr>
        <w:tc>
          <w:tcPr>
            <w:tcW w:w="2019" w:type="dxa"/>
            <w:vAlign w:val="bottom"/>
          </w:tcPr>
          <w:p w14:paraId="038E0B2C"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vAlign w:val="bottom"/>
          </w:tcPr>
          <w:p w14:paraId="7B4F412A"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vAlign w:val="bottom"/>
          </w:tcPr>
          <w:p w14:paraId="2A83F294"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313" w:type="dxa"/>
            <w:vAlign w:val="bottom"/>
          </w:tcPr>
          <w:p w14:paraId="22FDD73B"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873" w:type="dxa"/>
            <w:vAlign w:val="bottom"/>
          </w:tcPr>
          <w:p w14:paraId="7F36C680"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0B3336C3" w14:textId="77777777" w:rsidTr="00E65106">
        <w:trPr>
          <w:trHeight w:val="225"/>
        </w:trPr>
        <w:tc>
          <w:tcPr>
            <w:tcW w:w="3122" w:type="dxa"/>
            <w:gridSpan w:val="2"/>
            <w:vAlign w:val="bottom"/>
            <w:hideMark/>
          </w:tcPr>
          <w:p w14:paraId="47B6C454"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Effects Test</w:t>
            </w:r>
          </w:p>
        </w:tc>
        <w:tc>
          <w:tcPr>
            <w:tcW w:w="1207" w:type="dxa"/>
            <w:vAlign w:val="bottom"/>
            <w:hideMark/>
          </w:tcPr>
          <w:p w14:paraId="4996A94D"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Statistic  </w:t>
            </w:r>
          </w:p>
        </w:tc>
        <w:tc>
          <w:tcPr>
            <w:tcW w:w="1313" w:type="dxa"/>
            <w:vAlign w:val="bottom"/>
            <w:hideMark/>
          </w:tcPr>
          <w:p w14:paraId="33E9C032"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proofErr w:type="spellStart"/>
            <w:r w:rsidRPr="0059588D">
              <w:rPr>
                <w:rFonts w:ascii="Times New Roman" w:hAnsi="Times New Roman" w:cs="Times New Roman"/>
                <w:color w:val="000000"/>
                <w:lang w:eastAsia="id-ID"/>
              </w:rPr>
              <w:t>d.f.</w:t>
            </w:r>
            <w:proofErr w:type="spellEnd"/>
            <w:r w:rsidRPr="0059588D">
              <w:rPr>
                <w:rFonts w:ascii="Times New Roman" w:hAnsi="Times New Roman" w:cs="Times New Roman"/>
                <w:color w:val="000000"/>
                <w:lang w:eastAsia="id-ID"/>
              </w:rPr>
              <w:t> </w:t>
            </w:r>
          </w:p>
        </w:tc>
        <w:tc>
          <w:tcPr>
            <w:tcW w:w="1873" w:type="dxa"/>
            <w:vAlign w:val="bottom"/>
            <w:hideMark/>
          </w:tcPr>
          <w:p w14:paraId="297F141C"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Prob. </w:t>
            </w:r>
          </w:p>
        </w:tc>
      </w:tr>
      <w:tr w:rsidR="005522A4" w:rsidRPr="0059588D" w14:paraId="6416548F" w14:textId="77777777" w:rsidTr="00E65106">
        <w:trPr>
          <w:trHeight w:hRule="exact" w:val="90"/>
        </w:trPr>
        <w:tc>
          <w:tcPr>
            <w:tcW w:w="2019" w:type="dxa"/>
            <w:tcBorders>
              <w:top w:val="nil"/>
              <w:left w:val="nil"/>
              <w:bottom w:val="double" w:sz="6" w:space="0" w:color="auto"/>
              <w:right w:val="nil"/>
            </w:tcBorders>
            <w:vAlign w:val="bottom"/>
          </w:tcPr>
          <w:p w14:paraId="46C8A058"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tcBorders>
              <w:top w:val="nil"/>
              <w:left w:val="nil"/>
              <w:bottom w:val="double" w:sz="6" w:space="0" w:color="auto"/>
              <w:right w:val="nil"/>
            </w:tcBorders>
            <w:vAlign w:val="bottom"/>
          </w:tcPr>
          <w:p w14:paraId="19BC3114"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tcBorders>
              <w:top w:val="nil"/>
              <w:left w:val="nil"/>
              <w:bottom w:val="double" w:sz="6" w:space="0" w:color="auto"/>
              <w:right w:val="nil"/>
            </w:tcBorders>
            <w:vAlign w:val="bottom"/>
          </w:tcPr>
          <w:p w14:paraId="63B38F53"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313" w:type="dxa"/>
            <w:tcBorders>
              <w:top w:val="nil"/>
              <w:left w:val="nil"/>
              <w:bottom w:val="double" w:sz="6" w:space="0" w:color="auto"/>
              <w:right w:val="nil"/>
            </w:tcBorders>
            <w:vAlign w:val="bottom"/>
          </w:tcPr>
          <w:p w14:paraId="7A8E52CB"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873" w:type="dxa"/>
            <w:tcBorders>
              <w:top w:val="nil"/>
              <w:left w:val="nil"/>
              <w:bottom w:val="double" w:sz="6" w:space="0" w:color="auto"/>
              <w:right w:val="nil"/>
            </w:tcBorders>
            <w:vAlign w:val="bottom"/>
          </w:tcPr>
          <w:p w14:paraId="410B2850"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27F1677E" w14:textId="77777777" w:rsidTr="00E65106">
        <w:trPr>
          <w:trHeight w:hRule="exact" w:val="135"/>
        </w:trPr>
        <w:tc>
          <w:tcPr>
            <w:tcW w:w="2019" w:type="dxa"/>
            <w:vAlign w:val="bottom"/>
          </w:tcPr>
          <w:p w14:paraId="47B6E770"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vAlign w:val="bottom"/>
          </w:tcPr>
          <w:p w14:paraId="4ED98655"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vAlign w:val="bottom"/>
          </w:tcPr>
          <w:p w14:paraId="0A035222"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313" w:type="dxa"/>
            <w:vAlign w:val="bottom"/>
          </w:tcPr>
          <w:p w14:paraId="3C72A15E"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873" w:type="dxa"/>
            <w:vAlign w:val="bottom"/>
          </w:tcPr>
          <w:p w14:paraId="14A563C6"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1F4753D9" w14:textId="77777777" w:rsidTr="00E65106">
        <w:trPr>
          <w:trHeight w:val="225"/>
        </w:trPr>
        <w:tc>
          <w:tcPr>
            <w:tcW w:w="3122" w:type="dxa"/>
            <w:gridSpan w:val="2"/>
            <w:vAlign w:val="bottom"/>
            <w:hideMark/>
          </w:tcPr>
          <w:p w14:paraId="731C07F7"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Cross-section F</w:t>
            </w:r>
          </w:p>
        </w:tc>
        <w:tc>
          <w:tcPr>
            <w:tcW w:w="1207" w:type="dxa"/>
            <w:vAlign w:val="bottom"/>
            <w:hideMark/>
          </w:tcPr>
          <w:p w14:paraId="156A7B9B"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5.677533</w:t>
            </w:r>
          </w:p>
        </w:tc>
        <w:tc>
          <w:tcPr>
            <w:tcW w:w="1313" w:type="dxa"/>
            <w:vAlign w:val="bottom"/>
            <w:hideMark/>
          </w:tcPr>
          <w:p w14:paraId="311499F0"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(11.42)</w:t>
            </w:r>
          </w:p>
        </w:tc>
        <w:tc>
          <w:tcPr>
            <w:tcW w:w="1873" w:type="dxa"/>
            <w:vAlign w:val="bottom"/>
            <w:hideMark/>
          </w:tcPr>
          <w:p w14:paraId="7E62619A"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0.0000</w:t>
            </w:r>
          </w:p>
        </w:tc>
      </w:tr>
      <w:tr w:rsidR="005522A4" w:rsidRPr="0059588D" w14:paraId="34D03D30" w14:textId="77777777" w:rsidTr="00E65106">
        <w:trPr>
          <w:trHeight w:val="225"/>
        </w:trPr>
        <w:tc>
          <w:tcPr>
            <w:tcW w:w="3122" w:type="dxa"/>
            <w:gridSpan w:val="2"/>
            <w:vAlign w:val="bottom"/>
            <w:hideMark/>
          </w:tcPr>
          <w:p w14:paraId="0E686BE6"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Cross-section Chi-square</w:t>
            </w:r>
          </w:p>
        </w:tc>
        <w:tc>
          <w:tcPr>
            <w:tcW w:w="1207" w:type="dxa"/>
            <w:vAlign w:val="bottom"/>
            <w:hideMark/>
          </w:tcPr>
          <w:p w14:paraId="570015A5"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54.663975</w:t>
            </w:r>
          </w:p>
        </w:tc>
        <w:tc>
          <w:tcPr>
            <w:tcW w:w="1313" w:type="dxa"/>
            <w:vAlign w:val="bottom"/>
            <w:hideMark/>
          </w:tcPr>
          <w:p w14:paraId="394B3289"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11</w:t>
            </w:r>
          </w:p>
        </w:tc>
        <w:tc>
          <w:tcPr>
            <w:tcW w:w="1873" w:type="dxa"/>
            <w:vAlign w:val="bottom"/>
            <w:hideMark/>
          </w:tcPr>
          <w:p w14:paraId="14DE7236"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0.0000</w:t>
            </w:r>
          </w:p>
        </w:tc>
      </w:tr>
      <w:tr w:rsidR="005522A4" w:rsidRPr="0059588D" w14:paraId="2184C846" w14:textId="77777777" w:rsidTr="00E65106">
        <w:trPr>
          <w:trHeight w:hRule="exact" w:val="90"/>
        </w:trPr>
        <w:tc>
          <w:tcPr>
            <w:tcW w:w="2019" w:type="dxa"/>
            <w:tcBorders>
              <w:top w:val="nil"/>
              <w:left w:val="nil"/>
              <w:bottom w:val="double" w:sz="6" w:space="0" w:color="auto"/>
              <w:right w:val="nil"/>
            </w:tcBorders>
            <w:vAlign w:val="bottom"/>
          </w:tcPr>
          <w:p w14:paraId="33C81D6D"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tcBorders>
              <w:top w:val="nil"/>
              <w:left w:val="nil"/>
              <w:bottom w:val="double" w:sz="6" w:space="0" w:color="auto"/>
              <w:right w:val="nil"/>
            </w:tcBorders>
            <w:vAlign w:val="bottom"/>
          </w:tcPr>
          <w:p w14:paraId="1F1DA0E9"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tcBorders>
              <w:top w:val="nil"/>
              <w:left w:val="nil"/>
              <w:bottom w:val="double" w:sz="6" w:space="0" w:color="auto"/>
              <w:right w:val="nil"/>
            </w:tcBorders>
            <w:vAlign w:val="bottom"/>
          </w:tcPr>
          <w:p w14:paraId="4EB2DAF8"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313" w:type="dxa"/>
            <w:tcBorders>
              <w:top w:val="nil"/>
              <w:left w:val="nil"/>
              <w:bottom w:val="double" w:sz="6" w:space="0" w:color="auto"/>
              <w:right w:val="nil"/>
            </w:tcBorders>
            <w:vAlign w:val="bottom"/>
          </w:tcPr>
          <w:p w14:paraId="3E872B25"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873" w:type="dxa"/>
            <w:tcBorders>
              <w:top w:val="nil"/>
              <w:left w:val="nil"/>
              <w:bottom w:val="double" w:sz="6" w:space="0" w:color="auto"/>
              <w:right w:val="nil"/>
            </w:tcBorders>
            <w:vAlign w:val="bottom"/>
          </w:tcPr>
          <w:p w14:paraId="628EF61E"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44FDCEF0" w14:textId="77777777" w:rsidTr="00E65106">
        <w:trPr>
          <w:trHeight w:hRule="exact" w:val="135"/>
        </w:trPr>
        <w:tc>
          <w:tcPr>
            <w:tcW w:w="2019" w:type="dxa"/>
            <w:vAlign w:val="bottom"/>
          </w:tcPr>
          <w:p w14:paraId="7E03E411"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vAlign w:val="bottom"/>
          </w:tcPr>
          <w:p w14:paraId="76515AAE"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vAlign w:val="bottom"/>
          </w:tcPr>
          <w:p w14:paraId="2A10C4D1"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313" w:type="dxa"/>
            <w:vAlign w:val="bottom"/>
          </w:tcPr>
          <w:p w14:paraId="605B464A"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873" w:type="dxa"/>
            <w:vAlign w:val="bottom"/>
          </w:tcPr>
          <w:p w14:paraId="28A45FD9"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bl>
    <w:p w14:paraId="3974E074" w14:textId="7E6E26C6" w:rsidR="005522A4" w:rsidRDefault="005522A4" w:rsidP="005522A4"/>
    <w:p w14:paraId="25BAFA75" w14:textId="77777777" w:rsidR="005522A4" w:rsidRDefault="005522A4" w:rsidP="005522A4">
      <w:pPr>
        <w:ind w:firstLine="720"/>
      </w:pPr>
      <w:r>
        <w:t xml:space="preserve">From the test results with the chow test above, it can be seen that the Cross-Section </w:t>
      </w:r>
      <w:proofErr w:type="spellStart"/>
      <w:r>
        <w:t>F</w:t>
      </w:r>
      <w:proofErr w:type="spellEnd"/>
      <w:r>
        <w:t xml:space="preserve"> probability value is 0.8028 (&gt; 0.05), meaning that Ha is rejected. </w:t>
      </w:r>
      <w:proofErr w:type="gramStart"/>
      <w:r>
        <w:t>Thus</w:t>
      </w:r>
      <w:proofErr w:type="gramEnd"/>
      <w:r>
        <w:t xml:space="preserve"> H0 is accepted, H0 in the Chow Test is the Random Effect Model, so according to the Chow Test the right model for this panel data test is the Common Effect Model.</w:t>
      </w:r>
    </w:p>
    <w:p w14:paraId="62D267EC" w14:textId="7F03DC2A" w:rsidR="005522A4" w:rsidRDefault="005522A4" w:rsidP="005522A4">
      <w:r>
        <w:t>Hausman Test</w:t>
      </w:r>
    </w:p>
    <w:tbl>
      <w:tblPr>
        <w:tblW w:w="0" w:type="auto"/>
        <w:jc w:val="center"/>
        <w:tblLayout w:type="fixed"/>
        <w:tblCellMar>
          <w:left w:w="0" w:type="dxa"/>
          <w:right w:w="0" w:type="dxa"/>
        </w:tblCellMar>
        <w:tblLook w:val="04A0" w:firstRow="1" w:lastRow="0" w:firstColumn="1" w:lastColumn="0" w:noHBand="0" w:noVBand="1"/>
      </w:tblPr>
      <w:tblGrid>
        <w:gridCol w:w="2017"/>
        <w:gridCol w:w="1103"/>
        <w:gridCol w:w="1207"/>
        <w:gridCol w:w="1208"/>
        <w:gridCol w:w="997"/>
      </w:tblGrid>
      <w:tr w:rsidR="005522A4" w:rsidRPr="0059588D" w14:paraId="1577BD01" w14:textId="77777777" w:rsidTr="00E65106">
        <w:trPr>
          <w:trHeight w:val="225"/>
          <w:jc w:val="center"/>
        </w:trPr>
        <w:tc>
          <w:tcPr>
            <w:tcW w:w="5535" w:type="dxa"/>
            <w:gridSpan w:val="4"/>
            <w:vAlign w:val="bottom"/>
            <w:hideMark/>
          </w:tcPr>
          <w:p w14:paraId="74F72DD7"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Correlated Random Effects - Hausman Test</w:t>
            </w:r>
          </w:p>
        </w:tc>
        <w:tc>
          <w:tcPr>
            <w:tcW w:w="997" w:type="dxa"/>
            <w:vAlign w:val="bottom"/>
          </w:tcPr>
          <w:p w14:paraId="49A68CE3"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026713AA" w14:textId="77777777" w:rsidTr="00E65106">
        <w:trPr>
          <w:trHeight w:val="225"/>
          <w:jc w:val="center"/>
        </w:trPr>
        <w:tc>
          <w:tcPr>
            <w:tcW w:w="4327" w:type="dxa"/>
            <w:gridSpan w:val="3"/>
            <w:vAlign w:val="bottom"/>
            <w:hideMark/>
          </w:tcPr>
          <w:p w14:paraId="2D9A8F5A"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Equation: Untitled</w:t>
            </w:r>
          </w:p>
        </w:tc>
        <w:tc>
          <w:tcPr>
            <w:tcW w:w="1208" w:type="dxa"/>
            <w:vAlign w:val="bottom"/>
          </w:tcPr>
          <w:p w14:paraId="1D7A4E2F"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vAlign w:val="bottom"/>
          </w:tcPr>
          <w:p w14:paraId="7816166C"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30BB59EE" w14:textId="77777777" w:rsidTr="00E65106">
        <w:trPr>
          <w:trHeight w:val="225"/>
          <w:jc w:val="center"/>
        </w:trPr>
        <w:tc>
          <w:tcPr>
            <w:tcW w:w="5535" w:type="dxa"/>
            <w:gridSpan w:val="4"/>
            <w:vAlign w:val="bottom"/>
            <w:hideMark/>
          </w:tcPr>
          <w:p w14:paraId="476A1FEC"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Test cross-section random effects</w:t>
            </w:r>
          </w:p>
        </w:tc>
        <w:tc>
          <w:tcPr>
            <w:tcW w:w="997" w:type="dxa"/>
            <w:vAlign w:val="bottom"/>
          </w:tcPr>
          <w:p w14:paraId="4D577F4C"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182E960B" w14:textId="77777777" w:rsidTr="00E65106">
        <w:trPr>
          <w:trHeight w:hRule="exact" w:val="90"/>
          <w:jc w:val="center"/>
        </w:trPr>
        <w:tc>
          <w:tcPr>
            <w:tcW w:w="2017" w:type="dxa"/>
            <w:tcBorders>
              <w:top w:val="nil"/>
              <w:left w:val="nil"/>
              <w:bottom w:val="double" w:sz="6" w:space="0" w:color="auto"/>
              <w:right w:val="nil"/>
            </w:tcBorders>
            <w:vAlign w:val="bottom"/>
          </w:tcPr>
          <w:p w14:paraId="1E75D8B4"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tcBorders>
              <w:top w:val="nil"/>
              <w:left w:val="nil"/>
              <w:bottom w:val="double" w:sz="6" w:space="0" w:color="auto"/>
              <w:right w:val="nil"/>
            </w:tcBorders>
            <w:vAlign w:val="bottom"/>
          </w:tcPr>
          <w:p w14:paraId="2A0731AE"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tcBorders>
              <w:top w:val="nil"/>
              <w:left w:val="nil"/>
              <w:bottom w:val="double" w:sz="6" w:space="0" w:color="auto"/>
              <w:right w:val="nil"/>
            </w:tcBorders>
            <w:vAlign w:val="bottom"/>
          </w:tcPr>
          <w:p w14:paraId="7109B434"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tcBorders>
              <w:top w:val="nil"/>
              <w:left w:val="nil"/>
              <w:bottom w:val="double" w:sz="6" w:space="0" w:color="auto"/>
              <w:right w:val="nil"/>
            </w:tcBorders>
            <w:vAlign w:val="bottom"/>
          </w:tcPr>
          <w:p w14:paraId="1C53207C"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tcBorders>
              <w:top w:val="nil"/>
              <w:left w:val="nil"/>
              <w:bottom w:val="double" w:sz="6" w:space="0" w:color="auto"/>
              <w:right w:val="nil"/>
            </w:tcBorders>
            <w:vAlign w:val="bottom"/>
          </w:tcPr>
          <w:p w14:paraId="3C11F69C"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26AC97F1" w14:textId="77777777" w:rsidTr="00E65106">
        <w:trPr>
          <w:trHeight w:hRule="exact" w:val="135"/>
          <w:jc w:val="center"/>
        </w:trPr>
        <w:tc>
          <w:tcPr>
            <w:tcW w:w="2017" w:type="dxa"/>
            <w:vAlign w:val="bottom"/>
          </w:tcPr>
          <w:p w14:paraId="4E3ECF87"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vAlign w:val="bottom"/>
          </w:tcPr>
          <w:p w14:paraId="5AAC5C56"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vAlign w:val="bottom"/>
          </w:tcPr>
          <w:p w14:paraId="215F3778"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vAlign w:val="bottom"/>
          </w:tcPr>
          <w:p w14:paraId="5CDFC378"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vAlign w:val="bottom"/>
          </w:tcPr>
          <w:p w14:paraId="0F5ABA5F"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4E86ABD0" w14:textId="77777777" w:rsidTr="00E65106">
        <w:trPr>
          <w:trHeight w:val="225"/>
          <w:jc w:val="center"/>
        </w:trPr>
        <w:tc>
          <w:tcPr>
            <w:tcW w:w="3120" w:type="dxa"/>
            <w:gridSpan w:val="2"/>
            <w:vAlign w:val="bottom"/>
            <w:hideMark/>
          </w:tcPr>
          <w:p w14:paraId="464DD2B1"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Test Summary</w:t>
            </w:r>
          </w:p>
        </w:tc>
        <w:tc>
          <w:tcPr>
            <w:tcW w:w="1207" w:type="dxa"/>
            <w:vAlign w:val="bottom"/>
            <w:hideMark/>
          </w:tcPr>
          <w:p w14:paraId="3298977C"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Chi-Sq. Statistic</w:t>
            </w:r>
          </w:p>
        </w:tc>
        <w:tc>
          <w:tcPr>
            <w:tcW w:w="1208" w:type="dxa"/>
            <w:vAlign w:val="bottom"/>
            <w:hideMark/>
          </w:tcPr>
          <w:p w14:paraId="22F838F4"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xml:space="preserve">Chi-Sq. </w:t>
            </w:r>
            <w:proofErr w:type="spellStart"/>
            <w:r w:rsidRPr="0059588D">
              <w:rPr>
                <w:rFonts w:ascii="Times New Roman" w:hAnsi="Times New Roman" w:cs="Times New Roman"/>
                <w:color w:val="000000"/>
                <w:lang w:eastAsia="id-ID"/>
              </w:rPr>
              <w:t>d.f.</w:t>
            </w:r>
            <w:proofErr w:type="spellEnd"/>
          </w:p>
        </w:tc>
        <w:tc>
          <w:tcPr>
            <w:tcW w:w="997" w:type="dxa"/>
            <w:vAlign w:val="bottom"/>
            <w:hideMark/>
          </w:tcPr>
          <w:p w14:paraId="27ADB85E"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Prob. </w:t>
            </w:r>
          </w:p>
        </w:tc>
      </w:tr>
      <w:tr w:rsidR="005522A4" w:rsidRPr="0059588D" w14:paraId="1570E608" w14:textId="77777777" w:rsidTr="00E65106">
        <w:trPr>
          <w:trHeight w:hRule="exact" w:val="90"/>
          <w:jc w:val="center"/>
        </w:trPr>
        <w:tc>
          <w:tcPr>
            <w:tcW w:w="2017" w:type="dxa"/>
            <w:tcBorders>
              <w:top w:val="nil"/>
              <w:left w:val="nil"/>
              <w:bottom w:val="double" w:sz="6" w:space="0" w:color="auto"/>
              <w:right w:val="nil"/>
            </w:tcBorders>
            <w:vAlign w:val="bottom"/>
          </w:tcPr>
          <w:p w14:paraId="1F7A3736"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tcBorders>
              <w:top w:val="nil"/>
              <w:left w:val="nil"/>
              <w:bottom w:val="double" w:sz="6" w:space="0" w:color="auto"/>
              <w:right w:val="nil"/>
            </w:tcBorders>
            <w:vAlign w:val="bottom"/>
          </w:tcPr>
          <w:p w14:paraId="2EA4D4A1"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tcBorders>
              <w:top w:val="nil"/>
              <w:left w:val="nil"/>
              <w:bottom w:val="double" w:sz="6" w:space="0" w:color="auto"/>
              <w:right w:val="nil"/>
            </w:tcBorders>
            <w:vAlign w:val="bottom"/>
          </w:tcPr>
          <w:p w14:paraId="047DFF4E"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tcBorders>
              <w:top w:val="nil"/>
              <w:left w:val="nil"/>
              <w:bottom w:val="double" w:sz="6" w:space="0" w:color="auto"/>
              <w:right w:val="nil"/>
            </w:tcBorders>
            <w:vAlign w:val="bottom"/>
          </w:tcPr>
          <w:p w14:paraId="70B80C81"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tcBorders>
              <w:top w:val="nil"/>
              <w:left w:val="nil"/>
              <w:bottom w:val="double" w:sz="6" w:space="0" w:color="auto"/>
              <w:right w:val="nil"/>
            </w:tcBorders>
            <w:vAlign w:val="bottom"/>
          </w:tcPr>
          <w:p w14:paraId="5FC4A167"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5794462E" w14:textId="77777777" w:rsidTr="00E65106">
        <w:trPr>
          <w:trHeight w:hRule="exact" w:val="135"/>
          <w:jc w:val="center"/>
        </w:trPr>
        <w:tc>
          <w:tcPr>
            <w:tcW w:w="2017" w:type="dxa"/>
            <w:vAlign w:val="bottom"/>
          </w:tcPr>
          <w:p w14:paraId="27356CD1"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vAlign w:val="bottom"/>
          </w:tcPr>
          <w:p w14:paraId="479C5256"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vAlign w:val="bottom"/>
          </w:tcPr>
          <w:p w14:paraId="530F80DC"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vAlign w:val="bottom"/>
          </w:tcPr>
          <w:p w14:paraId="14CF6D0A"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vAlign w:val="bottom"/>
          </w:tcPr>
          <w:p w14:paraId="7496C86F"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6697C6C7" w14:textId="77777777" w:rsidTr="00E65106">
        <w:trPr>
          <w:trHeight w:val="225"/>
          <w:jc w:val="center"/>
        </w:trPr>
        <w:tc>
          <w:tcPr>
            <w:tcW w:w="3120" w:type="dxa"/>
            <w:gridSpan w:val="2"/>
            <w:vAlign w:val="bottom"/>
            <w:hideMark/>
          </w:tcPr>
          <w:p w14:paraId="6E55364A"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Cross-section random</w:t>
            </w:r>
          </w:p>
        </w:tc>
        <w:tc>
          <w:tcPr>
            <w:tcW w:w="1207" w:type="dxa"/>
            <w:vAlign w:val="bottom"/>
            <w:hideMark/>
          </w:tcPr>
          <w:p w14:paraId="56109E15"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10.294540</w:t>
            </w:r>
          </w:p>
        </w:tc>
        <w:tc>
          <w:tcPr>
            <w:tcW w:w="1208" w:type="dxa"/>
            <w:vAlign w:val="bottom"/>
            <w:hideMark/>
          </w:tcPr>
          <w:p w14:paraId="568D665E"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6</w:t>
            </w:r>
          </w:p>
        </w:tc>
        <w:tc>
          <w:tcPr>
            <w:tcW w:w="997" w:type="dxa"/>
            <w:vAlign w:val="bottom"/>
            <w:hideMark/>
          </w:tcPr>
          <w:p w14:paraId="099CFCB8"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0.0555</w:t>
            </w:r>
          </w:p>
        </w:tc>
      </w:tr>
      <w:tr w:rsidR="005522A4" w:rsidRPr="0059588D" w14:paraId="1DA79A78" w14:textId="77777777" w:rsidTr="00E65106">
        <w:trPr>
          <w:trHeight w:hRule="exact" w:val="90"/>
          <w:jc w:val="center"/>
        </w:trPr>
        <w:tc>
          <w:tcPr>
            <w:tcW w:w="2017" w:type="dxa"/>
            <w:tcBorders>
              <w:top w:val="nil"/>
              <w:left w:val="nil"/>
              <w:bottom w:val="double" w:sz="6" w:space="0" w:color="auto"/>
              <w:right w:val="nil"/>
            </w:tcBorders>
            <w:vAlign w:val="bottom"/>
          </w:tcPr>
          <w:p w14:paraId="67B1B960"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tcBorders>
              <w:top w:val="nil"/>
              <w:left w:val="nil"/>
              <w:bottom w:val="double" w:sz="6" w:space="0" w:color="auto"/>
              <w:right w:val="nil"/>
            </w:tcBorders>
            <w:vAlign w:val="bottom"/>
          </w:tcPr>
          <w:p w14:paraId="28218619"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tcBorders>
              <w:top w:val="nil"/>
              <w:left w:val="nil"/>
              <w:bottom w:val="double" w:sz="6" w:space="0" w:color="auto"/>
              <w:right w:val="nil"/>
            </w:tcBorders>
            <w:vAlign w:val="bottom"/>
          </w:tcPr>
          <w:p w14:paraId="292227FA"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tcBorders>
              <w:top w:val="nil"/>
              <w:left w:val="nil"/>
              <w:bottom w:val="double" w:sz="6" w:space="0" w:color="auto"/>
              <w:right w:val="nil"/>
            </w:tcBorders>
            <w:vAlign w:val="bottom"/>
          </w:tcPr>
          <w:p w14:paraId="1E6472D2"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tcBorders>
              <w:top w:val="nil"/>
              <w:left w:val="nil"/>
              <w:bottom w:val="double" w:sz="6" w:space="0" w:color="auto"/>
              <w:right w:val="nil"/>
            </w:tcBorders>
            <w:vAlign w:val="bottom"/>
          </w:tcPr>
          <w:p w14:paraId="0E95A355"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0D8235B8" w14:textId="77777777" w:rsidTr="00E65106">
        <w:trPr>
          <w:trHeight w:hRule="exact" w:val="135"/>
          <w:jc w:val="center"/>
        </w:trPr>
        <w:tc>
          <w:tcPr>
            <w:tcW w:w="2017" w:type="dxa"/>
            <w:vAlign w:val="bottom"/>
          </w:tcPr>
          <w:p w14:paraId="41DDB5FA"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vAlign w:val="bottom"/>
          </w:tcPr>
          <w:p w14:paraId="719AFD20"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vAlign w:val="bottom"/>
          </w:tcPr>
          <w:p w14:paraId="61EDB580"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vAlign w:val="bottom"/>
          </w:tcPr>
          <w:p w14:paraId="7758D985"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vAlign w:val="bottom"/>
          </w:tcPr>
          <w:p w14:paraId="269DC458"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bl>
    <w:p w14:paraId="1A886C1F" w14:textId="14DA61C7" w:rsidR="005522A4" w:rsidRDefault="005522A4" w:rsidP="005522A4">
      <w:pPr>
        <w:ind w:firstLine="720"/>
      </w:pPr>
      <w:r>
        <w:t>From the test results with the Hausman Test above, it can be seen that the Chi-Square probability value is 0.0555 (&gt; 0.05), meaning that H0 is accepted. Thus Ha is rejected, so according to the Hausman Test, the right model for this panel data test is the Fixed Effect Model.</w:t>
      </w:r>
    </w:p>
    <w:p w14:paraId="7EA8A6F1" w14:textId="6D0566BB" w:rsidR="005522A4" w:rsidRDefault="005522A4" w:rsidP="005522A4">
      <w:proofErr w:type="spellStart"/>
      <w:r>
        <w:t>Lagrance</w:t>
      </w:r>
      <w:proofErr w:type="spellEnd"/>
      <w:r>
        <w:t xml:space="preserve"> Multiplier (LM) Test</w:t>
      </w:r>
    </w:p>
    <w:p w14:paraId="17E05972" w14:textId="76D1F199" w:rsidR="005522A4" w:rsidRDefault="005522A4" w:rsidP="005522A4">
      <w:pPr>
        <w:ind w:firstLine="720"/>
      </w:pPr>
      <w:r>
        <w:t xml:space="preserve">Lagrange Multiplier test to choose whether the </w:t>
      </w:r>
      <w:proofErr w:type="spellStart"/>
      <w:r>
        <w:t>Commont</w:t>
      </w:r>
      <w:proofErr w:type="spellEnd"/>
      <w:r>
        <w:t xml:space="preserve"> Effect or Random Effect model is more appropriate to use in the panel data regression equation model. After obtaining the calculated LM value, the calculated LM value is compared with the chi-squared table value with a degree of freedom as many as the number of independent variables (free) and alpha or a significant level of 5%.</w:t>
      </w:r>
    </w:p>
    <w:tbl>
      <w:tblPr>
        <w:tblW w:w="0" w:type="auto"/>
        <w:tblInd w:w="30" w:type="dxa"/>
        <w:tblLayout w:type="fixed"/>
        <w:tblCellMar>
          <w:left w:w="0" w:type="dxa"/>
          <w:right w:w="0" w:type="dxa"/>
        </w:tblCellMar>
        <w:tblLook w:val="04A0" w:firstRow="1" w:lastRow="0" w:firstColumn="1" w:lastColumn="0" w:noHBand="0" w:noVBand="1"/>
      </w:tblPr>
      <w:tblGrid>
        <w:gridCol w:w="2122"/>
        <w:gridCol w:w="2101"/>
        <w:gridCol w:w="524"/>
        <w:gridCol w:w="1256"/>
        <w:gridCol w:w="57"/>
        <w:gridCol w:w="2069"/>
      </w:tblGrid>
      <w:tr w:rsidR="005522A4" w:rsidRPr="0059588D" w14:paraId="39FFD56C" w14:textId="77777777" w:rsidTr="00E65106">
        <w:trPr>
          <w:gridAfter w:val="1"/>
          <w:wAfter w:w="2069" w:type="dxa"/>
          <w:trHeight w:val="225"/>
        </w:trPr>
        <w:tc>
          <w:tcPr>
            <w:tcW w:w="6060" w:type="dxa"/>
            <w:gridSpan w:val="5"/>
            <w:vAlign w:val="bottom"/>
            <w:hideMark/>
          </w:tcPr>
          <w:p w14:paraId="6EF4A236"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bookmarkStart w:id="0" w:name="_Hlk127533703"/>
            <w:r w:rsidRPr="0059588D">
              <w:rPr>
                <w:rFonts w:ascii="Times New Roman" w:hAnsi="Times New Roman" w:cs="Times New Roman"/>
                <w:color w:val="000000"/>
                <w:lang w:eastAsia="id-ID"/>
              </w:rPr>
              <w:t>Lagrange Multiplier Tests for Random Effects</w:t>
            </w:r>
          </w:p>
        </w:tc>
      </w:tr>
      <w:tr w:rsidR="005522A4" w:rsidRPr="0059588D" w14:paraId="18C0B033" w14:textId="77777777" w:rsidTr="00E65106">
        <w:trPr>
          <w:gridAfter w:val="3"/>
          <w:wAfter w:w="3382" w:type="dxa"/>
          <w:trHeight w:val="225"/>
        </w:trPr>
        <w:tc>
          <w:tcPr>
            <w:tcW w:w="4747" w:type="dxa"/>
            <w:gridSpan w:val="3"/>
            <w:vAlign w:val="bottom"/>
            <w:hideMark/>
          </w:tcPr>
          <w:p w14:paraId="26AB67FA"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Null hypotheses: No effects</w:t>
            </w:r>
          </w:p>
        </w:tc>
      </w:tr>
      <w:tr w:rsidR="005522A4" w:rsidRPr="0059588D" w14:paraId="77B5604A" w14:textId="77777777" w:rsidTr="00E65106">
        <w:trPr>
          <w:gridAfter w:val="1"/>
          <w:wAfter w:w="2069" w:type="dxa"/>
          <w:trHeight w:val="225"/>
        </w:trPr>
        <w:tc>
          <w:tcPr>
            <w:tcW w:w="6060" w:type="dxa"/>
            <w:gridSpan w:val="5"/>
            <w:vAlign w:val="bottom"/>
            <w:hideMark/>
          </w:tcPr>
          <w:p w14:paraId="333447DB"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Alternative hypotheses: Two-sided (Breusch-Pagan) and one-sided</w:t>
            </w:r>
          </w:p>
        </w:tc>
      </w:tr>
      <w:tr w:rsidR="005522A4" w:rsidRPr="0059588D" w14:paraId="0CADCB4B" w14:textId="77777777" w:rsidTr="00E65106">
        <w:trPr>
          <w:gridAfter w:val="3"/>
          <w:wAfter w:w="3382" w:type="dxa"/>
          <w:trHeight w:val="225"/>
        </w:trPr>
        <w:tc>
          <w:tcPr>
            <w:tcW w:w="4747" w:type="dxa"/>
            <w:gridSpan w:val="3"/>
            <w:vAlign w:val="bottom"/>
            <w:hideMark/>
          </w:tcPr>
          <w:p w14:paraId="043BFEE2"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(all others) alternatives</w:t>
            </w:r>
          </w:p>
        </w:tc>
      </w:tr>
      <w:bookmarkEnd w:id="0"/>
      <w:tr w:rsidR="005522A4" w:rsidRPr="0059588D" w14:paraId="0124D4AA" w14:textId="77777777" w:rsidTr="00E65106">
        <w:trPr>
          <w:trHeight w:hRule="exact" w:val="90"/>
        </w:trPr>
        <w:tc>
          <w:tcPr>
            <w:tcW w:w="2122" w:type="dxa"/>
            <w:tcBorders>
              <w:top w:val="nil"/>
              <w:left w:val="nil"/>
              <w:bottom w:val="double" w:sz="6" w:space="0" w:color="auto"/>
              <w:right w:val="nil"/>
            </w:tcBorders>
            <w:vAlign w:val="bottom"/>
          </w:tcPr>
          <w:p w14:paraId="025CAFA7"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2101" w:type="dxa"/>
            <w:tcBorders>
              <w:top w:val="nil"/>
              <w:left w:val="nil"/>
              <w:bottom w:val="double" w:sz="6" w:space="0" w:color="auto"/>
              <w:right w:val="nil"/>
            </w:tcBorders>
            <w:vAlign w:val="bottom"/>
          </w:tcPr>
          <w:p w14:paraId="38CB3E02"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780" w:type="dxa"/>
            <w:gridSpan w:val="2"/>
            <w:tcBorders>
              <w:top w:val="nil"/>
              <w:left w:val="nil"/>
              <w:bottom w:val="double" w:sz="6" w:space="0" w:color="auto"/>
              <w:right w:val="nil"/>
            </w:tcBorders>
            <w:vAlign w:val="bottom"/>
          </w:tcPr>
          <w:p w14:paraId="6816B03D"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2126" w:type="dxa"/>
            <w:gridSpan w:val="2"/>
            <w:tcBorders>
              <w:top w:val="nil"/>
              <w:left w:val="nil"/>
              <w:bottom w:val="double" w:sz="6" w:space="0" w:color="auto"/>
              <w:right w:val="nil"/>
            </w:tcBorders>
            <w:vAlign w:val="bottom"/>
          </w:tcPr>
          <w:p w14:paraId="4973F903"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2111BA01" w14:textId="77777777" w:rsidTr="00E65106">
        <w:trPr>
          <w:trHeight w:hRule="exact" w:val="135"/>
        </w:trPr>
        <w:tc>
          <w:tcPr>
            <w:tcW w:w="2122" w:type="dxa"/>
            <w:vAlign w:val="bottom"/>
          </w:tcPr>
          <w:p w14:paraId="7CFF38CC"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2101" w:type="dxa"/>
            <w:vAlign w:val="bottom"/>
          </w:tcPr>
          <w:p w14:paraId="6632EF68"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780" w:type="dxa"/>
            <w:gridSpan w:val="2"/>
            <w:vAlign w:val="bottom"/>
          </w:tcPr>
          <w:p w14:paraId="4B17538E"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2126" w:type="dxa"/>
            <w:gridSpan w:val="2"/>
            <w:vAlign w:val="bottom"/>
          </w:tcPr>
          <w:p w14:paraId="58ED4234"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082A7710" w14:textId="77777777" w:rsidTr="00E65106">
        <w:trPr>
          <w:trHeight w:val="225"/>
        </w:trPr>
        <w:tc>
          <w:tcPr>
            <w:tcW w:w="2122" w:type="dxa"/>
            <w:vAlign w:val="bottom"/>
          </w:tcPr>
          <w:p w14:paraId="40198E88"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6007" w:type="dxa"/>
            <w:gridSpan w:val="5"/>
            <w:vAlign w:val="bottom"/>
            <w:hideMark/>
          </w:tcPr>
          <w:p w14:paraId="2F7DCCE7"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Test Hypothesis</w:t>
            </w:r>
          </w:p>
        </w:tc>
      </w:tr>
      <w:tr w:rsidR="005522A4" w:rsidRPr="0059588D" w14:paraId="10271E71" w14:textId="77777777" w:rsidTr="00E65106">
        <w:trPr>
          <w:trHeight w:val="225"/>
        </w:trPr>
        <w:tc>
          <w:tcPr>
            <w:tcW w:w="2122" w:type="dxa"/>
            <w:vAlign w:val="bottom"/>
          </w:tcPr>
          <w:p w14:paraId="60265CAE"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2101" w:type="dxa"/>
            <w:vAlign w:val="bottom"/>
            <w:hideMark/>
          </w:tcPr>
          <w:p w14:paraId="3ABE5E12"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Cross-section</w:t>
            </w:r>
          </w:p>
        </w:tc>
        <w:tc>
          <w:tcPr>
            <w:tcW w:w="1780" w:type="dxa"/>
            <w:gridSpan w:val="2"/>
            <w:vAlign w:val="bottom"/>
            <w:hideMark/>
          </w:tcPr>
          <w:p w14:paraId="342BB0BB"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Time</w:t>
            </w:r>
          </w:p>
        </w:tc>
        <w:tc>
          <w:tcPr>
            <w:tcW w:w="2126" w:type="dxa"/>
            <w:gridSpan w:val="2"/>
            <w:vAlign w:val="bottom"/>
            <w:hideMark/>
          </w:tcPr>
          <w:p w14:paraId="0B27C7C2"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Both</w:t>
            </w:r>
          </w:p>
        </w:tc>
      </w:tr>
      <w:tr w:rsidR="005522A4" w:rsidRPr="0059588D" w14:paraId="63B8E20E" w14:textId="77777777" w:rsidTr="00E65106">
        <w:trPr>
          <w:trHeight w:hRule="exact" w:val="90"/>
        </w:trPr>
        <w:tc>
          <w:tcPr>
            <w:tcW w:w="2122" w:type="dxa"/>
            <w:tcBorders>
              <w:top w:val="nil"/>
              <w:left w:val="nil"/>
              <w:bottom w:val="double" w:sz="6" w:space="0" w:color="auto"/>
              <w:right w:val="nil"/>
            </w:tcBorders>
            <w:vAlign w:val="bottom"/>
          </w:tcPr>
          <w:p w14:paraId="47C79B09"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2101" w:type="dxa"/>
            <w:tcBorders>
              <w:top w:val="nil"/>
              <w:left w:val="nil"/>
              <w:bottom w:val="double" w:sz="6" w:space="0" w:color="auto"/>
              <w:right w:val="nil"/>
            </w:tcBorders>
            <w:vAlign w:val="bottom"/>
          </w:tcPr>
          <w:p w14:paraId="4F9374C5"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780" w:type="dxa"/>
            <w:gridSpan w:val="2"/>
            <w:tcBorders>
              <w:top w:val="nil"/>
              <w:left w:val="nil"/>
              <w:bottom w:val="double" w:sz="6" w:space="0" w:color="auto"/>
              <w:right w:val="nil"/>
            </w:tcBorders>
            <w:vAlign w:val="bottom"/>
          </w:tcPr>
          <w:p w14:paraId="66F394DD"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2126" w:type="dxa"/>
            <w:gridSpan w:val="2"/>
            <w:tcBorders>
              <w:top w:val="nil"/>
              <w:left w:val="nil"/>
              <w:bottom w:val="double" w:sz="6" w:space="0" w:color="auto"/>
              <w:right w:val="nil"/>
            </w:tcBorders>
            <w:vAlign w:val="bottom"/>
          </w:tcPr>
          <w:p w14:paraId="29A2C052"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1EBB7006" w14:textId="77777777" w:rsidTr="00E65106">
        <w:trPr>
          <w:trHeight w:hRule="exact" w:val="135"/>
        </w:trPr>
        <w:tc>
          <w:tcPr>
            <w:tcW w:w="2122" w:type="dxa"/>
            <w:vAlign w:val="bottom"/>
          </w:tcPr>
          <w:p w14:paraId="46C50BE0"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2101" w:type="dxa"/>
            <w:vAlign w:val="bottom"/>
          </w:tcPr>
          <w:p w14:paraId="10657395"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780" w:type="dxa"/>
            <w:gridSpan w:val="2"/>
            <w:vAlign w:val="bottom"/>
          </w:tcPr>
          <w:p w14:paraId="1F0FE17D"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2126" w:type="dxa"/>
            <w:gridSpan w:val="2"/>
            <w:vAlign w:val="bottom"/>
          </w:tcPr>
          <w:p w14:paraId="3F4A4164"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4AEC2DBE" w14:textId="77777777" w:rsidTr="00E65106">
        <w:trPr>
          <w:trHeight w:val="225"/>
        </w:trPr>
        <w:tc>
          <w:tcPr>
            <w:tcW w:w="2122" w:type="dxa"/>
            <w:vAlign w:val="bottom"/>
            <w:hideMark/>
          </w:tcPr>
          <w:p w14:paraId="17C54FBA"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Breusch-Pagan</w:t>
            </w:r>
          </w:p>
        </w:tc>
        <w:tc>
          <w:tcPr>
            <w:tcW w:w="2101" w:type="dxa"/>
            <w:vAlign w:val="bottom"/>
            <w:hideMark/>
          </w:tcPr>
          <w:p w14:paraId="0790593B"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6.196239</w:t>
            </w:r>
          </w:p>
        </w:tc>
        <w:tc>
          <w:tcPr>
            <w:tcW w:w="1780" w:type="dxa"/>
            <w:gridSpan w:val="2"/>
            <w:vAlign w:val="bottom"/>
            <w:hideMark/>
          </w:tcPr>
          <w:p w14:paraId="47BBEAEC"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0.801271</w:t>
            </w:r>
          </w:p>
        </w:tc>
        <w:tc>
          <w:tcPr>
            <w:tcW w:w="2126" w:type="dxa"/>
            <w:gridSpan w:val="2"/>
            <w:vAlign w:val="bottom"/>
            <w:hideMark/>
          </w:tcPr>
          <w:p w14:paraId="0F304C4F"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6.997510</w:t>
            </w:r>
          </w:p>
        </w:tc>
      </w:tr>
      <w:tr w:rsidR="005522A4" w:rsidRPr="0059588D" w14:paraId="15F2BE38" w14:textId="77777777" w:rsidTr="00E65106">
        <w:trPr>
          <w:trHeight w:val="225"/>
        </w:trPr>
        <w:tc>
          <w:tcPr>
            <w:tcW w:w="2122" w:type="dxa"/>
            <w:vAlign w:val="bottom"/>
          </w:tcPr>
          <w:p w14:paraId="61A3B0F5"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2101" w:type="dxa"/>
            <w:vAlign w:val="bottom"/>
            <w:hideMark/>
          </w:tcPr>
          <w:p w14:paraId="5FC88629"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(0.0128)</w:t>
            </w:r>
          </w:p>
        </w:tc>
        <w:tc>
          <w:tcPr>
            <w:tcW w:w="1780" w:type="dxa"/>
            <w:gridSpan w:val="2"/>
            <w:vAlign w:val="bottom"/>
            <w:hideMark/>
          </w:tcPr>
          <w:p w14:paraId="2ACFC6F6"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(0.3707)</w:t>
            </w:r>
          </w:p>
        </w:tc>
        <w:tc>
          <w:tcPr>
            <w:tcW w:w="2126" w:type="dxa"/>
            <w:gridSpan w:val="2"/>
            <w:vAlign w:val="bottom"/>
            <w:hideMark/>
          </w:tcPr>
          <w:p w14:paraId="00108CB5"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(0.0082)</w:t>
            </w:r>
          </w:p>
        </w:tc>
      </w:tr>
      <w:tr w:rsidR="005522A4" w:rsidRPr="0059588D" w14:paraId="6A384665" w14:textId="77777777" w:rsidTr="00E65106">
        <w:trPr>
          <w:trHeight w:val="225"/>
        </w:trPr>
        <w:tc>
          <w:tcPr>
            <w:tcW w:w="2122" w:type="dxa"/>
            <w:vAlign w:val="bottom"/>
          </w:tcPr>
          <w:p w14:paraId="1C78223F"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2101" w:type="dxa"/>
            <w:vAlign w:val="bottom"/>
          </w:tcPr>
          <w:p w14:paraId="47C678FC"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780" w:type="dxa"/>
            <w:gridSpan w:val="2"/>
            <w:vAlign w:val="bottom"/>
          </w:tcPr>
          <w:p w14:paraId="241C48B8"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2126" w:type="dxa"/>
            <w:gridSpan w:val="2"/>
            <w:vAlign w:val="bottom"/>
          </w:tcPr>
          <w:p w14:paraId="6C1E8745"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3DA7390F" w14:textId="77777777" w:rsidTr="00E65106">
        <w:trPr>
          <w:trHeight w:val="225"/>
        </w:trPr>
        <w:tc>
          <w:tcPr>
            <w:tcW w:w="2122" w:type="dxa"/>
            <w:vAlign w:val="bottom"/>
            <w:hideMark/>
          </w:tcPr>
          <w:p w14:paraId="0BF172ED"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Honda</w:t>
            </w:r>
          </w:p>
        </w:tc>
        <w:tc>
          <w:tcPr>
            <w:tcW w:w="2101" w:type="dxa"/>
            <w:vAlign w:val="bottom"/>
            <w:hideMark/>
          </w:tcPr>
          <w:p w14:paraId="48D2A698"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2.489225</w:t>
            </w:r>
          </w:p>
        </w:tc>
        <w:tc>
          <w:tcPr>
            <w:tcW w:w="1780" w:type="dxa"/>
            <w:gridSpan w:val="2"/>
            <w:vAlign w:val="bottom"/>
            <w:hideMark/>
          </w:tcPr>
          <w:p w14:paraId="544DED69"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-0.895137</w:t>
            </w:r>
          </w:p>
        </w:tc>
        <w:tc>
          <w:tcPr>
            <w:tcW w:w="2126" w:type="dxa"/>
            <w:gridSpan w:val="2"/>
            <w:vAlign w:val="bottom"/>
            <w:hideMark/>
          </w:tcPr>
          <w:p w14:paraId="4C99A6F7"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1.127190</w:t>
            </w:r>
          </w:p>
        </w:tc>
      </w:tr>
      <w:tr w:rsidR="005522A4" w:rsidRPr="0059588D" w14:paraId="4C418E54" w14:textId="77777777" w:rsidTr="00E65106">
        <w:trPr>
          <w:trHeight w:val="225"/>
        </w:trPr>
        <w:tc>
          <w:tcPr>
            <w:tcW w:w="2122" w:type="dxa"/>
            <w:vAlign w:val="bottom"/>
          </w:tcPr>
          <w:p w14:paraId="5344BA6E"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2101" w:type="dxa"/>
            <w:vAlign w:val="bottom"/>
            <w:hideMark/>
          </w:tcPr>
          <w:p w14:paraId="0EB100D4"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(0.0064)</w:t>
            </w:r>
          </w:p>
        </w:tc>
        <w:tc>
          <w:tcPr>
            <w:tcW w:w="1780" w:type="dxa"/>
            <w:gridSpan w:val="2"/>
            <w:vAlign w:val="bottom"/>
            <w:hideMark/>
          </w:tcPr>
          <w:p w14:paraId="377989F3"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w:t>
            </w:r>
          </w:p>
        </w:tc>
        <w:tc>
          <w:tcPr>
            <w:tcW w:w="2126" w:type="dxa"/>
            <w:gridSpan w:val="2"/>
            <w:vAlign w:val="bottom"/>
            <w:hideMark/>
          </w:tcPr>
          <w:p w14:paraId="4CAE0D50"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(0.1298)</w:t>
            </w:r>
          </w:p>
        </w:tc>
      </w:tr>
      <w:tr w:rsidR="005522A4" w:rsidRPr="0059588D" w14:paraId="215D34B3" w14:textId="77777777" w:rsidTr="00E65106">
        <w:trPr>
          <w:trHeight w:val="225"/>
        </w:trPr>
        <w:tc>
          <w:tcPr>
            <w:tcW w:w="2122" w:type="dxa"/>
            <w:vAlign w:val="bottom"/>
          </w:tcPr>
          <w:p w14:paraId="09FE054F"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2101" w:type="dxa"/>
            <w:vAlign w:val="bottom"/>
          </w:tcPr>
          <w:p w14:paraId="711E648A"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780" w:type="dxa"/>
            <w:gridSpan w:val="2"/>
            <w:vAlign w:val="bottom"/>
          </w:tcPr>
          <w:p w14:paraId="3603EEDB"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2126" w:type="dxa"/>
            <w:gridSpan w:val="2"/>
            <w:vAlign w:val="bottom"/>
          </w:tcPr>
          <w:p w14:paraId="4FEF109D"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3526089C" w14:textId="77777777" w:rsidTr="00E65106">
        <w:trPr>
          <w:trHeight w:val="225"/>
        </w:trPr>
        <w:tc>
          <w:tcPr>
            <w:tcW w:w="2122" w:type="dxa"/>
            <w:vAlign w:val="bottom"/>
            <w:hideMark/>
          </w:tcPr>
          <w:p w14:paraId="0FBB6C74"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King-Wu</w:t>
            </w:r>
          </w:p>
        </w:tc>
        <w:tc>
          <w:tcPr>
            <w:tcW w:w="2101" w:type="dxa"/>
            <w:vAlign w:val="bottom"/>
            <w:hideMark/>
          </w:tcPr>
          <w:p w14:paraId="243C652D"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2.489225</w:t>
            </w:r>
          </w:p>
        </w:tc>
        <w:tc>
          <w:tcPr>
            <w:tcW w:w="1780" w:type="dxa"/>
            <w:gridSpan w:val="2"/>
            <w:vAlign w:val="bottom"/>
            <w:hideMark/>
          </w:tcPr>
          <w:p w14:paraId="3C022A51"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-0.895137</w:t>
            </w:r>
          </w:p>
        </w:tc>
        <w:tc>
          <w:tcPr>
            <w:tcW w:w="2126" w:type="dxa"/>
            <w:gridSpan w:val="2"/>
            <w:vAlign w:val="bottom"/>
            <w:hideMark/>
          </w:tcPr>
          <w:p w14:paraId="3A1E3D64"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0.518880</w:t>
            </w:r>
          </w:p>
        </w:tc>
      </w:tr>
      <w:tr w:rsidR="005522A4" w:rsidRPr="0059588D" w14:paraId="757BB206" w14:textId="77777777" w:rsidTr="00E65106">
        <w:trPr>
          <w:trHeight w:val="225"/>
        </w:trPr>
        <w:tc>
          <w:tcPr>
            <w:tcW w:w="2122" w:type="dxa"/>
            <w:vAlign w:val="bottom"/>
          </w:tcPr>
          <w:p w14:paraId="0F251600"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2101" w:type="dxa"/>
            <w:vAlign w:val="bottom"/>
            <w:hideMark/>
          </w:tcPr>
          <w:p w14:paraId="1CC9C2DD"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(0.0064)</w:t>
            </w:r>
          </w:p>
        </w:tc>
        <w:tc>
          <w:tcPr>
            <w:tcW w:w="1780" w:type="dxa"/>
            <w:gridSpan w:val="2"/>
            <w:vAlign w:val="bottom"/>
            <w:hideMark/>
          </w:tcPr>
          <w:p w14:paraId="034548FE"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w:t>
            </w:r>
          </w:p>
        </w:tc>
        <w:tc>
          <w:tcPr>
            <w:tcW w:w="2126" w:type="dxa"/>
            <w:gridSpan w:val="2"/>
            <w:vAlign w:val="bottom"/>
            <w:hideMark/>
          </w:tcPr>
          <w:p w14:paraId="140DEE4D"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(0.3019)</w:t>
            </w:r>
          </w:p>
        </w:tc>
      </w:tr>
      <w:tr w:rsidR="005522A4" w:rsidRPr="0059588D" w14:paraId="3DB779EF" w14:textId="77777777" w:rsidTr="00E65106">
        <w:trPr>
          <w:trHeight w:val="225"/>
        </w:trPr>
        <w:tc>
          <w:tcPr>
            <w:tcW w:w="2122" w:type="dxa"/>
            <w:vAlign w:val="bottom"/>
          </w:tcPr>
          <w:p w14:paraId="25698DE9"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2101" w:type="dxa"/>
            <w:vAlign w:val="bottom"/>
          </w:tcPr>
          <w:p w14:paraId="5D75F5B1"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780" w:type="dxa"/>
            <w:gridSpan w:val="2"/>
            <w:vAlign w:val="bottom"/>
          </w:tcPr>
          <w:p w14:paraId="115F5D2C"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2126" w:type="dxa"/>
            <w:gridSpan w:val="2"/>
            <w:vAlign w:val="bottom"/>
          </w:tcPr>
          <w:p w14:paraId="12861A9B"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017E7470" w14:textId="77777777" w:rsidTr="00E65106">
        <w:trPr>
          <w:trHeight w:val="225"/>
        </w:trPr>
        <w:tc>
          <w:tcPr>
            <w:tcW w:w="2122" w:type="dxa"/>
            <w:vAlign w:val="bottom"/>
            <w:hideMark/>
          </w:tcPr>
          <w:p w14:paraId="42CDA68F"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Standardized Honda</w:t>
            </w:r>
          </w:p>
        </w:tc>
        <w:tc>
          <w:tcPr>
            <w:tcW w:w="2101" w:type="dxa"/>
            <w:vAlign w:val="bottom"/>
            <w:hideMark/>
          </w:tcPr>
          <w:p w14:paraId="667B8288"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4.470405</w:t>
            </w:r>
          </w:p>
        </w:tc>
        <w:tc>
          <w:tcPr>
            <w:tcW w:w="1780" w:type="dxa"/>
            <w:gridSpan w:val="2"/>
            <w:vAlign w:val="bottom"/>
            <w:hideMark/>
          </w:tcPr>
          <w:p w14:paraId="2B4B794B"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-0.701671</w:t>
            </w:r>
          </w:p>
        </w:tc>
        <w:tc>
          <w:tcPr>
            <w:tcW w:w="2126" w:type="dxa"/>
            <w:gridSpan w:val="2"/>
            <w:vAlign w:val="bottom"/>
            <w:hideMark/>
          </w:tcPr>
          <w:p w14:paraId="0978FC94"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-1.251242</w:t>
            </w:r>
          </w:p>
        </w:tc>
      </w:tr>
      <w:tr w:rsidR="005522A4" w:rsidRPr="0059588D" w14:paraId="00BFD37A" w14:textId="77777777" w:rsidTr="00E65106">
        <w:trPr>
          <w:trHeight w:val="225"/>
        </w:trPr>
        <w:tc>
          <w:tcPr>
            <w:tcW w:w="2122" w:type="dxa"/>
            <w:vAlign w:val="bottom"/>
          </w:tcPr>
          <w:p w14:paraId="6B45A8C7"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2101" w:type="dxa"/>
            <w:vAlign w:val="bottom"/>
            <w:hideMark/>
          </w:tcPr>
          <w:p w14:paraId="6A68CE0E"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(0.0000)</w:t>
            </w:r>
          </w:p>
        </w:tc>
        <w:tc>
          <w:tcPr>
            <w:tcW w:w="1780" w:type="dxa"/>
            <w:gridSpan w:val="2"/>
            <w:vAlign w:val="bottom"/>
            <w:hideMark/>
          </w:tcPr>
          <w:p w14:paraId="51B5ECE4"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w:t>
            </w:r>
          </w:p>
        </w:tc>
        <w:tc>
          <w:tcPr>
            <w:tcW w:w="2126" w:type="dxa"/>
            <w:gridSpan w:val="2"/>
            <w:vAlign w:val="bottom"/>
            <w:hideMark/>
          </w:tcPr>
          <w:p w14:paraId="4B4DBFB1"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w:t>
            </w:r>
          </w:p>
        </w:tc>
      </w:tr>
      <w:tr w:rsidR="005522A4" w:rsidRPr="0059588D" w14:paraId="37D45036" w14:textId="77777777" w:rsidTr="00E65106">
        <w:trPr>
          <w:trHeight w:val="225"/>
        </w:trPr>
        <w:tc>
          <w:tcPr>
            <w:tcW w:w="2122" w:type="dxa"/>
            <w:vAlign w:val="bottom"/>
            <w:hideMark/>
          </w:tcPr>
          <w:p w14:paraId="5A20B18E"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Standardized King-Wu</w:t>
            </w:r>
          </w:p>
        </w:tc>
        <w:tc>
          <w:tcPr>
            <w:tcW w:w="2101" w:type="dxa"/>
            <w:vAlign w:val="bottom"/>
            <w:hideMark/>
          </w:tcPr>
          <w:p w14:paraId="3348844E"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4.470405</w:t>
            </w:r>
          </w:p>
        </w:tc>
        <w:tc>
          <w:tcPr>
            <w:tcW w:w="1780" w:type="dxa"/>
            <w:gridSpan w:val="2"/>
            <w:vAlign w:val="bottom"/>
            <w:hideMark/>
          </w:tcPr>
          <w:p w14:paraId="000882F9"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-0.701671</w:t>
            </w:r>
          </w:p>
        </w:tc>
        <w:tc>
          <w:tcPr>
            <w:tcW w:w="2126" w:type="dxa"/>
            <w:gridSpan w:val="2"/>
            <w:vAlign w:val="bottom"/>
            <w:hideMark/>
          </w:tcPr>
          <w:p w14:paraId="61954DBE"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-1.766755</w:t>
            </w:r>
          </w:p>
        </w:tc>
      </w:tr>
      <w:tr w:rsidR="005522A4" w:rsidRPr="0059588D" w14:paraId="3F56C255" w14:textId="77777777" w:rsidTr="00E65106">
        <w:trPr>
          <w:trHeight w:val="225"/>
        </w:trPr>
        <w:tc>
          <w:tcPr>
            <w:tcW w:w="2122" w:type="dxa"/>
            <w:vAlign w:val="bottom"/>
          </w:tcPr>
          <w:p w14:paraId="6715F517"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2101" w:type="dxa"/>
            <w:vAlign w:val="bottom"/>
            <w:hideMark/>
          </w:tcPr>
          <w:p w14:paraId="50686C84"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(0.0000)</w:t>
            </w:r>
          </w:p>
        </w:tc>
        <w:tc>
          <w:tcPr>
            <w:tcW w:w="1780" w:type="dxa"/>
            <w:gridSpan w:val="2"/>
            <w:vAlign w:val="bottom"/>
            <w:hideMark/>
          </w:tcPr>
          <w:p w14:paraId="5117D2C7"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w:t>
            </w:r>
          </w:p>
        </w:tc>
        <w:tc>
          <w:tcPr>
            <w:tcW w:w="2126" w:type="dxa"/>
            <w:gridSpan w:val="2"/>
            <w:vAlign w:val="bottom"/>
            <w:hideMark/>
          </w:tcPr>
          <w:p w14:paraId="19FDF96E"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w:t>
            </w:r>
          </w:p>
        </w:tc>
      </w:tr>
      <w:tr w:rsidR="005522A4" w:rsidRPr="0059588D" w14:paraId="2CD6B85D" w14:textId="77777777" w:rsidTr="00E65106">
        <w:trPr>
          <w:trHeight w:val="225"/>
        </w:trPr>
        <w:tc>
          <w:tcPr>
            <w:tcW w:w="2122" w:type="dxa"/>
            <w:vAlign w:val="bottom"/>
            <w:hideMark/>
          </w:tcPr>
          <w:p w14:paraId="7E6A1AC1"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roofErr w:type="spellStart"/>
            <w:r w:rsidRPr="0059588D">
              <w:rPr>
                <w:rFonts w:ascii="Times New Roman" w:hAnsi="Times New Roman" w:cs="Times New Roman"/>
                <w:color w:val="000000"/>
                <w:lang w:eastAsia="id-ID"/>
              </w:rPr>
              <w:t>Gourierioux</w:t>
            </w:r>
            <w:proofErr w:type="spellEnd"/>
            <w:r w:rsidRPr="0059588D">
              <w:rPr>
                <w:rFonts w:ascii="Times New Roman" w:hAnsi="Times New Roman" w:cs="Times New Roman"/>
                <w:color w:val="000000"/>
                <w:lang w:eastAsia="id-ID"/>
              </w:rPr>
              <w:t>, et al.*</w:t>
            </w:r>
          </w:p>
        </w:tc>
        <w:tc>
          <w:tcPr>
            <w:tcW w:w="2101" w:type="dxa"/>
            <w:vAlign w:val="bottom"/>
            <w:hideMark/>
          </w:tcPr>
          <w:p w14:paraId="47916330"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w:t>
            </w:r>
          </w:p>
        </w:tc>
        <w:tc>
          <w:tcPr>
            <w:tcW w:w="1780" w:type="dxa"/>
            <w:gridSpan w:val="2"/>
            <w:vAlign w:val="bottom"/>
            <w:hideMark/>
          </w:tcPr>
          <w:p w14:paraId="2F96F2B1"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w:t>
            </w:r>
          </w:p>
        </w:tc>
        <w:tc>
          <w:tcPr>
            <w:tcW w:w="2126" w:type="dxa"/>
            <w:gridSpan w:val="2"/>
            <w:vAlign w:val="bottom"/>
            <w:hideMark/>
          </w:tcPr>
          <w:p w14:paraId="4CE94A5D"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6.196239</w:t>
            </w:r>
          </w:p>
        </w:tc>
      </w:tr>
      <w:tr w:rsidR="005522A4" w:rsidRPr="0059588D" w14:paraId="60D085F7" w14:textId="77777777" w:rsidTr="00E65106">
        <w:trPr>
          <w:trHeight w:val="225"/>
        </w:trPr>
        <w:tc>
          <w:tcPr>
            <w:tcW w:w="2122" w:type="dxa"/>
            <w:vAlign w:val="bottom"/>
          </w:tcPr>
          <w:p w14:paraId="446B94D0"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2101" w:type="dxa"/>
            <w:vAlign w:val="bottom"/>
          </w:tcPr>
          <w:p w14:paraId="6E38BEE9"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780" w:type="dxa"/>
            <w:gridSpan w:val="2"/>
            <w:vAlign w:val="bottom"/>
          </w:tcPr>
          <w:p w14:paraId="1200D833"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2126" w:type="dxa"/>
            <w:gridSpan w:val="2"/>
            <w:vAlign w:val="bottom"/>
            <w:hideMark/>
          </w:tcPr>
          <w:p w14:paraId="4572D134"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(&lt; 0.05)</w:t>
            </w:r>
          </w:p>
        </w:tc>
      </w:tr>
      <w:tr w:rsidR="005522A4" w:rsidRPr="0059588D" w14:paraId="4ADB2AD0" w14:textId="77777777" w:rsidTr="00E65106">
        <w:trPr>
          <w:trHeight w:hRule="exact" w:val="90"/>
        </w:trPr>
        <w:tc>
          <w:tcPr>
            <w:tcW w:w="2122" w:type="dxa"/>
            <w:tcBorders>
              <w:top w:val="nil"/>
              <w:left w:val="nil"/>
              <w:bottom w:val="double" w:sz="6" w:space="0" w:color="auto"/>
              <w:right w:val="nil"/>
            </w:tcBorders>
            <w:vAlign w:val="bottom"/>
          </w:tcPr>
          <w:p w14:paraId="3AB038E9"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2101" w:type="dxa"/>
            <w:tcBorders>
              <w:top w:val="nil"/>
              <w:left w:val="nil"/>
              <w:bottom w:val="double" w:sz="6" w:space="0" w:color="auto"/>
              <w:right w:val="nil"/>
            </w:tcBorders>
            <w:vAlign w:val="bottom"/>
          </w:tcPr>
          <w:p w14:paraId="158416DE"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780" w:type="dxa"/>
            <w:gridSpan w:val="2"/>
            <w:tcBorders>
              <w:top w:val="nil"/>
              <w:left w:val="nil"/>
              <w:bottom w:val="double" w:sz="6" w:space="0" w:color="auto"/>
              <w:right w:val="nil"/>
            </w:tcBorders>
            <w:vAlign w:val="bottom"/>
          </w:tcPr>
          <w:p w14:paraId="076DFC6C"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2126" w:type="dxa"/>
            <w:gridSpan w:val="2"/>
            <w:tcBorders>
              <w:top w:val="nil"/>
              <w:left w:val="nil"/>
              <w:bottom w:val="double" w:sz="6" w:space="0" w:color="auto"/>
              <w:right w:val="nil"/>
            </w:tcBorders>
            <w:vAlign w:val="bottom"/>
          </w:tcPr>
          <w:p w14:paraId="21797070"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3613BB50" w14:textId="77777777" w:rsidTr="00E65106">
        <w:trPr>
          <w:trHeight w:hRule="exact" w:val="135"/>
        </w:trPr>
        <w:tc>
          <w:tcPr>
            <w:tcW w:w="2122" w:type="dxa"/>
            <w:vAlign w:val="bottom"/>
          </w:tcPr>
          <w:p w14:paraId="55065B42"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2101" w:type="dxa"/>
            <w:vAlign w:val="bottom"/>
          </w:tcPr>
          <w:p w14:paraId="6FE7C9D1"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780" w:type="dxa"/>
            <w:gridSpan w:val="2"/>
            <w:vAlign w:val="bottom"/>
          </w:tcPr>
          <w:p w14:paraId="2A3644C6"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2126" w:type="dxa"/>
            <w:gridSpan w:val="2"/>
            <w:vAlign w:val="bottom"/>
          </w:tcPr>
          <w:p w14:paraId="7EF91E7E"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2F0FFA62" w14:textId="77777777" w:rsidTr="00E65106">
        <w:trPr>
          <w:trHeight w:val="225"/>
        </w:trPr>
        <w:tc>
          <w:tcPr>
            <w:tcW w:w="8129" w:type="dxa"/>
            <w:gridSpan w:val="6"/>
            <w:vAlign w:val="bottom"/>
            <w:hideMark/>
          </w:tcPr>
          <w:p w14:paraId="2E05C980"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*Mixed chi-square asymptotic critical values:</w:t>
            </w:r>
          </w:p>
        </w:tc>
      </w:tr>
      <w:tr w:rsidR="005522A4" w:rsidRPr="0059588D" w14:paraId="54161338" w14:textId="77777777" w:rsidTr="00E65106">
        <w:trPr>
          <w:trHeight w:val="225"/>
        </w:trPr>
        <w:tc>
          <w:tcPr>
            <w:tcW w:w="2122" w:type="dxa"/>
            <w:vAlign w:val="bottom"/>
            <w:hideMark/>
          </w:tcPr>
          <w:p w14:paraId="13055500"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1%</w:t>
            </w:r>
          </w:p>
        </w:tc>
        <w:tc>
          <w:tcPr>
            <w:tcW w:w="2101" w:type="dxa"/>
            <w:vAlign w:val="bottom"/>
            <w:hideMark/>
          </w:tcPr>
          <w:p w14:paraId="4E9A9AD8"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7.289</w:t>
            </w:r>
          </w:p>
        </w:tc>
        <w:tc>
          <w:tcPr>
            <w:tcW w:w="1780" w:type="dxa"/>
            <w:gridSpan w:val="2"/>
            <w:vAlign w:val="bottom"/>
          </w:tcPr>
          <w:p w14:paraId="1C333301"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p>
        </w:tc>
        <w:tc>
          <w:tcPr>
            <w:tcW w:w="2126" w:type="dxa"/>
            <w:gridSpan w:val="2"/>
            <w:vAlign w:val="bottom"/>
          </w:tcPr>
          <w:p w14:paraId="73385B5E"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p>
        </w:tc>
      </w:tr>
      <w:tr w:rsidR="005522A4" w:rsidRPr="0059588D" w14:paraId="4C6C3956" w14:textId="77777777" w:rsidTr="00E65106">
        <w:trPr>
          <w:trHeight w:val="225"/>
        </w:trPr>
        <w:tc>
          <w:tcPr>
            <w:tcW w:w="2122" w:type="dxa"/>
            <w:vAlign w:val="bottom"/>
            <w:hideMark/>
          </w:tcPr>
          <w:p w14:paraId="6DEC1EBD"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5%</w:t>
            </w:r>
          </w:p>
        </w:tc>
        <w:tc>
          <w:tcPr>
            <w:tcW w:w="2101" w:type="dxa"/>
            <w:vAlign w:val="bottom"/>
            <w:hideMark/>
          </w:tcPr>
          <w:p w14:paraId="166418DF"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4.321</w:t>
            </w:r>
          </w:p>
        </w:tc>
        <w:tc>
          <w:tcPr>
            <w:tcW w:w="1780" w:type="dxa"/>
            <w:gridSpan w:val="2"/>
            <w:vAlign w:val="bottom"/>
          </w:tcPr>
          <w:p w14:paraId="191ADF2F"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p>
        </w:tc>
        <w:tc>
          <w:tcPr>
            <w:tcW w:w="2126" w:type="dxa"/>
            <w:gridSpan w:val="2"/>
            <w:vAlign w:val="bottom"/>
          </w:tcPr>
          <w:p w14:paraId="36F0BC15"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p>
        </w:tc>
      </w:tr>
      <w:tr w:rsidR="005522A4" w:rsidRPr="0059588D" w14:paraId="66351DA1" w14:textId="77777777" w:rsidTr="00E65106">
        <w:trPr>
          <w:trHeight w:val="225"/>
        </w:trPr>
        <w:tc>
          <w:tcPr>
            <w:tcW w:w="2122" w:type="dxa"/>
            <w:vAlign w:val="bottom"/>
            <w:hideMark/>
          </w:tcPr>
          <w:p w14:paraId="6EE06B8F"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10%</w:t>
            </w:r>
          </w:p>
        </w:tc>
        <w:tc>
          <w:tcPr>
            <w:tcW w:w="2101" w:type="dxa"/>
            <w:vAlign w:val="bottom"/>
            <w:hideMark/>
          </w:tcPr>
          <w:p w14:paraId="328B4C8E"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2.952</w:t>
            </w:r>
          </w:p>
        </w:tc>
        <w:tc>
          <w:tcPr>
            <w:tcW w:w="1780" w:type="dxa"/>
            <w:gridSpan w:val="2"/>
            <w:vAlign w:val="bottom"/>
          </w:tcPr>
          <w:p w14:paraId="2504A3F4"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p>
        </w:tc>
        <w:tc>
          <w:tcPr>
            <w:tcW w:w="2126" w:type="dxa"/>
            <w:gridSpan w:val="2"/>
            <w:vAlign w:val="bottom"/>
          </w:tcPr>
          <w:p w14:paraId="3E127C3E"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p>
        </w:tc>
      </w:tr>
      <w:tr w:rsidR="005522A4" w:rsidRPr="0059588D" w14:paraId="5476B07E" w14:textId="77777777" w:rsidTr="00E65106">
        <w:trPr>
          <w:trHeight w:hRule="exact" w:val="90"/>
        </w:trPr>
        <w:tc>
          <w:tcPr>
            <w:tcW w:w="2122" w:type="dxa"/>
            <w:tcBorders>
              <w:top w:val="nil"/>
              <w:left w:val="nil"/>
              <w:bottom w:val="double" w:sz="6" w:space="0" w:color="auto"/>
              <w:right w:val="nil"/>
            </w:tcBorders>
            <w:vAlign w:val="bottom"/>
          </w:tcPr>
          <w:p w14:paraId="1EBE91CA"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2101" w:type="dxa"/>
            <w:tcBorders>
              <w:top w:val="nil"/>
              <w:left w:val="nil"/>
              <w:bottom w:val="double" w:sz="6" w:space="0" w:color="auto"/>
              <w:right w:val="nil"/>
            </w:tcBorders>
            <w:vAlign w:val="bottom"/>
          </w:tcPr>
          <w:p w14:paraId="0FEBC63B"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780" w:type="dxa"/>
            <w:gridSpan w:val="2"/>
            <w:tcBorders>
              <w:top w:val="nil"/>
              <w:left w:val="nil"/>
              <w:bottom w:val="double" w:sz="6" w:space="0" w:color="auto"/>
              <w:right w:val="nil"/>
            </w:tcBorders>
            <w:vAlign w:val="bottom"/>
          </w:tcPr>
          <w:p w14:paraId="632082B9"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2126" w:type="dxa"/>
            <w:gridSpan w:val="2"/>
            <w:tcBorders>
              <w:top w:val="nil"/>
              <w:left w:val="nil"/>
              <w:bottom w:val="double" w:sz="6" w:space="0" w:color="auto"/>
              <w:right w:val="nil"/>
            </w:tcBorders>
            <w:vAlign w:val="bottom"/>
          </w:tcPr>
          <w:p w14:paraId="7143E35F"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2F725C51" w14:textId="77777777" w:rsidTr="00E65106">
        <w:trPr>
          <w:trHeight w:hRule="exact" w:val="135"/>
        </w:trPr>
        <w:tc>
          <w:tcPr>
            <w:tcW w:w="2122" w:type="dxa"/>
            <w:vAlign w:val="bottom"/>
          </w:tcPr>
          <w:p w14:paraId="685DAAB6"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2101" w:type="dxa"/>
            <w:vAlign w:val="bottom"/>
          </w:tcPr>
          <w:p w14:paraId="6C6AF942"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780" w:type="dxa"/>
            <w:gridSpan w:val="2"/>
            <w:vAlign w:val="bottom"/>
          </w:tcPr>
          <w:p w14:paraId="5EE93D74"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2126" w:type="dxa"/>
            <w:gridSpan w:val="2"/>
            <w:vAlign w:val="bottom"/>
          </w:tcPr>
          <w:p w14:paraId="34E77B4F"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bl>
    <w:p w14:paraId="6C47CCA0" w14:textId="77777777" w:rsidR="003A1259" w:rsidRDefault="005522A4" w:rsidP="003A1259">
      <w:pPr>
        <w:ind w:firstLine="720"/>
      </w:pPr>
      <w:r>
        <w:t>From the test results with the Lagrange Multiplier (LM) Test above, it can be seen that the calculated LM value is 0.0128 (&lt;0.05), meaning that the calculated LM value&gt; Chi-Square table, the model chosen is the Random Effect Model. Based on previous tests for the Bank Risk Variable, the Random Effect Model has been selected 2 (two) times, which is in the Hausman Test and the Lagrange Multiplier (LM) Test, while the Fixed Effect Model is only selected in the Chow test. Meanwhile, the Common Effect Model in the test was not selected at all. Th</w:t>
      </w:r>
      <w:r w:rsidR="003A1259">
        <w:t>en</w:t>
      </w:r>
      <w:r>
        <w:t xml:space="preserve"> it can be concluded that of the three models (Common Effect Model, Fix Effect Model and Random Effect Model), the Fixed Effect Model is better at interpreting panel data regression to answer this research.</w:t>
      </w:r>
    </w:p>
    <w:p w14:paraId="332A1782" w14:textId="4E92AEC6" w:rsidR="005522A4" w:rsidRDefault="005522A4" w:rsidP="003A1259">
      <w:r>
        <w:t xml:space="preserve"> Panel Data Regression Analysis Results</w:t>
      </w:r>
    </w:p>
    <w:p w14:paraId="6F2E7084" w14:textId="2A762DB8" w:rsidR="005522A4" w:rsidRDefault="005522A4" w:rsidP="005522A4">
      <w:pPr>
        <w:ind w:firstLine="720"/>
      </w:pPr>
      <w:r>
        <w:t>Regression analysis with panel data models is used to estimate the effect of NIM, NPL, Exchange Rate, Oil Price, Market Power, and Female BDO Gender on Bank Risk. The use of panel data will produce different intercept and slope coefficients for each company and each time period.</w:t>
      </w:r>
    </w:p>
    <w:tbl>
      <w:tblPr>
        <w:tblW w:w="0" w:type="auto"/>
        <w:jc w:val="center"/>
        <w:tblLayout w:type="fixed"/>
        <w:tblCellMar>
          <w:left w:w="0" w:type="dxa"/>
          <w:right w:w="0" w:type="dxa"/>
        </w:tblCellMar>
        <w:tblLook w:val="04A0" w:firstRow="1" w:lastRow="0" w:firstColumn="1" w:lastColumn="0" w:noHBand="0" w:noVBand="1"/>
      </w:tblPr>
      <w:tblGrid>
        <w:gridCol w:w="2017"/>
        <w:gridCol w:w="1103"/>
        <w:gridCol w:w="1207"/>
        <w:gridCol w:w="1208"/>
        <w:gridCol w:w="997"/>
      </w:tblGrid>
      <w:tr w:rsidR="005522A4" w:rsidRPr="0059588D" w14:paraId="1CEADBFD" w14:textId="77777777" w:rsidTr="00E65106">
        <w:trPr>
          <w:trHeight w:hRule="exact" w:val="135"/>
          <w:jc w:val="center"/>
        </w:trPr>
        <w:tc>
          <w:tcPr>
            <w:tcW w:w="2017" w:type="dxa"/>
            <w:tcBorders>
              <w:top w:val="nil"/>
              <w:left w:val="nil"/>
              <w:bottom w:val="double" w:sz="4" w:space="0" w:color="auto"/>
              <w:right w:val="nil"/>
            </w:tcBorders>
            <w:vAlign w:val="bottom"/>
          </w:tcPr>
          <w:p w14:paraId="666BDAD6"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tcBorders>
              <w:top w:val="nil"/>
              <w:left w:val="nil"/>
              <w:bottom w:val="double" w:sz="4" w:space="0" w:color="auto"/>
              <w:right w:val="nil"/>
            </w:tcBorders>
            <w:vAlign w:val="bottom"/>
          </w:tcPr>
          <w:p w14:paraId="52B7413F"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tcBorders>
              <w:top w:val="nil"/>
              <w:left w:val="nil"/>
              <w:bottom w:val="double" w:sz="4" w:space="0" w:color="auto"/>
              <w:right w:val="nil"/>
            </w:tcBorders>
            <w:vAlign w:val="bottom"/>
          </w:tcPr>
          <w:p w14:paraId="5B4EF13E"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tcBorders>
              <w:top w:val="nil"/>
              <w:left w:val="nil"/>
              <w:bottom w:val="double" w:sz="4" w:space="0" w:color="auto"/>
              <w:right w:val="nil"/>
            </w:tcBorders>
            <w:vAlign w:val="bottom"/>
          </w:tcPr>
          <w:p w14:paraId="7E89ABD0"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tcBorders>
              <w:top w:val="nil"/>
              <w:left w:val="nil"/>
              <w:bottom w:val="double" w:sz="4" w:space="0" w:color="auto"/>
              <w:right w:val="nil"/>
            </w:tcBorders>
            <w:vAlign w:val="bottom"/>
          </w:tcPr>
          <w:p w14:paraId="02915808"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72ED0B0B" w14:textId="77777777" w:rsidTr="00E65106">
        <w:trPr>
          <w:trHeight w:val="225"/>
          <w:jc w:val="center"/>
        </w:trPr>
        <w:tc>
          <w:tcPr>
            <w:tcW w:w="2017" w:type="dxa"/>
            <w:tcBorders>
              <w:top w:val="double" w:sz="4" w:space="0" w:color="auto"/>
              <w:left w:val="nil"/>
              <w:bottom w:val="nil"/>
              <w:right w:val="nil"/>
            </w:tcBorders>
            <w:vAlign w:val="bottom"/>
            <w:hideMark/>
          </w:tcPr>
          <w:p w14:paraId="79062B69"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Variable</w:t>
            </w:r>
          </w:p>
        </w:tc>
        <w:tc>
          <w:tcPr>
            <w:tcW w:w="1103" w:type="dxa"/>
            <w:tcBorders>
              <w:top w:val="double" w:sz="4" w:space="0" w:color="auto"/>
              <w:left w:val="nil"/>
              <w:bottom w:val="nil"/>
              <w:right w:val="nil"/>
            </w:tcBorders>
            <w:vAlign w:val="bottom"/>
            <w:hideMark/>
          </w:tcPr>
          <w:p w14:paraId="7CBC5C51"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Coefficient</w:t>
            </w:r>
          </w:p>
        </w:tc>
        <w:tc>
          <w:tcPr>
            <w:tcW w:w="1207" w:type="dxa"/>
            <w:tcBorders>
              <w:top w:val="double" w:sz="4" w:space="0" w:color="auto"/>
              <w:left w:val="nil"/>
              <w:bottom w:val="nil"/>
              <w:right w:val="nil"/>
            </w:tcBorders>
            <w:vAlign w:val="bottom"/>
            <w:hideMark/>
          </w:tcPr>
          <w:p w14:paraId="612E9552"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Std. Error</w:t>
            </w:r>
          </w:p>
        </w:tc>
        <w:tc>
          <w:tcPr>
            <w:tcW w:w="1208" w:type="dxa"/>
            <w:tcBorders>
              <w:top w:val="double" w:sz="4" w:space="0" w:color="auto"/>
              <w:left w:val="nil"/>
              <w:bottom w:val="nil"/>
              <w:right w:val="nil"/>
            </w:tcBorders>
            <w:vAlign w:val="bottom"/>
            <w:hideMark/>
          </w:tcPr>
          <w:p w14:paraId="53235B68"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t-Statistic</w:t>
            </w:r>
          </w:p>
        </w:tc>
        <w:tc>
          <w:tcPr>
            <w:tcW w:w="997" w:type="dxa"/>
            <w:tcBorders>
              <w:top w:val="double" w:sz="4" w:space="0" w:color="auto"/>
              <w:left w:val="nil"/>
              <w:bottom w:val="nil"/>
              <w:right w:val="nil"/>
            </w:tcBorders>
            <w:vAlign w:val="bottom"/>
            <w:hideMark/>
          </w:tcPr>
          <w:p w14:paraId="0E767ED9"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Prob.  </w:t>
            </w:r>
          </w:p>
        </w:tc>
      </w:tr>
      <w:tr w:rsidR="005522A4" w:rsidRPr="0059588D" w14:paraId="426AA838" w14:textId="77777777" w:rsidTr="00E65106">
        <w:trPr>
          <w:trHeight w:hRule="exact" w:val="90"/>
          <w:jc w:val="center"/>
        </w:trPr>
        <w:tc>
          <w:tcPr>
            <w:tcW w:w="2017" w:type="dxa"/>
            <w:tcBorders>
              <w:top w:val="nil"/>
              <w:left w:val="nil"/>
              <w:bottom w:val="double" w:sz="6" w:space="0" w:color="auto"/>
              <w:right w:val="nil"/>
            </w:tcBorders>
            <w:vAlign w:val="bottom"/>
          </w:tcPr>
          <w:p w14:paraId="0ACD9864"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tcBorders>
              <w:top w:val="nil"/>
              <w:left w:val="nil"/>
              <w:bottom w:val="double" w:sz="6" w:space="0" w:color="auto"/>
              <w:right w:val="nil"/>
            </w:tcBorders>
            <w:vAlign w:val="bottom"/>
          </w:tcPr>
          <w:p w14:paraId="0C5BDD51"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tcBorders>
              <w:top w:val="nil"/>
              <w:left w:val="nil"/>
              <w:bottom w:val="double" w:sz="6" w:space="0" w:color="auto"/>
              <w:right w:val="nil"/>
            </w:tcBorders>
            <w:vAlign w:val="bottom"/>
          </w:tcPr>
          <w:p w14:paraId="3B462D9D"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tcBorders>
              <w:top w:val="nil"/>
              <w:left w:val="nil"/>
              <w:bottom w:val="double" w:sz="6" w:space="0" w:color="auto"/>
              <w:right w:val="nil"/>
            </w:tcBorders>
            <w:vAlign w:val="bottom"/>
          </w:tcPr>
          <w:p w14:paraId="0E50BAED"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tcBorders>
              <w:top w:val="nil"/>
              <w:left w:val="nil"/>
              <w:bottom w:val="double" w:sz="6" w:space="0" w:color="auto"/>
              <w:right w:val="nil"/>
            </w:tcBorders>
            <w:vAlign w:val="bottom"/>
          </w:tcPr>
          <w:p w14:paraId="4A1FD63C"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1F993B9F" w14:textId="77777777" w:rsidTr="00E65106">
        <w:trPr>
          <w:trHeight w:hRule="exact" w:val="135"/>
          <w:jc w:val="center"/>
        </w:trPr>
        <w:tc>
          <w:tcPr>
            <w:tcW w:w="2017" w:type="dxa"/>
            <w:vAlign w:val="bottom"/>
          </w:tcPr>
          <w:p w14:paraId="10C43FD1"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vAlign w:val="bottom"/>
          </w:tcPr>
          <w:p w14:paraId="53D0F5BD"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vAlign w:val="bottom"/>
          </w:tcPr>
          <w:p w14:paraId="12703213"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vAlign w:val="bottom"/>
          </w:tcPr>
          <w:p w14:paraId="753DB148"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vAlign w:val="bottom"/>
          </w:tcPr>
          <w:p w14:paraId="5AC701B4"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5FF1C57C" w14:textId="77777777" w:rsidTr="00E65106">
        <w:trPr>
          <w:trHeight w:val="225"/>
          <w:jc w:val="center"/>
        </w:trPr>
        <w:tc>
          <w:tcPr>
            <w:tcW w:w="2017" w:type="dxa"/>
            <w:vAlign w:val="bottom"/>
            <w:hideMark/>
          </w:tcPr>
          <w:p w14:paraId="54910572"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C</w:t>
            </w:r>
          </w:p>
        </w:tc>
        <w:tc>
          <w:tcPr>
            <w:tcW w:w="1103" w:type="dxa"/>
            <w:vAlign w:val="bottom"/>
            <w:hideMark/>
          </w:tcPr>
          <w:p w14:paraId="5A8AD994"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-0.770544</w:t>
            </w:r>
          </w:p>
        </w:tc>
        <w:tc>
          <w:tcPr>
            <w:tcW w:w="1207" w:type="dxa"/>
            <w:vAlign w:val="bottom"/>
            <w:hideMark/>
          </w:tcPr>
          <w:p w14:paraId="1BC9E393"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0.588864</w:t>
            </w:r>
          </w:p>
        </w:tc>
        <w:tc>
          <w:tcPr>
            <w:tcW w:w="1208" w:type="dxa"/>
            <w:vAlign w:val="bottom"/>
            <w:hideMark/>
          </w:tcPr>
          <w:p w14:paraId="2B2C4BF4"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-1.308525</w:t>
            </w:r>
          </w:p>
        </w:tc>
        <w:tc>
          <w:tcPr>
            <w:tcW w:w="997" w:type="dxa"/>
            <w:vAlign w:val="bottom"/>
            <w:hideMark/>
          </w:tcPr>
          <w:p w14:paraId="5D6AA967"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0.1978</w:t>
            </w:r>
          </w:p>
        </w:tc>
      </w:tr>
      <w:tr w:rsidR="005522A4" w:rsidRPr="0059588D" w14:paraId="6FFA305A" w14:textId="77777777" w:rsidTr="00E65106">
        <w:trPr>
          <w:trHeight w:val="225"/>
          <w:jc w:val="center"/>
        </w:trPr>
        <w:tc>
          <w:tcPr>
            <w:tcW w:w="2017" w:type="dxa"/>
            <w:vAlign w:val="bottom"/>
            <w:hideMark/>
          </w:tcPr>
          <w:p w14:paraId="5932038E"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NIM</w:t>
            </w:r>
          </w:p>
        </w:tc>
        <w:tc>
          <w:tcPr>
            <w:tcW w:w="1103" w:type="dxa"/>
            <w:vAlign w:val="bottom"/>
            <w:hideMark/>
          </w:tcPr>
          <w:p w14:paraId="6EBF52CC"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0.466476</w:t>
            </w:r>
          </w:p>
        </w:tc>
        <w:tc>
          <w:tcPr>
            <w:tcW w:w="1207" w:type="dxa"/>
            <w:vAlign w:val="bottom"/>
            <w:hideMark/>
          </w:tcPr>
          <w:p w14:paraId="3CD851BF"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0.247379</w:t>
            </w:r>
          </w:p>
        </w:tc>
        <w:tc>
          <w:tcPr>
            <w:tcW w:w="1208" w:type="dxa"/>
            <w:vAlign w:val="bottom"/>
            <w:hideMark/>
          </w:tcPr>
          <w:p w14:paraId="51C4ED1E"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1.885676</w:t>
            </w:r>
          </w:p>
        </w:tc>
        <w:tc>
          <w:tcPr>
            <w:tcW w:w="997" w:type="dxa"/>
            <w:vAlign w:val="bottom"/>
            <w:hideMark/>
          </w:tcPr>
          <w:p w14:paraId="0AC984D9"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0.0663</w:t>
            </w:r>
          </w:p>
        </w:tc>
      </w:tr>
      <w:tr w:rsidR="005522A4" w:rsidRPr="0059588D" w14:paraId="51F96481" w14:textId="77777777" w:rsidTr="00E65106">
        <w:trPr>
          <w:trHeight w:val="225"/>
          <w:jc w:val="center"/>
        </w:trPr>
        <w:tc>
          <w:tcPr>
            <w:tcW w:w="2017" w:type="dxa"/>
            <w:vAlign w:val="bottom"/>
            <w:hideMark/>
          </w:tcPr>
          <w:p w14:paraId="6C1DDD63"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NPL</w:t>
            </w:r>
          </w:p>
        </w:tc>
        <w:tc>
          <w:tcPr>
            <w:tcW w:w="1103" w:type="dxa"/>
            <w:vAlign w:val="bottom"/>
            <w:hideMark/>
          </w:tcPr>
          <w:p w14:paraId="50C2FFFF"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0.344266</w:t>
            </w:r>
          </w:p>
        </w:tc>
        <w:tc>
          <w:tcPr>
            <w:tcW w:w="1207" w:type="dxa"/>
            <w:vAlign w:val="bottom"/>
            <w:hideMark/>
          </w:tcPr>
          <w:p w14:paraId="63E3BC2A"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0.353213</w:t>
            </w:r>
          </w:p>
        </w:tc>
        <w:tc>
          <w:tcPr>
            <w:tcW w:w="1208" w:type="dxa"/>
            <w:vAlign w:val="bottom"/>
            <w:hideMark/>
          </w:tcPr>
          <w:p w14:paraId="32B691FE"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0.974670</w:t>
            </w:r>
          </w:p>
        </w:tc>
        <w:tc>
          <w:tcPr>
            <w:tcW w:w="997" w:type="dxa"/>
            <w:vAlign w:val="bottom"/>
            <w:hideMark/>
          </w:tcPr>
          <w:p w14:paraId="210B84FB"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0.3353</w:t>
            </w:r>
          </w:p>
        </w:tc>
      </w:tr>
      <w:tr w:rsidR="005522A4" w:rsidRPr="0059588D" w14:paraId="62340E64" w14:textId="77777777" w:rsidTr="00E65106">
        <w:trPr>
          <w:trHeight w:val="225"/>
          <w:jc w:val="center"/>
        </w:trPr>
        <w:tc>
          <w:tcPr>
            <w:tcW w:w="2017" w:type="dxa"/>
            <w:vAlign w:val="bottom"/>
            <w:hideMark/>
          </w:tcPr>
          <w:p w14:paraId="6791821A" w14:textId="23EB65DE" w:rsidR="005522A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Pr>
                <w:rFonts w:ascii="Times New Roman" w:hAnsi="Times New Roman" w:cs="Times New Roman"/>
                <w:color w:val="000000"/>
                <w:lang w:eastAsia="id-ID"/>
              </w:rPr>
              <w:t>EXCHANGE RATE</w:t>
            </w:r>
          </w:p>
        </w:tc>
        <w:tc>
          <w:tcPr>
            <w:tcW w:w="1103" w:type="dxa"/>
            <w:vAlign w:val="bottom"/>
            <w:hideMark/>
          </w:tcPr>
          <w:p w14:paraId="54390619"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4.074416</w:t>
            </w:r>
          </w:p>
        </w:tc>
        <w:tc>
          <w:tcPr>
            <w:tcW w:w="1207" w:type="dxa"/>
            <w:vAlign w:val="bottom"/>
            <w:hideMark/>
          </w:tcPr>
          <w:p w14:paraId="2AABC114"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6.037602</w:t>
            </w:r>
          </w:p>
        </w:tc>
        <w:tc>
          <w:tcPr>
            <w:tcW w:w="1208" w:type="dxa"/>
            <w:vAlign w:val="bottom"/>
            <w:hideMark/>
          </w:tcPr>
          <w:p w14:paraId="1A1AE77F"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0.674840</w:t>
            </w:r>
          </w:p>
        </w:tc>
        <w:tc>
          <w:tcPr>
            <w:tcW w:w="997" w:type="dxa"/>
            <w:vAlign w:val="bottom"/>
            <w:hideMark/>
          </w:tcPr>
          <w:p w14:paraId="152FB4B4"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0.5035</w:t>
            </w:r>
          </w:p>
        </w:tc>
      </w:tr>
      <w:tr w:rsidR="005522A4" w:rsidRPr="0059588D" w14:paraId="1CB74544" w14:textId="77777777" w:rsidTr="00E65106">
        <w:trPr>
          <w:trHeight w:val="225"/>
          <w:jc w:val="center"/>
        </w:trPr>
        <w:tc>
          <w:tcPr>
            <w:tcW w:w="2017" w:type="dxa"/>
            <w:vAlign w:val="bottom"/>
            <w:hideMark/>
          </w:tcPr>
          <w:p w14:paraId="02190A98" w14:textId="404AB189" w:rsidR="005522A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Pr>
                <w:rFonts w:ascii="Times New Roman" w:hAnsi="Times New Roman" w:cs="Times New Roman"/>
                <w:color w:val="000000"/>
                <w:lang w:eastAsia="id-ID"/>
              </w:rPr>
              <w:t>OIL PRICE</w:t>
            </w:r>
          </w:p>
        </w:tc>
        <w:tc>
          <w:tcPr>
            <w:tcW w:w="1103" w:type="dxa"/>
            <w:vAlign w:val="bottom"/>
            <w:hideMark/>
          </w:tcPr>
          <w:p w14:paraId="15B80ACA"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-0.007992</w:t>
            </w:r>
          </w:p>
        </w:tc>
        <w:tc>
          <w:tcPr>
            <w:tcW w:w="1207" w:type="dxa"/>
            <w:vAlign w:val="bottom"/>
            <w:hideMark/>
          </w:tcPr>
          <w:p w14:paraId="5082A93F"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0.017040</w:t>
            </w:r>
          </w:p>
        </w:tc>
        <w:tc>
          <w:tcPr>
            <w:tcW w:w="1208" w:type="dxa"/>
            <w:vAlign w:val="bottom"/>
            <w:hideMark/>
          </w:tcPr>
          <w:p w14:paraId="3FA3B9C4"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-0.469036</w:t>
            </w:r>
          </w:p>
        </w:tc>
        <w:tc>
          <w:tcPr>
            <w:tcW w:w="997" w:type="dxa"/>
            <w:vAlign w:val="bottom"/>
            <w:hideMark/>
          </w:tcPr>
          <w:p w14:paraId="071A72EB"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0.6415</w:t>
            </w:r>
          </w:p>
        </w:tc>
      </w:tr>
      <w:tr w:rsidR="005522A4" w:rsidRPr="0059588D" w14:paraId="6E8B814F" w14:textId="77777777" w:rsidTr="00E65106">
        <w:trPr>
          <w:trHeight w:val="225"/>
          <w:jc w:val="center"/>
        </w:trPr>
        <w:tc>
          <w:tcPr>
            <w:tcW w:w="2017" w:type="dxa"/>
            <w:vAlign w:val="bottom"/>
            <w:hideMark/>
          </w:tcPr>
          <w:p w14:paraId="3DE8F567"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MARKET POWER</w:t>
            </w:r>
          </w:p>
        </w:tc>
        <w:tc>
          <w:tcPr>
            <w:tcW w:w="1103" w:type="dxa"/>
            <w:vAlign w:val="bottom"/>
            <w:hideMark/>
          </w:tcPr>
          <w:p w14:paraId="2D1B56FF"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-0.014358</w:t>
            </w:r>
          </w:p>
        </w:tc>
        <w:tc>
          <w:tcPr>
            <w:tcW w:w="1207" w:type="dxa"/>
            <w:vAlign w:val="bottom"/>
            <w:hideMark/>
          </w:tcPr>
          <w:p w14:paraId="0CE541AB"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0.004926</w:t>
            </w:r>
          </w:p>
        </w:tc>
        <w:tc>
          <w:tcPr>
            <w:tcW w:w="1208" w:type="dxa"/>
            <w:vAlign w:val="bottom"/>
            <w:hideMark/>
          </w:tcPr>
          <w:p w14:paraId="5214E61B"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-2.914363</w:t>
            </w:r>
          </w:p>
        </w:tc>
        <w:tc>
          <w:tcPr>
            <w:tcW w:w="997" w:type="dxa"/>
            <w:vAlign w:val="bottom"/>
            <w:hideMark/>
          </w:tcPr>
          <w:p w14:paraId="06CC815D"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0.0057</w:t>
            </w:r>
          </w:p>
        </w:tc>
      </w:tr>
      <w:tr w:rsidR="005522A4" w:rsidRPr="0059588D" w14:paraId="14E6D128" w14:textId="77777777" w:rsidTr="00E65106">
        <w:trPr>
          <w:trHeight w:val="225"/>
          <w:jc w:val="center"/>
        </w:trPr>
        <w:tc>
          <w:tcPr>
            <w:tcW w:w="2017" w:type="dxa"/>
            <w:vAlign w:val="bottom"/>
            <w:hideMark/>
          </w:tcPr>
          <w:p w14:paraId="78EC9A33"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GENDER BDO</w:t>
            </w:r>
          </w:p>
        </w:tc>
        <w:tc>
          <w:tcPr>
            <w:tcW w:w="1103" w:type="dxa"/>
            <w:vAlign w:val="bottom"/>
            <w:hideMark/>
          </w:tcPr>
          <w:p w14:paraId="27E482F3"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0.459725</w:t>
            </w:r>
          </w:p>
        </w:tc>
        <w:tc>
          <w:tcPr>
            <w:tcW w:w="1207" w:type="dxa"/>
            <w:vAlign w:val="bottom"/>
            <w:hideMark/>
          </w:tcPr>
          <w:p w14:paraId="048077D4"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0.143248</w:t>
            </w:r>
          </w:p>
        </w:tc>
        <w:tc>
          <w:tcPr>
            <w:tcW w:w="1208" w:type="dxa"/>
            <w:vAlign w:val="bottom"/>
            <w:hideMark/>
          </w:tcPr>
          <w:p w14:paraId="4F81A16F"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3.209287</w:t>
            </w:r>
          </w:p>
        </w:tc>
        <w:tc>
          <w:tcPr>
            <w:tcW w:w="997" w:type="dxa"/>
            <w:vAlign w:val="bottom"/>
            <w:hideMark/>
          </w:tcPr>
          <w:p w14:paraId="3B1AF99D"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0.0026</w:t>
            </w:r>
          </w:p>
        </w:tc>
      </w:tr>
      <w:tr w:rsidR="005522A4" w:rsidRPr="0059588D" w14:paraId="0C47ABB0" w14:textId="77777777" w:rsidTr="00E65106">
        <w:trPr>
          <w:trHeight w:hRule="exact" w:val="90"/>
          <w:jc w:val="center"/>
        </w:trPr>
        <w:tc>
          <w:tcPr>
            <w:tcW w:w="2017" w:type="dxa"/>
            <w:tcBorders>
              <w:top w:val="nil"/>
              <w:left w:val="nil"/>
              <w:bottom w:val="double" w:sz="6" w:space="0" w:color="auto"/>
              <w:right w:val="nil"/>
            </w:tcBorders>
            <w:vAlign w:val="bottom"/>
          </w:tcPr>
          <w:p w14:paraId="75F2AC31"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tcBorders>
              <w:top w:val="nil"/>
              <w:left w:val="nil"/>
              <w:bottom w:val="double" w:sz="6" w:space="0" w:color="auto"/>
              <w:right w:val="nil"/>
            </w:tcBorders>
            <w:vAlign w:val="bottom"/>
          </w:tcPr>
          <w:p w14:paraId="79C4CAA2"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tcBorders>
              <w:top w:val="nil"/>
              <w:left w:val="nil"/>
              <w:bottom w:val="double" w:sz="6" w:space="0" w:color="auto"/>
              <w:right w:val="nil"/>
            </w:tcBorders>
            <w:vAlign w:val="bottom"/>
          </w:tcPr>
          <w:p w14:paraId="0D9EAC5B"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tcBorders>
              <w:top w:val="nil"/>
              <w:left w:val="nil"/>
              <w:bottom w:val="double" w:sz="6" w:space="0" w:color="auto"/>
              <w:right w:val="nil"/>
            </w:tcBorders>
            <w:vAlign w:val="bottom"/>
          </w:tcPr>
          <w:p w14:paraId="1B46CA25"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tcBorders>
              <w:top w:val="nil"/>
              <w:left w:val="nil"/>
              <w:bottom w:val="double" w:sz="6" w:space="0" w:color="auto"/>
              <w:right w:val="nil"/>
            </w:tcBorders>
            <w:vAlign w:val="bottom"/>
          </w:tcPr>
          <w:p w14:paraId="05C5B1EE"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53C20F02" w14:textId="77777777" w:rsidTr="00E65106">
        <w:trPr>
          <w:trHeight w:hRule="exact" w:val="135"/>
          <w:jc w:val="center"/>
        </w:trPr>
        <w:tc>
          <w:tcPr>
            <w:tcW w:w="2017" w:type="dxa"/>
            <w:vAlign w:val="bottom"/>
          </w:tcPr>
          <w:p w14:paraId="34924991"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vAlign w:val="bottom"/>
          </w:tcPr>
          <w:p w14:paraId="6B1D1637"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vAlign w:val="bottom"/>
          </w:tcPr>
          <w:p w14:paraId="55EA3450"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vAlign w:val="bottom"/>
          </w:tcPr>
          <w:p w14:paraId="14E5D67A"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vAlign w:val="bottom"/>
          </w:tcPr>
          <w:p w14:paraId="5061D1FF"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4E7E5F0E" w14:textId="77777777" w:rsidTr="00E65106">
        <w:trPr>
          <w:trHeight w:val="225"/>
          <w:jc w:val="center"/>
        </w:trPr>
        <w:tc>
          <w:tcPr>
            <w:tcW w:w="2017" w:type="dxa"/>
            <w:vAlign w:val="bottom"/>
          </w:tcPr>
          <w:p w14:paraId="56C6A4BB"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2310" w:type="dxa"/>
            <w:gridSpan w:val="2"/>
            <w:vAlign w:val="bottom"/>
            <w:hideMark/>
          </w:tcPr>
          <w:p w14:paraId="1DAA6E15"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Effects Specification</w:t>
            </w:r>
          </w:p>
        </w:tc>
        <w:tc>
          <w:tcPr>
            <w:tcW w:w="1208" w:type="dxa"/>
            <w:vAlign w:val="bottom"/>
          </w:tcPr>
          <w:p w14:paraId="2E4DCE6F"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vAlign w:val="bottom"/>
          </w:tcPr>
          <w:p w14:paraId="79F531A4"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0C2101FD" w14:textId="77777777" w:rsidTr="00E65106">
        <w:trPr>
          <w:trHeight w:hRule="exact" w:val="90"/>
          <w:jc w:val="center"/>
        </w:trPr>
        <w:tc>
          <w:tcPr>
            <w:tcW w:w="2017" w:type="dxa"/>
            <w:tcBorders>
              <w:top w:val="nil"/>
              <w:left w:val="nil"/>
              <w:bottom w:val="double" w:sz="6" w:space="0" w:color="auto"/>
              <w:right w:val="nil"/>
            </w:tcBorders>
            <w:vAlign w:val="bottom"/>
          </w:tcPr>
          <w:p w14:paraId="61118D4D"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tcBorders>
              <w:top w:val="nil"/>
              <w:left w:val="nil"/>
              <w:bottom w:val="double" w:sz="6" w:space="0" w:color="auto"/>
              <w:right w:val="nil"/>
            </w:tcBorders>
            <w:vAlign w:val="bottom"/>
          </w:tcPr>
          <w:p w14:paraId="7966AE6B"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tcBorders>
              <w:top w:val="nil"/>
              <w:left w:val="nil"/>
              <w:bottom w:val="double" w:sz="6" w:space="0" w:color="auto"/>
              <w:right w:val="nil"/>
            </w:tcBorders>
            <w:vAlign w:val="bottom"/>
          </w:tcPr>
          <w:p w14:paraId="733E2AD7"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tcBorders>
              <w:top w:val="nil"/>
              <w:left w:val="nil"/>
              <w:bottom w:val="double" w:sz="6" w:space="0" w:color="auto"/>
              <w:right w:val="nil"/>
            </w:tcBorders>
            <w:vAlign w:val="bottom"/>
          </w:tcPr>
          <w:p w14:paraId="32FE7091"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tcBorders>
              <w:top w:val="nil"/>
              <w:left w:val="nil"/>
              <w:bottom w:val="double" w:sz="6" w:space="0" w:color="auto"/>
              <w:right w:val="nil"/>
            </w:tcBorders>
            <w:vAlign w:val="bottom"/>
          </w:tcPr>
          <w:p w14:paraId="66314B42"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39A25350" w14:textId="77777777" w:rsidTr="00E65106">
        <w:trPr>
          <w:trHeight w:hRule="exact" w:val="135"/>
          <w:jc w:val="center"/>
        </w:trPr>
        <w:tc>
          <w:tcPr>
            <w:tcW w:w="2017" w:type="dxa"/>
            <w:vAlign w:val="bottom"/>
          </w:tcPr>
          <w:p w14:paraId="695606AC"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vAlign w:val="bottom"/>
          </w:tcPr>
          <w:p w14:paraId="244AE46E"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vAlign w:val="bottom"/>
          </w:tcPr>
          <w:p w14:paraId="682A11AC"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vAlign w:val="bottom"/>
          </w:tcPr>
          <w:p w14:paraId="30F4D8CA"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vAlign w:val="bottom"/>
          </w:tcPr>
          <w:p w14:paraId="3C2D870A"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5D4EFB87" w14:textId="77777777" w:rsidTr="00E65106">
        <w:trPr>
          <w:trHeight w:val="225"/>
          <w:jc w:val="center"/>
        </w:trPr>
        <w:tc>
          <w:tcPr>
            <w:tcW w:w="5535" w:type="dxa"/>
            <w:gridSpan w:val="4"/>
            <w:vAlign w:val="bottom"/>
            <w:hideMark/>
          </w:tcPr>
          <w:p w14:paraId="2363053F"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Cross-section fixed (dummy variables)</w:t>
            </w:r>
          </w:p>
        </w:tc>
        <w:tc>
          <w:tcPr>
            <w:tcW w:w="997" w:type="dxa"/>
            <w:vAlign w:val="bottom"/>
          </w:tcPr>
          <w:p w14:paraId="28CD0BEB"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476652E4" w14:textId="77777777" w:rsidTr="00E65106">
        <w:trPr>
          <w:trHeight w:hRule="exact" w:val="90"/>
          <w:jc w:val="center"/>
        </w:trPr>
        <w:tc>
          <w:tcPr>
            <w:tcW w:w="2017" w:type="dxa"/>
            <w:tcBorders>
              <w:top w:val="nil"/>
              <w:left w:val="nil"/>
              <w:bottom w:val="double" w:sz="6" w:space="0" w:color="auto"/>
              <w:right w:val="nil"/>
            </w:tcBorders>
            <w:vAlign w:val="bottom"/>
          </w:tcPr>
          <w:p w14:paraId="3A145CFC"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tcBorders>
              <w:top w:val="nil"/>
              <w:left w:val="nil"/>
              <w:bottom w:val="double" w:sz="6" w:space="0" w:color="auto"/>
              <w:right w:val="nil"/>
            </w:tcBorders>
            <w:vAlign w:val="bottom"/>
          </w:tcPr>
          <w:p w14:paraId="3A3FFB73"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tcBorders>
              <w:top w:val="nil"/>
              <w:left w:val="nil"/>
              <w:bottom w:val="double" w:sz="6" w:space="0" w:color="auto"/>
              <w:right w:val="nil"/>
            </w:tcBorders>
            <w:vAlign w:val="bottom"/>
          </w:tcPr>
          <w:p w14:paraId="439E44B1"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tcBorders>
              <w:top w:val="nil"/>
              <w:left w:val="nil"/>
              <w:bottom w:val="double" w:sz="6" w:space="0" w:color="auto"/>
              <w:right w:val="nil"/>
            </w:tcBorders>
            <w:vAlign w:val="bottom"/>
          </w:tcPr>
          <w:p w14:paraId="29BE12F1"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tcBorders>
              <w:top w:val="nil"/>
              <w:left w:val="nil"/>
              <w:bottom w:val="double" w:sz="6" w:space="0" w:color="auto"/>
              <w:right w:val="nil"/>
            </w:tcBorders>
            <w:vAlign w:val="bottom"/>
          </w:tcPr>
          <w:p w14:paraId="7BE97CD1"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2EAFB535" w14:textId="77777777" w:rsidTr="00E65106">
        <w:trPr>
          <w:trHeight w:hRule="exact" w:val="135"/>
          <w:jc w:val="center"/>
        </w:trPr>
        <w:tc>
          <w:tcPr>
            <w:tcW w:w="2017" w:type="dxa"/>
            <w:vAlign w:val="bottom"/>
          </w:tcPr>
          <w:p w14:paraId="3B86BD22"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vAlign w:val="bottom"/>
          </w:tcPr>
          <w:p w14:paraId="3B12A60E"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vAlign w:val="bottom"/>
          </w:tcPr>
          <w:p w14:paraId="557945B8"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vAlign w:val="bottom"/>
          </w:tcPr>
          <w:p w14:paraId="28748D7F"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vAlign w:val="bottom"/>
          </w:tcPr>
          <w:p w14:paraId="1A64F8F6"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5AB5E468" w14:textId="77777777" w:rsidTr="00E65106">
        <w:trPr>
          <w:trHeight w:val="225"/>
          <w:jc w:val="center"/>
        </w:trPr>
        <w:tc>
          <w:tcPr>
            <w:tcW w:w="2017" w:type="dxa"/>
            <w:vAlign w:val="bottom"/>
            <w:hideMark/>
          </w:tcPr>
          <w:p w14:paraId="25C782CE"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R-squared</w:t>
            </w:r>
          </w:p>
        </w:tc>
        <w:tc>
          <w:tcPr>
            <w:tcW w:w="1103" w:type="dxa"/>
            <w:vAlign w:val="bottom"/>
            <w:hideMark/>
          </w:tcPr>
          <w:p w14:paraId="71F1D66D"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0.708810</w:t>
            </w:r>
          </w:p>
        </w:tc>
        <w:tc>
          <w:tcPr>
            <w:tcW w:w="2415" w:type="dxa"/>
            <w:gridSpan w:val="2"/>
            <w:vAlign w:val="bottom"/>
            <w:hideMark/>
          </w:tcPr>
          <w:p w14:paraId="65BBF946"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Mean dependent var</w:t>
            </w:r>
          </w:p>
        </w:tc>
        <w:tc>
          <w:tcPr>
            <w:tcW w:w="997" w:type="dxa"/>
            <w:vAlign w:val="bottom"/>
            <w:hideMark/>
          </w:tcPr>
          <w:p w14:paraId="7756DEFF"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0.004298</w:t>
            </w:r>
          </w:p>
        </w:tc>
      </w:tr>
      <w:tr w:rsidR="005522A4" w:rsidRPr="0059588D" w14:paraId="2761B19A" w14:textId="77777777" w:rsidTr="00E65106">
        <w:trPr>
          <w:trHeight w:val="225"/>
          <w:jc w:val="center"/>
        </w:trPr>
        <w:tc>
          <w:tcPr>
            <w:tcW w:w="2017" w:type="dxa"/>
            <w:vAlign w:val="bottom"/>
            <w:hideMark/>
          </w:tcPr>
          <w:p w14:paraId="0F0848B8"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Adjusted R-squared</w:t>
            </w:r>
          </w:p>
        </w:tc>
        <w:tc>
          <w:tcPr>
            <w:tcW w:w="1103" w:type="dxa"/>
            <w:vAlign w:val="bottom"/>
            <w:hideMark/>
          </w:tcPr>
          <w:p w14:paraId="4BDA73A4"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0.590947</w:t>
            </w:r>
          </w:p>
        </w:tc>
        <w:tc>
          <w:tcPr>
            <w:tcW w:w="2415" w:type="dxa"/>
            <w:gridSpan w:val="2"/>
            <w:vAlign w:val="bottom"/>
            <w:hideMark/>
          </w:tcPr>
          <w:p w14:paraId="16932848"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S.D. dependent var</w:t>
            </w:r>
          </w:p>
        </w:tc>
        <w:tc>
          <w:tcPr>
            <w:tcW w:w="997" w:type="dxa"/>
            <w:vAlign w:val="bottom"/>
            <w:hideMark/>
          </w:tcPr>
          <w:p w14:paraId="267D137F"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0.048177</w:t>
            </w:r>
          </w:p>
        </w:tc>
      </w:tr>
      <w:tr w:rsidR="005522A4" w:rsidRPr="0059588D" w14:paraId="79C511A3" w14:textId="77777777" w:rsidTr="00E65106">
        <w:trPr>
          <w:trHeight w:val="225"/>
          <w:jc w:val="center"/>
        </w:trPr>
        <w:tc>
          <w:tcPr>
            <w:tcW w:w="2017" w:type="dxa"/>
            <w:vAlign w:val="bottom"/>
            <w:hideMark/>
          </w:tcPr>
          <w:p w14:paraId="69E718D7"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S.E. of regression</w:t>
            </w:r>
          </w:p>
        </w:tc>
        <w:tc>
          <w:tcPr>
            <w:tcW w:w="1103" w:type="dxa"/>
            <w:vAlign w:val="bottom"/>
            <w:hideMark/>
          </w:tcPr>
          <w:p w14:paraId="61B0DD46"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0.030812</w:t>
            </w:r>
          </w:p>
        </w:tc>
        <w:tc>
          <w:tcPr>
            <w:tcW w:w="2415" w:type="dxa"/>
            <w:gridSpan w:val="2"/>
            <w:vAlign w:val="bottom"/>
            <w:hideMark/>
          </w:tcPr>
          <w:p w14:paraId="5925B938"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Akaike info criterion</w:t>
            </w:r>
          </w:p>
        </w:tc>
        <w:tc>
          <w:tcPr>
            <w:tcW w:w="997" w:type="dxa"/>
            <w:vAlign w:val="bottom"/>
            <w:hideMark/>
          </w:tcPr>
          <w:p w14:paraId="173F7DAD"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-3.878471</w:t>
            </w:r>
          </w:p>
        </w:tc>
      </w:tr>
      <w:tr w:rsidR="005522A4" w:rsidRPr="0059588D" w14:paraId="1CABDDAA" w14:textId="77777777" w:rsidTr="00E65106">
        <w:trPr>
          <w:trHeight w:val="225"/>
          <w:jc w:val="center"/>
        </w:trPr>
        <w:tc>
          <w:tcPr>
            <w:tcW w:w="2017" w:type="dxa"/>
            <w:vAlign w:val="bottom"/>
            <w:hideMark/>
          </w:tcPr>
          <w:p w14:paraId="18429879"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xml:space="preserve">Sum squared </w:t>
            </w:r>
            <w:proofErr w:type="spellStart"/>
            <w:r w:rsidRPr="0059588D">
              <w:rPr>
                <w:rFonts w:ascii="Times New Roman" w:hAnsi="Times New Roman" w:cs="Times New Roman"/>
                <w:color w:val="000000"/>
                <w:lang w:eastAsia="id-ID"/>
              </w:rPr>
              <w:t>resid</w:t>
            </w:r>
            <w:proofErr w:type="spellEnd"/>
          </w:p>
        </w:tc>
        <w:tc>
          <w:tcPr>
            <w:tcW w:w="1103" w:type="dxa"/>
            <w:vAlign w:val="bottom"/>
            <w:hideMark/>
          </w:tcPr>
          <w:p w14:paraId="4DE00FFB"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0.039875</w:t>
            </w:r>
          </w:p>
        </w:tc>
        <w:tc>
          <w:tcPr>
            <w:tcW w:w="2415" w:type="dxa"/>
            <w:gridSpan w:val="2"/>
            <w:vAlign w:val="bottom"/>
            <w:hideMark/>
          </w:tcPr>
          <w:p w14:paraId="27D1E89A"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Schwarz criterion</w:t>
            </w:r>
          </w:p>
        </w:tc>
        <w:tc>
          <w:tcPr>
            <w:tcW w:w="997" w:type="dxa"/>
            <w:vAlign w:val="bottom"/>
            <w:hideMark/>
          </w:tcPr>
          <w:p w14:paraId="3AD51C4F"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-3.250168</w:t>
            </w:r>
          </w:p>
        </w:tc>
      </w:tr>
      <w:tr w:rsidR="005522A4" w:rsidRPr="0059588D" w14:paraId="4C39443B" w14:textId="77777777" w:rsidTr="00E65106">
        <w:trPr>
          <w:trHeight w:val="225"/>
          <w:jc w:val="center"/>
        </w:trPr>
        <w:tc>
          <w:tcPr>
            <w:tcW w:w="2017" w:type="dxa"/>
            <w:vAlign w:val="bottom"/>
            <w:hideMark/>
          </w:tcPr>
          <w:p w14:paraId="086389DE"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Log likelihood</w:t>
            </w:r>
          </w:p>
        </w:tc>
        <w:tc>
          <w:tcPr>
            <w:tcW w:w="1103" w:type="dxa"/>
            <w:vAlign w:val="bottom"/>
            <w:hideMark/>
          </w:tcPr>
          <w:p w14:paraId="6DACCB95"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134.3541</w:t>
            </w:r>
          </w:p>
        </w:tc>
        <w:tc>
          <w:tcPr>
            <w:tcW w:w="2415" w:type="dxa"/>
            <w:gridSpan w:val="2"/>
            <w:vAlign w:val="bottom"/>
            <w:hideMark/>
          </w:tcPr>
          <w:p w14:paraId="190B0D57"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xml:space="preserve">    Hannan-Quinn </w:t>
            </w:r>
            <w:proofErr w:type="spellStart"/>
            <w:r w:rsidRPr="0059588D">
              <w:rPr>
                <w:rFonts w:ascii="Times New Roman" w:hAnsi="Times New Roman" w:cs="Times New Roman"/>
                <w:color w:val="000000"/>
                <w:lang w:eastAsia="id-ID"/>
              </w:rPr>
              <w:t>criter</w:t>
            </w:r>
            <w:proofErr w:type="spellEnd"/>
            <w:r w:rsidRPr="0059588D">
              <w:rPr>
                <w:rFonts w:ascii="Times New Roman" w:hAnsi="Times New Roman" w:cs="Times New Roman"/>
                <w:color w:val="000000"/>
                <w:lang w:eastAsia="id-ID"/>
              </w:rPr>
              <w:t>.</w:t>
            </w:r>
          </w:p>
        </w:tc>
        <w:tc>
          <w:tcPr>
            <w:tcW w:w="997" w:type="dxa"/>
            <w:vAlign w:val="bottom"/>
            <w:hideMark/>
          </w:tcPr>
          <w:p w14:paraId="580B7FF8"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-3.632707</w:t>
            </w:r>
          </w:p>
        </w:tc>
      </w:tr>
      <w:tr w:rsidR="005522A4" w:rsidRPr="0059588D" w14:paraId="207EB4B0" w14:textId="77777777" w:rsidTr="00E65106">
        <w:trPr>
          <w:trHeight w:val="225"/>
          <w:jc w:val="center"/>
        </w:trPr>
        <w:tc>
          <w:tcPr>
            <w:tcW w:w="2017" w:type="dxa"/>
            <w:vAlign w:val="bottom"/>
            <w:hideMark/>
          </w:tcPr>
          <w:p w14:paraId="4BFB5DEE"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F-statistic</w:t>
            </w:r>
          </w:p>
        </w:tc>
        <w:tc>
          <w:tcPr>
            <w:tcW w:w="1103" w:type="dxa"/>
            <w:vAlign w:val="bottom"/>
            <w:hideMark/>
          </w:tcPr>
          <w:p w14:paraId="054F4CC8"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6.013859</w:t>
            </w:r>
          </w:p>
        </w:tc>
        <w:tc>
          <w:tcPr>
            <w:tcW w:w="2415" w:type="dxa"/>
            <w:gridSpan w:val="2"/>
            <w:vAlign w:val="bottom"/>
            <w:hideMark/>
          </w:tcPr>
          <w:p w14:paraId="4E41358D"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Durbin-Watson stat</w:t>
            </w:r>
          </w:p>
        </w:tc>
        <w:tc>
          <w:tcPr>
            <w:tcW w:w="997" w:type="dxa"/>
            <w:vAlign w:val="bottom"/>
            <w:hideMark/>
          </w:tcPr>
          <w:p w14:paraId="36B03219"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1.549690</w:t>
            </w:r>
          </w:p>
        </w:tc>
      </w:tr>
      <w:tr w:rsidR="005522A4" w:rsidRPr="0059588D" w14:paraId="51C933F2" w14:textId="77777777" w:rsidTr="00E65106">
        <w:trPr>
          <w:trHeight w:val="225"/>
          <w:jc w:val="center"/>
        </w:trPr>
        <w:tc>
          <w:tcPr>
            <w:tcW w:w="2017" w:type="dxa"/>
            <w:vAlign w:val="bottom"/>
            <w:hideMark/>
          </w:tcPr>
          <w:p w14:paraId="37E681FB"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Prob(F-statistic)</w:t>
            </w:r>
          </w:p>
        </w:tc>
        <w:tc>
          <w:tcPr>
            <w:tcW w:w="1103" w:type="dxa"/>
            <w:vAlign w:val="bottom"/>
            <w:hideMark/>
          </w:tcPr>
          <w:p w14:paraId="21153CF2"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0.000001</w:t>
            </w:r>
          </w:p>
        </w:tc>
        <w:tc>
          <w:tcPr>
            <w:tcW w:w="1207" w:type="dxa"/>
            <w:vAlign w:val="bottom"/>
          </w:tcPr>
          <w:p w14:paraId="46CFE3AF"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p>
        </w:tc>
        <w:tc>
          <w:tcPr>
            <w:tcW w:w="1208" w:type="dxa"/>
            <w:vAlign w:val="bottom"/>
          </w:tcPr>
          <w:p w14:paraId="305E8D43"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p>
        </w:tc>
        <w:tc>
          <w:tcPr>
            <w:tcW w:w="997" w:type="dxa"/>
            <w:vAlign w:val="bottom"/>
          </w:tcPr>
          <w:p w14:paraId="365E1144" w14:textId="77777777" w:rsidR="005522A4" w:rsidRPr="0059588D" w:rsidRDefault="005522A4" w:rsidP="00E65106">
            <w:pPr>
              <w:autoSpaceDE w:val="0"/>
              <w:autoSpaceDN w:val="0"/>
              <w:adjustRightInd w:val="0"/>
              <w:spacing w:after="0"/>
              <w:ind w:right="10"/>
              <w:jc w:val="both"/>
              <w:rPr>
                <w:rFonts w:ascii="Times New Roman" w:eastAsia="Calibri" w:hAnsi="Times New Roman" w:cs="Times New Roman"/>
                <w:color w:val="000000"/>
                <w:lang w:eastAsia="id-ID"/>
              </w:rPr>
            </w:pPr>
          </w:p>
        </w:tc>
      </w:tr>
      <w:tr w:rsidR="005522A4" w:rsidRPr="0059588D" w14:paraId="30ED5D68" w14:textId="77777777" w:rsidTr="00E65106">
        <w:trPr>
          <w:trHeight w:hRule="exact" w:val="90"/>
          <w:jc w:val="center"/>
        </w:trPr>
        <w:tc>
          <w:tcPr>
            <w:tcW w:w="2017" w:type="dxa"/>
            <w:tcBorders>
              <w:top w:val="nil"/>
              <w:left w:val="nil"/>
              <w:bottom w:val="double" w:sz="6" w:space="0" w:color="auto"/>
              <w:right w:val="nil"/>
            </w:tcBorders>
            <w:vAlign w:val="bottom"/>
          </w:tcPr>
          <w:p w14:paraId="2EDAA760"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tcBorders>
              <w:top w:val="nil"/>
              <w:left w:val="nil"/>
              <w:bottom w:val="double" w:sz="6" w:space="0" w:color="auto"/>
              <w:right w:val="nil"/>
            </w:tcBorders>
            <w:vAlign w:val="bottom"/>
          </w:tcPr>
          <w:p w14:paraId="1553ED43"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tcBorders>
              <w:top w:val="nil"/>
              <w:left w:val="nil"/>
              <w:bottom w:val="double" w:sz="6" w:space="0" w:color="auto"/>
              <w:right w:val="nil"/>
            </w:tcBorders>
            <w:vAlign w:val="bottom"/>
          </w:tcPr>
          <w:p w14:paraId="4FC1DF95"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tcBorders>
              <w:top w:val="nil"/>
              <w:left w:val="nil"/>
              <w:bottom w:val="double" w:sz="6" w:space="0" w:color="auto"/>
              <w:right w:val="nil"/>
            </w:tcBorders>
            <w:vAlign w:val="bottom"/>
          </w:tcPr>
          <w:p w14:paraId="5BAB3277"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tcBorders>
              <w:top w:val="nil"/>
              <w:left w:val="nil"/>
              <w:bottom w:val="double" w:sz="6" w:space="0" w:color="auto"/>
              <w:right w:val="nil"/>
            </w:tcBorders>
            <w:vAlign w:val="bottom"/>
          </w:tcPr>
          <w:p w14:paraId="51BBE92E"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r w:rsidR="005522A4" w:rsidRPr="0059588D" w14:paraId="7B7FC459" w14:textId="77777777" w:rsidTr="00E65106">
        <w:trPr>
          <w:trHeight w:hRule="exact" w:val="135"/>
          <w:jc w:val="center"/>
        </w:trPr>
        <w:tc>
          <w:tcPr>
            <w:tcW w:w="2017" w:type="dxa"/>
            <w:vAlign w:val="bottom"/>
          </w:tcPr>
          <w:p w14:paraId="1D253480"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vAlign w:val="bottom"/>
          </w:tcPr>
          <w:p w14:paraId="375BE48C"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vAlign w:val="bottom"/>
          </w:tcPr>
          <w:p w14:paraId="5B5BA4BA"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vAlign w:val="bottom"/>
          </w:tcPr>
          <w:p w14:paraId="65CB538D"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vAlign w:val="bottom"/>
          </w:tcPr>
          <w:p w14:paraId="44513C36" w14:textId="77777777" w:rsidR="005522A4" w:rsidRPr="0059588D" w:rsidRDefault="005522A4" w:rsidP="00E65106">
            <w:pPr>
              <w:autoSpaceDE w:val="0"/>
              <w:autoSpaceDN w:val="0"/>
              <w:adjustRightInd w:val="0"/>
              <w:spacing w:after="0"/>
              <w:jc w:val="both"/>
              <w:rPr>
                <w:rFonts w:ascii="Times New Roman" w:eastAsia="Calibri" w:hAnsi="Times New Roman" w:cs="Times New Roman"/>
                <w:color w:val="000000"/>
                <w:lang w:eastAsia="id-ID"/>
              </w:rPr>
            </w:pPr>
          </w:p>
        </w:tc>
      </w:tr>
    </w:tbl>
    <w:p w14:paraId="0B08A396" w14:textId="77777777" w:rsidR="005522A4" w:rsidRDefault="005522A4" w:rsidP="005522A4">
      <w:pPr>
        <w:ind w:firstLine="720"/>
      </w:pPr>
      <w:r>
        <w:t xml:space="preserve">From the regression test equation, it can be concluded that the constant coefficient value of -0.770544 means that if the variable NIM (X1), NPL (X2), Exchange Rate (X3), Oil Price (X4), Market Power (X5), and Gender BDO Women (X6) is zero, then the amount of Bank Risk is -0.1770544. </w:t>
      </w:r>
    </w:p>
    <w:p w14:paraId="65786ACF" w14:textId="77777777" w:rsidR="005522A4" w:rsidRDefault="005522A4" w:rsidP="005522A4">
      <w:pPr>
        <w:ind w:left="720" w:hanging="720"/>
      </w:pPr>
      <w:r>
        <w:t>1.</w:t>
      </w:r>
      <w:r>
        <w:tab/>
        <w:t xml:space="preserve">The regression coefficient value of variable X1 (Net Interest Margin) is positive, which is 0.466476, meaning that every 1% increase (Net Interest Margin) is predicted to increase Bank Risk by 0.466476, assuming other variables remain constant. </w:t>
      </w:r>
    </w:p>
    <w:p w14:paraId="57A685AD" w14:textId="0C367490" w:rsidR="005522A4" w:rsidRDefault="005522A4" w:rsidP="005522A4">
      <w:pPr>
        <w:ind w:left="720" w:hanging="720"/>
      </w:pPr>
      <w:r>
        <w:lastRenderedPageBreak/>
        <w:t>2.</w:t>
      </w:r>
      <w:r>
        <w:tab/>
        <w:t xml:space="preserve">The regression coefficient value of the X2 variable (Non-Performing Loan) is negative, which is -0.1344266, meaning that every 1% increase in Non-Performing Loan is predicted to reduce Bank Risk by -0. 344266 assuming other variables remain. </w:t>
      </w:r>
    </w:p>
    <w:p w14:paraId="2A632F11" w14:textId="564280B2" w:rsidR="005522A4" w:rsidRDefault="005522A4" w:rsidP="005522A4">
      <w:pPr>
        <w:ind w:left="720" w:hanging="720"/>
      </w:pPr>
      <w:r>
        <w:t>3.</w:t>
      </w:r>
      <w:r>
        <w:tab/>
        <w:t xml:space="preserve">The regression coefficient of variable X3 (Rupiah Exchange Rate) is negative, which is 4.074416, meaning that every 1% increase in the Rupiah Exchange Rate is predicted to increase Bank Risk by 4.074416, assuming other variables remain constant. </w:t>
      </w:r>
    </w:p>
    <w:p w14:paraId="3A116443" w14:textId="7D0EFAF3" w:rsidR="005522A4" w:rsidRDefault="005522A4" w:rsidP="005522A4">
      <w:pPr>
        <w:ind w:left="720" w:hanging="720"/>
      </w:pPr>
      <w:r>
        <w:t>4.</w:t>
      </w:r>
      <w:r>
        <w:tab/>
        <w:t>The regression coefficient value of variable X4 (Oil Price) is negative, which is -0.007992, meaning that every 1% increase in Oil Price is predicted to reduce Bank Risk by -0.007992, assuming other variables remain constant.</w:t>
      </w:r>
    </w:p>
    <w:p w14:paraId="484023F3" w14:textId="77777777" w:rsidR="005522A4" w:rsidRDefault="005522A4" w:rsidP="005522A4">
      <w:pPr>
        <w:ind w:left="720" w:hanging="720"/>
      </w:pPr>
      <w:r>
        <w:t>5.</w:t>
      </w:r>
      <w:r>
        <w:tab/>
        <w:t>The regression coefficient value of variable X5 (Market Power) is negative, amounting to -0.014358, meaning that every 1% increase in Market Power is predicted to reduce Bank Risk by -0.014358, assuming other variables remain constant.</w:t>
      </w:r>
    </w:p>
    <w:p w14:paraId="58244575" w14:textId="2022681E" w:rsidR="005522A4" w:rsidRDefault="005522A4" w:rsidP="005522A4">
      <w:pPr>
        <w:ind w:left="720" w:hanging="720"/>
      </w:pPr>
      <w:r>
        <w:t>6.</w:t>
      </w:r>
      <w:r>
        <w:tab/>
        <w:t>The regression coefficient value of variable X6 (Female BDO Gender) is negative, which is 0.459725, meaning that every 1% increase in Female BDO Gender is predicted to increase Bank Risk by 0.459725, assuming other variables remain constant.</w:t>
      </w:r>
    </w:p>
    <w:p w14:paraId="4552DD6F" w14:textId="449B289B" w:rsidR="005522A4" w:rsidRDefault="005522A4" w:rsidP="003A1259">
      <w:r>
        <w:t>Classical Assumption Test Results</w:t>
      </w:r>
    </w:p>
    <w:p w14:paraId="1705C82A" w14:textId="4118F373" w:rsidR="005522A4" w:rsidRDefault="005522A4" w:rsidP="005522A4">
      <w:pPr>
        <w:ind w:left="720" w:hanging="720"/>
      </w:pPr>
      <w:r>
        <w:t>Data Normality Test</w:t>
      </w:r>
    </w:p>
    <w:p w14:paraId="08F1CC9D" w14:textId="53DCA8C1" w:rsidR="005522A4" w:rsidRDefault="005522A4" w:rsidP="005522A4">
      <w:pPr>
        <w:ind w:left="720" w:hanging="720"/>
      </w:pPr>
      <w:r>
        <w:t xml:space="preserve">The normality test is used to determine whether the data presented for further analysis is normally distributed or not. A good regression model should be normally distributed or close to normal. The following is a normality test through regression calculations using </w:t>
      </w:r>
      <w:proofErr w:type="spellStart"/>
      <w:r>
        <w:t>Eviews</w:t>
      </w:r>
      <w:proofErr w:type="spellEnd"/>
      <w:r>
        <w:t>.</w:t>
      </w:r>
    </w:p>
    <w:p w14:paraId="77476E7C" w14:textId="4912C119" w:rsidR="005522A4" w:rsidRDefault="007E6C61" w:rsidP="005522A4">
      <w:pPr>
        <w:ind w:firstLine="720"/>
        <w:rPr>
          <w:rFonts w:ascii="Times New Roman" w:eastAsia="Calibri" w:hAnsi="Times New Roman" w:cs="Times New Roman"/>
        </w:rPr>
      </w:pPr>
      <w:r w:rsidRPr="0059588D">
        <w:rPr>
          <w:rFonts w:ascii="Times New Roman" w:eastAsia="Calibri" w:hAnsi="Times New Roman" w:cs="Times New Roman"/>
          <w:noProof/>
        </w:rPr>
        <w:object w:dxaOrig="12783" w:dyaOrig="5341" w14:anchorId="0D02E6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188.5pt" o:ole="">
            <v:imagedata r:id="rId6" o:title=""/>
          </v:shape>
          <o:OLEObject Type="Embed" ProgID="EViews.Workfile.2" ShapeID="_x0000_i1025" DrawAspect="Content" ObjectID="_1738180205" r:id="rId7"/>
        </w:object>
      </w:r>
    </w:p>
    <w:p w14:paraId="154E2C5F" w14:textId="77777777" w:rsidR="00F02C04" w:rsidRDefault="00F02C04" w:rsidP="00F02C04">
      <w:pPr>
        <w:ind w:firstLine="720"/>
      </w:pPr>
      <w:r>
        <w:t>The decision on whether the residuals are normally distributed is simply by comparing the calculated JB (Jarque-</w:t>
      </w:r>
      <w:proofErr w:type="spellStart"/>
      <w:r>
        <w:t>Bera</w:t>
      </w:r>
      <w:proofErr w:type="spellEnd"/>
      <w:r>
        <w:t>) Probability value with an alpha level of 0.05 (5%). If Prob. JB count is greater than 0.05, it can be concluded that the residuals are normally distributed and vice versa, if the value is smaller, there is not enough evidence to state that the residuals are normally distributed. Prob value. JB calculated at 0.00000 &lt;0.05 so it can be concluded that the residuals are not normally distributed.</w:t>
      </w:r>
    </w:p>
    <w:p w14:paraId="73090682" w14:textId="032FC737" w:rsidR="00F02C04" w:rsidRDefault="00F02C04" w:rsidP="00F02C04">
      <w:r>
        <w:t>Multicollinearity Test</w:t>
      </w:r>
    </w:p>
    <w:p w14:paraId="7AC56751" w14:textId="5AFA39AF" w:rsidR="00F02C04" w:rsidRDefault="00F02C04" w:rsidP="00163254">
      <w:r>
        <w:t xml:space="preserve">The multicollinearity test is used to determine whether there is a correlation or intercorrelation between the independent variables in the regression. Multicollinearity test results using </w:t>
      </w:r>
      <w:proofErr w:type="spellStart"/>
      <w:r>
        <w:t>Eviews</w:t>
      </w:r>
      <w:proofErr w:type="spellEnd"/>
      <w:r>
        <w:t>.</w:t>
      </w:r>
    </w:p>
    <w:tbl>
      <w:tblPr>
        <w:tblW w:w="0" w:type="auto"/>
        <w:jc w:val="center"/>
        <w:tblLayout w:type="fixed"/>
        <w:tblCellMar>
          <w:left w:w="0" w:type="dxa"/>
          <w:right w:w="0" w:type="dxa"/>
        </w:tblCellMar>
        <w:tblLook w:val="04A0" w:firstRow="1" w:lastRow="0" w:firstColumn="1" w:lastColumn="0" w:noHBand="0" w:noVBand="1"/>
      </w:tblPr>
      <w:tblGrid>
        <w:gridCol w:w="2017"/>
        <w:gridCol w:w="1208"/>
        <w:gridCol w:w="1207"/>
        <w:gridCol w:w="1208"/>
      </w:tblGrid>
      <w:tr w:rsidR="00F02C04" w:rsidRPr="0059588D" w14:paraId="5E8BF72D" w14:textId="77777777" w:rsidTr="00E65106">
        <w:trPr>
          <w:trHeight w:hRule="exact" w:val="90"/>
          <w:jc w:val="center"/>
        </w:trPr>
        <w:tc>
          <w:tcPr>
            <w:tcW w:w="2017" w:type="dxa"/>
            <w:tcBorders>
              <w:top w:val="nil"/>
              <w:left w:val="nil"/>
              <w:bottom w:val="double" w:sz="6" w:space="0" w:color="auto"/>
              <w:right w:val="nil"/>
            </w:tcBorders>
            <w:vAlign w:val="bottom"/>
          </w:tcPr>
          <w:p w14:paraId="45C7420D"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tcBorders>
              <w:top w:val="nil"/>
              <w:left w:val="nil"/>
              <w:bottom w:val="double" w:sz="6" w:space="0" w:color="auto"/>
              <w:right w:val="nil"/>
            </w:tcBorders>
            <w:vAlign w:val="bottom"/>
          </w:tcPr>
          <w:p w14:paraId="083DD075"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tcBorders>
              <w:top w:val="nil"/>
              <w:left w:val="nil"/>
              <w:bottom w:val="double" w:sz="6" w:space="0" w:color="auto"/>
              <w:right w:val="nil"/>
            </w:tcBorders>
            <w:vAlign w:val="bottom"/>
          </w:tcPr>
          <w:p w14:paraId="4672C2EA"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tcBorders>
              <w:top w:val="nil"/>
              <w:left w:val="nil"/>
              <w:bottom w:val="double" w:sz="6" w:space="0" w:color="auto"/>
              <w:right w:val="nil"/>
            </w:tcBorders>
            <w:vAlign w:val="bottom"/>
          </w:tcPr>
          <w:p w14:paraId="3BAC5D81"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4464A24D" w14:textId="77777777" w:rsidTr="00E65106">
        <w:trPr>
          <w:trHeight w:hRule="exact" w:val="135"/>
          <w:jc w:val="center"/>
        </w:trPr>
        <w:tc>
          <w:tcPr>
            <w:tcW w:w="2017" w:type="dxa"/>
            <w:vAlign w:val="bottom"/>
          </w:tcPr>
          <w:p w14:paraId="3A9666F8"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vAlign w:val="bottom"/>
          </w:tcPr>
          <w:p w14:paraId="36F907F8"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vAlign w:val="bottom"/>
          </w:tcPr>
          <w:p w14:paraId="0AB380B3"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vAlign w:val="bottom"/>
          </w:tcPr>
          <w:p w14:paraId="235D1112"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2CA450A0" w14:textId="77777777" w:rsidTr="00E65106">
        <w:trPr>
          <w:trHeight w:val="225"/>
          <w:jc w:val="center"/>
        </w:trPr>
        <w:tc>
          <w:tcPr>
            <w:tcW w:w="2017" w:type="dxa"/>
            <w:vAlign w:val="bottom"/>
          </w:tcPr>
          <w:p w14:paraId="63B337BE"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vAlign w:val="bottom"/>
            <w:hideMark/>
          </w:tcPr>
          <w:p w14:paraId="6D6E50B5"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Coefficient</w:t>
            </w:r>
          </w:p>
        </w:tc>
        <w:tc>
          <w:tcPr>
            <w:tcW w:w="1207" w:type="dxa"/>
            <w:vAlign w:val="bottom"/>
            <w:hideMark/>
          </w:tcPr>
          <w:p w14:paraId="3C1B240B"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Uncentered</w:t>
            </w:r>
          </w:p>
        </w:tc>
        <w:tc>
          <w:tcPr>
            <w:tcW w:w="1208" w:type="dxa"/>
            <w:vAlign w:val="bottom"/>
            <w:hideMark/>
          </w:tcPr>
          <w:p w14:paraId="7842903C"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Centered</w:t>
            </w:r>
          </w:p>
        </w:tc>
      </w:tr>
      <w:tr w:rsidR="00F02C04" w:rsidRPr="0059588D" w14:paraId="51FFDF57" w14:textId="77777777" w:rsidTr="00E65106">
        <w:trPr>
          <w:trHeight w:val="225"/>
          <w:jc w:val="center"/>
        </w:trPr>
        <w:tc>
          <w:tcPr>
            <w:tcW w:w="2017" w:type="dxa"/>
            <w:vAlign w:val="bottom"/>
            <w:hideMark/>
          </w:tcPr>
          <w:p w14:paraId="36B5C34C"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Variable</w:t>
            </w:r>
          </w:p>
        </w:tc>
        <w:tc>
          <w:tcPr>
            <w:tcW w:w="1208" w:type="dxa"/>
            <w:vAlign w:val="bottom"/>
            <w:hideMark/>
          </w:tcPr>
          <w:p w14:paraId="761204C9"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Variance</w:t>
            </w:r>
          </w:p>
        </w:tc>
        <w:tc>
          <w:tcPr>
            <w:tcW w:w="1207" w:type="dxa"/>
            <w:vAlign w:val="bottom"/>
            <w:hideMark/>
          </w:tcPr>
          <w:p w14:paraId="2C4E8C7B"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VIF</w:t>
            </w:r>
          </w:p>
        </w:tc>
        <w:tc>
          <w:tcPr>
            <w:tcW w:w="1208" w:type="dxa"/>
            <w:vAlign w:val="bottom"/>
            <w:hideMark/>
          </w:tcPr>
          <w:p w14:paraId="5C700F17"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VIF</w:t>
            </w:r>
          </w:p>
        </w:tc>
      </w:tr>
      <w:tr w:rsidR="00F02C04" w:rsidRPr="0059588D" w14:paraId="10E5AD08" w14:textId="77777777" w:rsidTr="00E65106">
        <w:trPr>
          <w:trHeight w:hRule="exact" w:val="90"/>
          <w:jc w:val="center"/>
        </w:trPr>
        <w:tc>
          <w:tcPr>
            <w:tcW w:w="2017" w:type="dxa"/>
            <w:tcBorders>
              <w:top w:val="nil"/>
              <w:left w:val="nil"/>
              <w:bottom w:val="double" w:sz="6" w:space="0" w:color="auto"/>
              <w:right w:val="nil"/>
            </w:tcBorders>
            <w:vAlign w:val="bottom"/>
          </w:tcPr>
          <w:p w14:paraId="6027DB5A"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tcBorders>
              <w:top w:val="nil"/>
              <w:left w:val="nil"/>
              <w:bottom w:val="double" w:sz="6" w:space="0" w:color="auto"/>
              <w:right w:val="nil"/>
            </w:tcBorders>
            <w:vAlign w:val="bottom"/>
          </w:tcPr>
          <w:p w14:paraId="74170839"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tcBorders>
              <w:top w:val="nil"/>
              <w:left w:val="nil"/>
              <w:bottom w:val="double" w:sz="6" w:space="0" w:color="auto"/>
              <w:right w:val="nil"/>
            </w:tcBorders>
            <w:vAlign w:val="bottom"/>
          </w:tcPr>
          <w:p w14:paraId="32A36E91"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tcBorders>
              <w:top w:val="nil"/>
              <w:left w:val="nil"/>
              <w:bottom w:val="double" w:sz="6" w:space="0" w:color="auto"/>
              <w:right w:val="nil"/>
            </w:tcBorders>
            <w:vAlign w:val="bottom"/>
          </w:tcPr>
          <w:p w14:paraId="42D56DE4"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30D61423" w14:textId="77777777" w:rsidTr="00E65106">
        <w:trPr>
          <w:trHeight w:hRule="exact" w:val="135"/>
          <w:jc w:val="center"/>
        </w:trPr>
        <w:tc>
          <w:tcPr>
            <w:tcW w:w="2017" w:type="dxa"/>
            <w:vAlign w:val="bottom"/>
          </w:tcPr>
          <w:p w14:paraId="562BC048"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vAlign w:val="bottom"/>
          </w:tcPr>
          <w:p w14:paraId="677C62B8"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vAlign w:val="bottom"/>
          </w:tcPr>
          <w:p w14:paraId="29E42182"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vAlign w:val="bottom"/>
          </w:tcPr>
          <w:p w14:paraId="2FE64AF3"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7E208D3B" w14:textId="77777777" w:rsidTr="00E65106">
        <w:trPr>
          <w:trHeight w:val="225"/>
          <w:jc w:val="center"/>
        </w:trPr>
        <w:tc>
          <w:tcPr>
            <w:tcW w:w="2017" w:type="dxa"/>
            <w:vAlign w:val="bottom"/>
            <w:hideMark/>
          </w:tcPr>
          <w:p w14:paraId="1FCF3D9C"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C</w:t>
            </w:r>
          </w:p>
        </w:tc>
        <w:tc>
          <w:tcPr>
            <w:tcW w:w="1208" w:type="dxa"/>
            <w:vAlign w:val="bottom"/>
            <w:hideMark/>
          </w:tcPr>
          <w:p w14:paraId="6C7B5AAB"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0.043917</w:t>
            </w:r>
          </w:p>
        </w:tc>
        <w:tc>
          <w:tcPr>
            <w:tcW w:w="1207" w:type="dxa"/>
            <w:vAlign w:val="bottom"/>
            <w:hideMark/>
          </w:tcPr>
          <w:p w14:paraId="53523985"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1408.267</w:t>
            </w:r>
          </w:p>
        </w:tc>
        <w:tc>
          <w:tcPr>
            <w:tcW w:w="1208" w:type="dxa"/>
            <w:vAlign w:val="bottom"/>
            <w:hideMark/>
          </w:tcPr>
          <w:p w14:paraId="147596A2"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NA</w:t>
            </w:r>
          </w:p>
        </w:tc>
      </w:tr>
      <w:tr w:rsidR="00F02C04" w:rsidRPr="0059588D" w14:paraId="01A045E0" w14:textId="77777777" w:rsidTr="00E65106">
        <w:trPr>
          <w:trHeight w:val="225"/>
          <w:jc w:val="center"/>
        </w:trPr>
        <w:tc>
          <w:tcPr>
            <w:tcW w:w="2017" w:type="dxa"/>
            <w:vAlign w:val="bottom"/>
            <w:hideMark/>
          </w:tcPr>
          <w:p w14:paraId="41D6FC1B"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NIM</w:t>
            </w:r>
          </w:p>
        </w:tc>
        <w:tc>
          <w:tcPr>
            <w:tcW w:w="1208" w:type="dxa"/>
            <w:vAlign w:val="bottom"/>
            <w:hideMark/>
          </w:tcPr>
          <w:p w14:paraId="6F927265"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0.056090</w:t>
            </w:r>
          </w:p>
        </w:tc>
        <w:tc>
          <w:tcPr>
            <w:tcW w:w="1207" w:type="dxa"/>
            <w:vAlign w:val="bottom"/>
            <w:hideMark/>
          </w:tcPr>
          <w:p w14:paraId="603B7DAE"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987.8774</w:t>
            </w:r>
          </w:p>
        </w:tc>
        <w:tc>
          <w:tcPr>
            <w:tcW w:w="1208" w:type="dxa"/>
            <w:vAlign w:val="bottom"/>
            <w:hideMark/>
          </w:tcPr>
          <w:p w14:paraId="6551791D"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3.638004</w:t>
            </w:r>
          </w:p>
        </w:tc>
      </w:tr>
      <w:tr w:rsidR="00F02C04" w:rsidRPr="0059588D" w14:paraId="0FBDDAD6" w14:textId="77777777" w:rsidTr="00E65106">
        <w:trPr>
          <w:trHeight w:val="225"/>
          <w:jc w:val="center"/>
        </w:trPr>
        <w:tc>
          <w:tcPr>
            <w:tcW w:w="2017" w:type="dxa"/>
            <w:vAlign w:val="bottom"/>
            <w:hideMark/>
          </w:tcPr>
          <w:p w14:paraId="7CA54AE8"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NPL</w:t>
            </w:r>
          </w:p>
        </w:tc>
        <w:tc>
          <w:tcPr>
            <w:tcW w:w="1208" w:type="dxa"/>
            <w:vAlign w:val="bottom"/>
            <w:hideMark/>
          </w:tcPr>
          <w:p w14:paraId="6C37B0BF"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0.024059</w:t>
            </w:r>
          </w:p>
        </w:tc>
        <w:tc>
          <w:tcPr>
            <w:tcW w:w="1207" w:type="dxa"/>
            <w:vAlign w:val="bottom"/>
            <w:hideMark/>
          </w:tcPr>
          <w:p w14:paraId="2F848E8B"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727.6848</w:t>
            </w:r>
          </w:p>
        </w:tc>
        <w:tc>
          <w:tcPr>
            <w:tcW w:w="1208" w:type="dxa"/>
            <w:vAlign w:val="bottom"/>
            <w:hideMark/>
          </w:tcPr>
          <w:p w14:paraId="0B5D276B"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1.878578</w:t>
            </w:r>
          </w:p>
        </w:tc>
      </w:tr>
      <w:tr w:rsidR="00F02C04" w:rsidRPr="0059588D" w14:paraId="0490A53E" w14:textId="77777777" w:rsidTr="00E65106">
        <w:trPr>
          <w:trHeight w:val="225"/>
          <w:jc w:val="center"/>
        </w:trPr>
        <w:tc>
          <w:tcPr>
            <w:tcW w:w="2017" w:type="dxa"/>
            <w:vAlign w:val="bottom"/>
            <w:hideMark/>
          </w:tcPr>
          <w:p w14:paraId="0181089B" w14:textId="263A1F53"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Pr>
                <w:rFonts w:ascii="Times New Roman" w:hAnsi="Times New Roman" w:cs="Times New Roman"/>
                <w:color w:val="000000"/>
                <w:lang w:eastAsia="id-ID"/>
              </w:rPr>
              <w:t>EXCHANGE RATE</w:t>
            </w:r>
          </w:p>
        </w:tc>
        <w:tc>
          <w:tcPr>
            <w:tcW w:w="1208" w:type="dxa"/>
            <w:vAlign w:val="bottom"/>
            <w:hideMark/>
          </w:tcPr>
          <w:p w14:paraId="4E33D303"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4.681353</w:t>
            </w:r>
          </w:p>
        </w:tc>
        <w:tc>
          <w:tcPr>
            <w:tcW w:w="1207" w:type="dxa"/>
            <w:vAlign w:val="bottom"/>
            <w:hideMark/>
          </w:tcPr>
          <w:p w14:paraId="3532F67B"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2.765029</w:t>
            </w:r>
          </w:p>
        </w:tc>
        <w:tc>
          <w:tcPr>
            <w:tcW w:w="1208" w:type="dxa"/>
            <w:vAlign w:val="bottom"/>
            <w:hideMark/>
          </w:tcPr>
          <w:p w14:paraId="7F268A32"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2.540375</w:t>
            </w:r>
          </w:p>
        </w:tc>
      </w:tr>
      <w:tr w:rsidR="00F02C04" w:rsidRPr="0059588D" w14:paraId="0CE070F3" w14:textId="77777777" w:rsidTr="00E65106">
        <w:trPr>
          <w:trHeight w:val="225"/>
          <w:jc w:val="center"/>
        </w:trPr>
        <w:tc>
          <w:tcPr>
            <w:tcW w:w="2017" w:type="dxa"/>
            <w:vAlign w:val="bottom"/>
            <w:hideMark/>
          </w:tcPr>
          <w:p w14:paraId="3C1FDF6A" w14:textId="1838F124"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Pr>
                <w:rFonts w:ascii="Times New Roman" w:hAnsi="Times New Roman" w:cs="Times New Roman"/>
                <w:color w:val="000000"/>
                <w:lang w:eastAsia="id-ID"/>
              </w:rPr>
              <w:t>OIL PRICE</w:t>
            </w:r>
          </w:p>
        </w:tc>
        <w:tc>
          <w:tcPr>
            <w:tcW w:w="1208" w:type="dxa"/>
            <w:vAlign w:val="bottom"/>
            <w:hideMark/>
          </w:tcPr>
          <w:p w14:paraId="2DCABF93"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6.48E-05</w:t>
            </w:r>
          </w:p>
        </w:tc>
        <w:tc>
          <w:tcPr>
            <w:tcW w:w="1207" w:type="dxa"/>
            <w:vAlign w:val="bottom"/>
            <w:hideMark/>
          </w:tcPr>
          <w:p w14:paraId="56242A9D"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1887.408</w:t>
            </w:r>
          </w:p>
        </w:tc>
        <w:tc>
          <w:tcPr>
            <w:tcW w:w="1208" w:type="dxa"/>
            <w:vAlign w:val="bottom"/>
            <w:hideMark/>
          </w:tcPr>
          <w:p w14:paraId="4483BC6D"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3.561184</w:t>
            </w:r>
          </w:p>
        </w:tc>
      </w:tr>
      <w:tr w:rsidR="00F02C04" w:rsidRPr="0059588D" w14:paraId="6207E4CA" w14:textId="77777777" w:rsidTr="00E65106">
        <w:trPr>
          <w:trHeight w:val="225"/>
          <w:jc w:val="center"/>
        </w:trPr>
        <w:tc>
          <w:tcPr>
            <w:tcW w:w="2017" w:type="dxa"/>
            <w:vAlign w:val="bottom"/>
            <w:hideMark/>
          </w:tcPr>
          <w:p w14:paraId="1959DB78"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MARKET POWER</w:t>
            </w:r>
          </w:p>
        </w:tc>
        <w:tc>
          <w:tcPr>
            <w:tcW w:w="1208" w:type="dxa"/>
            <w:vAlign w:val="bottom"/>
            <w:hideMark/>
          </w:tcPr>
          <w:p w14:paraId="27453F1F"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2.32E-05</w:t>
            </w:r>
          </w:p>
        </w:tc>
        <w:tc>
          <w:tcPr>
            <w:tcW w:w="1207" w:type="dxa"/>
            <w:vAlign w:val="bottom"/>
            <w:hideMark/>
          </w:tcPr>
          <w:p w14:paraId="26934867"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6.749036</w:t>
            </w:r>
          </w:p>
        </w:tc>
        <w:tc>
          <w:tcPr>
            <w:tcW w:w="1208" w:type="dxa"/>
            <w:vAlign w:val="bottom"/>
            <w:hideMark/>
          </w:tcPr>
          <w:p w14:paraId="7B4D5D79"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1.317181</w:t>
            </w:r>
          </w:p>
        </w:tc>
      </w:tr>
      <w:tr w:rsidR="00F02C04" w:rsidRPr="0059588D" w14:paraId="318E3DA7" w14:textId="77777777" w:rsidTr="00E65106">
        <w:trPr>
          <w:trHeight w:val="225"/>
          <w:jc w:val="center"/>
        </w:trPr>
        <w:tc>
          <w:tcPr>
            <w:tcW w:w="2017" w:type="dxa"/>
            <w:vAlign w:val="bottom"/>
            <w:hideMark/>
          </w:tcPr>
          <w:p w14:paraId="63E100B5"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GENDER BDO</w:t>
            </w:r>
          </w:p>
        </w:tc>
        <w:tc>
          <w:tcPr>
            <w:tcW w:w="1208" w:type="dxa"/>
            <w:vAlign w:val="bottom"/>
            <w:hideMark/>
          </w:tcPr>
          <w:p w14:paraId="49E50C1A"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0.002709</w:t>
            </w:r>
          </w:p>
        </w:tc>
        <w:tc>
          <w:tcPr>
            <w:tcW w:w="1207" w:type="dxa"/>
            <w:vAlign w:val="bottom"/>
            <w:hideMark/>
          </w:tcPr>
          <w:p w14:paraId="730E0DF2"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57.82419</w:t>
            </w:r>
          </w:p>
        </w:tc>
        <w:tc>
          <w:tcPr>
            <w:tcW w:w="1208" w:type="dxa"/>
            <w:vAlign w:val="bottom"/>
            <w:hideMark/>
          </w:tcPr>
          <w:p w14:paraId="7D39E835"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1.476286</w:t>
            </w:r>
          </w:p>
        </w:tc>
      </w:tr>
      <w:tr w:rsidR="00F02C04" w:rsidRPr="0059588D" w14:paraId="4FBE8C73" w14:textId="77777777" w:rsidTr="00E65106">
        <w:trPr>
          <w:trHeight w:hRule="exact" w:val="90"/>
          <w:jc w:val="center"/>
        </w:trPr>
        <w:tc>
          <w:tcPr>
            <w:tcW w:w="2017" w:type="dxa"/>
            <w:tcBorders>
              <w:top w:val="nil"/>
              <w:left w:val="nil"/>
              <w:bottom w:val="double" w:sz="6" w:space="0" w:color="auto"/>
              <w:right w:val="nil"/>
            </w:tcBorders>
            <w:vAlign w:val="bottom"/>
          </w:tcPr>
          <w:p w14:paraId="38E00802"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tcBorders>
              <w:top w:val="nil"/>
              <w:left w:val="nil"/>
              <w:bottom w:val="double" w:sz="6" w:space="0" w:color="auto"/>
              <w:right w:val="nil"/>
            </w:tcBorders>
            <w:vAlign w:val="bottom"/>
          </w:tcPr>
          <w:p w14:paraId="05A0147D"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tcBorders>
              <w:top w:val="nil"/>
              <w:left w:val="nil"/>
              <w:bottom w:val="double" w:sz="6" w:space="0" w:color="auto"/>
              <w:right w:val="nil"/>
            </w:tcBorders>
            <w:vAlign w:val="bottom"/>
          </w:tcPr>
          <w:p w14:paraId="693EB821"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tcBorders>
              <w:top w:val="nil"/>
              <w:left w:val="nil"/>
              <w:bottom w:val="double" w:sz="6" w:space="0" w:color="auto"/>
              <w:right w:val="nil"/>
            </w:tcBorders>
            <w:vAlign w:val="bottom"/>
          </w:tcPr>
          <w:p w14:paraId="262AB716"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28122FA5" w14:textId="77777777" w:rsidTr="00E65106">
        <w:trPr>
          <w:trHeight w:hRule="exact" w:val="135"/>
          <w:jc w:val="center"/>
        </w:trPr>
        <w:tc>
          <w:tcPr>
            <w:tcW w:w="2017" w:type="dxa"/>
            <w:vAlign w:val="bottom"/>
          </w:tcPr>
          <w:p w14:paraId="5C1F003A"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vAlign w:val="bottom"/>
          </w:tcPr>
          <w:p w14:paraId="2C5892DA"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vAlign w:val="bottom"/>
          </w:tcPr>
          <w:p w14:paraId="5D06909B"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vAlign w:val="bottom"/>
          </w:tcPr>
          <w:p w14:paraId="5FE67B39"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bl>
    <w:p w14:paraId="4AE7AEE2" w14:textId="7F7E5540" w:rsidR="00F02C04" w:rsidRDefault="00F02C04" w:rsidP="00F02C04">
      <w:pPr>
        <w:ind w:firstLine="720"/>
      </w:pPr>
      <w:r>
        <w:t>The results of the multicollinearity test can be seen in the Centered VIF column table. The VIF value for the independent variables is no greater than 10 or 5 (many books require no more than 10, but some require no more than 5), so it can be said that there is no multicollinearity in the two independent variables.</w:t>
      </w:r>
    </w:p>
    <w:p w14:paraId="352D016C" w14:textId="1D1DB9D9" w:rsidR="00F02C04" w:rsidRDefault="00F02C04" w:rsidP="00F02C04">
      <w:r>
        <w:t>Autocorrelation Test</w:t>
      </w:r>
    </w:p>
    <w:p w14:paraId="3D169E07" w14:textId="05943D26" w:rsidR="00F02C04" w:rsidRDefault="00F02C04" w:rsidP="00163254">
      <w:pPr>
        <w:ind w:firstLine="720"/>
      </w:pPr>
      <w:r>
        <w:t>The autocorrelation test aims to test whether</w:t>
      </w:r>
      <w:r w:rsidR="00515CCE">
        <w:t>,</w:t>
      </w:r>
      <w:r>
        <w:t xml:space="preserve"> in the regression model, there is a correlation between confounding errors in period t and confounding errors in period t -1 (previous). Autocorrelation is often found in time-series data because disturbances in one entity tend to affect the disturbance of the same entity in the next period.</w:t>
      </w:r>
    </w:p>
    <w:tbl>
      <w:tblPr>
        <w:tblW w:w="0" w:type="auto"/>
        <w:jc w:val="center"/>
        <w:tblLayout w:type="fixed"/>
        <w:tblCellMar>
          <w:left w:w="0" w:type="dxa"/>
          <w:right w:w="0" w:type="dxa"/>
        </w:tblCellMar>
        <w:tblLook w:val="04A0" w:firstRow="1" w:lastRow="0" w:firstColumn="1" w:lastColumn="0" w:noHBand="0" w:noVBand="1"/>
      </w:tblPr>
      <w:tblGrid>
        <w:gridCol w:w="2017"/>
        <w:gridCol w:w="1103"/>
        <w:gridCol w:w="1207"/>
        <w:gridCol w:w="1208"/>
        <w:gridCol w:w="997"/>
      </w:tblGrid>
      <w:tr w:rsidR="00F02C04" w:rsidRPr="0059588D" w14:paraId="01F55E0D" w14:textId="77777777" w:rsidTr="00E65106">
        <w:trPr>
          <w:trHeight w:hRule="exact" w:val="90"/>
          <w:jc w:val="center"/>
        </w:trPr>
        <w:tc>
          <w:tcPr>
            <w:tcW w:w="2017" w:type="dxa"/>
            <w:tcBorders>
              <w:top w:val="nil"/>
              <w:left w:val="nil"/>
              <w:bottom w:val="double" w:sz="6" w:space="0" w:color="auto"/>
              <w:right w:val="nil"/>
            </w:tcBorders>
            <w:vAlign w:val="bottom"/>
          </w:tcPr>
          <w:p w14:paraId="171F6B76"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tcBorders>
              <w:top w:val="nil"/>
              <w:left w:val="nil"/>
              <w:bottom w:val="double" w:sz="6" w:space="0" w:color="auto"/>
              <w:right w:val="nil"/>
            </w:tcBorders>
            <w:vAlign w:val="bottom"/>
          </w:tcPr>
          <w:p w14:paraId="2B6A5A38"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tcBorders>
              <w:top w:val="nil"/>
              <w:left w:val="nil"/>
              <w:bottom w:val="double" w:sz="6" w:space="0" w:color="auto"/>
              <w:right w:val="nil"/>
            </w:tcBorders>
            <w:vAlign w:val="bottom"/>
          </w:tcPr>
          <w:p w14:paraId="2A13F3B5"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tcBorders>
              <w:top w:val="nil"/>
              <w:left w:val="nil"/>
              <w:bottom w:val="double" w:sz="6" w:space="0" w:color="auto"/>
              <w:right w:val="nil"/>
            </w:tcBorders>
            <w:vAlign w:val="bottom"/>
          </w:tcPr>
          <w:p w14:paraId="5A7926AB"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tcBorders>
              <w:top w:val="nil"/>
              <w:left w:val="nil"/>
              <w:bottom w:val="double" w:sz="6" w:space="0" w:color="auto"/>
              <w:right w:val="nil"/>
            </w:tcBorders>
            <w:vAlign w:val="bottom"/>
          </w:tcPr>
          <w:p w14:paraId="74CD45A2"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4F007F20" w14:textId="77777777" w:rsidTr="00E65106">
        <w:trPr>
          <w:trHeight w:hRule="exact" w:val="135"/>
          <w:jc w:val="center"/>
        </w:trPr>
        <w:tc>
          <w:tcPr>
            <w:tcW w:w="2017" w:type="dxa"/>
            <w:vAlign w:val="bottom"/>
          </w:tcPr>
          <w:p w14:paraId="3D25D87D"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vAlign w:val="bottom"/>
          </w:tcPr>
          <w:p w14:paraId="6FEEFCFD"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vAlign w:val="bottom"/>
          </w:tcPr>
          <w:p w14:paraId="3E6C74FD"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vAlign w:val="bottom"/>
          </w:tcPr>
          <w:p w14:paraId="61D0EA25"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vAlign w:val="bottom"/>
          </w:tcPr>
          <w:p w14:paraId="26B37E49"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13533DB5" w14:textId="77777777" w:rsidTr="00E65106">
        <w:trPr>
          <w:trHeight w:val="225"/>
          <w:jc w:val="center"/>
        </w:trPr>
        <w:tc>
          <w:tcPr>
            <w:tcW w:w="2017" w:type="dxa"/>
            <w:vAlign w:val="bottom"/>
            <w:hideMark/>
          </w:tcPr>
          <w:p w14:paraId="6119C8D6"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Variable</w:t>
            </w:r>
          </w:p>
        </w:tc>
        <w:tc>
          <w:tcPr>
            <w:tcW w:w="1103" w:type="dxa"/>
            <w:vAlign w:val="bottom"/>
            <w:hideMark/>
          </w:tcPr>
          <w:p w14:paraId="353AAE42"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Coefficient</w:t>
            </w:r>
          </w:p>
        </w:tc>
        <w:tc>
          <w:tcPr>
            <w:tcW w:w="1207" w:type="dxa"/>
            <w:vAlign w:val="bottom"/>
            <w:hideMark/>
          </w:tcPr>
          <w:p w14:paraId="273BDEC3"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Std. Error</w:t>
            </w:r>
          </w:p>
        </w:tc>
        <w:tc>
          <w:tcPr>
            <w:tcW w:w="1208" w:type="dxa"/>
            <w:vAlign w:val="bottom"/>
            <w:hideMark/>
          </w:tcPr>
          <w:p w14:paraId="3EDDAEF0"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t-Statistic</w:t>
            </w:r>
          </w:p>
        </w:tc>
        <w:tc>
          <w:tcPr>
            <w:tcW w:w="997" w:type="dxa"/>
            <w:vAlign w:val="bottom"/>
            <w:hideMark/>
          </w:tcPr>
          <w:p w14:paraId="598D0DB2"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Prob.  </w:t>
            </w:r>
          </w:p>
        </w:tc>
      </w:tr>
      <w:tr w:rsidR="00F02C04" w:rsidRPr="0059588D" w14:paraId="75EC5856" w14:textId="77777777" w:rsidTr="00E65106">
        <w:trPr>
          <w:trHeight w:hRule="exact" w:val="90"/>
          <w:jc w:val="center"/>
        </w:trPr>
        <w:tc>
          <w:tcPr>
            <w:tcW w:w="2017" w:type="dxa"/>
            <w:tcBorders>
              <w:top w:val="nil"/>
              <w:left w:val="nil"/>
              <w:bottom w:val="double" w:sz="6" w:space="0" w:color="auto"/>
              <w:right w:val="nil"/>
            </w:tcBorders>
            <w:vAlign w:val="bottom"/>
          </w:tcPr>
          <w:p w14:paraId="7B730CA3"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tcBorders>
              <w:top w:val="nil"/>
              <w:left w:val="nil"/>
              <w:bottom w:val="double" w:sz="6" w:space="0" w:color="auto"/>
              <w:right w:val="nil"/>
            </w:tcBorders>
            <w:vAlign w:val="bottom"/>
          </w:tcPr>
          <w:p w14:paraId="07B8B8C9"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tcBorders>
              <w:top w:val="nil"/>
              <w:left w:val="nil"/>
              <w:bottom w:val="double" w:sz="6" w:space="0" w:color="auto"/>
              <w:right w:val="nil"/>
            </w:tcBorders>
            <w:vAlign w:val="bottom"/>
          </w:tcPr>
          <w:p w14:paraId="5495BC54"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tcBorders>
              <w:top w:val="nil"/>
              <w:left w:val="nil"/>
              <w:bottom w:val="double" w:sz="6" w:space="0" w:color="auto"/>
              <w:right w:val="nil"/>
            </w:tcBorders>
            <w:vAlign w:val="bottom"/>
          </w:tcPr>
          <w:p w14:paraId="0F66BD08"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tcBorders>
              <w:top w:val="nil"/>
              <w:left w:val="nil"/>
              <w:bottom w:val="double" w:sz="6" w:space="0" w:color="auto"/>
              <w:right w:val="nil"/>
            </w:tcBorders>
            <w:vAlign w:val="bottom"/>
          </w:tcPr>
          <w:p w14:paraId="736E9F90"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3FE87304" w14:textId="77777777" w:rsidTr="00E65106">
        <w:trPr>
          <w:trHeight w:hRule="exact" w:val="135"/>
          <w:jc w:val="center"/>
        </w:trPr>
        <w:tc>
          <w:tcPr>
            <w:tcW w:w="2017" w:type="dxa"/>
            <w:vAlign w:val="bottom"/>
          </w:tcPr>
          <w:p w14:paraId="0705D35B"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vAlign w:val="bottom"/>
          </w:tcPr>
          <w:p w14:paraId="058A0422"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vAlign w:val="bottom"/>
          </w:tcPr>
          <w:p w14:paraId="1ACD3710"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vAlign w:val="bottom"/>
          </w:tcPr>
          <w:p w14:paraId="4DC628D1"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vAlign w:val="bottom"/>
          </w:tcPr>
          <w:p w14:paraId="4618C91F"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0FE3EBB9" w14:textId="77777777" w:rsidTr="00E65106">
        <w:trPr>
          <w:trHeight w:val="225"/>
          <w:jc w:val="center"/>
        </w:trPr>
        <w:tc>
          <w:tcPr>
            <w:tcW w:w="2017" w:type="dxa"/>
            <w:vAlign w:val="bottom"/>
            <w:hideMark/>
          </w:tcPr>
          <w:p w14:paraId="5391489A"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C</w:t>
            </w:r>
          </w:p>
        </w:tc>
        <w:tc>
          <w:tcPr>
            <w:tcW w:w="1103" w:type="dxa"/>
            <w:vAlign w:val="bottom"/>
            <w:hideMark/>
          </w:tcPr>
          <w:p w14:paraId="079B2838"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0.036495</w:t>
            </w:r>
          </w:p>
        </w:tc>
        <w:tc>
          <w:tcPr>
            <w:tcW w:w="1207" w:type="dxa"/>
            <w:vAlign w:val="bottom"/>
            <w:hideMark/>
          </w:tcPr>
          <w:p w14:paraId="6662B1E0"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0.196421</w:t>
            </w:r>
          </w:p>
        </w:tc>
        <w:tc>
          <w:tcPr>
            <w:tcW w:w="1208" w:type="dxa"/>
            <w:vAlign w:val="bottom"/>
            <w:hideMark/>
          </w:tcPr>
          <w:p w14:paraId="734ECDCA"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0.185802</w:t>
            </w:r>
          </w:p>
        </w:tc>
        <w:tc>
          <w:tcPr>
            <w:tcW w:w="997" w:type="dxa"/>
            <w:vAlign w:val="bottom"/>
            <w:hideMark/>
          </w:tcPr>
          <w:p w14:paraId="3139C268"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0.8533</w:t>
            </w:r>
          </w:p>
        </w:tc>
      </w:tr>
      <w:tr w:rsidR="00F02C04" w:rsidRPr="0059588D" w14:paraId="70C60D3F" w14:textId="77777777" w:rsidTr="00E65106">
        <w:trPr>
          <w:trHeight w:val="225"/>
          <w:jc w:val="center"/>
        </w:trPr>
        <w:tc>
          <w:tcPr>
            <w:tcW w:w="2017" w:type="dxa"/>
            <w:vAlign w:val="bottom"/>
            <w:hideMark/>
          </w:tcPr>
          <w:p w14:paraId="35D6C6D0"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NIM</w:t>
            </w:r>
          </w:p>
        </w:tc>
        <w:tc>
          <w:tcPr>
            <w:tcW w:w="1103" w:type="dxa"/>
            <w:vAlign w:val="bottom"/>
            <w:hideMark/>
          </w:tcPr>
          <w:p w14:paraId="0B95F2A8"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0.084447</w:t>
            </w:r>
          </w:p>
        </w:tc>
        <w:tc>
          <w:tcPr>
            <w:tcW w:w="1207" w:type="dxa"/>
            <w:vAlign w:val="bottom"/>
            <w:hideMark/>
          </w:tcPr>
          <w:p w14:paraId="128AC963"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0.221841</w:t>
            </w:r>
          </w:p>
        </w:tc>
        <w:tc>
          <w:tcPr>
            <w:tcW w:w="1208" w:type="dxa"/>
            <w:vAlign w:val="bottom"/>
            <w:hideMark/>
          </w:tcPr>
          <w:p w14:paraId="715C90D6"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0.380666</w:t>
            </w:r>
          </w:p>
        </w:tc>
        <w:tc>
          <w:tcPr>
            <w:tcW w:w="997" w:type="dxa"/>
            <w:vAlign w:val="bottom"/>
            <w:hideMark/>
          </w:tcPr>
          <w:p w14:paraId="072D5297"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0.7050</w:t>
            </w:r>
          </w:p>
        </w:tc>
      </w:tr>
      <w:tr w:rsidR="00F02C04" w:rsidRPr="0059588D" w14:paraId="180CEA46" w14:textId="77777777" w:rsidTr="00E65106">
        <w:trPr>
          <w:trHeight w:val="225"/>
          <w:jc w:val="center"/>
        </w:trPr>
        <w:tc>
          <w:tcPr>
            <w:tcW w:w="2017" w:type="dxa"/>
            <w:vAlign w:val="bottom"/>
            <w:hideMark/>
          </w:tcPr>
          <w:p w14:paraId="78F71209"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NPL</w:t>
            </w:r>
          </w:p>
        </w:tc>
        <w:tc>
          <w:tcPr>
            <w:tcW w:w="1103" w:type="dxa"/>
            <w:vAlign w:val="bottom"/>
            <w:hideMark/>
          </w:tcPr>
          <w:p w14:paraId="397BCFB1"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-0.013973</w:t>
            </w:r>
          </w:p>
        </w:tc>
        <w:tc>
          <w:tcPr>
            <w:tcW w:w="1207" w:type="dxa"/>
            <w:vAlign w:val="bottom"/>
            <w:hideMark/>
          </w:tcPr>
          <w:p w14:paraId="5DDB8CD8"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0.143606</w:t>
            </w:r>
          </w:p>
        </w:tc>
        <w:tc>
          <w:tcPr>
            <w:tcW w:w="1208" w:type="dxa"/>
            <w:vAlign w:val="bottom"/>
            <w:hideMark/>
          </w:tcPr>
          <w:p w14:paraId="4AB7289D"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-0.097299</w:t>
            </w:r>
          </w:p>
        </w:tc>
        <w:tc>
          <w:tcPr>
            <w:tcW w:w="997" w:type="dxa"/>
            <w:vAlign w:val="bottom"/>
            <w:hideMark/>
          </w:tcPr>
          <w:p w14:paraId="6F9DE952"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0.9229</w:t>
            </w:r>
          </w:p>
        </w:tc>
      </w:tr>
      <w:tr w:rsidR="00F02C04" w:rsidRPr="0059588D" w14:paraId="4F1F7552" w14:textId="77777777" w:rsidTr="00E65106">
        <w:trPr>
          <w:trHeight w:val="225"/>
          <w:jc w:val="center"/>
        </w:trPr>
        <w:tc>
          <w:tcPr>
            <w:tcW w:w="2017" w:type="dxa"/>
            <w:vAlign w:val="bottom"/>
            <w:hideMark/>
          </w:tcPr>
          <w:p w14:paraId="42844018" w14:textId="7290101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Pr>
                <w:rFonts w:ascii="Times New Roman" w:eastAsia="Calibri" w:hAnsi="Times New Roman" w:cs="Times New Roman"/>
                <w:color w:val="000000"/>
                <w:lang w:eastAsia="id-ID"/>
              </w:rPr>
              <w:t>EXCHANGE RATE</w:t>
            </w:r>
          </w:p>
        </w:tc>
        <w:tc>
          <w:tcPr>
            <w:tcW w:w="1103" w:type="dxa"/>
            <w:vAlign w:val="bottom"/>
            <w:hideMark/>
          </w:tcPr>
          <w:p w14:paraId="669BA931"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0.262192</w:t>
            </w:r>
          </w:p>
        </w:tc>
        <w:tc>
          <w:tcPr>
            <w:tcW w:w="1207" w:type="dxa"/>
            <w:vAlign w:val="bottom"/>
            <w:hideMark/>
          </w:tcPr>
          <w:p w14:paraId="7CB699C9"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2.004279</w:t>
            </w:r>
          </w:p>
        </w:tc>
        <w:tc>
          <w:tcPr>
            <w:tcW w:w="1208" w:type="dxa"/>
            <w:vAlign w:val="bottom"/>
            <w:hideMark/>
          </w:tcPr>
          <w:p w14:paraId="04369DD2"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0.130816</w:t>
            </w:r>
          </w:p>
        </w:tc>
        <w:tc>
          <w:tcPr>
            <w:tcW w:w="997" w:type="dxa"/>
            <w:vAlign w:val="bottom"/>
            <w:hideMark/>
          </w:tcPr>
          <w:p w14:paraId="3E51470C"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0.8964</w:t>
            </w:r>
          </w:p>
        </w:tc>
      </w:tr>
      <w:tr w:rsidR="00F02C04" w:rsidRPr="0059588D" w14:paraId="56D2CEB8" w14:textId="77777777" w:rsidTr="00E65106">
        <w:trPr>
          <w:trHeight w:val="225"/>
          <w:jc w:val="center"/>
        </w:trPr>
        <w:tc>
          <w:tcPr>
            <w:tcW w:w="2017" w:type="dxa"/>
            <w:vAlign w:val="bottom"/>
            <w:hideMark/>
          </w:tcPr>
          <w:p w14:paraId="04E49C17" w14:textId="6BC80DE4"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Pr>
                <w:rFonts w:ascii="Times New Roman" w:hAnsi="Times New Roman" w:cs="Times New Roman"/>
                <w:color w:val="000000"/>
                <w:lang w:eastAsia="id-ID"/>
              </w:rPr>
              <w:t>OIL PRICE</w:t>
            </w:r>
          </w:p>
        </w:tc>
        <w:tc>
          <w:tcPr>
            <w:tcW w:w="1103" w:type="dxa"/>
            <w:vAlign w:val="bottom"/>
            <w:hideMark/>
          </w:tcPr>
          <w:p w14:paraId="5144D4E7"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-0.003279</w:t>
            </w:r>
          </w:p>
        </w:tc>
        <w:tc>
          <w:tcPr>
            <w:tcW w:w="1207" w:type="dxa"/>
            <w:vAlign w:val="bottom"/>
            <w:hideMark/>
          </w:tcPr>
          <w:p w14:paraId="58A884BF"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0.007704</w:t>
            </w:r>
          </w:p>
        </w:tc>
        <w:tc>
          <w:tcPr>
            <w:tcW w:w="1208" w:type="dxa"/>
            <w:vAlign w:val="bottom"/>
            <w:hideMark/>
          </w:tcPr>
          <w:p w14:paraId="53F983A1"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-0.425601</w:t>
            </w:r>
          </w:p>
        </w:tc>
        <w:tc>
          <w:tcPr>
            <w:tcW w:w="997" w:type="dxa"/>
            <w:vAlign w:val="bottom"/>
            <w:hideMark/>
          </w:tcPr>
          <w:p w14:paraId="263B9513"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0.6722</w:t>
            </w:r>
          </w:p>
        </w:tc>
      </w:tr>
      <w:tr w:rsidR="00F02C04" w:rsidRPr="0059588D" w14:paraId="1A9AD5C0" w14:textId="77777777" w:rsidTr="00E65106">
        <w:trPr>
          <w:trHeight w:val="225"/>
          <w:jc w:val="center"/>
        </w:trPr>
        <w:tc>
          <w:tcPr>
            <w:tcW w:w="2017" w:type="dxa"/>
            <w:vAlign w:val="bottom"/>
            <w:hideMark/>
          </w:tcPr>
          <w:p w14:paraId="70515A5C"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MARKET POWER</w:t>
            </w:r>
          </w:p>
        </w:tc>
        <w:tc>
          <w:tcPr>
            <w:tcW w:w="1103" w:type="dxa"/>
            <w:vAlign w:val="bottom"/>
            <w:hideMark/>
          </w:tcPr>
          <w:p w14:paraId="7C045C60"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0.001245</w:t>
            </w:r>
          </w:p>
        </w:tc>
        <w:tc>
          <w:tcPr>
            <w:tcW w:w="1207" w:type="dxa"/>
            <w:vAlign w:val="bottom"/>
            <w:hideMark/>
          </w:tcPr>
          <w:p w14:paraId="4E58D0E0"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0.004477</w:t>
            </w:r>
          </w:p>
        </w:tc>
        <w:tc>
          <w:tcPr>
            <w:tcW w:w="1208" w:type="dxa"/>
            <w:vAlign w:val="bottom"/>
            <w:hideMark/>
          </w:tcPr>
          <w:p w14:paraId="405200E9"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0.278025</w:t>
            </w:r>
          </w:p>
        </w:tc>
        <w:tc>
          <w:tcPr>
            <w:tcW w:w="997" w:type="dxa"/>
            <w:vAlign w:val="bottom"/>
            <w:hideMark/>
          </w:tcPr>
          <w:p w14:paraId="24F9B4D3"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0.7821</w:t>
            </w:r>
          </w:p>
        </w:tc>
      </w:tr>
      <w:tr w:rsidR="00F02C04" w:rsidRPr="0059588D" w14:paraId="484362A6" w14:textId="77777777" w:rsidTr="00E65106">
        <w:trPr>
          <w:trHeight w:val="225"/>
          <w:jc w:val="center"/>
        </w:trPr>
        <w:tc>
          <w:tcPr>
            <w:tcW w:w="2017" w:type="dxa"/>
            <w:vAlign w:val="bottom"/>
            <w:hideMark/>
          </w:tcPr>
          <w:p w14:paraId="4106EB16"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GENDER BDO</w:t>
            </w:r>
          </w:p>
        </w:tc>
        <w:tc>
          <w:tcPr>
            <w:tcW w:w="1103" w:type="dxa"/>
            <w:vAlign w:val="bottom"/>
            <w:hideMark/>
          </w:tcPr>
          <w:p w14:paraId="417577A5"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0.012355</w:t>
            </w:r>
          </w:p>
        </w:tc>
        <w:tc>
          <w:tcPr>
            <w:tcW w:w="1207" w:type="dxa"/>
            <w:vAlign w:val="bottom"/>
            <w:hideMark/>
          </w:tcPr>
          <w:p w14:paraId="527BC7D0"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0.048891</w:t>
            </w:r>
          </w:p>
        </w:tc>
        <w:tc>
          <w:tcPr>
            <w:tcW w:w="1208" w:type="dxa"/>
            <w:vAlign w:val="bottom"/>
            <w:hideMark/>
          </w:tcPr>
          <w:p w14:paraId="71AD4C5A"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0.252704</w:t>
            </w:r>
          </w:p>
        </w:tc>
        <w:tc>
          <w:tcPr>
            <w:tcW w:w="997" w:type="dxa"/>
            <w:vAlign w:val="bottom"/>
            <w:hideMark/>
          </w:tcPr>
          <w:p w14:paraId="20571813"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0.8015</w:t>
            </w:r>
          </w:p>
        </w:tc>
      </w:tr>
      <w:tr w:rsidR="00F02C04" w:rsidRPr="0059588D" w14:paraId="7117C444" w14:textId="77777777" w:rsidTr="00E65106">
        <w:trPr>
          <w:trHeight w:val="225"/>
          <w:jc w:val="center"/>
        </w:trPr>
        <w:tc>
          <w:tcPr>
            <w:tcW w:w="2017" w:type="dxa"/>
            <w:vAlign w:val="bottom"/>
            <w:hideMark/>
          </w:tcPr>
          <w:p w14:paraId="5C2C5AA9"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RESID(-1)</w:t>
            </w:r>
          </w:p>
        </w:tc>
        <w:tc>
          <w:tcPr>
            <w:tcW w:w="1103" w:type="dxa"/>
            <w:vAlign w:val="bottom"/>
            <w:hideMark/>
          </w:tcPr>
          <w:p w14:paraId="2C9EF5DD"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0.454990</w:t>
            </w:r>
          </w:p>
        </w:tc>
        <w:tc>
          <w:tcPr>
            <w:tcW w:w="1207" w:type="dxa"/>
            <w:vAlign w:val="bottom"/>
            <w:hideMark/>
          </w:tcPr>
          <w:p w14:paraId="694AEB69"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0.141921</w:t>
            </w:r>
          </w:p>
        </w:tc>
        <w:tc>
          <w:tcPr>
            <w:tcW w:w="1208" w:type="dxa"/>
            <w:vAlign w:val="bottom"/>
            <w:hideMark/>
          </w:tcPr>
          <w:p w14:paraId="7A3609F6"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3.205930</w:t>
            </w:r>
          </w:p>
        </w:tc>
        <w:tc>
          <w:tcPr>
            <w:tcW w:w="997" w:type="dxa"/>
            <w:vAlign w:val="bottom"/>
            <w:hideMark/>
          </w:tcPr>
          <w:p w14:paraId="06291503"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0.0023</w:t>
            </w:r>
          </w:p>
        </w:tc>
      </w:tr>
      <w:tr w:rsidR="00F02C04" w:rsidRPr="0059588D" w14:paraId="05DDD122" w14:textId="77777777" w:rsidTr="00E65106">
        <w:trPr>
          <w:trHeight w:val="225"/>
          <w:jc w:val="center"/>
        </w:trPr>
        <w:tc>
          <w:tcPr>
            <w:tcW w:w="2017" w:type="dxa"/>
            <w:vAlign w:val="bottom"/>
            <w:hideMark/>
          </w:tcPr>
          <w:p w14:paraId="37D15D0A"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RESID(-2)</w:t>
            </w:r>
          </w:p>
        </w:tc>
        <w:tc>
          <w:tcPr>
            <w:tcW w:w="1103" w:type="dxa"/>
            <w:vAlign w:val="bottom"/>
            <w:hideMark/>
          </w:tcPr>
          <w:p w14:paraId="75EB17AE"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-0.054487</w:t>
            </w:r>
          </w:p>
        </w:tc>
        <w:tc>
          <w:tcPr>
            <w:tcW w:w="1207" w:type="dxa"/>
            <w:vAlign w:val="bottom"/>
            <w:hideMark/>
          </w:tcPr>
          <w:p w14:paraId="56F86040"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0.148652</w:t>
            </w:r>
          </w:p>
        </w:tc>
        <w:tc>
          <w:tcPr>
            <w:tcW w:w="1208" w:type="dxa"/>
            <w:vAlign w:val="bottom"/>
            <w:hideMark/>
          </w:tcPr>
          <w:p w14:paraId="119162C6"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-0.366539</w:t>
            </w:r>
          </w:p>
        </w:tc>
        <w:tc>
          <w:tcPr>
            <w:tcW w:w="997" w:type="dxa"/>
            <w:vAlign w:val="bottom"/>
            <w:hideMark/>
          </w:tcPr>
          <w:p w14:paraId="11871282"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0.7155</w:t>
            </w:r>
          </w:p>
        </w:tc>
      </w:tr>
      <w:tr w:rsidR="00F02C04" w:rsidRPr="0059588D" w14:paraId="067D042E" w14:textId="77777777" w:rsidTr="00E65106">
        <w:trPr>
          <w:trHeight w:hRule="exact" w:val="90"/>
          <w:jc w:val="center"/>
        </w:trPr>
        <w:tc>
          <w:tcPr>
            <w:tcW w:w="2017" w:type="dxa"/>
            <w:tcBorders>
              <w:top w:val="nil"/>
              <w:left w:val="nil"/>
              <w:bottom w:val="double" w:sz="6" w:space="0" w:color="auto"/>
              <w:right w:val="nil"/>
            </w:tcBorders>
            <w:vAlign w:val="bottom"/>
          </w:tcPr>
          <w:p w14:paraId="29ACB8E7"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tcBorders>
              <w:top w:val="nil"/>
              <w:left w:val="nil"/>
              <w:bottom w:val="double" w:sz="6" w:space="0" w:color="auto"/>
              <w:right w:val="nil"/>
            </w:tcBorders>
            <w:vAlign w:val="bottom"/>
          </w:tcPr>
          <w:p w14:paraId="623E4E8E"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tcBorders>
              <w:top w:val="nil"/>
              <w:left w:val="nil"/>
              <w:bottom w:val="double" w:sz="6" w:space="0" w:color="auto"/>
              <w:right w:val="nil"/>
            </w:tcBorders>
            <w:vAlign w:val="bottom"/>
          </w:tcPr>
          <w:p w14:paraId="0B589939"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tcBorders>
              <w:top w:val="nil"/>
              <w:left w:val="nil"/>
              <w:bottom w:val="double" w:sz="6" w:space="0" w:color="auto"/>
              <w:right w:val="nil"/>
            </w:tcBorders>
            <w:vAlign w:val="bottom"/>
          </w:tcPr>
          <w:p w14:paraId="60FAC7F1"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tcBorders>
              <w:top w:val="nil"/>
              <w:left w:val="nil"/>
              <w:bottom w:val="double" w:sz="6" w:space="0" w:color="auto"/>
              <w:right w:val="nil"/>
            </w:tcBorders>
            <w:vAlign w:val="bottom"/>
          </w:tcPr>
          <w:p w14:paraId="0FD55726"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63E19775" w14:textId="77777777" w:rsidTr="00E65106">
        <w:trPr>
          <w:trHeight w:hRule="exact" w:val="135"/>
          <w:jc w:val="center"/>
        </w:trPr>
        <w:tc>
          <w:tcPr>
            <w:tcW w:w="2017" w:type="dxa"/>
            <w:vAlign w:val="bottom"/>
          </w:tcPr>
          <w:p w14:paraId="0516151B"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vAlign w:val="bottom"/>
          </w:tcPr>
          <w:p w14:paraId="3B346FB8"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vAlign w:val="bottom"/>
          </w:tcPr>
          <w:p w14:paraId="65AEC78C"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vAlign w:val="bottom"/>
          </w:tcPr>
          <w:p w14:paraId="7D2A40AA"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vAlign w:val="bottom"/>
          </w:tcPr>
          <w:p w14:paraId="58FFAECB"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366AC012" w14:textId="77777777" w:rsidTr="00E65106">
        <w:trPr>
          <w:trHeight w:val="225"/>
          <w:jc w:val="center"/>
        </w:trPr>
        <w:tc>
          <w:tcPr>
            <w:tcW w:w="2017" w:type="dxa"/>
            <w:vAlign w:val="bottom"/>
            <w:hideMark/>
          </w:tcPr>
          <w:p w14:paraId="607C4B0E"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R-squared</w:t>
            </w:r>
          </w:p>
        </w:tc>
        <w:tc>
          <w:tcPr>
            <w:tcW w:w="1103" w:type="dxa"/>
            <w:vAlign w:val="bottom"/>
            <w:hideMark/>
          </w:tcPr>
          <w:p w14:paraId="1B5832FA"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0.176038</w:t>
            </w:r>
          </w:p>
        </w:tc>
        <w:tc>
          <w:tcPr>
            <w:tcW w:w="2415" w:type="dxa"/>
            <w:gridSpan w:val="2"/>
            <w:vAlign w:val="bottom"/>
            <w:hideMark/>
          </w:tcPr>
          <w:p w14:paraId="21A860F6"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Mean dependent var</w:t>
            </w:r>
          </w:p>
        </w:tc>
        <w:tc>
          <w:tcPr>
            <w:tcW w:w="997" w:type="dxa"/>
            <w:vAlign w:val="bottom"/>
            <w:hideMark/>
          </w:tcPr>
          <w:p w14:paraId="539C836D"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-4.12E-17</w:t>
            </w:r>
          </w:p>
        </w:tc>
      </w:tr>
      <w:tr w:rsidR="00F02C04" w:rsidRPr="0059588D" w14:paraId="6E1BB3A4" w14:textId="77777777" w:rsidTr="00E65106">
        <w:trPr>
          <w:trHeight w:val="225"/>
          <w:jc w:val="center"/>
        </w:trPr>
        <w:tc>
          <w:tcPr>
            <w:tcW w:w="2017" w:type="dxa"/>
            <w:vAlign w:val="bottom"/>
            <w:hideMark/>
          </w:tcPr>
          <w:p w14:paraId="3857335A"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Adjusted R-squared</w:t>
            </w:r>
          </w:p>
        </w:tc>
        <w:tc>
          <w:tcPr>
            <w:tcW w:w="1103" w:type="dxa"/>
            <w:vAlign w:val="bottom"/>
            <w:hideMark/>
          </w:tcPr>
          <w:p w14:paraId="0459E21C"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0.046789</w:t>
            </w:r>
          </w:p>
        </w:tc>
        <w:tc>
          <w:tcPr>
            <w:tcW w:w="2415" w:type="dxa"/>
            <w:gridSpan w:val="2"/>
            <w:vAlign w:val="bottom"/>
            <w:hideMark/>
          </w:tcPr>
          <w:p w14:paraId="0743FA8E"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S.D. dependent var</w:t>
            </w:r>
          </w:p>
        </w:tc>
        <w:tc>
          <w:tcPr>
            <w:tcW w:w="997" w:type="dxa"/>
            <w:vAlign w:val="bottom"/>
            <w:hideMark/>
          </w:tcPr>
          <w:p w14:paraId="55EFDDC5"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0.040998</w:t>
            </w:r>
          </w:p>
        </w:tc>
      </w:tr>
      <w:tr w:rsidR="00F02C04" w:rsidRPr="0059588D" w14:paraId="674430FE" w14:textId="77777777" w:rsidTr="00E65106">
        <w:trPr>
          <w:trHeight w:val="225"/>
          <w:jc w:val="center"/>
        </w:trPr>
        <w:tc>
          <w:tcPr>
            <w:tcW w:w="2017" w:type="dxa"/>
            <w:vAlign w:val="bottom"/>
            <w:hideMark/>
          </w:tcPr>
          <w:p w14:paraId="37C79C0E"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S.E. of regression</w:t>
            </w:r>
          </w:p>
        </w:tc>
        <w:tc>
          <w:tcPr>
            <w:tcW w:w="1103" w:type="dxa"/>
            <w:vAlign w:val="bottom"/>
            <w:hideMark/>
          </w:tcPr>
          <w:p w14:paraId="7FBA9A20"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0.040027</w:t>
            </w:r>
          </w:p>
        </w:tc>
        <w:tc>
          <w:tcPr>
            <w:tcW w:w="2415" w:type="dxa"/>
            <w:gridSpan w:val="2"/>
            <w:vAlign w:val="bottom"/>
            <w:hideMark/>
          </w:tcPr>
          <w:p w14:paraId="34B7C40C"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Akaike info criterion</w:t>
            </w:r>
          </w:p>
        </w:tc>
        <w:tc>
          <w:tcPr>
            <w:tcW w:w="997" w:type="dxa"/>
            <w:vAlign w:val="bottom"/>
            <w:hideMark/>
          </w:tcPr>
          <w:p w14:paraId="08E8D51B"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-3.461035</w:t>
            </w:r>
          </w:p>
        </w:tc>
      </w:tr>
      <w:tr w:rsidR="00F02C04" w:rsidRPr="0059588D" w14:paraId="0AD5BCE0" w14:textId="77777777" w:rsidTr="00E65106">
        <w:trPr>
          <w:trHeight w:val="225"/>
          <w:jc w:val="center"/>
        </w:trPr>
        <w:tc>
          <w:tcPr>
            <w:tcW w:w="2017" w:type="dxa"/>
            <w:vAlign w:val="bottom"/>
            <w:hideMark/>
          </w:tcPr>
          <w:p w14:paraId="3E18655A"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xml:space="preserve">Sum squared </w:t>
            </w:r>
            <w:proofErr w:type="spellStart"/>
            <w:r w:rsidRPr="0059588D">
              <w:rPr>
                <w:rFonts w:ascii="Times New Roman" w:hAnsi="Times New Roman" w:cs="Times New Roman"/>
                <w:color w:val="000000"/>
                <w:lang w:eastAsia="id-ID"/>
              </w:rPr>
              <w:t>resid</w:t>
            </w:r>
            <w:proofErr w:type="spellEnd"/>
          </w:p>
        </w:tc>
        <w:tc>
          <w:tcPr>
            <w:tcW w:w="1103" w:type="dxa"/>
            <w:vAlign w:val="bottom"/>
            <w:hideMark/>
          </w:tcPr>
          <w:p w14:paraId="48F508CF"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0.081711</w:t>
            </w:r>
          </w:p>
        </w:tc>
        <w:tc>
          <w:tcPr>
            <w:tcW w:w="2415" w:type="dxa"/>
            <w:gridSpan w:val="2"/>
            <w:vAlign w:val="bottom"/>
            <w:hideMark/>
          </w:tcPr>
          <w:p w14:paraId="7B5FC23D"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Schwarz criterion</w:t>
            </w:r>
          </w:p>
        </w:tc>
        <w:tc>
          <w:tcPr>
            <w:tcW w:w="997" w:type="dxa"/>
            <w:vAlign w:val="bottom"/>
            <w:hideMark/>
          </w:tcPr>
          <w:p w14:paraId="23ABA495"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-3.146884</w:t>
            </w:r>
          </w:p>
        </w:tc>
      </w:tr>
      <w:tr w:rsidR="00F02C04" w:rsidRPr="0059588D" w14:paraId="7318E1F5" w14:textId="77777777" w:rsidTr="00E65106">
        <w:trPr>
          <w:trHeight w:val="225"/>
          <w:jc w:val="center"/>
        </w:trPr>
        <w:tc>
          <w:tcPr>
            <w:tcW w:w="2017" w:type="dxa"/>
            <w:vAlign w:val="bottom"/>
            <w:hideMark/>
          </w:tcPr>
          <w:p w14:paraId="44BBA18F" w14:textId="28ABE304"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Pr>
                <w:rFonts w:ascii="Times New Roman" w:hAnsi="Times New Roman" w:cs="Times New Roman"/>
                <w:color w:val="000000"/>
                <w:lang w:eastAsia="id-ID"/>
              </w:rPr>
              <w:t>Log-likelihood</w:t>
            </w:r>
          </w:p>
        </w:tc>
        <w:tc>
          <w:tcPr>
            <w:tcW w:w="1103" w:type="dxa"/>
            <w:vAlign w:val="bottom"/>
            <w:hideMark/>
          </w:tcPr>
          <w:p w14:paraId="6D31D006"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112.8311</w:t>
            </w:r>
          </w:p>
        </w:tc>
        <w:tc>
          <w:tcPr>
            <w:tcW w:w="2415" w:type="dxa"/>
            <w:gridSpan w:val="2"/>
            <w:vAlign w:val="bottom"/>
            <w:hideMark/>
          </w:tcPr>
          <w:p w14:paraId="2B0677A8"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xml:space="preserve">    Hannan-Quinn </w:t>
            </w:r>
            <w:proofErr w:type="spellStart"/>
            <w:r w:rsidRPr="0059588D">
              <w:rPr>
                <w:rFonts w:ascii="Times New Roman" w:hAnsi="Times New Roman" w:cs="Times New Roman"/>
                <w:color w:val="000000"/>
                <w:lang w:eastAsia="id-ID"/>
              </w:rPr>
              <w:t>criter</w:t>
            </w:r>
            <w:proofErr w:type="spellEnd"/>
            <w:r w:rsidRPr="0059588D">
              <w:rPr>
                <w:rFonts w:ascii="Times New Roman" w:hAnsi="Times New Roman" w:cs="Times New Roman"/>
                <w:color w:val="000000"/>
                <w:lang w:eastAsia="id-ID"/>
              </w:rPr>
              <w:t>.</w:t>
            </w:r>
          </w:p>
        </w:tc>
        <w:tc>
          <w:tcPr>
            <w:tcW w:w="997" w:type="dxa"/>
            <w:vAlign w:val="bottom"/>
            <w:hideMark/>
          </w:tcPr>
          <w:p w14:paraId="32293D13"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-3.338153</w:t>
            </w:r>
          </w:p>
        </w:tc>
      </w:tr>
      <w:tr w:rsidR="00F02C04" w:rsidRPr="0059588D" w14:paraId="4256ED57" w14:textId="77777777" w:rsidTr="00E65106">
        <w:trPr>
          <w:trHeight w:val="225"/>
          <w:jc w:val="center"/>
        </w:trPr>
        <w:tc>
          <w:tcPr>
            <w:tcW w:w="2017" w:type="dxa"/>
            <w:vAlign w:val="bottom"/>
            <w:hideMark/>
          </w:tcPr>
          <w:p w14:paraId="1CA16EF7"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F-statistic</w:t>
            </w:r>
          </w:p>
        </w:tc>
        <w:tc>
          <w:tcPr>
            <w:tcW w:w="1103" w:type="dxa"/>
            <w:vAlign w:val="bottom"/>
            <w:hideMark/>
          </w:tcPr>
          <w:p w14:paraId="782AB00D"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1.362005</w:t>
            </w:r>
          </w:p>
        </w:tc>
        <w:tc>
          <w:tcPr>
            <w:tcW w:w="2415" w:type="dxa"/>
            <w:gridSpan w:val="2"/>
            <w:vAlign w:val="bottom"/>
            <w:hideMark/>
          </w:tcPr>
          <w:p w14:paraId="18B0D704"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Durbin-Watson stat</w:t>
            </w:r>
          </w:p>
        </w:tc>
        <w:tc>
          <w:tcPr>
            <w:tcW w:w="997" w:type="dxa"/>
            <w:vAlign w:val="bottom"/>
            <w:hideMark/>
          </w:tcPr>
          <w:p w14:paraId="53356455"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1.913274</w:t>
            </w:r>
          </w:p>
        </w:tc>
      </w:tr>
      <w:tr w:rsidR="00F02C04" w:rsidRPr="0059588D" w14:paraId="2A73B99F" w14:textId="77777777" w:rsidTr="00E65106">
        <w:trPr>
          <w:trHeight w:val="225"/>
          <w:jc w:val="center"/>
        </w:trPr>
        <w:tc>
          <w:tcPr>
            <w:tcW w:w="2017" w:type="dxa"/>
            <w:vAlign w:val="bottom"/>
            <w:hideMark/>
          </w:tcPr>
          <w:p w14:paraId="1BDC01FE"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Prob(F-statistic)</w:t>
            </w:r>
          </w:p>
        </w:tc>
        <w:tc>
          <w:tcPr>
            <w:tcW w:w="1103" w:type="dxa"/>
            <w:vAlign w:val="bottom"/>
            <w:hideMark/>
          </w:tcPr>
          <w:p w14:paraId="62452984"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0.235638</w:t>
            </w:r>
          </w:p>
        </w:tc>
        <w:tc>
          <w:tcPr>
            <w:tcW w:w="1207" w:type="dxa"/>
            <w:vAlign w:val="bottom"/>
          </w:tcPr>
          <w:p w14:paraId="1256884B"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p>
        </w:tc>
        <w:tc>
          <w:tcPr>
            <w:tcW w:w="1208" w:type="dxa"/>
            <w:vAlign w:val="bottom"/>
          </w:tcPr>
          <w:p w14:paraId="1CB768D5"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p>
        </w:tc>
        <w:tc>
          <w:tcPr>
            <w:tcW w:w="997" w:type="dxa"/>
            <w:vAlign w:val="bottom"/>
          </w:tcPr>
          <w:p w14:paraId="433D8713"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p>
        </w:tc>
      </w:tr>
      <w:tr w:rsidR="00F02C04" w:rsidRPr="0059588D" w14:paraId="658BA74E" w14:textId="77777777" w:rsidTr="00E65106">
        <w:trPr>
          <w:trHeight w:hRule="exact" w:val="90"/>
          <w:jc w:val="center"/>
        </w:trPr>
        <w:tc>
          <w:tcPr>
            <w:tcW w:w="2017" w:type="dxa"/>
            <w:tcBorders>
              <w:top w:val="nil"/>
              <w:left w:val="nil"/>
              <w:bottom w:val="double" w:sz="6" w:space="0" w:color="auto"/>
              <w:right w:val="nil"/>
            </w:tcBorders>
            <w:vAlign w:val="bottom"/>
          </w:tcPr>
          <w:p w14:paraId="34A4DACF"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tcBorders>
              <w:top w:val="nil"/>
              <w:left w:val="nil"/>
              <w:bottom w:val="double" w:sz="6" w:space="0" w:color="auto"/>
              <w:right w:val="nil"/>
            </w:tcBorders>
            <w:vAlign w:val="bottom"/>
          </w:tcPr>
          <w:p w14:paraId="336B0D11"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tcBorders>
              <w:top w:val="nil"/>
              <w:left w:val="nil"/>
              <w:bottom w:val="double" w:sz="6" w:space="0" w:color="auto"/>
              <w:right w:val="nil"/>
            </w:tcBorders>
            <w:vAlign w:val="bottom"/>
          </w:tcPr>
          <w:p w14:paraId="2CE12529"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tcBorders>
              <w:top w:val="nil"/>
              <w:left w:val="nil"/>
              <w:bottom w:val="double" w:sz="6" w:space="0" w:color="auto"/>
              <w:right w:val="nil"/>
            </w:tcBorders>
            <w:vAlign w:val="bottom"/>
          </w:tcPr>
          <w:p w14:paraId="545B6385"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tcBorders>
              <w:top w:val="nil"/>
              <w:left w:val="nil"/>
              <w:bottom w:val="double" w:sz="6" w:space="0" w:color="auto"/>
              <w:right w:val="nil"/>
            </w:tcBorders>
            <w:vAlign w:val="bottom"/>
          </w:tcPr>
          <w:p w14:paraId="5105C60C"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3B08589D" w14:textId="77777777" w:rsidTr="00E65106">
        <w:trPr>
          <w:trHeight w:hRule="exact" w:val="135"/>
          <w:jc w:val="center"/>
        </w:trPr>
        <w:tc>
          <w:tcPr>
            <w:tcW w:w="2017" w:type="dxa"/>
            <w:vAlign w:val="bottom"/>
          </w:tcPr>
          <w:p w14:paraId="399E3939"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vAlign w:val="bottom"/>
          </w:tcPr>
          <w:p w14:paraId="06060A0A"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vAlign w:val="bottom"/>
          </w:tcPr>
          <w:p w14:paraId="30BBDC4E"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vAlign w:val="bottom"/>
          </w:tcPr>
          <w:p w14:paraId="31FF586E"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vAlign w:val="bottom"/>
          </w:tcPr>
          <w:p w14:paraId="2BF0415D"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bl>
    <w:p w14:paraId="211DA689" w14:textId="77777777" w:rsidR="00F02C04" w:rsidRDefault="00F02C04" w:rsidP="00F02C04">
      <w:pPr>
        <w:ind w:firstLine="720"/>
      </w:pPr>
      <w:r>
        <w:t xml:space="preserve">Based on the test results, it is known that if the DW value = 1.913274, the dL and </w:t>
      </w:r>
      <w:proofErr w:type="spellStart"/>
      <w:r>
        <w:t>dU</w:t>
      </w:r>
      <w:proofErr w:type="spellEnd"/>
      <w:r>
        <w:t xml:space="preserve"> values derived from the Durbin Watson Table for a significance level of 5%, t = 320 and k = 6, namely </w:t>
      </w:r>
      <w:proofErr w:type="spellStart"/>
      <w:r>
        <w:t>dU</w:t>
      </w:r>
      <w:proofErr w:type="spellEnd"/>
      <w:r>
        <w:t xml:space="preserve"> = 1.6815, the 4-dU value = 4-du = 4-1.6815 = 2.3185. Because the DW value is between </w:t>
      </w:r>
      <w:proofErr w:type="spellStart"/>
      <w:r>
        <w:t>dU</w:t>
      </w:r>
      <w:proofErr w:type="spellEnd"/>
      <w:r>
        <w:t xml:space="preserve"> and 4-dU 1.6815 &lt; 1.939 &lt; 2.3185, it can be concluded that the correlation coefficient is equal to zero. This means that there is no autocorrelation in this study.</w:t>
      </w:r>
    </w:p>
    <w:p w14:paraId="2601A20E" w14:textId="483B25E5" w:rsidR="00F02C04" w:rsidRDefault="00F02C04" w:rsidP="003A1259">
      <w:r>
        <w:t>Heteroscedasticity Test</w:t>
      </w:r>
    </w:p>
    <w:p w14:paraId="54F4DCBF" w14:textId="3B111333" w:rsidR="00F02C04" w:rsidRDefault="00F02C04" w:rsidP="00F02C04">
      <w:pPr>
        <w:ind w:firstLine="720"/>
      </w:pPr>
      <w:r>
        <w:lastRenderedPageBreak/>
        <w:t xml:space="preserve">This test is to determine whether in this regression model, there are differences in variance from the residuals of the known independent variables. A good regression model is if there is no heteroscedasticity. The following are the results of the heteroscedasticity test using </w:t>
      </w:r>
      <w:proofErr w:type="spellStart"/>
      <w:r>
        <w:t>Eviews</w:t>
      </w:r>
      <w:proofErr w:type="spellEnd"/>
      <w:r>
        <w:t>.</w:t>
      </w:r>
    </w:p>
    <w:tbl>
      <w:tblPr>
        <w:tblW w:w="0" w:type="auto"/>
        <w:jc w:val="center"/>
        <w:tblLayout w:type="fixed"/>
        <w:tblCellMar>
          <w:left w:w="0" w:type="dxa"/>
          <w:right w:w="0" w:type="dxa"/>
        </w:tblCellMar>
        <w:tblLook w:val="04A0" w:firstRow="1" w:lastRow="0" w:firstColumn="1" w:lastColumn="0" w:noHBand="0" w:noVBand="1"/>
      </w:tblPr>
      <w:tblGrid>
        <w:gridCol w:w="2017"/>
        <w:gridCol w:w="1103"/>
        <w:gridCol w:w="1207"/>
        <w:gridCol w:w="1208"/>
        <w:gridCol w:w="997"/>
      </w:tblGrid>
      <w:tr w:rsidR="00F02C04" w:rsidRPr="0059588D" w14:paraId="6542BA69" w14:textId="77777777" w:rsidTr="00E65106">
        <w:trPr>
          <w:trHeight w:val="225"/>
          <w:jc w:val="center"/>
        </w:trPr>
        <w:tc>
          <w:tcPr>
            <w:tcW w:w="5535" w:type="dxa"/>
            <w:gridSpan w:val="4"/>
            <w:vAlign w:val="bottom"/>
            <w:hideMark/>
          </w:tcPr>
          <w:p w14:paraId="27DAEAE2"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Heteroskedasticity Test: White</w:t>
            </w:r>
          </w:p>
        </w:tc>
        <w:tc>
          <w:tcPr>
            <w:tcW w:w="997" w:type="dxa"/>
            <w:vAlign w:val="bottom"/>
          </w:tcPr>
          <w:p w14:paraId="14719A8C"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567DC665" w14:textId="77777777" w:rsidTr="00E65106">
        <w:trPr>
          <w:trHeight w:hRule="exact" w:val="90"/>
          <w:jc w:val="center"/>
        </w:trPr>
        <w:tc>
          <w:tcPr>
            <w:tcW w:w="2017" w:type="dxa"/>
            <w:tcBorders>
              <w:top w:val="nil"/>
              <w:left w:val="nil"/>
              <w:bottom w:val="double" w:sz="6" w:space="0" w:color="auto"/>
              <w:right w:val="nil"/>
            </w:tcBorders>
            <w:vAlign w:val="bottom"/>
          </w:tcPr>
          <w:p w14:paraId="4BF627E9"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tcBorders>
              <w:top w:val="nil"/>
              <w:left w:val="nil"/>
              <w:bottom w:val="double" w:sz="6" w:space="0" w:color="auto"/>
              <w:right w:val="nil"/>
            </w:tcBorders>
            <w:vAlign w:val="bottom"/>
          </w:tcPr>
          <w:p w14:paraId="3D65E059"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tcBorders>
              <w:top w:val="nil"/>
              <w:left w:val="nil"/>
              <w:bottom w:val="double" w:sz="6" w:space="0" w:color="auto"/>
              <w:right w:val="nil"/>
            </w:tcBorders>
            <w:vAlign w:val="bottom"/>
          </w:tcPr>
          <w:p w14:paraId="085C93D9"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tcBorders>
              <w:top w:val="nil"/>
              <w:left w:val="nil"/>
              <w:bottom w:val="double" w:sz="6" w:space="0" w:color="auto"/>
              <w:right w:val="nil"/>
            </w:tcBorders>
            <w:vAlign w:val="bottom"/>
          </w:tcPr>
          <w:p w14:paraId="62A09351"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tcBorders>
              <w:top w:val="nil"/>
              <w:left w:val="nil"/>
              <w:bottom w:val="double" w:sz="6" w:space="0" w:color="auto"/>
              <w:right w:val="nil"/>
            </w:tcBorders>
            <w:vAlign w:val="bottom"/>
          </w:tcPr>
          <w:p w14:paraId="45408010"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34E0FD75" w14:textId="77777777" w:rsidTr="00E65106">
        <w:trPr>
          <w:trHeight w:hRule="exact" w:val="135"/>
          <w:jc w:val="center"/>
        </w:trPr>
        <w:tc>
          <w:tcPr>
            <w:tcW w:w="2017" w:type="dxa"/>
            <w:vAlign w:val="bottom"/>
          </w:tcPr>
          <w:p w14:paraId="3230EFB4"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vAlign w:val="bottom"/>
          </w:tcPr>
          <w:p w14:paraId="1A688C28"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vAlign w:val="bottom"/>
          </w:tcPr>
          <w:p w14:paraId="37D5A41D"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vAlign w:val="bottom"/>
          </w:tcPr>
          <w:p w14:paraId="1A05AE40"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vAlign w:val="bottom"/>
          </w:tcPr>
          <w:p w14:paraId="66FA8C30"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6AE9920A" w14:textId="77777777" w:rsidTr="00E65106">
        <w:trPr>
          <w:trHeight w:val="225"/>
          <w:jc w:val="center"/>
        </w:trPr>
        <w:tc>
          <w:tcPr>
            <w:tcW w:w="2017" w:type="dxa"/>
            <w:vAlign w:val="bottom"/>
            <w:hideMark/>
          </w:tcPr>
          <w:p w14:paraId="36683A2F"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F-statistic</w:t>
            </w:r>
          </w:p>
        </w:tc>
        <w:tc>
          <w:tcPr>
            <w:tcW w:w="1103" w:type="dxa"/>
            <w:vAlign w:val="bottom"/>
            <w:hideMark/>
          </w:tcPr>
          <w:p w14:paraId="578CFE41"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0.814696</w:t>
            </w:r>
          </w:p>
        </w:tc>
        <w:tc>
          <w:tcPr>
            <w:tcW w:w="2415" w:type="dxa"/>
            <w:gridSpan w:val="2"/>
            <w:vAlign w:val="bottom"/>
            <w:hideMark/>
          </w:tcPr>
          <w:p w14:paraId="5702F401"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Prob. F(25,34)</w:t>
            </w:r>
          </w:p>
        </w:tc>
        <w:tc>
          <w:tcPr>
            <w:tcW w:w="997" w:type="dxa"/>
            <w:vAlign w:val="bottom"/>
            <w:hideMark/>
          </w:tcPr>
          <w:p w14:paraId="2757B5E3"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0.6995</w:t>
            </w:r>
          </w:p>
        </w:tc>
      </w:tr>
      <w:tr w:rsidR="00F02C04" w:rsidRPr="0059588D" w14:paraId="723DC5FA" w14:textId="77777777" w:rsidTr="00E65106">
        <w:trPr>
          <w:trHeight w:val="225"/>
          <w:jc w:val="center"/>
        </w:trPr>
        <w:tc>
          <w:tcPr>
            <w:tcW w:w="2017" w:type="dxa"/>
            <w:vAlign w:val="bottom"/>
            <w:hideMark/>
          </w:tcPr>
          <w:p w14:paraId="1D947BE7"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roofErr w:type="spellStart"/>
            <w:r w:rsidRPr="0059588D">
              <w:rPr>
                <w:rFonts w:ascii="Times New Roman" w:hAnsi="Times New Roman" w:cs="Times New Roman"/>
                <w:color w:val="000000"/>
                <w:lang w:eastAsia="id-ID"/>
              </w:rPr>
              <w:t>Obs</w:t>
            </w:r>
            <w:proofErr w:type="spellEnd"/>
            <w:r w:rsidRPr="0059588D">
              <w:rPr>
                <w:rFonts w:ascii="Times New Roman" w:hAnsi="Times New Roman" w:cs="Times New Roman"/>
                <w:color w:val="000000"/>
                <w:lang w:eastAsia="id-ID"/>
              </w:rPr>
              <w:t>*R-squared</w:t>
            </w:r>
          </w:p>
        </w:tc>
        <w:tc>
          <w:tcPr>
            <w:tcW w:w="1103" w:type="dxa"/>
            <w:vAlign w:val="bottom"/>
            <w:hideMark/>
          </w:tcPr>
          <w:p w14:paraId="6462008B"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22.47752</w:t>
            </w:r>
          </w:p>
        </w:tc>
        <w:tc>
          <w:tcPr>
            <w:tcW w:w="2415" w:type="dxa"/>
            <w:gridSpan w:val="2"/>
            <w:vAlign w:val="bottom"/>
            <w:hideMark/>
          </w:tcPr>
          <w:p w14:paraId="1EBBB41B"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Prob. Chi-Square(25)</w:t>
            </w:r>
          </w:p>
        </w:tc>
        <w:tc>
          <w:tcPr>
            <w:tcW w:w="997" w:type="dxa"/>
            <w:vAlign w:val="bottom"/>
            <w:hideMark/>
          </w:tcPr>
          <w:p w14:paraId="21F940F5"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0.6080</w:t>
            </w:r>
          </w:p>
        </w:tc>
      </w:tr>
      <w:tr w:rsidR="00F02C04" w:rsidRPr="0059588D" w14:paraId="522557BE" w14:textId="77777777" w:rsidTr="00E65106">
        <w:trPr>
          <w:trHeight w:val="225"/>
          <w:jc w:val="center"/>
        </w:trPr>
        <w:tc>
          <w:tcPr>
            <w:tcW w:w="2017" w:type="dxa"/>
            <w:vAlign w:val="bottom"/>
            <w:hideMark/>
          </w:tcPr>
          <w:p w14:paraId="46E0F2E5"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Scaled explained SS</w:t>
            </w:r>
          </w:p>
        </w:tc>
        <w:tc>
          <w:tcPr>
            <w:tcW w:w="1103" w:type="dxa"/>
            <w:vAlign w:val="bottom"/>
            <w:hideMark/>
          </w:tcPr>
          <w:p w14:paraId="3ED30466"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82.78868</w:t>
            </w:r>
          </w:p>
        </w:tc>
        <w:tc>
          <w:tcPr>
            <w:tcW w:w="2415" w:type="dxa"/>
            <w:gridSpan w:val="2"/>
            <w:vAlign w:val="bottom"/>
            <w:hideMark/>
          </w:tcPr>
          <w:p w14:paraId="405C824A"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Prob. Chi-Square(25)</w:t>
            </w:r>
          </w:p>
        </w:tc>
        <w:tc>
          <w:tcPr>
            <w:tcW w:w="997" w:type="dxa"/>
            <w:vAlign w:val="bottom"/>
            <w:hideMark/>
          </w:tcPr>
          <w:p w14:paraId="37FF246E"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0.0000</w:t>
            </w:r>
          </w:p>
        </w:tc>
      </w:tr>
      <w:tr w:rsidR="00F02C04" w:rsidRPr="0059588D" w14:paraId="0C69080B" w14:textId="77777777" w:rsidTr="00E65106">
        <w:trPr>
          <w:trHeight w:hRule="exact" w:val="90"/>
          <w:jc w:val="center"/>
        </w:trPr>
        <w:tc>
          <w:tcPr>
            <w:tcW w:w="2017" w:type="dxa"/>
            <w:tcBorders>
              <w:top w:val="nil"/>
              <w:left w:val="nil"/>
              <w:bottom w:val="double" w:sz="6" w:space="0" w:color="auto"/>
              <w:right w:val="nil"/>
            </w:tcBorders>
            <w:vAlign w:val="bottom"/>
          </w:tcPr>
          <w:p w14:paraId="7DA3EE4F"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tcBorders>
              <w:top w:val="nil"/>
              <w:left w:val="nil"/>
              <w:bottom w:val="double" w:sz="6" w:space="0" w:color="auto"/>
              <w:right w:val="nil"/>
            </w:tcBorders>
            <w:vAlign w:val="bottom"/>
          </w:tcPr>
          <w:p w14:paraId="14FA482F"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tcBorders>
              <w:top w:val="nil"/>
              <w:left w:val="nil"/>
              <w:bottom w:val="double" w:sz="6" w:space="0" w:color="auto"/>
              <w:right w:val="nil"/>
            </w:tcBorders>
            <w:vAlign w:val="bottom"/>
          </w:tcPr>
          <w:p w14:paraId="60AFF3BC"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tcBorders>
              <w:top w:val="nil"/>
              <w:left w:val="nil"/>
              <w:bottom w:val="double" w:sz="6" w:space="0" w:color="auto"/>
              <w:right w:val="nil"/>
            </w:tcBorders>
            <w:vAlign w:val="bottom"/>
          </w:tcPr>
          <w:p w14:paraId="59266A22"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tcBorders>
              <w:top w:val="nil"/>
              <w:left w:val="nil"/>
              <w:bottom w:val="double" w:sz="6" w:space="0" w:color="auto"/>
              <w:right w:val="nil"/>
            </w:tcBorders>
            <w:vAlign w:val="bottom"/>
          </w:tcPr>
          <w:p w14:paraId="31C27757"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32D13332" w14:textId="77777777" w:rsidTr="00E65106">
        <w:trPr>
          <w:trHeight w:hRule="exact" w:val="135"/>
          <w:jc w:val="center"/>
        </w:trPr>
        <w:tc>
          <w:tcPr>
            <w:tcW w:w="2017" w:type="dxa"/>
            <w:vAlign w:val="bottom"/>
          </w:tcPr>
          <w:p w14:paraId="346653C1"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vAlign w:val="bottom"/>
          </w:tcPr>
          <w:p w14:paraId="54A7F113"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vAlign w:val="bottom"/>
          </w:tcPr>
          <w:p w14:paraId="49D83733"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vAlign w:val="bottom"/>
          </w:tcPr>
          <w:p w14:paraId="06CA7C71"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vAlign w:val="bottom"/>
          </w:tcPr>
          <w:p w14:paraId="2114B785"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bl>
    <w:p w14:paraId="5B4BC392" w14:textId="56620FAA" w:rsidR="00F02C04" w:rsidRDefault="00F02C04" w:rsidP="00F02C04">
      <w:pPr>
        <w:ind w:firstLine="720"/>
      </w:pPr>
      <w:r>
        <w:t>From the results of the heteroscedasticity test using the white method, the probability value is 0.608&gt; 0.05 so it can be concluded that there are no symptoms of heteroscedasticity.</w:t>
      </w:r>
    </w:p>
    <w:p w14:paraId="380F1F98" w14:textId="4E46A724" w:rsidR="00F02C04" w:rsidRDefault="00F02C04" w:rsidP="003A1259">
      <w:r>
        <w:t>Hypothesis Testing</w:t>
      </w:r>
    </w:p>
    <w:p w14:paraId="373BD54C" w14:textId="645DB5C4" w:rsidR="00F02C04" w:rsidRDefault="00F02C04" w:rsidP="003A1259">
      <w:r>
        <w:t>Statistical Test t</w:t>
      </w:r>
    </w:p>
    <w:p w14:paraId="593AAD24" w14:textId="724C4575" w:rsidR="00F02C04" w:rsidRDefault="00F02C04" w:rsidP="00F02C04">
      <w:pPr>
        <w:ind w:firstLine="720"/>
      </w:pPr>
      <w:r>
        <w:t>A partial test of the t-test is used to determine the effect of each independent variable in explaining the variation in the dependent variable. This test is carried out by looking at the p-value probability, if the p-value probability &lt; α 0.05 then H0 is rejected, which means that the variable has a significant effect. Conversely, if the probability p-value&gt; α 0.05 then H0 is accepted, meaning that the variable does not have a significant effect.</w:t>
      </w:r>
    </w:p>
    <w:tbl>
      <w:tblPr>
        <w:tblW w:w="0" w:type="auto"/>
        <w:jc w:val="center"/>
        <w:tblLayout w:type="fixed"/>
        <w:tblCellMar>
          <w:left w:w="0" w:type="dxa"/>
          <w:right w:w="0" w:type="dxa"/>
        </w:tblCellMar>
        <w:tblLook w:val="04A0" w:firstRow="1" w:lastRow="0" w:firstColumn="1" w:lastColumn="0" w:noHBand="0" w:noVBand="1"/>
      </w:tblPr>
      <w:tblGrid>
        <w:gridCol w:w="2017"/>
        <w:gridCol w:w="1103"/>
        <w:gridCol w:w="1207"/>
        <w:gridCol w:w="1208"/>
        <w:gridCol w:w="997"/>
      </w:tblGrid>
      <w:tr w:rsidR="00F02C04" w:rsidRPr="0059588D" w14:paraId="36B9B67F" w14:textId="77777777" w:rsidTr="00E65106">
        <w:trPr>
          <w:trHeight w:val="225"/>
          <w:jc w:val="center"/>
        </w:trPr>
        <w:tc>
          <w:tcPr>
            <w:tcW w:w="2017" w:type="dxa"/>
            <w:vAlign w:val="bottom"/>
            <w:hideMark/>
          </w:tcPr>
          <w:p w14:paraId="5939BAF4"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Variable</w:t>
            </w:r>
          </w:p>
        </w:tc>
        <w:tc>
          <w:tcPr>
            <w:tcW w:w="1103" w:type="dxa"/>
            <w:vAlign w:val="bottom"/>
            <w:hideMark/>
          </w:tcPr>
          <w:p w14:paraId="16C5FB23"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Coefficient</w:t>
            </w:r>
          </w:p>
        </w:tc>
        <w:tc>
          <w:tcPr>
            <w:tcW w:w="1207" w:type="dxa"/>
            <w:vAlign w:val="bottom"/>
            <w:hideMark/>
          </w:tcPr>
          <w:p w14:paraId="44401A26"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Std. Error</w:t>
            </w:r>
          </w:p>
        </w:tc>
        <w:tc>
          <w:tcPr>
            <w:tcW w:w="1208" w:type="dxa"/>
            <w:vAlign w:val="bottom"/>
            <w:hideMark/>
          </w:tcPr>
          <w:p w14:paraId="6A37F2A1"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t-Statistic</w:t>
            </w:r>
          </w:p>
        </w:tc>
        <w:tc>
          <w:tcPr>
            <w:tcW w:w="997" w:type="dxa"/>
            <w:vAlign w:val="bottom"/>
            <w:hideMark/>
          </w:tcPr>
          <w:p w14:paraId="7F63E79F"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Prob.  </w:t>
            </w:r>
          </w:p>
        </w:tc>
      </w:tr>
      <w:tr w:rsidR="00F02C04" w:rsidRPr="0059588D" w14:paraId="361612BA" w14:textId="77777777" w:rsidTr="00E65106">
        <w:trPr>
          <w:trHeight w:hRule="exact" w:val="90"/>
          <w:jc w:val="center"/>
        </w:trPr>
        <w:tc>
          <w:tcPr>
            <w:tcW w:w="2017" w:type="dxa"/>
            <w:tcBorders>
              <w:top w:val="nil"/>
              <w:left w:val="nil"/>
              <w:bottom w:val="double" w:sz="6" w:space="0" w:color="auto"/>
              <w:right w:val="nil"/>
            </w:tcBorders>
            <w:vAlign w:val="bottom"/>
          </w:tcPr>
          <w:p w14:paraId="0D9B0A2B"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tcBorders>
              <w:top w:val="nil"/>
              <w:left w:val="nil"/>
              <w:bottom w:val="double" w:sz="6" w:space="0" w:color="auto"/>
              <w:right w:val="nil"/>
            </w:tcBorders>
            <w:vAlign w:val="bottom"/>
          </w:tcPr>
          <w:p w14:paraId="0FE1D9E8"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tcBorders>
              <w:top w:val="nil"/>
              <w:left w:val="nil"/>
              <w:bottom w:val="double" w:sz="6" w:space="0" w:color="auto"/>
              <w:right w:val="nil"/>
            </w:tcBorders>
            <w:vAlign w:val="bottom"/>
          </w:tcPr>
          <w:p w14:paraId="66715B4B"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tcBorders>
              <w:top w:val="nil"/>
              <w:left w:val="nil"/>
              <w:bottom w:val="double" w:sz="6" w:space="0" w:color="auto"/>
              <w:right w:val="nil"/>
            </w:tcBorders>
            <w:vAlign w:val="bottom"/>
          </w:tcPr>
          <w:p w14:paraId="25C82710"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tcBorders>
              <w:top w:val="nil"/>
              <w:left w:val="nil"/>
              <w:bottom w:val="double" w:sz="6" w:space="0" w:color="auto"/>
              <w:right w:val="nil"/>
            </w:tcBorders>
            <w:vAlign w:val="bottom"/>
          </w:tcPr>
          <w:p w14:paraId="0A8F49FD"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3570B360" w14:textId="77777777" w:rsidTr="00E65106">
        <w:trPr>
          <w:trHeight w:hRule="exact" w:val="135"/>
          <w:jc w:val="center"/>
        </w:trPr>
        <w:tc>
          <w:tcPr>
            <w:tcW w:w="2017" w:type="dxa"/>
            <w:vAlign w:val="bottom"/>
          </w:tcPr>
          <w:p w14:paraId="07D93CAB"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vAlign w:val="bottom"/>
          </w:tcPr>
          <w:p w14:paraId="33F93075"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vAlign w:val="bottom"/>
          </w:tcPr>
          <w:p w14:paraId="79C4C527"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vAlign w:val="bottom"/>
          </w:tcPr>
          <w:p w14:paraId="0CCC6268"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vAlign w:val="bottom"/>
          </w:tcPr>
          <w:p w14:paraId="17E7DF5D"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52E80FD1" w14:textId="77777777" w:rsidTr="00E65106">
        <w:trPr>
          <w:trHeight w:val="225"/>
          <w:jc w:val="center"/>
        </w:trPr>
        <w:tc>
          <w:tcPr>
            <w:tcW w:w="2017" w:type="dxa"/>
            <w:vAlign w:val="bottom"/>
            <w:hideMark/>
          </w:tcPr>
          <w:p w14:paraId="3F9E3361"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C</w:t>
            </w:r>
          </w:p>
        </w:tc>
        <w:tc>
          <w:tcPr>
            <w:tcW w:w="1103" w:type="dxa"/>
            <w:vAlign w:val="bottom"/>
            <w:hideMark/>
          </w:tcPr>
          <w:p w14:paraId="3325F159"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-0.146713</w:t>
            </w:r>
          </w:p>
        </w:tc>
        <w:tc>
          <w:tcPr>
            <w:tcW w:w="1207" w:type="dxa"/>
            <w:vAlign w:val="bottom"/>
            <w:hideMark/>
          </w:tcPr>
          <w:p w14:paraId="51A8A664"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0.291526</w:t>
            </w:r>
          </w:p>
        </w:tc>
        <w:tc>
          <w:tcPr>
            <w:tcW w:w="1208" w:type="dxa"/>
            <w:vAlign w:val="bottom"/>
            <w:hideMark/>
          </w:tcPr>
          <w:p w14:paraId="4E0439F9"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0.503261</w:t>
            </w:r>
          </w:p>
        </w:tc>
        <w:tc>
          <w:tcPr>
            <w:tcW w:w="997" w:type="dxa"/>
            <w:vAlign w:val="bottom"/>
            <w:hideMark/>
          </w:tcPr>
          <w:p w14:paraId="1330D1AA"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0.6169</w:t>
            </w:r>
          </w:p>
        </w:tc>
      </w:tr>
      <w:tr w:rsidR="00F02C04" w:rsidRPr="0059588D" w14:paraId="76B602A2" w14:textId="77777777" w:rsidTr="00E65106">
        <w:trPr>
          <w:trHeight w:val="225"/>
          <w:jc w:val="center"/>
        </w:trPr>
        <w:tc>
          <w:tcPr>
            <w:tcW w:w="2017" w:type="dxa"/>
            <w:vAlign w:val="bottom"/>
            <w:hideMark/>
          </w:tcPr>
          <w:p w14:paraId="2BB3B372"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NIM</w:t>
            </w:r>
          </w:p>
        </w:tc>
        <w:tc>
          <w:tcPr>
            <w:tcW w:w="1103" w:type="dxa"/>
            <w:vAlign w:val="bottom"/>
            <w:hideMark/>
          </w:tcPr>
          <w:p w14:paraId="27F7F32F"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0.493219</w:t>
            </w:r>
          </w:p>
        </w:tc>
        <w:tc>
          <w:tcPr>
            <w:tcW w:w="1207" w:type="dxa"/>
            <w:vAlign w:val="bottom"/>
            <w:hideMark/>
          </w:tcPr>
          <w:p w14:paraId="6E391296"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0.209391</w:t>
            </w:r>
          </w:p>
        </w:tc>
        <w:tc>
          <w:tcPr>
            <w:tcW w:w="1208" w:type="dxa"/>
            <w:vAlign w:val="bottom"/>
            <w:hideMark/>
          </w:tcPr>
          <w:p w14:paraId="1E8AED65"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2.355492</w:t>
            </w:r>
          </w:p>
        </w:tc>
        <w:tc>
          <w:tcPr>
            <w:tcW w:w="997" w:type="dxa"/>
            <w:vAlign w:val="bottom"/>
            <w:hideMark/>
          </w:tcPr>
          <w:p w14:paraId="52C1FA8E"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0.0222</w:t>
            </w:r>
          </w:p>
        </w:tc>
      </w:tr>
      <w:tr w:rsidR="00F02C04" w:rsidRPr="0059588D" w14:paraId="0D16949E" w14:textId="77777777" w:rsidTr="00E65106">
        <w:trPr>
          <w:trHeight w:val="225"/>
          <w:jc w:val="center"/>
        </w:trPr>
        <w:tc>
          <w:tcPr>
            <w:tcW w:w="2017" w:type="dxa"/>
            <w:vAlign w:val="bottom"/>
            <w:hideMark/>
          </w:tcPr>
          <w:p w14:paraId="3F8FF404"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NPL</w:t>
            </w:r>
          </w:p>
        </w:tc>
        <w:tc>
          <w:tcPr>
            <w:tcW w:w="1103" w:type="dxa"/>
            <w:vAlign w:val="bottom"/>
            <w:hideMark/>
          </w:tcPr>
          <w:p w14:paraId="10911E57"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0.149752</w:t>
            </w:r>
          </w:p>
        </w:tc>
        <w:tc>
          <w:tcPr>
            <w:tcW w:w="1207" w:type="dxa"/>
            <w:vAlign w:val="bottom"/>
            <w:hideMark/>
          </w:tcPr>
          <w:p w14:paraId="2A459DC3"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0.201508</w:t>
            </w:r>
          </w:p>
        </w:tc>
        <w:tc>
          <w:tcPr>
            <w:tcW w:w="1208" w:type="dxa"/>
            <w:vAlign w:val="bottom"/>
            <w:hideMark/>
          </w:tcPr>
          <w:p w14:paraId="4BC2177C"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0.743157</w:t>
            </w:r>
          </w:p>
        </w:tc>
        <w:tc>
          <w:tcPr>
            <w:tcW w:w="997" w:type="dxa"/>
            <w:vAlign w:val="bottom"/>
            <w:hideMark/>
          </w:tcPr>
          <w:p w14:paraId="700BBB1F"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0.0460</w:t>
            </w:r>
          </w:p>
        </w:tc>
      </w:tr>
      <w:tr w:rsidR="00F02C04" w:rsidRPr="0059588D" w14:paraId="000AFB16" w14:textId="77777777" w:rsidTr="00E65106">
        <w:trPr>
          <w:trHeight w:val="225"/>
          <w:jc w:val="center"/>
        </w:trPr>
        <w:tc>
          <w:tcPr>
            <w:tcW w:w="2017" w:type="dxa"/>
            <w:vAlign w:val="bottom"/>
            <w:hideMark/>
          </w:tcPr>
          <w:p w14:paraId="36502AB8" w14:textId="1B5164B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Pr>
                <w:rFonts w:ascii="Times New Roman" w:hAnsi="Times New Roman" w:cs="Times New Roman"/>
                <w:color w:val="000000"/>
                <w:lang w:eastAsia="id-ID"/>
              </w:rPr>
              <w:t>EXCHANGE RATE</w:t>
            </w:r>
          </w:p>
        </w:tc>
        <w:tc>
          <w:tcPr>
            <w:tcW w:w="1103" w:type="dxa"/>
            <w:vAlign w:val="bottom"/>
            <w:hideMark/>
          </w:tcPr>
          <w:p w14:paraId="3C83ACF6"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2.357259</w:t>
            </w:r>
          </w:p>
        </w:tc>
        <w:tc>
          <w:tcPr>
            <w:tcW w:w="1207" w:type="dxa"/>
            <w:vAlign w:val="bottom"/>
            <w:hideMark/>
          </w:tcPr>
          <w:p w14:paraId="228F2439"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3.003970</w:t>
            </w:r>
          </w:p>
        </w:tc>
        <w:tc>
          <w:tcPr>
            <w:tcW w:w="1208" w:type="dxa"/>
            <w:vAlign w:val="bottom"/>
            <w:hideMark/>
          </w:tcPr>
          <w:p w14:paraId="686D63CA"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0.784715</w:t>
            </w:r>
          </w:p>
        </w:tc>
        <w:tc>
          <w:tcPr>
            <w:tcW w:w="997" w:type="dxa"/>
            <w:vAlign w:val="bottom"/>
            <w:hideMark/>
          </w:tcPr>
          <w:p w14:paraId="479A285B"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0.0361</w:t>
            </w:r>
          </w:p>
        </w:tc>
      </w:tr>
      <w:tr w:rsidR="00F02C04" w:rsidRPr="0059588D" w14:paraId="51021360" w14:textId="77777777" w:rsidTr="00E65106">
        <w:trPr>
          <w:trHeight w:val="225"/>
          <w:jc w:val="center"/>
        </w:trPr>
        <w:tc>
          <w:tcPr>
            <w:tcW w:w="2017" w:type="dxa"/>
            <w:vAlign w:val="bottom"/>
            <w:hideMark/>
          </w:tcPr>
          <w:p w14:paraId="404F2E2B" w14:textId="4FA90CBD"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Pr>
                <w:rFonts w:ascii="Times New Roman" w:eastAsia="Calibri" w:hAnsi="Times New Roman" w:cs="Times New Roman"/>
                <w:color w:val="000000"/>
                <w:lang w:eastAsia="id-ID"/>
              </w:rPr>
              <w:t>OIL PRICE</w:t>
            </w:r>
          </w:p>
        </w:tc>
        <w:tc>
          <w:tcPr>
            <w:tcW w:w="1103" w:type="dxa"/>
            <w:vAlign w:val="bottom"/>
            <w:hideMark/>
          </w:tcPr>
          <w:p w14:paraId="38AB03C9"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-0.010961</w:t>
            </w:r>
          </w:p>
        </w:tc>
        <w:tc>
          <w:tcPr>
            <w:tcW w:w="1207" w:type="dxa"/>
            <w:vAlign w:val="bottom"/>
            <w:hideMark/>
          </w:tcPr>
          <w:p w14:paraId="13BD072B"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0.009492</w:t>
            </w:r>
          </w:p>
        </w:tc>
        <w:tc>
          <w:tcPr>
            <w:tcW w:w="1208" w:type="dxa"/>
            <w:vAlign w:val="bottom"/>
            <w:hideMark/>
          </w:tcPr>
          <w:p w14:paraId="55C8CB98"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-1.154705</w:t>
            </w:r>
          </w:p>
        </w:tc>
        <w:tc>
          <w:tcPr>
            <w:tcW w:w="997" w:type="dxa"/>
            <w:vAlign w:val="bottom"/>
            <w:hideMark/>
          </w:tcPr>
          <w:p w14:paraId="1337714B"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0.2534</w:t>
            </w:r>
          </w:p>
        </w:tc>
      </w:tr>
      <w:tr w:rsidR="00F02C04" w:rsidRPr="0059588D" w14:paraId="62B50C06" w14:textId="77777777" w:rsidTr="00E65106">
        <w:trPr>
          <w:trHeight w:val="225"/>
          <w:jc w:val="center"/>
        </w:trPr>
        <w:tc>
          <w:tcPr>
            <w:tcW w:w="2017" w:type="dxa"/>
            <w:vAlign w:val="bottom"/>
            <w:hideMark/>
          </w:tcPr>
          <w:p w14:paraId="57AE2E81"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MARKET POWER</w:t>
            </w:r>
          </w:p>
        </w:tc>
        <w:tc>
          <w:tcPr>
            <w:tcW w:w="1103" w:type="dxa"/>
            <w:vAlign w:val="bottom"/>
            <w:hideMark/>
          </w:tcPr>
          <w:p w14:paraId="503AE287"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-0.015677</w:t>
            </w:r>
          </w:p>
        </w:tc>
        <w:tc>
          <w:tcPr>
            <w:tcW w:w="1207" w:type="dxa"/>
            <w:vAlign w:val="bottom"/>
            <w:hideMark/>
          </w:tcPr>
          <w:p w14:paraId="7E1142CF"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0.004296</w:t>
            </w:r>
          </w:p>
        </w:tc>
        <w:tc>
          <w:tcPr>
            <w:tcW w:w="1208" w:type="dxa"/>
            <w:vAlign w:val="bottom"/>
            <w:hideMark/>
          </w:tcPr>
          <w:p w14:paraId="773D035F"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-3.648997</w:t>
            </w:r>
          </w:p>
        </w:tc>
        <w:tc>
          <w:tcPr>
            <w:tcW w:w="997" w:type="dxa"/>
            <w:vAlign w:val="bottom"/>
            <w:hideMark/>
          </w:tcPr>
          <w:p w14:paraId="7AB73D3B"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0.8665</w:t>
            </w:r>
          </w:p>
        </w:tc>
      </w:tr>
      <w:tr w:rsidR="00F02C04" w:rsidRPr="0059588D" w14:paraId="756BE28B" w14:textId="77777777" w:rsidTr="00E65106">
        <w:trPr>
          <w:trHeight w:val="225"/>
          <w:jc w:val="center"/>
        </w:trPr>
        <w:tc>
          <w:tcPr>
            <w:tcW w:w="2017" w:type="dxa"/>
            <w:vAlign w:val="bottom"/>
            <w:hideMark/>
          </w:tcPr>
          <w:p w14:paraId="569B2B4E"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GENDER BDO</w:t>
            </w:r>
          </w:p>
        </w:tc>
        <w:tc>
          <w:tcPr>
            <w:tcW w:w="1103" w:type="dxa"/>
            <w:vAlign w:val="bottom"/>
            <w:hideMark/>
          </w:tcPr>
          <w:p w14:paraId="19D9231C"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0.012794</w:t>
            </w:r>
          </w:p>
        </w:tc>
        <w:tc>
          <w:tcPr>
            <w:tcW w:w="1207" w:type="dxa"/>
            <w:vAlign w:val="bottom"/>
            <w:hideMark/>
          </w:tcPr>
          <w:p w14:paraId="3A249F7F"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0.075746</w:t>
            </w:r>
          </w:p>
        </w:tc>
        <w:tc>
          <w:tcPr>
            <w:tcW w:w="1208" w:type="dxa"/>
            <w:vAlign w:val="bottom"/>
            <w:hideMark/>
          </w:tcPr>
          <w:p w14:paraId="2A079910"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-0.168900</w:t>
            </w:r>
          </w:p>
        </w:tc>
        <w:tc>
          <w:tcPr>
            <w:tcW w:w="997" w:type="dxa"/>
            <w:vAlign w:val="bottom"/>
            <w:hideMark/>
          </w:tcPr>
          <w:p w14:paraId="0087D10F"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0.2563</w:t>
            </w:r>
          </w:p>
        </w:tc>
      </w:tr>
      <w:tr w:rsidR="00F02C04" w:rsidRPr="0059588D" w14:paraId="2F32F5C6" w14:textId="77777777" w:rsidTr="00E65106">
        <w:trPr>
          <w:trHeight w:hRule="exact" w:val="90"/>
          <w:jc w:val="center"/>
        </w:trPr>
        <w:tc>
          <w:tcPr>
            <w:tcW w:w="2017" w:type="dxa"/>
            <w:tcBorders>
              <w:top w:val="nil"/>
              <w:left w:val="nil"/>
              <w:bottom w:val="double" w:sz="6" w:space="0" w:color="auto"/>
              <w:right w:val="nil"/>
            </w:tcBorders>
            <w:vAlign w:val="bottom"/>
          </w:tcPr>
          <w:p w14:paraId="46DEF43F"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tcBorders>
              <w:top w:val="nil"/>
              <w:left w:val="nil"/>
              <w:bottom w:val="double" w:sz="6" w:space="0" w:color="auto"/>
              <w:right w:val="nil"/>
            </w:tcBorders>
            <w:vAlign w:val="bottom"/>
          </w:tcPr>
          <w:p w14:paraId="724CDCBD"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tcBorders>
              <w:top w:val="nil"/>
              <w:left w:val="nil"/>
              <w:bottom w:val="double" w:sz="6" w:space="0" w:color="auto"/>
              <w:right w:val="nil"/>
            </w:tcBorders>
            <w:vAlign w:val="bottom"/>
          </w:tcPr>
          <w:p w14:paraId="09BD4649"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tcBorders>
              <w:top w:val="nil"/>
              <w:left w:val="nil"/>
              <w:bottom w:val="double" w:sz="6" w:space="0" w:color="auto"/>
              <w:right w:val="nil"/>
            </w:tcBorders>
            <w:vAlign w:val="bottom"/>
          </w:tcPr>
          <w:p w14:paraId="3D3E094E"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tcBorders>
              <w:top w:val="nil"/>
              <w:left w:val="nil"/>
              <w:bottom w:val="double" w:sz="6" w:space="0" w:color="auto"/>
              <w:right w:val="nil"/>
            </w:tcBorders>
            <w:vAlign w:val="bottom"/>
          </w:tcPr>
          <w:p w14:paraId="0FF7C450"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bl>
    <w:p w14:paraId="5727AFF2" w14:textId="653760FE" w:rsidR="00F02C04" w:rsidRDefault="00F02C04" w:rsidP="00F02C04">
      <w:pPr>
        <w:ind w:firstLine="720"/>
      </w:pPr>
    </w:p>
    <w:p w14:paraId="1890E8B0" w14:textId="7C519418" w:rsidR="00F02C04" w:rsidRDefault="00F02C04" w:rsidP="003A1259">
      <w:pPr>
        <w:ind w:firstLine="720"/>
        <w:jc w:val="both"/>
      </w:pPr>
      <w:r w:rsidRPr="00F02C04">
        <w:t>Based on the results in Table 4.9, the NIM variable has a significant effect on bank risk because the variable probability level is smaller than 0.05 (0.022 &lt; α 0.05). NPL variable has a significant effect on bank risk because the probability level of the variable is smaller than 0.05 (0.046 &lt; α 0.05). The Exchange Rate variable has a significant effect on bank risk because the variable probability level is smaller than 0.05 (0.0361 &lt; α 0.05). The Oil Price variable has no significant effect on bank risk because the variable probability level is greater than 0.05 (0.2534 &gt; α 0.05). Market Power variable has no significant effect on bank risk because the probability level of the variable is greater than 0.05 (0.8665 &lt; α 0.05). The female BDO Gender variable has no significant effect on bank risk because the variable probability level is greater than 0.05 (0.2563 &lt; α 0.05).</w:t>
      </w:r>
    </w:p>
    <w:p w14:paraId="7F2584B1" w14:textId="260703A6" w:rsidR="00F02C04" w:rsidRDefault="00F02C04" w:rsidP="003A1259">
      <w:r>
        <w:t>F test</w:t>
      </w:r>
    </w:p>
    <w:p w14:paraId="60AB4D69" w14:textId="22FA9B3F" w:rsidR="00F02C04" w:rsidRDefault="00F02C04" w:rsidP="003A1259">
      <w:pPr>
        <w:ind w:firstLine="720"/>
        <w:jc w:val="both"/>
      </w:pPr>
      <w:r>
        <w:t xml:space="preserve">The Goodness of Fit test or F test is a test conducted to determine whether a model has met the fit criteria or not. To test whether the independent variables jointly affect the dependent variable, the F test is carried out. The F test is carried out by comparing the p-value of the independent variable with a significant level (α = 5%). If F-count&gt; F-table or </w:t>
      </w:r>
      <w:proofErr w:type="spellStart"/>
      <w:r>
        <w:t>Prob.sig</w:t>
      </w:r>
      <w:proofErr w:type="spellEnd"/>
      <w:r>
        <w:t xml:space="preserve"> &lt; α = 5% means that each independent variable has a significant effect on the dependent variable.</w:t>
      </w:r>
    </w:p>
    <w:p w14:paraId="03227B75" w14:textId="77777777" w:rsidR="00163254" w:rsidRDefault="00163254" w:rsidP="003A1259">
      <w:pPr>
        <w:ind w:firstLine="720"/>
        <w:jc w:val="both"/>
      </w:pPr>
    </w:p>
    <w:tbl>
      <w:tblPr>
        <w:tblW w:w="0" w:type="auto"/>
        <w:jc w:val="center"/>
        <w:tblLayout w:type="fixed"/>
        <w:tblCellMar>
          <w:left w:w="0" w:type="dxa"/>
          <w:right w:w="0" w:type="dxa"/>
        </w:tblCellMar>
        <w:tblLook w:val="04A0" w:firstRow="1" w:lastRow="0" w:firstColumn="1" w:lastColumn="0" w:noHBand="0" w:noVBand="1"/>
      </w:tblPr>
      <w:tblGrid>
        <w:gridCol w:w="2017"/>
        <w:gridCol w:w="1103"/>
        <w:gridCol w:w="1207"/>
        <w:gridCol w:w="1208"/>
        <w:gridCol w:w="997"/>
      </w:tblGrid>
      <w:tr w:rsidR="00F02C04" w:rsidRPr="0059588D" w14:paraId="3351B0A6" w14:textId="77777777" w:rsidTr="00E65106">
        <w:trPr>
          <w:trHeight w:hRule="exact" w:val="90"/>
          <w:jc w:val="center"/>
        </w:trPr>
        <w:tc>
          <w:tcPr>
            <w:tcW w:w="2017" w:type="dxa"/>
            <w:tcBorders>
              <w:top w:val="nil"/>
              <w:left w:val="nil"/>
              <w:bottom w:val="double" w:sz="6" w:space="0" w:color="auto"/>
              <w:right w:val="nil"/>
            </w:tcBorders>
            <w:vAlign w:val="bottom"/>
          </w:tcPr>
          <w:p w14:paraId="0DF73292"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tcBorders>
              <w:top w:val="nil"/>
              <w:left w:val="nil"/>
              <w:bottom w:val="double" w:sz="6" w:space="0" w:color="auto"/>
              <w:right w:val="nil"/>
            </w:tcBorders>
            <w:vAlign w:val="bottom"/>
          </w:tcPr>
          <w:p w14:paraId="5F5BD6B7"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tcBorders>
              <w:top w:val="nil"/>
              <w:left w:val="nil"/>
              <w:bottom w:val="double" w:sz="6" w:space="0" w:color="auto"/>
              <w:right w:val="nil"/>
            </w:tcBorders>
            <w:vAlign w:val="bottom"/>
          </w:tcPr>
          <w:p w14:paraId="614915DA"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tcBorders>
              <w:top w:val="nil"/>
              <w:left w:val="nil"/>
              <w:bottom w:val="double" w:sz="6" w:space="0" w:color="auto"/>
              <w:right w:val="nil"/>
            </w:tcBorders>
            <w:vAlign w:val="bottom"/>
          </w:tcPr>
          <w:p w14:paraId="4BD83133"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tcBorders>
              <w:top w:val="nil"/>
              <w:left w:val="nil"/>
              <w:bottom w:val="double" w:sz="6" w:space="0" w:color="auto"/>
              <w:right w:val="nil"/>
            </w:tcBorders>
            <w:vAlign w:val="bottom"/>
          </w:tcPr>
          <w:p w14:paraId="3FE445AC"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6D8B71D9" w14:textId="77777777" w:rsidTr="00E65106">
        <w:trPr>
          <w:trHeight w:hRule="exact" w:val="135"/>
          <w:jc w:val="center"/>
        </w:trPr>
        <w:tc>
          <w:tcPr>
            <w:tcW w:w="2017" w:type="dxa"/>
            <w:vAlign w:val="bottom"/>
          </w:tcPr>
          <w:p w14:paraId="5FF2AFFD"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vAlign w:val="bottom"/>
          </w:tcPr>
          <w:p w14:paraId="7C565506"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vAlign w:val="bottom"/>
          </w:tcPr>
          <w:p w14:paraId="1708B866"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vAlign w:val="bottom"/>
          </w:tcPr>
          <w:p w14:paraId="4496E637"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vAlign w:val="bottom"/>
          </w:tcPr>
          <w:p w14:paraId="6C0A988E"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4E46345F" w14:textId="77777777" w:rsidTr="00E65106">
        <w:trPr>
          <w:trHeight w:val="225"/>
          <w:jc w:val="center"/>
        </w:trPr>
        <w:tc>
          <w:tcPr>
            <w:tcW w:w="2017" w:type="dxa"/>
            <w:vAlign w:val="bottom"/>
            <w:hideMark/>
          </w:tcPr>
          <w:p w14:paraId="199B9230"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R-squared</w:t>
            </w:r>
          </w:p>
        </w:tc>
        <w:tc>
          <w:tcPr>
            <w:tcW w:w="1103" w:type="dxa"/>
            <w:vAlign w:val="bottom"/>
            <w:hideMark/>
          </w:tcPr>
          <w:p w14:paraId="0043F4C3"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0.266414</w:t>
            </w:r>
          </w:p>
        </w:tc>
        <w:tc>
          <w:tcPr>
            <w:tcW w:w="2415" w:type="dxa"/>
            <w:gridSpan w:val="2"/>
            <w:vAlign w:val="bottom"/>
            <w:hideMark/>
          </w:tcPr>
          <w:p w14:paraId="4A118E98"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Mean dependent var</w:t>
            </w:r>
          </w:p>
        </w:tc>
        <w:tc>
          <w:tcPr>
            <w:tcW w:w="997" w:type="dxa"/>
            <w:vAlign w:val="bottom"/>
            <w:hideMark/>
          </w:tcPr>
          <w:p w14:paraId="1E982813"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0.001767</w:t>
            </w:r>
          </w:p>
        </w:tc>
      </w:tr>
      <w:tr w:rsidR="00F02C04" w:rsidRPr="0059588D" w14:paraId="08B3A802" w14:textId="77777777" w:rsidTr="00E65106">
        <w:trPr>
          <w:trHeight w:val="225"/>
          <w:jc w:val="center"/>
        </w:trPr>
        <w:tc>
          <w:tcPr>
            <w:tcW w:w="2017" w:type="dxa"/>
            <w:vAlign w:val="bottom"/>
            <w:hideMark/>
          </w:tcPr>
          <w:p w14:paraId="765407AF"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Adjusted R-squared</w:t>
            </w:r>
          </w:p>
        </w:tc>
        <w:tc>
          <w:tcPr>
            <w:tcW w:w="1103" w:type="dxa"/>
            <w:vAlign w:val="bottom"/>
            <w:hideMark/>
          </w:tcPr>
          <w:p w14:paraId="10B7C95A"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0.183367</w:t>
            </w:r>
          </w:p>
        </w:tc>
        <w:tc>
          <w:tcPr>
            <w:tcW w:w="2415" w:type="dxa"/>
            <w:gridSpan w:val="2"/>
            <w:vAlign w:val="bottom"/>
            <w:hideMark/>
          </w:tcPr>
          <w:p w14:paraId="75B43013"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S.D. dependent var</w:t>
            </w:r>
          </w:p>
        </w:tc>
        <w:tc>
          <w:tcPr>
            <w:tcW w:w="997" w:type="dxa"/>
            <w:vAlign w:val="bottom"/>
            <w:hideMark/>
          </w:tcPr>
          <w:p w14:paraId="1CA53374"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0.037845</w:t>
            </w:r>
          </w:p>
        </w:tc>
      </w:tr>
      <w:tr w:rsidR="00F02C04" w:rsidRPr="0059588D" w14:paraId="4F0A1EF2" w14:textId="77777777" w:rsidTr="00E65106">
        <w:trPr>
          <w:trHeight w:val="225"/>
          <w:jc w:val="center"/>
        </w:trPr>
        <w:tc>
          <w:tcPr>
            <w:tcW w:w="2017" w:type="dxa"/>
            <w:vAlign w:val="bottom"/>
            <w:hideMark/>
          </w:tcPr>
          <w:p w14:paraId="6F411769"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S.E. of regression</w:t>
            </w:r>
          </w:p>
        </w:tc>
        <w:tc>
          <w:tcPr>
            <w:tcW w:w="1103" w:type="dxa"/>
            <w:vAlign w:val="bottom"/>
            <w:hideMark/>
          </w:tcPr>
          <w:p w14:paraId="2F2C0A50"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0.034200</w:t>
            </w:r>
          </w:p>
        </w:tc>
        <w:tc>
          <w:tcPr>
            <w:tcW w:w="2415" w:type="dxa"/>
            <w:gridSpan w:val="2"/>
            <w:vAlign w:val="bottom"/>
            <w:hideMark/>
          </w:tcPr>
          <w:p w14:paraId="47945995"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xml:space="preserve">    Sum squared </w:t>
            </w:r>
            <w:proofErr w:type="spellStart"/>
            <w:r w:rsidRPr="0059588D">
              <w:rPr>
                <w:rFonts w:ascii="Times New Roman" w:hAnsi="Times New Roman" w:cs="Times New Roman"/>
                <w:color w:val="000000"/>
                <w:lang w:eastAsia="id-ID"/>
              </w:rPr>
              <w:t>resid</w:t>
            </w:r>
            <w:proofErr w:type="spellEnd"/>
          </w:p>
        </w:tc>
        <w:tc>
          <w:tcPr>
            <w:tcW w:w="997" w:type="dxa"/>
            <w:vAlign w:val="bottom"/>
            <w:hideMark/>
          </w:tcPr>
          <w:p w14:paraId="213D7DA6"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0.061991</w:t>
            </w:r>
          </w:p>
        </w:tc>
      </w:tr>
      <w:tr w:rsidR="00F02C04" w:rsidRPr="0059588D" w14:paraId="6D55077F" w14:textId="77777777" w:rsidTr="00E65106">
        <w:trPr>
          <w:trHeight w:val="225"/>
          <w:jc w:val="center"/>
        </w:trPr>
        <w:tc>
          <w:tcPr>
            <w:tcW w:w="2017" w:type="dxa"/>
            <w:vAlign w:val="bottom"/>
            <w:hideMark/>
          </w:tcPr>
          <w:p w14:paraId="52521B5B"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F-statistic</w:t>
            </w:r>
          </w:p>
        </w:tc>
        <w:tc>
          <w:tcPr>
            <w:tcW w:w="1103" w:type="dxa"/>
            <w:vAlign w:val="bottom"/>
            <w:hideMark/>
          </w:tcPr>
          <w:p w14:paraId="32F04C0C"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3.207973</w:t>
            </w:r>
          </w:p>
        </w:tc>
        <w:tc>
          <w:tcPr>
            <w:tcW w:w="2415" w:type="dxa"/>
            <w:gridSpan w:val="2"/>
            <w:vAlign w:val="bottom"/>
            <w:hideMark/>
          </w:tcPr>
          <w:p w14:paraId="47A247F8"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Durbin-Watson stat</w:t>
            </w:r>
          </w:p>
        </w:tc>
        <w:tc>
          <w:tcPr>
            <w:tcW w:w="997" w:type="dxa"/>
            <w:vAlign w:val="bottom"/>
            <w:hideMark/>
          </w:tcPr>
          <w:p w14:paraId="37AFC63E"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1.045402</w:t>
            </w:r>
          </w:p>
        </w:tc>
      </w:tr>
      <w:tr w:rsidR="00F02C04" w:rsidRPr="0059588D" w14:paraId="718AB493" w14:textId="77777777" w:rsidTr="00E65106">
        <w:trPr>
          <w:trHeight w:val="225"/>
          <w:jc w:val="center"/>
        </w:trPr>
        <w:tc>
          <w:tcPr>
            <w:tcW w:w="2017" w:type="dxa"/>
            <w:vAlign w:val="bottom"/>
            <w:hideMark/>
          </w:tcPr>
          <w:p w14:paraId="720D7E35"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Prob(F-statistic)</w:t>
            </w:r>
          </w:p>
        </w:tc>
        <w:tc>
          <w:tcPr>
            <w:tcW w:w="1103" w:type="dxa"/>
            <w:vAlign w:val="bottom"/>
            <w:hideMark/>
          </w:tcPr>
          <w:p w14:paraId="0AAFA6D3"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0.009224</w:t>
            </w:r>
          </w:p>
        </w:tc>
        <w:tc>
          <w:tcPr>
            <w:tcW w:w="1207" w:type="dxa"/>
            <w:vAlign w:val="bottom"/>
          </w:tcPr>
          <w:p w14:paraId="0F9FB1F7"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p>
        </w:tc>
        <w:tc>
          <w:tcPr>
            <w:tcW w:w="1208" w:type="dxa"/>
            <w:vAlign w:val="bottom"/>
          </w:tcPr>
          <w:p w14:paraId="7C7B04E1"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p>
        </w:tc>
        <w:tc>
          <w:tcPr>
            <w:tcW w:w="997" w:type="dxa"/>
            <w:vAlign w:val="bottom"/>
          </w:tcPr>
          <w:p w14:paraId="167715C4"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p>
        </w:tc>
      </w:tr>
      <w:tr w:rsidR="00F02C04" w:rsidRPr="0059588D" w14:paraId="4EBB6D54" w14:textId="77777777" w:rsidTr="00E65106">
        <w:trPr>
          <w:trHeight w:hRule="exact" w:val="90"/>
          <w:jc w:val="center"/>
        </w:trPr>
        <w:tc>
          <w:tcPr>
            <w:tcW w:w="2017" w:type="dxa"/>
            <w:tcBorders>
              <w:top w:val="nil"/>
              <w:left w:val="nil"/>
              <w:bottom w:val="double" w:sz="6" w:space="0" w:color="auto"/>
              <w:right w:val="nil"/>
            </w:tcBorders>
            <w:vAlign w:val="bottom"/>
          </w:tcPr>
          <w:p w14:paraId="713E6A54"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tcBorders>
              <w:top w:val="nil"/>
              <w:left w:val="nil"/>
              <w:bottom w:val="double" w:sz="6" w:space="0" w:color="auto"/>
              <w:right w:val="nil"/>
            </w:tcBorders>
            <w:vAlign w:val="bottom"/>
          </w:tcPr>
          <w:p w14:paraId="02820D55"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tcBorders>
              <w:top w:val="nil"/>
              <w:left w:val="nil"/>
              <w:bottom w:val="double" w:sz="6" w:space="0" w:color="auto"/>
              <w:right w:val="nil"/>
            </w:tcBorders>
            <w:vAlign w:val="bottom"/>
          </w:tcPr>
          <w:p w14:paraId="5246303F"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tcBorders>
              <w:top w:val="nil"/>
              <w:left w:val="nil"/>
              <w:bottom w:val="double" w:sz="6" w:space="0" w:color="auto"/>
              <w:right w:val="nil"/>
            </w:tcBorders>
            <w:vAlign w:val="bottom"/>
          </w:tcPr>
          <w:p w14:paraId="69B5CDD5"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tcBorders>
              <w:top w:val="nil"/>
              <w:left w:val="nil"/>
              <w:bottom w:val="double" w:sz="6" w:space="0" w:color="auto"/>
              <w:right w:val="nil"/>
            </w:tcBorders>
            <w:vAlign w:val="bottom"/>
          </w:tcPr>
          <w:p w14:paraId="7EA65943"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bl>
    <w:p w14:paraId="074864A9" w14:textId="18A3F2D1" w:rsidR="00F02C04" w:rsidRDefault="00F02C04" w:rsidP="00F02C04">
      <w:pPr>
        <w:ind w:firstLine="720"/>
      </w:pPr>
    </w:p>
    <w:p w14:paraId="6A45F670" w14:textId="7623CD18" w:rsidR="00B66A6C" w:rsidRDefault="00F02C04" w:rsidP="003A1259">
      <w:pPr>
        <w:ind w:firstLine="720"/>
      </w:pPr>
      <w:r w:rsidRPr="00F02C04">
        <w:t>Simultaneous Effect of NIM, NPL, Exchange Rate, Oil Price, Market Power, and Female BDO Gender on Bank Risk. From the results of the analysis conducted, it is known that the F-statistic value is 3.207973 with a statistical probability value of 0.004. With a p-value significance probability of 0.004 &lt;0.05, this indicates that the independent variables simultaneously have a significant effect on the dependent variable.</w:t>
      </w:r>
    </w:p>
    <w:tbl>
      <w:tblPr>
        <w:tblW w:w="0" w:type="auto"/>
        <w:jc w:val="center"/>
        <w:tblLayout w:type="fixed"/>
        <w:tblCellMar>
          <w:left w:w="0" w:type="dxa"/>
          <w:right w:w="0" w:type="dxa"/>
        </w:tblCellMar>
        <w:tblLook w:val="04A0" w:firstRow="1" w:lastRow="0" w:firstColumn="1" w:lastColumn="0" w:noHBand="0" w:noVBand="1"/>
      </w:tblPr>
      <w:tblGrid>
        <w:gridCol w:w="2017"/>
        <w:gridCol w:w="1103"/>
        <w:gridCol w:w="1207"/>
        <w:gridCol w:w="1208"/>
        <w:gridCol w:w="997"/>
      </w:tblGrid>
      <w:tr w:rsidR="00F02C04" w:rsidRPr="0059588D" w14:paraId="5375F4DB" w14:textId="77777777" w:rsidTr="00E65106">
        <w:trPr>
          <w:trHeight w:val="225"/>
          <w:jc w:val="center"/>
        </w:trPr>
        <w:tc>
          <w:tcPr>
            <w:tcW w:w="2017" w:type="dxa"/>
            <w:vAlign w:val="bottom"/>
            <w:hideMark/>
          </w:tcPr>
          <w:p w14:paraId="43047348"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Variable</w:t>
            </w:r>
          </w:p>
        </w:tc>
        <w:tc>
          <w:tcPr>
            <w:tcW w:w="1103" w:type="dxa"/>
            <w:vAlign w:val="bottom"/>
            <w:hideMark/>
          </w:tcPr>
          <w:p w14:paraId="1CC76E72"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Coefficient</w:t>
            </w:r>
          </w:p>
        </w:tc>
        <w:tc>
          <w:tcPr>
            <w:tcW w:w="1207" w:type="dxa"/>
            <w:vAlign w:val="bottom"/>
            <w:hideMark/>
          </w:tcPr>
          <w:p w14:paraId="29E4C45C"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Std. Error</w:t>
            </w:r>
          </w:p>
        </w:tc>
        <w:tc>
          <w:tcPr>
            <w:tcW w:w="1208" w:type="dxa"/>
            <w:vAlign w:val="bottom"/>
            <w:hideMark/>
          </w:tcPr>
          <w:p w14:paraId="484DD90F"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t-Statistic</w:t>
            </w:r>
          </w:p>
        </w:tc>
        <w:tc>
          <w:tcPr>
            <w:tcW w:w="997" w:type="dxa"/>
            <w:vAlign w:val="bottom"/>
            <w:hideMark/>
          </w:tcPr>
          <w:p w14:paraId="6D8CF3E8"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Prob.  </w:t>
            </w:r>
          </w:p>
        </w:tc>
      </w:tr>
      <w:tr w:rsidR="00F02C04" w:rsidRPr="0059588D" w14:paraId="1906929F" w14:textId="77777777" w:rsidTr="00E65106">
        <w:trPr>
          <w:trHeight w:hRule="exact" w:val="90"/>
          <w:jc w:val="center"/>
        </w:trPr>
        <w:tc>
          <w:tcPr>
            <w:tcW w:w="2017" w:type="dxa"/>
            <w:tcBorders>
              <w:top w:val="nil"/>
              <w:left w:val="nil"/>
              <w:bottom w:val="double" w:sz="6" w:space="0" w:color="auto"/>
              <w:right w:val="nil"/>
            </w:tcBorders>
            <w:vAlign w:val="bottom"/>
          </w:tcPr>
          <w:p w14:paraId="6F3F4CD9"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tcBorders>
              <w:top w:val="nil"/>
              <w:left w:val="nil"/>
              <w:bottom w:val="double" w:sz="6" w:space="0" w:color="auto"/>
              <w:right w:val="nil"/>
            </w:tcBorders>
            <w:vAlign w:val="bottom"/>
          </w:tcPr>
          <w:p w14:paraId="6A74121F"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tcBorders>
              <w:top w:val="nil"/>
              <w:left w:val="nil"/>
              <w:bottom w:val="double" w:sz="6" w:space="0" w:color="auto"/>
              <w:right w:val="nil"/>
            </w:tcBorders>
            <w:vAlign w:val="bottom"/>
          </w:tcPr>
          <w:p w14:paraId="01E821AE"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tcBorders>
              <w:top w:val="nil"/>
              <w:left w:val="nil"/>
              <w:bottom w:val="double" w:sz="6" w:space="0" w:color="auto"/>
              <w:right w:val="nil"/>
            </w:tcBorders>
            <w:vAlign w:val="bottom"/>
          </w:tcPr>
          <w:p w14:paraId="4160D1B3"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tcBorders>
              <w:top w:val="nil"/>
              <w:left w:val="nil"/>
              <w:bottom w:val="double" w:sz="6" w:space="0" w:color="auto"/>
              <w:right w:val="nil"/>
            </w:tcBorders>
            <w:vAlign w:val="bottom"/>
          </w:tcPr>
          <w:p w14:paraId="3A59906E"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6EF381AB" w14:textId="77777777" w:rsidTr="00E65106">
        <w:trPr>
          <w:trHeight w:hRule="exact" w:val="135"/>
          <w:jc w:val="center"/>
        </w:trPr>
        <w:tc>
          <w:tcPr>
            <w:tcW w:w="2017" w:type="dxa"/>
            <w:vAlign w:val="bottom"/>
          </w:tcPr>
          <w:p w14:paraId="2C339C41"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vAlign w:val="bottom"/>
          </w:tcPr>
          <w:p w14:paraId="52FE2FD2"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vAlign w:val="bottom"/>
          </w:tcPr>
          <w:p w14:paraId="7C7D6CB1"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vAlign w:val="bottom"/>
          </w:tcPr>
          <w:p w14:paraId="72BFC798"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vAlign w:val="bottom"/>
          </w:tcPr>
          <w:p w14:paraId="425917D1"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6EAD159E" w14:textId="77777777" w:rsidTr="00E65106">
        <w:trPr>
          <w:trHeight w:val="225"/>
          <w:jc w:val="center"/>
        </w:trPr>
        <w:tc>
          <w:tcPr>
            <w:tcW w:w="2017" w:type="dxa"/>
            <w:vAlign w:val="bottom"/>
            <w:hideMark/>
          </w:tcPr>
          <w:p w14:paraId="0EC267AC"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C</w:t>
            </w:r>
          </w:p>
        </w:tc>
        <w:tc>
          <w:tcPr>
            <w:tcW w:w="1103" w:type="dxa"/>
            <w:vAlign w:val="bottom"/>
            <w:hideMark/>
          </w:tcPr>
          <w:p w14:paraId="530FF059"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-0.342561</w:t>
            </w:r>
          </w:p>
        </w:tc>
        <w:tc>
          <w:tcPr>
            <w:tcW w:w="1207" w:type="dxa"/>
            <w:vAlign w:val="bottom"/>
            <w:hideMark/>
          </w:tcPr>
          <w:p w14:paraId="25846F62"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0.238276</w:t>
            </w:r>
          </w:p>
        </w:tc>
        <w:tc>
          <w:tcPr>
            <w:tcW w:w="1208" w:type="dxa"/>
            <w:vAlign w:val="bottom"/>
            <w:hideMark/>
          </w:tcPr>
          <w:p w14:paraId="64B1CF67"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-0.478554</w:t>
            </w:r>
          </w:p>
        </w:tc>
        <w:tc>
          <w:tcPr>
            <w:tcW w:w="997" w:type="dxa"/>
            <w:vAlign w:val="bottom"/>
            <w:hideMark/>
          </w:tcPr>
          <w:p w14:paraId="146E833A"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0.7657</w:t>
            </w:r>
          </w:p>
        </w:tc>
      </w:tr>
      <w:tr w:rsidR="00F02C04" w:rsidRPr="0059588D" w14:paraId="0C6186AE" w14:textId="77777777" w:rsidTr="00E65106">
        <w:trPr>
          <w:trHeight w:val="225"/>
          <w:jc w:val="center"/>
        </w:trPr>
        <w:tc>
          <w:tcPr>
            <w:tcW w:w="2017" w:type="dxa"/>
            <w:vAlign w:val="bottom"/>
            <w:hideMark/>
          </w:tcPr>
          <w:p w14:paraId="01234E88"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NIM</w:t>
            </w:r>
          </w:p>
        </w:tc>
        <w:tc>
          <w:tcPr>
            <w:tcW w:w="1103" w:type="dxa"/>
            <w:vAlign w:val="bottom"/>
            <w:hideMark/>
          </w:tcPr>
          <w:p w14:paraId="42885BE6"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0.415423</w:t>
            </w:r>
          </w:p>
        </w:tc>
        <w:tc>
          <w:tcPr>
            <w:tcW w:w="1207" w:type="dxa"/>
            <w:vAlign w:val="bottom"/>
            <w:hideMark/>
          </w:tcPr>
          <w:p w14:paraId="043A4BA5"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0.325476</w:t>
            </w:r>
          </w:p>
        </w:tc>
        <w:tc>
          <w:tcPr>
            <w:tcW w:w="1208" w:type="dxa"/>
            <w:vAlign w:val="bottom"/>
            <w:hideMark/>
          </w:tcPr>
          <w:p w14:paraId="4B74A3A6"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2.599876</w:t>
            </w:r>
          </w:p>
        </w:tc>
        <w:tc>
          <w:tcPr>
            <w:tcW w:w="997" w:type="dxa"/>
            <w:vAlign w:val="bottom"/>
            <w:hideMark/>
          </w:tcPr>
          <w:p w14:paraId="54B705AC"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0.0132</w:t>
            </w:r>
          </w:p>
        </w:tc>
      </w:tr>
      <w:tr w:rsidR="00F02C04" w:rsidRPr="0059588D" w14:paraId="05E9DF44" w14:textId="77777777" w:rsidTr="00E65106">
        <w:trPr>
          <w:trHeight w:val="225"/>
          <w:jc w:val="center"/>
        </w:trPr>
        <w:tc>
          <w:tcPr>
            <w:tcW w:w="2017" w:type="dxa"/>
            <w:vAlign w:val="bottom"/>
            <w:hideMark/>
          </w:tcPr>
          <w:p w14:paraId="147889F8"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NPL</w:t>
            </w:r>
          </w:p>
        </w:tc>
        <w:tc>
          <w:tcPr>
            <w:tcW w:w="1103" w:type="dxa"/>
            <w:vAlign w:val="bottom"/>
            <w:hideMark/>
          </w:tcPr>
          <w:p w14:paraId="6F51B0E1"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0.432657</w:t>
            </w:r>
          </w:p>
        </w:tc>
        <w:tc>
          <w:tcPr>
            <w:tcW w:w="1207" w:type="dxa"/>
            <w:vAlign w:val="bottom"/>
            <w:hideMark/>
          </w:tcPr>
          <w:p w14:paraId="2BFB9403"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0.326548</w:t>
            </w:r>
          </w:p>
        </w:tc>
        <w:tc>
          <w:tcPr>
            <w:tcW w:w="1208" w:type="dxa"/>
            <w:vAlign w:val="bottom"/>
            <w:hideMark/>
          </w:tcPr>
          <w:p w14:paraId="6D69FCB2"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0.458833</w:t>
            </w:r>
          </w:p>
        </w:tc>
        <w:tc>
          <w:tcPr>
            <w:tcW w:w="997" w:type="dxa"/>
            <w:vAlign w:val="bottom"/>
            <w:hideMark/>
          </w:tcPr>
          <w:p w14:paraId="16102F0E"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0.2134</w:t>
            </w:r>
          </w:p>
        </w:tc>
      </w:tr>
      <w:tr w:rsidR="00F02C04" w:rsidRPr="0059588D" w14:paraId="42182CE5" w14:textId="77777777" w:rsidTr="00E65106">
        <w:trPr>
          <w:trHeight w:val="225"/>
          <w:jc w:val="center"/>
        </w:trPr>
        <w:tc>
          <w:tcPr>
            <w:tcW w:w="2017" w:type="dxa"/>
            <w:vAlign w:val="bottom"/>
            <w:hideMark/>
          </w:tcPr>
          <w:p w14:paraId="7826E980" w14:textId="3E900E48"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Pr>
                <w:rFonts w:ascii="Times New Roman" w:hAnsi="Times New Roman" w:cs="Times New Roman"/>
                <w:color w:val="000000"/>
                <w:lang w:eastAsia="id-ID"/>
              </w:rPr>
              <w:t>EXCHANGE RATE</w:t>
            </w:r>
          </w:p>
        </w:tc>
        <w:tc>
          <w:tcPr>
            <w:tcW w:w="1103" w:type="dxa"/>
            <w:vAlign w:val="bottom"/>
            <w:hideMark/>
          </w:tcPr>
          <w:p w14:paraId="07D8BD61"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5.235443</w:t>
            </w:r>
          </w:p>
        </w:tc>
        <w:tc>
          <w:tcPr>
            <w:tcW w:w="1207" w:type="dxa"/>
            <w:vAlign w:val="bottom"/>
            <w:hideMark/>
          </w:tcPr>
          <w:p w14:paraId="20E5D8AE"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3.435277</w:t>
            </w:r>
          </w:p>
        </w:tc>
        <w:tc>
          <w:tcPr>
            <w:tcW w:w="1208" w:type="dxa"/>
            <w:vAlign w:val="bottom"/>
            <w:hideMark/>
          </w:tcPr>
          <w:p w14:paraId="2CB645A8"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0.764335</w:t>
            </w:r>
          </w:p>
        </w:tc>
        <w:tc>
          <w:tcPr>
            <w:tcW w:w="997" w:type="dxa"/>
            <w:vAlign w:val="bottom"/>
            <w:hideMark/>
          </w:tcPr>
          <w:p w14:paraId="679B0B94"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0.5433</w:t>
            </w:r>
          </w:p>
        </w:tc>
      </w:tr>
      <w:tr w:rsidR="00F02C04" w:rsidRPr="0059588D" w14:paraId="467C2C4F" w14:textId="77777777" w:rsidTr="00E65106">
        <w:trPr>
          <w:trHeight w:val="225"/>
          <w:jc w:val="center"/>
        </w:trPr>
        <w:tc>
          <w:tcPr>
            <w:tcW w:w="2017" w:type="dxa"/>
            <w:vAlign w:val="bottom"/>
            <w:hideMark/>
          </w:tcPr>
          <w:p w14:paraId="347F17E5" w14:textId="7ED0B6AF"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Pr>
                <w:rFonts w:ascii="Times New Roman" w:hAnsi="Times New Roman" w:cs="Times New Roman"/>
                <w:color w:val="000000"/>
                <w:lang w:eastAsia="id-ID"/>
              </w:rPr>
              <w:t>OIL PRICE</w:t>
            </w:r>
          </w:p>
        </w:tc>
        <w:tc>
          <w:tcPr>
            <w:tcW w:w="1103" w:type="dxa"/>
            <w:vAlign w:val="bottom"/>
            <w:hideMark/>
          </w:tcPr>
          <w:p w14:paraId="0AC489B5"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-0.342541</w:t>
            </w:r>
          </w:p>
        </w:tc>
        <w:tc>
          <w:tcPr>
            <w:tcW w:w="1207" w:type="dxa"/>
            <w:vAlign w:val="bottom"/>
            <w:hideMark/>
          </w:tcPr>
          <w:p w14:paraId="30E38C3E"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0.232257</w:t>
            </w:r>
          </w:p>
        </w:tc>
        <w:tc>
          <w:tcPr>
            <w:tcW w:w="1208" w:type="dxa"/>
            <w:vAlign w:val="bottom"/>
            <w:hideMark/>
          </w:tcPr>
          <w:p w14:paraId="2487F5CD"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-1.358865</w:t>
            </w:r>
          </w:p>
        </w:tc>
        <w:tc>
          <w:tcPr>
            <w:tcW w:w="997" w:type="dxa"/>
            <w:vAlign w:val="bottom"/>
            <w:hideMark/>
          </w:tcPr>
          <w:p w14:paraId="0EED73B2"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0.7654</w:t>
            </w:r>
          </w:p>
        </w:tc>
      </w:tr>
      <w:tr w:rsidR="00F02C04" w:rsidRPr="0059588D" w14:paraId="0E524F50" w14:textId="77777777" w:rsidTr="00E65106">
        <w:trPr>
          <w:trHeight w:val="225"/>
          <w:jc w:val="center"/>
        </w:trPr>
        <w:tc>
          <w:tcPr>
            <w:tcW w:w="2017" w:type="dxa"/>
            <w:vAlign w:val="bottom"/>
            <w:hideMark/>
          </w:tcPr>
          <w:p w14:paraId="24BCB8D4"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MARKET POWER</w:t>
            </w:r>
          </w:p>
        </w:tc>
        <w:tc>
          <w:tcPr>
            <w:tcW w:w="1103" w:type="dxa"/>
            <w:vAlign w:val="bottom"/>
            <w:hideMark/>
          </w:tcPr>
          <w:p w14:paraId="770B6698"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-0.123165</w:t>
            </w:r>
          </w:p>
        </w:tc>
        <w:tc>
          <w:tcPr>
            <w:tcW w:w="1207" w:type="dxa"/>
            <w:vAlign w:val="bottom"/>
            <w:hideMark/>
          </w:tcPr>
          <w:p w14:paraId="0B6BBD4C"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0.048636</w:t>
            </w:r>
          </w:p>
        </w:tc>
        <w:tc>
          <w:tcPr>
            <w:tcW w:w="1208" w:type="dxa"/>
            <w:vAlign w:val="bottom"/>
            <w:hideMark/>
          </w:tcPr>
          <w:p w14:paraId="3F49CBA0"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-3.442315</w:t>
            </w:r>
          </w:p>
        </w:tc>
        <w:tc>
          <w:tcPr>
            <w:tcW w:w="997" w:type="dxa"/>
            <w:vAlign w:val="bottom"/>
            <w:hideMark/>
          </w:tcPr>
          <w:p w14:paraId="0D1589C0"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0.0000</w:t>
            </w:r>
          </w:p>
        </w:tc>
      </w:tr>
      <w:tr w:rsidR="00F02C04" w:rsidRPr="0059588D" w14:paraId="0F075F21" w14:textId="77777777" w:rsidTr="00E65106">
        <w:trPr>
          <w:trHeight w:val="225"/>
          <w:jc w:val="center"/>
        </w:trPr>
        <w:tc>
          <w:tcPr>
            <w:tcW w:w="2017" w:type="dxa"/>
            <w:vAlign w:val="bottom"/>
            <w:hideMark/>
          </w:tcPr>
          <w:p w14:paraId="06B96B42"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GENDER BDO</w:t>
            </w:r>
          </w:p>
        </w:tc>
        <w:tc>
          <w:tcPr>
            <w:tcW w:w="1103" w:type="dxa"/>
            <w:vAlign w:val="bottom"/>
            <w:hideMark/>
          </w:tcPr>
          <w:p w14:paraId="1254897D"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0.032265</w:t>
            </w:r>
          </w:p>
        </w:tc>
        <w:tc>
          <w:tcPr>
            <w:tcW w:w="1207" w:type="dxa"/>
            <w:vAlign w:val="bottom"/>
            <w:hideMark/>
          </w:tcPr>
          <w:p w14:paraId="502B30F7"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0.786540</w:t>
            </w:r>
          </w:p>
        </w:tc>
        <w:tc>
          <w:tcPr>
            <w:tcW w:w="1208" w:type="dxa"/>
            <w:vAlign w:val="bottom"/>
            <w:hideMark/>
          </w:tcPr>
          <w:p w14:paraId="2402422F"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0.665487</w:t>
            </w:r>
          </w:p>
        </w:tc>
        <w:tc>
          <w:tcPr>
            <w:tcW w:w="997" w:type="dxa"/>
            <w:vAlign w:val="bottom"/>
            <w:hideMark/>
          </w:tcPr>
          <w:p w14:paraId="05B1BF5F"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0.6544</w:t>
            </w:r>
          </w:p>
        </w:tc>
      </w:tr>
      <w:tr w:rsidR="00F02C04" w:rsidRPr="0059588D" w14:paraId="338A4BFA" w14:textId="77777777" w:rsidTr="00E65106">
        <w:trPr>
          <w:trHeight w:hRule="exact" w:val="90"/>
          <w:jc w:val="center"/>
        </w:trPr>
        <w:tc>
          <w:tcPr>
            <w:tcW w:w="2017" w:type="dxa"/>
            <w:tcBorders>
              <w:top w:val="nil"/>
              <w:left w:val="nil"/>
              <w:bottom w:val="double" w:sz="6" w:space="0" w:color="auto"/>
              <w:right w:val="nil"/>
            </w:tcBorders>
            <w:vAlign w:val="bottom"/>
          </w:tcPr>
          <w:p w14:paraId="28D930A2"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tcBorders>
              <w:top w:val="nil"/>
              <w:left w:val="nil"/>
              <w:bottom w:val="double" w:sz="6" w:space="0" w:color="auto"/>
              <w:right w:val="nil"/>
            </w:tcBorders>
            <w:vAlign w:val="bottom"/>
          </w:tcPr>
          <w:p w14:paraId="2F2B80CF"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tcBorders>
              <w:top w:val="nil"/>
              <w:left w:val="nil"/>
              <w:bottom w:val="double" w:sz="6" w:space="0" w:color="auto"/>
              <w:right w:val="nil"/>
            </w:tcBorders>
            <w:vAlign w:val="bottom"/>
          </w:tcPr>
          <w:p w14:paraId="32F94364"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tcBorders>
              <w:top w:val="nil"/>
              <w:left w:val="nil"/>
              <w:bottom w:val="double" w:sz="6" w:space="0" w:color="auto"/>
              <w:right w:val="nil"/>
            </w:tcBorders>
            <w:vAlign w:val="bottom"/>
          </w:tcPr>
          <w:p w14:paraId="1F9B2407"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tcBorders>
              <w:top w:val="nil"/>
              <w:left w:val="nil"/>
              <w:bottom w:val="double" w:sz="6" w:space="0" w:color="auto"/>
              <w:right w:val="nil"/>
            </w:tcBorders>
            <w:vAlign w:val="bottom"/>
          </w:tcPr>
          <w:p w14:paraId="1DC1EC13"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096BF123" w14:textId="77777777" w:rsidTr="00E65106">
        <w:trPr>
          <w:trHeight w:hRule="exact" w:val="135"/>
          <w:jc w:val="center"/>
        </w:trPr>
        <w:tc>
          <w:tcPr>
            <w:tcW w:w="2017" w:type="dxa"/>
            <w:vAlign w:val="bottom"/>
          </w:tcPr>
          <w:p w14:paraId="5B917CB3"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vAlign w:val="bottom"/>
          </w:tcPr>
          <w:p w14:paraId="7769D8C8"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vAlign w:val="bottom"/>
          </w:tcPr>
          <w:p w14:paraId="32AE773B"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vAlign w:val="bottom"/>
          </w:tcPr>
          <w:p w14:paraId="6A20CE99"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vAlign w:val="bottom"/>
          </w:tcPr>
          <w:p w14:paraId="07A2BE51"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74536B56" w14:textId="77777777" w:rsidTr="00E65106">
        <w:trPr>
          <w:trHeight w:val="225"/>
          <w:jc w:val="center"/>
        </w:trPr>
        <w:tc>
          <w:tcPr>
            <w:tcW w:w="2017" w:type="dxa"/>
            <w:vAlign w:val="bottom"/>
          </w:tcPr>
          <w:p w14:paraId="0D0E78AD"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2310" w:type="dxa"/>
            <w:gridSpan w:val="2"/>
            <w:vAlign w:val="bottom"/>
            <w:hideMark/>
          </w:tcPr>
          <w:p w14:paraId="7F3837B8"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Effects Specification</w:t>
            </w:r>
          </w:p>
        </w:tc>
        <w:tc>
          <w:tcPr>
            <w:tcW w:w="1208" w:type="dxa"/>
            <w:vAlign w:val="bottom"/>
          </w:tcPr>
          <w:p w14:paraId="2ABE9ADC"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vAlign w:val="bottom"/>
          </w:tcPr>
          <w:p w14:paraId="6D47BE10"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6182706D" w14:textId="77777777" w:rsidTr="00E65106">
        <w:trPr>
          <w:trHeight w:val="225"/>
          <w:jc w:val="center"/>
        </w:trPr>
        <w:tc>
          <w:tcPr>
            <w:tcW w:w="2017" w:type="dxa"/>
            <w:vAlign w:val="bottom"/>
          </w:tcPr>
          <w:p w14:paraId="3F49C870"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vAlign w:val="bottom"/>
          </w:tcPr>
          <w:p w14:paraId="0C9B56D1"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vAlign w:val="bottom"/>
          </w:tcPr>
          <w:p w14:paraId="3E5E5981"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vAlign w:val="bottom"/>
            <w:hideMark/>
          </w:tcPr>
          <w:p w14:paraId="449C91F0"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S.D.  </w:t>
            </w:r>
          </w:p>
        </w:tc>
        <w:tc>
          <w:tcPr>
            <w:tcW w:w="997" w:type="dxa"/>
            <w:vAlign w:val="bottom"/>
            <w:hideMark/>
          </w:tcPr>
          <w:p w14:paraId="4597897E"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Rho  </w:t>
            </w:r>
          </w:p>
        </w:tc>
      </w:tr>
      <w:tr w:rsidR="00F02C04" w:rsidRPr="0059588D" w14:paraId="4E200637" w14:textId="77777777" w:rsidTr="00E65106">
        <w:trPr>
          <w:trHeight w:hRule="exact" w:val="90"/>
          <w:jc w:val="center"/>
        </w:trPr>
        <w:tc>
          <w:tcPr>
            <w:tcW w:w="2017" w:type="dxa"/>
            <w:tcBorders>
              <w:top w:val="nil"/>
              <w:left w:val="nil"/>
              <w:bottom w:val="double" w:sz="6" w:space="0" w:color="auto"/>
              <w:right w:val="nil"/>
            </w:tcBorders>
            <w:vAlign w:val="bottom"/>
          </w:tcPr>
          <w:p w14:paraId="641FF4A4"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tcBorders>
              <w:top w:val="nil"/>
              <w:left w:val="nil"/>
              <w:bottom w:val="double" w:sz="6" w:space="0" w:color="auto"/>
              <w:right w:val="nil"/>
            </w:tcBorders>
            <w:vAlign w:val="bottom"/>
          </w:tcPr>
          <w:p w14:paraId="38F918C3"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tcBorders>
              <w:top w:val="nil"/>
              <w:left w:val="nil"/>
              <w:bottom w:val="double" w:sz="6" w:space="0" w:color="auto"/>
              <w:right w:val="nil"/>
            </w:tcBorders>
            <w:vAlign w:val="bottom"/>
          </w:tcPr>
          <w:p w14:paraId="4737BADE"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tcBorders>
              <w:top w:val="nil"/>
              <w:left w:val="nil"/>
              <w:bottom w:val="double" w:sz="6" w:space="0" w:color="auto"/>
              <w:right w:val="nil"/>
            </w:tcBorders>
            <w:vAlign w:val="bottom"/>
          </w:tcPr>
          <w:p w14:paraId="4008C22C"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tcBorders>
              <w:top w:val="nil"/>
              <w:left w:val="nil"/>
              <w:bottom w:val="double" w:sz="6" w:space="0" w:color="auto"/>
              <w:right w:val="nil"/>
            </w:tcBorders>
            <w:vAlign w:val="bottom"/>
          </w:tcPr>
          <w:p w14:paraId="2B0DDE90"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7C86F331" w14:textId="77777777" w:rsidTr="00E65106">
        <w:trPr>
          <w:trHeight w:hRule="exact" w:val="135"/>
          <w:jc w:val="center"/>
        </w:trPr>
        <w:tc>
          <w:tcPr>
            <w:tcW w:w="2017" w:type="dxa"/>
            <w:vAlign w:val="bottom"/>
          </w:tcPr>
          <w:p w14:paraId="3D9B45E5"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vAlign w:val="bottom"/>
          </w:tcPr>
          <w:p w14:paraId="08D53AD6"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vAlign w:val="bottom"/>
          </w:tcPr>
          <w:p w14:paraId="773ED2A5"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vAlign w:val="bottom"/>
          </w:tcPr>
          <w:p w14:paraId="4023F8E8"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vAlign w:val="bottom"/>
          </w:tcPr>
          <w:p w14:paraId="3F10A496"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6E72957C" w14:textId="77777777" w:rsidTr="00E65106">
        <w:trPr>
          <w:trHeight w:val="225"/>
          <w:jc w:val="center"/>
        </w:trPr>
        <w:tc>
          <w:tcPr>
            <w:tcW w:w="4327" w:type="dxa"/>
            <w:gridSpan w:val="3"/>
            <w:vAlign w:val="bottom"/>
            <w:hideMark/>
          </w:tcPr>
          <w:p w14:paraId="602CA3CC"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Cross-section random</w:t>
            </w:r>
          </w:p>
        </w:tc>
        <w:tc>
          <w:tcPr>
            <w:tcW w:w="1208" w:type="dxa"/>
            <w:vAlign w:val="bottom"/>
            <w:hideMark/>
          </w:tcPr>
          <w:p w14:paraId="2B94B2D6"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0.457543</w:t>
            </w:r>
          </w:p>
        </w:tc>
        <w:tc>
          <w:tcPr>
            <w:tcW w:w="997" w:type="dxa"/>
            <w:vAlign w:val="bottom"/>
            <w:hideMark/>
          </w:tcPr>
          <w:p w14:paraId="029D7A89"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0.2265</w:t>
            </w:r>
          </w:p>
        </w:tc>
      </w:tr>
      <w:tr w:rsidR="00F02C04" w:rsidRPr="0059588D" w14:paraId="17E1E90C" w14:textId="77777777" w:rsidTr="00E65106">
        <w:trPr>
          <w:trHeight w:val="225"/>
          <w:jc w:val="center"/>
        </w:trPr>
        <w:tc>
          <w:tcPr>
            <w:tcW w:w="4327" w:type="dxa"/>
            <w:gridSpan w:val="3"/>
            <w:vAlign w:val="bottom"/>
            <w:hideMark/>
          </w:tcPr>
          <w:p w14:paraId="3CDDAD56"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Idiosyncratic random</w:t>
            </w:r>
          </w:p>
        </w:tc>
        <w:tc>
          <w:tcPr>
            <w:tcW w:w="1208" w:type="dxa"/>
            <w:vAlign w:val="bottom"/>
            <w:hideMark/>
          </w:tcPr>
          <w:p w14:paraId="1F4F8D64"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0.034532</w:t>
            </w:r>
          </w:p>
        </w:tc>
        <w:tc>
          <w:tcPr>
            <w:tcW w:w="997" w:type="dxa"/>
            <w:vAlign w:val="bottom"/>
            <w:hideMark/>
          </w:tcPr>
          <w:p w14:paraId="49F0044D"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0.4322</w:t>
            </w:r>
          </w:p>
        </w:tc>
      </w:tr>
      <w:tr w:rsidR="00F02C04" w:rsidRPr="0059588D" w14:paraId="507B92DD" w14:textId="77777777" w:rsidTr="00E65106">
        <w:trPr>
          <w:trHeight w:hRule="exact" w:val="90"/>
          <w:jc w:val="center"/>
        </w:trPr>
        <w:tc>
          <w:tcPr>
            <w:tcW w:w="2017" w:type="dxa"/>
            <w:tcBorders>
              <w:top w:val="nil"/>
              <w:left w:val="nil"/>
              <w:bottom w:val="double" w:sz="6" w:space="0" w:color="auto"/>
              <w:right w:val="nil"/>
            </w:tcBorders>
            <w:vAlign w:val="bottom"/>
          </w:tcPr>
          <w:p w14:paraId="50B63A7D"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tcBorders>
              <w:top w:val="nil"/>
              <w:left w:val="nil"/>
              <w:bottom w:val="double" w:sz="6" w:space="0" w:color="auto"/>
              <w:right w:val="nil"/>
            </w:tcBorders>
            <w:vAlign w:val="bottom"/>
          </w:tcPr>
          <w:p w14:paraId="79EEB209"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tcBorders>
              <w:top w:val="nil"/>
              <w:left w:val="nil"/>
              <w:bottom w:val="double" w:sz="6" w:space="0" w:color="auto"/>
              <w:right w:val="nil"/>
            </w:tcBorders>
            <w:vAlign w:val="bottom"/>
          </w:tcPr>
          <w:p w14:paraId="5531014C"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tcBorders>
              <w:top w:val="nil"/>
              <w:left w:val="nil"/>
              <w:bottom w:val="double" w:sz="6" w:space="0" w:color="auto"/>
              <w:right w:val="nil"/>
            </w:tcBorders>
            <w:vAlign w:val="bottom"/>
          </w:tcPr>
          <w:p w14:paraId="540BAE87"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tcBorders>
              <w:top w:val="nil"/>
              <w:left w:val="nil"/>
              <w:bottom w:val="double" w:sz="6" w:space="0" w:color="auto"/>
              <w:right w:val="nil"/>
            </w:tcBorders>
            <w:vAlign w:val="bottom"/>
          </w:tcPr>
          <w:p w14:paraId="5F335CCA"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33E38091" w14:textId="77777777" w:rsidTr="00E65106">
        <w:trPr>
          <w:trHeight w:hRule="exact" w:val="135"/>
          <w:jc w:val="center"/>
        </w:trPr>
        <w:tc>
          <w:tcPr>
            <w:tcW w:w="2017" w:type="dxa"/>
            <w:vAlign w:val="bottom"/>
          </w:tcPr>
          <w:p w14:paraId="2FBE0E30"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vAlign w:val="bottom"/>
          </w:tcPr>
          <w:p w14:paraId="2933227A"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vAlign w:val="bottom"/>
          </w:tcPr>
          <w:p w14:paraId="29BE7066"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vAlign w:val="bottom"/>
          </w:tcPr>
          <w:p w14:paraId="09EAB6E0"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vAlign w:val="bottom"/>
          </w:tcPr>
          <w:p w14:paraId="0C765D3C"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17E183F4" w14:textId="77777777" w:rsidTr="00E65106">
        <w:trPr>
          <w:trHeight w:val="225"/>
          <w:jc w:val="center"/>
        </w:trPr>
        <w:tc>
          <w:tcPr>
            <w:tcW w:w="2017" w:type="dxa"/>
            <w:vAlign w:val="bottom"/>
          </w:tcPr>
          <w:p w14:paraId="39C8163D"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2310" w:type="dxa"/>
            <w:gridSpan w:val="2"/>
            <w:vAlign w:val="bottom"/>
            <w:hideMark/>
          </w:tcPr>
          <w:p w14:paraId="4C09FAA6"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Weighted Statistics</w:t>
            </w:r>
          </w:p>
        </w:tc>
        <w:tc>
          <w:tcPr>
            <w:tcW w:w="1208" w:type="dxa"/>
            <w:vAlign w:val="bottom"/>
          </w:tcPr>
          <w:p w14:paraId="35E1A000"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vAlign w:val="bottom"/>
          </w:tcPr>
          <w:p w14:paraId="2BC3F6D8"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0B2FBFDD" w14:textId="77777777" w:rsidTr="00E65106">
        <w:trPr>
          <w:trHeight w:hRule="exact" w:val="90"/>
          <w:jc w:val="center"/>
        </w:trPr>
        <w:tc>
          <w:tcPr>
            <w:tcW w:w="2017" w:type="dxa"/>
            <w:tcBorders>
              <w:top w:val="nil"/>
              <w:left w:val="nil"/>
              <w:bottom w:val="double" w:sz="6" w:space="0" w:color="auto"/>
              <w:right w:val="nil"/>
            </w:tcBorders>
            <w:vAlign w:val="bottom"/>
          </w:tcPr>
          <w:p w14:paraId="418FE60E"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tcBorders>
              <w:top w:val="nil"/>
              <w:left w:val="nil"/>
              <w:bottom w:val="double" w:sz="6" w:space="0" w:color="auto"/>
              <w:right w:val="nil"/>
            </w:tcBorders>
            <w:vAlign w:val="bottom"/>
          </w:tcPr>
          <w:p w14:paraId="48798CB0"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tcBorders>
              <w:top w:val="nil"/>
              <w:left w:val="nil"/>
              <w:bottom w:val="double" w:sz="6" w:space="0" w:color="auto"/>
              <w:right w:val="nil"/>
            </w:tcBorders>
            <w:vAlign w:val="bottom"/>
          </w:tcPr>
          <w:p w14:paraId="7A172176"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tcBorders>
              <w:top w:val="nil"/>
              <w:left w:val="nil"/>
              <w:bottom w:val="double" w:sz="6" w:space="0" w:color="auto"/>
              <w:right w:val="nil"/>
            </w:tcBorders>
            <w:vAlign w:val="bottom"/>
          </w:tcPr>
          <w:p w14:paraId="646BB0CA"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tcBorders>
              <w:top w:val="nil"/>
              <w:left w:val="nil"/>
              <w:bottom w:val="double" w:sz="6" w:space="0" w:color="auto"/>
              <w:right w:val="nil"/>
            </w:tcBorders>
            <w:vAlign w:val="bottom"/>
          </w:tcPr>
          <w:p w14:paraId="126A1837"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042F12DC" w14:textId="77777777" w:rsidTr="00E65106">
        <w:trPr>
          <w:trHeight w:hRule="exact" w:val="135"/>
          <w:jc w:val="center"/>
        </w:trPr>
        <w:tc>
          <w:tcPr>
            <w:tcW w:w="2017" w:type="dxa"/>
            <w:vAlign w:val="bottom"/>
          </w:tcPr>
          <w:p w14:paraId="41E03882"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vAlign w:val="bottom"/>
          </w:tcPr>
          <w:p w14:paraId="51E4A80B"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vAlign w:val="bottom"/>
          </w:tcPr>
          <w:p w14:paraId="4C0F9F83"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vAlign w:val="bottom"/>
          </w:tcPr>
          <w:p w14:paraId="0E67458D"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vAlign w:val="bottom"/>
          </w:tcPr>
          <w:p w14:paraId="2AE3E759"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147D6A21" w14:textId="77777777" w:rsidTr="00E65106">
        <w:trPr>
          <w:trHeight w:val="225"/>
          <w:jc w:val="center"/>
        </w:trPr>
        <w:tc>
          <w:tcPr>
            <w:tcW w:w="2017" w:type="dxa"/>
            <w:vAlign w:val="bottom"/>
            <w:hideMark/>
          </w:tcPr>
          <w:p w14:paraId="1CF32704"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R-squared</w:t>
            </w:r>
          </w:p>
        </w:tc>
        <w:tc>
          <w:tcPr>
            <w:tcW w:w="1103" w:type="dxa"/>
            <w:vAlign w:val="bottom"/>
            <w:hideMark/>
          </w:tcPr>
          <w:p w14:paraId="372C748F"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0.866414</w:t>
            </w:r>
          </w:p>
        </w:tc>
        <w:tc>
          <w:tcPr>
            <w:tcW w:w="2415" w:type="dxa"/>
            <w:gridSpan w:val="2"/>
            <w:vAlign w:val="bottom"/>
            <w:hideMark/>
          </w:tcPr>
          <w:p w14:paraId="3F805CF4"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Mean dependent var</w:t>
            </w:r>
          </w:p>
        </w:tc>
        <w:tc>
          <w:tcPr>
            <w:tcW w:w="997" w:type="dxa"/>
            <w:vAlign w:val="bottom"/>
            <w:hideMark/>
          </w:tcPr>
          <w:p w14:paraId="3A7ACFA9"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0.032117</w:t>
            </w:r>
          </w:p>
        </w:tc>
      </w:tr>
      <w:tr w:rsidR="00F02C04" w:rsidRPr="0059588D" w14:paraId="619C9C33" w14:textId="77777777" w:rsidTr="00E65106">
        <w:trPr>
          <w:trHeight w:val="225"/>
          <w:jc w:val="center"/>
        </w:trPr>
        <w:tc>
          <w:tcPr>
            <w:tcW w:w="2017" w:type="dxa"/>
            <w:vAlign w:val="bottom"/>
            <w:hideMark/>
          </w:tcPr>
          <w:p w14:paraId="2A5D1E66"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Adjusted R-squared</w:t>
            </w:r>
          </w:p>
        </w:tc>
        <w:tc>
          <w:tcPr>
            <w:tcW w:w="1103" w:type="dxa"/>
            <w:vAlign w:val="bottom"/>
            <w:hideMark/>
          </w:tcPr>
          <w:p w14:paraId="5164018D"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0.783367</w:t>
            </w:r>
          </w:p>
        </w:tc>
        <w:tc>
          <w:tcPr>
            <w:tcW w:w="2415" w:type="dxa"/>
            <w:gridSpan w:val="2"/>
            <w:vAlign w:val="bottom"/>
            <w:hideMark/>
          </w:tcPr>
          <w:p w14:paraId="049C578B"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S.D. dependent var</w:t>
            </w:r>
          </w:p>
        </w:tc>
        <w:tc>
          <w:tcPr>
            <w:tcW w:w="997" w:type="dxa"/>
            <w:vAlign w:val="bottom"/>
            <w:hideMark/>
          </w:tcPr>
          <w:p w14:paraId="7CD71063"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0.054877</w:t>
            </w:r>
          </w:p>
        </w:tc>
      </w:tr>
      <w:tr w:rsidR="00F02C04" w:rsidRPr="0059588D" w14:paraId="11C44AFF" w14:textId="77777777" w:rsidTr="00E65106">
        <w:trPr>
          <w:trHeight w:val="225"/>
          <w:jc w:val="center"/>
        </w:trPr>
        <w:tc>
          <w:tcPr>
            <w:tcW w:w="2017" w:type="dxa"/>
            <w:vAlign w:val="bottom"/>
            <w:hideMark/>
          </w:tcPr>
          <w:p w14:paraId="502142A4"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S.E. of regression</w:t>
            </w:r>
          </w:p>
        </w:tc>
        <w:tc>
          <w:tcPr>
            <w:tcW w:w="1103" w:type="dxa"/>
            <w:vAlign w:val="bottom"/>
            <w:hideMark/>
          </w:tcPr>
          <w:p w14:paraId="27067FEC"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0.432116</w:t>
            </w:r>
          </w:p>
        </w:tc>
        <w:tc>
          <w:tcPr>
            <w:tcW w:w="2415" w:type="dxa"/>
            <w:gridSpan w:val="2"/>
            <w:vAlign w:val="bottom"/>
            <w:hideMark/>
          </w:tcPr>
          <w:p w14:paraId="3F663B41"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xml:space="preserve">    Sum squared </w:t>
            </w:r>
            <w:proofErr w:type="spellStart"/>
            <w:r w:rsidRPr="0059588D">
              <w:rPr>
                <w:rFonts w:ascii="Times New Roman" w:hAnsi="Times New Roman" w:cs="Times New Roman"/>
                <w:color w:val="000000"/>
                <w:lang w:eastAsia="id-ID"/>
              </w:rPr>
              <w:t>resid</w:t>
            </w:r>
            <w:proofErr w:type="spellEnd"/>
          </w:p>
        </w:tc>
        <w:tc>
          <w:tcPr>
            <w:tcW w:w="997" w:type="dxa"/>
            <w:vAlign w:val="bottom"/>
            <w:hideMark/>
          </w:tcPr>
          <w:p w14:paraId="4FFC0122"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0.978321</w:t>
            </w:r>
          </w:p>
        </w:tc>
      </w:tr>
      <w:tr w:rsidR="00F02C04" w:rsidRPr="0059588D" w14:paraId="68309E9B" w14:textId="77777777" w:rsidTr="00E65106">
        <w:trPr>
          <w:trHeight w:val="225"/>
          <w:jc w:val="center"/>
        </w:trPr>
        <w:tc>
          <w:tcPr>
            <w:tcW w:w="2017" w:type="dxa"/>
            <w:vAlign w:val="bottom"/>
            <w:hideMark/>
          </w:tcPr>
          <w:p w14:paraId="327DE3B7"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F-statistic</w:t>
            </w:r>
          </w:p>
        </w:tc>
        <w:tc>
          <w:tcPr>
            <w:tcW w:w="1103" w:type="dxa"/>
            <w:vAlign w:val="bottom"/>
            <w:hideMark/>
          </w:tcPr>
          <w:p w14:paraId="2295BD79"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3.543328</w:t>
            </w:r>
          </w:p>
        </w:tc>
        <w:tc>
          <w:tcPr>
            <w:tcW w:w="2415" w:type="dxa"/>
            <w:gridSpan w:val="2"/>
            <w:vAlign w:val="bottom"/>
            <w:hideMark/>
          </w:tcPr>
          <w:p w14:paraId="65928433"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Durbin-Watson stat</w:t>
            </w:r>
          </w:p>
        </w:tc>
        <w:tc>
          <w:tcPr>
            <w:tcW w:w="997" w:type="dxa"/>
            <w:vAlign w:val="bottom"/>
            <w:hideMark/>
          </w:tcPr>
          <w:p w14:paraId="40E6900A"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1.012554</w:t>
            </w:r>
          </w:p>
        </w:tc>
      </w:tr>
      <w:tr w:rsidR="00F02C04" w:rsidRPr="0059588D" w14:paraId="23620EAB" w14:textId="77777777" w:rsidTr="00E65106">
        <w:trPr>
          <w:trHeight w:val="225"/>
          <w:jc w:val="center"/>
        </w:trPr>
        <w:tc>
          <w:tcPr>
            <w:tcW w:w="2017" w:type="dxa"/>
            <w:vAlign w:val="bottom"/>
            <w:hideMark/>
          </w:tcPr>
          <w:p w14:paraId="2C418B62"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Prob(F-statistic)</w:t>
            </w:r>
          </w:p>
        </w:tc>
        <w:tc>
          <w:tcPr>
            <w:tcW w:w="1103" w:type="dxa"/>
            <w:vAlign w:val="bottom"/>
            <w:hideMark/>
          </w:tcPr>
          <w:p w14:paraId="698CF7BB"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0.009224</w:t>
            </w:r>
          </w:p>
        </w:tc>
        <w:tc>
          <w:tcPr>
            <w:tcW w:w="1207" w:type="dxa"/>
            <w:vAlign w:val="bottom"/>
          </w:tcPr>
          <w:p w14:paraId="6008A590"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p>
        </w:tc>
        <w:tc>
          <w:tcPr>
            <w:tcW w:w="1208" w:type="dxa"/>
            <w:vAlign w:val="bottom"/>
          </w:tcPr>
          <w:p w14:paraId="46C45CFA"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p>
        </w:tc>
        <w:tc>
          <w:tcPr>
            <w:tcW w:w="997" w:type="dxa"/>
            <w:vAlign w:val="bottom"/>
          </w:tcPr>
          <w:p w14:paraId="762FD096"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p>
        </w:tc>
      </w:tr>
      <w:tr w:rsidR="00F02C04" w:rsidRPr="0059588D" w14:paraId="2ADC7BD1" w14:textId="77777777" w:rsidTr="00E65106">
        <w:trPr>
          <w:trHeight w:hRule="exact" w:val="90"/>
          <w:jc w:val="center"/>
        </w:trPr>
        <w:tc>
          <w:tcPr>
            <w:tcW w:w="2017" w:type="dxa"/>
            <w:tcBorders>
              <w:top w:val="nil"/>
              <w:left w:val="nil"/>
              <w:bottom w:val="double" w:sz="6" w:space="0" w:color="auto"/>
              <w:right w:val="nil"/>
            </w:tcBorders>
            <w:vAlign w:val="bottom"/>
          </w:tcPr>
          <w:p w14:paraId="03D9797C"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tcBorders>
              <w:top w:val="nil"/>
              <w:left w:val="nil"/>
              <w:bottom w:val="double" w:sz="6" w:space="0" w:color="auto"/>
              <w:right w:val="nil"/>
            </w:tcBorders>
            <w:vAlign w:val="bottom"/>
          </w:tcPr>
          <w:p w14:paraId="491648D6"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tcBorders>
              <w:top w:val="nil"/>
              <w:left w:val="nil"/>
              <w:bottom w:val="double" w:sz="6" w:space="0" w:color="auto"/>
              <w:right w:val="nil"/>
            </w:tcBorders>
            <w:vAlign w:val="bottom"/>
          </w:tcPr>
          <w:p w14:paraId="76F51BD2"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tcBorders>
              <w:top w:val="nil"/>
              <w:left w:val="nil"/>
              <w:bottom w:val="double" w:sz="6" w:space="0" w:color="auto"/>
              <w:right w:val="nil"/>
            </w:tcBorders>
            <w:vAlign w:val="bottom"/>
          </w:tcPr>
          <w:p w14:paraId="34393E93"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tcBorders>
              <w:top w:val="nil"/>
              <w:left w:val="nil"/>
              <w:bottom w:val="double" w:sz="6" w:space="0" w:color="auto"/>
              <w:right w:val="nil"/>
            </w:tcBorders>
            <w:vAlign w:val="bottom"/>
          </w:tcPr>
          <w:p w14:paraId="13226DD7"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640238B9" w14:textId="77777777" w:rsidTr="00E65106">
        <w:trPr>
          <w:trHeight w:hRule="exact" w:val="135"/>
          <w:jc w:val="center"/>
        </w:trPr>
        <w:tc>
          <w:tcPr>
            <w:tcW w:w="2017" w:type="dxa"/>
            <w:vAlign w:val="bottom"/>
          </w:tcPr>
          <w:p w14:paraId="6786C8EE"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vAlign w:val="bottom"/>
          </w:tcPr>
          <w:p w14:paraId="38D741A8"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vAlign w:val="bottom"/>
          </w:tcPr>
          <w:p w14:paraId="34FE92CA"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vAlign w:val="bottom"/>
          </w:tcPr>
          <w:p w14:paraId="2552112C"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vAlign w:val="bottom"/>
          </w:tcPr>
          <w:p w14:paraId="58698AE4"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634131B6" w14:textId="77777777" w:rsidTr="00E65106">
        <w:trPr>
          <w:trHeight w:val="225"/>
          <w:jc w:val="center"/>
        </w:trPr>
        <w:tc>
          <w:tcPr>
            <w:tcW w:w="2017" w:type="dxa"/>
            <w:vAlign w:val="bottom"/>
          </w:tcPr>
          <w:p w14:paraId="444700A0"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2310" w:type="dxa"/>
            <w:gridSpan w:val="2"/>
            <w:vAlign w:val="bottom"/>
            <w:hideMark/>
          </w:tcPr>
          <w:p w14:paraId="72EFD7C8"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Unweighted Statistics</w:t>
            </w:r>
          </w:p>
        </w:tc>
        <w:tc>
          <w:tcPr>
            <w:tcW w:w="1208" w:type="dxa"/>
            <w:vAlign w:val="bottom"/>
          </w:tcPr>
          <w:p w14:paraId="763615CE"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vAlign w:val="bottom"/>
          </w:tcPr>
          <w:p w14:paraId="13EF6D4F"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31DEA59B" w14:textId="77777777" w:rsidTr="00E65106">
        <w:trPr>
          <w:trHeight w:hRule="exact" w:val="90"/>
          <w:jc w:val="center"/>
        </w:trPr>
        <w:tc>
          <w:tcPr>
            <w:tcW w:w="2017" w:type="dxa"/>
            <w:tcBorders>
              <w:top w:val="nil"/>
              <w:left w:val="nil"/>
              <w:bottom w:val="double" w:sz="6" w:space="0" w:color="auto"/>
              <w:right w:val="nil"/>
            </w:tcBorders>
            <w:vAlign w:val="bottom"/>
          </w:tcPr>
          <w:p w14:paraId="571CEDEE"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tcBorders>
              <w:top w:val="nil"/>
              <w:left w:val="nil"/>
              <w:bottom w:val="double" w:sz="6" w:space="0" w:color="auto"/>
              <w:right w:val="nil"/>
            </w:tcBorders>
            <w:vAlign w:val="bottom"/>
          </w:tcPr>
          <w:p w14:paraId="0BE0A2FF"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tcBorders>
              <w:top w:val="nil"/>
              <w:left w:val="nil"/>
              <w:bottom w:val="double" w:sz="6" w:space="0" w:color="auto"/>
              <w:right w:val="nil"/>
            </w:tcBorders>
            <w:vAlign w:val="bottom"/>
          </w:tcPr>
          <w:p w14:paraId="43D9DAD1"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tcBorders>
              <w:top w:val="nil"/>
              <w:left w:val="nil"/>
              <w:bottom w:val="double" w:sz="6" w:space="0" w:color="auto"/>
              <w:right w:val="nil"/>
            </w:tcBorders>
            <w:vAlign w:val="bottom"/>
          </w:tcPr>
          <w:p w14:paraId="17AC5706"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tcBorders>
              <w:top w:val="nil"/>
              <w:left w:val="nil"/>
              <w:bottom w:val="double" w:sz="6" w:space="0" w:color="auto"/>
              <w:right w:val="nil"/>
            </w:tcBorders>
            <w:vAlign w:val="bottom"/>
          </w:tcPr>
          <w:p w14:paraId="49934584"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050A52E4" w14:textId="77777777" w:rsidTr="00E65106">
        <w:trPr>
          <w:trHeight w:hRule="exact" w:val="135"/>
          <w:jc w:val="center"/>
        </w:trPr>
        <w:tc>
          <w:tcPr>
            <w:tcW w:w="2017" w:type="dxa"/>
            <w:vAlign w:val="bottom"/>
          </w:tcPr>
          <w:p w14:paraId="4583FE2E"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vAlign w:val="bottom"/>
          </w:tcPr>
          <w:p w14:paraId="73BB0080"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vAlign w:val="bottom"/>
          </w:tcPr>
          <w:p w14:paraId="680F2DE0"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vAlign w:val="bottom"/>
          </w:tcPr>
          <w:p w14:paraId="295FE27D"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vAlign w:val="bottom"/>
          </w:tcPr>
          <w:p w14:paraId="5E808F67"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19DB8DBF" w14:textId="77777777" w:rsidTr="00E65106">
        <w:trPr>
          <w:trHeight w:val="225"/>
          <w:jc w:val="center"/>
        </w:trPr>
        <w:tc>
          <w:tcPr>
            <w:tcW w:w="2017" w:type="dxa"/>
            <w:vAlign w:val="bottom"/>
            <w:hideMark/>
          </w:tcPr>
          <w:p w14:paraId="781A9A97"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R-squared</w:t>
            </w:r>
          </w:p>
        </w:tc>
        <w:tc>
          <w:tcPr>
            <w:tcW w:w="1103" w:type="dxa"/>
            <w:vAlign w:val="bottom"/>
            <w:hideMark/>
          </w:tcPr>
          <w:p w14:paraId="2FA981AD"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0.542716</w:t>
            </w:r>
          </w:p>
        </w:tc>
        <w:tc>
          <w:tcPr>
            <w:tcW w:w="2415" w:type="dxa"/>
            <w:gridSpan w:val="2"/>
            <w:vAlign w:val="bottom"/>
            <w:hideMark/>
          </w:tcPr>
          <w:p w14:paraId="14E09634"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Mean dependent var</w:t>
            </w:r>
          </w:p>
        </w:tc>
        <w:tc>
          <w:tcPr>
            <w:tcW w:w="997" w:type="dxa"/>
            <w:vAlign w:val="bottom"/>
            <w:hideMark/>
          </w:tcPr>
          <w:p w14:paraId="06EEFFE4"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0.008753</w:t>
            </w:r>
          </w:p>
        </w:tc>
      </w:tr>
      <w:tr w:rsidR="00F02C04" w:rsidRPr="0059588D" w14:paraId="23DB54B0" w14:textId="77777777" w:rsidTr="00E65106">
        <w:trPr>
          <w:trHeight w:val="225"/>
          <w:jc w:val="center"/>
        </w:trPr>
        <w:tc>
          <w:tcPr>
            <w:tcW w:w="2017" w:type="dxa"/>
            <w:vAlign w:val="bottom"/>
            <w:hideMark/>
          </w:tcPr>
          <w:p w14:paraId="16D9898B"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xml:space="preserve">Sum squared </w:t>
            </w:r>
            <w:proofErr w:type="spellStart"/>
            <w:r w:rsidRPr="0059588D">
              <w:rPr>
                <w:rFonts w:ascii="Times New Roman" w:hAnsi="Times New Roman" w:cs="Times New Roman"/>
                <w:color w:val="000000"/>
                <w:lang w:eastAsia="id-ID"/>
              </w:rPr>
              <w:t>resid</w:t>
            </w:r>
            <w:proofErr w:type="spellEnd"/>
          </w:p>
        </w:tc>
        <w:tc>
          <w:tcPr>
            <w:tcW w:w="1103" w:type="dxa"/>
            <w:vAlign w:val="bottom"/>
            <w:hideMark/>
          </w:tcPr>
          <w:p w14:paraId="327E52F8"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0.765478</w:t>
            </w:r>
          </w:p>
        </w:tc>
        <w:tc>
          <w:tcPr>
            <w:tcW w:w="2415" w:type="dxa"/>
            <w:gridSpan w:val="2"/>
            <w:vAlign w:val="bottom"/>
            <w:hideMark/>
          </w:tcPr>
          <w:p w14:paraId="3341B3C9"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    Durbin-Watson stat</w:t>
            </w:r>
          </w:p>
        </w:tc>
        <w:tc>
          <w:tcPr>
            <w:tcW w:w="997" w:type="dxa"/>
            <w:vAlign w:val="bottom"/>
            <w:hideMark/>
          </w:tcPr>
          <w:p w14:paraId="7A9AE8A1" w14:textId="77777777" w:rsidR="00F02C04" w:rsidRPr="0059588D" w:rsidRDefault="00F02C04" w:rsidP="00E65106">
            <w:pPr>
              <w:autoSpaceDE w:val="0"/>
              <w:autoSpaceDN w:val="0"/>
              <w:adjustRightInd w:val="0"/>
              <w:spacing w:after="0"/>
              <w:ind w:right="10"/>
              <w:jc w:val="both"/>
              <w:rPr>
                <w:rFonts w:ascii="Times New Roman" w:eastAsia="Calibri" w:hAnsi="Times New Roman" w:cs="Times New Roman"/>
                <w:color w:val="000000"/>
                <w:lang w:eastAsia="id-ID"/>
              </w:rPr>
            </w:pPr>
            <w:r w:rsidRPr="0059588D">
              <w:rPr>
                <w:rFonts w:ascii="Times New Roman" w:hAnsi="Times New Roman" w:cs="Times New Roman"/>
                <w:color w:val="000000"/>
                <w:lang w:eastAsia="id-ID"/>
              </w:rPr>
              <w:t>0.387365</w:t>
            </w:r>
          </w:p>
        </w:tc>
      </w:tr>
      <w:tr w:rsidR="00F02C04" w:rsidRPr="0059588D" w14:paraId="02A0A84B" w14:textId="77777777" w:rsidTr="00E65106">
        <w:trPr>
          <w:trHeight w:hRule="exact" w:val="90"/>
          <w:jc w:val="center"/>
        </w:trPr>
        <w:tc>
          <w:tcPr>
            <w:tcW w:w="2017" w:type="dxa"/>
            <w:tcBorders>
              <w:top w:val="nil"/>
              <w:left w:val="nil"/>
              <w:bottom w:val="double" w:sz="6" w:space="0" w:color="auto"/>
              <w:right w:val="nil"/>
            </w:tcBorders>
            <w:vAlign w:val="bottom"/>
          </w:tcPr>
          <w:p w14:paraId="304CA281"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tcBorders>
              <w:top w:val="nil"/>
              <w:left w:val="nil"/>
              <w:bottom w:val="double" w:sz="6" w:space="0" w:color="auto"/>
              <w:right w:val="nil"/>
            </w:tcBorders>
            <w:vAlign w:val="bottom"/>
          </w:tcPr>
          <w:p w14:paraId="0702FC0B"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tcBorders>
              <w:top w:val="nil"/>
              <w:left w:val="nil"/>
              <w:bottom w:val="double" w:sz="6" w:space="0" w:color="auto"/>
              <w:right w:val="nil"/>
            </w:tcBorders>
            <w:vAlign w:val="bottom"/>
          </w:tcPr>
          <w:p w14:paraId="188BE8EC"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tcBorders>
              <w:top w:val="nil"/>
              <w:left w:val="nil"/>
              <w:bottom w:val="double" w:sz="6" w:space="0" w:color="auto"/>
              <w:right w:val="nil"/>
            </w:tcBorders>
            <w:vAlign w:val="bottom"/>
          </w:tcPr>
          <w:p w14:paraId="4A735EAE"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tcBorders>
              <w:top w:val="nil"/>
              <w:left w:val="nil"/>
              <w:bottom w:val="double" w:sz="6" w:space="0" w:color="auto"/>
              <w:right w:val="nil"/>
            </w:tcBorders>
            <w:vAlign w:val="bottom"/>
          </w:tcPr>
          <w:p w14:paraId="470414D9"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r w:rsidR="00F02C04" w:rsidRPr="0059588D" w14:paraId="08A604C0" w14:textId="77777777" w:rsidTr="00E65106">
        <w:trPr>
          <w:trHeight w:hRule="exact" w:val="135"/>
          <w:jc w:val="center"/>
        </w:trPr>
        <w:tc>
          <w:tcPr>
            <w:tcW w:w="2017" w:type="dxa"/>
            <w:vAlign w:val="bottom"/>
          </w:tcPr>
          <w:p w14:paraId="68650874"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103" w:type="dxa"/>
            <w:vAlign w:val="bottom"/>
          </w:tcPr>
          <w:p w14:paraId="070247BA"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7" w:type="dxa"/>
            <w:vAlign w:val="bottom"/>
          </w:tcPr>
          <w:p w14:paraId="7D865F2B"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1208" w:type="dxa"/>
            <w:vAlign w:val="bottom"/>
          </w:tcPr>
          <w:p w14:paraId="26FDE218"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c>
          <w:tcPr>
            <w:tcW w:w="997" w:type="dxa"/>
            <w:vAlign w:val="bottom"/>
          </w:tcPr>
          <w:p w14:paraId="74D774BA" w14:textId="77777777" w:rsidR="00F02C04" w:rsidRPr="0059588D" w:rsidRDefault="00F02C04" w:rsidP="00E65106">
            <w:pPr>
              <w:autoSpaceDE w:val="0"/>
              <w:autoSpaceDN w:val="0"/>
              <w:adjustRightInd w:val="0"/>
              <w:spacing w:after="0"/>
              <w:jc w:val="both"/>
              <w:rPr>
                <w:rFonts w:ascii="Times New Roman" w:eastAsia="Calibri" w:hAnsi="Times New Roman" w:cs="Times New Roman"/>
                <w:color w:val="000000"/>
                <w:lang w:eastAsia="id-ID"/>
              </w:rPr>
            </w:pPr>
          </w:p>
        </w:tc>
      </w:tr>
    </w:tbl>
    <w:p w14:paraId="429C4698" w14:textId="5CE6FA7D" w:rsidR="003A1259" w:rsidRDefault="00F02C04" w:rsidP="003A1259">
      <w:pPr>
        <w:ind w:firstLine="720"/>
        <w:jc w:val="both"/>
      </w:pPr>
      <w:r w:rsidRPr="00F02C04">
        <w:t>From Table 4.12 it can be seen that the Adjusted R2 value is 0.783367, greater than the Adjusted R2 value in Table 4.11. this means that the variable in the form of Total Asset can increase the previous adjusted R2 value in Table 4.11 which shows an adjusted R2 value of 0.583367. From Table 4.12, it is also obtained that the F test in this study has a coefficient value of 3.207973 with a prob (F-statistic) of 0.00 &lt;0.05. This shows that the independent variables (NIM, NPL, Oil Price, Exchange Rate, Market Power, and Female BOD Gender) and the moderating variable (Total Assets) jointly affect the dependent variable (Bank Risk).</w:t>
      </w:r>
    </w:p>
    <w:p w14:paraId="24247617" w14:textId="77777777" w:rsidR="00163254" w:rsidRDefault="00163254" w:rsidP="003A1259">
      <w:pPr>
        <w:ind w:firstLine="720"/>
        <w:jc w:val="both"/>
      </w:pPr>
    </w:p>
    <w:p w14:paraId="194E851F" w14:textId="7D18FC84" w:rsidR="00F02C04" w:rsidRPr="003A1259" w:rsidRDefault="00F02C04" w:rsidP="003A1259">
      <w:r w:rsidRPr="00F02C04">
        <w:rPr>
          <w:b/>
          <w:bCs/>
        </w:rPr>
        <w:lastRenderedPageBreak/>
        <w:t>Conclusion</w:t>
      </w:r>
    </w:p>
    <w:p w14:paraId="5DE60A40" w14:textId="6AC15C73" w:rsidR="00F02C04" w:rsidRDefault="00F02C04" w:rsidP="003A1259">
      <w:pPr>
        <w:ind w:firstLine="720"/>
        <w:jc w:val="both"/>
      </w:pPr>
      <w:r>
        <w:t xml:space="preserve">Based on the results of research on the Effect of Net Interest Margin, Ownership Structure, Oil Prices, Market Power, and Gender BDO Women on Bank Risk with Total Assets as Moderation, it is concluded that: Net Interest Margin variable has an effect on Bank Risk. This means that an increase in Net Interest Margin will increase the value of Bank Risk in Go Public Commercial Banks listed on the IDX and KLSE. </w:t>
      </w:r>
      <w:r w:rsidR="00A9112B">
        <w:t>Non-Performing</w:t>
      </w:r>
      <w:r>
        <w:t xml:space="preserve"> Loan (NPL) variable affects Bank Risk. This means that an increase in </w:t>
      </w:r>
      <w:r w:rsidR="00A9112B">
        <w:t>Non-Performing</w:t>
      </w:r>
      <w:r>
        <w:t xml:space="preserve"> Loan (NPL) will increase the value of Bank Risk at Go Public Commercial Banks listed on the IDX and KLSE. The Rupiah Exchange Rate variable has an effect on Bank Risk. This means that an increase in Institutional Ownership will not increase the value of Bank Risk in Go Public Commercial Banks listed on the IDX and KLSE. The Oil Price Variable has no effect on Bank Risk. This means that an increase in oil prices will not increase the value of bank risk in Go Public Commercial Banks listed on the IDX and KLSE. The Market Power variable has no effect on Bank Risk. This means that an increase in Market Power will increase the value of Bank Risk in Go Public Commercial Banks listed on the IDX and KLSE. The Female BDO Gender variable has no effect on Bank Risk. This means that an increase in Female BDO Gender will not increase the value of Bank Risk in Go Public Commercial Banks listed on the IDX and KLSE. </w:t>
      </w:r>
      <w:r w:rsidR="00A2448F">
        <w:t>The total</w:t>
      </w:r>
      <w:r>
        <w:t xml:space="preserve"> Assets variable has an effect on NIM, NPL, Oil Price, Exchange Rate, Market Power, and Female BOD Gender on Bank Risk in Go Public Commercial Banks listed on the IDX and KLSE.</w:t>
      </w:r>
    </w:p>
    <w:p w14:paraId="17049C85" w14:textId="26F54DA5" w:rsidR="00CE5522" w:rsidRDefault="00CE5522" w:rsidP="003A1259">
      <w:pPr>
        <w:ind w:firstLine="720"/>
        <w:jc w:val="both"/>
      </w:pPr>
    </w:p>
    <w:p w14:paraId="2BB076AE" w14:textId="77777777" w:rsidR="00CE5522" w:rsidRDefault="00CE5522" w:rsidP="003A1259">
      <w:pPr>
        <w:ind w:firstLine="720"/>
        <w:jc w:val="both"/>
      </w:pPr>
    </w:p>
    <w:p w14:paraId="1E7BFF68" w14:textId="444A202E" w:rsidR="00CE5522" w:rsidRPr="003A1259" w:rsidRDefault="00CE5522" w:rsidP="00CE5522">
      <w:r>
        <w:rPr>
          <w:b/>
          <w:bCs/>
        </w:rPr>
        <w:t>Reference</w:t>
      </w:r>
    </w:p>
    <w:p w14:paraId="429429D6" w14:textId="64821B42" w:rsidR="00CE5522" w:rsidRPr="004E7A27" w:rsidRDefault="00163254" w:rsidP="00CE552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CE5522" w:rsidRPr="004E7A27">
        <w:rPr>
          <w:rFonts w:ascii="Times New Roman" w:hAnsi="Times New Roman" w:cs="Times New Roman"/>
          <w:sz w:val="24"/>
          <w:szCs w:val="24"/>
        </w:rPr>
        <w:t>Agustha</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Saeda</w:t>
      </w:r>
      <w:proofErr w:type="spellEnd"/>
      <w:r w:rsidR="00CE5522" w:rsidRPr="004E7A27">
        <w:rPr>
          <w:rFonts w:ascii="Times New Roman" w:hAnsi="Times New Roman" w:cs="Times New Roman"/>
          <w:sz w:val="24"/>
          <w:szCs w:val="24"/>
        </w:rPr>
        <w:t xml:space="preserve">. 2016. </w:t>
      </w:r>
      <w:proofErr w:type="spellStart"/>
      <w:r w:rsidR="00CE5522" w:rsidRPr="004E7A27">
        <w:rPr>
          <w:rFonts w:ascii="Times New Roman" w:hAnsi="Times New Roman" w:cs="Times New Roman"/>
          <w:sz w:val="24"/>
          <w:szCs w:val="24"/>
        </w:rPr>
        <w:t>Pengaruh</w:t>
      </w:r>
      <w:proofErr w:type="spellEnd"/>
      <w:r w:rsidR="00CE5522" w:rsidRPr="004E7A27">
        <w:rPr>
          <w:rFonts w:ascii="Times New Roman" w:hAnsi="Times New Roman" w:cs="Times New Roman"/>
          <w:sz w:val="24"/>
          <w:szCs w:val="24"/>
        </w:rPr>
        <w:t xml:space="preserve"> Capital </w:t>
      </w:r>
      <w:proofErr w:type="spellStart"/>
      <w:r w:rsidR="00CE5522" w:rsidRPr="004E7A27">
        <w:rPr>
          <w:rFonts w:ascii="Times New Roman" w:hAnsi="Times New Roman" w:cs="Times New Roman"/>
          <w:sz w:val="24"/>
          <w:szCs w:val="24"/>
        </w:rPr>
        <w:t>Adequency</w:t>
      </w:r>
      <w:proofErr w:type="spellEnd"/>
      <w:r w:rsidR="00CE5522" w:rsidRPr="004E7A27">
        <w:rPr>
          <w:rFonts w:ascii="Times New Roman" w:hAnsi="Times New Roman" w:cs="Times New Roman"/>
          <w:sz w:val="24"/>
          <w:szCs w:val="24"/>
        </w:rPr>
        <w:t xml:space="preserve"> Ratio (CAR), </w:t>
      </w:r>
      <w:proofErr w:type="spellStart"/>
      <w:r w:rsidR="00CE5522" w:rsidRPr="004E7A27">
        <w:rPr>
          <w:rFonts w:ascii="Times New Roman" w:hAnsi="Times New Roman" w:cs="Times New Roman"/>
          <w:sz w:val="24"/>
          <w:szCs w:val="24"/>
        </w:rPr>
        <w:t>Non Performing</w:t>
      </w:r>
      <w:proofErr w:type="spellEnd"/>
      <w:r w:rsidR="00CE5522" w:rsidRPr="004E7A27">
        <w:rPr>
          <w:rFonts w:ascii="Times New Roman" w:hAnsi="Times New Roman" w:cs="Times New Roman"/>
          <w:sz w:val="24"/>
          <w:szCs w:val="24"/>
        </w:rPr>
        <w:t xml:space="preserve"> Loan (NPL) To Deposit Ratio (LDR), Net Interest Margin (NIM) Dan BOPO </w:t>
      </w:r>
      <w:proofErr w:type="spellStart"/>
      <w:r w:rsidR="00CE5522" w:rsidRPr="004E7A27">
        <w:rPr>
          <w:rFonts w:ascii="Times New Roman" w:hAnsi="Times New Roman" w:cs="Times New Roman"/>
          <w:sz w:val="24"/>
          <w:szCs w:val="24"/>
        </w:rPr>
        <w:t>terhadap</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Profitabilitas</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Perbankan</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Studi</w:t>
      </w:r>
      <w:proofErr w:type="spellEnd"/>
      <w:r w:rsidR="00CE5522" w:rsidRPr="004E7A27">
        <w:rPr>
          <w:rFonts w:ascii="Times New Roman" w:hAnsi="Times New Roman" w:cs="Times New Roman"/>
          <w:sz w:val="24"/>
          <w:szCs w:val="24"/>
        </w:rPr>
        <w:t xml:space="preserve"> pada Bank </w:t>
      </w:r>
      <w:proofErr w:type="spellStart"/>
      <w:r w:rsidR="00CE5522" w:rsidRPr="004E7A27">
        <w:rPr>
          <w:rFonts w:ascii="Times New Roman" w:hAnsi="Times New Roman" w:cs="Times New Roman"/>
          <w:sz w:val="24"/>
          <w:szCs w:val="24"/>
        </w:rPr>
        <w:t>Umum</w:t>
      </w:r>
      <w:proofErr w:type="spellEnd"/>
      <w:r w:rsidR="00CE5522" w:rsidRPr="004E7A27">
        <w:rPr>
          <w:rFonts w:ascii="Times New Roman" w:hAnsi="Times New Roman" w:cs="Times New Roman"/>
          <w:sz w:val="24"/>
          <w:szCs w:val="24"/>
        </w:rPr>
        <w:t xml:space="preserve"> yang </w:t>
      </w:r>
      <w:proofErr w:type="spellStart"/>
      <w:r w:rsidR="00CE5522" w:rsidRPr="004E7A27">
        <w:rPr>
          <w:rFonts w:ascii="Times New Roman" w:hAnsi="Times New Roman" w:cs="Times New Roman"/>
          <w:sz w:val="24"/>
          <w:szCs w:val="24"/>
        </w:rPr>
        <w:t>Terdaftar</w:t>
      </w:r>
      <w:proofErr w:type="spellEnd"/>
      <w:r w:rsidR="00CE5522" w:rsidRPr="004E7A27">
        <w:rPr>
          <w:rFonts w:ascii="Times New Roman" w:hAnsi="Times New Roman" w:cs="Times New Roman"/>
          <w:sz w:val="24"/>
          <w:szCs w:val="24"/>
        </w:rPr>
        <w:t xml:space="preserve"> di BEI </w:t>
      </w:r>
      <w:proofErr w:type="spellStart"/>
      <w:r w:rsidR="00CE5522" w:rsidRPr="004E7A27">
        <w:rPr>
          <w:rFonts w:ascii="Times New Roman" w:hAnsi="Times New Roman" w:cs="Times New Roman"/>
          <w:sz w:val="24"/>
          <w:szCs w:val="24"/>
        </w:rPr>
        <w:t>Tahun</w:t>
      </w:r>
      <w:proofErr w:type="spellEnd"/>
      <w:r w:rsidR="00CE5522" w:rsidRPr="004E7A27">
        <w:rPr>
          <w:rFonts w:ascii="Times New Roman" w:hAnsi="Times New Roman" w:cs="Times New Roman"/>
          <w:sz w:val="24"/>
          <w:szCs w:val="24"/>
        </w:rPr>
        <w:t xml:space="preserve"> 2010-2014.Jurnal </w:t>
      </w:r>
      <w:proofErr w:type="spellStart"/>
      <w:r w:rsidR="00CE5522" w:rsidRPr="004E7A27">
        <w:rPr>
          <w:rFonts w:ascii="Times New Roman" w:hAnsi="Times New Roman" w:cs="Times New Roman"/>
          <w:sz w:val="24"/>
          <w:szCs w:val="24"/>
        </w:rPr>
        <w:t>AkuntansiUniversitas</w:t>
      </w:r>
      <w:proofErr w:type="spellEnd"/>
      <w:r w:rsidR="00CE5522" w:rsidRPr="004E7A27">
        <w:rPr>
          <w:rFonts w:ascii="Times New Roman" w:hAnsi="Times New Roman" w:cs="Times New Roman"/>
          <w:sz w:val="24"/>
          <w:szCs w:val="24"/>
        </w:rPr>
        <w:t xml:space="preserve"> Maritim Raja Ali Haji.</w:t>
      </w:r>
    </w:p>
    <w:p w14:paraId="4915BD06" w14:textId="60F98EDA" w:rsidR="00CE5522" w:rsidRPr="004E7A27" w:rsidRDefault="00163254" w:rsidP="00CE552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[2] </w:t>
      </w:r>
      <w:r w:rsidR="00CE5522" w:rsidRPr="004E7A27">
        <w:rPr>
          <w:rFonts w:ascii="Times New Roman" w:hAnsi="Times New Roman" w:cs="Times New Roman"/>
          <w:sz w:val="24"/>
          <w:szCs w:val="24"/>
        </w:rPr>
        <w:t xml:space="preserve">Ali, M., dan </w:t>
      </w:r>
      <w:proofErr w:type="spellStart"/>
      <w:r w:rsidR="00CE5522" w:rsidRPr="004E7A27">
        <w:rPr>
          <w:rFonts w:ascii="Times New Roman" w:hAnsi="Times New Roman" w:cs="Times New Roman"/>
          <w:sz w:val="24"/>
          <w:szCs w:val="24"/>
        </w:rPr>
        <w:t>Roosaleh</w:t>
      </w:r>
      <w:proofErr w:type="spellEnd"/>
      <w:r w:rsidR="00CE5522" w:rsidRPr="004E7A27">
        <w:rPr>
          <w:rFonts w:ascii="Times New Roman" w:hAnsi="Times New Roman" w:cs="Times New Roman"/>
          <w:sz w:val="24"/>
          <w:szCs w:val="24"/>
        </w:rPr>
        <w:t xml:space="preserve">, L. (2017). </w:t>
      </w:r>
      <w:proofErr w:type="spellStart"/>
      <w:r w:rsidR="00CE5522" w:rsidRPr="004E7A27">
        <w:rPr>
          <w:rFonts w:ascii="Times New Roman" w:hAnsi="Times New Roman" w:cs="Times New Roman"/>
          <w:sz w:val="24"/>
          <w:szCs w:val="24"/>
        </w:rPr>
        <w:t>Pengaruh</w:t>
      </w:r>
      <w:proofErr w:type="spellEnd"/>
      <w:r w:rsidR="00CE5522" w:rsidRPr="004E7A27">
        <w:rPr>
          <w:rFonts w:ascii="Times New Roman" w:hAnsi="Times New Roman" w:cs="Times New Roman"/>
          <w:sz w:val="24"/>
          <w:szCs w:val="24"/>
        </w:rPr>
        <w:t xml:space="preserve"> Net Interest Margin (NIM), </w:t>
      </w:r>
      <w:proofErr w:type="spellStart"/>
      <w:r w:rsidR="00CE5522" w:rsidRPr="004E7A27">
        <w:rPr>
          <w:rFonts w:ascii="Times New Roman" w:hAnsi="Times New Roman" w:cs="Times New Roman"/>
          <w:sz w:val="24"/>
          <w:szCs w:val="24"/>
        </w:rPr>
        <w:t>Biaya</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Operasional</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terhadap</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Pendapatan</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Operasional</w:t>
      </w:r>
      <w:proofErr w:type="spellEnd"/>
      <w:r w:rsidR="00CE5522" w:rsidRPr="004E7A27">
        <w:rPr>
          <w:rFonts w:ascii="Times New Roman" w:hAnsi="Times New Roman" w:cs="Times New Roman"/>
          <w:sz w:val="24"/>
          <w:szCs w:val="24"/>
        </w:rPr>
        <w:t xml:space="preserve"> (BOPO), Loan to Deposit Ratio (LDR) dan Non Performing Loan (NPL) </w:t>
      </w:r>
      <w:proofErr w:type="spellStart"/>
      <w:r w:rsidR="00CE5522" w:rsidRPr="004E7A27">
        <w:rPr>
          <w:rFonts w:ascii="Times New Roman" w:hAnsi="Times New Roman" w:cs="Times New Roman"/>
          <w:sz w:val="24"/>
          <w:szCs w:val="24"/>
        </w:rPr>
        <w:t>terhadap</w:t>
      </w:r>
      <w:proofErr w:type="spellEnd"/>
      <w:r w:rsidR="00CE5522" w:rsidRPr="004E7A27">
        <w:rPr>
          <w:rFonts w:ascii="Times New Roman" w:hAnsi="Times New Roman" w:cs="Times New Roman"/>
          <w:sz w:val="24"/>
          <w:szCs w:val="24"/>
        </w:rPr>
        <w:t xml:space="preserve"> Return On Assets (ROA). </w:t>
      </w:r>
      <w:proofErr w:type="spellStart"/>
      <w:r w:rsidR="00CE5522" w:rsidRPr="004E7A27">
        <w:rPr>
          <w:rFonts w:ascii="Times New Roman" w:hAnsi="Times New Roman" w:cs="Times New Roman"/>
          <w:i/>
          <w:iCs/>
          <w:sz w:val="24"/>
          <w:szCs w:val="24"/>
        </w:rPr>
        <w:t>Jurnal</w:t>
      </w:r>
      <w:proofErr w:type="spellEnd"/>
      <w:r w:rsidR="00CE5522" w:rsidRPr="004E7A27">
        <w:rPr>
          <w:rFonts w:ascii="Times New Roman" w:hAnsi="Times New Roman" w:cs="Times New Roman"/>
          <w:i/>
          <w:iCs/>
          <w:sz w:val="24"/>
          <w:szCs w:val="24"/>
        </w:rPr>
        <w:t xml:space="preserve"> </w:t>
      </w:r>
      <w:proofErr w:type="spellStart"/>
      <w:r w:rsidR="00CE5522" w:rsidRPr="004E7A27">
        <w:rPr>
          <w:rFonts w:ascii="Times New Roman" w:hAnsi="Times New Roman" w:cs="Times New Roman"/>
          <w:i/>
          <w:iCs/>
          <w:sz w:val="24"/>
          <w:szCs w:val="24"/>
        </w:rPr>
        <w:t>Riset</w:t>
      </w:r>
      <w:proofErr w:type="spellEnd"/>
      <w:r w:rsidR="00CE5522" w:rsidRPr="004E7A27">
        <w:rPr>
          <w:rFonts w:ascii="Times New Roman" w:hAnsi="Times New Roman" w:cs="Times New Roman"/>
          <w:i/>
          <w:iCs/>
          <w:sz w:val="24"/>
          <w:szCs w:val="24"/>
        </w:rPr>
        <w:t xml:space="preserve"> </w:t>
      </w:r>
      <w:proofErr w:type="spellStart"/>
      <w:r w:rsidR="00CE5522" w:rsidRPr="004E7A27">
        <w:rPr>
          <w:rFonts w:ascii="Times New Roman" w:hAnsi="Times New Roman" w:cs="Times New Roman"/>
          <w:i/>
          <w:iCs/>
          <w:sz w:val="24"/>
          <w:szCs w:val="24"/>
        </w:rPr>
        <w:t>Akuntansi</w:t>
      </w:r>
      <w:proofErr w:type="spellEnd"/>
      <w:r w:rsidR="00CE5522" w:rsidRPr="004E7A27">
        <w:rPr>
          <w:rFonts w:ascii="Times New Roman" w:hAnsi="Times New Roman" w:cs="Times New Roman"/>
          <w:i/>
          <w:iCs/>
          <w:sz w:val="24"/>
          <w:szCs w:val="24"/>
        </w:rPr>
        <w:t xml:space="preserve"> dan </w:t>
      </w:r>
      <w:proofErr w:type="spellStart"/>
      <w:r w:rsidR="00CE5522" w:rsidRPr="004E7A27">
        <w:rPr>
          <w:rFonts w:ascii="Times New Roman" w:hAnsi="Times New Roman" w:cs="Times New Roman"/>
          <w:i/>
          <w:iCs/>
          <w:sz w:val="24"/>
          <w:szCs w:val="24"/>
        </w:rPr>
        <w:t>Keuangan</w:t>
      </w:r>
      <w:proofErr w:type="spellEnd"/>
      <w:r w:rsidR="00CE5522" w:rsidRPr="004E7A27">
        <w:rPr>
          <w:rFonts w:ascii="Times New Roman" w:hAnsi="Times New Roman" w:cs="Times New Roman"/>
          <w:i/>
          <w:iCs/>
          <w:sz w:val="24"/>
          <w:szCs w:val="24"/>
        </w:rPr>
        <w:t xml:space="preserve"> </w:t>
      </w:r>
      <w:r w:rsidR="00CE5522" w:rsidRPr="004E7A27">
        <w:rPr>
          <w:rFonts w:ascii="Times New Roman" w:hAnsi="Times New Roman" w:cs="Times New Roman"/>
          <w:sz w:val="24"/>
          <w:szCs w:val="24"/>
        </w:rPr>
        <w:t>5 (2): 1377–92.</w:t>
      </w:r>
    </w:p>
    <w:p w14:paraId="6201778E" w14:textId="5B576A6D" w:rsidR="00CE5522" w:rsidRPr="004E7A27" w:rsidRDefault="00163254" w:rsidP="00CE552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CE5522" w:rsidRPr="004E7A27">
        <w:rPr>
          <w:rFonts w:ascii="Times New Roman" w:hAnsi="Times New Roman" w:cs="Times New Roman"/>
          <w:sz w:val="24"/>
          <w:szCs w:val="24"/>
        </w:rPr>
        <w:t>Apesteguia</w:t>
      </w:r>
      <w:proofErr w:type="spellEnd"/>
      <w:r w:rsidR="00CE5522" w:rsidRPr="004E7A27">
        <w:rPr>
          <w:rFonts w:ascii="Times New Roman" w:hAnsi="Times New Roman" w:cs="Times New Roman"/>
          <w:sz w:val="24"/>
          <w:szCs w:val="24"/>
        </w:rPr>
        <w:t xml:space="preserve">, J., G. Azmat, dan N. </w:t>
      </w:r>
      <w:proofErr w:type="spellStart"/>
      <w:r w:rsidR="00CE5522" w:rsidRPr="004E7A27">
        <w:rPr>
          <w:rFonts w:ascii="Times New Roman" w:hAnsi="Times New Roman" w:cs="Times New Roman"/>
          <w:sz w:val="24"/>
          <w:szCs w:val="24"/>
        </w:rPr>
        <w:t>Iriberri</w:t>
      </w:r>
      <w:proofErr w:type="spellEnd"/>
      <w:r w:rsidR="00CE5522" w:rsidRPr="004E7A27">
        <w:rPr>
          <w:rFonts w:ascii="Times New Roman" w:hAnsi="Times New Roman" w:cs="Times New Roman"/>
          <w:sz w:val="24"/>
          <w:szCs w:val="24"/>
        </w:rPr>
        <w:t xml:space="preserve">. (2012). "The impact of gender composition on team performance and decision making: evidence from the field". </w:t>
      </w:r>
      <w:r w:rsidR="00CE5522" w:rsidRPr="004E7A27">
        <w:rPr>
          <w:rFonts w:ascii="Times New Roman" w:hAnsi="Times New Roman" w:cs="Times New Roman"/>
          <w:i/>
          <w:iCs/>
          <w:sz w:val="24"/>
          <w:szCs w:val="24"/>
        </w:rPr>
        <w:t>Management Science</w:t>
      </w:r>
      <w:r w:rsidR="00CE5522" w:rsidRPr="004E7A27">
        <w:rPr>
          <w:rFonts w:ascii="Times New Roman" w:hAnsi="Times New Roman" w:cs="Times New Roman"/>
          <w:sz w:val="24"/>
          <w:szCs w:val="24"/>
        </w:rPr>
        <w:t>. 58(1):78–93.</w:t>
      </w:r>
    </w:p>
    <w:p w14:paraId="6D545D66" w14:textId="685FE912" w:rsidR="00CE5522" w:rsidRPr="004E7A27" w:rsidRDefault="00163254" w:rsidP="00CE552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CE5522" w:rsidRPr="004E7A27">
        <w:rPr>
          <w:rFonts w:ascii="Times New Roman" w:hAnsi="Times New Roman" w:cs="Times New Roman"/>
          <w:sz w:val="24"/>
          <w:szCs w:val="24"/>
        </w:rPr>
        <w:t>Astuti</w:t>
      </w:r>
      <w:proofErr w:type="spellEnd"/>
      <w:r w:rsidR="00CE5522" w:rsidRPr="004E7A27">
        <w:rPr>
          <w:rFonts w:ascii="Times New Roman" w:hAnsi="Times New Roman" w:cs="Times New Roman"/>
          <w:sz w:val="24"/>
          <w:szCs w:val="24"/>
        </w:rPr>
        <w:t>, E. P. (2017). "</w:t>
      </w:r>
      <w:proofErr w:type="spellStart"/>
      <w:r w:rsidR="00CE5522" w:rsidRPr="004E7A27">
        <w:rPr>
          <w:rFonts w:ascii="Times New Roman" w:hAnsi="Times New Roman" w:cs="Times New Roman"/>
          <w:sz w:val="24"/>
          <w:szCs w:val="24"/>
        </w:rPr>
        <w:t>Pengaruh</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diversitas</w:t>
      </w:r>
      <w:proofErr w:type="spellEnd"/>
      <w:r w:rsidR="00CE5522" w:rsidRPr="004E7A27">
        <w:rPr>
          <w:rFonts w:ascii="Times New Roman" w:hAnsi="Times New Roman" w:cs="Times New Roman"/>
          <w:sz w:val="24"/>
          <w:szCs w:val="24"/>
        </w:rPr>
        <w:t xml:space="preserve"> dewan </w:t>
      </w:r>
      <w:proofErr w:type="spellStart"/>
      <w:r w:rsidR="00CE5522" w:rsidRPr="004E7A27">
        <w:rPr>
          <w:rFonts w:ascii="Times New Roman" w:hAnsi="Times New Roman" w:cs="Times New Roman"/>
          <w:sz w:val="24"/>
          <w:szCs w:val="24"/>
        </w:rPr>
        <w:t>direksi</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terhadap</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nilai</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perusahaan</w:t>
      </w:r>
      <w:proofErr w:type="spellEnd"/>
      <w:r w:rsidR="00CE5522" w:rsidRPr="004E7A27">
        <w:rPr>
          <w:rFonts w:ascii="Times New Roman" w:hAnsi="Times New Roman" w:cs="Times New Roman"/>
          <w:sz w:val="24"/>
          <w:szCs w:val="24"/>
        </w:rPr>
        <w:t xml:space="preserve"> pada </w:t>
      </w:r>
      <w:proofErr w:type="spellStart"/>
      <w:r w:rsidR="00CE5522" w:rsidRPr="004E7A27">
        <w:rPr>
          <w:rFonts w:ascii="Times New Roman" w:hAnsi="Times New Roman" w:cs="Times New Roman"/>
          <w:sz w:val="24"/>
          <w:szCs w:val="24"/>
        </w:rPr>
        <w:t>perusahaan</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manufaktur</w:t>
      </w:r>
      <w:proofErr w:type="spellEnd"/>
      <w:r w:rsidR="00CE5522" w:rsidRPr="004E7A27">
        <w:rPr>
          <w:rFonts w:ascii="Times New Roman" w:hAnsi="Times New Roman" w:cs="Times New Roman"/>
          <w:sz w:val="24"/>
          <w:szCs w:val="24"/>
        </w:rPr>
        <w:t xml:space="preserve"> yang </w:t>
      </w:r>
      <w:proofErr w:type="spellStart"/>
      <w:r w:rsidR="00CE5522" w:rsidRPr="004E7A27">
        <w:rPr>
          <w:rFonts w:ascii="Times New Roman" w:hAnsi="Times New Roman" w:cs="Times New Roman"/>
          <w:sz w:val="24"/>
          <w:szCs w:val="24"/>
        </w:rPr>
        <w:t>terdaftar</w:t>
      </w:r>
      <w:proofErr w:type="spellEnd"/>
      <w:r w:rsidR="00CE5522" w:rsidRPr="004E7A27">
        <w:rPr>
          <w:rFonts w:ascii="Times New Roman" w:hAnsi="Times New Roman" w:cs="Times New Roman"/>
          <w:sz w:val="24"/>
          <w:szCs w:val="24"/>
        </w:rPr>
        <w:t xml:space="preserve"> di bursa </w:t>
      </w:r>
      <w:proofErr w:type="spellStart"/>
      <w:r w:rsidR="00CE5522" w:rsidRPr="004E7A27">
        <w:rPr>
          <w:rFonts w:ascii="Times New Roman" w:hAnsi="Times New Roman" w:cs="Times New Roman"/>
          <w:sz w:val="24"/>
          <w:szCs w:val="24"/>
        </w:rPr>
        <w:t>efek</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indonesia</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periode</w:t>
      </w:r>
      <w:proofErr w:type="spellEnd"/>
      <w:r w:rsidR="00CE5522" w:rsidRPr="004E7A27">
        <w:rPr>
          <w:rFonts w:ascii="Times New Roman" w:hAnsi="Times New Roman" w:cs="Times New Roman"/>
          <w:sz w:val="24"/>
          <w:szCs w:val="24"/>
        </w:rPr>
        <w:t xml:space="preserve"> 2008-2011". </w:t>
      </w:r>
      <w:proofErr w:type="gramStart"/>
      <w:r w:rsidR="00CE5522" w:rsidRPr="004E7A27">
        <w:rPr>
          <w:rFonts w:ascii="Times New Roman" w:hAnsi="Times New Roman" w:cs="Times New Roman"/>
          <w:i/>
          <w:iCs/>
          <w:sz w:val="24"/>
          <w:szCs w:val="24"/>
        </w:rPr>
        <w:t>KREATIF :</w:t>
      </w:r>
      <w:proofErr w:type="gramEnd"/>
      <w:r w:rsidR="00CE5522" w:rsidRPr="004E7A27">
        <w:rPr>
          <w:rFonts w:ascii="Times New Roman" w:hAnsi="Times New Roman" w:cs="Times New Roman"/>
          <w:i/>
          <w:iCs/>
          <w:sz w:val="24"/>
          <w:szCs w:val="24"/>
        </w:rPr>
        <w:t xml:space="preserve"> </w:t>
      </w:r>
      <w:proofErr w:type="spellStart"/>
      <w:r w:rsidR="00CE5522" w:rsidRPr="004E7A27">
        <w:rPr>
          <w:rFonts w:ascii="Times New Roman" w:hAnsi="Times New Roman" w:cs="Times New Roman"/>
          <w:i/>
          <w:iCs/>
          <w:sz w:val="24"/>
          <w:szCs w:val="24"/>
        </w:rPr>
        <w:t>Jurnal</w:t>
      </w:r>
      <w:proofErr w:type="spellEnd"/>
      <w:r w:rsidR="00CE5522" w:rsidRPr="004E7A27">
        <w:rPr>
          <w:rFonts w:ascii="Times New Roman" w:hAnsi="Times New Roman" w:cs="Times New Roman"/>
          <w:i/>
          <w:iCs/>
          <w:sz w:val="24"/>
          <w:szCs w:val="24"/>
        </w:rPr>
        <w:t xml:space="preserve"> </w:t>
      </w:r>
      <w:proofErr w:type="spellStart"/>
      <w:r w:rsidR="00CE5522" w:rsidRPr="004E7A27">
        <w:rPr>
          <w:rFonts w:ascii="Times New Roman" w:hAnsi="Times New Roman" w:cs="Times New Roman"/>
          <w:i/>
          <w:iCs/>
          <w:sz w:val="24"/>
          <w:szCs w:val="24"/>
        </w:rPr>
        <w:t>Ilmiah</w:t>
      </w:r>
      <w:proofErr w:type="spellEnd"/>
      <w:r w:rsidR="00CE5522" w:rsidRPr="004E7A27">
        <w:rPr>
          <w:rFonts w:ascii="Times New Roman" w:hAnsi="Times New Roman" w:cs="Times New Roman"/>
          <w:i/>
          <w:iCs/>
          <w:sz w:val="24"/>
          <w:szCs w:val="24"/>
        </w:rPr>
        <w:t xml:space="preserve"> Prodi </w:t>
      </w:r>
      <w:proofErr w:type="spellStart"/>
      <w:r w:rsidR="00CE5522" w:rsidRPr="004E7A27">
        <w:rPr>
          <w:rFonts w:ascii="Times New Roman" w:hAnsi="Times New Roman" w:cs="Times New Roman"/>
          <w:i/>
          <w:iCs/>
          <w:sz w:val="24"/>
          <w:szCs w:val="24"/>
        </w:rPr>
        <w:t>Manajemen</w:t>
      </w:r>
      <w:proofErr w:type="spellEnd"/>
      <w:r w:rsidR="00CE5522" w:rsidRPr="004E7A27">
        <w:rPr>
          <w:rFonts w:ascii="Times New Roman" w:hAnsi="Times New Roman" w:cs="Times New Roman"/>
          <w:i/>
          <w:iCs/>
          <w:sz w:val="24"/>
          <w:szCs w:val="24"/>
        </w:rPr>
        <w:t xml:space="preserve"> Universitas </w:t>
      </w:r>
      <w:proofErr w:type="spellStart"/>
      <w:r w:rsidR="00CE5522" w:rsidRPr="004E7A27">
        <w:rPr>
          <w:rFonts w:ascii="Times New Roman" w:hAnsi="Times New Roman" w:cs="Times New Roman"/>
          <w:i/>
          <w:iCs/>
          <w:sz w:val="24"/>
          <w:szCs w:val="24"/>
        </w:rPr>
        <w:t>Pamulang</w:t>
      </w:r>
      <w:proofErr w:type="spellEnd"/>
      <w:r w:rsidR="00CE5522" w:rsidRPr="004E7A27">
        <w:rPr>
          <w:rFonts w:ascii="Times New Roman" w:hAnsi="Times New Roman" w:cs="Times New Roman"/>
          <w:sz w:val="24"/>
          <w:szCs w:val="24"/>
        </w:rPr>
        <w:t>. 4(2):159–179.</w:t>
      </w:r>
    </w:p>
    <w:p w14:paraId="588FF196" w14:textId="61483C35" w:rsidR="00CE5522" w:rsidRPr="004E7A27" w:rsidRDefault="00163254" w:rsidP="00CE552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[5] </w:t>
      </w:r>
      <w:r w:rsidR="00CE5522" w:rsidRPr="004E7A27">
        <w:rPr>
          <w:rFonts w:ascii="Times New Roman" w:hAnsi="Times New Roman" w:cs="Times New Roman"/>
          <w:sz w:val="24"/>
          <w:szCs w:val="24"/>
        </w:rPr>
        <w:t xml:space="preserve">Campbell, K. dan A. </w:t>
      </w:r>
      <w:proofErr w:type="spellStart"/>
      <w:r w:rsidR="00CE5522" w:rsidRPr="004E7A27">
        <w:rPr>
          <w:rFonts w:ascii="Times New Roman" w:hAnsi="Times New Roman" w:cs="Times New Roman"/>
          <w:sz w:val="24"/>
          <w:szCs w:val="24"/>
        </w:rPr>
        <w:t>Mínguez</w:t>
      </w:r>
      <w:proofErr w:type="spellEnd"/>
      <w:r w:rsidR="00CE5522" w:rsidRPr="004E7A27">
        <w:rPr>
          <w:rFonts w:ascii="Times New Roman" w:hAnsi="Times New Roman" w:cs="Times New Roman"/>
          <w:sz w:val="24"/>
          <w:szCs w:val="24"/>
        </w:rPr>
        <w:t xml:space="preserve">-Vera. (2008). "Gender diversity in the boardroom and firm financial performance". </w:t>
      </w:r>
      <w:r w:rsidR="00CE5522" w:rsidRPr="004E7A27">
        <w:rPr>
          <w:rFonts w:ascii="Times New Roman" w:hAnsi="Times New Roman" w:cs="Times New Roman"/>
          <w:i/>
          <w:iCs/>
          <w:sz w:val="24"/>
          <w:szCs w:val="24"/>
        </w:rPr>
        <w:t>Journal of Business Ethics</w:t>
      </w:r>
      <w:r w:rsidR="00CE5522" w:rsidRPr="004E7A27">
        <w:rPr>
          <w:rFonts w:ascii="Times New Roman" w:hAnsi="Times New Roman" w:cs="Times New Roman"/>
          <w:sz w:val="24"/>
          <w:szCs w:val="24"/>
        </w:rPr>
        <w:t>. 83(3):435–451.</w:t>
      </w:r>
    </w:p>
    <w:p w14:paraId="2533F81D" w14:textId="539F615F" w:rsidR="00CE5522" w:rsidRPr="004E7A27" w:rsidRDefault="00163254" w:rsidP="00CE552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[6] </w:t>
      </w:r>
      <w:r w:rsidR="00CE5522" w:rsidRPr="004E7A27">
        <w:rPr>
          <w:rFonts w:ascii="Times New Roman" w:hAnsi="Times New Roman" w:cs="Times New Roman"/>
          <w:sz w:val="24"/>
          <w:szCs w:val="24"/>
        </w:rPr>
        <w:t xml:space="preserve">Carter, D. A., F. D’Souza, B. J. Simkins, dan W. G. Simpson. (2010). The gender and ethnic diversity of us boards and board committees and firm financial performance. </w:t>
      </w:r>
      <w:r w:rsidR="00CE5522" w:rsidRPr="004E7A27">
        <w:rPr>
          <w:rFonts w:ascii="Times New Roman" w:hAnsi="Times New Roman" w:cs="Times New Roman"/>
          <w:i/>
          <w:iCs/>
          <w:sz w:val="24"/>
          <w:szCs w:val="24"/>
        </w:rPr>
        <w:t>Corporate Governance: An International Review</w:t>
      </w:r>
      <w:r w:rsidR="00CE5522" w:rsidRPr="004E7A27">
        <w:rPr>
          <w:rFonts w:ascii="Times New Roman" w:hAnsi="Times New Roman" w:cs="Times New Roman"/>
          <w:sz w:val="24"/>
          <w:szCs w:val="24"/>
        </w:rPr>
        <w:t>. 18(5):396–414.</w:t>
      </w:r>
    </w:p>
    <w:p w14:paraId="55C2243C" w14:textId="3F64DC3B" w:rsidR="00CE5522" w:rsidRPr="004E7A27" w:rsidRDefault="00163254" w:rsidP="00CE5522">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proofErr w:type="spellStart"/>
      <w:r w:rsidR="00CE5522" w:rsidRPr="004E7A27">
        <w:rPr>
          <w:rFonts w:ascii="Times New Roman" w:hAnsi="Times New Roman" w:cs="Times New Roman"/>
          <w:sz w:val="24"/>
          <w:szCs w:val="24"/>
        </w:rPr>
        <w:t>Charness</w:t>
      </w:r>
      <w:proofErr w:type="spellEnd"/>
      <w:r w:rsidR="00CE5522" w:rsidRPr="004E7A27">
        <w:rPr>
          <w:rFonts w:ascii="Times New Roman" w:hAnsi="Times New Roman" w:cs="Times New Roman"/>
          <w:sz w:val="24"/>
          <w:szCs w:val="24"/>
        </w:rPr>
        <w:t xml:space="preserve">, G. dan U. Gneezy. (2010). Strong evidence for gender differences in experimental investment </w:t>
      </w:r>
    </w:p>
    <w:p w14:paraId="13F4F860" w14:textId="2C6C9091" w:rsidR="00CE5522" w:rsidRPr="004E7A27" w:rsidRDefault="00163254" w:rsidP="00CE552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[8] </w:t>
      </w:r>
      <w:r w:rsidR="00CE5522" w:rsidRPr="004E7A27">
        <w:rPr>
          <w:rFonts w:ascii="Times New Roman" w:hAnsi="Times New Roman" w:cs="Times New Roman"/>
          <w:sz w:val="24"/>
          <w:szCs w:val="24"/>
        </w:rPr>
        <w:t xml:space="preserve">Cheng, Q. (2005a). </w:t>
      </w:r>
      <w:r w:rsidR="00CE5522" w:rsidRPr="004E7A27">
        <w:rPr>
          <w:rFonts w:ascii="Times New Roman" w:hAnsi="Times New Roman" w:cs="Times New Roman"/>
          <w:i/>
          <w:iCs/>
          <w:sz w:val="24"/>
          <w:szCs w:val="24"/>
        </w:rPr>
        <w:t>The role of analysts' forecasts in accounting-based valuation: A critical evaluation</w:t>
      </w:r>
      <w:r w:rsidR="00CE5522" w:rsidRPr="004E7A27">
        <w:rPr>
          <w:rFonts w:ascii="Times New Roman" w:hAnsi="Times New Roman" w:cs="Times New Roman"/>
          <w:sz w:val="24"/>
          <w:szCs w:val="24"/>
        </w:rPr>
        <w:t xml:space="preserve">. </w:t>
      </w:r>
      <w:r w:rsidR="00CE5522" w:rsidRPr="004E7A27">
        <w:rPr>
          <w:rFonts w:ascii="Times New Roman" w:hAnsi="Times New Roman" w:cs="Times New Roman"/>
          <w:i/>
          <w:iCs/>
          <w:sz w:val="24"/>
          <w:szCs w:val="24"/>
        </w:rPr>
        <w:t xml:space="preserve">Review of Accounting Studies </w:t>
      </w:r>
      <w:r w:rsidR="00CE5522" w:rsidRPr="004E7A27">
        <w:rPr>
          <w:rFonts w:ascii="Times New Roman" w:hAnsi="Times New Roman" w:cs="Times New Roman"/>
          <w:sz w:val="24"/>
          <w:szCs w:val="24"/>
        </w:rPr>
        <w:t>10 (1):5-31.</w:t>
      </w:r>
    </w:p>
    <w:p w14:paraId="37E947E7" w14:textId="0D99BC4D" w:rsidR="00CE5522" w:rsidRPr="004E7A27" w:rsidRDefault="00163254" w:rsidP="00CE552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sidR="00CE5522" w:rsidRPr="004E7A27">
        <w:rPr>
          <w:rFonts w:ascii="Times New Roman" w:hAnsi="Times New Roman" w:cs="Times New Roman"/>
          <w:sz w:val="24"/>
          <w:szCs w:val="24"/>
        </w:rPr>
        <w:t>Claessens</w:t>
      </w:r>
      <w:proofErr w:type="spellEnd"/>
      <w:r w:rsidR="00CE5522" w:rsidRPr="004E7A27">
        <w:rPr>
          <w:rFonts w:ascii="Times New Roman" w:hAnsi="Times New Roman" w:cs="Times New Roman"/>
          <w:sz w:val="24"/>
          <w:szCs w:val="24"/>
        </w:rPr>
        <w:t xml:space="preserve">, S., S. </w:t>
      </w:r>
      <w:proofErr w:type="spellStart"/>
      <w:r w:rsidR="00CE5522" w:rsidRPr="004E7A27">
        <w:rPr>
          <w:rFonts w:ascii="Times New Roman" w:hAnsi="Times New Roman" w:cs="Times New Roman"/>
          <w:sz w:val="24"/>
          <w:szCs w:val="24"/>
        </w:rPr>
        <w:t>Djankov</w:t>
      </w:r>
      <w:proofErr w:type="spellEnd"/>
      <w:r w:rsidR="00CE5522" w:rsidRPr="004E7A27">
        <w:rPr>
          <w:rFonts w:ascii="Times New Roman" w:hAnsi="Times New Roman" w:cs="Times New Roman"/>
          <w:sz w:val="24"/>
          <w:szCs w:val="24"/>
        </w:rPr>
        <w:t xml:space="preserve">, dan L. H. P. Lang. (2000). "The separation of ownership and control in east </w:t>
      </w:r>
      <w:proofErr w:type="spellStart"/>
      <w:r w:rsidR="00CE5522" w:rsidRPr="004E7A27">
        <w:rPr>
          <w:rFonts w:ascii="Times New Roman" w:hAnsi="Times New Roman" w:cs="Times New Roman"/>
          <w:sz w:val="24"/>
          <w:szCs w:val="24"/>
        </w:rPr>
        <w:t>asian</w:t>
      </w:r>
      <w:proofErr w:type="spellEnd"/>
      <w:r w:rsidR="00CE5522" w:rsidRPr="004E7A27">
        <w:rPr>
          <w:rFonts w:ascii="Times New Roman" w:hAnsi="Times New Roman" w:cs="Times New Roman"/>
          <w:sz w:val="24"/>
          <w:szCs w:val="24"/>
        </w:rPr>
        <w:t xml:space="preserve"> corporations". </w:t>
      </w:r>
      <w:r w:rsidR="00CE5522" w:rsidRPr="004E7A27">
        <w:rPr>
          <w:rFonts w:ascii="Times New Roman" w:hAnsi="Times New Roman" w:cs="Times New Roman"/>
          <w:i/>
          <w:iCs/>
          <w:sz w:val="24"/>
          <w:szCs w:val="24"/>
        </w:rPr>
        <w:t>Journal of Financial Economics</w:t>
      </w:r>
      <w:r w:rsidR="00CE5522" w:rsidRPr="004E7A27">
        <w:rPr>
          <w:rFonts w:ascii="Times New Roman" w:hAnsi="Times New Roman" w:cs="Times New Roman"/>
          <w:sz w:val="24"/>
          <w:szCs w:val="24"/>
        </w:rPr>
        <w:t>. 58:81–112.</w:t>
      </w:r>
    </w:p>
    <w:p w14:paraId="0B783845" w14:textId="3A1C4C28" w:rsidR="00CE5522" w:rsidRPr="004E7A27" w:rsidRDefault="00163254" w:rsidP="00CE552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sidR="00CE5522" w:rsidRPr="004E7A27">
        <w:rPr>
          <w:rFonts w:ascii="Times New Roman" w:hAnsi="Times New Roman" w:cs="Times New Roman"/>
          <w:sz w:val="24"/>
          <w:szCs w:val="24"/>
        </w:rPr>
        <w:t>Croson</w:t>
      </w:r>
      <w:proofErr w:type="spellEnd"/>
      <w:r w:rsidR="00CE5522" w:rsidRPr="004E7A27">
        <w:rPr>
          <w:rFonts w:ascii="Times New Roman" w:hAnsi="Times New Roman" w:cs="Times New Roman"/>
          <w:sz w:val="24"/>
          <w:szCs w:val="24"/>
        </w:rPr>
        <w:t xml:space="preserve">, R. dan U. Gneezy. (2009). "Gender differences in preferences". </w:t>
      </w:r>
      <w:r w:rsidR="00CE5522" w:rsidRPr="004E7A27">
        <w:rPr>
          <w:rFonts w:ascii="Times New Roman" w:hAnsi="Times New Roman" w:cs="Times New Roman"/>
          <w:i/>
          <w:iCs/>
          <w:sz w:val="24"/>
          <w:szCs w:val="24"/>
        </w:rPr>
        <w:t>Journal of Economic Literature</w:t>
      </w:r>
      <w:r w:rsidR="00CE5522" w:rsidRPr="004E7A27">
        <w:rPr>
          <w:rFonts w:ascii="Times New Roman" w:hAnsi="Times New Roman" w:cs="Times New Roman"/>
          <w:sz w:val="24"/>
          <w:szCs w:val="24"/>
        </w:rPr>
        <w:t>. 47(2):1–27.</w:t>
      </w:r>
    </w:p>
    <w:p w14:paraId="1E137042" w14:textId="77777777" w:rsidR="00CE5522" w:rsidRPr="004E7A27" w:rsidRDefault="00CE5522" w:rsidP="00CE5522">
      <w:pPr>
        <w:ind w:left="720" w:hanging="720"/>
        <w:jc w:val="both"/>
        <w:rPr>
          <w:rFonts w:ascii="Times New Roman" w:hAnsi="Times New Roman" w:cs="Times New Roman"/>
          <w:sz w:val="24"/>
          <w:szCs w:val="24"/>
        </w:rPr>
      </w:pPr>
      <w:r w:rsidRPr="004E7A27">
        <w:rPr>
          <w:rFonts w:ascii="Times New Roman" w:hAnsi="Times New Roman" w:cs="Times New Roman"/>
          <w:sz w:val="24"/>
          <w:szCs w:val="24"/>
        </w:rPr>
        <w:t xml:space="preserve">de Andres, P., V. </w:t>
      </w:r>
      <w:proofErr w:type="spellStart"/>
      <w:r w:rsidRPr="004E7A27">
        <w:rPr>
          <w:rFonts w:ascii="Times New Roman" w:hAnsi="Times New Roman" w:cs="Times New Roman"/>
          <w:sz w:val="24"/>
          <w:szCs w:val="24"/>
        </w:rPr>
        <w:t>Azofra</w:t>
      </w:r>
      <w:proofErr w:type="spellEnd"/>
      <w:r w:rsidRPr="004E7A27">
        <w:rPr>
          <w:rFonts w:ascii="Times New Roman" w:hAnsi="Times New Roman" w:cs="Times New Roman"/>
          <w:sz w:val="24"/>
          <w:szCs w:val="24"/>
        </w:rPr>
        <w:t xml:space="preserve">, dan F. Lopez. (2005). "Corporate boards in </w:t>
      </w:r>
      <w:proofErr w:type="spellStart"/>
      <w:r w:rsidRPr="004E7A27">
        <w:rPr>
          <w:rFonts w:ascii="Times New Roman" w:hAnsi="Times New Roman" w:cs="Times New Roman"/>
          <w:sz w:val="24"/>
          <w:szCs w:val="24"/>
        </w:rPr>
        <w:t>oecd</w:t>
      </w:r>
      <w:proofErr w:type="spellEnd"/>
      <w:r w:rsidRPr="004E7A27">
        <w:rPr>
          <w:rFonts w:ascii="Times New Roman" w:hAnsi="Times New Roman" w:cs="Times New Roman"/>
          <w:sz w:val="24"/>
          <w:szCs w:val="24"/>
        </w:rPr>
        <w:t xml:space="preserve"> </w:t>
      </w:r>
      <w:proofErr w:type="gramStart"/>
      <w:r w:rsidRPr="004E7A27">
        <w:rPr>
          <w:rFonts w:ascii="Times New Roman" w:hAnsi="Times New Roman" w:cs="Times New Roman"/>
          <w:sz w:val="24"/>
          <w:szCs w:val="24"/>
        </w:rPr>
        <w:t>countries :</w:t>
      </w:r>
      <w:proofErr w:type="gramEnd"/>
      <w:r w:rsidRPr="004E7A27">
        <w:rPr>
          <w:rFonts w:ascii="Times New Roman" w:hAnsi="Times New Roman" w:cs="Times New Roman"/>
          <w:sz w:val="24"/>
          <w:szCs w:val="24"/>
        </w:rPr>
        <w:t xml:space="preserve"> size , composition , functioning and effectiveness". </w:t>
      </w:r>
      <w:r w:rsidRPr="004E7A27">
        <w:rPr>
          <w:rFonts w:ascii="Times New Roman" w:hAnsi="Times New Roman" w:cs="Times New Roman"/>
          <w:i/>
          <w:iCs/>
          <w:sz w:val="24"/>
          <w:szCs w:val="24"/>
        </w:rPr>
        <w:t>Corporate Governance: An International Review</w:t>
      </w:r>
      <w:r w:rsidRPr="004E7A27">
        <w:rPr>
          <w:rFonts w:ascii="Times New Roman" w:hAnsi="Times New Roman" w:cs="Times New Roman"/>
          <w:sz w:val="24"/>
          <w:szCs w:val="24"/>
        </w:rPr>
        <w:t>. 13(2):197–210.</w:t>
      </w:r>
    </w:p>
    <w:p w14:paraId="6AC64880" w14:textId="3C6C17DE" w:rsidR="00CE5522" w:rsidRPr="004E7A27" w:rsidRDefault="00163254" w:rsidP="00CE552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[11] </w:t>
      </w:r>
      <w:proofErr w:type="spellStart"/>
      <w:r w:rsidR="00CE5522" w:rsidRPr="004E7A27">
        <w:rPr>
          <w:rFonts w:ascii="Times New Roman" w:hAnsi="Times New Roman" w:cs="Times New Roman"/>
          <w:sz w:val="24"/>
          <w:szCs w:val="24"/>
        </w:rPr>
        <w:t>Dewi</w:t>
      </w:r>
      <w:proofErr w:type="spellEnd"/>
      <w:r w:rsidR="00CE5522" w:rsidRPr="004E7A27">
        <w:rPr>
          <w:rFonts w:ascii="Times New Roman" w:hAnsi="Times New Roman" w:cs="Times New Roman"/>
          <w:sz w:val="24"/>
          <w:szCs w:val="24"/>
        </w:rPr>
        <w:t xml:space="preserve">, Sutra </w:t>
      </w:r>
      <w:proofErr w:type="spellStart"/>
      <w:r w:rsidR="00CE5522" w:rsidRPr="004E7A27">
        <w:rPr>
          <w:rFonts w:ascii="Times New Roman" w:hAnsi="Times New Roman" w:cs="Times New Roman"/>
          <w:sz w:val="24"/>
          <w:szCs w:val="24"/>
        </w:rPr>
        <w:t>Aminar</w:t>
      </w:r>
      <w:proofErr w:type="spellEnd"/>
      <w:r w:rsidR="00CE5522" w:rsidRPr="004E7A27">
        <w:rPr>
          <w:rFonts w:ascii="Times New Roman" w:hAnsi="Times New Roman" w:cs="Times New Roman"/>
          <w:sz w:val="24"/>
          <w:szCs w:val="24"/>
        </w:rPr>
        <w:t>. 2017. “</w:t>
      </w:r>
      <w:proofErr w:type="spellStart"/>
      <w:r w:rsidR="00CE5522" w:rsidRPr="004E7A27">
        <w:rPr>
          <w:rFonts w:ascii="Times New Roman" w:hAnsi="Times New Roman" w:cs="Times New Roman"/>
          <w:sz w:val="24"/>
          <w:szCs w:val="24"/>
        </w:rPr>
        <w:t>Pengaruh</w:t>
      </w:r>
      <w:proofErr w:type="spellEnd"/>
      <w:r w:rsidR="00CE5522" w:rsidRPr="004E7A27">
        <w:rPr>
          <w:rFonts w:ascii="Times New Roman" w:hAnsi="Times New Roman" w:cs="Times New Roman"/>
          <w:sz w:val="24"/>
          <w:szCs w:val="24"/>
        </w:rPr>
        <w:t xml:space="preserve"> CAR, BOPO, NPL, NIM, dan LDR </w:t>
      </w:r>
      <w:proofErr w:type="spellStart"/>
      <w:r w:rsidR="00CE5522" w:rsidRPr="004E7A27">
        <w:rPr>
          <w:rFonts w:ascii="Times New Roman" w:hAnsi="Times New Roman" w:cs="Times New Roman"/>
          <w:sz w:val="24"/>
          <w:szCs w:val="24"/>
        </w:rPr>
        <w:t>Terhadap</w:t>
      </w:r>
      <w:proofErr w:type="spellEnd"/>
      <w:r w:rsidR="00CE5522" w:rsidRPr="004E7A27">
        <w:rPr>
          <w:rFonts w:ascii="Times New Roman" w:hAnsi="Times New Roman" w:cs="Times New Roman"/>
          <w:sz w:val="24"/>
          <w:szCs w:val="24"/>
        </w:rPr>
        <w:t xml:space="preserve"> ROA Pada Perusahaan di Sektor </w:t>
      </w:r>
      <w:proofErr w:type="spellStart"/>
      <w:r w:rsidR="00CE5522" w:rsidRPr="004E7A27">
        <w:rPr>
          <w:rFonts w:ascii="Times New Roman" w:hAnsi="Times New Roman" w:cs="Times New Roman"/>
          <w:sz w:val="24"/>
          <w:szCs w:val="24"/>
        </w:rPr>
        <w:t>Perbankan</w:t>
      </w:r>
      <w:proofErr w:type="spellEnd"/>
      <w:r w:rsidR="00CE5522" w:rsidRPr="004E7A27">
        <w:rPr>
          <w:rFonts w:ascii="Times New Roman" w:hAnsi="Times New Roman" w:cs="Times New Roman"/>
          <w:sz w:val="24"/>
          <w:szCs w:val="24"/>
        </w:rPr>
        <w:t xml:space="preserve"> yang </w:t>
      </w:r>
      <w:proofErr w:type="spellStart"/>
      <w:r w:rsidR="00CE5522" w:rsidRPr="004E7A27">
        <w:rPr>
          <w:rFonts w:ascii="Times New Roman" w:hAnsi="Times New Roman" w:cs="Times New Roman"/>
          <w:sz w:val="24"/>
          <w:szCs w:val="24"/>
        </w:rPr>
        <w:t>Terdaftar</w:t>
      </w:r>
      <w:proofErr w:type="spellEnd"/>
      <w:r w:rsidR="00CE5522" w:rsidRPr="004E7A27">
        <w:rPr>
          <w:rFonts w:ascii="Times New Roman" w:hAnsi="Times New Roman" w:cs="Times New Roman"/>
          <w:sz w:val="24"/>
          <w:szCs w:val="24"/>
        </w:rPr>
        <w:t xml:space="preserve"> di BEI </w:t>
      </w:r>
      <w:proofErr w:type="spellStart"/>
      <w:r w:rsidR="00CE5522" w:rsidRPr="004E7A27">
        <w:rPr>
          <w:rFonts w:ascii="Times New Roman" w:hAnsi="Times New Roman" w:cs="Times New Roman"/>
          <w:sz w:val="24"/>
          <w:szCs w:val="24"/>
        </w:rPr>
        <w:t>Periode</w:t>
      </w:r>
      <w:proofErr w:type="spellEnd"/>
      <w:r w:rsidR="00CE5522" w:rsidRPr="004E7A27">
        <w:rPr>
          <w:rFonts w:ascii="Times New Roman" w:hAnsi="Times New Roman" w:cs="Times New Roman"/>
          <w:sz w:val="24"/>
          <w:szCs w:val="24"/>
        </w:rPr>
        <w:t xml:space="preserve"> 2012-2016”. </w:t>
      </w:r>
      <w:proofErr w:type="spellStart"/>
      <w:r w:rsidR="00CE5522" w:rsidRPr="004E7A27">
        <w:rPr>
          <w:rFonts w:ascii="Times New Roman" w:hAnsi="Times New Roman" w:cs="Times New Roman"/>
          <w:sz w:val="24"/>
          <w:szCs w:val="24"/>
        </w:rPr>
        <w:t>Jurnal</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Pundi</w:t>
      </w:r>
      <w:proofErr w:type="spellEnd"/>
      <w:r w:rsidR="00CE5522" w:rsidRPr="004E7A27">
        <w:rPr>
          <w:rFonts w:ascii="Times New Roman" w:hAnsi="Times New Roman" w:cs="Times New Roman"/>
          <w:sz w:val="24"/>
          <w:szCs w:val="24"/>
        </w:rPr>
        <w:t xml:space="preserve">. Vol.01. No.03. November 2017. ISSN: 2355-7052. Hal.223-236. </w:t>
      </w:r>
    </w:p>
    <w:p w14:paraId="53D83D00" w14:textId="65AAE82A" w:rsidR="00CE5522" w:rsidRPr="004E7A27" w:rsidRDefault="00163254" w:rsidP="00CE552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[12] </w:t>
      </w:r>
      <w:r w:rsidR="00CE5522" w:rsidRPr="004E7A27">
        <w:rPr>
          <w:rFonts w:ascii="Times New Roman" w:hAnsi="Times New Roman" w:cs="Times New Roman"/>
          <w:sz w:val="24"/>
          <w:szCs w:val="24"/>
        </w:rPr>
        <w:t xml:space="preserve">Farrell, K. A. dan P. L. Hersch. (2005). "Additions to corporate boards: the effect of gender". </w:t>
      </w:r>
      <w:r w:rsidR="00CE5522" w:rsidRPr="004E7A27">
        <w:rPr>
          <w:rFonts w:ascii="Times New Roman" w:hAnsi="Times New Roman" w:cs="Times New Roman"/>
          <w:i/>
          <w:iCs/>
          <w:sz w:val="24"/>
          <w:szCs w:val="24"/>
        </w:rPr>
        <w:t>Journal of Corporate Finance</w:t>
      </w:r>
      <w:r w:rsidR="00CE5522" w:rsidRPr="004E7A27">
        <w:rPr>
          <w:rFonts w:ascii="Times New Roman" w:hAnsi="Times New Roman" w:cs="Times New Roman"/>
          <w:sz w:val="24"/>
          <w:szCs w:val="24"/>
        </w:rPr>
        <w:t>. 11(1–2):85–106.</w:t>
      </w:r>
    </w:p>
    <w:p w14:paraId="29A9156C" w14:textId="77F7A9EA" w:rsidR="00CE5522" w:rsidRPr="004E7A27" w:rsidRDefault="00163254" w:rsidP="00CE552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[13] </w:t>
      </w:r>
      <w:r w:rsidR="00CE5522" w:rsidRPr="004E7A27">
        <w:rPr>
          <w:rFonts w:ascii="Times New Roman" w:hAnsi="Times New Roman" w:cs="Times New Roman"/>
          <w:sz w:val="24"/>
          <w:szCs w:val="24"/>
        </w:rPr>
        <w:t xml:space="preserve">Ferreira, P., Pereira, É., &amp; Silva, M. (2020). The relationship between oil prices and the Brazilian stock market. </w:t>
      </w:r>
      <w:proofErr w:type="spellStart"/>
      <w:r w:rsidR="00CE5522" w:rsidRPr="004E7A27">
        <w:rPr>
          <w:rFonts w:ascii="Times New Roman" w:hAnsi="Times New Roman" w:cs="Times New Roman"/>
          <w:i/>
          <w:iCs/>
          <w:sz w:val="24"/>
          <w:szCs w:val="24"/>
        </w:rPr>
        <w:t>Physica</w:t>
      </w:r>
      <w:proofErr w:type="spellEnd"/>
      <w:r w:rsidR="00CE5522" w:rsidRPr="004E7A27">
        <w:rPr>
          <w:rFonts w:ascii="Times New Roman" w:hAnsi="Times New Roman" w:cs="Times New Roman"/>
          <w:i/>
          <w:iCs/>
          <w:sz w:val="24"/>
          <w:szCs w:val="24"/>
        </w:rPr>
        <w:t xml:space="preserve"> A</w:t>
      </w:r>
      <w:r w:rsidR="00CE5522" w:rsidRPr="004E7A27">
        <w:rPr>
          <w:rFonts w:ascii="Times New Roman" w:hAnsi="Times New Roman" w:cs="Times New Roman"/>
          <w:sz w:val="24"/>
          <w:szCs w:val="24"/>
        </w:rPr>
        <w:t xml:space="preserve">, </w:t>
      </w:r>
      <w:r w:rsidR="00CE5522" w:rsidRPr="004E7A27">
        <w:rPr>
          <w:rFonts w:ascii="Times New Roman" w:hAnsi="Times New Roman" w:cs="Times New Roman"/>
          <w:i/>
          <w:iCs/>
          <w:sz w:val="24"/>
          <w:szCs w:val="24"/>
        </w:rPr>
        <w:t>545</w:t>
      </w:r>
      <w:r w:rsidR="00CE5522" w:rsidRPr="004E7A27">
        <w:rPr>
          <w:rFonts w:ascii="Times New Roman" w:hAnsi="Times New Roman" w:cs="Times New Roman"/>
          <w:sz w:val="24"/>
          <w:szCs w:val="24"/>
        </w:rPr>
        <w:t xml:space="preserve">(200), 123745. </w:t>
      </w:r>
      <w:hyperlink r:id="rId8" w:history="1">
        <w:r w:rsidR="00CE5522" w:rsidRPr="004E7A27">
          <w:rPr>
            <w:rStyle w:val="Hyperlink"/>
            <w:rFonts w:ascii="Times New Roman" w:hAnsi="Times New Roman" w:cs="Times New Roman"/>
            <w:sz w:val="24"/>
            <w:szCs w:val="24"/>
          </w:rPr>
          <w:t>https://doi.org/10.1016/j.physa.2019.123745</w:t>
        </w:r>
      </w:hyperlink>
    </w:p>
    <w:p w14:paraId="56A7A3B4" w14:textId="7E9E3CB9" w:rsidR="00CE5522" w:rsidRPr="004E7A27" w:rsidRDefault="00163254" w:rsidP="00CE552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[14] </w:t>
      </w:r>
      <w:proofErr w:type="spellStart"/>
      <w:r w:rsidR="00CE5522" w:rsidRPr="004E7A27">
        <w:rPr>
          <w:rFonts w:ascii="Times New Roman" w:hAnsi="Times New Roman" w:cs="Times New Roman"/>
          <w:sz w:val="24"/>
          <w:szCs w:val="24"/>
        </w:rPr>
        <w:t>Hariyani</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Iswi</w:t>
      </w:r>
      <w:proofErr w:type="spellEnd"/>
      <w:r w:rsidR="00CE5522" w:rsidRPr="004E7A27">
        <w:rPr>
          <w:rFonts w:ascii="Times New Roman" w:hAnsi="Times New Roman" w:cs="Times New Roman"/>
          <w:sz w:val="24"/>
          <w:szCs w:val="24"/>
        </w:rPr>
        <w:t xml:space="preserve">. 2010. </w:t>
      </w:r>
      <w:proofErr w:type="spellStart"/>
      <w:r w:rsidR="00CE5522" w:rsidRPr="004E7A27">
        <w:rPr>
          <w:rFonts w:ascii="Times New Roman" w:hAnsi="Times New Roman" w:cs="Times New Roman"/>
          <w:sz w:val="24"/>
          <w:szCs w:val="24"/>
        </w:rPr>
        <w:t>Restrukturisasi</w:t>
      </w:r>
      <w:proofErr w:type="spellEnd"/>
      <w:r w:rsidR="00CE5522" w:rsidRPr="004E7A27">
        <w:rPr>
          <w:rFonts w:ascii="Times New Roman" w:hAnsi="Times New Roman" w:cs="Times New Roman"/>
          <w:sz w:val="24"/>
          <w:szCs w:val="24"/>
        </w:rPr>
        <w:t xml:space="preserve"> Dan </w:t>
      </w:r>
      <w:proofErr w:type="spellStart"/>
      <w:r w:rsidR="00CE5522" w:rsidRPr="004E7A27">
        <w:rPr>
          <w:rFonts w:ascii="Times New Roman" w:hAnsi="Times New Roman" w:cs="Times New Roman"/>
          <w:sz w:val="24"/>
          <w:szCs w:val="24"/>
        </w:rPr>
        <w:t>Penghapusan</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Kredit</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Macet</w:t>
      </w:r>
      <w:proofErr w:type="spellEnd"/>
      <w:r w:rsidR="00CE5522" w:rsidRPr="004E7A27">
        <w:rPr>
          <w:rFonts w:ascii="Times New Roman" w:hAnsi="Times New Roman" w:cs="Times New Roman"/>
          <w:sz w:val="24"/>
          <w:szCs w:val="24"/>
        </w:rPr>
        <w:t xml:space="preserve">. PT </w:t>
      </w:r>
      <w:proofErr w:type="spellStart"/>
      <w:r w:rsidR="00CE5522" w:rsidRPr="004E7A27">
        <w:rPr>
          <w:rFonts w:ascii="Times New Roman" w:hAnsi="Times New Roman" w:cs="Times New Roman"/>
          <w:sz w:val="24"/>
          <w:szCs w:val="24"/>
        </w:rPr>
        <w:t>Elex</w:t>
      </w:r>
      <w:proofErr w:type="spellEnd"/>
      <w:r w:rsidR="00CE5522" w:rsidRPr="004E7A27">
        <w:rPr>
          <w:rFonts w:ascii="Times New Roman" w:hAnsi="Times New Roman" w:cs="Times New Roman"/>
          <w:sz w:val="24"/>
          <w:szCs w:val="24"/>
        </w:rPr>
        <w:t xml:space="preserve"> Media </w:t>
      </w:r>
      <w:proofErr w:type="spellStart"/>
      <w:r w:rsidR="00CE5522" w:rsidRPr="004E7A27">
        <w:rPr>
          <w:rFonts w:ascii="Times New Roman" w:hAnsi="Times New Roman" w:cs="Times New Roman"/>
          <w:sz w:val="24"/>
          <w:szCs w:val="24"/>
        </w:rPr>
        <w:t>Komputindo</w:t>
      </w:r>
      <w:proofErr w:type="spellEnd"/>
      <w:r w:rsidR="00CE5522" w:rsidRPr="004E7A27">
        <w:rPr>
          <w:rFonts w:ascii="Times New Roman" w:hAnsi="Times New Roman" w:cs="Times New Roman"/>
          <w:sz w:val="24"/>
          <w:szCs w:val="24"/>
        </w:rPr>
        <w:t>: Jakarta.</w:t>
      </w:r>
    </w:p>
    <w:p w14:paraId="78401790" w14:textId="5EA012BA" w:rsidR="00CE5522" w:rsidRPr="004E7A27" w:rsidRDefault="00163254" w:rsidP="00CE552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[15] </w:t>
      </w:r>
      <w:proofErr w:type="spellStart"/>
      <w:r w:rsidR="00CE5522" w:rsidRPr="004E7A27">
        <w:rPr>
          <w:rFonts w:ascii="Times New Roman" w:hAnsi="Times New Roman" w:cs="Times New Roman"/>
          <w:sz w:val="24"/>
          <w:szCs w:val="24"/>
        </w:rPr>
        <w:t>Harjoto</w:t>
      </w:r>
      <w:proofErr w:type="spellEnd"/>
      <w:r w:rsidR="00CE5522" w:rsidRPr="004E7A27">
        <w:rPr>
          <w:rFonts w:ascii="Times New Roman" w:hAnsi="Times New Roman" w:cs="Times New Roman"/>
          <w:sz w:val="24"/>
          <w:szCs w:val="24"/>
        </w:rPr>
        <w:t xml:space="preserve">, M., I. </w:t>
      </w:r>
      <w:proofErr w:type="spellStart"/>
      <w:r w:rsidR="00CE5522" w:rsidRPr="004E7A27">
        <w:rPr>
          <w:rFonts w:ascii="Times New Roman" w:hAnsi="Times New Roman" w:cs="Times New Roman"/>
          <w:sz w:val="24"/>
          <w:szCs w:val="24"/>
        </w:rPr>
        <w:t>Laksmana</w:t>
      </w:r>
      <w:proofErr w:type="spellEnd"/>
      <w:r w:rsidR="00CE5522" w:rsidRPr="004E7A27">
        <w:rPr>
          <w:rFonts w:ascii="Times New Roman" w:hAnsi="Times New Roman" w:cs="Times New Roman"/>
          <w:sz w:val="24"/>
          <w:szCs w:val="24"/>
        </w:rPr>
        <w:t xml:space="preserve">, dan R. Lee. (2015). "Board diversity and corporate social responsibility". </w:t>
      </w:r>
      <w:r w:rsidR="00CE5522" w:rsidRPr="004E7A27">
        <w:rPr>
          <w:rFonts w:ascii="Times New Roman" w:hAnsi="Times New Roman" w:cs="Times New Roman"/>
          <w:i/>
          <w:iCs/>
          <w:sz w:val="24"/>
          <w:szCs w:val="24"/>
        </w:rPr>
        <w:t>Journal of Business Ethics</w:t>
      </w:r>
      <w:r w:rsidR="00CE5522" w:rsidRPr="004E7A27">
        <w:rPr>
          <w:rFonts w:ascii="Times New Roman" w:hAnsi="Times New Roman" w:cs="Times New Roman"/>
          <w:sz w:val="24"/>
          <w:szCs w:val="24"/>
        </w:rPr>
        <w:t>. 132(4):641–660.</w:t>
      </w:r>
    </w:p>
    <w:p w14:paraId="4DD4F416" w14:textId="14B3CBD2" w:rsidR="00CE5522" w:rsidRPr="004E7A27" w:rsidRDefault="00163254" w:rsidP="00CE5522">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[16] </w:t>
      </w:r>
      <w:proofErr w:type="spellStart"/>
      <w:r w:rsidR="00CE5522" w:rsidRPr="004E7A27">
        <w:rPr>
          <w:rFonts w:ascii="Times New Roman" w:hAnsi="Times New Roman" w:cs="Times New Roman"/>
          <w:sz w:val="24"/>
          <w:szCs w:val="24"/>
        </w:rPr>
        <w:t>Indarti</w:t>
      </w:r>
      <w:proofErr w:type="spellEnd"/>
      <w:r w:rsidR="00CE5522" w:rsidRPr="004E7A27">
        <w:rPr>
          <w:rFonts w:ascii="Times New Roman" w:hAnsi="Times New Roman" w:cs="Times New Roman"/>
          <w:sz w:val="24"/>
          <w:szCs w:val="24"/>
        </w:rPr>
        <w:t xml:space="preserve">, R., &amp; </w:t>
      </w:r>
      <w:proofErr w:type="spellStart"/>
      <w:r w:rsidR="00CE5522" w:rsidRPr="004E7A27">
        <w:rPr>
          <w:rFonts w:ascii="Times New Roman" w:hAnsi="Times New Roman" w:cs="Times New Roman"/>
          <w:sz w:val="24"/>
          <w:szCs w:val="24"/>
        </w:rPr>
        <w:t>Minanari</w:t>
      </w:r>
      <w:proofErr w:type="spellEnd"/>
      <w:r w:rsidR="00CE5522" w:rsidRPr="004E7A27">
        <w:rPr>
          <w:rFonts w:ascii="Times New Roman" w:hAnsi="Times New Roman" w:cs="Times New Roman"/>
          <w:sz w:val="24"/>
          <w:szCs w:val="24"/>
        </w:rPr>
        <w:t xml:space="preserve">, M. (2019). </w:t>
      </w:r>
      <w:proofErr w:type="spellStart"/>
      <w:r w:rsidR="00CE5522" w:rsidRPr="004E7A27">
        <w:rPr>
          <w:rFonts w:ascii="Times New Roman" w:hAnsi="Times New Roman" w:cs="Times New Roman"/>
          <w:sz w:val="24"/>
          <w:szCs w:val="24"/>
        </w:rPr>
        <w:t>Pengaruh</w:t>
      </w:r>
      <w:proofErr w:type="spellEnd"/>
      <w:r w:rsidR="00CE5522" w:rsidRPr="004E7A27">
        <w:rPr>
          <w:rFonts w:ascii="Times New Roman" w:hAnsi="Times New Roman" w:cs="Times New Roman"/>
          <w:sz w:val="24"/>
          <w:szCs w:val="24"/>
        </w:rPr>
        <w:t xml:space="preserve"> Car, </w:t>
      </w:r>
      <w:proofErr w:type="spellStart"/>
      <w:r w:rsidR="00CE5522" w:rsidRPr="004E7A27">
        <w:rPr>
          <w:rFonts w:ascii="Times New Roman" w:hAnsi="Times New Roman" w:cs="Times New Roman"/>
          <w:sz w:val="24"/>
          <w:szCs w:val="24"/>
        </w:rPr>
        <w:t>Npl</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Komite</w:t>
      </w:r>
      <w:proofErr w:type="spellEnd"/>
      <w:r w:rsidR="00CE5522" w:rsidRPr="004E7A27">
        <w:rPr>
          <w:rFonts w:ascii="Times New Roman" w:hAnsi="Times New Roman" w:cs="Times New Roman"/>
          <w:sz w:val="24"/>
          <w:szCs w:val="24"/>
        </w:rPr>
        <w:t xml:space="preserve"> Audit, Dan </w:t>
      </w:r>
      <w:proofErr w:type="spellStart"/>
      <w:r w:rsidR="00CE5522" w:rsidRPr="004E7A27">
        <w:rPr>
          <w:rFonts w:ascii="Times New Roman" w:hAnsi="Times New Roman" w:cs="Times New Roman"/>
          <w:sz w:val="24"/>
          <w:szCs w:val="24"/>
        </w:rPr>
        <w:t>Kepemilikan</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Institusional</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Terhadap</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Profitabilitas</w:t>
      </w:r>
      <w:proofErr w:type="spellEnd"/>
      <w:r w:rsidR="00CE5522" w:rsidRPr="004E7A27">
        <w:rPr>
          <w:rFonts w:ascii="Times New Roman" w:hAnsi="Times New Roman" w:cs="Times New Roman"/>
          <w:sz w:val="24"/>
          <w:szCs w:val="24"/>
        </w:rPr>
        <w:t xml:space="preserve"> Bank </w:t>
      </w:r>
      <w:proofErr w:type="spellStart"/>
      <w:r w:rsidR="00CE5522" w:rsidRPr="004E7A27">
        <w:rPr>
          <w:rFonts w:ascii="Times New Roman" w:hAnsi="Times New Roman" w:cs="Times New Roman"/>
          <w:sz w:val="24"/>
          <w:szCs w:val="24"/>
        </w:rPr>
        <w:t>Umum</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Konvensional</w:t>
      </w:r>
      <w:proofErr w:type="spellEnd"/>
      <w:r w:rsidR="00CE5522" w:rsidRPr="004E7A27">
        <w:rPr>
          <w:rFonts w:ascii="Times New Roman" w:hAnsi="Times New Roman" w:cs="Times New Roman"/>
          <w:sz w:val="24"/>
          <w:szCs w:val="24"/>
        </w:rPr>
        <w:t xml:space="preserve"> Go Public </w:t>
      </w:r>
      <w:proofErr w:type="spellStart"/>
      <w:r w:rsidR="00CE5522" w:rsidRPr="004E7A27">
        <w:rPr>
          <w:rFonts w:ascii="Times New Roman" w:hAnsi="Times New Roman" w:cs="Times New Roman"/>
          <w:sz w:val="24"/>
          <w:szCs w:val="24"/>
        </w:rPr>
        <w:t>Periode</w:t>
      </w:r>
      <w:proofErr w:type="spellEnd"/>
      <w:r w:rsidR="00CE5522" w:rsidRPr="004E7A27">
        <w:rPr>
          <w:rFonts w:ascii="Times New Roman" w:hAnsi="Times New Roman" w:cs="Times New Roman"/>
          <w:sz w:val="24"/>
          <w:szCs w:val="24"/>
        </w:rPr>
        <w:t xml:space="preserve"> 2015 ± 2017. </w:t>
      </w:r>
      <w:proofErr w:type="spellStart"/>
      <w:proofErr w:type="gramStart"/>
      <w:r w:rsidR="00CE5522" w:rsidRPr="004E7A27">
        <w:rPr>
          <w:rFonts w:ascii="Times New Roman" w:hAnsi="Times New Roman" w:cs="Times New Roman"/>
          <w:sz w:val="24"/>
          <w:szCs w:val="24"/>
        </w:rPr>
        <w:t>Profita</w:t>
      </w:r>
      <w:proofErr w:type="spellEnd"/>
      <w:r w:rsidR="00CE5522" w:rsidRPr="004E7A27">
        <w:rPr>
          <w:rFonts w:ascii="Times New Roman" w:hAnsi="Times New Roman" w:cs="Times New Roman"/>
          <w:sz w:val="24"/>
          <w:szCs w:val="24"/>
        </w:rPr>
        <w:t xml:space="preserve"> :</w:t>
      </w:r>
      <w:proofErr w:type="gram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Komunikasi</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Ilmiah</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Akuntansi</w:t>
      </w:r>
      <w:proofErr w:type="spellEnd"/>
      <w:r w:rsidR="00CE5522" w:rsidRPr="004E7A27">
        <w:rPr>
          <w:rFonts w:ascii="Times New Roman" w:hAnsi="Times New Roman" w:cs="Times New Roman"/>
          <w:sz w:val="24"/>
          <w:szCs w:val="24"/>
        </w:rPr>
        <w:t xml:space="preserve"> dan </w:t>
      </w:r>
      <w:proofErr w:type="spellStart"/>
      <w:r w:rsidR="00CE5522" w:rsidRPr="004E7A27">
        <w:rPr>
          <w:rFonts w:ascii="Times New Roman" w:hAnsi="Times New Roman" w:cs="Times New Roman"/>
          <w:sz w:val="24"/>
          <w:szCs w:val="24"/>
        </w:rPr>
        <w:t>Perpajakan</w:t>
      </w:r>
      <w:proofErr w:type="spellEnd"/>
      <w:r w:rsidR="00CE5522" w:rsidRPr="004E7A27">
        <w:rPr>
          <w:rFonts w:ascii="Times New Roman" w:hAnsi="Times New Roman" w:cs="Times New Roman"/>
          <w:sz w:val="24"/>
          <w:szCs w:val="24"/>
        </w:rPr>
        <w:t xml:space="preserve">, 12(3), 460-475. </w:t>
      </w:r>
      <w:proofErr w:type="spellStart"/>
      <w:proofErr w:type="gramStart"/>
      <w:r w:rsidR="00CE5522" w:rsidRPr="004E7A27">
        <w:rPr>
          <w:rFonts w:ascii="Times New Roman" w:hAnsi="Times New Roman" w:cs="Times New Roman"/>
          <w:sz w:val="24"/>
          <w:szCs w:val="24"/>
        </w:rPr>
        <w:t>doi:http</w:t>
      </w:r>
      <w:proofErr w:type="spellEnd"/>
      <w:r w:rsidR="00CE5522" w:rsidRPr="004E7A27">
        <w:rPr>
          <w:rFonts w:ascii="Times New Roman" w:hAnsi="Times New Roman" w:cs="Times New Roman"/>
          <w:sz w:val="24"/>
          <w:szCs w:val="24"/>
        </w:rPr>
        <w:t>://dx.doi.org/10.22441/profita.2019.v12.03.00</w:t>
      </w:r>
      <w:proofErr w:type="gramEnd"/>
      <w:r w:rsidR="00CE5522" w:rsidRPr="004E7A27">
        <w:rPr>
          <w:rFonts w:ascii="Times New Roman" w:hAnsi="Times New Roman" w:cs="Times New Roman"/>
          <w:sz w:val="24"/>
          <w:szCs w:val="24"/>
        </w:rPr>
        <w:t xml:space="preserve"> </w:t>
      </w:r>
    </w:p>
    <w:p w14:paraId="7DA4C4BC" w14:textId="57E96CC8" w:rsidR="00CE5522" w:rsidRPr="004E7A27" w:rsidRDefault="00163254" w:rsidP="00CE552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[17] </w:t>
      </w:r>
      <w:r w:rsidR="00CE5522" w:rsidRPr="004E7A27">
        <w:rPr>
          <w:rFonts w:ascii="Times New Roman" w:hAnsi="Times New Roman" w:cs="Times New Roman"/>
          <w:sz w:val="24"/>
          <w:szCs w:val="24"/>
        </w:rPr>
        <w:t xml:space="preserve">Institute of Banking Studies Research. (2015). </w:t>
      </w:r>
      <w:r w:rsidR="00CE5522" w:rsidRPr="004E7A27">
        <w:rPr>
          <w:rFonts w:ascii="Times New Roman" w:hAnsi="Times New Roman" w:cs="Times New Roman"/>
          <w:i/>
          <w:iCs/>
          <w:sz w:val="24"/>
          <w:szCs w:val="24"/>
        </w:rPr>
        <w:t xml:space="preserve">What is the Impact of Lower Oil Prices in Kuwait and on the Kuwaiti Banks? </w:t>
      </w:r>
      <w:r w:rsidR="00CE5522" w:rsidRPr="004E7A27">
        <w:rPr>
          <w:rFonts w:ascii="Times New Roman" w:hAnsi="Times New Roman" w:cs="Times New Roman"/>
          <w:sz w:val="24"/>
          <w:szCs w:val="24"/>
        </w:rPr>
        <w:t>Kuwait.</w:t>
      </w:r>
    </w:p>
    <w:p w14:paraId="351C4AD9" w14:textId="7FD815FB" w:rsidR="00CE5522" w:rsidRPr="004E7A27" w:rsidRDefault="00163254" w:rsidP="00CE552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[18] </w:t>
      </w:r>
      <w:proofErr w:type="spellStart"/>
      <w:r w:rsidR="00CE5522" w:rsidRPr="004E7A27">
        <w:rPr>
          <w:rFonts w:ascii="Times New Roman" w:hAnsi="Times New Roman" w:cs="Times New Roman"/>
          <w:sz w:val="24"/>
          <w:szCs w:val="24"/>
        </w:rPr>
        <w:t>Joecks</w:t>
      </w:r>
      <w:proofErr w:type="spellEnd"/>
      <w:r w:rsidR="00CE5522" w:rsidRPr="004E7A27">
        <w:rPr>
          <w:rFonts w:ascii="Times New Roman" w:hAnsi="Times New Roman" w:cs="Times New Roman"/>
          <w:sz w:val="24"/>
          <w:szCs w:val="24"/>
        </w:rPr>
        <w:t xml:space="preserve">, J., K. Pull, dan K. Vetter. (2013). "Gender diversity in the boardroom and firm performance: what exactly constitutes a “critical mass?” </w:t>
      </w:r>
      <w:r w:rsidR="00CE5522" w:rsidRPr="004E7A27">
        <w:rPr>
          <w:rFonts w:ascii="Times New Roman" w:hAnsi="Times New Roman" w:cs="Times New Roman"/>
          <w:i/>
          <w:iCs/>
          <w:sz w:val="24"/>
          <w:szCs w:val="24"/>
        </w:rPr>
        <w:t>Journal of Business Ethics</w:t>
      </w:r>
      <w:r w:rsidR="00CE5522" w:rsidRPr="004E7A27">
        <w:rPr>
          <w:rFonts w:ascii="Times New Roman" w:hAnsi="Times New Roman" w:cs="Times New Roman"/>
          <w:sz w:val="24"/>
          <w:szCs w:val="24"/>
        </w:rPr>
        <w:t>. 118(1):61–72.</w:t>
      </w:r>
    </w:p>
    <w:p w14:paraId="197025B3" w14:textId="0AC60444" w:rsidR="00CE5522" w:rsidRPr="004E7A27" w:rsidRDefault="00163254" w:rsidP="00CE552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[19] </w:t>
      </w:r>
      <w:r w:rsidR="00CE5522" w:rsidRPr="004E7A27">
        <w:rPr>
          <w:rFonts w:ascii="Times New Roman" w:hAnsi="Times New Roman" w:cs="Times New Roman"/>
          <w:sz w:val="24"/>
          <w:szCs w:val="24"/>
        </w:rPr>
        <w:t xml:space="preserve">Ken, M. (2017). An Empirical Investigation of Oil-Macro-financial Linkages in Saudi Arabia. </w:t>
      </w:r>
      <w:r w:rsidR="00CE5522" w:rsidRPr="004E7A27">
        <w:rPr>
          <w:rFonts w:ascii="Times New Roman" w:hAnsi="Times New Roman" w:cs="Times New Roman"/>
          <w:i/>
          <w:iCs/>
          <w:sz w:val="24"/>
          <w:szCs w:val="24"/>
        </w:rPr>
        <w:t>Review of Middle East Economics and Finance</w:t>
      </w:r>
      <w:r w:rsidR="00CE5522" w:rsidRPr="004E7A27">
        <w:rPr>
          <w:rFonts w:ascii="Times New Roman" w:hAnsi="Times New Roman" w:cs="Times New Roman"/>
          <w:sz w:val="24"/>
          <w:szCs w:val="24"/>
        </w:rPr>
        <w:t xml:space="preserve">, </w:t>
      </w:r>
      <w:r w:rsidR="00CE5522" w:rsidRPr="004E7A27">
        <w:rPr>
          <w:rFonts w:ascii="Times New Roman" w:hAnsi="Times New Roman" w:cs="Times New Roman"/>
          <w:i/>
          <w:iCs/>
          <w:sz w:val="24"/>
          <w:szCs w:val="24"/>
        </w:rPr>
        <w:t>13</w:t>
      </w:r>
      <w:r w:rsidR="00CE5522" w:rsidRPr="004E7A27">
        <w:rPr>
          <w:rFonts w:ascii="Times New Roman" w:hAnsi="Times New Roman" w:cs="Times New Roman"/>
          <w:sz w:val="24"/>
          <w:szCs w:val="24"/>
        </w:rPr>
        <w:t xml:space="preserve">(2), 1–15. Retrieved from </w:t>
      </w:r>
      <w:hyperlink r:id="rId9" w:history="1">
        <w:r w:rsidR="00CE5522" w:rsidRPr="004E7A27">
          <w:rPr>
            <w:rStyle w:val="Hyperlink"/>
            <w:rFonts w:ascii="Times New Roman" w:hAnsi="Times New Roman" w:cs="Times New Roman"/>
            <w:sz w:val="24"/>
            <w:szCs w:val="24"/>
          </w:rPr>
          <w:t>https://ideas.repec.org/a/bpj/rmeecf/v13y2017i2p15n3.html</w:t>
        </w:r>
      </w:hyperlink>
    </w:p>
    <w:p w14:paraId="7E6306B6" w14:textId="1BEBDEFB" w:rsidR="00CE5522" w:rsidRPr="004E7A27" w:rsidRDefault="00163254" w:rsidP="00CE552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[20] </w:t>
      </w:r>
      <w:r w:rsidR="00CE5522" w:rsidRPr="004E7A27">
        <w:rPr>
          <w:rFonts w:ascii="Times New Roman" w:hAnsi="Times New Roman" w:cs="Times New Roman"/>
          <w:sz w:val="24"/>
          <w:szCs w:val="24"/>
        </w:rPr>
        <w:t xml:space="preserve">Lee, </w:t>
      </w:r>
      <w:proofErr w:type="spellStart"/>
      <w:r w:rsidR="00CE5522" w:rsidRPr="004E7A27">
        <w:rPr>
          <w:rFonts w:ascii="Times New Roman" w:hAnsi="Times New Roman" w:cs="Times New Roman"/>
          <w:sz w:val="24"/>
          <w:szCs w:val="24"/>
        </w:rPr>
        <w:t>Junghun</w:t>
      </w:r>
      <w:proofErr w:type="spellEnd"/>
      <w:r w:rsidR="00CE5522" w:rsidRPr="004E7A27">
        <w:rPr>
          <w:rFonts w:ascii="Times New Roman" w:hAnsi="Times New Roman" w:cs="Times New Roman"/>
          <w:sz w:val="24"/>
          <w:szCs w:val="24"/>
        </w:rPr>
        <w:t xml:space="preserve"> (2007). </w:t>
      </w:r>
      <w:r w:rsidR="00CE5522" w:rsidRPr="004E7A27">
        <w:rPr>
          <w:rFonts w:ascii="Times New Roman" w:hAnsi="Times New Roman" w:cs="Times New Roman"/>
          <w:i/>
          <w:iCs/>
          <w:sz w:val="24"/>
          <w:szCs w:val="24"/>
        </w:rPr>
        <w:t>Cross-sectional Determinants of the Extent to Which Stock Prices Lead Earnings</w:t>
      </w:r>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Disertasi</w:t>
      </w:r>
      <w:proofErr w:type="spellEnd"/>
      <w:r w:rsidR="00CE5522" w:rsidRPr="004E7A27">
        <w:rPr>
          <w:rFonts w:ascii="Times New Roman" w:hAnsi="Times New Roman" w:cs="Times New Roman"/>
          <w:sz w:val="24"/>
          <w:szCs w:val="24"/>
        </w:rPr>
        <w:t>, School of Business, Hong Kong Baptist University, Hong Kong.</w:t>
      </w:r>
    </w:p>
    <w:p w14:paraId="38056748" w14:textId="46F49EB3" w:rsidR="00CE5522" w:rsidRPr="004E7A27" w:rsidRDefault="00163254" w:rsidP="00CE5522">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[21] </w:t>
      </w:r>
      <w:r w:rsidR="00CE5522" w:rsidRPr="004E7A27">
        <w:rPr>
          <w:rFonts w:ascii="Times New Roman" w:hAnsi="Times New Roman" w:cs="Times New Roman"/>
          <w:sz w:val="24"/>
          <w:szCs w:val="24"/>
        </w:rPr>
        <w:t xml:space="preserve">Manurung, J., &amp; Manurung, A. H. (2009). </w:t>
      </w:r>
      <w:r w:rsidR="00CE5522" w:rsidRPr="004E7A27">
        <w:rPr>
          <w:rFonts w:ascii="Times New Roman" w:hAnsi="Times New Roman" w:cs="Times New Roman"/>
          <w:i/>
          <w:iCs/>
          <w:sz w:val="24"/>
          <w:szCs w:val="24"/>
        </w:rPr>
        <w:t xml:space="preserve">Ekonomi </w:t>
      </w:r>
      <w:proofErr w:type="spellStart"/>
      <w:r w:rsidR="00CE5522" w:rsidRPr="004E7A27">
        <w:rPr>
          <w:rFonts w:ascii="Times New Roman" w:hAnsi="Times New Roman" w:cs="Times New Roman"/>
          <w:i/>
          <w:iCs/>
          <w:sz w:val="24"/>
          <w:szCs w:val="24"/>
        </w:rPr>
        <w:t>Keuangan</w:t>
      </w:r>
      <w:proofErr w:type="spellEnd"/>
      <w:r w:rsidR="00CE5522" w:rsidRPr="004E7A27">
        <w:rPr>
          <w:rFonts w:ascii="Times New Roman" w:hAnsi="Times New Roman" w:cs="Times New Roman"/>
          <w:i/>
          <w:iCs/>
          <w:sz w:val="24"/>
          <w:szCs w:val="24"/>
        </w:rPr>
        <w:t xml:space="preserve"> dan </w:t>
      </w:r>
      <w:proofErr w:type="spellStart"/>
      <w:r w:rsidR="00CE5522" w:rsidRPr="004E7A27">
        <w:rPr>
          <w:rFonts w:ascii="Times New Roman" w:hAnsi="Times New Roman" w:cs="Times New Roman"/>
          <w:i/>
          <w:iCs/>
          <w:sz w:val="24"/>
          <w:szCs w:val="24"/>
        </w:rPr>
        <w:t>Kebijakan</w:t>
      </w:r>
      <w:proofErr w:type="spellEnd"/>
      <w:r w:rsidR="00CE5522" w:rsidRPr="004E7A27">
        <w:rPr>
          <w:rFonts w:ascii="Times New Roman" w:hAnsi="Times New Roman" w:cs="Times New Roman"/>
          <w:i/>
          <w:iCs/>
          <w:sz w:val="24"/>
          <w:szCs w:val="24"/>
        </w:rPr>
        <w:t xml:space="preserve"> </w:t>
      </w:r>
      <w:proofErr w:type="spellStart"/>
      <w:r w:rsidR="00CE5522" w:rsidRPr="004E7A27">
        <w:rPr>
          <w:rFonts w:ascii="Times New Roman" w:hAnsi="Times New Roman" w:cs="Times New Roman"/>
          <w:i/>
          <w:iCs/>
          <w:sz w:val="24"/>
          <w:szCs w:val="24"/>
        </w:rPr>
        <w:t>Moneter</w:t>
      </w:r>
      <w:proofErr w:type="spellEnd"/>
      <w:r w:rsidR="00CE5522" w:rsidRPr="004E7A27">
        <w:rPr>
          <w:rFonts w:ascii="Times New Roman" w:hAnsi="Times New Roman" w:cs="Times New Roman"/>
          <w:sz w:val="24"/>
          <w:szCs w:val="24"/>
        </w:rPr>
        <w:t xml:space="preserve">. Jakarta: </w:t>
      </w:r>
      <w:proofErr w:type="spellStart"/>
      <w:r w:rsidR="00CE5522" w:rsidRPr="004E7A27">
        <w:rPr>
          <w:rFonts w:ascii="Times New Roman" w:hAnsi="Times New Roman" w:cs="Times New Roman"/>
          <w:sz w:val="24"/>
          <w:szCs w:val="24"/>
        </w:rPr>
        <w:t>Salemba</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Empat</w:t>
      </w:r>
      <w:proofErr w:type="spellEnd"/>
      <w:r w:rsidR="00CE5522" w:rsidRPr="004E7A27">
        <w:rPr>
          <w:rFonts w:ascii="Times New Roman" w:hAnsi="Times New Roman" w:cs="Times New Roman"/>
          <w:sz w:val="24"/>
          <w:szCs w:val="24"/>
        </w:rPr>
        <w:t>.</w:t>
      </w:r>
    </w:p>
    <w:p w14:paraId="4258160A" w14:textId="05AD1935" w:rsidR="00CE5522" w:rsidRPr="004E7A27" w:rsidRDefault="00163254" w:rsidP="00CE5522">
      <w:pPr>
        <w:ind w:left="720" w:hanging="720"/>
        <w:jc w:val="both"/>
        <w:rPr>
          <w:rFonts w:ascii="Times New Roman" w:hAnsi="Times New Roman" w:cs="Times New Roman"/>
          <w:i/>
          <w:iCs/>
          <w:sz w:val="24"/>
          <w:szCs w:val="24"/>
        </w:rPr>
      </w:pPr>
      <w:r>
        <w:rPr>
          <w:rFonts w:ascii="Times New Roman" w:hAnsi="Times New Roman" w:cs="Times New Roman"/>
          <w:sz w:val="24"/>
          <w:szCs w:val="24"/>
        </w:rPr>
        <w:t xml:space="preserve">[22] </w:t>
      </w:r>
      <w:proofErr w:type="spellStart"/>
      <w:r w:rsidR="00CE5522" w:rsidRPr="004E7A27">
        <w:rPr>
          <w:rFonts w:ascii="Times New Roman" w:hAnsi="Times New Roman" w:cs="Times New Roman"/>
          <w:sz w:val="24"/>
          <w:szCs w:val="24"/>
        </w:rPr>
        <w:t>Mardiyati</w:t>
      </w:r>
      <w:proofErr w:type="spellEnd"/>
      <w:r w:rsidR="00CE5522" w:rsidRPr="004E7A27">
        <w:rPr>
          <w:rFonts w:ascii="Times New Roman" w:hAnsi="Times New Roman" w:cs="Times New Roman"/>
          <w:sz w:val="24"/>
          <w:szCs w:val="24"/>
        </w:rPr>
        <w:t>, U. (2012). "</w:t>
      </w:r>
      <w:proofErr w:type="spellStart"/>
      <w:r w:rsidR="00CE5522" w:rsidRPr="004E7A27">
        <w:rPr>
          <w:rFonts w:ascii="Times New Roman" w:hAnsi="Times New Roman" w:cs="Times New Roman"/>
          <w:sz w:val="24"/>
          <w:szCs w:val="24"/>
        </w:rPr>
        <w:t>Pengaruh</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frekuensi</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rapat</w:t>
      </w:r>
      <w:proofErr w:type="spellEnd"/>
      <w:r w:rsidR="00CE5522" w:rsidRPr="004E7A27">
        <w:rPr>
          <w:rFonts w:ascii="Times New Roman" w:hAnsi="Times New Roman" w:cs="Times New Roman"/>
          <w:sz w:val="24"/>
          <w:szCs w:val="24"/>
        </w:rPr>
        <w:t xml:space="preserve"> dewan </w:t>
      </w:r>
      <w:proofErr w:type="spellStart"/>
      <w:r w:rsidR="00CE5522" w:rsidRPr="004E7A27">
        <w:rPr>
          <w:rFonts w:ascii="Times New Roman" w:hAnsi="Times New Roman" w:cs="Times New Roman"/>
          <w:sz w:val="24"/>
          <w:szCs w:val="24"/>
        </w:rPr>
        <w:t>direktur</w:t>
      </w:r>
      <w:proofErr w:type="spellEnd"/>
      <w:r w:rsidR="00CE5522" w:rsidRPr="004E7A27">
        <w:rPr>
          <w:rFonts w:ascii="Times New Roman" w:hAnsi="Times New Roman" w:cs="Times New Roman"/>
          <w:sz w:val="24"/>
          <w:szCs w:val="24"/>
        </w:rPr>
        <w:t xml:space="preserve"> dan </w:t>
      </w:r>
      <w:proofErr w:type="spellStart"/>
      <w:r w:rsidR="00CE5522" w:rsidRPr="004E7A27">
        <w:rPr>
          <w:rFonts w:ascii="Times New Roman" w:hAnsi="Times New Roman" w:cs="Times New Roman"/>
          <w:sz w:val="24"/>
          <w:szCs w:val="24"/>
        </w:rPr>
        <w:t>jumlah</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direktur</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wanita</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terhadap</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kinerja</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perbankan</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i/>
          <w:iCs/>
          <w:sz w:val="24"/>
          <w:szCs w:val="24"/>
        </w:rPr>
        <w:t>Ekuitas</w:t>
      </w:r>
      <w:proofErr w:type="spellEnd"/>
      <w:r w:rsidR="00CE5522" w:rsidRPr="004E7A27">
        <w:rPr>
          <w:rFonts w:ascii="Times New Roman" w:hAnsi="Times New Roman" w:cs="Times New Roman"/>
          <w:i/>
          <w:iCs/>
          <w:sz w:val="24"/>
          <w:szCs w:val="24"/>
        </w:rPr>
        <w:t xml:space="preserve">: </w:t>
      </w:r>
      <w:proofErr w:type="spellStart"/>
      <w:r w:rsidR="00CE5522" w:rsidRPr="004E7A27">
        <w:rPr>
          <w:rFonts w:ascii="Times New Roman" w:hAnsi="Times New Roman" w:cs="Times New Roman"/>
          <w:i/>
          <w:iCs/>
          <w:sz w:val="24"/>
          <w:szCs w:val="24"/>
        </w:rPr>
        <w:t>Jurnal</w:t>
      </w:r>
      <w:proofErr w:type="spellEnd"/>
      <w:r w:rsidR="00CE5522" w:rsidRPr="004E7A27">
        <w:rPr>
          <w:rFonts w:ascii="Times New Roman" w:hAnsi="Times New Roman" w:cs="Times New Roman"/>
          <w:i/>
          <w:iCs/>
          <w:sz w:val="24"/>
          <w:szCs w:val="24"/>
        </w:rPr>
        <w:t xml:space="preserve"> Ekonomi Dan </w:t>
      </w:r>
      <w:proofErr w:type="spellStart"/>
      <w:r w:rsidR="00CE5522" w:rsidRPr="004E7A27">
        <w:rPr>
          <w:rFonts w:ascii="Times New Roman" w:hAnsi="Times New Roman" w:cs="Times New Roman"/>
          <w:i/>
          <w:iCs/>
          <w:sz w:val="24"/>
          <w:szCs w:val="24"/>
        </w:rPr>
        <w:t>Keuangan</w:t>
      </w:r>
      <w:proofErr w:type="spellEnd"/>
      <w:r w:rsidR="00CE5522" w:rsidRPr="004E7A27">
        <w:rPr>
          <w:rFonts w:ascii="Times New Roman" w:hAnsi="Times New Roman" w:cs="Times New Roman"/>
          <w:sz w:val="24"/>
          <w:szCs w:val="24"/>
        </w:rPr>
        <w:t>. 20(2):172–187.</w:t>
      </w:r>
    </w:p>
    <w:p w14:paraId="48525227" w14:textId="66B83AD7" w:rsidR="00CE5522" w:rsidRPr="004E7A27" w:rsidRDefault="00163254" w:rsidP="00CE552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[23] </w:t>
      </w:r>
      <w:proofErr w:type="spellStart"/>
      <w:r w:rsidR="00CE5522" w:rsidRPr="004E7A27">
        <w:rPr>
          <w:rFonts w:ascii="Times New Roman" w:hAnsi="Times New Roman" w:cs="Times New Roman"/>
          <w:sz w:val="24"/>
          <w:szCs w:val="24"/>
        </w:rPr>
        <w:t>Rahmi</w:t>
      </w:r>
      <w:proofErr w:type="spellEnd"/>
      <w:r w:rsidR="00CE5522" w:rsidRPr="004E7A27">
        <w:rPr>
          <w:rFonts w:ascii="Times New Roman" w:hAnsi="Times New Roman" w:cs="Times New Roman"/>
          <w:sz w:val="24"/>
          <w:szCs w:val="24"/>
        </w:rPr>
        <w:t xml:space="preserve">, C.L. (2014). </w:t>
      </w:r>
      <w:proofErr w:type="spellStart"/>
      <w:r w:rsidR="00CE5522" w:rsidRPr="004E7A27">
        <w:rPr>
          <w:rFonts w:ascii="Times New Roman" w:hAnsi="Times New Roman" w:cs="Times New Roman"/>
          <w:sz w:val="24"/>
          <w:szCs w:val="24"/>
        </w:rPr>
        <w:t>Pengaruh</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Risiko</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Kredit</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Risiko</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Likuiditas</w:t>
      </w:r>
      <w:proofErr w:type="spellEnd"/>
      <w:r w:rsidR="00CE5522" w:rsidRPr="004E7A27">
        <w:rPr>
          <w:rFonts w:ascii="Times New Roman" w:hAnsi="Times New Roman" w:cs="Times New Roman"/>
          <w:sz w:val="24"/>
          <w:szCs w:val="24"/>
        </w:rPr>
        <w:t xml:space="preserve"> dan </w:t>
      </w:r>
      <w:proofErr w:type="spellStart"/>
      <w:r w:rsidR="00CE5522" w:rsidRPr="004E7A27">
        <w:rPr>
          <w:rFonts w:ascii="Times New Roman" w:hAnsi="Times New Roman" w:cs="Times New Roman"/>
          <w:sz w:val="24"/>
          <w:szCs w:val="24"/>
        </w:rPr>
        <w:t>Risiko</w:t>
      </w:r>
      <w:proofErr w:type="spellEnd"/>
      <w:r w:rsidR="00CE5522" w:rsidRPr="004E7A27">
        <w:rPr>
          <w:rFonts w:ascii="Times New Roman" w:hAnsi="Times New Roman" w:cs="Times New Roman"/>
          <w:sz w:val="24"/>
          <w:szCs w:val="24"/>
        </w:rPr>
        <w:t xml:space="preserve"> Tingkat Bunga </w:t>
      </w:r>
      <w:proofErr w:type="spellStart"/>
      <w:r w:rsidR="00CE5522" w:rsidRPr="004E7A27">
        <w:rPr>
          <w:rFonts w:ascii="Times New Roman" w:hAnsi="Times New Roman" w:cs="Times New Roman"/>
          <w:sz w:val="24"/>
          <w:szCs w:val="24"/>
        </w:rPr>
        <w:t>terhadap</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Profitabilitas</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Studi</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Empiris</w:t>
      </w:r>
      <w:proofErr w:type="spellEnd"/>
      <w:r w:rsidR="00CE5522" w:rsidRPr="004E7A27">
        <w:rPr>
          <w:rFonts w:ascii="Times New Roman" w:hAnsi="Times New Roman" w:cs="Times New Roman"/>
          <w:sz w:val="24"/>
          <w:szCs w:val="24"/>
        </w:rPr>
        <w:t xml:space="preserve"> pada Perusahaan </w:t>
      </w:r>
      <w:proofErr w:type="spellStart"/>
      <w:r w:rsidR="00CE5522" w:rsidRPr="004E7A27">
        <w:rPr>
          <w:rFonts w:ascii="Times New Roman" w:hAnsi="Times New Roman" w:cs="Times New Roman"/>
          <w:sz w:val="24"/>
          <w:szCs w:val="24"/>
        </w:rPr>
        <w:t>Perbankan</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Terdaftar</w:t>
      </w:r>
      <w:proofErr w:type="spellEnd"/>
      <w:r w:rsidR="00CE5522" w:rsidRPr="004E7A27">
        <w:rPr>
          <w:rFonts w:ascii="Times New Roman" w:hAnsi="Times New Roman" w:cs="Times New Roman"/>
          <w:sz w:val="24"/>
          <w:szCs w:val="24"/>
        </w:rPr>
        <w:t xml:space="preserve"> di Bursa </w:t>
      </w:r>
      <w:proofErr w:type="spellStart"/>
      <w:r w:rsidR="00CE5522" w:rsidRPr="004E7A27">
        <w:rPr>
          <w:rFonts w:ascii="Times New Roman" w:hAnsi="Times New Roman" w:cs="Times New Roman"/>
          <w:sz w:val="24"/>
          <w:szCs w:val="24"/>
        </w:rPr>
        <w:t>Efek</w:t>
      </w:r>
      <w:proofErr w:type="spellEnd"/>
      <w:r w:rsidR="00CE5522" w:rsidRPr="004E7A27">
        <w:rPr>
          <w:rFonts w:ascii="Times New Roman" w:hAnsi="Times New Roman" w:cs="Times New Roman"/>
          <w:sz w:val="24"/>
          <w:szCs w:val="24"/>
        </w:rPr>
        <w:t xml:space="preserve"> Indonesia). </w:t>
      </w:r>
      <w:r w:rsidR="00CE5522" w:rsidRPr="004E7A27">
        <w:rPr>
          <w:rFonts w:ascii="Times New Roman" w:hAnsi="Times New Roman" w:cs="Times New Roman"/>
          <w:i/>
          <w:iCs/>
          <w:sz w:val="24"/>
          <w:szCs w:val="24"/>
        </w:rPr>
        <w:t xml:space="preserve">Artikel </w:t>
      </w:r>
      <w:proofErr w:type="spellStart"/>
      <w:r w:rsidR="00CE5522" w:rsidRPr="004E7A27">
        <w:rPr>
          <w:rFonts w:ascii="Times New Roman" w:hAnsi="Times New Roman" w:cs="Times New Roman"/>
          <w:i/>
          <w:iCs/>
          <w:sz w:val="24"/>
          <w:szCs w:val="24"/>
        </w:rPr>
        <w:t>Srkipsi</w:t>
      </w:r>
      <w:proofErr w:type="spellEnd"/>
      <w:r w:rsidR="00CE5522" w:rsidRPr="004E7A27">
        <w:rPr>
          <w:rFonts w:ascii="Times New Roman" w:hAnsi="Times New Roman" w:cs="Times New Roman"/>
          <w:sz w:val="24"/>
          <w:szCs w:val="24"/>
        </w:rPr>
        <w:t xml:space="preserve">, 1–22. </w:t>
      </w:r>
      <w:hyperlink r:id="rId10" w:history="1">
        <w:r w:rsidR="00CE5522" w:rsidRPr="004E7A27">
          <w:rPr>
            <w:rStyle w:val="Hyperlink"/>
            <w:rFonts w:ascii="Times New Roman" w:hAnsi="Times New Roman" w:cs="Times New Roman"/>
            <w:sz w:val="24"/>
            <w:szCs w:val="24"/>
          </w:rPr>
          <w:t>http://ejournal.unp.ac.id/students/index.php/akt/article/view/1537</w:t>
        </w:r>
      </w:hyperlink>
      <w:r w:rsidR="00CE5522" w:rsidRPr="004E7A27">
        <w:rPr>
          <w:rFonts w:ascii="Times New Roman" w:hAnsi="Times New Roman" w:cs="Times New Roman"/>
          <w:sz w:val="24"/>
          <w:szCs w:val="24"/>
        </w:rPr>
        <w:t xml:space="preserve">. </w:t>
      </w:r>
    </w:p>
    <w:p w14:paraId="192677D0" w14:textId="614B1B6F" w:rsidR="00CE5522" w:rsidRPr="004E7A27" w:rsidRDefault="00163254" w:rsidP="00CE552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[24] </w:t>
      </w:r>
      <w:proofErr w:type="spellStart"/>
      <w:r w:rsidR="00CE5522" w:rsidRPr="004E7A27">
        <w:rPr>
          <w:rFonts w:ascii="Times New Roman" w:hAnsi="Times New Roman" w:cs="Times New Roman"/>
          <w:sz w:val="24"/>
          <w:szCs w:val="24"/>
        </w:rPr>
        <w:t>Reguera</w:t>
      </w:r>
      <w:proofErr w:type="spellEnd"/>
      <w:r w:rsidR="00CE5522" w:rsidRPr="004E7A27">
        <w:rPr>
          <w:rFonts w:ascii="Times New Roman" w:hAnsi="Times New Roman" w:cs="Times New Roman"/>
          <w:sz w:val="24"/>
          <w:szCs w:val="24"/>
        </w:rPr>
        <w:t xml:space="preserve">-Alvarado, N., P. de Fuentes, dan J. </w:t>
      </w:r>
      <w:proofErr w:type="spellStart"/>
      <w:r w:rsidR="00CE5522" w:rsidRPr="004E7A27">
        <w:rPr>
          <w:rFonts w:ascii="Times New Roman" w:hAnsi="Times New Roman" w:cs="Times New Roman"/>
          <w:sz w:val="24"/>
          <w:szCs w:val="24"/>
        </w:rPr>
        <w:t>Laffarga</w:t>
      </w:r>
      <w:proofErr w:type="spellEnd"/>
      <w:r w:rsidR="00CE5522" w:rsidRPr="004E7A27">
        <w:rPr>
          <w:rFonts w:ascii="Times New Roman" w:hAnsi="Times New Roman" w:cs="Times New Roman"/>
          <w:sz w:val="24"/>
          <w:szCs w:val="24"/>
        </w:rPr>
        <w:t xml:space="preserve">. (2017). "Does board gender diversity influence financial </w:t>
      </w:r>
      <w:proofErr w:type="gramStart"/>
      <w:r w:rsidR="00CE5522" w:rsidRPr="004E7A27">
        <w:rPr>
          <w:rFonts w:ascii="Times New Roman" w:hAnsi="Times New Roman" w:cs="Times New Roman"/>
          <w:sz w:val="24"/>
          <w:szCs w:val="24"/>
        </w:rPr>
        <w:t>performance ?</w:t>
      </w:r>
      <w:proofErr w:type="gramEnd"/>
      <w:r w:rsidR="00CE5522" w:rsidRPr="004E7A27">
        <w:rPr>
          <w:rFonts w:ascii="Times New Roman" w:hAnsi="Times New Roman" w:cs="Times New Roman"/>
          <w:sz w:val="24"/>
          <w:szCs w:val="24"/>
        </w:rPr>
        <w:t xml:space="preserve"> evidence from </w:t>
      </w:r>
      <w:proofErr w:type="spellStart"/>
      <w:r w:rsidR="00CE5522" w:rsidRPr="004E7A27">
        <w:rPr>
          <w:rFonts w:ascii="Times New Roman" w:hAnsi="Times New Roman" w:cs="Times New Roman"/>
          <w:sz w:val="24"/>
          <w:szCs w:val="24"/>
        </w:rPr>
        <w:t>spain</w:t>
      </w:r>
      <w:proofErr w:type="spellEnd"/>
      <w:r w:rsidR="00CE5522" w:rsidRPr="004E7A27">
        <w:rPr>
          <w:rFonts w:ascii="Times New Roman" w:hAnsi="Times New Roman" w:cs="Times New Roman"/>
          <w:sz w:val="24"/>
          <w:szCs w:val="24"/>
        </w:rPr>
        <w:t xml:space="preserve">". </w:t>
      </w:r>
      <w:r w:rsidR="00CE5522" w:rsidRPr="004E7A27">
        <w:rPr>
          <w:rFonts w:ascii="Times New Roman" w:hAnsi="Times New Roman" w:cs="Times New Roman"/>
          <w:i/>
          <w:iCs/>
          <w:sz w:val="24"/>
          <w:szCs w:val="24"/>
        </w:rPr>
        <w:t>Journal of Business Ethics</w:t>
      </w:r>
      <w:r w:rsidR="00CE5522" w:rsidRPr="004E7A27">
        <w:rPr>
          <w:rFonts w:ascii="Times New Roman" w:hAnsi="Times New Roman" w:cs="Times New Roman"/>
          <w:sz w:val="24"/>
          <w:szCs w:val="24"/>
        </w:rPr>
        <w:t>. 141(2):337–350.</w:t>
      </w:r>
    </w:p>
    <w:p w14:paraId="73CF31A3" w14:textId="608C923B" w:rsidR="00CE5522" w:rsidRPr="004E7A27" w:rsidRDefault="00163254" w:rsidP="00CE552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[25] </w:t>
      </w:r>
      <w:r w:rsidR="00CE5522" w:rsidRPr="004E7A27">
        <w:rPr>
          <w:rFonts w:ascii="Times New Roman" w:hAnsi="Times New Roman" w:cs="Times New Roman"/>
          <w:sz w:val="24"/>
          <w:szCs w:val="24"/>
        </w:rPr>
        <w:t xml:space="preserve">Rose, C. (2007). "Does female board representation influence firm </w:t>
      </w:r>
      <w:proofErr w:type="gramStart"/>
      <w:r w:rsidR="00CE5522" w:rsidRPr="004E7A27">
        <w:rPr>
          <w:rFonts w:ascii="Times New Roman" w:hAnsi="Times New Roman" w:cs="Times New Roman"/>
          <w:sz w:val="24"/>
          <w:szCs w:val="24"/>
        </w:rPr>
        <w:t>performance ?</w:t>
      </w:r>
      <w:proofErr w:type="gramEnd"/>
      <w:r w:rsidR="00CE5522" w:rsidRPr="004E7A27">
        <w:rPr>
          <w:rFonts w:ascii="Times New Roman" w:hAnsi="Times New Roman" w:cs="Times New Roman"/>
          <w:sz w:val="24"/>
          <w:szCs w:val="24"/>
        </w:rPr>
        <w:t xml:space="preserve"> the </w:t>
      </w:r>
      <w:proofErr w:type="spellStart"/>
      <w:r w:rsidR="00CE5522" w:rsidRPr="004E7A27">
        <w:rPr>
          <w:rFonts w:ascii="Times New Roman" w:hAnsi="Times New Roman" w:cs="Times New Roman"/>
          <w:sz w:val="24"/>
          <w:szCs w:val="24"/>
        </w:rPr>
        <w:t>danish</w:t>
      </w:r>
      <w:proofErr w:type="spellEnd"/>
      <w:r w:rsidR="00CE5522" w:rsidRPr="004E7A27">
        <w:rPr>
          <w:rFonts w:ascii="Times New Roman" w:hAnsi="Times New Roman" w:cs="Times New Roman"/>
          <w:sz w:val="24"/>
          <w:szCs w:val="24"/>
        </w:rPr>
        <w:t xml:space="preserve"> evidence . corporate </w:t>
      </w:r>
      <w:proofErr w:type="gramStart"/>
      <w:r w:rsidR="00CE5522" w:rsidRPr="004E7A27">
        <w:rPr>
          <w:rFonts w:ascii="Times New Roman" w:hAnsi="Times New Roman" w:cs="Times New Roman"/>
          <w:sz w:val="24"/>
          <w:szCs w:val="24"/>
        </w:rPr>
        <w:t>governance :</w:t>
      </w:r>
      <w:proofErr w:type="gramEnd"/>
      <w:r w:rsidR="00CE5522" w:rsidRPr="004E7A27">
        <w:rPr>
          <w:rFonts w:ascii="Times New Roman" w:hAnsi="Times New Roman" w:cs="Times New Roman"/>
          <w:sz w:val="24"/>
          <w:szCs w:val="24"/>
        </w:rPr>
        <w:t xml:space="preserve"> an international does female board representation influence firm performance ? the </w:t>
      </w:r>
      <w:proofErr w:type="spellStart"/>
      <w:r w:rsidR="00CE5522" w:rsidRPr="004E7A27">
        <w:rPr>
          <w:rFonts w:ascii="Times New Roman" w:hAnsi="Times New Roman" w:cs="Times New Roman"/>
          <w:sz w:val="24"/>
          <w:szCs w:val="24"/>
        </w:rPr>
        <w:t>danish</w:t>
      </w:r>
      <w:proofErr w:type="spellEnd"/>
      <w:r w:rsidR="00CE5522" w:rsidRPr="004E7A27">
        <w:rPr>
          <w:rFonts w:ascii="Times New Roman" w:hAnsi="Times New Roman" w:cs="Times New Roman"/>
          <w:sz w:val="24"/>
          <w:szCs w:val="24"/>
        </w:rPr>
        <w:t xml:space="preserve"> evidence". </w:t>
      </w:r>
      <w:r w:rsidR="00CE5522" w:rsidRPr="004E7A27">
        <w:rPr>
          <w:rFonts w:ascii="Times New Roman" w:hAnsi="Times New Roman" w:cs="Times New Roman"/>
          <w:i/>
          <w:iCs/>
          <w:sz w:val="24"/>
          <w:szCs w:val="24"/>
        </w:rPr>
        <w:t>Corporate Governance</w:t>
      </w:r>
      <w:r w:rsidR="00CE5522" w:rsidRPr="004E7A27">
        <w:rPr>
          <w:rFonts w:ascii="Times New Roman" w:hAnsi="Times New Roman" w:cs="Times New Roman"/>
          <w:sz w:val="24"/>
          <w:szCs w:val="24"/>
        </w:rPr>
        <w:t>. 15(2):404–413.</w:t>
      </w:r>
    </w:p>
    <w:p w14:paraId="6EB03A91" w14:textId="3E29F169" w:rsidR="00CE5522" w:rsidRPr="004E7A27" w:rsidRDefault="00163254" w:rsidP="00CE552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[26] </w:t>
      </w:r>
      <w:r w:rsidR="00CE5522" w:rsidRPr="004E7A27">
        <w:rPr>
          <w:rFonts w:ascii="Times New Roman" w:hAnsi="Times New Roman" w:cs="Times New Roman"/>
          <w:sz w:val="24"/>
          <w:szCs w:val="24"/>
        </w:rPr>
        <w:t xml:space="preserve">Subhan, A., &amp; Amanda, C. (2016). </w:t>
      </w:r>
      <w:proofErr w:type="spellStart"/>
      <w:r w:rsidR="00CE5522" w:rsidRPr="004E7A27">
        <w:rPr>
          <w:rFonts w:ascii="Times New Roman" w:hAnsi="Times New Roman" w:cs="Times New Roman"/>
          <w:i/>
          <w:iCs/>
          <w:sz w:val="24"/>
          <w:szCs w:val="24"/>
        </w:rPr>
        <w:t>Industri</w:t>
      </w:r>
      <w:proofErr w:type="spellEnd"/>
      <w:r w:rsidR="00CE5522" w:rsidRPr="004E7A27">
        <w:rPr>
          <w:rFonts w:ascii="Times New Roman" w:hAnsi="Times New Roman" w:cs="Times New Roman"/>
          <w:i/>
          <w:iCs/>
          <w:sz w:val="24"/>
          <w:szCs w:val="24"/>
        </w:rPr>
        <w:t xml:space="preserve"> </w:t>
      </w:r>
      <w:proofErr w:type="spellStart"/>
      <w:r w:rsidR="00CE5522" w:rsidRPr="004E7A27">
        <w:rPr>
          <w:rFonts w:ascii="Times New Roman" w:hAnsi="Times New Roman" w:cs="Times New Roman"/>
          <w:i/>
          <w:iCs/>
          <w:sz w:val="24"/>
          <w:szCs w:val="24"/>
        </w:rPr>
        <w:t>Minyak</w:t>
      </w:r>
      <w:proofErr w:type="spellEnd"/>
      <w:r w:rsidR="00CE5522" w:rsidRPr="004E7A27">
        <w:rPr>
          <w:rFonts w:ascii="Times New Roman" w:hAnsi="Times New Roman" w:cs="Times New Roman"/>
          <w:i/>
          <w:iCs/>
          <w:sz w:val="24"/>
          <w:szCs w:val="24"/>
        </w:rPr>
        <w:t xml:space="preserve">: </w:t>
      </w:r>
      <w:proofErr w:type="spellStart"/>
      <w:r w:rsidR="00CE5522" w:rsidRPr="004E7A27">
        <w:rPr>
          <w:rFonts w:ascii="Times New Roman" w:hAnsi="Times New Roman" w:cs="Times New Roman"/>
          <w:i/>
          <w:iCs/>
          <w:sz w:val="24"/>
          <w:szCs w:val="24"/>
        </w:rPr>
        <w:t>Mengukur</w:t>
      </w:r>
      <w:proofErr w:type="spellEnd"/>
      <w:r w:rsidR="00CE5522" w:rsidRPr="004E7A27">
        <w:rPr>
          <w:rFonts w:ascii="Times New Roman" w:hAnsi="Times New Roman" w:cs="Times New Roman"/>
          <w:i/>
          <w:iCs/>
          <w:sz w:val="24"/>
          <w:szCs w:val="24"/>
        </w:rPr>
        <w:t xml:space="preserve"> </w:t>
      </w:r>
      <w:proofErr w:type="spellStart"/>
      <w:r w:rsidR="00CE5522" w:rsidRPr="004E7A27">
        <w:rPr>
          <w:rFonts w:ascii="Times New Roman" w:hAnsi="Times New Roman" w:cs="Times New Roman"/>
          <w:i/>
          <w:iCs/>
          <w:sz w:val="24"/>
          <w:szCs w:val="24"/>
        </w:rPr>
        <w:t>Dampak</w:t>
      </w:r>
      <w:proofErr w:type="spellEnd"/>
      <w:r w:rsidR="00CE5522" w:rsidRPr="004E7A27">
        <w:rPr>
          <w:rFonts w:ascii="Times New Roman" w:hAnsi="Times New Roman" w:cs="Times New Roman"/>
          <w:i/>
          <w:iCs/>
          <w:sz w:val="24"/>
          <w:szCs w:val="24"/>
        </w:rPr>
        <w:t xml:space="preserve"> </w:t>
      </w:r>
      <w:proofErr w:type="spellStart"/>
      <w:r w:rsidR="00CE5522" w:rsidRPr="004E7A27">
        <w:rPr>
          <w:rFonts w:ascii="Times New Roman" w:hAnsi="Times New Roman" w:cs="Times New Roman"/>
          <w:i/>
          <w:iCs/>
          <w:sz w:val="24"/>
          <w:szCs w:val="24"/>
        </w:rPr>
        <w:t>Penurunan</w:t>
      </w:r>
      <w:proofErr w:type="spellEnd"/>
      <w:r w:rsidR="00CE5522" w:rsidRPr="004E7A27">
        <w:rPr>
          <w:rFonts w:ascii="Times New Roman" w:hAnsi="Times New Roman" w:cs="Times New Roman"/>
          <w:i/>
          <w:iCs/>
          <w:sz w:val="24"/>
          <w:szCs w:val="24"/>
        </w:rPr>
        <w:t xml:space="preserve"> Harga</w:t>
      </w:r>
      <w:r w:rsidR="00CE5522" w:rsidRPr="004E7A27">
        <w:rPr>
          <w:rFonts w:ascii="Times New Roman" w:hAnsi="Times New Roman" w:cs="Times New Roman"/>
          <w:sz w:val="24"/>
          <w:szCs w:val="24"/>
        </w:rPr>
        <w:t>. Jakarta.</w:t>
      </w:r>
    </w:p>
    <w:p w14:paraId="79C3AC5B" w14:textId="02A8728D" w:rsidR="00CE5522" w:rsidRPr="004E7A27" w:rsidRDefault="00163254" w:rsidP="00CE552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[27] </w:t>
      </w:r>
      <w:r w:rsidR="00CE5522" w:rsidRPr="004E7A27">
        <w:rPr>
          <w:rFonts w:ascii="Times New Roman" w:hAnsi="Times New Roman" w:cs="Times New Roman"/>
          <w:sz w:val="24"/>
          <w:szCs w:val="24"/>
        </w:rPr>
        <w:t xml:space="preserve">Wibowo, </w:t>
      </w:r>
      <w:proofErr w:type="spellStart"/>
      <w:r w:rsidR="00CE5522" w:rsidRPr="004E7A27">
        <w:rPr>
          <w:rFonts w:ascii="Times New Roman" w:hAnsi="Times New Roman" w:cs="Times New Roman"/>
          <w:sz w:val="24"/>
          <w:szCs w:val="24"/>
        </w:rPr>
        <w:t>Aninda</w:t>
      </w:r>
      <w:proofErr w:type="spellEnd"/>
      <w:r w:rsidR="00CE5522" w:rsidRPr="004E7A27">
        <w:rPr>
          <w:rFonts w:ascii="Times New Roman" w:hAnsi="Times New Roman" w:cs="Times New Roman"/>
          <w:sz w:val="24"/>
          <w:szCs w:val="24"/>
        </w:rPr>
        <w:t xml:space="preserve"> Indra Ayu, </w:t>
      </w:r>
      <w:proofErr w:type="spellStart"/>
      <w:r w:rsidR="00CE5522" w:rsidRPr="004E7A27">
        <w:rPr>
          <w:rFonts w:ascii="Times New Roman" w:hAnsi="Times New Roman" w:cs="Times New Roman"/>
          <w:sz w:val="24"/>
          <w:szCs w:val="24"/>
        </w:rPr>
        <w:t>dkk</w:t>
      </w:r>
      <w:proofErr w:type="spellEnd"/>
      <w:r w:rsidR="00CE5522" w:rsidRPr="004E7A27">
        <w:rPr>
          <w:rFonts w:ascii="Times New Roman" w:hAnsi="Times New Roman" w:cs="Times New Roman"/>
          <w:sz w:val="24"/>
          <w:szCs w:val="24"/>
        </w:rPr>
        <w:t>. 2020. “</w:t>
      </w:r>
      <w:proofErr w:type="spellStart"/>
      <w:r w:rsidR="00CE5522" w:rsidRPr="004E7A27">
        <w:rPr>
          <w:rFonts w:ascii="Times New Roman" w:hAnsi="Times New Roman" w:cs="Times New Roman"/>
          <w:sz w:val="24"/>
          <w:szCs w:val="24"/>
        </w:rPr>
        <w:t>Pengaruh</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Risiko</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Likuiditas</w:t>
      </w:r>
      <w:proofErr w:type="spellEnd"/>
      <w:r w:rsidR="00CE5522" w:rsidRPr="004E7A27">
        <w:rPr>
          <w:rFonts w:ascii="Times New Roman" w:hAnsi="Times New Roman" w:cs="Times New Roman"/>
          <w:sz w:val="24"/>
          <w:szCs w:val="24"/>
        </w:rPr>
        <w:t xml:space="preserve">, </w:t>
      </w:r>
      <w:r w:rsidR="00CE5522" w:rsidRPr="004E7A27">
        <w:rPr>
          <w:rFonts w:ascii="Times New Roman" w:hAnsi="Times New Roman" w:cs="Times New Roman"/>
          <w:i/>
          <w:iCs/>
          <w:sz w:val="24"/>
          <w:szCs w:val="24"/>
        </w:rPr>
        <w:t xml:space="preserve">Net Interest Margin, </w:t>
      </w:r>
      <w:r w:rsidR="00CE5522" w:rsidRPr="004E7A27">
        <w:rPr>
          <w:rFonts w:ascii="Times New Roman" w:hAnsi="Times New Roman" w:cs="Times New Roman"/>
          <w:sz w:val="24"/>
          <w:szCs w:val="24"/>
        </w:rPr>
        <w:t xml:space="preserve">dan </w:t>
      </w:r>
      <w:r w:rsidR="00CE5522" w:rsidRPr="004E7A27">
        <w:rPr>
          <w:rFonts w:ascii="Times New Roman" w:hAnsi="Times New Roman" w:cs="Times New Roman"/>
          <w:i/>
          <w:iCs/>
          <w:sz w:val="24"/>
          <w:szCs w:val="24"/>
        </w:rPr>
        <w:t xml:space="preserve">Good Corporate Governance </w:t>
      </w:r>
      <w:proofErr w:type="spellStart"/>
      <w:r w:rsidR="00CE5522" w:rsidRPr="004E7A27">
        <w:rPr>
          <w:rFonts w:ascii="Times New Roman" w:hAnsi="Times New Roman" w:cs="Times New Roman"/>
          <w:sz w:val="24"/>
          <w:szCs w:val="24"/>
        </w:rPr>
        <w:t>Terhadap</w:t>
      </w:r>
      <w:proofErr w:type="spellEnd"/>
      <w:r w:rsidR="00CE5522" w:rsidRPr="004E7A27">
        <w:rPr>
          <w:rFonts w:ascii="Times New Roman" w:hAnsi="Times New Roman" w:cs="Times New Roman"/>
          <w:sz w:val="24"/>
          <w:szCs w:val="24"/>
        </w:rPr>
        <w:t xml:space="preserve"> Kinerja </w:t>
      </w:r>
      <w:proofErr w:type="spellStart"/>
      <w:r w:rsidR="00CE5522" w:rsidRPr="004E7A27">
        <w:rPr>
          <w:rFonts w:ascii="Times New Roman" w:hAnsi="Times New Roman" w:cs="Times New Roman"/>
          <w:sz w:val="24"/>
          <w:szCs w:val="24"/>
        </w:rPr>
        <w:t>Keuangan</w:t>
      </w:r>
      <w:proofErr w:type="spellEnd"/>
      <w:r w:rsidR="00CE5522" w:rsidRPr="004E7A27">
        <w:rPr>
          <w:rFonts w:ascii="Times New Roman" w:hAnsi="Times New Roman" w:cs="Times New Roman"/>
          <w:sz w:val="24"/>
          <w:szCs w:val="24"/>
        </w:rPr>
        <w:t xml:space="preserve"> Bank </w:t>
      </w:r>
      <w:proofErr w:type="spellStart"/>
      <w:r w:rsidR="00CE5522" w:rsidRPr="004E7A27">
        <w:rPr>
          <w:rFonts w:ascii="Times New Roman" w:hAnsi="Times New Roman" w:cs="Times New Roman"/>
          <w:sz w:val="24"/>
          <w:szCs w:val="24"/>
        </w:rPr>
        <w:t>Umum</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Jurnal</w:t>
      </w:r>
      <w:proofErr w:type="spellEnd"/>
      <w:r w:rsidR="00CE5522" w:rsidRPr="004E7A27">
        <w:rPr>
          <w:rFonts w:ascii="Times New Roman" w:hAnsi="Times New Roman" w:cs="Times New Roman"/>
          <w:sz w:val="24"/>
          <w:szCs w:val="24"/>
        </w:rPr>
        <w:t xml:space="preserve"> Modus. Vol.32. No.1. 2020. E-ISSN: 2549-3787. P-ISSN: 0852-1875. Hal.53-65.</w:t>
      </w:r>
    </w:p>
    <w:p w14:paraId="62B81D9C" w14:textId="77B7FB74" w:rsidR="00CE5522" w:rsidRPr="004E7A27" w:rsidRDefault="00163254" w:rsidP="00CE552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[28] </w:t>
      </w:r>
      <w:r w:rsidR="00CE5522" w:rsidRPr="004E7A27">
        <w:rPr>
          <w:rFonts w:ascii="Times New Roman" w:hAnsi="Times New Roman" w:cs="Times New Roman"/>
          <w:sz w:val="24"/>
          <w:szCs w:val="24"/>
        </w:rPr>
        <w:t xml:space="preserve">Wijaya, P. C. dan B. </w:t>
      </w:r>
      <w:proofErr w:type="spellStart"/>
      <w:r w:rsidR="00CE5522" w:rsidRPr="004E7A27">
        <w:rPr>
          <w:rFonts w:ascii="Times New Roman" w:hAnsi="Times New Roman" w:cs="Times New Roman"/>
          <w:sz w:val="24"/>
          <w:szCs w:val="24"/>
        </w:rPr>
        <w:t>Suprasto</w:t>
      </w:r>
      <w:proofErr w:type="spellEnd"/>
      <w:r w:rsidR="00CE5522" w:rsidRPr="004E7A27">
        <w:rPr>
          <w:rFonts w:ascii="Times New Roman" w:hAnsi="Times New Roman" w:cs="Times New Roman"/>
          <w:sz w:val="24"/>
          <w:szCs w:val="24"/>
        </w:rPr>
        <w:t>. (2015). "</w:t>
      </w:r>
      <w:proofErr w:type="spellStart"/>
      <w:r w:rsidR="00CE5522" w:rsidRPr="004E7A27">
        <w:rPr>
          <w:rFonts w:ascii="Times New Roman" w:hAnsi="Times New Roman" w:cs="Times New Roman"/>
          <w:sz w:val="24"/>
          <w:szCs w:val="24"/>
        </w:rPr>
        <w:t>Pengaruh</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persebaran</w:t>
      </w:r>
      <w:proofErr w:type="spellEnd"/>
      <w:r w:rsidR="00CE5522" w:rsidRPr="004E7A27">
        <w:rPr>
          <w:rFonts w:ascii="Times New Roman" w:hAnsi="Times New Roman" w:cs="Times New Roman"/>
          <w:sz w:val="24"/>
          <w:szCs w:val="24"/>
        </w:rPr>
        <w:t xml:space="preserve"> dewan two tier (dewan </w:t>
      </w:r>
      <w:proofErr w:type="spellStart"/>
      <w:r w:rsidR="00CE5522" w:rsidRPr="004E7A27">
        <w:rPr>
          <w:rFonts w:ascii="Times New Roman" w:hAnsi="Times New Roman" w:cs="Times New Roman"/>
          <w:sz w:val="24"/>
          <w:szCs w:val="24"/>
        </w:rPr>
        <w:t>gabungan</w:t>
      </w:r>
      <w:proofErr w:type="spellEnd"/>
      <w:r w:rsidR="00CE5522" w:rsidRPr="004E7A27">
        <w:rPr>
          <w:rFonts w:ascii="Times New Roman" w:hAnsi="Times New Roman" w:cs="Times New Roman"/>
          <w:sz w:val="24"/>
          <w:szCs w:val="24"/>
        </w:rPr>
        <w:t xml:space="preserve">) pada </w:t>
      </w:r>
      <w:proofErr w:type="spellStart"/>
      <w:r w:rsidR="00CE5522" w:rsidRPr="004E7A27">
        <w:rPr>
          <w:rFonts w:ascii="Times New Roman" w:hAnsi="Times New Roman" w:cs="Times New Roman"/>
          <w:sz w:val="24"/>
          <w:szCs w:val="24"/>
        </w:rPr>
        <w:t>nilai</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perusahaan</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sektor</w:t>
      </w:r>
      <w:proofErr w:type="spellEnd"/>
      <w:r w:rsidR="00CE5522" w:rsidRPr="004E7A27">
        <w:rPr>
          <w:rFonts w:ascii="Times New Roman" w:hAnsi="Times New Roman" w:cs="Times New Roman"/>
          <w:sz w:val="24"/>
          <w:szCs w:val="24"/>
        </w:rPr>
        <w:t xml:space="preserve"> </w:t>
      </w:r>
      <w:proofErr w:type="spellStart"/>
      <w:r w:rsidR="00CE5522" w:rsidRPr="004E7A27">
        <w:rPr>
          <w:rFonts w:ascii="Times New Roman" w:hAnsi="Times New Roman" w:cs="Times New Roman"/>
          <w:sz w:val="24"/>
          <w:szCs w:val="24"/>
        </w:rPr>
        <w:t>keuangan</w:t>
      </w:r>
      <w:proofErr w:type="spellEnd"/>
      <w:r w:rsidR="00CE5522" w:rsidRPr="004E7A27">
        <w:rPr>
          <w:rFonts w:ascii="Times New Roman" w:hAnsi="Times New Roman" w:cs="Times New Roman"/>
          <w:sz w:val="24"/>
          <w:szCs w:val="24"/>
        </w:rPr>
        <w:t xml:space="preserve">". </w:t>
      </w:r>
      <w:r w:rsidR="00CE5522" w:rsidRPr="004E7A27">
        <w:rPr>
          <w:rFonts w:ascii="Times New Roman" w:hAnsi="Times New Roman" w:cs="Times New Roman"/>
          <w:i/>
          <w:iCs/>
          <w:sz w:val="24"/>
          <w:szCs w:val="24"/>
        </w:rPr>
        <w:t>E-</w:t>
      </w:r>
      <w:proofErr w:type="spellStart"/>
      <w:r w:rsidR="00CE5522" w:rsidRPr="004E7A27">
        <w:rPr>
          <w:rFonts w:ascii="Times New Roman" w:hAnsi="Times New Roman" w:cs="Times New Roman"/>
          <w:i/>
          <w:iCs/>
          <w:sz w:val="24"/>
          <w:szCs w:val="24"/>
        </w:rPr>
        <w:t>Jurnal</w:t>
      </w:r>
      <w:proofErr w:type="spellEnd"/>
      <w:r w:rsidR="00CE5522" w:rsidRPr="004E7A27">
        <w:rPr>
          <w:rFonts w:ascii="Times New Roman" w:hAnsi="Times New Roman" w:cs="Times New Roman"/>
          <w:i/>
          <w:iCs/>
          <w:sz w:val="24"/>
          <w:szCs w:val="24"/>
        </w:rPr>
        <w:t xml:space="preserve"> </w:t>
      </w:r>
      <w:proofErr w:type="spellStart"/>
      <w:r w:rsidR="00CE5522" w:rsidRPr="004E7A27">
        <w:rPr>
          <w:rFonts w:ascii="Times New Roman" w:hAnsi="Times New Roman" w:cs="Times New Roman"/>
          <w:i/>
          <w:iCs/>
          <w:sz w:val="24"/>
          <w:szCs w:val="24"/>
        </w:rPr>
        <w:t>Akuntansi</w:t>
      </w:r>
      <w:proofErr w:type="spellEnd"/>
      <w:r w:rsidR="00CE5522" w:rsidRPr="004E7A27">
        <w:rPr>
          <w:rFonts w:ascii="Times New Roman" w:hAnsi="Times New Roman" w:cs="Times New Roman"/>
          <w:i/>
          <w:iCs/>
          <w:sz w:val="24"/>
          <w:szCs w:val="24"/>
        </w:rPr>
        <w:t xml:space="preserve"> Universitas </w:t>
      </w:r>
      <w:proofErr w:type="spellStart"/>
      <w:r w:rsidR="00CE5522" w:rsidRPr="004E7A27">
        <w:rPr>
          <w:rFonts w:ascii="Times New Roman" w:hAnsi="Times New Roman" w:cs="Times New Roman"/>
          <w:i/>
          <w:iCs/>
          <w:sz w:val="24"/>
          <w:szCs w:val="24"/>
        </w:rPr>
        <w:t>Udayana</w:t>
      </w:r>
      <w:proofErr w:type="spellEnd"/>
      <w:r w:rsidR="00CE5522" w:rsidRPr="004E7A27">
        <w:rPr>
          <w:rFonts w:ascii="Times New Roman" w:hAnsi="Times New Roman" w:cs="Times New Roman"/>
          <w:sz w:val="24"/>
          <w:szCs w:val="24"/>
        </w:rPr>
        <w:t>. 12(3):722–734.</w:t>
      </w:r>
    </w:p>
    <w:p w14:paraId="0384F372" w14:textId="77777777" w:rsidR="00CE5522" w:rsidRPr="00F02C04" w:rsidRDefault="00CE5522" w:rsidP="00CE5522">
      <w:pPr>
        <w:jc w:val="both"/>
      </w:pPr>
    </w:p>
    <w:sectPr w:rsidR="00CE5522" w:rsidRPr="00F02C04" w:rsidSect="00C92D15">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2F8E"/>
    <w:multiLevelType w:val="hybridMultilevel"/>
    <w:tmpl w:val="EF40F8F8"/>
    <w:lvl w:ilvl="0" w:tplc="592695A2">
      <w:start w:val="1"/>
      <w:numFmt w:val="low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C381970"/>
    <w:multiLevelType w:val="hybridMultilevel"/>
    <w:tmpl w:val="193A4618"/>
    <w:lvl w:ilvl="0" w:tplc="C84C9BE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86C21ED"/>
    <w:multiLevelType w:val="hybridMultilevel"/>
    <w:tmpl w:val="AF643A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0424107">
    <w:abstractNumId w:val="2"/>
  </w:num>
  <w:num w:numId="2" w16cid:durableId="766072977">
    <w:abstractNumId w:val="1"/>
  </w:num>
  <w:num w:numId="3" w16cid:durableId="511651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51C"/>
    <w:rsid w:val="000F53B9"/>
    <w:rsid w:val="00163254"/>
    <w:rsid w:val="001C025E"/>
    <w:rsid w:val="001D0520"/>
    <w:rsid w:val="002C4B8F"/>
    <w:rsid w:val="003A1259"/>
    <w:rsid w:val="004C28D2"/>
    <w:rsid w:val="00515CCE"/>
    <w:rsid w:val="00540829"/>
    <w:rsid w:val="00547092"/>
    <w:rsid w:val="005522A4"/>
    <w:rsid w:val="00784924"/>
    <w:rsid w:val="007E6C61"/>
    <w:rsid w:val="00836DC2"/>
    <w:rsid w:val="008E69B7"/>
    <w:rsid w:val="008F4331"/>
    <w:rsid w:val="009601CD"/>
    <w:rsid w:val="00A04B9B"/>
    <w:rsid w:val="00A2448F"/>
    <w:rsid w:val="00A9112B"/>
    <w:rsid w:val="00AA7832"/>
    <w:rsid w:val="00B66A6C"/>
    <w:rsid w:val="00C85B79"/>
    <w:rsid w:val="00C8751C"/>
    <w:rsid w:val="00C92D15"/>
    <w:rsid w:val="00CE4810"/>
    <w:rsid w:val="00CE5522"/>
    <w:rsid w:val="00DA1968"/>
    <w:rsid w:val="00E6428E"/>
    <w:rsid w:val="00E65106"/>
    <w:rsid w:val="00F02C04"/>
    <w:rsid w:val="00FD379F"/>
    <w:rsid w:val="00FE28E2"/>
    <w:rsid w:val="00FE77D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D3B8"/>
  <w15:chartTrackingRefBased/>
  <w15:docId w15:val="{F127C2DE-5292-4ACE-BA92-FC091845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75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51C"/>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C8751C"/>
    <w:rPr>
      <w:b/>
      <w:bCs/>
      <w:i/>
      <w:iCs/>
      <w:spacing w:val="5"/>
    </w:rPr>
  </w:style>
  <w:style w:type="paragraph" w:styleId="NormalWeb">
    <w:name w:val="Normal (Web)"/>
    <w:basedOn w:val="Normal"/>
    <w:uiPriority w:val="99"/>
    <w:semiHidden/>
    <w:unhideWhenUsed/>
    <w:rsid w:val="00C875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spasi 2 taiiii,skripsi,Body Text Char1,Char Char2,List Paragraph2,List Paragraph1,Body of text"/>
    <w:basedOn w:val="Normal"/>
    <w:link w:val="ListParagraphChar"/>
    <w:uiPriority w:val="34"/>
    <w:qFormat/>
    <w:rsid w:val="00C8751C"/>
    <w:pPr>
      <w:ind w:left="720"/>
      <w:contextualSpacing/>
    </w:pPr>
  </w:style>
  <w:style w:type="table" w:customStyle="1" w:styleId="PlainTable21">
    <w:name w:val="Plain Table 21"/>
    <w:basedOn w:val="TableNormal"/>
    <w:uiPriority w:val="42"/>
    <w:rsid w:val="005522A4"/>
    <w:pPr>
      <w:spacing w:after="0" w:line="240" w:lineRule="auto"/>
    </w:pPr>
    <w:rPr>
      <w:rFonts w:ascii="Calibri" w:eastAsia="Calibri" w:hAnsi="Calibri" w:cs="Arial"/>
      <w:sz w:val="20"/>
      <w:szCs w:val="20"/>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CE5522"/>
    <w:rPr>
      <w:color w:val="0563C1" w:themeColor="hyperlink"/>
      <w:u w:val="single"/>
    </w:rPr>
  </w:style>
  <w:style w:type="character" w:customStyle="1" w:styleId="ListParagraphChar">
    <w:name w:val="List Paragraph Char"/>
    <w:aliases w:val="spasi 2 taiiii Char,skripsi Char,Body Text Char1 Char,Char Char2 Char,List Paragraph2 Char,List Paragraph1 Char,Body of text Char"/>
    <w:basedOn w:val="DefaultParagraphFont"/>
    <w:link w:val="ListParagraph"/>
    <w:uiPriority w:val="34"/>
    <w:locked/>
    <w:rsid w:val="00836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464986">
      <w:bodyDiv w:val="1"/>
      <w:marLeft w:val="0"/>
      <w:marRight w:val="0"/>
      <w:marTop w:val="0"/>
      <w:marBottom w:val="0"/>
      <w:divBdr>
        <w:top w:val="none" w:sz="0" w:space="0" w:color="auto"/>
        <w:left w:val="none" w:sz="0" w:space="0" w:color="auto"/>
        <w:bottom w:val="none" w:sz="0" w:space="0" w:color="auto"/>
        <w:right w:val="none" w:sz="0" w:space="0" w:color="auto"/>
      </w:divBdr>
    </w:div>
    <w:div w:id="1443916574">
      <w:bodyDiv w:val="1"/>
      <w:marLeft w:val="0"/>
      <w:marRight w:val="0"/>
      <w:marTop w:val="0"/>
      <w:marBottom w:val="0"/>
      <w:divBdr>
        <w:top w:val="none" w:sz="0" w:space="0" w:color="auto"/>
        <w:left w:val="none" w:sz="0" w:space="0" w:color="auto"/>
        <w:bottom w:val="none" w:sz="0" w:space="0" w:color="auto"/>
        <w:right w:val="none" w:sz="0" w:space="0" w:color="auto"/>
      </w:divBdr>
    </w:div>
    <w:div w:id="163613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physa.2019.123745"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ejournal.unp.ac.id/students/index.php/akt/article/view/1537" TargetMode="External"/><Relationship Id="rId4" Type="http://schemas.openxmlformats.org/officeDocument/2006/relationships/webSettings" Target="webSettings.xml"/><Relationship Id="rId9" Type="http://schemas.openxmlformats.org/officeDocument/2006/relationships/hyperlink" Target="https://ideas.repec.org/a/bpj/rmeecf/v13y2017i2p15n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6687</Words>
  <Characters>38118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Naufal</dc:creator>
  <cp:keywords/>
  <dc:description/>
  <cp:lastModifiedBy>Prof. Adler Haymans Manurung</cp:lastModifiedBy>
  <cp:revision>2</cp:revision>
  <dcterms:created xsi:type="dcterms:W3CDTF">2023-02-17T16:03:00Z</dcterms:created>
  <dcterms:modified xsi:type="dcterms:W3CDTF">2023-02-17T16:03:00Z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252ed69f-e015-418d-b215-c4561620f672</vt:lpwstr>
  </property>
</Properties>
</file>