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45" w:rsidRDefault="006852A6" w:rsidP="004903A8">
      <w:pPr>
        <w:pStyle w:val="Articletitle"/>
        <w:spacing w:line="480" w:lineRule="auto"/>
        <w:jc w:val="center"/>
      </w:pPr>
      <w:r>
        <w:t>Changes in t</w:t>
      </w:r>
      <w:r w:rsidR="00B71F4B" w:rsidRPr="008135F0">
        <w:t xml:space="preserve">otal factor productivity </w:t>
      </w:r>
      <w:r>
        <w:t xml:space="preserve">in </w:t>
      </w:r>
      <w:r w:rsidR="00B71F4B" w:rsidRPr="008135F0">
        <w:t xml:space="preserve">National Health Insurance </w:t>
      </w:r>
      <w:r>
        <w:t>system of Taiwan between</w:t>
      </w:r>
      <w:r w:rsidR="00B71F4B">
        <w:t xml:space="preserve"> 2005</w:t>
      </w:r>
      <w:r>
        <w:t xml:space="preserve"> and </w:t>
      </w:r>
      <w:r w:rsidR="00B71F4B">
        <w:t>2014</w:t>
      </w:r>
    </w:p>
    <w:p w:rsidR="00442B9C" w:rsidRPr="004335B2" w:rsidRDefault="00B71F4B" w:rsidP="004903A8">
      <w:pPr>
        <w:pStyle w:val="Authornames"/>
        <w:spacing w:line="480" w:lineRule="auto"/>
        <w:jc w:val="center"/>
        <w:rPr>
          <w:sz w:val="24"/>
        </w:rPr>
      </w:pPr>
      <w:proofErr w:type="spellStart"/>
      <w:r w:rsidRPr="004335B2">
        <w:rPr>
          <w:rFonts w:eastAsia="DFKai-SB"/>
          <w:sz w:val="24"/>
        </w:rPr>
        <w:t>Jui</w:t>
      </w:r>
      <w:proofErr w:type="spellEnd"/>
      <w:r w:rsidRPr="004335B2">
        <w:rPr>
          <w:rFonts w:eastAsia="DFKai-SB"/>
          <w:sz w:val="24"/>
        </w:rPr>
        <w:t>-Hsiang Wang</w:t>
      </w:r>
      <w:r w:rsidRPr="004335B2">
        <w:rPr>
          <w:rFonts w:eastAsia="DFKai-SB"/>
          <w:sz w:val="24"/>
          <w:vertAlign w:val="superscript"/>
        </w:rPr>
        <w:t>1, 2</w:t>
      </w:r>
      <w:r w:rsidRPr="004335B2">
        <w:rPr>
          <w:rFonts w:eastAsia="DFKai-SB"/>
          <w:sz w:val="24"/>
        </w:rPr>
        <w:t>&amp;Chun-Chu Liu</w:t>
      </w:r>
      <w:r w:rsidRPr="004335B2">
        <w:rPr>
          <w:rFonts w:eastAsia="DFKai-SB"/>
          <w:sz w:val="24"/>
          <w:vertAlign w:val="superscript"/>
        </w:rPr>
        <w:t>1</w:t>
      </w:r>
    </w:p>
    <w:p w:rsidR="00C246C5" w:rsidRPr="0030041D" w:rsidRDefault="00C246C5" w:rsidP="007678DD"/>
    <w:p w:rsidR="0030041D" w:rsidRPr="004335B2" w:rsidRDefault="0030041D" w:rsidP="004335B2">
      <w:pPr>
        <w:pStyle w:val="Abstract"/>
        <w:spacing w:before="0" w:after="0" w:line="480" w:lineRule="auto"/>
        <w:ind w:left="0"/>
        <w:jc w:val="center"/>
        <w:rPr>
          <w:b/>
          <w:sz w:val="24"/>
          <w:lang w:eastAsia="zh-TW"/>
        </w:rPr>
      </w:pPr>
      <w:r w:rsidRPr="004335B2">
        <w:rPr>
          <w:rFonts w:hint="eastAsia"/>
          <w:b/>
          <w:sz w:val="24"/>
          <w:lang w:eastAsia="zh-TW"/>
        </w:rPr>
        <w:t>Ab</w:t>
      </w:r>
      <w:r w:rsidRPr="004335B2">
        <w:rPr>
          <w:b/>
          <w:sz w:val="24"/>
          <w:lang w:eastAsia="zh-TW"/>
        </w:rPr>
        <w:t>s</w:t>
      </w:r>
      <w:r w:rsidRPr="004335B2">
        <w:rPr>
          <w:rFonts w:hint="eastAsia"/>
          <w:b/>
          <w:sz w:val="24"/>
          <w:lang w:eastAsia="zh-TW"/>
        </w:rPr>
        <w:t>tract</w:t>
      </w:r>
    </w:p>
    <w:p w:rsidR="00266354" w:rsidRDefault="006852A6" w:rsidP="00AE12C3">
      <w:pPr>
        <w:pStyle w:val="Abstract"/>
        <w:spacing w:before="0" w:after="0" w:line="480" w:lineRule="auto"/>
        <w:ind w:left="0"/>
        <w:jc w:val="both"/>
      </w:pPr>
      <w:r>
        <w:t>In this study, we evaluated</w:t>
      </w:r>
      <w:r w:rsidR="001372F1">
        <w:rPr>
          <w:rFonts w:hint="eastAsia"/>
          <w:lang w:eastAsia="zh-TW"/>
        </w:rPr>
        <w:t xml:space="preserve"> </w:t>
      </w:r>
      <w:r w:rsidRPr="000F3E35">
        <w:t>change</w:t>
      </w:r>
      <w:r>
        <w:t>s in</w:t>
      </w:r>
      <w:r w:rsidR="0030041D" w:rsidRPr="000F3E35">
        <w:t xml:space="preserve">efficiency </w:t>
      </w:r>
      <w:r>
        <w:t>in the</w:t>
      </w:r>
      <w:r w:rsidR="0030041D" w:rsidRPr="000F3E35">
        <w:t xml:space="preserve"> medical service industry </w:t>
      </w:r>
      <w:r>
        <w:t>of</w:t>
      </w:r>
      <w:r w:rsidR="001372F1">
        <w:rPr>
          <w:rFonts w:hint="eastAsia"/>
          <w:lang w:eastAsia="zh-TW"/>
        </w:rPr>
        <w:t xml:space="preserve"> </w:t>
      </w:r>
      <w:r w:rsidR="0030041D" w:rsidRPr="000F3E35">
        <w:t xml:space="preserve">Taiwan at </w:t>
      </w:r>
      <w:r>
        <w:t>the level of decision</w:t>
      </w:r>
      <w:r w:rsidR="009F63AD">
        <w:t>-</w:t>
      </w:r>
      <w:r>
        <w:t>making units</w:t>
      </w:r>
      <w:r w:rsidR="001372F1">
        <w:rPr>
          <w:rFonts w:hint="eastAsia"/>
          <w:lang w:eastAsia="zh-TW"/>
        </w:rPr>
        <w:t xml:space="preserve"> </w:t>
      </w:r>
      <w:r>
        <w:t>as well as at the</w:t>
      </w:r>
      <w:r w:rsidR="0030041D" w:rsidRPr="000F3E35">
        <w:t xml:space="preserve"> industry level. </w:t>
      </w:r>
      <w:r w:rsidR="0030041D" w:rsidRPr="000F3E35">
        <w:rPr>
          <w:rFonts w:hint="eastAsia"/>
        </w:rPr>
        <w:t xml:space="preserve">The </w:t>
      </w:r>
      <w:r w:rsidR="003C05B5">
        <w:t>e</w:t>
      </w:r>
      <w:r w:rsidR="003C05B5" w:rsidRPr="000F3E35">
        <w:rPr>
          <w:rFonts w:hint="eastAsia"/>
        </w:rPr>
        <w:t xml:space="preserve">fficiency, </w:t>
      </w:r>
      <w:r w:rsidR="003C05B5" w:rsidRPr="000675DF">
        <w:rPr>
          <w:rFonts w:hint="eastAsia"/>
          <w:noProof/>
        </w:rPr>
        <w:t>techn</w:t>
      </w:r>
      <w:r w:rsidR="003C05B5">
        <w:rPr>
          <w:noProof/>
        </w:rPr>
        <w:t>ology,</w:t>
      </w:r>
      <w:r w:rsidR="003C05B5" w:rsidRPr="000F3E35">
        <w:rPr>
          <w:rFonts w:hint="eastAsia"/>
        </w:rPr>
        <w:t xml:space="preserve"> and total factor productivity </w:t>
      </w:r>
      <w:r w:rsidR="003C05B5">
        <w:t>of the</w:t>
      </w:r>
      <w:r w:rsidR="001372F1">
        <w:rPr>
          <w:rFonts w:hint="eastAsia"/>
          <w:lang w:eastAsia="zh-TW"/>
        </w:rPr>
        <w:t xml:space="preserve"> </w:t>
      </w:r>
      <w:r w:rsidR="0030041D" w:rsidRPr="000F3E35">
        <w:rPr>
          <w:rFonts w:hint="eastAsia"/>
        </w:rPr>
        <w:t>National Health insurance</w:t>
      </w:r>
      <w:r w:rsidR="003C05B5">
        <w:t xml:space="preserve"> system has changed considerably since it was first developed in</w:t>
      </w:r>
      <w:r w:rsidR="0030041D" w:rsidRPr="000F3E35">
        <w:rPr>
          <w:rFonts w:hint="eastAsia"/>
        </w:rPr>
        <w:t xml:space="preserve"> 1995</w:t>
      </w:r>
      <w:r w:rsidR="0030041D" w:rsidRPr="000F3E35">
        <w:t>.</w:t>
      </w:r>
      <w:r w:rsidR="00FC219D">
        <w:rPr>
          <w:rFonts w:hint="eastAsia"/>
          <w:lang w:eastAsia="zh-TW"/>
        </w:rPr>
        <w:t xml:space="preserve"> </w:t>
      </w:r>
      <w:r w:rsidR="003C05B5">
        <w:t>We employed the d</w:t>
      </w:r>
      <w:r w:rsidR="0030041D" w:rsidRPr="000F3E35">
        <w:t xml:space="preserve">ata envelopment analysis </w:t>
      </w:r>
      <w:r w:rsidR="009F63AD">
        <w:t>(</w:t>
      </w:r>
      <w:r w:rsidR="0030041D" w:rsidRPr="000F3E35">
        <w:t>DEA</w:t>
      </w:r>
      <w:r w:rsidR="009F63AD">
        <w:t xml:space="preserve">) and </w:t>
      </w:r>
      <w:proofErr w:type="spellStart"/>
      <w:r w:rsidR="0030041D" w:rsidRPr="000F3E35">
        <w:t>Malmquist</w:t>
      </w:r>
      <w:proofErr w:type="spellEnd"/>
      <w:r w:rsidR="0030041D" w:rsidRPr="000F3E35">
        <w:t xml:space="preserve"> index methodology </w:t>
      </w:r>
      <w:r w:rsidR="003C05B5">
        <w:t>using</w:t>
      </w:r>
      <w:r w:rsidR="0030041D" w:rsidRPr="000F3E35">
        <w:t xml:space="preserve"> two input and two output indicators </w:t>
      </w:r>
      <w:r w:rsidR="003C05B5">
        <w:t xml:space="preserve">in </w:t>
      </w:r>
      <w:r w:rsidR="000515DD">
        <w:t>assessing the</w:t>
      </w:r>
      <w:r w:rsidR="001372F1">
        <w:rPr>
          <w:rFonts w:hint="eastAsia"/>
          <w:lang w:eastAsia="zh-TW"/>
        </w:rPr>
        <w:t xml:space="preserve"> </w:t>
      </w:r>
      <w:r w:rsidR="000515DD" w:rsidRPr="000F3E35">
        <w:t>total factor productivity</w:t>
      </w:r>
      <w:r w:rsidR="000515DD">
        <w:t xml:space="preserve"> of</w:t>
      </w:r>
      <w:r w:rsidR="003C05B5">
        <w:t>22</w:t>
      </w:r>
      <w:r w:rsidR="0030041D" w:rsidRPr="000F3E35">
        <w:t xml:space="preserve"> counties</w:t>
      </w:r>
      <w:r w:rsidR="000515DD">
        <w:t>/</w:t>
      </w:r>
      <w:r w:rsidR="0030041D" w:rsidRPr="000F3E35">
        <w:t xml:space="preserve">cities </w:t>
      </w:r>
      <w:r w:rsidR="003C05B5">
        <w:t>over the period</w:t>
      </w:r>
      <w:r w:rsidR="0030041D" w:rsidRPr="000F3E35">
        <w:t xml:space="preserve"> 2005~2014. </w:t>
      </w:r>
      <w:r w:rsidR="000515DD">
        <w:t>D</w:t>
      </w:r>
      <w:r w:rsidR="0030041D" w:rsidRPr="000F3E35">
        <w:t>ecomposing</w:t>
      </w:r>
      <w:r w:rsidR="000515DD">
        <w:t xml:space="preserve"> the</w:t>
      </w:r>
      <w:r w:rsidR="0030041D" w:rsidRPr="000F3E35">
        <w:t xml:space="preserve"> </w:t>
      </w:r>
      <w:proofErr w:type="spellStart"/>
      <w:r w:rsidR="0030041D" w:rsidRPr="000F3E35">
        <w:t>Malmquist</w:t>
      </w:r>
      <w:proofErr w:type="spellEnd"/>
      <w:r w:rsidR="0030041D" w:rsidRPr="000F3E35">
        <w:t xml:space="preserve"> index into “catch-up” and “frontier shift” component</w:t>
      </w:r>
      <w:r w:rsidR="000515DD">
        <w:t>s</w:t>
      </w:r>
      <w:r w:rsidR="001372F1">
        <w:rPr>
          <w:rFonts w:hint="eastAsia"/>
          <w:lang w:eastAsia="zh-TW"/>
        </w:rPr>
        <w:t xml:space="preserve"> </w:t>
      </w:r>
      <w:r w:rsidR="000515DD">
        <w:t xml:space="preserve">revealed a decrease in the quality of care </w:t>
      </w:r>
      <w:r w:rsidR="0030041D" w:rsidRPr="000F3E35">
        <w:t xml:space="preserve">during </w:t>
      </w:r>
      <w:r w:rsidR="000515DD">
        <w:t>the study period</w:t>
      </w:r>
      <w:r w:rsidR="0030041D" w:rsidRPr="000F3E35">
        <w:t>.</w:t>
      </w:r>
    </w:p>
    <w:p w:rsidR="00355F71" w:rsidRDefault="00355F71" w:rsidP="00355F71">
      <w:pPr>
        <w:pStyle w:val="Keywords"/>
        <w:spacing w:before="0" w:after="0" w:line="480" w:lineRule="auto"/>
        <w:ind w:left="0"/>
        <w:rPr>
          <w:rFonts w:hint="eastAsia"/>
          <w:b/>
          <w:lang w:eastAsia="zh-TW"/>
        </w:rPr>
      </w:pPr>
    </w:p>
    <w:p w:rsidR="00355F71" w:rsidRDefault="00355F71" w:rsidP="00355F71">
      <w:pPr>
        <w:pStyle w:val="Keywords"/>
        <w:spacing w:before="0" w:after="0" w:line="480" w:lineRule="auto"/>
        <w:ind w:left="0"/>
        <w:rPr>
          <w:rFonts w:hint="eastAsia"/>
          <w:lang w:eastAsia="zh-TW"/>
        </w:rPr>
      </w:pPr>
      <w:r w:rsidRPr="00CA0445">
        <w:rPr>
          <w:b/>
        </w:rPr>
        <w:t xml:space="preserve">JEL Classification: </w:t>
      </w:r>
      <w:r w:rsidRPr="000F3E35">
        <w:t>I13</w:t>
      </w:r>
      <w:r>
        <w:rPr>
          <w:rFonts w:hint="eastAsia"/>
          <w:lang w:eastAsia="zh-TW"/>
        </w:rPr>
        <w:t>,</w:t>
      </w:r>
      <w:r w:rsidRPr="000F3E35">
        <w:t xml:space="preserve"> I18</w:t>
      </w:r>
      <w:r>
        <w:rPr>
          <w:rFonts w:hint="eastAsia"/>
          <w:lang w:eastAsia="zh-TW"/>
        </w:rPr>
        <w:t>,</w:t>
      </w:r>
      <w:r w:rsidRPr="000F3E35">
        <w:t xml:space="preserve"> O32</w:t>
      </w:r>
    </w:p>
    <w:p w:rsidR="00A57930" w:rsidRPr="00A57930" w:rsidRDefault="0030041D" w:rsidP="00355F71">
      <w:pPr>
        <w:pStyle w:val="Keywords"/>
        <w:spacing w:before="0" w:after="0" w:line="480" w:lineRule="auto"/>
        <w:ind w:left="0"/>
        <w:rPr>
          <w:lang w:eastAsia="zh-TW"/>
        </w:rPr>
      </w:pPr>
      <w:r w:rsidRPr="00CA0445">
        <w:rPr>
          <w:b/>
        </w:rPr>
        <w:t>Keywords:</w:t>
      </w:r>
      <w:r w:rsidR="001372F1">
        <w:rPr>
          <w:rFonts w:hint="eastAsia"/>
          <w:b/>
          <w:lang w:eastAsia="zh-TW"/>
        </w:rPr>
        <w:t xml:space="preserve"> </w:t>
      </w:r>
      <w:r w:rsidR="000675DF" w:rsidRPr="000675DF">
        <w:t xml:space="preserve">data envelopment analysis, </w:t>
      </w:r>
      <w:proofErr w:type="spellStart"/>
      <w:r w:rsidR="000675DF" w:rsidRPr="000675DF">
        <w:t>Malmquist</w:t>
      </w:r>
      <w:proofErr w:type="spellEnd"/>
      <w:r w:rsidR="000675DF" w:rsidRPr="000675DF">
        <w:t xml:space="preserve"> index, medical service industry, total factor productivity</w:t>
      </w:r>
    </w:p>
    <w:p w:rsidR="000675DF" w:rsidRDefault="000675DF" w:rsidP="00AE12C3">
      <w:pPr>
        <w:pStyle w:val="Newparagraph"/>
        <w:ind w:firstLine="0"/>
      </w:pPr>
    </w:p>
    <w:p w:rsidR="000675DF" w:rsidRDefault="000675DF" w:rsidP="00AE12C3">
      <w:pPr>
        <w:pStyle w:val="Newparagraph"/>
        <w:ind w:firstLine="0"/>
      </w:pPr>
    </w:p>
    <w:p w:rsidR="000675DF" w:rsidRDefault="000675DF" w:rsidP="00AE12C3">
      <w:pPr>
        <w:pStyle w:val="Newparagraph"/>
        <w:ind w:firstLine="0"/>
      </w:pPr>
    </w:p>
    <w:p w:rsidR="00B61C1B" w:rsidRPr="00355F71" w:rsidRDefault="000960D1" w:rsidP="00AE12C3">
      <w:pPr>
        <w:pStyle w:val="1"/>
        <w:numPr>
          <w:ilvl w:val="0"/>
          <w:numId w:val="31"/>
        </w:numPr>
        <w:spacing w:line="480" w:lineRule="auto"/>
        <w:rPr>
          <w:sz w:val="28"/>
          <w:szCs w:val="28"/>
        </w:rPr>
      </w:pPr>
      <w:r w:rsidRPr="00355F71">
        <w:rPr>
          <w:sz w:val="28"/>
          <w:szCs w:val="28"/>
        </w:rPr>
        <w:lastRenderedPageBreak/>
        <w:t>Introduction</w:t>
      </w:r>
    </w:p>
    <w:p w:rsidR="00685D99" w:rsidRDefault="000515DD" w:rsidP="00355F71">
      <w:pPr>
        <w:pStyle w:val="Paragraph"/>
        <w:spacing w:before="0"/>
        <w:jc w:val="both"/>
        <w:rPr>
          <w:lang w:eastAsia="zh-TW"/>
        </w:rPr>
      </w:pPr>
      <w:r>
        <w:t>In this study, we</w:t>
      </w:r>
      <w:r w:rsidR="003D5CBF">
        <w:rPr>
          <w:rFonts w:hint="eastAsia"/>
          <w:lang w:eastAsia="zh-TW"/>
        </w:rPr>
        <w:t xml:space="preserve"> </w:t>
      </w:r>
      <w:r>
        <w:t xml:space="preserve">sought to </w:t>
      </w:r>
      <w:r w:rsidRPr="00365EB4">
        <w:t>measure</w:t>
      </w:r>
      <w:r>
        <w:t xml:space="preserve"> productivity in</w:t>
      </w:r>
      <w:r w:rsidR="003D5CBF">
        <w:rPr>
          <w:rFonts w:hint="eastAsia"/>
          <w:lang w:eastAsia="zh-TW"/>
        </w:rPr>
        <w:t xml:space="preserve"> </w:t>
      </w:r>
      <w:r w:rsidR="000960D1" w:rsidRPr="00365EB4">
        <w:t xml:space="preserve">the medical service </w:t>
      </w:r>
      <w:r>
        <w:t>industry of</w:t>
      </w:r>
      <w:r w:rsidR="000960D1" w:rsidRPr="00365EB4">
        <w:t xml:space="preserve"> Taiwan </w:t>
      </w:r>
      <w:r>
        <w:t>over the last</w:t>
      </w:r>
      <w:r w:rsidR="00BB6DA8">
        <w:rPr>
          <w:rFonts w:hint="eastAsia"/>
          <w:lang w:eastAsia="zh-TW"/>
        </w:rPr>
        <w:t xml:space="preserve"> </w:t>
      </w:r>
      <w:r w:rsidR="000960D1" w:rsidRPr="000675DF">
        <w:rPr>
          <w:noProof/>
        </w:rPr>
        <w:t>decade</w:t>
      </w:r>
      <w:r>
        <w:rPr>
          <w:noProof/>
        </w:rPr>
        <w:t>.</w:t>
      </w:r>
      <w:r w:rsidR="00BB6DA8">
        <w:rPr>
          <w:rFonts w:hint="eastAsia"/>
          <w:noProof/>
          <w:lang w:eastAsia="zh-TW"/>
        </w:rPr>
        <w:t xml:space="preserve"> </w:t>
      </w:r>
      <w:r>
        <w:t>We also</w:t>
      </w:r>
      <w:r w:rsidR="00BB6DA8">
        <w:rPr>
          <w:rFonts w:hint="eastAsia"/>
          <w:lang w:eastAsia="zh-TW"/>
        </w:rPr>
        <w:t xml:space="preserve"> </w:t>
      </w:r>
      <w:r>
        <w:t xml:space="preserve">examined the </w:t>
      </w:r>
      <w:r w:rsidRPr="00365EB4">
        <w:t xml:space="preserve">impact of health policy and resource allocation </w:t>
      </w:r>
      <w:r>
        <w:t>in various areas of the country</w:t>
      </w:r>
      <w:r w:rsidR="000960D1" w:rsidRPr="00365EB4">
        <w:t xml:space="preserve">. </w:t>
      </w:r>
      <w:r>
        <w:t>Measuring</w:t>
      </w:r>
      <w:r w:rsidR="000960D1" w:rsidRPr="00365EB4">
        <w:t xml:space="preserve"> the efficiency of medical services </w:t>
      </w:r>
      <w:r>
        <w:t>presents a number of difficulties</w:t>
      </w:r>
      <w:r w:rsidR="000960D1" w:rsidRPr="00365EB4">
        <w:t xml:space="preserve">. </w:t>
      </w:r>
      <w:r>
        <w:t>Previous researchers</w:t>
      </w:r>
      <w:r w:rsidR="00BB6DA8">
        <w:rPr>
          <w:rFonts w:hint="eastAsia"/>
          <w:lang w:eastAsia="zh-TW"/>
        </w:rPr>
        <w:t xml:space="preserve"> </w:t>
      </w:r>
      <w:r w:rsidR="000C1B81" w:rsidRPr="00365EB4">
        <w:fldChar w:fldCharType="begin">
          <w:fldData xml:space="preserve">PEVuZE5vdGU+PENpdGU+PEF1dGhvcj5Hcm9zc2tvcGY8L0F1dGhvcj48WWVhcj4xOTg3PC9ZZWFy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</w:fldData>
        </w:fldChar>
      </w:r>
      <w:r w:rsidR="00E83483">
        <w:instrText xml:space="preserve"> ADDIN EN.CITE </w:instrText>
      </w:r>
      <w:r w:rsidR="00E83483">
        <w:fldChar w:fldCharType="begin">
          <w:fldData xml:space="preserve">PEVuZE5vdGU+PENpdGU+PEF1dGhvcj5Hcm9zc2tvcGY8L0F1dGhvcj48WWVhcj4xOTg3PC9ZZWFy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</w:fldData>
        </w:fldChar>
      </w:r>
      <w:r w:rsidR="00E83483">
        <w:instrText xml:space="preserve"> ADDIN EN.CITE.DATA </w:instrText>
      </w:r>
      <w:r w:rsidR="00E83483">
        <w:fldChar w:fldCharType="end"/>
      </w:r>
      <w:r w:rsidR="000C1B81" w:rsidRPr="00365EB4">
        <w:fldChar w:fldCharType="separate"/>
      </w:r>
      <w:r w:rsidR="00E83483">
        <w:rPr>
          <w:noProof/>
        </w:rPr>
        <w:t>[</w:t>
      </w:r>
      <w:hyperlink w:anchor="_ENREF_1" w:tooltip="Grosskopf, 1987 #3" w:history="1">
        <w:r w:rsidR="00E83483">
          <w:rPr>
            <w:noProof/>
          </w:rPr>
          <w:t>1-3</w:t>
        </w:r>
      </w:hyperlink>
      <w:r w:rsidR="00E83483">
        <w:rPr>
          <w:noProof/>
        </w:rPr>
        <w:t>]</w:t>
      </w:r>
      <w:r w:rsidR="000C1B81" w:rsidRPr="00365EB4">
        <w:fldChar w:fldCharType="end"/>
      </w:r>
      <w:r>
        <w:t xml:space="preserve"> have reported that</w:t>
      </w:r>
      <w:r w:rsidR="000960D1" w:rsidRPr="00365EB4">
        <w:t xml:space="preserve"> investment in medical institutions </w:t>
      </w:r>
      <w:r w:rsidR="002473D5">
        <w:t>can be categorized as</w:t>
      </w:r>
      <w:r w:rsidR="000960D1" w:rsidRPr="00365EB4">
        <w:t xml:space="preserve"> medical manpower, the number of beds</w:t>
      </w:r>
      <w:r w:rsidR="002473D5">
        <w:t>,</w:t>
      </w:r>
      <w:r w:rsidR="000960D1" w:rsidRPr="00365EB4">
        <w:t xml:space="preserve"> and operating expenses. Personnel </w:t>
      </w:r>
      <w:r w:rsidR="002473D5">
        <w:t>costs generally</w:t>
      </w:r>
      <w:r w:rsidR="00C26206">
        <w:rPr>
          <w:rFonts w:hint="eastAsia"/>
          <w:lang w:eastAsia="zh-TW"/>
        </w:rPr>
        <w:t xml:space="preserve"> </w:t>
      </w:r>
      <w:r w:rsidR="000960D1" w:rsidRPr="00365EB4">
        <w:t xml:space="preserve">account for </w:t>
      </w:r>
      <w:r w:rsidR="000960D1">
        <w:t xml:space="preserve">at least 50 percent of the total costs </w:t>
      </w:r>
      <w:r w:rsidR="000C1B81">
        <w:fldChar w:fldCharType="begin"/>
      </w:r>
      <w:r w:rsidR="00E83483">
        <w:instrText xml:space="preserve"> ADDIN EN.CITE &lt;EndNote&gt;&lt;Cite&gt;&lt;Author&gt;Kaplan&lt;/Author&gt;&lt;Year&gt;2011&lt;/Year&gt;&lt;RecNum&gt;2&lt;/RecNum&gt;&lt;DisplayText&gt;[4, 5]&lt;/DisplayText&gt;&lt;record&gt;&lt;rec-number&gt;2&lt;/rec-number&gt;&lt;foreign-keys&gt;&lt;key app="EN" db-id="wpwev0d5qa5as4esa0dxawwdzsvdrdzwxzda"&gt;2&lt;/key&gt;&lt;/foreign-keys&gt;&lt;ref-type name="Journal Article"&gt;17&lt;/ref-type&gt;&lt;contributors&gt;&lt;authors&gt;&lt;author&gt;Kaplan, Robert S&lt;/author&gt;&lt;author&gt;Porter, Michael E&lt;/author&gt;&lt;/authors&gt;&lt;/contributors&gt;&lt;titles&gt;&lt;title&gt;How to solve the cost crisis in health care&lt;/title&gt;&lt;secondary-title&gt;Harv Bus Rev&lt;/secondary-title&gt;&lt;/titles&gt;&lt;periodical&gt;&lt;full-title&gt;Harv Bus Rev&lt;/full-title&gt;&lt;/periodical&gt;&lt;pages&gt;46-52&lt;/pages&gt;&lt;volume&gt;89&lt;/volume&gt;&lt;number&gt;9&lt;/number&gt;&lt;dates&gt;&lt;year&gt;2011&lt;/year&gt;&lt;/dates&gt;&lt;urls&gt;&lt;/urls&gt;&lt;/record&gt;&lt;/Cite&gt;&lt;Cite&gt;&lt;Author&gt;Shepard&lt;/Author&gt;&lt;Year&gt;2000&lt;/Year&gt;&lt;RecNum&gt;4&lt;/RecNum&gt;&lt;record&gt;&lt;rec-number&gt;4&lt;/rec-number&gt;&lt;foreign-keys&gt;&lt;key app="EN" db-id="wpwev0d5qa5as4esa0dxawwdzsvdrdzwxzda"&gt;4&lt;/key&gt;&lt;/foreign-keys&gt;&lt;ref-type name="Book"&gt;6&lt;/ref-type&gt;&lt;contributors&gt;&lt;authors&gt;&lt;author&gt;Shepard, Donald S&lt;/author&gt;&lt;author&gt;Hodgkin, Dominic&lt;/author&gt;&lt;author&gt;Anthony, Yvonne E&lt;/author&gt;&lt;/authors&gt;&lt;/contributors&gt;&lt;titles&gt;&lt;title&gt;Analysis of hospital costs: a manual for managers&lt;/title&gt;&lt;/titles&gt;&lt;dates&gt;&lt;year&gt;2000&lt;/year&gt;&lt;/dates&gt;&lt;publisher&gt;World Health Organization&lt;/publisher&gt;&lt;isbn&gt;9241545283&lt;/isbn&gt;&lt;urls&gt;&lt;/urls&gt;&lt;/record&gt;&lt;/Cite&gt;&lt;/EndNote&gt;</w:instrText>
      </w:r>
      <w:r w:rsidR="000C1B81">
        <w:fldChar w:fldCharType="separate"/>
      </w:r>
      <w:r w:rsidR="00E83483">
        <w:rPr>
          <w:noProof/>
        </w:rPr>
        <w:t>[</w:t>
      </w:r>
      <w:hyperlink w:anchor="_ENREF_4" w:tooltip="Kaplan, 2011 #2" w:history="1">
        <w:r w:rsidR="00E83483">
          <w:rPr>
            <w:noProof/>
          </w:rPr>
          <w:t>4</w:t>
        </w:r>
      </w:hyperlink>
      <w:r w:rsidR="00E83483">
        <w:rPr>
          <w:noProof/>
        </w:rPr>
        <w:t xml:space="preserve">, </w:t>
      </w:r>
      <w:hyperlink w:anchor="_ENREF_5" w:tooltip="Shepard, 2000 #4" w:history="1">
        <w:r w:rsidR="00E83483">
          <w:rPr>
            <w:noProof/>
          </w:rPr>
          <w:t>5</w:t>
        </w:r>
      </w:hyperlink>
      <w:r w:rsidR="00E83483">
        <w:rPr>
          <w:noProof/>
        </w:rPr>
        <w:t>]</w:t>
      </w:r>
      <w:r w:rsidR="000C1B81">
        <w:fldChar w:fldCharType="end"/>
      </w:r>
      <w:r w:rsidR="002473D5">
        <w:t xml:space="preserve">; i.e., </w:t>
      </w:r>
      <w:proofErr w:type="spellStart"/>
      <w:r w:rsidR="000960D1" w:rsidRPr="00365EB4">
        <w:t>collinearity</w:t>
      </w:r>
      <w:proofErr w:type="spellEnd"/>
      <w:r w:rsidR="000960D1" w:rsidRPr="00365EB4">
        <w:t xml:space="preserve"> </w:t>
      </w:r>
      <w:r w:rsidR="009F63AD">
        <w:t xml:space="preserve">exists </w:t>
      </w:r>
      <w:r w:rsidR="000960D1" w:rsidRPr="00365EB4">
        <w:t>between the number of medical personnel and operating expenses</w:t>
      </w:r>
      <w:r w:rsidR="000C1B81">
        <w:fldChar w:fldCharType="begin"/>
      </w:r>
      <w:r w:rsidR="00E83483">
        <w:instrText xml:space="preserve"> ADDIN EN.CITE &lt;EndNote&gt;&lt;Cite&gt;&lt;Author&gt;Linna&lt;/Author&gt;&lt;Year&gt;1998&lt;/Year&gt;&lt;RecNum&gt;5&lt;/RecNum&gt;&lt;DisplayText&gt;[6]&lt;/DisplayText&gt;&lt;record&gt;&lt;rec-number&gt;5&lt;/rec-number&gt;&lt;foreign-keys&gt;&lt;key app="EN" db-id="wpwev0d5qa5as4esa0dxawwdzsvdrdzwxzda"&gt;5&lt;/key&gt;&lt;/foreign-keys&gt;&lt;ref-type name="Book Section"&gt;5&lt;/ref-type&gt;&lt;contributors&gt;&lt;authors&gt;&lt;author&gt;Linna, Miika&lt;/author&gt;&lt;author&gt;Häkkinen, Unto&lt;/author&gt;&lt;/authors&gt;&lt;/contributors&gt;&lt;titles&gt;&lt;title&gt;A comparative application of econometric frontier and DEA methods for assessing cost efficiency of Finnish hospitals&lt;/title&gt;&lt;secondary-title&gt;Health, the Medical Profession, and Regulation&lt;/secondary-title&gt;&lt;/titles&gt;&lt;pages&gt;169-187&lt;/pages&gt;&lt;dates&gt;&lt;year&gt;1998&lt;/year&gt;&lt;/dates&gt;&lt;publisher&gt;Springer&lt;/publisher&gt;&lt;urls&gt;&lt;/urls&gt;&lt;/record&gt;&lt;/Cite&gt;&lt;/EndNote&gt;</w:instrText>
      </w:r>
      <w:r w:rsidR="000C1B81">
        <w:fldChar w:fldCharType="separate"/>
      </w:r>
      <w:r w:rsidR="00E83483">
        <w:rPr>
          <w:noProof/>
        </w:rPr>
        <w:t>[</w:t>
      </w:r>
      <w:hyperlink w:anchor="_ENREF_6" w:tooltip="Linna, 1998 #5" w:history="1">
        <w:r w:rsidR="00E83483">
          <w:rPr>
            <w:noProof/>
          </w:rPr>
          <w:t>6</w:t>
        </w:r>
      </w:hyperlink>
      <w:r w:rsidR="00E83483">
        <w:rPr>
          <w:noProof/>
        </w:rPr>
        <w:t>]</w:t>
      </w:r>
      <w:r w:rsidR="000C1B81">
        <w:fldChar w:fldCharType="end"/>
      </w:r>
      <w:r w:rsidR="000960D1" w:rsidRPr="00365EB4">
        <w:t xml:space="preserve">. </w:t>
      </w:r>
      <w:r w:rsidR="002473D5">
        <w:t>We adopted the following</w:t>
      </w:r>
      <w:r w:rsidR="001A675B">
        <w:rPr>
          <w:rFonts w:hint="eastAsia"/>
          <w:lang w:eastAsia="zh-TW"/>
        </w:rPr>
        <w:t xml:space="preserve"> </w:t>
      </w:r>
      <w:r w:rsidR="000960D1" w:rsidRPr="00365EB4">
        <w:t>medical service outputs</w:t>
      </w:r>
      <w:r w:rsidR="002473D5">
        <w:t>:</w:t>
      </w:r>
      <w:r w:rsidR="001A675B">
        <w:rPr>
          <w:rFonts w:hint="eastAsia"/>
          <w:lang w:eastAsia="zh-TW"/>
        </w:rPr>
        <w:t xml:space="preserve"> </w:t>
      </w:r>
      <w:r w:rsidR="000960D1" w:rsidRPr="00365EB4">
        <w:t>revenue, number of patients,</w:t>
      </w:r>
      <w:r w:rsidR="002473D5">
        <w:t xml:space="preserve"> number of </w:t>
      </w:r>
      <w:r w:rsidR="000960D1" w:rsidRPr="00365EB4">
        <w:t xml:space="preserve">outpatient </w:t>
      </w:r>
      <w:r w:rsidR="002473D5">
        <w:t>and</w:t>
      </w:r>
      <w:r w:rsidR="001A675B">
        <w:rPr>
          <w:rFonts w:hint="eastAsia"/>
          <w:lang w:eastAsia="zh-TW"/>
        </w:rPr>
        <w:t xml:space="preserve"> </w:t>
      </w:r>
      <w:r w:rsidR="000960D1" w:rsidRPr="00365EB4">
        <w:t xml:space="preserve">emergency department </w:t>
      </w:r>
      <w:r w:rsidR="002473D5" w:rsidRPr="00365EB4">
        <w:t>visits</w:t>
      </w:r>
      <w:r w:rsidR="002473D5">
        <w:t xml:space="preserve">, </w:t>
      </w:r>
      <w:r w:rsidR="000960D1" w:rsidRPr="00365EB4">
        <w:t xml:space="preserve">and number of </w:t>
      </w:r>
      <w:r w:rsidR="002473D5">
        <w:t>surgical procedures</w:t>
      </w:r>
      <w:r w:rsidR="000960D1" w:rsidRPr="00365EB4">
        <w:t xml:space="preserve">. This diversity of outputs </w:t>
      </w:r>
      <w:r w:rsidR="002473D5">
        <w:t>hinders assessment, due to the fact that most</w:t>
      </w:r>
      <w:r w:rsidR="000960D1" w:rsidRPr="00365EB4">
        <w:t xml:space="preserve"> of these factors are statistically collinear. </w:t>
      </w:r>
      <w:r w:rsidR="002473D5">
        <w:t>In other words,</w:t>
      </w:r>
      <w:r w:rsidR="000960D1" w:rsidRPr="00365EB4">
        <w:t xml:space="preserve"> the number of </w:t>
      </w:r>
      <w:r w:rsidR="000960D1" w:rsidRPr="000675DF">
        <w:rPr>
          <w:noProof/>
        </w:rPr>
        <w:t>outpatient</w:t>
      </w:r>
      <w:r w:rsidR="000675DF">
        <w:rPr>
          <w:noProof/>
        </w:rPr>
        <w:t>s</w:t>
      </w:r>
      <w:r w:rsidR="000960D1" w:rsidRPr="00365EB4">
        <w:t xml:space="preserve"> and emergency department visits </w:t>
      </w:r>
      <w:r w:rsidR="002473D5">
        <w:t>are</w:t>
      </w:r>
      <w:r w:rsidR="001A675B">
        <w:rPr>
          <w:rFonts w:hint="eastAsia"/>
          <w:lang w:eastAsia="zh-TW"/>
        </w:rPr>
        <w:t xml:space="preserve"> </w:t>
      </w:r>
      <w:r w:rsidR="000960D1" w:rsidRPr="00365EB4">
        <w:t xml:space="preserve">related to revenue </w:t>
      </w:r>
      <w:r w:rsidR="002473D5">
        <w:t>as well as to</w:t>
      </w:r>
      <w:r w:rsidR="000960D1" w:rsidRPr="00365EB4">
        <w:t xml:space="preserve"> the number of patients treated. </w:t>
      </w:r>
    </w:p>
    <w:p w:rsidR="00997B0F" w:rsidRDefault="002473D5" w:rsidP="00355F71">
      <w:pPr>
        <w:pStyle w:val="Paragraph"/>
        <w:spacing w:before="0"/>
        <w:jc w:val="both"/>
      </w:pPr>
      <w:r>
        <w:t>P</w:t>
      </w:r>
      <w:r w:rsidR="000960D1" w:rsidRPr="00365EB4">
        <w:t xml:space="preserve">revious </w:t>
      </w:r>
      <w:r>
        <w:rPr>
          <w:noProof/>
        </w:rPr>
        <w:t>researchers</w:t>
      </w:r>
      <w:r w:rsidR="001A675B">
        <w:rPr>
          <w:rFonts w:hint="eastAsia"/>
          <w:noProof/>
          <w:lang w:eastAsia="zh-TW"/>
        </w:rPr>
        <w:t xml:space="preserve"> </w:t>
      </w:r>
      <w:r>
        <w:t xml:space="preserve">investigated changes in </w:t>
      </w:r>
      <w:r w:rsidR="000960D1" w:rsidRPr="00365EB4">
        <w:t xml:space="preserve">medical </w:t>
      </w:r>
      <w:r>
        <w:t xml:space="preserve">care at the </w:t>
      </w:r>
      <w:r w:rsidR="000960D1" w:rsidRPr="00365EB4">
        <w:t xml:space="preserve">industry level. </w:t>
      </w:r>
      <w:r w:rsidR="00043EA8" w:rsidRPr="001A675B">
        <w:t>This has left unanswered the question of whether productivity can be improved through innovations in medical technology, the development of new drugs, increasing manpower,</w:t>
      </w:r>
      <w:r w:rsidR="001A675B" w:rsidRPr="001A675B">
        <w:rPr>
          <w:rFonts w:hint="eastAsia"/>
          <w:lang w:eastAsia="zh-TW"/>
        </w:rPr>
        <w:t xml:space="preserve"> </w:t>
      </w:r>
      <w:r w:rsidR="00043EA8" w:rsidRPr="001A675B">
        <w:t>or the adoption of</w:t>
      </w:r>
      <w:r w:rsidR="001A675B" w:rsidRPr="001A675B">
        <w:rPr>
          <w:rFonts w:hint="eastAsia"/>
          <w:lang w:eastAsia="zh-TW"/>
        </w:rPr>
        <w:t xml:space="preserve"> </w:t>
      </w:r>
      <w:r w:rsidR="00043EA8" w:rsidRPr="001A675B">
        <w:t>new technologies for the management of medical institution.</w:t>
      </w:r>
      <w:r w:rsidR="001A675B">
        <w:rPr>
          <w:rFonts w:hint="eastAsia"/>
          <w:lang w:eastAsia="zh-TW"/>
        </w:rPr>
        <w:t xml:space="preserve"> </w:t>
      </w:r>
      <w:r w:rsidR="001A675B">
        <w:t>Globally,</w:t>
      </w:r>
      <w:r w:rsidR="001A675B">
        <w:rPr>
          <w:rFonts w:hint="eastAsia"/>
          <w:lang w:eastAsia="zh-TW"/>
        </w:rPr>
        <w:t xml:space="preserve"> </w:t>
      </w:r>
      <w:r w:rsidR="001A675B">
        <w:t>the</w:t>
      </w:r>
      <w:r w:rsidR="001A675B">
        <w:rPr>
          <w:rFonts w:hint="eastAsia"/>
          <w:lang w:eastAsia="zh-TW"/>
        </w:rPr>
        <w:t xml:space="preserve"> productivity</w:t>
      </w:r>
      <w:r w:rsidR="00164A9C" w:rsidRPr="00365EB4">
        <w:t xml:space="preserve"> efficiency </w:t>
      </w:r>
      <w:r w:rsidR="00164A9C">
        <w:t xml:space="preserve">of </w:t>
      </w:r>
      <w:r w:rsidR="000960D1" w:rsidRPr="00365EB4">
        <w:t>medical service</w:t>
      </w:r>
      <w:r w:rsidR="00164A9C">
        <w:t>s appears</w:t>
      </w:r>
      <w:r w:rsidR="000960D1" w:rsidRPr="00365EB4">
        <w:t xml:space="preserve"> to be </w:t>
      </w:r>
      <w:r w:rsidR="00B0705C">
        <w:t>in decline</w:t>
      </w:r>
      <w:r w:rsidR="001A675B">
        <w:rPr>
          <w:rFonts w:hint="eastAsia"/>
          <w:lang w:eastAsia="zh-TW"/>
        </w:rPr>
        <w:t xml:space="preserve">. </w:t>
      </w:r>
      <w:r w:rsidR="000C1B81" w:rsidRPr="00365EB4">
        <w:fldChar w:fldCharType="begin">
          <w:fldData xml:space="preserve">PEVuZE5vdGU+PENpdGU+PEF1dGhvcj5PemNhbjwvQXV0aG9yPjxZZWFyPjIwMTE8L1llYXI+PFJl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=
</w:fldData>
        </w:fldChar>
      </w:r>
      <w:r w:rsidR="00E83483">
        <w:instrText xml:space="preserve"> ADDIN EN.CITE </w:instrText>
      </w:r>
      <w:r w:rsidR="00E83483">
        <w:fldChar w:fldCharType="begin">
          <w:fldData xml:space="preserve">PEVuZE5vdGU+PENpdGU+PEF1dGhvcj5PemNhbjwvQXV0aG9yPjxZZWFyPjIwMTE8L1llYXI+PFJl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=
</w:fldData>
        </w:fldChar>
      </w:r>
      <w:r w:rsidR="00E83483">
        <w:instrText xml:space="preserve"> ADDIN EN.CITE.DATA </w:instrText>
      </w:r>
      <w:r w:rsidR="00E83483">
        <w:fldChar w:fldCharType="end"/>
      </w:r>
      <w:r w:rsidR="000C1B81" w:rsidRPr="00365EB4">
        <w:fldChar w:fldCharType="separate"/>
      </w:r>
      <w:r w:rsidR="00E83483">
        <w:rPr>
          <w:noProof/>
        </w:rPr>
        <w:t>[</w:t>
      </w:r>
      <w:hyperlink w:anchor="_ENREF_7" w:tooltip="Ozcan, 2011 #6" w:history="1">
        <w:r w:rsidR="00E83483">
          <w:rPr>
            <w:noProof/>
          </w:rPr>
          <w:t>7-9</w:t>
        </w:r>
      </w:hyperlink>
      <w:r w:rsidR="00E83483">
        <w:rPr>
          <w:noProof/>
        </w:rPr>
        <w:t>]</w:t>
      </w:r>
      <w:r w:rsidR="000C1B81" w:rsidRPr="00365EB4">
        <w:fldChar w:fldCharType="end"/>
      </w:r>
      <w:r w:rsidR="000960D1" w:rsidRPr="00365EB4">
        <w:t xml:space="preserve">. </w:t>
      </w:r>
      <w:r w:rsidR="00B0705C">
        <w:t>In this study, we sought to determine whether</w:t>
      </w:r>
      <w:r w:rsidR="004907D0">
        <w:rPr>
          <w:rFonts w:hint="eastAsia"/>
          <w:lang w:eastAsia="zh-TW"/>
        </w:rPr>
        <w:t xml:space="preserve"> </w:t>
      </w:r>
      <w:r w:rsidR="00B0705C" w:rsidRPr="00365EB4">
        <w:t xml:space="preserve">output efficiency </w:t>
      </w:r>
      <w:r w:rsidR="00B0705C">
        <w:t xml:space="preserve">in the </w:t>
      </w:r>
      <w:r w:rsidR="000960D1" w:rsidRPr="00365EB4">
        <w:lastRenderedPageBreak/>
        <w:t xml:space="preserve">medical service industry </w:t>
      </w:r>
      <w:r w:rsidR="00B0705C">
        <w:t>of</w:t>
      </w:r>
      <w:r w:rsidR="004907D0">
        <w:rPr>
          <w:rFonts w:hint="eastAsia"/>
          <w:lang w:eastAsia="zh-TW"/>
        </w:rPr>
        <w:t xml:space="preserve"> </w:t>
      </w:r>
      <w:r w:rsidR="000960D1" w:rsidRPr="00365EB4">
        <w:t>Taiwan</w:t>
      </w:r>
      <w:r w:rsidR="00B0705C">
        <w:t xml:space="preserve"> has been increasing or decreasing over the last decade.</w:t>
      </w:r>
    </w:p>
    <w:p w:rsidR="000960D1" w:rsidRDefault="00B0705C" w:rsidP="00355F71">
      <w:pPr>
        <w:pStyle w:val="Newparagraph"/>
        <w:ind w:firstLine="0"/>
        <w:jc w:val="both"/>
      </w:pPr>
      <w:r>
        <w:t>We employed</w:t>
      </w:r>
      <w:r w:rsidRPr="00365EB4">
        <w:t xml:space="preserve"> data envelopment analysis (DEA)</w:t>
      </w:r>
      <w:r w:rsidR="000960D1" w:rsidRPr="00365EB4">
        <w:t xml:space="preserve"> to </w:t>
      </w:r>
      <w:r w:rsidRPr="00365EB4">
        <w:t>analy</w:t>
      </w:r>
      <w:r>
        <w:t>s</w:t>
      </w:r>
      <w:r w:rsidRPr="00365EB4">
        <w:t xml:space="preserve">e </w:t>
      </w:r>
      <w:r w:rsidR="000960D1" w:rsidRPr="00365EB4">
        <w:t>the efficiency of medical service output</w:t>
      </w:r>
      <w:r w:rsidR="000C1B81" w:rsidRPr="00365EB4">
        <w:fldChar w:fldCharType="begin"/>
      </w:r>
      <w:r w:rsidR="00E83483">
        <w:instrText xml:space="preserve"> ADDIN EN.CITE &lt;EndNote&gt;&lt;Cite&gt;&lt;Author&gt;Charnes&lt;/Author&gt;&lt;Year&gt;1978&lt;/Year&gt;&lt;RecNum&gt;1&lt;/RecNum&gt;&lt;DisplayText&gt;[10, 11]&lt;/DisplayText&gt;&lt;record&gt;&lt;rec-number&gt;1&lt;/rec-number&gt;&lt;foreign-keys&gt;&lt;key app="EN" db-id="2taz59w0y0v5x5eeaayv5a0u9r5rpraf90sw"&gt;1&lt;/key&gt;&lt;/foreign-keys&gt;&lt;ref-type name="Journal Article"&gt;17&lt;/ref-type&gt;&lt;contributors&gt;&lt;authors&gt;&lt;author&gt;Charnes, Abraham&lt;/author&gt;&lt;author&gt;Cooper, William W&lt;/author&gt;&lt;author&gt;Rhodes, Edwardo&lt;/author&gt;&lt;/authors&gt;&lt;/contributors&gt;&lt;titles&gt;&lt;title&gt;Measuring the efficiency of decision making units&lt;/title&gt;&lt;secondary-title&gt;European journal of operational research&lt;/secondary-title&gt;&lt;/titles&gt;&lt;periodical&gt;&lt;full-title&gt;European journal of operational research&lt;/full-title&gt;&lt;/periodical&gt;&lt;pages&gt;429-444&lt;/pages&gt;&lt;volume&gt;2&lt;/volume&gt;&lt;number&gt;6&lt;/number&gt;&lt;dates&gt;&lt;year&gt;1978&lt;/year&gt;&lt;/dates&gt;&lt;isbn&gt;0377-2217&lt;/isbn&gt;&lt;urls&gt;&lt;/urls&gt;&lt;/record&gt;&lt;/Cite&gt;&lt;Cite&gt;&lt;Author&gt;Sarrico&lt;/Author&gt;&lt;Year&gt;2001&lt;/Year&gt;&lt;RecNum&gt;28&lt;/RecNum&gt;&lt;record&gt;&lt;rec-number&gt;28&lt;/rec-number&gt;&lt;foreign-keys&gt;&lt;key app="EN" db-id="2taz59w0y0v5x5eeaayv5a0u9r5rpraf90sw"&gt;28&lt;/key&gt;&lt;/foreign-keys&gt;&lt;ref-type name="Journal Article"&gt;17&lt;/ref-type&gt;&lt;contributors&gt;&lt;authors&gt;&lt;author&gt;Sarrico, CS&lt;/author&gt;&lt;/authors&gt;&lt;/contributors&gt;&lt;titles&gt;&lt;title&gt;Data envelopment analysis: A comprehensive text with models, applications, references and DEA-solver software&lt;/title&gt;&lt;secondary-title&gt;Journal of the Operational Research Society&lt;/secondary-title&gt;&lt;/titles&gt;&lt;periodical&gt;&lt;full-title&gt;Journal of the Operational Research Society&lt;/full-title&gt;&lt;/periodical&gt;&lt;pages&gt;1408-1409&lt;/pages&gt;&lt;volume&gt;52&lt;/volume&gt;&lt;number&gt;12&lt;/number&gt;&lt;dates&gt;&lt;year&gt;2001&lt;/year&gt;&lt;/dates&gt;&lt;isbn&gt;0160-5682&lt;/isbn&gt;&lt;urls&gt;&lt;/urls&gt;&lt;/record&gt;&lt;/Cite&gt;&lt;/EndNote&gt;</w:instrText>
      </w:r>
      <w:r w:rsidR="000C1B81" w:rsidRPr="00365EB4">
        <w:fldChar w:fldCharType="separate"/>
      </w:r>
      <w:r w:rsidR="00E83483">
        <w:rPr>
          <w:noProof/>
        </w:rPr>
        <w:t>[</w:t>
      </w:r>
      <w:hyperlink w:anchor="_ENREF_10" w:tooltip="Charnes, 1978 #1" w:history="1">
        <w:r w:rsidR="00E83483">
          <w:rPr>
            <w:noProof/>
          </w:rPr>
          <w:t>10</w:t>
        </w:r>
      </w:hyperlink>
      <w:r w:rsidR="00E83483">
        <w:rPr>
          <w:noProof/>
        </w:rPr>
        <w:t xml:space="preserve">, </w:t>
      </w:r>
      <w:hyperlink w:anchor="_ENREF_11" w:tooltip="Sarrico, 2001 #28" w:history="1">
        <w:r w:rsidR="00E83483">
          <w:rPr>
            <w:noProof/>
          </w:rPr>
          <w:t>11</w:t>
        </w:r>
      </w:hyperlink>
      <w:r w:rsidR="00E83483">
        <w:rPr>
          <w:noProof/>
        </w:rPr>
        <w:t>]</w:t>
      </w:r>
      <w:r w:rsidR="000C1B81" w:rsidRPr="00365EB4">
        <w:fldChar w:fldCharType="end"/>
      </w:r>
      <w:r w:rsidR="000960D1" w:rsidRPr="00365EB4">
        <w:t xml:space="preserve">. DEA is a nonparametric method that measures the relative efficiency of an object </w:t>
      </w:r>
      <w:r>
        <w:t>referred to as a</w:t>
      </w:r>
      <w:r w:rsidR="000960D1" w:rsidRPr="00365EB4">
        <w:t xml:space="preserve"> decision</w:t>
      </w:r>
      <w:r w:rsidR="009F63AD">
        <w:t>-</w:t>
      </w:r>
      <w:r w:rsidR="000960D1" w:rsidRPr="00365EB4">
        <w:t xml:space="preserve">making </w:t>
      </w:r>
      <w:r w:rsidR="000960D1" w:rsidRPr="000675DF">
        <w:rPr>
          <w:noProof/>
        </w:rPr>
        <w:t>unit</w:t>
      </w:r>
      <w:r w:rsidR="000960D1" w:rsidRPr="00365EB4">
        <w:t xml:space="preserve"> (DMU) </w:t>
      </w:r>
      <w:r>
        <w:t>using</w:t>
      </w:r>
      <w:r w:rsidR="004907D0">
        <w:rPr>
          <w:rFonts w:hint="eastAsia"/>
          <w:lang w:eastAsia="zh-TW"/>
        </w:rPr>
        <w:t xml:space="preserve"> </w:t>
      </w:r>
      <w:r w:rsidR="000960D1" w:rsidRPr="00365EB4">
        <w:t xml:space="preserve">multiple inputs and outputs. </w:t>
      </w:r>
      <w:r>
        <w:t>The fact that DEA can be</w:t>
      </w:r>
      <w:r w:rsidR="004907D0">
        <w:rPr>
          <w:rFonts w:hint="eastAsia"/>
          <w:lang w:eastAsia="zh-TW"/>
        </w:rPr>
        <w:t xml:space="preserve"> </w:t>
      </w:r>
      <w:r>
        <w:t>used to deal</w:t>
      </w:r>
      <w:r w:rsidR="000960D1" w:rsidRPr="00365EB4">
        <w:t xml:space="preserve"> with multiple outputs</w:t>
      </w:r>
      <w:r>
        <w:t xml:space="preserve"> makes it possible to</w:t>
      </w:r>
      <w:r w:rsidR="000960D1" w:rsidRPr="00365EB4">
        <w:t xml:space="preserve"> implement novel DMU sets </w:t>
      </w:r>
      <w:r>
        <w:t>in the measurement</w:t>
      </w:r>
      <w:r w:rsidR="004907D0">
        <w:rPr>
          <w:rFonts w:hint="eastAsia"/>
          <w:lang w:eastAsia="zh-TW"/>
        </w:rPr>
        <w:t xml:space="preserve"> </w:t>
      </w:r>
      <w:r>
        <w:t>of</w:t>
      </w:r>
      <w:r w:rsidR="000960D1" w:rsidRPr="00365EB4">
        <w:t xml:space="preserve"> relative efficiency. </w:t>
      </w:r>
      <w:r>
        <w:t>To the best of our knowledge, no previous research has used</w:t>
      </w:r>
      <w:r w:rsidR="000960D1" w:rsidRPr="00365EB4">
        <w:t xml:space="preserve"> DEA analysis </w:t>
      </w:r>
      <w:r>
        <w:t>to examine the</w:t>
      </w:r>
      <w:r w:rsidR="000960D1" w:rsidRPr="00365EB4">
        <w:t xml:space="preserve"> efficiency of</w:t>
      </w:r>
      <w:r w:rsidR="000675DF">
        <w:t xml:space="preserve"> the</w:t>
      </w:r>
      <w:r w:rsidR="004907D0">
        <w:rPr>
          <w:rFonts w:hint="eastAsia"/>
          <w:lang w:eastAsia="zh-TW"/>
        </w:rPr>
        <w:t xml:space="preserve"> </w:t>
      </w:r>
      <w:r w:rsidR="000960D1" w:rsidRPr="000675DF">
        <w:rPr>
          <w:noProof/>
        </w:rPr>
        <w:t>medical</w:t>
      </w:r>
      <w:r w:rsidR="000960D1" w:rsidRPr="00365EB4">
        <w:t xml:space="preserve"> service industry in Taiwan over </w:t>
      </w:r>
      <w:r>
        <w:t>time</w:t>
      </w:r>
      <w:r w:rsidR="000960D1" w:rsidRPr="00365EB4">
        <w:t xml:space="preserve"> (time-</w:t>
      </w:r>
      <w:proofErr w:type="spellStart"/>
      <w:r w:rsidR="000960D1" w:rsidRPr="00365EB4">
        <w:t>transection</w:t>
      </w:r>
      <w:proofErr w:type="spellEnd"/>
      <w:r w:rsidR="000960D1" w:rsidRPr="00365EB4">
        <w:t>).</w:t>
      </w:r>
    </w:p>
    <w:p w:rsidR="00B61C1B" w:rsidRPr="00685D99" w:rsidRDefault="00F344D2" w:rsidP="00355F71">
      <w:pPr>
        <w:pStyle w:val="Newparagraph"/>
        <w:ind w:firstLine="0"/>
        <w:jc w:val="both"/>
        <w:rPr>
          <w:lang w:eastAsia="zh-TW"/>
        </w:rPr>
      </w:pPr>
      <w:r>
        <w:t>In this study, we</w:t>
      </w:r>
      <w:r w:rsidR="000960D1" w:rsidRPr="00365EB4">
        <w:t xml:space="preserve"> introduce the DEA/</w:t>
      </w:r>
      <w:proofErr w:type="spellStart"/>
      <w:r w:rsidR="000960D1" w:rsidRPr="00365EB4">
        <w:t>Malmquist</w:t>
      </w:r>
      <w:proofErr w:type="spellEnd"/>
      <w:r w:rsidR="000960D1" w:rsidRPr="00365EB4">
        <w:t xml:space="preserve"> index </w:t>
      </w:r>
      <w:r w:rsidR="000C1B81" w:rsidRPr="00365EB4">
        <w:fldChar w:fldCharType="begin"/>
      </w:r>
      <w:r w:rsidR="00E83483">
        <w:instrText xml:space="preserve"> ADDIN EN.CITE &lt;EndNote&gt;&lt;Cite&gt;&lt;Author&gt;Färe&lt;/Author&gt;&lt;Year&gt;1994&lt;/Year&gt;&lt;RecNum&gt;25&lt;/RecNum&gt;&lt;DisplayText&gt;[12, 13]&lt;/DisplayText&gt;&lt;record&gt;&lt;rec-number&gt;25&lt;/rec-number&gt;&lt;foreign-keys&gt;&lt;key app="EN" db-id="wpwev0d5qa5as4esa0dxawwdzsvdrdzwxzda"&gt;25&lt;/key&gt;&lt;/foreign-keys&gt;&lt;ref-type name="Journal Article"&gt;17&lt;/ref-type&gt;&lt;contributors&gt;&lt;authors&gt;&lt;author&gt;Färe, Rolf&lt;/author&gt;&lt;author&gt;Grosskopf, Shawna&lt;/author&gt;&lt;author&gt;Norris, Mary&lt;/author&gt;&lt;author&gt;Zhang, Zhongyang&lt;/author&gt;&lt;/authors&gt;&lt;/contributors&gt;&lt;titles&gt;&lt;title&gt;Productivity growth, technical progress, and efficiency change in industrialized countries&lt;/title&gt;&lt;secondary-title&gt;The American economic review&lt;/secondary-title&gt;&lt;/titles&gt;&lt;periodical&gt;&lt;full-title&gt;The American economic review&lt;/full-title&gt;&lt;/periodical&gt;&lt;pages&gt;66-83&lt;/pages&gt;&lt;dates&gt;&lt;year&gt;1994&lt;/year&gt;&lt;/dates&gt;&lt;isbn&gt;0002-8282&lt;/isbn&gt;&lt;urls&gt;&lt;/urls&gt;&lt;/record&gt;&lt;/Cite&gt;&lt;Cite&gt;&lt;Author&gt;Thanassoulis&lt;/Author&gt;&lt;Year&gt;2001&lt;/Year&gt;&lt;RecNum&gt;11&lt;/RecNum&gt;&lt;record&gt;&lt;rec-number&gt;11&lt;/rec-number&gt;&lt;foreign-keys&gt;&lt;key app="EN" db-id="2taz59w0y0v5x5eeaayv5a0u9r5rpraf90sw"&gt;11&lt;/key&gt;&lt;/foreign-keys&gt;&lt;ref-type name="Book"&gt;6&lt;/ref-type&gt;&lt;contributors&gt;&lt;authors&gt;&lt;author&gt;Thanassoulis, Emmanuel&lt;/author&gt;&lt;/authors&gt;&lt;/contributors&gt;&lt;titles&gt;&lt;title&gt;Introduction to the theory and application of data envelopment analysis&lt;/title&gt;&lt;/titles&gt;&lt;dates&gt;&lt;year&gt;2001&lt;/year&gt;&lt;/dates&gt;&lt;publisher&gt;Springer&lt;/publisher&gt;&lt;isbn&gt;0792374290&lt;/isbn&gt;&lt;urls&gt;&lt;/urls&gt;&lt;/record&gt;&lt;/Cite&gt;&lt;/EndNote&gt;</w:instrText>
      </w:r>
      <w:r w:rsidR="000C1B81" w:rsidRPr="00365EB4">
        <w:fldChar w:fldCharType="separate"/>
      </w:r>
      <w:r w:rsidR="00E83483">
        <w:rPr>
          <w:noProof/>
        </w:rPr>
        <w:t>[</w:t>
      </w:r>
      <w:hyperlink w:anchor="_ENREF_12" w:tooltip="Färe, 1994 #25" w:history="1">
        <w:r w:rsidR="00E83483">
          <w:rPr>
            <w:noProof/>
          </w:rPr>
          <w:t>12</w:t>
        </w:r>
      </w:hyperlink>
      <w:r w:rsidR="00E83483">
        <w:rPr>
          <w:noProof/>
        </w:rPr>
        <w:t xml:space="preserve">, </w:t>
      </w:r>
      <w:hyperlink w:anchor="_ENREF_13" w:tooltip="Thanassoulis, 2001 #11" w:history="1">
        <w:r w:rsidR="00E83483">
          <w:rPr>
            <w:noProof/>
          </w:rPr>
          <w:t>13</w:t>
        </w:r>
      </w:hyperlink>
      <w:r w:rsidR="00E83483">
        <w:rPr>
          <w:noProof/>
        </w:rPr>
        <w:t>]</w:t>
      </w:r>
      <w:r w:rsidR="000C1B81" w:rsidRPr="00365EB4">
        <w:fldChar w:fldCharType="end"/>
      </w:r>
      <w:r w:rsidR="000960D1" w:rsidRPr="00365EB4">
        <w:t xml:space="preserve"> to measure the time-</w:t>
      </w:r>
      <w:r w:rsidR="000960D1">
        <w:t xml:space="preserve">longitudinal </w:t>
      </w:r>
      <w:r w:rsidR="000960D1" w:rsidRPr="00365EB4">
        <w:t xml:space="preserve">changes in the efficiency </w:t>
      </w:r>
      <w:r>
        <w:t xml:space="preserve">boundary </w:t>
      </w:r>
      <w:r w:rsidR="000960D1" w:rsidRPr="00365EB4">
        <w:t xml:space="preserve">of medical services </w:t>
      </w:r>
      <w:r>
        <w:t>at the</w:t>
      </w:r>
      <w:r w:rsidR="000960D1" w:rsidRPr="00365EB4">
        <w:t xml:space="preserve"> industry</w:t>
      </w:r>
      <w:r>
        <w:t xml:space="preserve"> level</w:t>
      </w:r>
      <w:r w:rsidR="000960D1" w:rsidRPr="00365EB4">
        <w:t xml:space="preserve">. The </w:t>
      </w:r>
      <w:proofErr w:type="spellStart"/>
      <w:r w:rsidR="000960D1" w:rsidRPr="00365EB4">
        <w:t>Malmquist</w:t>
      </w:r>
      <w:proofErr w:type="spellEnd"/>
      <w:r w:rsidR="000960D1" w:rsidRPr="00365EB4">
        <w:t xml:space="preserve"> index measures </w:t>
      </w:r>
      <w:r>
        <w:t>differences</w:t>
      </w:r>
      <w:r w:rsidR="000960D1" w:rsidRPr="00365EB4">
        <w:t xml:space="preserve"> in DEA efficiency </w:t>
      </w:r>
      <w:r>
        <w:t>during two</w:t>
      </w:r>
      <w:r w:rsidR="000960D1" w:rsidRPr="00365EB4">
        <w:t xml:space="preserve"> time intervals</w:t>
      </w:r>
      <w:r>
        <w:t>. It can</w:t>
      </w:r>
      <w:r w:rsidR="000960D1" w:rsidRPr="00365EB4">
        <w:t xml:space="preserve"> be decomposed into </w:t>
      </w:r>
      <w:r>
        <w:t xml:space="preserve">1) </w:t>
      </w:r>
      <w:r w:rsidR="000960D1" w:rsidRPr="00365EB4">
        <w:t>catch-up</w:t>
      </w:r>
      <w:r>
        <w:t>, which</w:t>
      </w:r>
      <w:r w:rsidR="00D75246">
        <w:rPr>
          <w:rFonts w:hint="eastAsia"/>
          <w:lang w:eastAsia="zh-TW"/>
        </w:rPr>
        <w:t xml:space="preserve"> </w:t>
      </w:r>
      <w:r w:rsidRPr="00365EB4">
        <w:t>measures how close the DMU moves to</w:t>
      </w:r>
      <w:r>
        <w:t>ward</w:t>
      </w:r>
      <w:r w:rsidRPr="00365EB4">
        <w:t xml:space="preserve"> the frontier</w:t>
      </w:r>
      <w:r w:rsidR="009F63AD">
        <w:t>,</w:t>
      </w:r>
      <w:r w:rsidR="00D75246">
        <w:rPr>
          <w:rFonts w:hint="eastAsia"/>
          <w:lang w:eastAsia="zh-TW"/>
        </w:rPr>
        <w:t xml:space="preserve"> </w:t>
      </w:r>
      <w:r w:rsidR="000960D1" w:rsidRPr="00365EB4">
        <w:t xml:space="preserve">and </w:t>
      </w:r>
      <w:r>
        <w:t xml:space="preserve">2) </w:t>
      </w:r>
      <w:r w:rsidR="000960D1" w:rsidRPr="00365EB4">
        <w:t>frontier shift</w:t>
      </w:r>
      <w:r>
        <w:t>, which</w:t>
      </w:r>
      <w:r w:rsidR="00D75246">
        <w:rPr>
          <w:rFonts w:hint="eastAsia"/>
          <w:lang w:eastAsia="zh-TW"/>
        </w:rPr>
        <w:t xml:space="preserve"> </w:t>
      </w:r>
      <w:r w:rsidR="000960D1" w:rsidRPr="00365EB4">
        <w:t xml:space="preserve">moves the efficiency boundary. </w:t>
      </w:r>
      <w:r>
        <w:t>T</w:t>
      </w:r>
      <w:r w:rsidR="000960D1" w:rsidRPr="00365EB4">
        <w:t xml:space="preserve">he efficiency boundary is composed of DMUs </w:t>
      </w:r>
      <w:r>
        <w:t>related to</w:t>
      </w:r>
      <w:r w:rsidR="00D75246">
        <w:rPr>
          <w:rFonts w:hint="eastAsia"/>
          <w:lang w:eastAsia="zh-TW"/>
        </w:rPr>
        <w:t xml:space="preserve"> </w:t>
      </w:r>
      <w:r w:rsidR="000960D1" w:rsidRPr="00365EB4">
        <w:t>DEA efficiency in all DMU</w:t>
      </w:r>
      <w:r>
        <w:t>s</w:t>
      </w:r>
      <w:r w:rsidR="00D75246">
        <w:rPr>
          <w:rFonts w:hint="eastAsia"/>
          <w:lang w:eastAsia="zh-TW"/>
        </w:rPr>
        <w:t xml:space="preserve"> </w:t>
      </w:r>
      <w:r>
        <w:t>during a given</w:t>
      </w:r>
      <w:r w:rsidR="000960D1" w:rsidRPr="00365EB4">
        <w:t xml:space="preserve"> period</w:t>
      </w:r>
      <w:r>
        <w:t>. The</w:t>
      </w:r>
      <w:r w:rsidR="000960D1" w:rsidRPr="00365EB4">
        <w:t xml:space="preserve"> movement of the frontier </w:t>
      </w:r>
      <w:r>
        <w:t>indicates changes</w:t>
      </w:r>
      <w:r w:rsidR="000960D1" w:rsidRPr="00365EB4">
        <w:t xml:space="preserve"> at</w:t>
      </w:r>
      <w:r w:rsidR="000675DF">
        <w:t xml:space="preserve"> the</w:t>
      </w:r>
      <w:r w:rsidR="00D75246">
        <w:rPr>
          <w:rFonts w:hint="eastAsia"/>
          <w:lang w:eastAsia="zh-TW"/>
        </w:rPr>
        <w:t xml:space="preserve"> </w:t>
      </w:r>
      <w:r w:rsidR="000960D1" w:rsidRPr="000675DF">
        <w:rPr>
          <w:noProof/>
        </w:rPr>
        <w:t>industry</w:t>
      </w:r>
      <w:r w:rsidR="000960D1" w:rsidRPr="00365EB4">
        <w:t xml:space="preserve"> level. </w:t>
      </w:r>
      <w:r>
        <w:t>In this study, we used the</w:t>
      </w:r>
      <w:r w:rsidR="000960D1" w:rsidRPr="00365EB4">
        <w:t xml:space="preserve"> frontier shift</w:t>
      </w:r>
      <w:r>
        <w:t xml:space="preserve"> to indicate</w:t>
      </w:r>
      <w:r w:rsidR="000960D1" w:rsidRPr="00365EB4">
        <w:t xml:space="preserve"> changes in the productivity of the medical service industry throughout the </w:t>
      </w:r>
      <w:r w:rsidRPr="00365EB4">
        <w:t xml:space="preserve">period </w:t>
      </w:r>
      <w:r>
        <w:t xml:space="preserve">of </w:t>
      </w:r>
      <w:r w:rsidR="000960D1" w:rsidRPr="00365EB4">
        <w:t>study.</w:t>
      </w:r>
    </w:p>
    <w:p w:rsidR="00B61C1B" w:rsidRPr="00355F71" w:rsidRDefault="00B61C1B" w:rsidP="00AE12C3">
      <w:pPr>
        <w:pStyle w:val="1"/>
        <w:numPr>
          <w:ilvl w:val="0"/>
          <w:numId w:val="31"/>
        </w:numPr>
        <w:spacing w:line="480" w:lineRule="auto"/>
        <w:rPr>
          <w:sz w:val="28"/>
          <w:szCs w:val="28"/>
        </w:rPr>
      </w:pPr>
      <w:r w:rsidRPr="00355F71">
        <w:rPr>
          <w:sz w:val="28"/>
          <w:szCs w:val="28"/>
        </w:rPr>
        <w:lastRenderedPageBreak/>
        <w:t>Data and methodology</w:t>
      </w:r>
    </w:p>
    <w:p w:rsidR="008A09A6" w:rsidRPr="00355F71" w:rsidRDefault="008A09A6" w:rsidP="00AE12C3">
      <w:pPr>
        <w:pStyle w:val="2"/>
        <w:numPr>
          <w:ilvl w:val="1"/>
          <w:numId w:val="31"/>
        </w:numPr>
        <w:spacing w:line="480" w:lineRule="auto"/>
        <w:rPr>
          <w:i w:val="0"/>
        </w:rPr>
      </w:pPr>
      <w:r w:rsidRPr="00355F71">
        <w:rPr>
          <w:i w:val="0"/>
          <w:szCs w:val="24"/>
        </w:rPr>
        <w:t>Input</w:t>
      </w:r>
      <w:r w:rsidR="00F344D2" w:rsidRPr="00355F71">
        <w:rPr>
          <w:i w:val="0"/>
          <w:szCs w:val="24"/>
        </w:rPr>
        <w:t>s</w:t>
      </w:r>
      <w:r w:rsidRPr="00355F71">
        <w:rPr>
          <w:i w:val="0"/>
          <w:szCs w:val="24"/>
        </w:rPr>
        <w:t xml:space="preserve"> and output</w:t>
      </w:r>
      <w:r w:rsidR="00F344D2" w:rsidRPr="00355F71">
        <w:rPr>
          <w:i w:val="0"/>
          <w:szCs w:val="24"/>
        </w:rPr>
        <w:t>s</w:t>
      </w:r>
      <w:r w:rsidR="00D75246" w:rsidRPr="00355F71">
        <w:rPr>
          <w:rFonts w:hint="eastAsia"/>
          <w:i w:val="0"/>
          <w:szCs w:val="24"/>
          <w:lang w:eastAsia="zh-TW"/>
        </w:rPr>
        <w:t xml:space="preserve"> </w:t>
      </w:r>
      <w:r w:rsidR="00F344D2" w:rsidRPr="00355F71">
        <w:rPr>
          <w:i w:val="0"/>
          <w:szCs w:val="24"/>
        </w:rPr>
        <w:t>for measurement of</w:t>
      </w:r>
      <w:r w:rsidR="00D75246" w:rsidRPr="00355F71">
        <w:rPr>
          <w:rFonts w:hint="eastAsia"/>
          <w:i w:val="0"/>
          <w:szCs w:val="24"/>
          <w:lang w:eastAsia="zh-TW"/>
        </w:rPr>
        <w:t xml:space="preserve"> </w:t>
      </w:r>
      <w:r w:rsidR="00F344D2" w:rsidRPr="00355F71">
        <w:rPr>
          <w:i w:val="0"/>
          <w:szCs w:val="24"/>
        </w:rPr>
        <w:t xml:space="preserve">efficiency </w:t>
      </w:r>
      <w:r w:rsidR="00714F25" w:rsidRPr="00355F71">
        <w:rPr>
          <w:i w:val="0"/>
          <w:szCs w:val="24"/>
        </w:rPr>
        <w:t xml:space="preserve">in provision of </w:t>
      </w:r>
      <w:r w:rsidRPr="00355F71">
        <w:rPr>
          <w:i w:val="0"/>
          <w:szCs w:val="24"/>
        </w:rPr>
        <w:t>medical service</w:t>
      </w:r>
      <w:r w:rsidR="00714F25" w:rsidRPr="00355F71">
        <w:rPr>
          <w:i w:val="0"/>
          <w:szCs w:val="24"/>
        </w:rPr>
        <w:t>s</w:t>
      </w:r>
    </w:p>
    <w:p w:rsidR="00B61C1B" w:rsidRDefault="00992A05" w:rsidP="00355F71">
      <w:pPr>
        <w:pStyle w:val="Paragraph"/>
        <w:jc w:val="both"/>
      </w:pPr>
      <w:r w:rsidRPr="00365EB4">
        <w:t>Taiwan implemented National Health Insurance</w:t>
      </w:r>
      <w:r w:rsidR="00714F25">
        <w:t xml:space="preserve"> (NHI)</w:t>
      </w:r>
      <w:r w:rsidR="00D75246">
        <w:rPr>
          <w:rFonts w:hint="eastAsia"/>
          <w:lang w:eastAsia="zh-TW"/>
        </w:rPr>
        <w:t xml:space="preserve"> </w:t>
      </w:r>
      <w:r w:rsidR="009F63AD">
        <w:t xml:space="preserve">in </w:t>
      </w:r>
      <w:r w:rsidRPr="00365EB4">
        <w:t>1995</w:t>
      </w:r>
      <w:r w:rsidR="00714F25">
        <w:t>, and ha</w:t>
      </w:r>
      <w:r w:rsidR="009F63AD">
        <w:t>s</w:t>
      </w:r>
      <w:r w:rsidR="00D75246">
        <w:rPr>
          <w:rFonts w:hint="eastAsia"/>
          <w:lang w:eastAsia="zh-TW"/>
        </w:rPr>
        <w:t xml:space="preserve"> </w:t>
      </w:r>
      <w:r w:rsidRPr="00365EB4">
        <w:t xml:space="preserve">increased </w:t>
      </w:r>
      <w:r w:rsidR="00714F25">
        <w:t>th</w:t>
      </w:r>
      <w:r w:rsidR="009F63AD">
        <w:t>is</w:t>
      </w:r>
      <w:r w:rsidR="00D75246">
        <w:rPr>
          <w:rFonts w:hint="eastAsia"/>
          <w:lang w:eastAsia="zh-TW"/>
        </w:rPr>
        <w:t xml:space="preserve"> </w:t>
      </w:r>
      <w:r w:rsidRPr="00365EB4">
        <w:t xml:space="preserve">budget </w:t>
      </w:r>
      <w:r w:rsidR="00714F25">
        <w:t>on a yearly basis</w:t>
      </w:r>
      <w:r w:rsidRPr="00365EB4">
        <w:t xml:space="preserve">. </w:t>
      </w:r>
      <w:r w:rsidR="00714F25">
        <w:t>Over the last</w:t>
      </w:r>
      <w:r w:rsidRPr="00365EB4">
        <w:t xml:space="preserve"> two decades, the NH</w:t>
      </w:r>
      <w:r w:rsidR="00685D99">
        <w:rPr>
          <w:rFonts w:hint="eastAsia"/>
          <w:lang w:eastAsia="zh-TW"/>
        </w:rPr>
        <w:t>I</w:t>
      </w:r>
      <w:r w:rsidR="00D75246">
        <w:rPr>
          <w:rFonts w:hint="eastAsia"/>
          <w:lang w:eastAsia="zh-TW"/>
        </w:rPr>
        <w:t xml:space="preserve"> </w:t>
      </w:r>
      <w:r w:rsidR="00714F25">
        <w:t>has been suffering dramatic losses</w:t>
      </w:r>
      <w:r w:rsidRPr="00365EB4">
        <w:t xml:space="preserve">. </w:t>
      </w:r>
      <w:r w:rsidR="00714F25">
        <w:t>This has prompted the</w:t>
      </w:r>
      <w:r w:rsidRPr="00365EB4">
        <w:t xml:space="preserve"> government </w:t>
      </w:r>
      <w:r w:rsidR="00714F25">
        <w:t>to formulate</w:t>
      </w:r>
      <w:r w:rsidRPr="00365EB4">
        <w:t xml:space="preserve"> policies </w:t>
      </w:r>
      <w:r w:rsidR="00714F25">
        <w:t>to remedy this situation</w:t>
      </w:r>
      <w:r w:rsidR="009F63AD">
        <w:t>.</w:t>
      </w:r>
      <w:r w:rsidR="00D75246">
        <w:rPr>
          <w:rFonts w:hint="eastAsia"/>
          <w:lang w:eastAsia="zh-TW"/>
        </w:rPr>
        <w:t xml:space="preserve"> </w:t>
      </w:r>
      <w:r w:rsidR="00714F25">
        <w:t>Between 2004 and 2015</w:t>
      </w:r>
      <w:r w:rsidRPr="00365EB4">
        <w:t xml:space="preserve">, the </w:t>
      </w:r>
      <w:r w:rsidR="00714F25">
        <w:t>annual expenditures of the NHI have increased</w:t>
      </w:r>
      <w:r w:rsidR="00D75246">
        <w:rPr>
          <w:rFonts w:hint="eastAsia"/>
          <w:lang w:eastAsia="zh-TW"/>
        </w:rPr>
        <w:t xml:space="preserve"> </w:t>
      </w:r>
      <w:r w:rsidR="00714F25">
        <w:t>an average of</w:t>
      </w:r>
      <w:r w:rsidRPr="00365EB4">
        <w:t xml:space="preserve"> 3.43%. </w:t>
      </w:r>
      <w:r w:rsidR="00714F25">
        <w:t>Nonetheless, issues pertaining to the efficiency of the system have been largely overlooked.</w:t>
      </w:r>
      <w:r w:rsidR="00D75246">
        <w:rPr>
          <w:rFonts w:hint="eastAsia"/>
          <w:lang w:eastAsia="zh-TW"/>
        </w:rPr>
        <w:t xml:space="preserve"> </w:t>
      </w:r>
      <w:r w:rsidR="00714F25">
        <w:t>Using</w:t>
      </w:r>
      <w:r w:rsidR="00D75246">
        <w:rPr>
          <w:rFonts w:hint="eastAsia"/>
          <w:lang w:eastAsia="zh-TW"/>
        </w:rPr>
        <w:t xml:space="preserve"> </w:t>
      </w:r>
      <w:r w:rsidRPr="00365EB4">
        <w:t>DEA</w:t>
      </w:r>
      <w:r w:rsidR="00714F25">
        <w:t xml:space="preserve"> to </w:t>
      </w:r>
      <w:r w:rsidR="00714F25" w:rsidRPr="00365EB4">
        <w:t>analy</w:t>
      </w:r>
      <w:r w:rsidR="00714F25">
        <w:t>s</w:t>
      </w:r>
      <w:r w:rsidR="00714F25" w:rsidRPr="00365EB4">
        <w:t xml:space="preserve">e productivity </w:t>
      </w:r>
      <w:r w:rsidR="00714F25">
        <w:t xml:space="preserve">in the provision of </w:t>
      </w:r>
      <w:r w:rsidRPr="00365EB4">
        <w:t>medical service</w:t>
      </w:r>
      <w:r w:rsidR="00714F25">
        <w:t>s</w:t>
      </w:r>
      <w:r w:rsidR="00D75246">
        <w:rPr>
          <w:rFonts w:hint="eastAsia"/>
          <w:lang w:eastAsia="zh-TW"/>
        </w:rPr>
        <w:t xml:space="preserve"> </w:t>
      </w:r>
      <w:r w:rsidR="00714F25">
        <w:t>is based on the selection of</w:t>
      </w:r>
      <w:r w:rsidRPr="00365EB4">
        <w:t xml:space="preserve"> DEA input</w:t>
      </w:r>
      <w:r w:rsidR="00714F25">
        <w:t>s</w:t>
      </w:r>
      <w:r w:rsidRPr="00365EB4">
        <w:t xml:space="preserve"> and output</w:t>
      </w:r>
      <w:r w:rsidR="00714F25">
        <w:t>s</w:t>
      </w:r>
      <w:r w:rsidRPr="00365EB4">
        <w:t xml:space="preserve">. DEA </w:t>
      </w:r>
      <w:r w:rsidR="00714F25">
        <w:t>determines</w:t>
      </w:r>
      <w:r w:rsidR="00D75246">
        <w:rPr>
          <w:rFonts w:hint="eastAsia"/>
          <w:lang w:eastAsia="zh-TW"/>
        </w:rPr>
        <w:t xml:space="preserve"> </w:t>
      </w:r>
      <w:r w:rsidRPr="00365EB4">
        <w:t xml:space="preserve">how DMUs convert multiple inputs into multiple outputs </w:t>
      </w:r>
      <w:r w:rsidR="000C1B81">
        <w:fldChar w:fldCharType="begin"/>
      </w:r>
      <w:r w:rsidR="00E83483">
        <w:instrText xml:space="preserve"> ADDIN EN.CITE &lt;EndNote&gt;&lt;Cite&gt;&lt;Author&gt;Chen&lt;/Author&gt;&lt;Year&gt;2006&lt;/Year&gt;&lt;RecNum&gt;7&lt;/RecNum&gt;&lt;DisplayText&gt;[14]&lt;/DisplayText&gt;&lt;record&gt;&lt;rec-number&gt;7&lt;/rec-number&gt;&lt;foreign-keys&gt;&lt;key app="EN" db-id="wpwev0d5qa5as4esa0dxawwdzsvdrdzwxzda"&gt;7&lt;/key&gt;&lt;/foreign-keys&gt;&lt;ref-type name="Journal Article"&gt;17&lt;/ref-type&gt;&lt;contributors&gt;&lt;authors&gt;&lt;author&gt;Chen, Shih-Neng&lt;/author&gt;&lt;/authors&gt;&lt;/contributors&gt;&lt;titles&gt;&lt;title&gt;Productivity changes in Taiwanese hospitals and the national health insurance&lt;/title&gt;&lt;secondary-title&gt;The Service Industries Journal&lt;/secondary-title&gt;&lt;/titles&gt;&lt;periodical&gt;&lt;full-title&gt;The Service Industries Journal&lt;/full-title&gt;&lt;/periodical&gt;&lt;pages&gt;459-477&lt;/pages&gt;&lt;volume&gt;26&lt;/volume&gt;&lt;number&gt;4&lt;/number&gt;&lt;dates&gt;&lt;year&gt;2006&lt;/year&gt;&lt;/dates&gt;&lt;isbn&gt;0264-2069&lt;/isbn&gt;&lt;urls&gt;&lt;/urls&gt;&lt;/record&gt;&lt;/Cite&gt;&lt;/EndNote&gt;</w:instrText>
      </w:r>
      <w:r w:rsidR="000C1B81">
        <w:fldChar w:fldCharType="separate"/>
      </w:r>
      <w:r w:rsidR="00E83483">
        <w:rPr>
          <w:noProof/>
        </w:rPr>
        <w:t>[</w:t>
      </w:r>
      <w:hyperlink w:anchor="_ENREF_14" w:tooltip="Chen, 2006 #7" w:history="1">
        <w:r w:rsidR="00E83483">
          <w:rPr>
            <w:noProof/>
          </w:rPr>
          <w:t>14</w:t>
        </w:r>
      </w:hyperlink>
      <w:r w:rsidR="00E83483">
        <w:rPr>
          <w:noProof/>
        </w:rPr>
        <w:t>]</w:t>
      </w:r>
      <w:r w:rsidR="000C1B81">
        <w:fldChar w:fldCharType="end"/>
      </w:r>
      <w:r w:rsidRPr="00365EB4">
        <w:t xml:space="preserve">. </w:t>
      </w:r>
      <w:r w:rsidR="00714F25">
        <w:t>In other words,</w:t>
      </w:r>
      <w:r w:rsidRPr="00365EB4">
        <w:t xml:space="preserve"> any DMU </w:t>
      </w:r>
      <w:r w:rsidR="00714F25">
        <w:t>with</w:t>
      </w:r>
      <w:r w:rsidR="00D75246">
        <w:rPr>
          <w:rFonts w:hint="eastAsia"/>
          <w:lang w:eastAsia="zh-TW"/>
        </w:rPr>
        <w:t xml:space="preserve"> </w:t>
      </w:r>
      <w:r w:rsidR="00714F25">
        <w:t xml:space="preserve">an </w:t>
      </w:r>
      <w:r w:rsidRPr="00365EB4">
        <w:t xml:space="preserve">input </w:t>
      </w:r>
      <w:r w:rsidR="00714F25">
        <w:t>lower than the</w:t>
      </w:r>
      <w:r w:rsidRPr="00365EB4">
        <w:t xml:space="preserve"> output is considered efficient. </w:t>
      </w:r>
      <w:r w:rsidR="00714F25">
        <w:t>The</w:t>
      </w:r>
      <w:r w:rsidR="00D75246">
        <w:rPr>
          <w:rFonts w:hint="eastAsia"/>
          <w:lang w:eastAsia="zh-TW"/>
        </w:rPr>
        <w:t xml:space="preserve"> </w:t>
      </w:r>
      <w:r w:rsidRPr="00365EB4">
        <w:t>inputs</w:t>
      </w:r>
      <w:r w:rsidR="00714F25">
        <w:t xml:space="preserve"> used in this study were</w:t>
      </w:r>
      <w:r w:rsidR="00D75246">
        <w:rPr>
          <w:rFonts w:hint="eastAsia"/>
          <w:lang w:eastAsia="zh-TW"/>
        </w:rPr>
        <w:t xml:space="preserve"> </w:t>
      </w:r>
      <w:r w:rsidRPr="00365EB4">
        <w:t xml:space="preserve">the total number of medical staff and the total number of beds in all hospitals and clinics. </w:t>
      </w:r>
      <w:r w:rsidR="00714F25">
        <w:t>The</w:t>
      </w:r>
      <w:r w:rsidRPr="00365EB4">
        <w:t xml:space="preserve"> number of outpatient</w:t>
      </w:r>
      <w:r w:rsidR="00714F25">
        <w:t xml:space="preserve"> visits</w:t>
      </w:r>
      <w:r w:rsidRPr="00365EB4">
        <w:t xml:space="preserve"> and inpatient visits </w:t>
      </w:r>
      <w:r w:rsidR="00714F25">
        <w:t>were adopted as</w:t>
      </w:r>
      <w:r w:rsidRPr="00365EB4">
        <w:t xml:space="preserve"> outputs. </w:t>
      </w:r>
      <w:proofErr w:type="spellStart"/>
      <w:r w:rsidRPr="00365EB4">
        <w:t>Ozcan</w:t>
      </w:r>
      <w:proofErr w:type="spellEnd"/>
      <w:r w:rsidRPr="00365EB4">
        <w:t xml:space="preserve"> (2008) </w:t>
      </w:r>
      <w:r w:rsidR="00714F25">
        <w:t>treated</w:t>
      </w:r>
      <w:r w:rsidR="00D75246">
        <w:rPr>
          <w:rFonts w:hint="eastAsia"/>
          <w:lang w:eastAsia="zh-TW"/>
        </w:rPr>
        <w:t xml:space="preserve"> </w:t>
      </w:r>
      <w:r w:rsidR="00714F25" w:rsidRPr="00365EB4">
        <w:t>operati</w:t>
      </w:r>
      <w:r w:rsidR="00714F25">
        <w:t>ng</w:t>
      </w:r>
      <w:r w:rsidR="00D75246">
        <w:rPr>
          <w:rFonts w:hint="eastAsia"/>
          <w:lang w:eastAsia="zh-TW"/>
        </w:rPr>
        <w:t xml:space="preserve"> </w:t>
      </w:r>
      <w:r w:rsidRPr="00365EB4">
        <w:t>cost</w:t>
      </w:r>
      <w:r w:rsidR="00714F25">
        <w:t>s</w:t>
      </w:r>
      <w:r w:rsidR="00D75246">
        <w:rPr>
          <w:rFonts w:hint="eastAsia"/>
          <w:lang w:eastAsia="zh-TW"/>
        </w:rPr>
        <w:t xml:space="preserve"> </w:t>
      </w:r>
      <w:r w:rsidR="00714F25">
        <w:t>as an</w:t>
      </w:r>
      <w:r w:rsidRPr="00365EB4">
        <w:t xml:space="preserve"> input indicator</w:t>
      </w:r>
      <w:r w:rsidR="00714F25">
        <w:t>; however, we were unable to do the same due to a lack of data related to</w:t>
      </w:r>
      <w:r w:rsidR="00D75246">
        <w:rPr>
          <w:rFonts w:hint="eastAsia"/>
          <w:lang w:eastAsia="zh-TW"/>
        </w:rPr>
        <w:t xml:space="preserve"> </w:t>
      </w:r>
      <w:r w:rsidRPr="00365EB4">
        <w:t>operati</w:t>
      </w:r>
      <w:r w:rsidR="00714F25">
        <w:t>ng</w:t>
      </w:r>
      <w:r w:rsidRPr="00365EB4">
        <w:t xml:space="preserve"> cost</w:t>
      </w:r>
      <w:r w:rsidR="00714F25">
        <w:t>s</w:t>
      </w:r>
      <w:r w:rsidR="00D75246">
        <w:rPr>
          <w:rFonts w:hint="eastAsia"/>
          <w:lang w:eastAsia="zh-TW"/>
        </w:rPr>
        <w:t xml:space="preserve"> </w:t>
      </w:r>
      <w:r w:rsidRPr="00365EB4">
        <w:t>in</w:t>
      </w:r>
      <w:r w:rsidR="00714F25">
        <w:t xml:space="preserve"> the</w:t>
      </w:r>
      <w:r w:rsidRPr="00365EB4">
        <w:t xml:space="preserve"> National Health Insurance </w:t>
      </w:r>
      <w:r w:rsidR="009F63AD">
        <w:t>d</w:t>
      </w:r>
      <w:r w:rsidRPr="00365EB4">
        <w:t>atabase</w:t>
      </w:r>
      <w:r w:rsidR="00714F25">
        <w:t>. Furthermore, we observed</w:t>
      </w:r>
      <w:r w:rsidRPr="00365EB4">
        <w:t xml:space="preserve"> considerable </w:t>
      </w:r>
      <w:proofErr w:type="spellStart"/>
      <w:r w:rsidRPr="00365EB4">
        <w:t>collinearity</w:t>
      </w:r>
      <w:proofErr w:type="spellEnd"/>
      <w:r w:rsidRPr="00365EB4">
        <w:t xml:space="preserve"> between the number of medical staff and </w:t>
      </w:r>
      <w:r w:rsidR="00714F25" w:rsidRPr="00365EB4">
        <w:t>operati</w:t>
      </w:r>
      <w:r w:rsidR="00714F25">
        <w:t>ng</w:t>
      </w:r>
      <w:r w:rsidR="00D75246">
        <w:rPr>
          <w:rFonts w:hint="eastAsia"/>
          <w:lang w:eastAsia="zh-TW"/>
        </w:rPr>
        <w:t xml:space="preserve"> </w:t>
      </w:r>
      <w:r w:rsidRPr="00365EB4">
        <w:t>cost</w:t>
      </w:r>
      <w:r w:rsidR="00714F25">
        <w:t>s</w:t>
      </w:r>
      <w:r w:rsidRPr="00365EB4">
        <w:t xml:space="preserve">. </w:t>
      </w:r>
      <w:r w:rsidR="00714F25">
        <w:t>The outputs in this study were the</w:t>
      </w:r>
      <w:r w:rsidRPr="00365EB4">
        <w:t xml:space="preserve"> total number of outpatient</w:t>
      </w:r>
      <w:r w:rsidR="00714F25">
        <w:t>s</w:t>
      </w:r>
      <w:r w:rsidRPr="00365EB4">
        <w:t xml:space="preserve"> and </w:t>
      </w:r>
      <w:r>
        <w:rPr>
          <w:rFonts w:hint="eastAsia"/>
        </w:rPr>
        <w:t xml:space="preserve">the </w:t>
      </w:r>
      <w:r w:rsidR="00714F25">
        <w:t>number of</w:t>
      </w:r>
      <w:r w:rsidR="00D75246">
        <w:rPr>
          <w:rFonts w:hint="eastAsia"/>
          <w:lang w:eastAsia="zh-TW"/>
        </w:rPr>
        <w:t xml:space="preserve"> </w:t>
      </w:r>
      <w:r w:rsidRPr="00365EB4">
        <w:t>emergency visits</w:t>
      </w:r>
      <w:r w:rsidR="00714F25">
        <w:t>/</w:t>
      </w:r>
      <w:r w:rsidRPr="00365EB4">
        <w:t>hospitalizations.</w:t>
      </w:r>
    </w:p>
    <w:p w:rsidR="00992A05" w:rsidRDefault="00992A05" w:rsidP="00AE12C3">
      <w:pPr>
        <w:pStyle w:val="Newparagraph"/>
        <w:ind w:firstLine="0"/>
        <w:jc w:val="both"/>
      </w:pPr>
      <w:r w:rsidRPr="00365EB4">
        <w:lastRenderedPageBreak/>
        <w:t xml:space="preserve">We initially </w:t>
      </w:r>
      <w:r w:rsidR="00714F25">
        <w:t>formulated</w:t>
      </w:r>
      <w:r w:rsidR="00D75246">
        <w:rPr>
          <w:rFonts w:hint="eastAsia"/>
          <w:lang w:eastAsia="zh-TW"/>
        </w:rPr>
        <w:t xml:space="preserve"> </w:t>
      </w:r>
      <w:r w:rsidRPr="00365EB4">
        <w:t>four data panels</w:t>
      </w:r>
      <w:r w:rsidR="00714F25">
        <w:t>, each of which</w:t>
      </w:r>
      <w:r w:rsidR="00D75246">
        <w:rPr>
          <w:rFonts w:hint="eastAsia"/>
          <w:lang w:eastAsia="zh-TW"/>
        </w:rPr>
        <w:t xml:space="preserve"> </w:t>
      </w:r>
      <w:r w:rsidRPr="00365EB4">
        <w:t>included 22 counties × 10 years</w:t>
      </w:r>
      <w:r w:rsidR="00D75246">
        <w:rPr>
          <w:rFonts w:hint="eastAsia"/>
          <w:lang w:eastAsia="zh-TW"/>
        </w:rPr>
        <w:t xml:space="preserve"> </w:t>
      </w:r>
      <w:r w:rsidR="009F63AD">
        <w:t>(</w:t>
      </w:r>
      <w:r w:rsidRPr="00365EB4">
        <w:t>2005 to 2014</w:t>
      </w:r>
      <w:r w:rsidR="009F63AD">
        <w:t>)</w:t>
      </w:r>
      <w:r w:rsidR="00714F25">
        <w:t xml:space="preserve">. The cities </w:t>
      </w:r>
      <w:r w:rsidRPr="00365EB4">
        <w:t xml:space="preserve">and counties </w:t>
      </w:r>
      <w:r w:rsidR="00714F25">
        <w:t>included the following:</w:t>
      </w:r>
      <w:r w:rsidR="00D75246">
        <w:rPr>
          <w:rFonts w:hint="eastAsia"/>
          <w:lang w:eastAsia="zh-TW"/>
        </w:rPr>
        <w:t xml:space="preserve"> </w:t>
      </w:r>
      <w:r w:rsidRPr="00365EB4">
        <w:t>New Taipei City</w:t>
      </w:r>
      <w:r w:rsidR="00F318C1">
        <w:rPr>
          <w:rFonts w:hint="eastAsia"/>
          <w:lang w:eastAsia="zh-TW"/>
        </w:rPr>
        <w:t xml:space="preserve">, </w:t>
      </w:r>
      <w:r w:rsidRPr="00365EB4">
        <w:t>Taipei City</w:t>
      </w:r>
      <w:r w:rsidR="00F318C1">
        <w:rPr>
          <w:rFonts w:hint="eastAsia"/>
          <w:lang w:eastAsia="zh-TW"/>
        </w:rPr>
        <w:t xml:space="preserve">, </w:t>
      </w:r>
      <w:r w:rsidRPr="00365EB4">
        <w:t>Taichung City</w:t>
      </w:r>
      <w:r w:rsidR="00F318C1">
        <w:rPr>
          <w:rFonts w:hint="eastAsia"/>
          <w:lang w:eastAsia="zh-TW"/>
        </w:rPr>
        <w:t xml:space="preserve">, </w:t>
      </w:r>
      <w:r w:rsidRPr="00365EB4">
        <w:t>Tainan City</w:t>
      </w:r>
      <w:r w:rsidR="00F318C1">
        <w:rPr>
          <w:rFonts w:hint="eastAsia"/>
          <w:lang w:eastAsia="zh-TW"/>
        </w:rPr>
        <w:t xml:space="preserve">, </w:t>
      </w:r>
      <w:r w:rsidRPr="00365EB4">
        <w:t>Kaohsiung City</w:t>
      </w:r>
      <w:r w:rsidR="00F318C1">
        <w:rPr>
          <w:rFonts w:hint="eastAsia"/>
          <w:lang w:eastAsia="zh-TW"/>
        </w:rPr>
        <w:t xml:space="preserve">, </w:t>
      </w:r>
      <w:proofErr w:type="spellStart"/>
      <w:r w:rsidRPr="00365EB4">
        <w:t>Ilan</w:t>
      </w:r>
      <w:proofErr w:type="spellEnd"/>
      <w:r w:rsidRPr="00365EB4">
        <w:t xml:space="preserve"> County</w:t>
      </w:r>
      <w:r w:rsidR="00F318C1">
        <w:rPr>
          <w:rFonts w:hint="eastAsia"/>
          <w:lang w:eastAsia="zh-TW"/>
        </w:rPr>
        <w:t xml:space="preserve">, </w:t>
      </w:r>
      <w:proofErr w:type="spellStart"/>
      <w:r w:rsidRPr="00365EB4">
        <w:t>Taoyuan</w:t>
      </w:r>
      <w:proofErr w:type="spellEnd"/>
      <w:r w:rsidRPr="00365EB4">
        <w:t xml:space="preserve"> City, </w:t>
      </w:r>
      <w:proofErr w:type="spellStart"/>
      <w:r w:rsidRPr="00365EB4">
        <w:t>Hsinchu</w:t>
      </w:r>
      <w:proofErr w:type="spellEnd"/>
      <w:r w:rsidRPr="00365EB4">
        <w:t xml:space="preserve"> County, </w:t>
      </w:r>
      <w:proofErr w:type="spellStart"/>
      <w:r w:rsidRPr="00365EB4">
        <w:t>Miaoli</w:t>
      </w:r>
      <w:proofErr w:type="spellEnd"/>
      <w:r w:rsidRPr="00365EB4">
        <w:t xml:space="preserve"> County, </w:t>
      </w:r>
      <w:proofErr w:type="spellStart"/>
      <w:r w:rsidRPr="00365EB4">
        <w:t>Changhua</w:t>
      </w:r>
      <w:proofErr w:type="spellEnd"/>
      <w:r w:rsidRPr="00365EB4">
        <w:t xml:space="preserve"> County, </w:t>
      </w:r>
      <w:proofErr w:type="spellStart"/>
      <w:r w:rsidRPr="00365EB4">
        <w:t>Nantou</w:t>
      </w:r>
      <w:proofErr w:type="spellEnd"/>
      <w:r w:rsidRPr="00365EB4">
        <w:t xml:space="preserve"> County, </w:t>
      </w:r>
      <w:proofErr w:type="spellStart"/>
      <w:r w:rsidRPr="00365EB4">
        <w:t>Yunlin</w:t>
      </w:r>
      <w:proofErr w:type="spellEnd"/>
      <w:r w:rsidRPr="00365EB4">
        <w:t xml:space="preserve"> County, </w:t>
      </w:r>
      <w:proofErr w:type="spellStart"/>
      <w:r w:rsidRPr="00365EB4">
        <w:t>Chiayi</w:t>
      </w:r>
      <w:proofErr w:type="spellEnd"/>
      <w:r w:rsidRPr="00365EB4">
        <w:t xml:space="preserve"> County, </w:t>
      </w:r>
      <w:proofErr w:type="spellStart"/>
      <w:r w:rsidRPr="00365EB4">
        <w:t>Pingtung</w:t>
      </w:r>
      <w:proofErr w:type="spellEnd"/>
      <w:r w:rsidRPr="00365EB4">
        <w:t xml:space="preserve"> County, </w:t>
      </w:r>
      <w:proofErr w:type="spellStart"/>
      <w:r w:rsidRPr="00365EB4">
        <w:t>Taitung</w:t>
      </w:r>
      <w:proofErr w:type="spellEnd"/>
      <w:r w:rsidRPr="00365EB4">
        <w:t xml:space="preserve"> County, </w:t>
      </w:r>
      <w:proofErr w:type="spellStart"/>
      <w:r w:rsidRPr="00365EB4">
        <w:t>Hualien</w:t>
      </w:r>
      <w:proofErr w:type="spellEnd"/>
      <w:r w:rsidRPr="00365EB4">
        <w:t xml:space="preserve"> County, Penghu County, Keelung City, </w:t>
      </w:r>
      <w:proofErr w:type="spellStart"/>
      <w:r w:rsidRPr="00365EB4">
        <w:t>Hsinchu</w:t>
      </w:r>
      <w:proofErr w:type="spellEnd"/>
      <w:r w:rsidRPr="00365EB4">
        <w:t xml:space="preserve"> City</w:t>
      </w:r>
      <w:r w:rsidR="00F318C1">
        <w:rPr>
          <w:rFonts w:hint="eastAsia"/>
          <w:lang w:eastAsia="zh-TW"/>
        </w:rPr>
        <w:t xml:space="preserve">, </w:t>
      </w:r>
      <w:proofErr w:type="spellStart"/>
      <w:r w:rsidRPr="00365EB4">
        <w:t>Chiayi</w:t>
      </w:r>
      <w:proofErr w:type="spellEnd"/>
      <w:r w:rsidRPr="00365EB4">
        <w:t xml:space="preserve"> City, </w:t>
      </w:r>
      <w:proofErr w:type="spellStart"/>
      <w:r w:rsidRPr="00365EB4">
        <w:t>Kinmen</w:t>
      </w:r>
      <w:proofErr w:type="spellEnd"/>
      <w:r w:rsidRPr="00365EB4">
        <w:t xml:space="preserve"> County, </w:t>
      </w:r>
      <w:r w:rsidR="00714F25">
        <w:t xml:space="preserve">and </w:t>
      </w:r>
      <w:proofErr w:type="spellStart"/>
      <w:r w:rsidRPr="00365EB4">
        <w:t>Lianjiang</w:t>
      </w:r>
      <w:proofErr w:type="spellEnd"/>
      <w:r w:rsidRPr="00365EB4">
        <w:t xml:space="preserve"> County. The</w:t>
      </w:r>
      <w:r w:rsidR="00617E12">
        <w:t>se cities/counties</w:t>
      </w:r>
      <w:r w:rsidRPr="00365EB4">
        <w:t xml:space="preserve"> cover all </w:t>
      </w:r>
      <w:r w:rsidR="00617E12">
        <w:t>of the</w:t>
      </w:r>
      <w:r w:rsidR="00D75246">
        <w:rPr>
          <w:rFonts w:hint="eastAsia"/>
          <w:lang w:eastAsia="zh-TW"/>
        </w:rPr>
        <w:t xml:space="preserve"> </w:t>
      </w:r>
      <w:r w:rsidRPr="00365EB4">
        <w:t xml:space="preserve">administrative regions of Taiwan, </w:t>
      </w:r>
      <w:r w:rsidR="00617E12">
        <w:t>which should be</w:t>
      </w:r>
      <w:r w:rsidRPr="00365EB4">
        <w:t xml:space="preserve"> sufficient to examine the impact of government </w:t>
      </w:r>
      <w:r w:rsidR="00617E12" w:rsidRPr="00365EB4">
        <w:t>polic</w:t>
      </w:r>
      <w:r w:rsidR="00617E12">
        <w:t>y</w:t>
      </w:r>
      <w:r w:rsidR="00D75246">
        <w:rPr>
          <w:rFonts w:hint="eastAsia"/>
          <w:lang w:eastAsia="zh-TW"/>
        </w:rPr>
        <w:t xml:space="preserve"> </w:t>
      </w:r>
      <w:r w:rsidRPr="00365EB4">
        <w:t xml:space="preserve">at the industry level. </w:t>
      </w:r>
      <w:r w:rsidR="00617E12">
        <w:t>One</w:t>
      </w:r>
      <w:r w:rsidRPr="00365EB4">
        <w:t xml:space="preserve"> advantage of using </w:t>
      </w:r>
      <w:r w:rsidR="00617E12">
        <w:t>a</w:t>
      </w:r>
      <w:r w:rsidR="00D75246">
        <w:rPr>
          <w:rFonts w:hint="eastAsia"/>
          <w:lang w:eastAsia="zh-TW"/>
        </w:rPr>
        <w:t xml:space="preserve"> </w:t>
      </w:r>
      <w:r w:rsidRPr="00365EB4">
        <w:t xml:space="preserve">longitudinal database for cross-year analysis is </w:t>
      </w:r>
      <w:r w:rsidR="00617E12">
        <w:t xml:space="preserve">the fact </w:t>
      </w:r>
      <w:r w:rsidRPr="00365EB4">
        <w:t xml:space="preserve">that DEA analysis of outputs often </w:t>
      </w:r>
      <w:r w:rsidR="00617E12">
        <w:t>involves the</w:t>
      </w:r>
      <w:r w:rsidR="00D75246">
        <w:rPr>
          <w:rFonts w:hint="eastAsia"/>
          <w:lang w:eastAsia="zh-TW"/>
        </w:rPr>
        <w:t xml:space="preserve"> </w:t>
      </w:r>
      <w:r w:rsidRPr="00365EB4">
        <w:t xml:space="preserve">deferral of inputs from medical personnel and beds invested over the preceding years. In practice, if a new hospital is opened </w:t>
      </w:r>
      <w:r w:rsidR="00617E12">
        <w:t>(</w:t>
      </w:r>
      <w:r w:rsidRPr="00365EB4">
        <w:t>new medical staff and hospital beds are put into operation</w:t>
      </w:r>
      <w:r w:rsidR="00617E12">
        <w:t>)</w:t>
      </w:r>
      <w:r w:rsidRPr="00365EB4">
        <w:t xml:space="preserve">, </w:t>
      </w:r>
      <w:r w:rsidR="00617E12">
        <w:t>then it generally</w:t>
      </w:r>
      <w:r w:rsidRPr="00365EB4">
        <w:t xml:space="preserve"> take</w:t>
      </w:r>
      <w:r w:rsidR="00617E12">
        <w:t>s2-3</w:t>
      </w:r>
      <w:r w:rsidRPr="00365EB4">
        <w:t xml:space="preserve"> years before a steady state is reached. </w:t>
      </w:r>
      <w:r w:rsidR="00617E12">
        <w:t>W</w:t>
      </w:r>
      <w:r w:rsidRPr="00365EB4">
        <w:t>e adopt</w:t>
      </w:r>
      <w:r w:rsidR="00617E12">
        <w:t>ed</w:t>
      </w:r>
      <w:r w:rsidRPr="00365EB4">
        <w:t xml:space="preserve"> the </w:t>
      </w:r>
      <w:proofErr w:type="spellStart"/>
      <w:r w:rsidRPr="00365EB4">
        <w:t>Malmquist</w:t>
      </w:r>
      <w:proofErr w:type="spellEnd"/>
      <w:r w:rsidRPr="00365EB4">
        <w:t xml:space="preserve"> index (MI)</w:t>
      </w:r>
      <w:r w:rsidR="00D75246">
        <w:rPr>
          <w:rFonts w:hint="eastAsia"/>
          <w:lang w:eastAsia="zh-TW"/>
        </w:rPr>
        <w:t xml:space="preserve"> </w:t>
      </w:r>
      <w:r w:rsidRPr="00365EB4">
        <w:t>known as total factor productivity</w:t>
      </w:r>
      <w:r w:rsidR="00D75246">
        <w:rPr>
          <w:rFonts w:hint="eastAsia"/>
          <w:lang w:eastAsia="zh-TW"/>
        </w:rPr>
        <w:t xml:space="preserve"> </w:t>
      </w:r>
      <w:r w:rsidR="00A2669B">
        <w:t>(</w:t>
      </w:r>
      <w:r w:rsidRPr="00365EB4">
        <w:t xml:space="preserve">TFP) </w:t>
      </w:r>
      <w:r w:rsidR="00617E12">
        <w:t>t</w:t>
      </w:r>
      <w:r w:rsidR="00617E12" w:rsidRPr="00365EB4">
        <w:t>o resolve this discrepancy</w:t>
      </w:r>
      <w:r w:rsidR="00617E12">
        <w:t>.</w:t>
      </w:r>
      <w:r w:rsidR="00D75246">
        <w:rPr>
          <w:rFonts w:hint="eastAsia"/>
          <w:lang w:eastAsia="zh-TW"/>
        </w:rPr>
        <w:t xml:space="preserve"> </w:t>
      </w:r>
      <w:r w:rsidR="00617E12">
        <w:t xml:space="preserve">The MI </w:t>
      </w:r>
      <w:r w:rsidRPr="00365EB4">
        <w:t xml:space="preserve">can be decomposed into </w:t>
      </w:r>
      <w:r w:rsidR="00617E12" w:rsidRPr="00365EB4">
        <w:t>change</w:t>
      </w:r>
      <w:r w:rsidR="00617E12">
        <w:t>s in</w:t>
      </w:r>
      <w:r w:rsidR="00D75246">
        <w:rPr>
          <w:rFonts w:hint="eastAsia"/>
          <w:lang w:eastAsia="zh-TW"/>
        </w:rPr>
        <w:t xml:space="preserve"> </w:t>
      </w:r>
      <w:r w:rsidRPr="00365EB4">
        <w:t>technical efficiency, scale efficiency</w:t>
      </w:r>
      <w:r w:rsidR="00617E12">
        <w:t xml:space="preserve">, </w:t>
      </w:r>
      <w:r w:rsidRPr="00365EB4">
        <w:t>and techn</w:t>
      </w:r>
      <w:r w:rsidR="00617E12">
        <w:t>ology</w:t>
      </w:r>
      <w:r w:rsidRPr="00365EB4">
        <w:t xml:space="preserve">. </w:t>
      </w:r>
      <w:r w:rsidR="00617E12">
        <w:t xml:space="preserve">When applied to the </w:t>
      </w:r>
      <w:r w:rsidRPr="00365EB4">
        <w:t>medical industry</w:t>
      </w:r>
      <w:r w:rsidR="00617E12">
        <w:t>, MI refers to</w:t>
      </w:r>
      <w:r w:rsidR="00D75246">
        <w:rPr>
          <w:rFonts w:hint="eastAsia"/>
          <w:lang w:eastAsia="zh-TW"/>
        </w:rPr>
        <w:t xml:space="preserve"> </w:t>
      </w:r>
      <w:r w:rsidRPr="00365EB4">
        <w:t>change</w:t>
      </w:r>
      <w:r w:rsidR="00617E12">
        <w:t>s</w:t>
      </w:r>
      <w:r w:rsidR="00D75246">
        <w:rPr>
          <w:rFonts w:hint="eastAsia"/>
          <w:lang w:eastAsia="zh-TW"/>
        </w:rPr>
        <w:t xml:space="preserve"> </w:t>
      </w:r>
      <w:r w:rsidR="00617E12">
        <w:t>in the efficiency of</w:t>
      </w:r>
      <w:r w:rsidR="00D75246">
        <w:rPr>
          <w:rFonts w:hint="eastAsia"/>
          <w:lang w:eastAsia="zh-TW"/>
        </w:rPr>
        <w:t xml:space="preserve"> </w:t>
      </w:r>
      <w:r w:rsidRPr="00365EB4">
        <w:t xml:space="preserve">management, </w:t>
      </w:r>
      <w:r w:rsidR="00617E12">
        <w:t>changes in the</w:t>
      </w:r>
      <w:r w:rsidR="00F11D09">
        <w:rPr>
          <w:rFonts w:hint="eastAsia"/>
          <w:lang w:eastAsia="zh-TW"/>
        </w:rPr>
        <w:t xml:space="preserve"> </w:t>
      </w:r>
      <w:r w:rsidR="00617E12" w:rsidRPr="00365EB4">
        <w:t xml:space="preserve">efficiency </w:t>
      </w:r>
      <w:r w:rsidR="00617E12">
        <w:t xml:space="preserve">of </w:t>
      </w:r>
      <w:r w:rsidRPr="00365EB4">
        <w:t>hospital</w:t>
      </w:r>
      <w:r w:rsidR="00617E12">
        <w:t>s of various</w:t>
      </w:r>
      <w:r w:rsidRPr="00365EB4">
        <w:t xml:space="preserve"> scale</w:t>
      </w:r>
      <w:r w:rsidR="00617E12">
        <w:t>,</w:t>
      </w:r>
      <w:r w:rsidR="00F11D09">
        <w:rPr>
          <w:rFonts w:hint="eastAsia"/>
          <w:lang w:eastAsia="zh-TW"/>
        </w:rPr>
        <w:t xml:space="preserve"> </w:t>
      </w:r>
      <w:r w:rsidRPr="00365EB4">
        <w:t xml:space="preserve">and </w:t>
      </w:r>
      <w:r w:rsidR="00617E12">
        <w:t xml:space="preserve">changes in </w:t>
      </w:r>
      <w:r w:rsidRPr="00365EB4">
        <w:t xml:space="preserve">medical technology. </w:t>
      </w:r>
      <w:r w:rsidR="00617E12">
        <w:t>These types of</w:t>
      </w:r>
      <w:r w:rsidRPr="00365EB4">
        <w:t xml:space="preserve"> data are </w:t>
      </w:r>
      <w:r w:rsidR="00617E12">
        <w:t>un</w:t>
      </w:r>
      <w:r w:rsidRPr="00365EB4">
        <w:t>suitable for input and output data</w:t>
      </w:r>
      <w:r w:rsidR="00F11D09">
        <w:rPr>
          <w:rFonts w:hint="eastAsia"/>
          <w:lang w:eastAsia="zh-TW"/>
        </w:rPr>
        <w:t xml:space="preserve"> </w:t>
      </w:r>
      <w:r w:rsidR="00617E12">
        <w:t xml:space="preserve">from </w:t>
      </w:r>
      <w:r w:rsidR="00617E12" w:rsidRPr="00365EB4">
        <w:t>the same year</w:t>
      </w:r>
      <w:r w:rsidRPr="00365EB4">
        <w:t xml:space="preserve">. </w:t>
      </w:r>
      <w:r w:rsidR="00617E12">
        <w:t>To</w:t>
      </w:r>
      <w:r w:rsidR="00F11D09">
        <w:rPr>
          <w:rFonts w:hint="eastAsia"/>
          <w:lang w:eastAsia="zh-TW"/>
        </w:rPr>
        <w:t xml:space="preserve"> </w:t>
      </w:r>
      <w:r w:rsidR="00617E12">
        <w:rPr>
          <w:noProof/>
        </w:rPr>
        <w:t>asses</w:t>
      </w:r>
      <w:r w:rsidR="00A2669B">
        <w:rPr>
          <w:noProof/>
        </w:rPr>
        <w:t>s</w:t>
      </w:r>
      <w:r w:rsidR="00617E12">
        <w:rPr>
          <w:noProof/>
        </w:rPr>
        <w:t xml:space="preserve"> the suitability of</w:t>
      </w:r>
      <w:r w:rsidRPr="00365EB4">
        <w:t xml:space="preserve"> four</w:t>
      </w:r>
      <w:r>
        <w:t>-</w:t>
      </w:r>
      <w:r w:rsidRPr="00365EB4">
        <w:t>panel data for DEA model</w:t>
      </w:r>
      <w:r w:rsidR="00617E12">
        <w:t>s</w:t>
      </w:r>
      <w:r w:rsidRPr="00365EB4">
        <w:t xml:space="preserve">, we analyze 220 data items </w:t>
      </w:r>
      <w:r w:rsidR="00617E12">
        <w:t xml:space="preserve">from three perspectives, returning to the </w:t>
      </w:r>
      <w:proofErr w:type="spellStart"/>
      <w:r w:rsidRPr="00365EB4">
        <w:t>Malmquist</w:t>
      </w:r>
      <w:proofErr w:type="spellEnd"/>
      <w:r w:rsidRPr="00365EB4">
        <w:t xml:space="preserve"> index for further analysis.</w:t>
      </w:r>
    </w:p>
    <w:p w:rsidR="0096711E" w:rsidRDefault="0096711E" w:rsidP="00AE12C3">
      <w:pPr>
        <w:pStyle w:val="Newparagraph"/>
        <w:ind w:firstLine="0"/>
        <w:jc w:val="both"/>
      </w:pPr>
    </w:p>
    <w:p w:rsidR="008B2065" w:rsidRPr="00355F71" w:rsidRDefault="0096711E" w:rsidP="00AE12C3">
      <w:pPr>
        <w:pStyle w:val="Newparagraph"/>
        <w:numPr>
          <w:ilvl w:val="1"/>
          <w:numId w:val="31"/>
        </w:numPr>
        <w:jc w:val="both"/>
        <w:rPr>
          <w:lang w:eastAsia="zh-TW"/>
        </w:rPr>
      </w:pPr>
      <w:r w:rsidRPr="00355F71">
        <w:rPr>
          <w:b/>
        </w:rPr>
        <w:t xml:space="preserve">DEA </w:t>
      </w:r>
      <w:r w:rsidR="00617E12" w:rsidRPr="00355F71">
        <w:rPr>
          <w:b/>
        </w:rPr>
        <w:t xml:space="preserve">analysis </w:t>
      </w:r>
      <w:r w:rsidRPr="00355F71">
        <w:rPr>
          <w:b/>
        </w:rPr>
        <w:t xml:space="preserve">of </w:t>
      </w:r>
      <w:r w:rsidR="00617E12" w:rsidRPr="00355F71">
        <w:rPr>
          <w:b/>
        </w:rPr>
        <w:t xml:space="preserve">efficiency in the provision of </w:t>
      </w:r>
      <w:r w:rsidRPr="00355F71">
        <w:rPr>
          <w:b/>
        </w:rPr>
        <w:t>medical service</w:t>
      </w:r>
      <w:r w:rsidR="00617E12" w:rsidRPr="00355F71">
        <w:rPr>
          <w:b/>
        </w:rPr>
        <w:t>s</w:t>
      </w:r>
    </w:p>
    <w:p w:rsidR="008B2065" w:rsidRDefault="008B2065" w:rsidP="00355F71">
      <w:pPr>
        <w:pStyle w:val="Paragraph"/>
        <w:jc w:val="both"/>
        <w:rPr>
          <w:lang w:eastAsia="zh-TW"/>
        </w:rPr>
      </w:pPr>
      <w:r w:rsidRPr="00365EB4">
        <w:t xml:space="preserve">We </w:t>
      </w:r>
      <w:r w:rsidR="00CD7A23" w:rsidRPr="00365EB4">
        <w:t>analy</w:t>
      </w:r>
      <w:r w:rsidR="00A2669B">
        <w:t>z</w:t>
      </w:r>
      <w:r w:rsidR="00CD7A23" w:rsidRPr="00365EB4">
        <w:t>e</w:t>
      </w:r>
      <w:r w:rsidR="00CD7A23">
        <w:t>d</w:t>
      </w:r>
      <w:r w:rsidR="00933D9E">
        <w:rPr>
          <w:rFonts w:hint="eastAsia"/>
          <w:lang w:eastAsia="zh-TW"/>
        </w:rPr>
        <w:t xml:space="preserve"> </w:t>
      </w:r>
      <w:r w:rsidRPr="00365EB4">
        <w:t xml:space="preserve">medical service production efficiency </w:t>
      </w:r>
      <w:r w:rsidR="00CD7A23">
        <w:t>in</w:t>
      </w:r>
      <w:r w:rsidR="00933D9E">
        <w:rPr>
          <w:rFonts w:hint="eastAsia"/>
          <w:lang w:eastAsia="zh-TW"/>
        </w:rPr>
        <w:t xml:space="preserve"> </w:t>
      </w:r>
      <w:r w:rsidRPr="00365EB4">
        <w:t xml:space="preserve">22 </w:t>
      </w:r>
      <w:r w:rsidR="00A2669B">
        <w:t>counties</w:t>
      </w:r>
      <w:r w:rsidR="00CD7A23">
        <w:t>/</w:t>
      </w:r>
      <w:r w:rsidRPr="00365EB4">
        <w:t xml:space="preserve">cities in Taiwan using DEA </w:t>
      </w:r>
      <w:r w:rsidR="00CD7A23">
        <w:t>for the period</w:t>
      </w:r>
      <w:r w:rsidRPr="00365EB4">
        <w:t xml:space="preserve"> 2005~2014. We </w:t>
      </w:r>
      <w:r w:rsidR="00CD7A23">
        <w:t>adopted the</w:t>
      </w:r>
      <w:r w:rsidR="00933D9E">
        <w:rPr>
          <w:rFonts w:hint="eastAsia"/>
          <w:lang w:eastAsia="zh-TW"/>
        </w:rPr>
        <w:t xml:space="preserve"> </w:t>
      </w:r>
      <w:r w:rsidRPr="00365EB4">
        <w:rPr>
          <w:i/>
        </w:rPr>
        <w:t>BCC</w:t>
      </w:r>
      <w:r w:rsidRPr="00365EB4">
        <w:t xml:space="preserve"> model of DEA</w:t>
      </w:r>
      <w:r w:rsidR="00933D9E">
        <w:rPr>
          <w:rFonts w:hint="eastAsia"/>
          <w:lang w:eastAsia="zh-TW"/>
        </w:rPr>
        <w:t xml:space="preserve"> </w:t>
      </w:r>
      <w:r w:rsidR="000C1B81">
        <w:fldChar w:fldCharType="begin"/>
      </w:r>
      <w:r w:rsidR="00E83483">
        <w:instrText xml:space="preserve"> ADDIN EN.CITE &lt;EndNote&gt;&lt;Cite&gt;&lt;Author&gt;Banker&lt;/Author&gt;&lt;Year&gt;1984&lt;/Year&gt;&lt;RecNum&gt;1&lt;/RecNum&gt;&lt;DisplayText&gt;[15]&lt;/DisplayText&gt;&lt;record&gt;&lt;rec-number&gt;1&lt;/rec-number&gt;&lt;foreign-keys&gt;&lt;key app="EN" db-id="wpwev0d5qa5as4esa0dxawwdzsvdrdzwxzda"&gt;1&lt;/key&gt;&lt;/foreign-keys&gt;&lt;ref-type name="Journal Article"&gt;17&lt;/ref-type&gt;&lt;contributors&gt;&lt;authors&gt;&lt;author&gt;Banker, Rajiv D&lt;/author&gt;&lt;author&gt;Charnes, Abraham&lt;/author&gt;&lt;author&gt;Cooper, William Wager&lt;/author&gt;&lt;/authors&gt;&lt;/contributors&gt;&lt;titles&gt;&lt;title&gt;Some models for estimating technical and scale inefficiencies in data envelopment analysis&lt;/title&gt;&lt;secondary-title&gt;Management science&lt;/secondary-title&gt;&lt;/titles&gt;&lt;periodical&gt;&lt;full-title&gt;Management science&lt;/full-title&gt;&lt;/periodical&gt;&lt;pages&gt;1078-1092&lt;/pages&gt;&lt;volume&gt;30&lt;/volume&gt;&lt;number&gt;9&lt;/number&gt;&lt;dates&gt;&lt;year&gt;1984&lt;/year&gt;&lt;/dates&gt;&lt;isbn&gt;0025-1909&lt;/isbn&gt;&lt;urls&gt;&lt;/urls&gt;&lt;/record&gt;&lt;/Cite&gt;&lt;/EndNote&gt;</w:instrText>
      </w:r>
      <w:r w:rsidR="000C1B81">
        <w:fldChar w:fldCharType="separate"/>
      </w:r>
      <w:r w:rsidR="00E83483">
        <w:rPr>
          <w:noProof/>
        </w:rPr>
        <w:t>[</w:t>
      </w:r>
      <w:hyperlink w:anchor="_ENREF_15" w:tooltip="Banker, 1984 #1" w:history="1">
        <w:r w:rsidR="00E83483">
          <w:rPr>
            <w:noProof/>
          </w:rPr>
          <w:t>15</w:t>
        </w:r>
      </w:hyperlink>
      <w:r w:rsidR="00E83483">
        <w:rPr>
          <w:noProof/>
        </w:rPr>
        <w:t>]</w:t>
      </w:r>
      <w:r w:rsidR="000C1B81">
        <w:fldChar w:fldCharType="end"/>
      </w:r>
      <w:r w:rsidRPr="00365EB4">
        <w:t xml:space="preserve">, assuming </w:t>
      </w:r>
      <w:r w:rsidR="00CD7A23">
        <w:t>the</w:t>
      </w:r>
      <w:r w:rsidR="00933D9E">
        <w:rPr>
          <w:rFonts w:hint="eastAsia"/>
          <w:lang w:eastAsia="zh-TW"/>
        </w:rPr>
        <w:t xml:space="preserve"> </w:t>
      </w:r>
      <w:r w:rsidRPr="00365EB4">
        <w:t xml:space="preserve">variable return-to-scale. </w:t>
      </w:r>
      <w:r w:rsidR="00043EA8" w:rsidRPr="00933D9E">
        <w:t>The BCC model in its weak efficiency, input-oriented and envelopment form to measure DEA efficiency of medical service production of target DMU is formulated as the following linear program</w:t>
      </w:r>
      <w:r w:rsidRPr="00365EB4">
        <w:t xml:space="preserve"> (LP)</w:t>
      </w:r>
      <w:r>
        <w:rPr>
          <w:rFonts w:hint="eastAsia"/>
        </w:rPr>
        <w:t xml:space="preserve"> (1)</w:t>
      </w:r>
      <w:r w:rsidRPr="00365EB4">
        <w:t>:</w:t>
      </w:r>
    </w:p>
    <w:p w:rsidR="008B2065" w:rsidRPr="008B2065" w:rsidRDefault="008B2065" w:rsidP="00AE12C3">
      <w:pPr>
        <w:pStyle w:val="Newparagraph"/>
        <w:ind w:firstLine="0"/>
        <w:jc w:val="right"/>
        <w:rPr>
          <w:lang w:eastAsia="zh-TW"/>
        </w:rPr>
      </w:pPr>
      <w:r w:rsidRPr="00365EB4">
        <w:rPr>
          <w:rFonts w:eastAsia="DFKai-SB"/>
          <w:position w:val="-172"/>
        </w:rPr>
        <w:object w:dxaOrig="8980" w:dyaOrig="3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8pt;height:195.6pt" o:ole="">
            <v:imagedata r:id="rId8" o:title=""/>
          </v:shape>
          <o:OLEObject Type="Embed" ProgID="Equation.3" ShapeID="_x0000_i1025" DrawAspect="Content" ObjectID="_1550433139" r:id="rId9"/>
        </w:object>
      </w:r>
      <w:r w:rsidR="00A2669B">
        <w:rPr>
          <w:rFonts w:eastAsia="DFKai-SB"/>
        </w:rPr>
        <w:t>.</w:t>
      </w:r>
    </w:p>
    <w:p w:rsidR="008B2065" w:rsidRPr="00040538" w:rsidRDefault="00CD7A23" w:rsidP="00355F71">
      <w:pPr>
        <w:pStyle w:val="af"/>
        <w:spacing w:line="480" w:lineRule="auto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Tables 1-3 present t</w:t>
      </w:r>
      <w:r w:rsidR="008B2065" w:rsidRPr="00365EB4">
        <w:rPr>
          <w:rFonts w:ascii="Times New Roman" w:hAnsi="Times New Roman"/>
          <w:szCs w:val="24"/>
        </w:rPr>
        <w:t xml:space="preserve">hree sets of DEA </w:t>
      </w:r>
      <w:r w:rsidRPr="00365EB4">
        <w:rPr>
          <w:rFonts w:ascii="Times New Roman" w:hAnsi="Times New Roman"/>
          <w:szCs w:val="24"/>
        </w:rPr>
        <w:t>analys</w:t>
      </w:r>
      <w:r>
        <w:rPr>
          <w:rFonts w:ascii="Times New Roman" w:hAnsi="Times New Roman"/>
          <w:szCs w:val="24"/>
        </w:rPr>
        <w:t>i</w:t>
      </w:r>
      <w:r w:rsidRPr="00365EB4">
        <w:rPr>
          <w:rFonts w:ascii="Times New Roman" w:hAnsi="Times New Roman"/>
          <w:szCs w:val="24"/>
        </w:rPr>
        <w:t xml:space="preserve">s </w:t>
      </w:r>
      <w:r w:rsidR="008B2065" w:rsidRPr="00365EB4">
        <w:rPr>
          <w:rFonts w:ascii="Times New Roman" w:hAnsi="Times New Roman"/>
          <w:szCs w:val="24"/>
        </w:rPr>
        <w:t>of 22 counties</w:t>
      </w:r>
      <w:r>
        <w:rPr>
          <w:rFonts w:ascii="Times New Roman" w:hAnsi="Times New Roman"/>
          <w:szCs w:val="24"/>
        </w:rPr>
        <w:t>/</w:t>
      </w:r>
      <w:r w:rsidR="008B2065" w:rsidRPr="00365EB4">
        <w:rPr>
          <w:rFonts w:ascii="Times New Roman" w:hAnsi="Times New Roman"/>
          <w:szCs w:val="24"/>
        </w:rPr>
        <w:t xml:space="preserve">cities in Taiwan </w:t>
      </w:r>
      <w:r>
        <w:rPr>
          <w:rFonts w:ascii="Times New Roman" w:hAnsi="Times New Roman"/>
          <w:szCs w:val="24"/>
        </w:rPr>
        <w:t>during</w:t>
      </w:r>
      <w:r w:rsidR="008B2065" w:rsidRPr="00365EB4">
        <w:rPr>
          <w:rFonts w:ascii="Times New Roman" w:hAnsi="Times New Roman"/>
          <w:szCs w:val="24"/>
        </w:rPr>
        <w:t xml:space="preserve"> 2005-2014</w:t>
      </w:r>
      <w:r w:rsidR="00A2669B">
        <w:rPr>
          <w:rFonts w:ascii="Times New Roman" w:hAnsi="Times New Roman"/>
          <w:szCs w:val="24"/>
        </w:rPr>
        <w:t>.</w:t>
      </w:r>
    </w:p>
    <w:p w:rsidR="008B2065" w:rsidRDefault="00023F22" w:rsidP="00AE12C3">
      <w:pPr>
        <w:pStyle w:val="Paragraph"/>
        <w:rPr>
          <w:b/>
          <w:i/>
          <w:lang w:eastAsia="zh-TW"/>
        </w:rPr>
      </w:pPr>
      <w:r w:rsidRPr="00023F22">
        <w:rPr>
          <w:rFonts w:hint="eastAsia"/>
          <w:b/>
          <w:i/>
          <w:lang w:eastAsia="zh-TW"/>
        </w:rPr>
        <w:t xml:space="preserve">2.3 </w:t>
      </w:r>
      <w:r w:rsidRPr="00355F71">
        <w:rPr>
          <w:b/>
        </w:rPr>
        <w:t>Change</w:t>
      </w:r>
      <w:r w:rsidR="00CD7A23" w:rsidRPr="00355F71">
        <w:rPr>
          <w:b/>
        </w:rPr>
        <w:t>s</w:t>
      </w:r>
      <w:r w:rsidRPr="00355F71">
        <w:rPr>
          <w:b/>
        </w:rPr>
        <w:t xml:space="preserve"> in medical service efficiency for the study decade</w:t>
      </w:r>
      <w:r w:rsidRPr="00355F71">
        <w:rPr>
          <w:rFonts w:hint="eastAsia"/>
          <w:b/>
          <w:lang w:eastAsia="zh-TW"/>
        </w:rPr>
        <w:t xml:space="preserve"> (</w:t>
      </w:r>
      <w:proofErr w:type="spellStart"/>
      <w:r w:rsidRPr="00355F71">
        <w:rPr>
          <w:b/>
        </w:rPr>
        <w:t>Malmquist</w:t>
      </w:r>
      <w:proofErr w:type="spellEnd"/>
      <w:r w:rsidRPr="00355F71">
        <w:rPr>
          <w:b/>
        </w:rPr>
        <w:t xml:space="preserve"> index</w:t>
      </w:r>
      <w:r w:rsidRPr="00355F71">
        <w:rPr>
          <w:rFonts w:hint="eastAsia"/>
          <w:b/>
          <w:lang w:eastAsia="zh-TW"/>
        </w:rPr>
        <w:t>)</w:t>
      </w:r>
    </w:p>
    <w:p w:rsidR="00023F22" w:rsidRDefault="00CD7A23" w:rsidP="00AE12C3">
      <w:pPr>
        <w:pStyle w:val="Newparagraph"/>
        <w:ind w:firstLineChars="100" w:firstLine="240"/>
        <w:jc w:val="both"/>
        <w:rPr>
          <w:lang w:eastAsia="zh-TW"/>
        </w:rPr>
      </w:pPr>
      <w:r>
        <w:t>We</w:t>
      </w:r>
      <w:r w:rsidR="00933D9E">
        <w:rPr>
          <w:rFonts w:hint="eastAsia"/>
          <w:lang w:eastAsia="zh-TW"/>
        </w:rPr>
        <w:t xml:space="preserve"> </w:t>
      </w:r>
      <w:r>
        <w:t>used</w:t>
      </w:r>
      <w:r w:rsidRPr="00365EB4">
        <w:t xml:space="preserve"> DEA/</w:t>
      </w:r>
      <w:proofErr w:type="spellStart"/>
      <w:r w:rsidRPr="00365EB4">
        <w:t>Malmquist</w:t>
      </w:r>
      <w:proofErr w:type="spellEnd"/>
      <w:r w:rsidRPr="00365EB4">
        <w:t xml:space="preserve"> index </w:t>
      </w:r>
      <w:r>
        <w:t>with</w:t>
      </w:r>
      <w:r w:rsidR="00933D9E">
        <w:rPr>
          <w:rFonts w:hint="eastAsia"/>
          <w:lang w:eastAsia="zh-TW"/>
        </w:rPr>
        <w:t xml:space="preserve"> </w:t>
      </w:r>
      <w:r>
        <w:t>data from the</w:t>
      </w:r>
      <w:r w:rsidRPr="00365EB4">
        <w:t xml:space="preserve"> NHI database </w:t>
      </w:r>
      <w:r>
        <w:t>t</w:t>
      </w:r>
      <w:r w:rsidRPr="00365EB4">
        <w:t xml:space="preserve">o </w:t>
      </w:r>
      <w:r w:rsidR="00023F22" w:rsidRPr="00365EB4">
        <w:t xml:space="preserve">quantify </w:t>
      </w:r>
      <w:r w:rsidRPr="00365EB4">
        <w:t>changes</w:t>
      </w:r>
      <w:r>
        <w:t xml:space="preserve"> in</w:t>
      </w:r>
      <w:r w:rsidR="00933D9E">
        <w:rPr>
          <w:rFonts w:hint="eastAsia"/>
          <w:lang w:eastAsia="zh-TW"/>
        </w:rPr>
        <w:t xml:space="preserve"> </w:t>
      </w:r>
      <w:r w:rsidR="00023F22" w:rsidRPr="00365EB4">
        <w:t>technical efficiency in the medical service industry.</w:t>
      </w:r>
    </w:p>
    <w:p w:rsidR="00023F22" w:rsidRDefault="00A2669B" w:rsidP="00355F71">
      <w:pPr>
        <w:pStyle w:val="Newparagraph"/>
        <w:ind w:firstLine="0"/>
        <w:jc w:val="both"/>
        <w:rPr>
          <w:color w:val="000000"/>
          <w:lang w:eastAsia="zh-TW"/>
        </w:rPr>
      </w:pPr>
      <w:r>
        <w:rPr>
          <w:color w:val="000000"/>
        </w:rPr>
        <w:lastRenderedPageBreak/>
        <w:t xml:space="preserve">The </w:t>
      </w:r>
      <w:r w:rsidR="00023F22" w:rsidRPr="00365EB4">
        <w:rPr>
          <w:color w:val="000000"/>
        </w:rPr>
        <w:t>MI</w:t>
      </w:r>
      <w:r w:rsidR="00933D9E">
        <w:rPr>
          <w:rFonts w:hint="eastAsia"/>
          <w:color w:val="000000"/>
          <w:lang w:eastAsia="zh-TW"/>
        </w:rPr>
        <w:t xml:space="preserve"> </w:t>
      </w:r>
      <w:r w:rsidR="000C1B81">
        <w:rPr>
          <w:color w:val="000000"/>
        </w:rPr>
        <w:fldChar w:fldCharType="begin"/>
      </w:r>
      <w:r w:rsidR="00E83483">
        <w:rPr>
          <w:color w:val="000000"/>
        </w:rPr>
        <w:instrText xml:space="preserve"> ADDIN EN.CITE &lt;EndNote&gt;&lt;Cite&gt;&lt;Author&gt;Malmquist&lt;/Author&gt;&lt;Year&gt;1953&lt;/Year&gt;&lt;RecNum&gt;24&lt;/RecNum&gt;&lt;DisplayText&gt;[16]&lt;/DisplayText&gt;&lt;record&gt;&lt;rec-number&gt;24&lt;/rec-number&gt;&lt;foreign-keys&gt;&lt;key app="EN" db-id="2taz59w0y0v5x5eeaayv5a0u9r5rpraf90sw"&gt;24&lt;/key&gt;&lt;/foreign-keys&gt;&lt;ref-type name="Journal Article"&gt;17&lt;/ref-type&gt;&lt;contributors&gt;&lt;authors&gt;&lt;author&gt;Malmquist, Sten&lt;/author&gt;&lt;/authors&gt;&lt;/contributors&gt;&lt;titles&gt;&lt;title&gt;Index numbers and indifference surfaces&lt;/title&gt;&lt;secondary-title&gt;Trabajos de Estadistica y de Investigacion Operativa&lt;/secondary-title&gt;&lt;/titles&gt;&lt;periodical&gt;&lt;full-title&gt;Trabajos de Estadistica y de Investigacion Operativa&lt;/full-title&gt;&lt;/periodical&gt;&lt;pages&gt;209-242&lt;/pages&gt;&lt;volume&gt;4&lt;/volume&gt;&lt;number&gt;2&lt;/number&gt;&lt;dates&gt;&lt;year&gt;1953&lt;/year&gt;&lt;/dates&gt;&lt;isbn&gt;0041-0241&lt;/isbn&gt;&lt;urls&gt;&lt;/urls&gt;&lt;/record&gt;&lt;/Cite&gt;&lt;/EndNote&gt;</w:instrText>
      </w:r>
      <w:r w:rsidR="000C1B81">
        <w:rPr>
          <w:color w:val="000000"/>
        </w:rPr>
        <w:fldChar w:fldCharType="separate"/>
      </w:r>
      <w:r w:rsidR="00E83483">
        <w:rPr>
          <w:noProof/>
          <w:color w:val="000000"/>
        </w:rPr>
        <w:t>[</w:t>
      </w:r>
      <w:hyperlink w:anchor="_ENREF_16" w:tooltip="Malmquist, 1953 #24" w:history="1">
        <w:r w:rsidR="00E83483">
          <w:rPr>
            <w:noProof/>
            <w:color w:val="000000"/>
          </w:rPr>
          <w:t>16</w:t>
        </w:r>
      </w:hyperlink>
      <w:r w:rsidR="00E83483">
        <w:rPr>
          <w:noProof/>
          <w:color w:val="000000"/>
        </w:rPr>
        <w:t>]</w:t>
      </w:r>
      <w:r w:rsidR="000C1B81">
        <w:rPr>
          <w:color w:val="000000"/>
        </w:rPr>
        <w:fldChar w:fldCharType="end"/>
      </w:r>
      <w:r w:rsidR="00933D9E">
        <w:rPr>
          <w:rFonts w:hint="eastAsia"/>
          <w:color w:val="000000"/>
          <w:lang w:eastAsia="zh-TW"/>
        </w:rPr>
        <w:t xml:space="preserve"> </w:t>
      </w:r>
      <w:r w:rsidR="00023F22" w:rsidRPr="00365EB4">
        <w:rPr>
          <w:color w:val="000000"/>
        </w:rPr>
        <w:t>can be used to measure change</w:t>
      </w:r>
      <w:r w:rsidR="008901EE">
        <w:rPr>
          <w:color w:val="000000"/>
        </w:rPr>
        <w:t>s</w:t>
      </w:r>
      <w:r w:rsidR="00023F22" w:rsidRPr="00365EB4">
        <w:rPr>
          <w:color w:val="000000"/>
        </w:rPr>
        <w:t xml:space="preserve"> in total factor productivity across periods by multiplying technical efficiency </w:t>
      </w:r>
      <w:r w:rsidR="008901EE">
        <w:rPr>
          <w:color w:val="000000"/>
        </w:rPr>
        <w:t>with</w:t>
      </w:r>
      <w:r w:rsidR="00F53F0F">
        <w:rPr>
          <w:rFonts w:hint="eastAsia"/>
          <w:color w:val="000000"/>
          <w:lang w:eastAsia="zh-TW"/>
        </w:rPr>
        <w:t xml:space="preserve"> </w:t>
      </w:r>
      <w:r w:rsidR="00043EA8" w:rsidRPr="00745608">
        <w:rPr>
          <w:color w:val="000000" w:themeColor="text1"/>
        </w:rPr>
        <w:t>technique change</w:t>
      </w:r>
      <w:r w:rsidR="00023F22" w:rsidRPr="00365EB4">
        <w:rPr>
          <w:color w:val="000000"/>
        </w:rPr>
        <w:t xml:space="preserve">. </w:t>
      </w:r>
      <w:r w:rsidR="008901EE">
        <w:rPr>
          <w:color w:val="000000"/>
        </w:rPr>
        <w:t>We</w:t>
      </w:r>
      <w:r w:rsidR="00774087">
        <w:rPr>
          <w:rFonts w:hint="eastAsia"/>
          <w:color w:val="000000"/>
          <w:lang w:eastAsia="zh-TW"/>
        </w:rPr>
        <w:t xml:space="preserve"> </w:t>
      </w:r>
      <w:r w:rsidR="008901EE" w:rsidRPr="00365EB4">
        <w:rPr>
          <w:color w:val="000000"/>
        </w:rPr>
        <w:t>multipl</w:t>
      </w:r>
      <w:r w:rsidR="008901EE">
        <w:rPr>
          <w:color w:val="000000"/>
        </w:rPr>
        <w:t>ied</w:t>
      </w:r>
      <w:r w:rsidR="00774087">
        <w:rPr>
          <w:rFonts w:hint="eastAsia"/>
          <w:color w:val="000000"/>
          <w:lang w:eastAsia="zh-TW"/>
        </w:rPr>
        <w:t xml:space="preserve"> </w:t>
      </w:r>
      <w:r w:rsidR="00023F22" w:rsidRPr="00365EB4">
        <w:rPr>
          <w:color w:val="000000"/>
        </w:rPr>
        <w:t xml:space="preserve">the distance function of </w:t>
      </w:r>
      <w:r w:rsidR="00043EA8" w:rsidRPr="00F53F0F">
        <w:rPr>
          <w:color w:val="000000" w:themeColor="text1"/>
        </w:rPr>
        <w:t>technical efficiency change and technique change</w:t>
      </w:r>
      <w:r w:rsidR="00F53F0F">
        <w:rPr>
          <w:rFonts w:hint="eastAsia"/>
          <w:color w:val="FF0000"/>
          <w:lang w:eastAsia="zh-TW"/>
        </w:rPr>
        <w:t xml:space="preserve"> </w:t>
      </w:r>
      <w:r w:rsidR="00023F22" w:rsidRPr="00365EB4">
        <w:rPr>
          <w:color w:val="000000"/>
        </w:rPr>
        <w:t xml:space="preserve">to obtain the distance function of the </w:t>
      </w:r>
      <w:proofErr w:type="spellStart"/>
      <w:r w:rsidR="00023F22" w:rsidRPr="00365EB4">
        <w:rPr>
          <w:color w:val="000000"/>
        </w:rPr>
        <w:t>Malmquist</w:t>
      </w:r>
      <w:proofErr w:type="spellEnd"/>
      <w:r w:rsidR="00023F22" w:rsidRPr="00365EB4">
        <w:rPr>
          <w:color w:val="000000"/>
        </w:rPr>
        <w:t xml:space="preserve"> index as </w:t>
      </w:r>
      <w:r w:rsidR="008901EE">
        <w:rPr>
          <w:color w:val="000000"/>
        </w:rPr>
        <w:t>follows</w:t>
      </w:r>
      <w:r w:rsidR="00023F22" w:rsidRPr="00365EB4">
        <w:rPr>
          <w:color w:val="000000"/>
        </w:rPr>
        <w:t>:</w:t>
      </w:r>
    </w:p>
    <w:p w:rsidR="00023F22" w:rsidRPr="00023F22" w:rsidRDefault="00023F22" w:rsidP="00AE12C3">
      <w:pPr>
        <w:pStyle w:val="Newparagraph"/>
        <w:ind w:firstLine="0"/>
        <w:jc w:val="right"/>
        <w:rPr>
          <w:lang w:eastAsia="zh-TW"/>
        </w:rPr>
      </w:pPr>
      <w:r w:rsidRPr="00365EB4">
        <w:rPr>
          <w:position w:val="-116"/>
        </w:rPr>
        <w:object w:dxaOrig="7740" w:dyaOrig="2500">
          <v:shape id="_x0000_i1026" type="#_x0000_t75" style="width:384.6pt;height:125.4pt" o:ole="">
            <v:imagedata r:id="rId10" o:title=""/>
          </v:shape>
          <o:OLEObject Type="Embed" ProgID="Equation.3" ShapeID="_x0000_i1026" DrawAspect="Content" ObjectID="_1550433140" r:id="rId11"/>
        </w:object>
      </w:r>
      <w:r w:rsidR="00A2669B">
        <w:t>.</w:t>
      </w:r>
    </w:p>
    <w:p w:rsidR="00023F22" w:rsidRDefault="00156EA3" w:rsidP="00355F71">
      <w:pPr>
        <w:pStyle w:val="Paragraph"/>
        <w:jc w:val="both"/>
        <w:rPr>
          <w:color w:val="000000"/>
          <w:lang w:eastAsia="zh-TW"/>
        </w:rPr>
      </w:pPr>
      <w:r>
        <w:rPr>
          <w:color w:val="000000"/>
        </w:rPr>
        <w:t>T</w:t>
      </w:r>
      <w:r w:rsidR="00023F22" w:rsidRPr="00365EB4">
        <w:rPr>
          <w:color w:val="000000"/>
        </w:rPr>
        <w:t xml:space="preserve">echnical efficiency change </w:t>
      </w:r>
      <w:r>
        <w:rPr>
          <w:color w:val="000000"/>
        </w:rPr>
        <w:t>(also referred to as</w:t>
      </w:r>
      <w:r w:rsidR="00023F22" w:rsidRPr="00365EB4">
        <w:rPr>
          <w:color w:val="000000"/>
        </w:rPr>
        <w:t xml:space="preserve"> catch-up effect</w:t>
      </w:r>
      <w:r>
        <w:rPr>
          <w:color w:val="000000"/>
        </w:rPr>
        <w:t>) indicates the</w:t>
      </w:r>
      <w:r w:rsidR="00023F22" w:rsidRPr="00365EB4">
        <w:rPr>
          <w:color w:val="000000"/>
        </w:rPr>
        <w:t xml:space="preserve"> extent to which the technical efficiency of a decision</w:t>
      </w:r>
      <w:r w:rsidR="00A2669B">
        <w:rPr>
          <w:color w:val="000000"/>
        </w:rPr>
        <w:t>-</w:t>
      </w:r>
      <w:r w:rsidR="00023F22" w:rsidRPr="00365EB4">
        <w:rPr>
          <w:color w:val="000000"/>
        </w:rPr>
        <w:t>making unit (DMU) improves or declines. Technique change</w:t>
      </w:r>
      <w:r>
        <w:rPr>
          <w:color w:val="000000"/>
        </w:rPr>
        <w:t xml:space="preserve"> (</w:t>
      </w:r>
      <w:r w:rsidR="00023F22" w:rsidRPr="00365EB4">
        <w:rPr>
          <w:color w:val="000000"/>
        </w:rPr>
        <w:t>also known as</w:t>
      </w:r>
      <w:r w:rsidR="000675DF">
        <w:rPr>
          <w:color w:val="000000"/>
        </w:rPr>
        <w:t xml:space="preserve"> a</w:t>
      </w:r>
      <w:r w:rsidR="00F53F0F">
        <w:rPr>
          <w:rFonts w:hint="eastAsia"/>
          <w:color w:val="000000"/>
          <w:lang w:eastAsia="zh-TW"/>
        </w:rPr>
        <w:t xml:space="preserve"> </w:t>
      </w:r>
      <w:r w:rsidR="00023F22" w:rsidRPr="000675DF">
        <w:rPr>
          <w:noProof/>
          <w:color w:val="000000"/>
        </w:rPr>
        <w:t>frontier-shift</w:t>
      </w:r>
      <w:r w:rsidR="00023F22" w:rsidRPr="00365EB4">
        <w:rPr>
          <w:color w:val="000000"/>
        </w:rPr>
        <w:t xml:space="preserve"> effect or innovation effect</w:t>
      </w:r>
      <w:r>
        <w:rPr>
          <w:color w:val="000000"/>
        </w:rPr>
        <w:t>)</w:t>
      </w:r>
      <w:r w:rsidR="00023F22" w:rsidRPr="00365EB4">
        <w:rPr>
          <w:color w:val="000000"/>
        </w:rPr>
        <w:t xml:space="preserve">, </w:t>
      </w:r>
      <w:r>
        <w:rPr>
          <w:color w:val="000000"/>
        </w:rPr>
        <w:t>indicates</w:t>
      </w:r>
      <w:r w:rsidR="00F53F0F">
        <w:rPr>
          <w:rFonts w:hint="eastAsia"/>
          <w:color w:val="000000"/>
          <w:lang w:eastAsia="zh-TW"/>
        </w:rPr>
        <w:t xml:space="preserve"> </w:t>
      </w:r>
      <w:r w:rsidR="00023F22" w:rsidRPr="00365EB4">
        <w:rPr>
          <w:color w:val="000000"/>
        </w:rPr>
        <w:t>changes in the frontier between two periods. From (2), we can see that the M</w:t>
      </w:r>
      <w:r w:rsidR="00A2669B">
        <w:rPr>
          <w:color w:val="000000"/>
        </w:rPr>
        <w:t>I</w:t>
      </w:r>
      <w:r w:rsidR="00F53F0F">
        <w:rPr>
          <w:rFonts w:hint="eastAsia"/>
          <w:color w:val="000000"/>
          <w:lang w:eastAsia="zh-TW"/>
        </w:rPr>
        <w:t xml:space="preserve"> </w:t>
      </w:r>
      <w:r>
        <w:rPr>
          <w:color w:val="000000"/>
        </w:rPr>
        <w:t>comprises</w:t>
      </w:r>
      <w:r w:rsidR="00023F22" w:rsidRPr="00365EB4">
        <w:rPr>
          <w:color w:val="000000"/>
        </w:rPr>
        <w:t xml:space="preserve"> four distance functions</w:t>
      </w:r>
      <w:r>
        <w:rPr>
          <w:color w:val="000000"/>
        </w:rPr>
        <w:t>:</w:t>
      </w:r>
      <w:r w:rsidR="00F53F0F">
        <w:rPr>
          <w:rFonts w:hint="eastAsia"/>
          <w:color w:val="000000"/>
          <w:lang w:eastAsia="zh-TW"/>
        </w:rPr>
        <w:t xml:space="preserve"> </w:t>
      </w:r>
      <w:r w:rsidR="00023F22" w:rsidRPr="000675DF">
        <w:rPr>
          <w:noProof/>
          <w:color w:val="000000"/>
        </w:rPr>
        <w:t>dis</w:t>
      </w:r>
      <w:r w:rsidR="00023F22" w:rsidRPr="00365EB4">
        <w:rPr>
          <w:color w:val="000000"/>
        </w:rPr>
        <w:t xml:space="preserve"> (</w:t>
      </w:r>
      <w:proofErr w:type="spellStart"/>
      <w:r w:rsidR="00023F22" w:rsidRPr="00365EB4">
        <w:rPr>
          <w:color w:val="000000"/>
        </w:rPr>
        <w:t>xs</w:t>
      </w:r>
      <w:proofErr w:type="spellEnd"/>
      <w:r w:rsidR="00023F22" w:rsidRPr="00365EB4">
        <w:rPr>
          <w:color w:val="000000"/>
        </w:rPr>
        <w:t xml:space="preserve">, </w:t>
      </w:r>
      <w:proofErr w:type="spellStart"/>
      <w:r w:rsidR="00023F22" w:rsidRPr="00365EB4">
        <w:rPr>
          <w:color w:val="000000"/>
        </w:rPr>
        <w:t>ys</w:t>
      </w:r>
      <w:proofErr w:type="spellEnd"/>
      <w:r w:rsidR="00023F22" w:rsidRPr="00365EB4">
        <w:rPr>
          <w:color w:val="000000"/>
        </w:rPr>
        <w:t xml:space="preserve">), </w:t>
      </w:r>
      <w:proofErr w:type="spellStart"/>
      <w:r w:rsidR="00023F22" w:rsidRPr="00365EB4">
        <w:rPr>
          <w:color w:val="000000"/>
        </w:rPr>
        <w:t>dit</w:t>
      </w:r>
      <w:proofErr w:type="spellEnd"/>
      <w:r w:rsidR="00023F22" w:rsidRPr="00365EB4">
        <w:rPr>
          <w:color w:val="000000"/>
        </w:rPr>
        <w:t xml:space="preserve"> (</w:t>
      </w:r>
      <w:proofErr w:type="spellStart"/>
      <w:r w:rsidR="00023F22" w:rsidRPr="00365EB4">
        <w:rPr>
          <w:color w:val="000000"/>
        </w:rPr>
        <w:t>xt</w:t>
      </w:r>
      <w:proofErr w:type="spellEnd"/>
      <w:r w:rsidR="00023F22" w:rsidRPr="00365EB4">
        <w:rPr>
          <w:color w:val="000000"/>
        </w:rPr>
        <w:t xml:space="preserve">, </w:t>
      </w:r>
      <w:proofErr w:type="spellStart"/>
      <w:r w:rsidR="00023F22" w:rsidRPr="00365EB4">
        <w:rPr>
          <w:color w:val="000000"/>
        </w:rPr>
        <w:t>yt</w:t>
      </w:r>
      <w:proofErr w:type="spellEnd"/>
      <w:r w:rsidR="00023F22" w:rsidRPr="00365EB4">
        <w:rPr>
          <w:color w:val="000000"/>
        </w:rPr>
        <w:t xml:space="preserve">), </w:t>
      </w:r>
      <w:r w:rsidR="00023F22" w:rsidRPr="000675DF">
        <w:rPr>
          <w:noProof/>
          <w:color w:val="000000"/>
        </w:rPr>
        <w:t>dit</w:t>
      </w:r>
      <w:r w:rsidR="00023F22" w:rsidRPr="00365EB4">
        <w:rPr>
          <w:color w:val="000000"/>
        </w:rPr>
        <w:t xml:space="preserve"> (</w:t>
      </w:r>
      <w:proofErr w:type="spellStart"/>
      <w:r w:rsidR="00023F22" w:rsidRPr="00365EB4">
        <w:rPr>
          <w:color w:val="000000"/>
        </w:rPr>
        <w:t>xs</w:t>
      </w:r>
      <w:proofErr w:type="spellEnd"/>
      <w:r w:rsidR="00023F22" w:rsidRPr="00365EB4">
        <w:rPr>
          <w:color w:val="000000"/>
        </w:rPr>
        <w:t xml:space="preserve">, </w:t>
      </w:r>
      <w:proofErr w:type="spellStart"/>
      <w:r w:rsidR="00023F22" w:rsidRPr="00365EB4">
        <w:rPr>
          <w:color w:val="000000"/>
        </w:rPr>
        <w:t>ys</w:t>
      </w:r>
      <w:proofErr w:type="spellEnd"/>
      <w:r w:rsidR="00023F22" w:rsidRPr="00365EB4">
        <w:rPr>
          <w:color w:val="000000"/>
        </w:rPr>
        <w:t xml:space="preserve">), </w:t>
      </w:r>
      <w:proofErr w:type="spellStart"/>
      <w:r w:rsidR="00023F22" w:rsidRPr="00365EB4">
        <w:rPr>
          <w:color w:val="000000"/>
        </w:rPr>
        <w:t>dis</w:t>
      </w:r>
      <w:proofErr w:type="spellEnd"/>
      <w:r w:rsidR="00023F22" w:rsidRPr="00365EB4">
        <w:rPr>
          <w:color w:val="000000"/>
        </w:rPr>
        <w:t xml:space="preserve"> (</w:t>
      </w:r>
      <w:proofErr w:type="spellStart"/>
      <w:r w:rsidR="00023F22" w:rsidRPr="00365EB4">
        <w:rPr>
          <w:color w:val="000000"/>
        </w:rPr>
        <w:t>xt</w:t>
      </w:r>
      <w:proofErr w:type="spellEnd"/>
      <w:r w:rsidR="00023F22" w:rsidRPr="00365EB4">
        <w:rPr>
          <w:color w:val="000000"/>
        </w:rPr>
        <w:t xml:space="preserve">, </w:t>
      </w:r>
      <w:proofErr w:type="spellStart"/>
      <w:r w:rsidR="00023F22" w:rsidRPr="00365EB4">
        <w:rPr>
          <w:color w:val="000000"/>
        </w:rPr>
        <w:t>yt</w:t>
      </w:r>
      <w:proofErr w:type="spellEnd"/>
      <w:r w:rsidR="00023F22" w:rsidRPr="00365EB4">
        <w:rPr>
          <w:color w:val="000000"/>
        </w:rPr>
        <w:t>)</w:t>
      </w:r>
      <w:r>
        <w:rPr>
          <w:color w:val="000000"/>
        </w:rPr>
        <w:t xml:space="preserve">. </w:t>
      </w:r>
      <w:proofErr w:type="spellStart"/>
      <w:r w:rsidR="00023F22" w:rsidRPr="00365EB4">
        <w:rPr>
          <w:color w:val="000000"/>
        </w:rPr>
        <w:t>dis</w:t>
      </w:r>
      <w:proofErr w:type="spellEnd"/>
      <w:r w:rsidR="00023F22" w:rsidRPr="00365EB4">
        <w:rPr>
          <w:color w:val="000000"/>
        </w:rPr>
        <w:t xml:space="preserve"> (</w:t>
      </w:r>
      <w:proofErr w:type="spellStart"/>
      <w:r w:rsidR="00023F22" w:rsidRPr="00365EB4">
        <w:rPr>
          <w:color w:val="000000"/>
        </w:rPr>
        <w:t>xs</w:t>
      </w:r>
      <w:proofErr w:type="spellEnd"/>
      <w:r w:rsidR="00023F22" w:rsidRPr="00365EB4">
        <w:rPr>
          <w:color w:val="000000"/>
        </w:rPr>
        <w:t xml:space="preserve">, </w:t>
      </w:r>
      <w:proofErr w:type="spellStart"/>
      <w:r w:rsidR="00023F22" w:rsidRPr="00365EB4">
        <w:rPr>
          <w:color w:val="000000"/>
        </w:rPr>
        <w:t>ys</w:t>
      </w:r>
      <w:proofErr w:type="spellEnd"/>
      <w:r w:rsidRPr="00365EB4">
        <w:rPr>
          <w:color w:val="000000"/>
        </w:rPr>
        <w:t>)</w:t>
      </w:r>
      <w:r>
        <w:rPr>
          <w:color w:val="000000"/>
        </w:rPr>
        <w:t xml:space="preserve"> and</w:t>
      </w:r>
      <w:r w:rsidR="00F53F0F">
        <w:rPr>
          <w:rFonts w:hint="eastAsia"/>
          <w:color w:val="000000"/>
          <w:lang w:eastAsia="zh-TW"/>
        </w:rPr>
        <w:t xml:space="preserve"> </w:t>
      </w:r>
      <w:proofErr w:type="spellStart"/>
      <w:r w:rsidR="00023F22" w:rsidRPr="00365EB4">
        <w:rPr>
          <w:color w:val="000000"/>
        </w:rPr>
        <w:t>dit</w:t>
      </w:r>
      <w:proofErr w:type="spellEnd"/>
      <w:r w:rsidR="00023F22" w:rsidRPr="00365EB4">
        <w:rPr>
          <w:color w:val="000000"/>
        </w:rPr>
        <w:t xml:space="preserve"> (</w:t>
      </w:r>
      <w:proofErr w:type="spellStart"/>
      <w:r w:rsidR="00023F22" w:rsidRPr="00365EB4">
        <w:rPr>
          <w:color w:val="000000"/>
        </w:rPr>
        <w:t>xt</w:t>
      </w:r>
      <w:proofErr w:type="spellEnd"/>
      <w:r w:rsidR="00023F22" w:rsidRPr="00365EB4">
        <w:rPr>
          <w:color w:val="000000"/>
        </w:rPr>
        <w:t xml:space="preserve">, </w:t>
      </w:r>
      <w:proofErr w:type="spellStart"/>
      <w:r w:rsidR="00023F22" w:rsidRPr="00365EB4">
        <w:rPr>
          <w:color w:val="000000"/>
        </w:rPr>
        <w:t>yt</w:t>
      </w:r>
      <w:proofErr w:type="spellEnd"/>
      <w:r w:rsidR="00023F22" w:rsidRPr="00365EB4">
        <w:rPr>
          <w:color w:val="000000"/>
        </w:rPr>
        <w:t xml:space="preserve">) measure the distance from the observations (DMU) to the efficiency boundary. </w:t>
      </w:r>
      <w:r w:rsidR="00023F22" w:rsidRPr="000675DF">
        <w:rPr>
          <w:noProof/>
          <w:color w:val="000000"/>
        </w:rPr>
        <w:t>dit</w:t>
      </w:r>
      <w:r w:rsidR="00023F22" w:rsidRPr="00365EB4">
        <w:rPr>
          <w:color w:val="000000"/>
        </w:rPr>
        <w:t xml:space="preserve"> (</w:t>
      </w:r>
      <w:proofErr w:type="spellStart"/>
      <w:r w:rsidR="00023F22" w:rsidRPr="00365EB4">
        <w:rPr>
          <w:color w:val="000000"/>
        </w:rPr>
        <w:t>xs</w:t>
      </w:r>
      <w:proofErr w:type="spellEnd"/>
      <w:r w:rsidR="00023F22" w:rsidRPr="00365EB4">
        <w:rPr>
          <w:color w:val="000000"/>
        </w:rPr>
        <w:t xml:space="preserve">, </w:t>
      </w:r>
      <w:proofErr w:type="spellStart"/>
      <w:r w:rsidR="00023F22" w:rsidRPr="00365EB4">
        <w:rPr>
          <w:color w:val="000000"/>
        </w:rPr>
        <w:t>ys</w:t>
      </w:r>
      <w:proofErr w:type="spellEnd"/>
      <w:r w:rsidR="00023F22" w:rsidRPr="00365EB4">
        <w:rPr>
          <w:color w:val="000000"/>
        </w:rPr>
        <w:t xml:space="preserve">) and </w:t>
      </w:r>
      <w:proofErr w:type="spellStart"/>
      <w:r w:rsidR="00023F22" w:rsidRPr="00365EB4">
        <w:rPr>
          <w:color w:val="000000"/>
        </w:rPr>
        <w:t>dis</w:t>
      </w:r>
      <w:proofErr w:type="spellEnd"/>
      <w:r w:rsidR="00023F22" w:rsidRPr="00365EB4">
        <w:rPr>
          <w:color w:val="000000"/>
        </w:rPr>
        <w:t xml:space="preserve"> (</w:t>
      </w:r>
      <w:proofErr w:type="spellStart"/>
      <w:r w:rsidR="00023F22" w:rsidRPr="00365EB4">
        <w:rPr>
          <w:color w:val="000000"/>
        </w:rPr>
        <w:t>xt</w:t>
      </w:r>
      <w:proofErr w:type="spellEnd"/>
      <w:r w:rsidR="00023F22" w:rsidRPr="00365EB4">
        <w:rPr>
          <w:color w:val="000000"/>
        </w:rPr>
        <w:t xml:space="preserve">, </w:t>
      </w:r>
      <w:proofErr w:type="spellStart"/>
      <w:r w:rsidR="00023F22" w:rsidRPr="00365EB4">
        <w:rPr>
          <w:color w:val="000000"/>
        </w:rPr>
        <w:t>yt</w:t>
      </w:r>
      <w:proofErr w:type="spellEnd"/>
      <w:r w:rsidR="00023F22" w:rsidRPr="00365EB4">
        <w:rPr>
          <w:color w:val="000000"/>
        </w:rPr>
        <w:t xml:space="preserve">) are measures of </w:t>
      </w:r>
      <w:r>
        <w:rPr>
          <w:color w:val="000000"/>
        </w:rPr>
        <w:t xml:space="preserve">the </w:t>
      </w:r>
      <w:proofErr w:type="spellStart"/>
      <w:r w:rsidR="00023F22" w:rsidRPr="00365EB4">
        <w:rPr>
          <w:color w:val="000000"/>
        </w:rPr>
        <w:t>intertemporal</w:t>
      </w:r>
      <w:proofErr w:type="spellEnd"/>
      <w:r w:rsidR="00023F22" w:rsidRPr="00365EB4">
        <w:rPr>
          <w:color w:val="000000"/>
        </w:rPr>
        <w:t xml:space="preserve"> efficiency index (IEI). When </w:t>
      </w:r>
      <w:r>
        <w:rPr>
          <w:color w:val="000000"/>
        </w:rPr>
        <w:t xml:space="preserve">the </w:t>
      </w:r>
      <w:proofErr w:type="spellStart"/>
      <w:r w:rsidR="00023F22" w:rsidRPr="00365EB4">
        <w:rPr>
          <w:color w:val="000000"/>
        </w:rPr>
        <w:t>Malmquist</w:t>
      </w:r>
      <w:proofErr w:type="spellEnd"/>
      <w:r w:rsidR="00023F22" w:rsidRPr="00365EB4">
        <w:rPr>
          <w:color w:val="000000"/>
        </w:rPr>
        <w:t xml:space="preserve"> index &gt; 1, it represents </w:t>
      </w:r>
      <w:r>
        <w:rPr>
          <w:color w:val="000000"/>
        </w:rPr>
        <w:t>an increase in</w:t>
      </w:r>
      <w:r w:rsidR="00023F22" w:rsidRPr="00365EB4">
        <w:rPr>
          <w:color w:val="000000"/>
        </w:rPr>
        <w:t xml:space="preserve"> total factor productivity from S to T. </w:t>
      </w:r>
      <w:r w:rsidRPr="00365EB4">
        <w:rPr>
          <w:color w:val="000000"/>
        </w:rPr>
        <w:t xml:space="preserve">When </w:t>
      </w:r>
      <w:r>
        <w:rPr>
          <w:color w:val="000000"/>
        </w:rPr>
        <w:t xml:space="preserve">the </w:t>
      </w:r>
      <w:proofErr w:type="spellStart"/>
      <w:r w:rsidRPr="00365EB4">
        <w:rPr>
          <w:color w:val="000000"/>
        </w:rPr>
        <w:t>Malmquist</w:t>
      </w:r>
      <w:proofErr w:type="spellEnd"/>
      <w:r w:rsidRPr="00365EB4">
        <w:rPr>
          <w:color w:val="000000"/>
        </w:rPr>
        <w:t xml:space="preserve"> index </w:t>
      </w:r>
      <w:r>
        <w:rPr>
          <w:color w:val="000000"/>
        </w:rPr>
        <w:t>=</w:t>
      </w:r>
      <w:r w:rsidRPr="00365EB4">
        <w:rPr>
          <w:color w:val="000000"/>
        </w:rPr>
        <w:t xml:space="preserve"> 1</w:t>
      </w:r>
      <w:r>
        <w:rPr>
          <w:color w:val="000000"/>
        </w:rPr>
        <w:t>,</w:t>
      </w:r>
      <w:r w:rsidR="00023F22" w:rsidRPr="00365EB4">
        <w:rPr>
          <w:color w:val="000000"/>
        </w:rPr>
        <w:t xml:space="preserve"> the total factor productivity is constant. </w:t>
      </w:r>
      <w:r w:rsidRPr="00365EB4">
        <w:rPr>
          <w:color w:val="000000"/>
        </w:rPr>
        <w:t xml:space="preserve">When </w:t>
      </w:r>
      <w:r>
        <w:rPr>
          <w:color w:val="000000"/>
        </w:rPr>
        <w:t xml:space="preserve">the </w:t>
      </w:r>
      <w:proofErr w:type="spellStart"/>
      <w:r w:rsidRPr="00365EB4">
        <w:rPr>
          <w:color w:val="000000"/>
        </w:rPr>
        <w:t>Malmquist</w:t>
      </w:r>
      <w:proofErr w:type="spellEnd"/>
      <w:r w:rsidRPr="00365EB4">
        <w:rPr>
          <w:color w:val="000000"/>
        </w:rPr>
        <w:t xml:space="preserve"> index </w:t>
      </w:r>
      <w:r>
        <w:rPr>
          <w:color w:val="000000"/>
        </w:rPr>
        <w:t>&lt;</w:t>
      </w:r>
      <w:r w:rsidRPr="00365EB4">
        <w:rPr>
          <w:color w:val="000000"/>
        </w:rPr>
        <w:t xml:space="preserve"> 1</w:t>
      </w:r>
      <w:r w:rsidR="00023F22" w:rsidRPr="00365EB4">
        <w:rPr>
          <w:color w:val="000000"/>
        </w:rPr>
        <w:t xml:space="preserve">, </w:t>
      </w:r>
      <w:r w:rsidR="00023F22">
        <w:rPr>
          <w:rFonts w:hint="eastAsia"/>
          <w:color w:val="000000"/>
        </w:rPr>
        <w:t xml:space="preserve">the </w:t>
      </w:r>
      <w:r w:rsidR="00023F22" w:rsidRPr="00365EB4">
        <w:rPr>
          <w:color w:val="000000"/>
        </w:rPr>
        <w:t xml:space="preserve">total factor productivity </w:t>
      </w:r>
      <w:r>
        <w:rPr>
          <w:color w:val="000000"/>
        </w:rPr>
        <w:t>is declining</w:t>
      </w:r>
      <w:r w:rsidR="00023F22" w:rsidRPr="00365EB4">
        <w:rPr>
          <w:color w:val="000000"/>
        </w:rPr>
        <w:t>.</w:t>
      </w:r>
    </w:p>
    <w:p w:rsidR="004D451A" w:rsidRPr="001B4494" w:rsidRDefault="00023F22" w:rsidP="00AE12C3">
      <w:pPr>
        <w:pStyle w:val="Newparagraph"/>
        <w:ind w:firstLine="0"/>
        <w:jc w:val="both"/>
        <w:rPr>
          <w:color w:val="000000"/>
          <w:lang w:eastAsia="zh-TW"/>
        </w:rPr>
      </w:pPr>
      <w:r w:rsidRPr="00365EB4">
        <w:rPr>
          <w:color w:val="000000"/>
        </w:rPr>
        <w:lastRenderedPageBreak/>
        <w:t>Table</w:t>
      </w:r>
      <w:r w:rsidR="00156EA3">
        <w:rPr>
          <w:color w:val="000000"/>
        </w:rPr>
        <w:t>s</w:t>
      </w:r>
      <w:r>
        <w:rPr>
          <w:rFonts w:hint="eastAsia"/>
          <w:color w:val="000000"/>
        </w:rPr>
        <w:t>4</w:t>
      </w:r>
      <w:r w:rsidRPr="00365EB4">
        <w:rPr>
          <w:color w:val="000000"/>
        </w:rPr>
        <w:t>-</w:t>
      </w:r>
      <w:r>
        <w:rPr>
          <w:rFonts w:hint="eastAsia"/>
          <w:color w:val="000000"/>
        </w:rPr>
        <w:t>6</w:t>
      </w:r>
      <w:r w:rsidRPr="00365EB4">
        <w:rPr>
          <w:color w:val="000000"/>
        </w:rPr>
        <w:t xml:space="preserve"> respectively show </w:t>
      </w:r>
      <w:proofErr w:type="spellStart"/>
      <w:r w:rsidRPr="00365EB4">
        <w:rPr>
          <w:color w:val="000000"/>
        </w:rPr>
        <w:t>MI</w:t>
      </w:r>
      <w:r w:rsidRPr="00BC097F">
        <w:rPr>
          <w:color w:val="000000"/>
          <w:vertAlign w:val="subscript"/>
        </w:rPr>
        <w:t>jo</w:t>
      </w:r>
      <w:proofErr w:type="spellEnd"/>
      <w:r w:rsidRPr="00365EB4">
        <w:rPr>
          <w:color w:val="000000"/>
        </w:rPr>
        <w:t xml:space="preserve"> [2005, β], </w:t>
      </w:r>
      <w:r w:rsidRPr="000675DF">
        <w:rPr>
          <w:noProof/>
          <w:color w:val="000000"/>
        </w:rPr>
        <w:t>CU</w:t>
      </w:r>
      <w:r w:rsidRPr="000675DF">
        <w:rPr>
          <w:noProof/>
          <w:color w:val="000000"/>
          <w:vertAlign w:val="subscript"/>
        </w:rPr>
        <w:t>jo</w:t>
      </w:r>
      <w:r w:rsidRPr="00365EB4">
        <w:rPr>
          <w:color w:val="000000"/>
        </w:rPr>
        <w:t xml:space="preserve"> [2005, β] and </w:t>
      </w:r>
      <w:proofErr w:type="spellStart"/>
      <w:r w:rsidRPr="00365EB4">
        <w:rPr>
          <w:color w:val="000000"/>
        </w:rPr>
        <w:t>FS</w:t>
      </w:r>
      <w:r w:rsidRPr="00BC097F">
        <w:rPr>
          <w:color w:val="000000"/>
          <w:vertAlign w:val="subscript"/>
        </w:rPr>
        <w:t>j</w:t>
      </w:r>
      <w:r>
        <w:rPr>
          <w:color w:val="000000"/>
          <w:vertAlign w:val="subscript"/>
        </w:rPr>
        <w:t>o</w:t>
      </w:r>
      <w:proofErr w:type="spellEnd"/>
      <w:r w:rsidRPr="00365EB4">
        <w:rPr>
          <w:color w:val="000000"/>
        </w:rPr>
        <w:t xml:space="preserve"> [2005, β], compared </w:t>
      </w:r>
      <w:r w:rsidR="00156EA3">
        <w:rPr>
          <w:color w:val="000000"/>
        </w:rPr>
        <w:t>with all</w:t>
      </w:r>
      <w:r w:rsidRPr="00365EB4">
        <w:rPr>
          <w:color w:val="000000"/>
        </w:rPr>
        <w:t xml:space="preserve"> previous year</w:t>
      </w:r>
      <w:r w:rsidR="00156EA3">
        <w:rPr>
          <w:color w:val="000000"/>
        </w:rPr>
        <w:t>s</w:t>
      </w:r>
      <w:r w:rsidRPr="00365EB4">
        <w:rPr>
          <w:color w:val="000000"/>
        </w:rPr>
        <w:t xml:space="preserve"> except 2005. The index value</w:t>
      </w:r>
      <w:r w:rsidR="00156EA3">
        <w:rPr>
          <w:color w:val="000000"/>
        </w:rPr>
        <w:t>s are 1</w:t>
      </w:r>
      <w:r w:rsidRPr="00365EB4">
        <w:rPr>
          <w:color w:val="000000"/>
        </w:rPr>
        <w:t xml:space="preserve"> when β=2005. We employ geometric means</w:t>
      </w:r>
      <w:r w:rsidR="00156EA3">
        <w:rPr>
          <w:color w:val="000000"/>
        </w:rPr>
        <w:t xml:space="preserve"> (rather than</w:t>
      </w:r>
      <w:r w:rsidRPr="00365EB4">
        <w:rPr>
          <w:color w:val="000000"/>
        </w:rPr>
        <w:t xml:space="preserve"> arithmetic ones</w:t>
      </w:r>
      <w:r w:rsidR="00156EA3">
        <w:rPr>
          <w:color w:val="000000"/>
        </w:rPr>
        <w:t>)</w:t>
      </w:r>
      <w:r w:rsidRPr="00365EB4">
        <w:rPr>
          <w:color w:val="000000"/>
        </w:rPr>
        <w:t xml:space="preserve"> as average</w:t>
      </w:r>
      <w:r w:rsidR="00156EA3">
        <w:rPr>
          <w:color w:val="000000"/>
        </w:rPr>
        <w:t>s</w:t>
      </w:r>
      <w:r w:rsidRPr="00365EB4">
        <w:rPr>
          <w:color w:val="000000"/>
        </w:rPr>
        <w:t xml:space="preserve"> of MI, </w:t>
      </w:r>
      <w:r w:rsidRPr="000675DF">
        <w:rPr>
          <w:noProof/>
          <w:color w:val="000000"/>
        </w:rPr>
        <w:t>CU</w:t>
      </w:r>
      <w:r w:rsidRPr="00365EB4">
        <w:rPr>
          <w:color w:val="000000"/>
        </w:rPr>
        <w:t xml:space="preserve"> and FS indices </w:t>
      </w:r>
      <w:r w:rsidR="00156EA3">
        <w:rPr>
          <w:color w:val="000000"/>
        </w:rPr>
        <w:t>due to their</w:t>
      </w:r>
      <w:r w:rsidRPr="00365EB4">
        <w:rPr>
          <w:color w:val="000000"/>
        </w:rPr>
        <w:t xml:space="preserve"> multiplicative nature.</w:t>
      </w:r>
    </w:p>
    <w:p w:rsidR="00C7659C" w:rsidRPr="00355F71" w:rsidRDefault="00C7659C" w:rsidP="00AE12C3">
      <w:pPr>
        <w:pStyle w:val="Paragraph"/>
        <w:numPr>
          <w:ilvl w:val="0"/>
          <w:numId w:val="31"/>
        </w:numPr>
        <w:rPr>
          <w:b/>
          <w:sz w:val="28"/>
          <w:szCs w:val="28"/>
          <w:lang w:eastAsia="zh-TW"/>
        </w:rPr>
      </w:pPr>
      <w:r w:rsidRPr="00355F71">
        <w:rPr>
          <w:rFonts w:hint="eastAsia"/>
          <w:b/>
          <w:sz w:val="28"/>
          <w:szCs w:val="28"/>
          <w:lang w:eastAsia="zh-TW"/>
        </w:rPr>
        <w:t>Results</w:t>
      </w:r>
    </w:p>
    <w:p w:rsidR="00040538" w:rsidRPr="00355F71" w:rsidRDefault="00040538" w:rsidP="00AE12C3">
      <w:pPr>
        <w:pStyle w:val="Newparagraph"/>
        <w:numPr>
          <w:ilvl w:val="1"/>
          <w:numId w:val="31"/>
        </w:numPr>
        <w:rPr>
          <w:b/>
          <w:lang w:eastAsia="zh-TW"/>
        </w:rPr>
      </w:pPr>
      <w:r w:rsidRPr="00355F71">
        <w:rPr>
          <w:b/>
        </w:rPr>
        <w:t>DEA analys</w:t>
      </w:r>
      <w:r w:rsidRPr="00355F71">
        <w:rPr>
          <w:rFonts w:hint="eastAsia"/>
          <w:b/>
          <w:lang w:eastAsia="zh-TW"/>
        </w:rPr>
        <w:t>i</w:t>
      </w:r>
      <w:r w:rsidRPr="00355F71">
        <w:rPr>
          <w:b/>
        </w:rPr>
        <w:t>s</w:t>
      </w:r>
    </w:p>
    <w:p w:rsidR="006513A7" w:rsidRDefault="00EB40F0" w:rsidP="00355F71">
      <w:pPr>
        <w:pStyle w:val="Newparagraph"/>
        <w:ind w:firstLine="0"/>
        <w:jc w:val="both"/>
      </w:pPr>
      <w:r>
        <w:t>As shown</w:t>
      </w:r>
      <w:r w:rsidRPr="00365EB4">
        <w:t xml:space="preserve"> in Table 1</w:t>
      </w:r>
      <w:r>
        <w:t>,</w:t>
      </w:r>
      <w:r w:rsidR="00FC219D">
        <w:rPr>
          <w:rFonts w:hint="eastAsia"/>
          <w:lang w:eastAsia="zh-TW"/>
        </w:rPr>
        <w:t xml:space="preserve"> </w:t>
      </w:r>
      <w:r>
        <w:t>w</w:t>
      </w:r>
      <w:r w:rsidRPr="00365EB4">
        <w:t xml:space="preserve">e </w:t>
      </w:r>
      <w:r w:rsidR="006D481B" w:rsidRPr="00365EB4">
        <w:t xml:space="preserve">solve </w:t>
      </w:r>
      <w:r>
        <w:t xml:space="preserve">the </w:t>
      </w:r>
      <w:r w:rsidR="006D481B" w:rsidRPr="00365EB4">
        <w:t xml:space="preserve">DEA model </w:t>
      </w:r>
      <w:r>
        <w:t>using</w:t>
      </w:r>
      <w:r w:rsidR="005250A4">
        <w:rPr>
          <w:rFonts w:hint="eastAsia"/>
          <w:lang w:eastAsia="zh-TW"/>
        </w:rPr>
        <w:t xml:space="preserve"> </w:t>
      </w:r>
      <w:r w:rsidR="006D481B" w:rsidRPr="00365EB4">
        <w:t>two inputs and two outputs</w:t>
      </w:r>
      <w:r>
        <w:t xml:space="preserve"> in order to determine the</w:t>
      </w:r>
      <w:r w:rsidR="006D481B" w:rsidRPr="00365EB4">
        <w:t xml:space="preserve"> DEA efficiency (value 1 means DMU efficient). </w:t>
      </w:r>
      <w:r>
        <w:t>From the perspective of the number of</w:t>
      </w:r>
      <w:r w:rsidRPr="00365EB4">
        <w:t xml:space="preserve"> inpatient cases</w:t>
      </w:r>
      <w:r w:rsidR="007509DA">
        <w:t>,</w:t>
      </w:r>
      <w:r w:rsidR="005250A4">
        <w:rPr>
          <w:rFonts w:hint="eastAsia"/>
          <w:lang w:eastAsia="zh-TW"/>
        </w:rPr>
        <w:t xml:space="preserve"> </w:t>
      </w:r>
      <w:r w:rsidR="006D481B" w:rsidRPr="00365EB4">
        <w:t xml:space="preserve">New Taipei </w:t>
      </w:r>
      <w:r w:rsidR="008840A4">
        <w:t>C</w:t>
      </w:r>
      <w:r w:rsidR="006D481B" w:rsidRPr="00365EB4">
        <w:t>ity is the largest city</w:t>
      </w:r>
      <w:r w:rsidR="005250A4">
        <w:rPr>
          <w:rFonts w:hint="eastAsia"/>
          <w:lang w:eastAsia="zh-TW"/>
        </w:rPr>
        <w:t xml:space="preserve"> </w:t>
      </w:r>
      <w:r w:rsidR="008840A4">
        <w:t>and</w:t>
      </w:r>
      <w:r w:rsidR="006D481B" w:rsidRPr="00365EB4">
        <w:t xml:space="preserve"> </w:t>
      </w:r>
      <w:proofErr w:type="spellStart"/>
      <w:r w:rsidR="006D481B" w:rsidRPr="00365EB4">
        <w:t>Lianjiang</w:t>
      </w:r>
      <w:proofErr w:type="spellEnd"/>
      <w:r w:rsidR="006D481B" w:rsidRPr="00365EB4">
        <w:t xml:space="preserve"> County is the smallest. Both </w:t>
      </w:r>
      <w:r>
        <w:t>of these cities are considered</w:t>
      </w:r>
      <w:r w:rsidR="006D481B" w:rsidRPr="00365EB4">
        <w:t xml:space="preserve"> DEA</w:t>
      </w:r>
      <w:r w:rsidR="007509DA">
        <w:t>-</w:t>
      </w:r>
      <w:r w:rsidR="006D481B" w:rsidRPr="00365EB4">
        <w:t xml:space="preserve">efficient </w:t>
      </w:r>
      <w:r>
        <w:t>during the</w:t>
      </w:r>
      <w:r w:rsidR="006D481B" w:rsidRPr="00365EB4">
        <w:t xml:space="preserve"> 10</w:t>
      </w:r>
      <w:r w:rsidR="007509DA">
        <w:t>-</w:t>
      </w:r>
      <w:r w:rsidR="006D481B" w:rsidRPr="00365EB4">
        <w:t>year</w:t>
      </w:r>
      <w:r>
        <w:t xml:space="preserve"> study</w:t>
      </w:r>
      <w:r w:rsidR="006D481B" w:rsidRPr="00365EB4">
        <w:t xml:space="preserve"> period</w:t>
      </w:r>
      <w:r>
        <w:t>; however,</w:t>
      </w:r>
      <w:r w:rsidR="005250A4">
        <w:rPr>
          <w:rFonts w:hint="eastAsia"/>
          <w:lang w:eastAsia="zh-TW"/>
        </w:rPr>
        <w:t xml:space="preserve"> </w:t>
      </w:r>
      <w:r w:rsidR="006D481B" w:rsidRPr="00365EB4">
        <w:t xml:space="preserve">the extreme </w:t>
      </w:r>
      <w:r w:rsidRPr="00365EB4">
        <w:t>differen</w:t>
      </w:r>
      <w:r>
        <w:t>ce in</w:t>
      </w:r>
      <w:r w:rsidR="005250A4">
        <w:rPr>
          <w:rFonts w:hint="eastAsia"/>
          <w:lang w:eastAsia="zh-TW"/>
        </w:rPr>
        <w:t xml:space="preserve"> </w:t>
      </w:r>
      <w:r w:rsidR="006D481B" w:rsidRPr="00365EB4">
        <w:t>size</w:t>
      </w:r>
      <w:r>
        <w:t xml:space="preserve"> means that</w:t>
      </w:r>
      <w:r w:rsidR="005250A4">
        <w:rPr>
          <w:rFonts w:hint="eastAsia"/>
          <w:lang w:eastAsia="zh-TW"/>
        </w:rPr>
        <w:t xml:space="preserve"> </w:t>
      </w:r>
      <w:r w:rsidR="006D481B" w:rsidRPr="00365EB4">
        <w:t xml:space="preserve">they are located at the border. </w:t>
      </w:r>
      <w:proofErr w:type="spellStart"/>
      <w:r w:rsidR="006D481B" w:rsidRPr="00365EB4">
        <w:t>Kinmen</w:t>
      </w:r>
      <w:proofErr w:type="spellEnd"/>
      <w:r w:rsidR="006D481B" w:rsidRPr="00365EB4">
        <w:t xml:space="preserve"> </w:t>
      </w:r>
      <w:r w:rsidR="006D481B">
        <w:rPr>
          <w:rFonts w:hint="eastAsia"/>
        </w:rPr>
        <w:t>C</w:t>
      </w:r>
      <w:r w:rsidR="006D481B" w:rsidRPr="00365EB4">
        <w:t xml:space="preserve">ounty </w:t>
      </w:r>
      <w:r>
        <w:t>(the</w:t>
      </w:r>
      <w:r w:rsidR="006D481B" w:rsidRPr="00365EB4">
        <w:t xml:space="preserve"> 2</w:t>
      </w:r>
      <w:r w:rsidR="006D481B" w:rsidRPr="00365EB4">
        <w:rPr>
          <w:vertAlign w:val="superscript"/>
        </w:rPr>
        <w:t>nd</w:t>
      </w:r>
      <w:r w:rsidR="006D481B" w:rsidRPr="00365EB4">
        <w:t xml:space="preserve"> smallest DMU</w:t>
      </w:r>
      <w:r>
        <w:t>) is also close to the border.</w:t>
      </w:r>
      <w:r w:rsidR="005250A4">
        <w:rPr>
          <w:rFonts w:hint="eastAsia"/>
          <w:lang w:eastAsia="zh-TW"/>
        </w:rPr>
        <w:t xml:space="preserve"> </w:t>
      </w:r>
      <w:r w:rsidR="00043EA8" w:rsidRPr="00FF00D7">
        <w:t>Table 2 presents the DMUs</w:t>
      </w:r>
      <w:r w:rsidR="005250A4" w:rsidRPr="00FF00D7">
        <w:rPr>
          <w:rFonts w:hint="eastAsia"/>
          <w:lang w:eastAsia="zh-TW"/>
        </w:rPr>
        <w:t xml:space="preserve"> </w:t>
      </w:r>
      <w:r w:rsidR="00043EA8" w:rsidRPr="00FF00D7">
        <w:t>located at the border of the frontier in the first and last years</w:t>
      </w:r>
      <w:r w:rsidR="006D481B" w:rsidRPr="00365EB4">
        <w:t>. The fluctuation</w:t>
      </w:r>
      <w:r>
        <w:t>s in this study are</w:t>
      </w:r>
      <w:r w:rsidR="00FF00D7">
        <w:rPr>
          <w:rFonts w:hint="eastAsia"/>
          <w:lang w:eastAsia="zh-TW"/>
        </w:rPr>
        <w:t xml:space="preserve"> </w:t>
      </w:r>
      <w:r w:rsidR="006D481B" w:rsidRPr="00365EB4">
        <w:t>significant</w:t>
      </w:r>
      <w:r w:rsidR="007509DA">
        <w:t>ly</w:t>
      </w:r>
      <w:r w:rsidR="006D481B" w:rsidRPr="00365EB4">
        <w:t xml:space="preserve"> smaller (efficiency score 0.77~1) </w:t>
      </w:r>
      <w:r>
        <w:t>than those observed in</w:t>
      </w:r>
      <w:r w:rsidR="00FF00D7">
        <w:rPr>
          <w:rFonts w:hint="eastAsia"/>
          <w:lang w:eastAsia="zh-TW"/>
        </w:rPr>
        <w:t xml:space="preserve"> </w:t>
      </w:r>
      <w:r w:rsidR="006D481B" w:rsidRPr="00365EB4">
        <w:t>time series analysis</w:t>
      </w:r>
      <w:r w:rsidR="000C1B81">
        <w:fldChar w:fldCharType="begin"/>
      </w:r>
      <w:r w:rsidR="00E83483">
        <w:instrText xml:space="preserve"> ADDIN EN.CITE &lt;EndNote&gt;&lt;Cite&gt;&lt;Author&gt;Hashimoto&lt;/Author&gt;&lt;Year&gt;1997&lt;/Year&gt;&lt;RecNum&gt;26&lt;/RecNum&gt;&lt;DisplayText&gt;[17]&lt;/DisplayText&gt;&lt;record&gt;&lt;rec-number&gt;26&lt;/rec-number&gt;&lt;foreign-keys&gt;&lt;key app="EN" db-id="2taz59w0y0v5x5eeaayv5a0u9r5rpraf90sw"&gt;26&lt;/key&gt;&lt;/foreign-keys&gt;&lt;ref-type name="Journal Article"&gt;17&lt;/ref-type&gt;&lt;contributors&gt;&lt;authors&gt;&lt;author&gt;Hashimoto, Akihiro&lt;/author&gt;&lt;author&gt;Kodama, Migaku&lt;/author&gt;&lt;/authors&gt;&lt;/contributors&gt;&lt;titles&gt;&lt;title&gt;Has livability of Japan gotten better for 1956–1990?: A DEA approach&lt;/title&gt;&lt;secondary-title&gt;Social Indicators Research&lt;/secondary-title&gt;&lt;/titles&gt;&lt;periodical&gt;&lt;full-title&gt;Social Indicators Research&lt;/full-title&gt;&lt;/periodical&gt;&lt;pages&gt;359-373&lt;/pages&gt;&lt;volume&gt;40&lt;/volume&gt;&lt;number&gt;3&lt;/number&gt;&lt;dates&gt;&lt;year&gt;1997&lt;/year&gt;&lt;/dates&gt;&lt;isbn&gt;0303-8300&lt;/isbn&gt;&lt;urls&gt;&lt;/urls&gt;&lt;/record&gt;&lt;/Cite&gt;&lt;/EndNote&gt;</w:instrText>
      </w:r>
      <w:r w:rsidR="000C1B81">
        <w:fldChar w:fldCharType="separate"/>
      </w:r>
      <w:r w:rsidR="00E83483">
        <w:rPr>
          <w:noProof/>
        </w:rPr>
        <w:t>[</w:t>
      </w:r>
      <w:hyperlink w:anchor="_ENREF_17" w:tooltip="Hashimoto, 1997 #26" w:history="1">
        <w:r w:rsidR="00E83483">
          <w:rPr>
            <w:noProof/>
          </w:rPr>
          <w:t>17</w:t>
        </w:r>
      </w:hyperlink>
      <w:r w:rsidR="00E83483">
        <w:rPr>
          <w:noProof/>
        </w:rPr>
        <w:t>]</w:t>
      </w:r>
      <w:r w:rsidR="000C1B81">
        <w:fldChar w:fldCharType="end"/>
      </w:r>
      <w:r w:rsidR="006D481B" w:rsidRPr="00365EB4">
        <w:t xml:space="preserve">. Table 3 </w:t>
      </w:r>
      <w:r>
        <w:t>presents</w:t>
      </w:r>
      <w:r w:rsidR="00FF00D7">
        <w:rPr>
          <w:rFonts w:hint="eastAsia"/>
          <w:lang w:eastAsia="zh-TW"/>
        </w:rPr>
        <w:t xml:space="preserve"> </w:t>
      </w:r>
      <w:r w:rsidR="006D481B" w:rsidRPr="00365EB4">
        <w:t xml:space="preserve">the results of DEA panel analysis </w:t>
      </w:r>
      <w:r>
        <w:t>using</w:t>
      </w:r>
      <w:r w:rsidR="006D481B" w:rsidRPr="00365EB4">
        <w:t>220 DMUs (n=22 counties</w:t>
      </w:r>
      <w:r w:rsidR="006D481B">
        <w:rPr>
          <w:rFonts w:hint="eastAsia"/>
        </w:rPr>
        <w:t xml:space="preserve"> and </w:t>
      </w:r>
      <w:r w:rsidR="006D481B" w:rsidRPr="00365EB4">
        <w:t xml:space="preserve">cities x 10 years=220). There </w:t>
      </w:r>
      <w:r>
        <w:t>were</w:t>
      </w:r>
      <w:r w:rsidR="00FF00D7">
        <w:rPr>
          <w:rFonts w:hint="eastAsia"/>
          <w:lang w:eastAsia="zh-TW"/>
        </w:rPr>
        <w:t xml:space="preserve"> </w:t>
      </w:r>
      <w:r w:rsidR="006D481B" w:rsidRPr="00365EB4">
        <w:t>only 2 efficient DMU</w:t>
      </w:r>
      <w:r>
        <w:t>s (</w:t>
      </w:r>
      <w:proofErr w:type="spellStart"/>
      <w:r w:rsidR="006D481B" w:rsidRPr="00365EB4">
        <w:t>Kinmen</w:t>
      </w:r>
      <w:proofErr w:type="spellEnd"/>
      <w:r w:rsidR="006D481B" w:rsidRPr="00365EB4">
        <w:t xml:space="preserve"> </w:t>
      </w:r>
      <w:r w:rsidR="006D481B">
        <w:rPr>
          <w:rFonts w:hint="eastAsia"/>
        </w:rPr>
        <w:t>C</w:t>
      </w:r>
      <w:r w:rsidR="006D481B" w:rsidRPr="00365EB4">
        <w:t>ounty</w:t>
      </w:r>
      <w:r>
        <w:t xml:space="preserve">: </w:t>
      </w:r>
      <w:r w:rsidR="006D481B" w:rsidRPr="00365EB4">
        <w:t xml:space="preserve">2006 and </w:t>
      </w:r>
      <w:proofErr w:type="spellStart"/>
      <w:r w:rsidR="006D481B" w:rsidRPr="00365EB4">
        <w:t>Kinmen</w:t>
      </w:r>
      <w:proofErr w:type="spellEnd"/>
      <w:r w:rsidR="006D481B" w:rsidRPr="00365EB4">
        <w:t xml:space="preserve"> </w:t>
      </w:r>
      <w:r w:rsidR="006D481B">
        <w:rPr>
          <w:rFonts w:hint="eastAsia"/>
        </w:rPr>
        <w:t>C</w:t>
      </w:r>
      <w:r w:rsidR="006D481B" w:rsidRPr="00365EB4">
        <w:t>ounty</w:t>
      </w:r>
      <w:r>
        <w:t xml:space="preserve">: </w:t>
      </w:r>
      <w:r w:rsidR="006D481B" w:rsidRPr="00365EB4">
        <w:t>2013</w:t>
      </w:r>
      <w:r>
        <w:t>)</w:t>
      </w:r>
      <w:r w:rsidR="006D481B" w:rsidRPr="00365EB4">
        <w:t xml:space="preserve">. </w:t>
      </w:r>
      <w:r w:rsidR="007509DA">
        <w:t>T</w:t>
      </w:r>
      <w:r>
        <w:t>he average</w:t>
      </w:r>
      <w:r w:rsidR="006D481B" w:rsidRPr="00365EB4">
        <w:t xml:space="preserve"> DEA </w:t>
      </w:r>
      <w:r w:rsidRPr="00365EB4">
        <w:t>efficienc</w:t>
      </w:r>
      <w:r>
        <w:t>y</w:t>
      </w:r>
      <w:r w:rsidR="00FF00D7">
        <w:rPr>
          <w:rFonts w:hint="eastAsia"/>
          <w:lang w:eastAsia="zh-TW"/>
        </w:rPr>
        <w:t xml:space="preserve"> </w:t>
      </w:r>
      <w:r>
        <w:t>among</w:t>
      </w:r>
      <w:r w:rsidR="00FF00D7">
        <w:rPr>
          <w:rFonts w:hint="eastAsia"/>
          <w:lang w:eastAsia="zh-TW"/>
        </w:rPr>
        <w:t xml:space="preserve"> </w:t>
      </w:r>
      <w:r w:rsidR="006D481B" w:rsidRPr="00365EB4">
        <w:t xml:space="preserve">the 110 DMUs in the first half of the decade </w:t>
      </w:r>
      <w:r>
        <w:t>was</w:t>
      </w:r>
      <w:r w:rsidR="00FF00D7">
        <w:rPr>
          <w:rFonts w:hint="eastAsia"/>
          <w:lang w:eastAsia="zh-TW"/>
        </w:rPr>
        <w:t xml:space="preserve"> </w:t>
      </w:r>
      <w:r w:rsidR="006D481B" w:rsidRPr="00365EB4">
        <w:t>0.50</w:t>
      </w:r>
      <w:r w:rsidR="00C56A10">
        <w:t xml:space="preserve"> and</w:t>
      </w:r>
      <w:r w:rsidR="006D481B" w:rsidRPr="00365EB4">
        <w:t xml:space="preserve"> 0.46 in </w:t>
      </w:r>
      <w:r w:rsidR="00C56A10">
        <w:t>the latter</w:t>
      </w:r>
      <w:r w:rsidR="00FF00D7">
        <w:rPr>
          <w:rFonts w:hint="eastAsia"/>
          <w:lang w:eastAsia="zh-TW"/>
        </w:rPr>
        <w:t xml:space="preserve"> </w:t>
      </w:r>
      <w:r w:rsidR="006D481B" w:rsidRPr="00365EB4">
        <w:t xml:space="preserve">half. </w:t>
      </w:r>
      <w:r w:rsidR="007509DA">
        <w:t>T</w:t>
      </w:r>
      <w:r w:rsidR="00C56A10">
        <w:t>he</w:t>
      </w:r>
      <w:r w:rsidR="00FF00D7">
        <w:rPr>
          <w:rFonts w:hint="eastAsia"/>
          <w:lang w:eastAsia="zh-TW"/>
        </w:rPr>
        <w:t xml:space="preserve"> </w:t>
      </w:r>
      <w:r w:rsidR="006D481B" w:rsidRPr="00365EB4">
        <w:t>difference</w:t>
      </w:r>
      <w:r w:rsidR="00FF00D7">
        <w:rPr>
          <w:rFonts w:hint="eastAsia"/>
          <w:lang w:eastAsia="zh-TW"/>
        </w:rPr>
        <w:t xml:space="preserve"> </w:t>
      </w:r>
      <w:r w:rsidR="00C56A10">
        <w:t>is</w:t>
      </w:r>
      <w:r w:rsidR="00FF00D7">
        <w:rPr>
          <w:rFonts w:hint="eastAsia"/>
          <w:lang w:eastAsia="zh-TW"/>
        </w:rPr>
        <w:t xml:space="preserve"> </w:t>
      </w:r>
      <w:r w:rsidR="006D481B" w:rsidRPr="00365EB4">
        <w:t xml:space="preserve">not significant. </w:t>
      </w:r>
      <w:r w:rsidR="00C56A10">
        <w:t>As shown in T</w:t>
      </w:r>
      <w:r w:rsidR="006D481B" w:rsidRPr="00365EB4">
        <w:t>able</w:t>
      </w:r>
      <w:r w:rsidR="00C56A10">
        <w:t>s</w:t>
      </w:r>
      <w:r w:rsidR="006D481B" w:rsidRPr="00365EB4">
        <w:t xml:space="preserve"> 2 and 3, medical service production efficiency </w:t>
      </w:r>
      <w:r w:rsidR="00C56A10">
        <w:t>appears not to have improved</w:t>
      </w:r>
      <w:r w:rsidR="00FF00D7">
        <w:rPr>
          <w:rFonts w:hint="eastAsia"/>
          <w:lang w:eastAsia="zh-TW"/>
        </w:rPr>
        <w:t xml:space="preserve"> </w:t>
      </w:r>
      <w:r w:rsidR="00C56A10">
        <w:t xml:space="preserve">at all </w:t>
      </w:r>
      <w:r w:rsidR="006D481B" w:rsidRPr="00365EB4">
        <w:t xml:space="preserve">during the </w:t>
      </w:r>
      <w:r w:rsidR="006D481B" w:rsidRPr="00365EB4">
        <w:lastRenderedPageBreak/>
        <w:t xml:space="preserve">past decade. </w:t>
      </w:r>
      <w:r w:rsidR="00C56A10">
        <w:t>Thus, we must</w:t>
      </w:r>
      <w:r w:rsidR="00FF00D7">
        <w:rPr>
          <w:rFonts w:hint="eastAsia"/>
          <w:lang w:eastAsia="zh-TW"/>
        </w:rPr>
        <w:t xml:space="preserve"> </w:t>
      </w:r>
      <w:r w:rsidR="00C56A10">
        <w:t xml:space="preserve">go </w:t>
      </w:r>
      <w:r w:rsidR="00C56A10" w:rsidRPr="00365EB4">
        <w:t>beyond traditional DEA analys</w:t>
      </w:r>
      <w:r w:rsidR="00C56A10">
        <w:t>i</w:t>
      </w:r>
      <w:r w:rsidR="00C56A10" w:rsidRPr="00365EB4">
        <w:t xml:space="preserve">s </w:t>
      </w:r>
      <w:r w:rsidR="00C56A10">
        <w:t xml:space="preserve">using </w:t>
      </w:r>
      <w:r w:rsidR="00C56A10" w:rsidRPr="00365EB4">
        <w:t>CCR</w:t>
      </w:r>
      <w:r w:rsidR="00C56A10">
        <w:t xml:space="preserve"> and </w:t>
      </w:r>
      <w:r w:rsidR="00C56A10" w:rsidRPr="00365EB4">
        <w:t>BCC model</w:t>
      </w:r>
      <w:r w:rsidR="00C56A10">
        <w:t>s</w:t>
      </w:r>
      <w:r w:rsidR="00FF00D7">
        <w:rPr>
          <w:rFonts w:hint="eastAsia"/>
          <w:lang w:eastAsia="zh-TW"/>
        </w:rPr>
        <w:t xml:space="preserve"> </w:t>
      </w:r>
      <w:r w:rsidR="00C56A10">
        <w:t xml:space="preserve">in order to determine how </w:t>
      </w:r>
      <w:r w:rsidR="006D481B" w:rsidRPr="00365EB4">
        <w:t>medical service changed.</w:t>
      </w:r>
    </w:p>
    <w:p w:rsidR="00C56A10" w:rsidRDefault="00C56A10" w:rsidP="00AE12C3">
      <w:pPr>
        <w:pStyle w:val="Newparagraph"/>
        <w:ind w:firstLineChars="100" w:firstLine="240"/>
        <w:jc w:val="both"/>
        <w:rPr>
          <w:lang w:eastAsia="zh-TW"/>
        </w:rPr>
      </w:pPr>
    </w:p>
    <w:p w:rsidR="00040538" w:rsidRPr="00355F71" w:rsidRDefault="00C56A10" w:rsidP="00AE12C3">
      <w:pPr>
        <w:pStyle w:val="Newparagraph"/>
        <w:numPr>
          <w:ilvl w:val="1"/>
          <w:numId w:val="31"/>
        </w:numPr>
        <w:rPr>
          <w:lang w:eastAsia="zh-TW"/>
        </w:rPr>
      </w:pPr>
      <w:r w:rsidRPr="00355F71">
        <w:rPr>
          <w:b/>
        </w:rPr>
        <w:t xml:space="preserve">Changes in medical </w:t>
      </w:r>
      <w:r w:rsidR="00040538" w:rsidRPr="00355F71">
        <w:rPr>
          <w:b/>
        </w:rPr>
        <w:t>service production efficiency at</w:t>
      </w:r>
      <w:r w:rsidRPr="00355F71">
        <w:rPr>
          <w:b/>
        </w:rPr>
        <w:t xml:space="preserve"> the</w:t>
      </w:r>
      <w:r w:rsidR="00040538" w:rsidRPr="00355F71">
        <w:rPr>
          <w:b/>
        </w:rPr>
        <w:t xml:space="preserve"> DMU level</w:t>
      </w:r>
    </w:p>
    <w:p w:rsidR="00040538" w:rsidRDefault="00040538" w:rsidP="00355F71">
      <w:pPr>
        <w:pStyle w:val="Newparagraph"/>
        <w:ind w:firstLine="0"/>
        <w:jc w:val="both"/>
        <w:rPr>
          <w:lang w:eastAsia="zh-TW"/>
        </w:rPr>
      </w:pPr>
      <w:r w:rsidRPr="00365EB4">
        <w:t>The M</w:t>
      </w:r>
      <w:r w:rsidR="007509DA">
        <w:t>I</w:t>
      </w:r>
      <w:r w:rsidR="00FF00D7">
        <w:rPr>
          <w:rFonts w:hint="eastAsia"/>
          <w:lang w:eastAsia="zh-TW"/>
        </w:rPr>
        <w:t xml:space="preserve"> </w:t>
      </w:r>
      <w:r w:rsidR="00C56A10">
        <w:t>indicates</w:t>
      </w:r>
      <w:r w:rsidRPr="00365EB4">
        <w:t xml:space="preserve"> change</w:t>
      </w:r>
      <w:r w:rsidR="00C56A10">
        <w:t>s</w:t>
      </w:r>
      <w:r w:rsidRPr="00365EB4">
        <w:t xml:space="preserve"> in the total productivity over time for</w:t>
      </w:r>
      <w:r w:rsidR="00FC2A3F">
        <w:t xml:space="preserve"> use by</w:t>
      </w:r>
      <w:r w:rsidRPr="00365EB4">
        <w:t xml:space="preserve"> decision</w:t>
      </w:r>
      <w:r w:rsidR="00174031">
        <w:t>-</w:t>
      </w:r>
      <w:r w:rsidRPr="00365EB4">
        <w:t>mak</w:t>
      </w:r>
      <w:r w:rsidR="00FC2A3F">
        <w:t>ers</w:t>
      </w:r>
      <w:r w:rsidRPr="00365EB4">
        <w:t xml:space="preserve">. </w:t>
      </w:r>
      <w:r w:rsidR="00FC2A3F">
        <w:t xml:space="preserve">The measurement of </w:t>
      </w:r>
      <w:r w:rsidRPr="00365EB4">
        <w:t xml:space="preserve">DEA efficiency is </w:t>
      </w:r>
      <w:r w:rsidR="00FC2A3F">
        <w:t>based on the</w:t>
      </w:r>
      <w:r w:rsidRPr="00365EB4">
        <w:t xml:space="preserve"> efficiency frontier </w:t>
      </w:r>
      <w:r w:rsidR="00FC2A3F">
        <w:t xml:space="preserve">comprising the </w:t>
      </w:r>
      <w:r w:rsidRPr="00365EB4">
        <w:t xml:space="preserve">most efficient units </w:t>
      </w:r>
      <w:r w:rsidR="00FC2A3F">
        <w:t>for a given</w:t>
      </w:r>
      <w:r w:rsidRPr="00365EB4">
        <w:t xml:space="preserve"> year</w:t>
      </w:r>
      <w:r w:rsidR="00FC2A3F">
        <w:t xml:space="preserve">, the </w:t>
      </w:r>
      <w:r w:rsidRPr="00365EB4">
        <w:t xml:space="preserve">efficiency value </w:t>
      </w:r>
      <w:r w:rsidR="00FC2A3F">
        <w:t xml:space="preserve">of which </w:t>
      </w:r>
      <w:r w:rsidRPr="00365EB4">
        <w:t>is 1. The M</w:t>
      </w:r>
      <w:r w:rsidR="00174031">
        <w:t>I</w:t>
      </w:r>
      <w:r w:rsidRPr="00365EB4">
        <w:t xml:space="preserve"> takes into account </w:t>
      </w:r>
      <w:r w:rsidR="00FC2A3F" w:rsidRPr="00365EB4">
        <w:t>shift</w:t>
      </w:r>
      <w:r w:rsidR="00FC2A3F">
        <w:t>s in the</w:t>
      </w:r>
      <w:r w:rsidR="00FF00D7">
        <w:rPr>
          <w:rFonts w:hint="eastAsia"/>
          <w:lang w:eastAsia="zh-TW"/>
        </w:rPr>
        <w:t xml:space="preserve"> </w:t>
      </w:r>
      <w:r w:rsidRPr="00365EB4">
        <w:t xml:space="preserve">frontier. </w:t>
      </w:r>
      <w:r w:rsidR="00FC2A3F">
        <w:t xml:space="preserve">As shown in </w:t>
      </w:r>
      <w:r w:rsidRPr="00365EB4">
        <w:t xml:space="preserve">Table </w:t>
      </w:r>
      <w:r>
        <w:rPr>
          <w:rFonts w:hint="eastAsia"/>
        </w:rPr>
        <w:t>4</w:t>
      </w:r>
      <w:r w:rsidR="00FC2A3F">
        <w:t>,</w:t>
      </w:r>
      <w:r w:rsidR="00FF00D7">
        <w:rPr>
          <w:rFonts w:hint="eastAsia"/>
          <w:lang w:eastAsia="zh-TW"/>
        </w:rPr>
        <w:t xml:space="preserve"> </w:t>
      </w:r>
      <w:r w:rsidR="00FC2A3F">
        <w:t>the</w:t>
      </w:r>
      <w:r w:rsidRPr="00365EB4">
        <w:t xml:space="preserve"> efficiency of medical service production in Taiwan</w:t>
      </w:r>
      <w:r w:rsidR="00FF00D7">
        <w:rPr>
          <w:rFonts w:hint="eastAsia"/>
          <w:lang w:eastAsia="zh-TW"/>
        </w:rPr>
        <w:t xml:space="preserve"> </w:t>
      </w:r>
      <w:r w:rsidRPr="00365EB4">
        <w:t xml:space="preserve">decreased </w:t>
      </w:r>
      <w:r w:rsidR="00FC2A3F">
        <w:t>at a rate of</w:t>
      </w:r>
      <w:r w:rsidR="00FF00D7">
        <w:rPr>
          <w:rFonts w:hint="eastAsia"/>
          <w:lang w:eastAsia="zh-TW"/>
        </w:rPr>
        <w:t xml:space="preserve"> </w:t>
      </w:r>
      <w:r w:rsidRPr="00365EB4">
        <w:t xml:space="preserve">1.2% per year </w:t>
      </w:r>
      <w:r w:rsidR="00FC2A3F">
        <w:t>between</w:t>
      </w:r>
      <w:r w:rsidRPr="00365EB4">
        <w:t xml:space="preserve"> 2005</w:t>
      </w:r>
      <w:r w:rsidR="00FC2A3F">
        <w:t xml:space="preserve"> and </w:t>
      </w:r>
      <w:r w:rsidRPr="00365EB4">
        <w:t xml:space="preserve">2014. During the same period, </w:t>
      </w:r>
      <w:r w:rsidR="00FC2A3F">
        <w:t>health e</w:t>
      </w:r>
      <w:r w:rsidRPr="00365EB4">
        <w:t>xpenditure</w:t>
      </w:r>
      <w:r w:rsidR="00FC2A3F">
        <w:t>s</w:t>
      </w:r>
      <w:r w:rsidRPr="00365EB4">
        <w:t xml:space="preserve"> increased at an average rate of 3.43%</w:t>
      </w:r>
      <w:r w:rsidR="00FC2A3F">
        <w:t xml:space="preserve">. The </w:t>
      </w:r>
      <w:r w:rsidRPr="00365EB4">
        <w:t xml:space="preserve">scale effect on </w:t>
      </w:r>
      <w:r w:rsidR="00FC2A3F">
        <w:t xml:space="preserve">the </w:t>
      </w:r>
      <w:r w:rsidRPr="00365EB4">
        <w:t>M</w:t>
      </w:r>
      <w:r w:rsidR="00174031">
        <w:t>I</w:t>
      </w:r>
      <w:r w:rsidRPr="00365EB4">
        <w:t xml:space="preserve"> was 1.</w:t>
      </w:r>
      <w:r w:rsidR="00FC2A3F" w:rsidRPr="00365EB4">
        <w:t>0047</w:t>
      </w:r>
      <w:r w:rsidR="00FC2A3F">
        <w:t>, presenting</w:t>
      </w:r>
      <w:r w:rsidRPr="00365EB4">
        <w:t xml:space="preserve"> an average annual increase of 0.47%. </w:t>
      </w:r>
      <w:r w:rsidR="00FC2A3F">
        <w:t>It should be noted</w:t>
      </w:r>
      <w:r w:rsidRPr="00365EB4">
        <w:t xml:space="preserve"> that only four of</w:t>
      </w:r>
      <w:r w:rsidR="00FF00D7">
        <w:rPr>
          <w:rFonts w:hint="eastAsia"/>
          <w:lang w:eastAsia="zh-TW"/>
        </w:rPr>
        <w:t xml:space="preserve"> </w:t>
      </w:r>
      <w:r w:rsidR="00FC2A3F">
        <w:rPr>
          <w:noProof/>
        </w:rPr>
        <w:t>the cities/counties</w:t>
      </w:r>
      <w:r w:rsidR="00FF00D7">
        <w:rPr>
          <w:rFonts w:hint="eastAsia"/>
          <w:noProof/>
          <w:lang w:eastAsia="zh-TW"/>
        </w:rPr>
        <w:t xml:space="preserve"> </w:t>
      </w:r>
      <w:r w:rsidR="00FC2A3F">
        <w:t>presented a rise in t</w:t>
      </w:r>
      <w:r w:rsidRPr="00365EB4">
        <w:t xml:space="preserve">otal </w:t>
      </w:r>
      <w:r w:rsidR="00FC2A3F">
        <w:t>f</w:t>
      </w:r>
      <w:r w:rsidR="00FC2A3F" w:rsidRPr="00365EB4">
        <w:t xml:space="preserve">actor </w:t>
      </w:r>
      <w:r w:rsidR="00FC2A3F">
        <w:t>p</w:t>
      </w:r>
      <w:r w:rsidR="00FC2A3F" w:rsidRPr="00365EB4">
        <w:t>roductivity</w:t>
      </w:r>
      <w:r w:rsidR="00FC2A3F">
        <w:t>; i.e., all of the others presented a drop</w:t>
      </w:r>
      <w:r w:rsidRPr="00365EB4">
        <w:t xml:space="preserve">. </w:t>
      </w:r>
      <w:proofErr w:type="spellStart"/>
      <w:r w:rsidR="00FC2A3F" w:rsidRPr="00365EB4">
        <w:t>Kinmen</w:t>
      </w:r>
      <w:proofErr w:type="spellEnd"/>
      <w:r w:rsidR="00FC2A3F" w:rsidRPr="00365EB4">
        <w:t xml:space="preserve"> </w:t>
      </w:r>
      <w:r w:rsidR="00174031">
        <w:t>C</w:t>
      </w:r>
      <w:r w:rsidR="00FC2A3F" w:rsidRPr="00365EB4">
        <w:t xml:space="preserve">ounty </w:t>
      </w:r>
      <w:r w:rsidR="00FC2A3F">
        <w:t>presented t</w:t>
      </w:r>
      <w:r w:rsidR="00FC2A3F" w:rsidRPr="00365EB4">
        <w:t xml:space="preserve">he </w:t>
      </w:r>
      <w:r w:rsidRPr="00365EB4">
        <w:t xml:space="preserve">best performance during the study </w:t>
      </w:r>
      <w:r w:rsidR="00FC2A3F">
        <w:t>period</w:t>
      </w:r>
      <w:r w:rsidR="00FF00D7">
        <w:rPr>
          <w:rFonts w:hint="eastAsia"/>
          <w:lang w:eastAsia="zh-TW"/>
        </w:rPr>
        <w:t xml:space="preserve"> </w:t>
      </w:r>
      <w:r w:rsidR="00FC2A3F">
        <w:rPr>
          <w:noProof/>
        </w:rPr>
        <w:t>with an</w:t>
      </w:r>
      <w:r w:rsidRPr="00365EB4">
        <w:t xml:space="preserve"> annual change rate</w:t>
      </w:r>
      <w:r w:rsidR="00FC2A3F">
        <w:t xml:space="preserve"> of</w:t>
      </w:r>
      <w:r w:rsidRPr="00365EB4">
        <w:t xml:space="preserve"> 1.043</w:t>
      </w:r>
      <w:r w:rsidR="00FC2A3F">
        <w:t>.</w:t>
      </w:r>
      <w:r w:rsidRPr="00365EB4">
        <w:t xml:space="preserve">Kaohsiung </w:t>
      </w:r>
      <w:r w:rsidR="00FC2A3F">
        <w:t xml:space="preserve">presented the worst performance </w:t>
      </w:r>
      <w:r w:rsidRPr="00365EB4">
        <w:t xml:space="preserve">with </w:t>
      </w:r>
      <w:r w:rsidR="00FC2A3F">
        <w:t xml:space="preserve">an </w:t>
      </w:r>
      <w:r w:rsidRPr="00365EB4">
        <w:t xml:space="preserve">annual change rate </w:t>
      </w:r>
      <w:r w:rsidR="00FC2A3F">
        <w:t xml:space="preserve">of </w:t>
      </w:r>
      <w:r w:rsidRPr="00365EB4">
        <w:t>0.944%</w:t>
      </w:r>
      <w:r w:rsidR="00FC2A3F">
        <w:t xml:space="preserve">, indicating an average yearly drop of </w:t>
      </w:r>
      <w:r w:rsidRPr="00365EB4">
        <w:t xml:space="preserve">5.6%. </w:t>
      </w:r>
      <w:r w:rsidR="00FC2A3F">
        <w:t>F</w:t>
      </w:r>
      <w:r w:rsidRPr="00365EB4">
        <w:t>our cities</w:t>
      </w:r>
      <w:r w:rsidR="00FC2A3F">
        <w:t>/</w:t>
      </w:r>
      <w:r w:rsidRPr="00365EB4">
        <w:t xml:space="preserve">counties </w:t>
      </w:r>
      <w:r w:rsidR="00FC2A3F">
        <w:t>presented a growth trend:</w:t>
      </w:r>
      <w:r w:rsidR="00FF00D7">
        <w:rPr>
          <w:rFonts w:hint="eastAsia"/>
          <w:lang w:eastAsia="zh-TW"/>
        </w:rPr>
        <w:t xml:space="preserve"> </w:t>
      </w:r>
      <w:proofErr w:type="spellStart"/>
      <w:r w:rsidRPr="00365EB4">
        <w:t>Kinmen</w:t>
      </w:r>
      <w:proofErr w:type="spellEnd"/>
      <w:r w:rsidRPr="00365EB4">
        <w:t xml:space="preserve"> County, Taipei City, Penghu County and </w:t>
      </w:r>
      <w:proofErr w:type="spellStart"/>
      <w:r w:rsidRPr="00365EB4">
        <w:t>Hsinchu</w:t>
      </w:r>
      <w:proofErr w:type="spellEnd"/>
      <w:r w:rsidRPr="00365EB4">
        <w:t xml:space="preserve"> County. Taipei City</w:t>
      </w:r>
      <w:r w:rsidR="00FC2A3F">
        <w:t xml:space="preserve"> and the</w:t>
      </w:r>
      <w:r w:rsidRPr="00365EB4">
        <w:t xml:space="preserve"> remaining three counties</w:t>
      </w:r>
      <w:r w:rsidR="00FC2A3F">
        <w:t>/</w:t>
      </w:r>
      <w:r w:rsidRPr="00365EB4">
        <w:t>cities are considered deficien</w:t>
      </w:r>
      <w:r w:rsidR="008A32DA">
        <w:t>t in medical facilities</w:t>
      </w:r>
      <w:r w:rsidRPr="00365EB4">
        <w:t xml:space="preserve">. </w:t>
      </w:r>
      <w:r w:rsidR="008A32DA">
        <w:t xml:space="preserve">As </w:t>
      </w:r>
      <w:r w:rsidR="008A32DA" w:rsidRPr="00365EB4">
        <w:t xml:space="preserve">a </w:t>
      </w:r>
      <w:r w:rsidR="008A32DA">
        <w:t xml:space="preserve">growing </w:t>
      </w:r>
      <w:r w:rsidR="008A32DA" w:rsidRPr="00365EB4">
        <w:t>metropolitan area</w:t>
      </w:r>
      <w:r w:rsidR="008A32DA">
        <w:t xml:space="preserve">, the growth in efficiency in </w:t>
      </w:r>
      <w:r w:rsidRPr="00365EB4">
        <w:t>Taipe</w:t>
      </w:r>
      <w:r w:rsidR="008A32DA">
        <w:t xml:space="preserve">i </w:t>
      </w:r>
      <w:r w:rsidRPr="00365EB4">
        <w:t xml:space="preserve">was unexpected. </w:t>
      </w:r>
      <w:r w:rsidR="008A32DA">
        <w:t>Nonetheless,</w:t>
      </w:r>
      <w:r w:rsidR="00FF00D7">
        <w:rPr>
          <w:rFonts w:hint="eastAsia"/>
          <w:lang w:eastAsia="zh-TW"/>
        </w:rPr>
        <w:t xml:space="preserve"> </w:t>
      </w:r>
      <w:r w:rsidR="008A32DA">
        <w:t>the</w:t>
      </w:r>
      <w:r w:rsidR="00FF00D7">
        <w:rPr>
          <w:rFonts w:hint="eastAsia"/>
          <w:lang w:eastAsia="zh-TW"/>
        </w:rPr>
        <w:t xml:space="preserve"> </w:t>
      </w:r>
      <w:r w:rsidR="008A32DA">
        <w:t>annual</w:t>
      </w:r>
      <w:r w:rsidR="008A32DA" w:rsidRPr="00365EB4">
        <w:t xml:space="preserve"> catch-up index </w:t>
      </w:r>
      <w:r w:rsidR="008A32DA">
        <w:t xml:space="preserve">of </w:t>
      </w:r>
      <w:r w:rsidRPr="00365EB4">
        <w:t>Taipei City was 1.018</w:t>
      </w:r>
      <w:r w:rsidR="008A32DA">
        <w:t xml:space="preserve"> and the</w:t>
      </w:r>
      <w:r w:rsidRPr="00365EB4">
        <w:t xml:space="preserve"> frontier shift </w:t>
      </w:r>
      <w:r w:rsidRPr="00365EB4">
        <w:lastRenderedPageBreak/>
        <w:t xml:space="preserve">index </w:t>
      </w:r>
      <w:r w:rsidR="008A32DA">
        <w:t>was</w:t>
      </w:r>
      <w:r w:rsidR="00FF00D7">
        <w:rPr>
          <w:rFonts w:hint="eastAsia"/>
          <w:lang w:eastAsia="zh-TW"/>
        </w:rPr>
        <w:t xml:space="preserve"> </w:t>
      </w:r>
      <w:r w:rsidRPr="00365EB4">
        <w:t xml:space="preserve">0.987. However, the scale effect on efficiency change was 0.983%. This </w:t>
      </w:r>
      <w:r w:rsidR="008A32DA">
        <w:t>is an indication</w:t>
      </w:r>
      <w:r w:rsidR="00FF00D7">
        <w:rPr>
          <w:rFonts w:hint="eastAsia"/>
          <w:lang w:eastAsia="zh-TW"/>
        </w:rPr>
        <w:t xml:space="preserve"> </w:t>
      </w:r>
      <w:r w:rsidRPr="00365EB4">
        <w:t>that policy</w:t>
      </w:r>
      <w:r w:rsidR="00174031">
        <w:t>-</w:t>
      </w:r>
      <w:r w:rsidRPr="00365EB4">
        <w:t>makers have good control over the growth of the city</w:t>
      </w:r>
      <w:r w:rsidR="008A32DA">
        <w:t xml:space="preserve"> in meeting the growing demand for medical services.</w:t>
      </w:r>
    </w:p>
    <w:p w:rsidR="00040538" w:rsidRDefault="00040538" w:rsidP="00355F71">
      <w:pPr>
        <w:pStyle w:val="Newparagraph"/>
        <w:ind w:firstLine="0"/>
        <w:jc w:val="both"/>
        <w:rPr>
          <w:lang w:eastAsia="zh-TW"/>
        </w:rPr>
      </w:pPr>
      <w:r w:rsidRPr="00365EB4">
        <w:t xml:space="preserve">The catch-up index measures how close a DMU moves to the efficiency boundary </w:t>
      </w:r>
      <w:r w:rsidR="008A32DA">
        <w:t>as well as</w:t>
      </w:r>
      <w:r w:rsidRPr="00365EB4">
        <w:t xml:space="preserve"> the rate of change in efficiency </w:t>
      </w:r>
      <w:r w:rsidR="008A32DA">
        <w:t xml:space="preserve">when </w:t>
      </w:r>
      <w:r w:rsidRPr="00365EB4">
        <w:t xml:space="preserve">compared to the previous year. Table </w:t>
      </w:r>
      <w:r>
        <w:rPr>
          <w:rFonts w:hint="eastAsia"/>
        </w:rPr>
        <w:t>5</w:t>
      </w:r>
      <w:r w:rsidRPr="00365EB4">
        <w:t xml:space="preserve"> shows that </w:t>
      </w:r>
      <w:proofErr w:type="spellStart"/>
      <w:r w:rsidRPr="00365EB4">
        <w:t>Kinmen</w:t>
      </w:r>
      <w:proofErr w:type="spellEnd"/>
      <w:r w:rsidRPr="00365EB4">
        <w:t xml:space="preserve"> County, </w:t>
      </w:r>
      <w:proofErr w:type="spellStart"/>
      <w:r w:rsidRPr="00365EB4">
        <w:t>Lianjiang</w:t>
      </w:r>
      <w:proofErr w:type="spellEnd"/>
      <w:r w:rsidRPr="00365EB4">
        <w:t xml:space="preserve"> County, </w:t>
      </w:r>
      <w:r w:rsidR="00FF00D7">
        <w:rPr>
          <w:rFonts w:hint="eastAsia"/>
          <w:lang w:eastAsia="zh-TW"/>
        </w:rPr>
        <w:t>New Taipei</w:t>
      </w:r>
      <w:r w:rsidRPr="00365EB4">
        <w:t xml:space="preserve"> City and </w:t>
      </w:r>
      <w:proofErr w:type="spellStart"/>
      <w:r w:rsidRPr="00365EB4">
        <w:t>Yunlin</w:t>
      </w:r>
      <w:proofErr w:type="spellEnd"/>
      <w:r w:rsidRPr="00365EB4">
        <w:t xml:space="preserve"> County </w:t>
      </w:r>
      <w:r w:rsidR="008A32DA">
        <w:t>remained</w:t>
      </w:r>
      <w:r w:rsidRPr="00365EB4">
        <w:t xml:space="preserve"> at the efficiency boundary from 2005 to 2014. </w:t>
      </w:r>
      <w:proofErr w:type="spellStart"/>
      <w:r w:rsidRPr="00365EB4">
        <w:t>Chiayi</w:t>
      </w:r>
      <w:proofErr w:type="spellEnd"/>
      <w:r w:rsidRPr="00365EB4">
        <w:t xml:space="preserve"> City and Penghu County were not on the frontier in 2005, but have </w:t>
      </w:r>
      <w:r w:rsidR="008A32DA" w:rsidRPr="00365EB4">
        <w:t xml:space="preserve">since </w:t>
      </w:r>
      <w:r w:rsidRPr="00365EB4">
        <w:t xml:space="preserve">caught up with the frontier. In 2014, </w:t>
      </w:r>
      <w:r w:rsidR="008A32DA">
        <w:t>they presented the highest</w:t>
      </w:r>
      <w:r w:rsidR="00FF00D7">
        <w:rPr>
          <w:rFonts w:hint="eastAsia"/>
          <w:lang w:eastAsia="zh-TW"/>
        </w:rPr>
        <w:t xml:space="preserve"> </w:t>
      </w:r>
      <w:r w:rsidRPr="00365EB4">
        <w:t xml:space="preserve">catch-up index. Table </w:t>
      </w:r>
      <w:r>
        <w:rPr>
          <w:rFonts w:hint="eastAsia"/>
        </w:rPr>
        <w:t>5</w:t>
      </w:r>
      <w:r w:rsidR="008A32DA">
        <w:t>s</w:t>
      </w:r>
      <w:r w:rsidRPr="00365EB4">
        <w:t>hows that</w:t>
      </w:r>
      <w:r w:rsidR="008A32DA">
        <w:t xml:space="preserve"> the</w:t>
      </w:r>
      <w:r w:rsidRPr="00365EB4">
        <w:t xml:space="preserve"> 22 </w:t>
      </w:r>
      <w:r w:rsidR="008A32DA">
        <w:t>cities/</w:t>
      </w:r>
      <w:r w:rsidRPr="00365EB4">
        <w:t xml:space="preserve">counties </w:t>
      </w:r>
      <w:r w:rsidR="008A32DA">
        <w:t>grew</w:t>
      </w:r>
      <w:r w:rsidRPr="00365EB4">
        <w:t xml:space="preserve"> at an average annual rate of 1% per year to catch </w:t>
      </w:r>
      <w:r w:rsidR="008A32DA">
        <w:t>the</w:t>
      </w:r>
      <w:r w:rsidRPr="00365EB4">
        <w:t xml:space="preserve"> frontier. The highest catch-up index was </w:t>
      </w:r>
      <w:r w:rsidR="008A32DA" w:rsidRPr="00365EB4">
        <w:t xml:space="preserve">in </w:t>
      </w:r>
      <w:proofErr w:type="spellStart"/>
      <w:r w:rsidR="008A32DA" w:rsidRPr="00365EB4">
        <w:t>Hsinchu</w:t>
      </w:r>
      <w:proofErr w:type="spellEnd"/>
      <w:r w:rsidR="008A32DA" w:rsidRPr="00365EB4">
        <w:t xml:space="preserve"> County </w:t>
      </w:r>
      <w:r w:rsidR="008A32DA">
        <w:t>(</w:t>
      </w:r>
      <w:r w:rsidRPr="00365EB4">
        <w:t>3.5%</w:t>
      </w:r>
      <w:r w:rsidR="008A32DA">
        <w:t>)</w:t>
      </w:r>
      <w:r w:rsidRPr="00365EB4">
        <w:t>,</w:t>
      </w:r>
      <w:r w:rsidR="008A32DA">
        <w:t xml:space="preserve"> followed by </w:t>
      </w:r>
      <w:proofErr w:type="spellStart"/>
      <w:r w:rsidR="008A32DA" w:rsidRPr="00365EB4">
        <w:t>Yilan</w:t>
      </w:r>
      <w:proofErr w:type="spellEnd"/>
      <w:r w:rsidR="008A32DA" w:rsidRPr="00365EB4">
        <w:t xml:space="preserve"> County, </w:t>
      </w:r>
      <w:proofErr w:type="spellStart"/>
      <w:r w:rsidR="008A32DA" w:rsidRPr="00365EB4">
        <w:t>Hualien</w:t>
      </w:r>
      <w:proofErr w:type="spellEnd"/>
      <w:r w:rsidR="008A32DA" w:rsidRPr="00365EB4">
        <w:t xml:space="preserve"> County, </w:t>
      </w:r>
      <w:proofErr w:type="spellStart"/>
      <w:r w:rsidR="008A32DA" w:rsidRPr="00365EB4">
        <w:t>Chiayi</w:t>
      </w:r>
      <w:proofErr w:type="spellEnd"/>
      <w:r w:rsidR="008A32DA" w:rsidRPr="00365EB4">
        <w:t xml:space="preserve"> County, </w:t>
      </w:r>
      <w:proofErr w:type="spellStart"/>
      <w:r w:rsidR="008A32DA" w:rsidRPr="00365EB4">
        <w:t>Miaoli</w:t>
      </w:r>
      <w:proofErr w:type="spellEnd"/>
      <w:r w:rsidR="008A32DA" w:rsidRPr="00365EB4">
        <w:t xml:space="preserve"> County, </w:t>
      </w:r>
      <w:proofErr w:type="spellStart"/>
      <w:r w:rsidR="008A32DA" w:rsidRPr="00365EB4">
        <w:t>Taoyuan</w:t>
      </w:r>
      <w:proofErr w:type="spellEnd"/>
      <w:r w:rsidR="008A32DA" w:rsidRPr="00365EB4">
        <w:t xml:space="preserve"> City and </w:t>
      </w:r>
      <w:proofErr w:type="spellStart"/>
      <w:r w:rsidR="008A32DA" w:rsidRPr="00365EB4">
        <w:t>Yilan</w:t>
      </w:r>
      <w:proofErr w:type="spellEnd"/>
      <w:r w:rsidR="008A32DA" w:rsidRPr="00365EB4">
        <w:t xml:space="preserve"> County </w:t>
      </w:r>
      <w:r w:rsidR="008A32DA">
        <w:t>at</w:t>
      </w:r>
      <w:r w:rsidRPr="00365EB4">
        <w:t xml:space="preserve"> more than 2%.</w:t>
      </w:r>
    </w:p>
    <w:p w:rsidR="00040538" w:rsidRPr="00355F71" w:rsidRDefault="008A32DA" w:rsidP="00AE12C3">
      <w:pPr>
        <w:pStyle w:val="Newparagraph"/>
        <w:numPr>
          <w:ilvl w:val="1"/>
          <w:numId w:val="31"/>
        </w:numPr>
        <w:rPr>
          <w:lang w:eastAsia="zh-TW"/>
        </w:rPr>
      </w:pPr>
      <w:r w:rsidRPr="00355F71">
        <w:rPr>
          <w:b/>
        </w:rPr>
        <w:t xml:space="preserve">Changes in medical </w:t>
      </w:r>
      <w:r w:rsidR="001B4494" w:rsidRPr="00355F71">
        <w:rPr>
          <w:b/>
        </w:rPr>
        <w:t xml:space="preserve">service production </w:t>
      </w:r>
      <w:r w:rsidRPr="00355F71">
        <w:rPr>
          <w:b/>
        </w:rPr>
        <w:t>efficiency according to i</w:t>
      </w:r>
      <w:r w:rsidR="001B4494" w:rsidRPr="00355F71">
        <w:rPr>
          <w:b/>
        </w:rPr>
        <w:t>ndustry and innovation</w:t>
      </w:r>
    </w:p>
    <w:p w:rsidR="001B4494" w:rsidRDefault="008A32DA" w:rsidP="00355F71">
      <w:pPr>
        <w:pStyle w:val="Newparagraph"/>
        <w:ind w:firstLine="0"/>
        <w:jc w:val="both"/>
        <w:rPr>
          <w:lang w:eastAsia="zh-TW"/>
        </w:rPr>
      </w:pPr>
      <w:r>
        <w:t>The</w:t>
      </w:r>
      <w:r w:rsidR="001B4494" w:rsidRPr="00365EB4">
        <w:t xml:space="preserve"> catch-up index and the M</w:t>
      </w:r>
      <w:r w:rsidR="00D77EB7">
        <w:t>I</w:t>
      </w:r>
      <w:r w:rsidR="00FF00D7">
        <w:rPr>
          <w:rFonts w:hint="eastAsia"/>
          <w:lang w:eastAsia="zh-TW"/>
        </w:rPr>
        <w:t xml:space="preserve"> </w:t>
      </w:r>
      <w:r>
        <w:t>indicate</w:t>
      </w:r>
      <w:r w:rsidR="00FF00D7">
        <w:rPr>
          <w:rFonts w:hint="eastAsia"/>
          <w:lang w:eastAsia="zh-TW"/>
        </w:rPr>
        <w:t xml:space="preserve"> </w:t>
      </w:r>
      <w:r w:rsidR="001B4494" w:rsidRPr="00365EB4">
        <w:t>movement of the DMU relative to the frontier</w:t>
      </w:r>
      <w:r>
        <w:t>, where</w:t>
      </w:r>
      <w:r w:rsidR="00FF00D7">
        <w:rPr>
          <w:rFonts w:hint="eastAsia"/>
          <w:lang w:eastAsia="zh-TW"/>
        </w:rPr>
        <w:t xml:space="preserve"> </w:t>
      </w:r>
      <w:r>
        <w:t>as</w:t>
      </w:r>
      <w:r w:rsidR="00FF00D7">
        <w:rPr>
          <w:rFonts w:hint="eastAsia"/>
          <w:lang w:eastAsia="zh-TW"/>
        </w:rPr>
        <w:t xml:space="preserve"> </w:t>
      </w:r>
      <w:r w:rsidR="001B4494" w:rsidRPr="00365EB4">
        <w:t>the frontier-shift index represents the movement of the efficiency frontier itself</w:t>
      </w:r>
      <w:r>
        <w:t>. This is determined by the</w:t>
      </w:r>
      <w:r w:rsidR="001B4494" w:rsidRPr="00365EB4">
        <w:t xml:space="preserve"> most efficient DMUs in the study. The </w:t>
      </w:r>
      <w:r w:rsidRPr="00365EB4">
        <w:t xml:space="preserve">frontier </w:t>
      </w:r>
      <w:r>
        <w:t xml:space="preserve">of </w:t>
      </w:r>
      <w:r w:rsidRPr="00365EB4">
        <w:t>change</w:t>
      </w:r>
      <w:r>
        <w:t>s in</w:t>
      </w:r>
      <w:r w:rsidR="00FF00D7">
        <w:rPr>
          <w:rFonts w:hint="eastAsia"/>
          <w:lang w:eastAsia="zh-TW"/>
        </w:rPr>
        <w:t xml:space="preserve"> </w:t>
      </w:r>
      <w:r w:rsidR="001B4494" w:rsidRPr="00365EB4">
        <w:t>technical efficiency is "industry"</w:t>
      </w:r>
      <w:r w:rsidR="00A212AB">
        <w:t xml:space="preserve">, rather than </w:t>
      </w:r>
      <w:r w:rsidR="001B4494" w:rsidRPr="00365EB4">
        <w:t xml:space="preserve">every DMU. Taiwan's administrative region </w:t>
      </w:r>
      <w:r w:rsidR="00A212AB">
        <w:t>comprises</w:t>
      </w:r>
      <w:r w:rsidR="001B4494" w:rsidRPr="00365EB4">
        <w:t xml:space="preserve"> 22 cities</w:t>
      </w:r>
      <w:r w:rsidR="00A212AB">
        <w:t>/</w:t>
      </w:r>
      <w:r w:rsidR="001B4494" w:rsidRPr="00365EB4">
        <w:t xml:space="preserve">counties, </w:t>
      </w:r>
      <w:r w:rsidR="00A212AB">
        <w:t>covering all of</w:t>
      </w:r>
      <w:r w:rsidR="001B4494" w:rsidRPr="00365EB4">
        <w:t xml:space="preserve"> the</w:t>
      </w:r>
      <w:r w:rsidR="00FF00D7">
        <w:rPr>
          <w:rFonts w:hint="eastAsia"/>
          <w:lang w:eastAsia="zh-TW"/>
        </w:rPr>
        <w:t xml:space="preserve"> </w:t>
      </w:r>
      <w:r w:rsidR="001B4494" w:rsidRPr="00365EB4">
        <w:t>variable</w:t>
      </w:r>
      <w:r w:rsidR="001B4494">
        <w:rPr>
          <w:rFonts w:hint="eastAsia"/>
        </w:rPr>
        <w:t>s</w:t>
      </w:r>
      <w:r w:rsidR="001B4494" w:rsidRPr="00365EB4">
        <w:t xml:space="preserve"> in the medical service </w:t>
      </w:r>
      <w:r w:rsidR="001B4494" w:rsidRPr="00365EB4">
        <w:lastRenderedPageBreak/>
        <w:t xml:space="preserve">industry. The efficiency frontier </w:t>
      </w:r>
      <w:r w:rsidR="00A212AB">
        <w:t>refers to the</w:t>
      </w:r>
      <w:r w:rsidR="001B4494" w:rsidRPr="00365EB4">
        <w:t xml:space="preserve"> efficiency </w:t>
      </w:r>
      <w:r w:rsidR="00D77EB7">
        <w:t>of</w:t>
      </w:r>
      <w:r w:rsidR="00FF00D7">
        <w:rPr>
          <w:rFonts w:hint="eastAsia"/>
          <w:lang w:eastAsia="zh-TW"/>
        </w:rPr>
        <w:t xml:space="preserve"> </w:t>
      </w:r>
      <w:r w:rsidR="001B4494" w:rsidRPr="00365EB4">
        <w:t xml:space="preserve">medical </w:t>
      </w:r>
      <w:r w:rsidR="00A212AB" w:rsidRPr="00365EB4">
        <w:t>service</w:t>
      </w:r>
      <w:r w:rsidR="00A212AB">
        <w:t xml:space="preserve"> provision</w:t>
      </w:r>
      <w:r w:rsidR="00FF00D7">
        <w:rPr>
          <w:rFonts w:hint="eastAsia"/>
          <w:lang w:eastAsia="zh-TW"/>
        </w:rPr>
        <w:t xml:space="preserve"> </w:t>
      </w:r>
      <w:r w:rsidR="001B4494" w:rsidRPr="00365EB4">
        <w:t xml:space="preserve">at the industry level. </w:t>
      </w:r>
      <w:r w:rsidR="00A212AB">
        <w:t>In other words</w:t>
      </w:r>
      <w:r w:rsidR="001B4494" w:rsidRPr="00365EB4">
        <w:t xml:space="preserve">, the </w:t>
      </w:r>
      <w:r w:rsidR="00043EA8" w:rsidRPr="00FF00D7">
        <w:t>average frontier shift index</w:t>
      </w:r>
      <w:r w:rsidR="001B4494" w:rsidRPr="00365EB4">
        <w:t xml:space="preserve"> of all counties</w:t>
      </w:r>
      <w:r w:rsidR="00A212AB">
        <w:t>/</w:t>
      </w:r>
      <w:r w:rsidR="001B4494" w:rsidRPr="00365EB4">
        <w:t xml:space="preserve">cities is an appropriate indicator </w:t>
      </w:r>
      <w:r w:rsidR="00A212AB">
        <w:t>by which to evaluate changes in</w:t>
      </w:r>
      <w:r w:rsidR="001B4494" w:rsidRPr="00365EB4">
        <w:t xml:space="preserve"> efficiency at the industry level. </w:t>
      </w:r>
      <w:r w:rsidR="00A212AB">
        <w:t>A</w:t>
      </w:r>
      <w:r w:rsidR="00FF00D7">
        <w:rPr>
          <w:rFonts w:hint="eastAsia"/>
          <w:lang w:eastAsia="zh-TW"/>
        </w:rPr>
        <w:t xml:space="preserve"> </w:t>
      </w:r>
      <w:r w:rsidR="001B4494" w:rsidRPr="00365EB4">
        <w:t xml:space="preserve">frontier shift index &gt; 1 </w:t>
      </w:r>
      <w:r w:rsidR="00A212AB">
        <w:t>indicates</w:t>
      </w:r>
      <w:r w:rsidR="00FF00D7">
        <w:rPr>
          <w:rFonts w:hint="eastAsia"/>
          <w:lang w:eastAsia="zh-TW"/>
        </w:rPr>
        <w:t xml:space="preserve"> </w:t>
      </w:r>
      <w:r w:rsidR="00A212AB">
        <w:t>(forward) movement</w:t>
      </w:r>
      <w:r w:rsidR="001B4494" w:rsidRPr="00365EB4">
        <w:t xml:space="preserve"> in the direction of fewer </w:t>
      </w:r>
      <w:r w:rsidR="00A212AB" w:rsidRPr="00365EB4">
        <w:t>medical s</w:t>
      </w:r>
      <w:r w:rsidR="00A212AB">
        <w:t>ervice</w:t>
      </w:r>
      <w:r w:rsidR="00FF00D7">
        <w:rPr>
          <w:rFonts w:hint="eastAsia"/>
          <w:lang w:eastAsia="zh-TW"/>
        </w:rPr>
        <w:t xml:space="preserve"> </w:t>
      </w:r>
      <w:r w:rsidR="001B4494" w:rsidRPr="00365EB4">
        <w:t>inputs and more outputs</w:t>
      </w:r>
      <w:r w:rsidR="00A212AB">
        <w:t>. It is also indicative of</w:t>
      </w:r>
      <w:r w:rsidR="00FF00D7">
        <w:rPr>
          <w:rFonts w:hint="eastAsia"/>
          <w:lang w:eastAsia="zh-TW"/>
        </w:rPr>
        <w:t xml:space="preserve"> </w:t>
      </w:r>
      <w:r w:rsidR="001B4494" w:rsidRPr="00365EB4">
        <w:t xml:space="preserve">industry </w:t>
      </w:r>
      <w:r w:rsidR="001B4494" w:rsidRPr="000675DF">
        <w:rPr>
          <w:noProof/>
        </w:rPr>
        <w:t>innovation</w:t>
      </w:r>
      <w:r w:rsidR="001B4494" w:rsidRPr="00365EB4">
        <w:t xml:space="preserve"> or significant </w:t>
      </w:r>
      <w:r w:rsidR="00A212AB" w:rsidRPr="00365EB4">
        <w:t>change</w:t>
      </w:r>
      <w:r w:rsidR="00A212AB">
        <w:t>s in</w:t>
      </w:r>
      <w:r w:rsidR="00FF00D7">
        <w:rPr>
          <w:rFonts w:hint="eastAsia"/>
          <w:lang w:eastAsia="zh-TW"/>
        </w:rPr>
        <w:t xml:space="preserve"> </w:t>
      </w:r>
      <w:r w:rsidR="001B4494" w:rsidRPr="00365EB4">
        <w:t xml:space="preserve">technique. </w:t>
      </w:r>
      <w:r w:rsidR="00A212AB">
        <w:t>As shown in</w:t>
      </w:r>
      <w:r w:rsidR="00FF00D7">
        <w:rPr>
          <w:rFonts w:hint="eastAsia"/>
          <w:lang w:eastAsia="zh-TW"/>
        </w:rPr>
        <w:t xml:space="preserve"> </w:t>
      </w:r>
      <w:r w:rsidR="001B4494" w:rsidRPr="00365EB4">
        <w:t xml:space="preserve">Table </w:t>
      </w:r>
      <w:r w:rsidR="001B4494">
        <w:rPr>
          <w:rFonts w:hint="eastAsia"/>
        </w:rPr>
        <w:t>6</w:t>
      </w:r>
      <w:r w:rsidR="001B4494" w:rsidRPr="00365EB4">
        <w:t xml:space="preserve">, we found that </w:t>
      </w:r>
      <w:r w:rsidR="00A212AB">
        <w:t>an</w:t>
      </w:r>
      <w:r w:rsidR="00FF00D7">
        <w:rPr>
          <w:rFonts w:hint="eastAsia"/>
          <w:lang w:eastAsia="zh-TW"/>
        </w:rPr>
        <w:t xml:space="preserve"> </w:t>
      </w:r>
      <w:r w:rsidR="001B4494" w:rsidRPr="00365EB4">
        <w:t xml:space="preserve">annual change </w:t>
      </w:r>
      <w:r w:rsidR="00A212AB">
        <w:t>of</w:t>
      </w:r>
      <w:r w:rsidR="001B4494" w:rsidRPr="00365EB4">
        <w:t xml:space="preserve"> 0.978 </w:t>
      </w:r>
      <w:r w:rsidR="00A212AB">
        <w:t>in</w:t>
      </w:r>
      <w:r w:rsidR="00FF00D7">
        <w:rPr>
          <w:rFonts w:hint="eastAsia"/>
          <w:lang w:eastAsia="zh-TW"/>
        </w:rPr>
        <w:t xml:space="preserve"> </w:t>
      </w:r>
      <w:r w:rsidR="001B4494" w:rsidRPr="00365EB4">
        <w:t xml:space="preserve">the frontier shift index means </w:t>
      </w:r>
      <w:r w:rsidR="00A212AB">
        <w:t>changes in the</w:t>
      </w:r>
      <w:r w:rsidR="001B4494" w:rsidRPr="00365EB4">
        <w:t xml:space="preserve"> efficiency </w:t>
      </w:r>
      <w:r w:rsidR="00A212AB">
        <w:t>of</w:t>
      </w:r>
      <w:r w:rsidR="001B4494" w:rsidRPr="00365EB4">
        <w:t xml:space="preserve"> medical </w:t>
      </w:r>
      <w:r w:rsidR="00A212AB" w:rsidRPr="00365EB4">
        <w:t>service</w:t>
      </w:r>
      <w:r w:rsidR="00A212AB">
        <w:t xml:space="preserve"> provision</w:t>
      </w:r>
      <w:r w:rsidR="00FF00D7">
        <w:rPr>
          <w:rFonts w:hint="eastAsia"/>
          <w:lang w:eastAsia="zh-TW"/>
        </w:rPr>
        <w:t xml:space="preserve"> </w:t>
      </w:r>
      <w:r w:rsidR="00A212AB" w:rsidRPr="00365EB4">
        <w:t>deteriorate</w:t>
      </w:r>
      <w:r w:rsidR="00A212AB">
        <w:t>d</w:t>
      </w:r>
      <w:r w:rsidR="00FF00D7">
        <w:rPr>
          <w:rFonts w:hint="eastAsia"/>
          <w:lang w:eastAsia="zh-TW"/>
        </w:rPr>
        <w:t xml:space="preserve"> </w:t>
      </w:r>
      <w:r w:rsidR="001B4494" w:rsidRPr="00365EB4">
        <w:t xml:space="preserve">at an annual rate of 2.2% during the study </w:t>
      </w:r>
      <w:r w:rsidR="00A212AB">
        <w:t>period</w:t>
      </w:r>
      <w:r w:rsidR="00FF00D7">
        <w:rPr>
          <w:rFonts w:hint="eastAsia"/>
          <w:lang w:eastAsia="zh-TW"/>
        </w:rPr>
        <w:t xml:space="preserve"> </w:t>
      </w:r>
      <w:r w:rsidR="001B4494" w:rsidRPr="00365EB4">
        <w:t xml:space="preserve">(2005-2014). </w:t>
      </w:r>
      <w:r w:rsidR="00A212AB">
        <w:t>In other words</w:t>
      </w:r>
      <w:r w:rsidR="001B4494" w:rsidRPr="00365EB4">
        <w:t>, the medical service efficiency bound</w:t>
      </w:r>
      <w:r w:rsidR="001B4494">
        <w:t>a</w:t>
      </w:r>
      <w:r w:rsidR="001B4494" w:rsidRPr="00365EB4">
        <w:t xml:space="preserve">ry at the industry level moved </w:t>
      </w:r>
      <w:r w:rsidR="001B4494" w:rsidRPr="000675DF">
        <w:rPr>
          <w:noProof/>
        </w:rPr>
        <w:t>backward</w:t>
      </w:r>
      <w:r w:rsidR="001B4494" w:rsidRPr="00365EB4">
        <w:t>.</w:t>
      </w:r>
    </w:p>
    <w:p w:rsidR="002C73D8" w:rsidRDefault="002C73D8" w:rsidP="00355F71">
      <w:pPr>
        <w:pStyle w:val="Newparagraph"/>
        <w:ind w:firstLine="0"/>
        <w:jc w:val="both"/>
        <w:rPr>
          <w:lang w:eastAsia="zh-TW"/>
        </w:rPr>
      </w:pPr>
      <w:r w:rsidRPr="00365EB4">
        <w:t>From Table</w:t>
      </w:r>
      <w:r w:rsidR="00D77EB7">
        <w:t>s</w:t>
      </w:r>
      <w:r w:rsidR="00FF00D7">
        <w:rPr>
          <w:rFonts w:hint="eastAsia"/>
          <w:lang w:eastAsia="zh-TW"/>
        </w:rPr>
        <w:t xml:space="preserve"> </w:t>
      </w:r>
      <w:r>
        <w:rPr>
          <w:rFonts w:hint="eastAsia"/>
        </w:rPr>
        <w:t>4</w:t>
      </w:r>
      <w:r w:rsidRPr="00365EB4">
        <w:t>-</w:t>
      </w:r>
      <w:r>
        <w:rPr>
          <w:rFonts w:hint="eastAsia"/>
        </w:rPr>
        <w:t>6</w:t>
      </w:r>
      <w:r w:rsidRPr="00365EB4">
        <w:t xml:space="preserve">, we can plot the three indices for each county. </w:t>
      </w:r>
      <w:r w:rsidR="00A212AB">
        <w:t>T</w:t>
      </w:r>
      <w:r w:rsidRPr="00365EB4">
        <w:t xml:space="preserve">ake </w:t>
      </w:r>
      <w:proofErr w:type="spellStart"/>
      <w:r w:rsidRPr="00365EB4">
        <w:t>Hsinchu</w:t>
      </w:r>
      <w:proofErr w:type="spellEnd"/>
      <w:r w:rsidRPr="00365EB4">
        <w:t xml:space="preserve"> County as an example (Figure </w:t>
      </w:r>
      <w:r>
        <w:rPr>
          <w:rFonts w:hint="eastAsia"/>
        </w:rPr>
        <w:t>1</w:t>
      </w:r>
      <w:r w:rsidRPr="00365EB4">
        <w:t xml:space="preserve">). </w:t>
      </w:r>
      <w:proofErr w:type="spellStart"/>
      <w:r w:rsidRPr="00365EB4">
        <w:t>Hsinchu</w:t>
      </w:r>
      <w:proofErr w:type="spellEnd"/>
      <w:r w:rsidRPr="00365EB4">
        <w:t xml:space="preserve"> County is the only county </w:t>
      </w:r>
      <w:r w:rsidR="00A212AB">
        <w:t>with a</w:t>
      </w:r>
      <w:r w:rsidRPr="00365EB4">
        <w:t xml:space="preserve"> catch-up index </w:t>
      </w:r>
      <w:r w:rsidR="00A212AB">
        <w:t>&gt;</w:t>
      </w:r>
      <w:r w:rsidRPr="00365EB4">
        <w:t xml:space="preserve"> 1. </w:t>
      </w:r>
      <w:r w:rsidR="00A212AB">
        <w:t>This</w:t>
      </w:r>
      <w:r w:rsidR="00FF00D7">
        <w:rPr>
          <w:rFonts w:hint="eastAsia"/>
          <w:lang w:eastAsia="zh-TW"/>
        </w:rPr>
        <w:t xml:space="preserve"> </w:t>
      </w:r>
      <w:r w:rsidRPr="00365EB4">
        <w:t xml:space="preserve">means that </w:t>
      </w:r>
      <w:proofErr w:type="spellStart"/>
      <w:r w:rsidRPr="00365EB4">
        <w:t>Hsinchu</w:t>
      </w:r>
      <w:proofErr w:type="spellEnd"/>
      <w:r w:rsidRPr="00365EB4">
        <w:t xml:space="preserve"> County has </w:t>
      </w:r>
      <w:r w:rsidR="00A212AB">
        <w:t>been able to catch up with</w:t>
      </w:r>
      <w:r w:rsidRPr="00365EB4">
        <w:t xml:space="preserve"> the efficiency frontier since 2005. </w:t>
      </w:r>
      <w:r w:rsidR="00A212AB">
        <w:t>Since</w:t>
      </w:r>
      <w:r w:rsidRPr="00365EB4">
        <w:t xml:space="preserve">2011, the catch-up index </w:t>
      </w:r>
      <w:r w:rsidR="00A212AB">
        <w:t>has not</w:t>
      </w:r>
      <w:r w:rsidRPr="00365EB4">
        <w:t xml:space="preserve"> changed. </w:t>
      </w:r>
      <w:r w:rsidR="00A212AB">
        <w:t>The</w:t>
      </w:r>
      <w:r w:rsidRPr="00365EB4">
        <w:t xml:space="preserve"> </w:t>
      </w:r>
      <w:proofErr w:type="spellStart"/>
      <w:r w:rsidRPr="00365EB4">
        <w:t>Malmquist</w:t>
      </w:r>
      <w:proofErr w:type="spellEnd"/>
      <w:r w:rsidRPr="00365EB4">
        <w:t xml:space="preserve"> index moved synchronously with the efficiency frontier. In the medical service industry, </w:t>
      </w:r>
      <w:r w:rsidR="005A27A8" w:rsidRPr="00365EB4">
        <w:t>change</w:t>
      </w:r>
      <w:r w:rsidR="005A27A8">
        <w:t>s in</w:t>
      </w:r>
      <w:r w:rsidR="00FF00D7">
        <w:rPr>
          <w:rFonts w:hint="eastAsia"/>
          <w:lang w:eastAsia="zh-TW"/>
        </w:rPr>
        <w:t xml:space="preserve"> </w:t>
      </w:r>
      <w:r w:rsidRPr="00365EB4">
        <w:t xml:space="preserve">technical efficiency </w:t>
      </w:r>
      <w:r w:rsidR="005A27A8">
        <w:t xml:space="preserve">are </w:t>
      </w:r>
      <w:r w:rsidRPr="00365EB4">
        <w:t>correlate</w:t>
      </w:r>
      <w:r w:rsidR="005A27A8">
        <w:t>d with</w:t>
      </w:r>
      <w:r w:rsidRPr="00365EB4">
        <w:t xml:space="preserve"> input and output factors. In our study, the inputs </w:t>
      </w:r>
      <w:r w:rsidR="005A27A8">
        <w:t>include</w:t>
      </w:r>
      <w:r w:rsidR="00FF00D7">
        <w:rPr>
          <w:rFonts w:hint="eastAsia"/>
          <w:lang w:eastAsia="zh-TW"/>
        </w:rPr>
        <w:t xml:space="preserve"> </w:t>
      </w:r>
      <w:r w:rsidRPr="00365EB4">
        <w:t xml:space="preserve">the number of medical staff and the number of </w:t>
      </w:r>
      <w:r w:rsidRPr="000675DF">
        <w:rPr>
          <w:noProof/>
        </w:rPr>
        <w:t>beds</w:t>
      </w:r>
      <w:r w:rsidR="005A27A8">
        <w:t>. The</w:t>
      </w:r>
      <w:r w:rsidR="00FF00D7">
        <w:rPr>
          <w:rFonts w:hint="eastAsia"/>
          <w:lang w:eastAsia="zh-TW"/>
        </w:rPr>
        <w:t xml:space="preserve"> </w:t>
      </w:r>
      <w:r w:rsidRPr="00365EB4">
        <w:t xml:space="preserve">output items </w:t>
      </w:r>
      <w:r w:rsidRPr="000675DF">
        <w:rPr>
          <w:noProof/>
        </w:rPr>
        <w:t>are</w:t>
      </w:r>
      <w:r w:rsidRPr="00365EB4">
        <w:t xml:space="preserve"> the number of outpatient visits and the number of hospitalizations. </w:t>
      </w:r>
      <w:r w:rsidR="009C522E">
        <w:t>As a result,</w:t>
      </w:r>
      <w:r w:rsidR="00FF00D7">
        <w:rPr>
          <w:rFonts w:hint="eastAsia"/>
          <w:lang w:eastAsia="zh-TW"/>
        </w:rPr>
        <w:t xml:space="preserve"> </w:t>
      </w:r>
      <w:r w:rsidR="009C522E" w:rsidRPr="00365EB4">
        <w:t>change</w:t>
      </w:r>
      <w:r w:rsidR="009C522E">
        <w:t>s in</w:t>
      </w:r>
      <w:r w:rsidR="00FF00D7">
        <w:rPr>
          <w:rFonts w:hint="eastAsia"/>
          <w:lang w:eastAsia="zh-TW"/>
        </w:rPr>
        <w:t xml:space="preserve"> </w:t>
      </w:r>
      <w:r w:rsidRPr="00365EB4">
        <w:t xml:space="preserve">technical efficiency </w:t>
      </w:r>
      <w:r w:rsidR="009C522E">
        <w:t>are due to the effectiveness with which</w:t>
      </w:r>
      <w:r w:rsidRPr="00365EB4">
        <w:t xml:space="preserve"> medical staff and beds </w:t>
      </w:r>
      <w:r w:rsidR="009C522E">
        <w:t xml:space="preserve">are managed, </w:t>
      </w:r>
      <w:r w:rsidRPr="00365EB4">
        <w:t xml:space="preserve">including downsizing the number of the medical staff and beds, </w:t>
      </w:r>
      <w:r w:rsidRPr="00365EB4">
        <w:lastRenderedPageBreak/>
        <w:t>improving allocation</w:t>
      </w:r>
      <w:r w:rsidR="009C522E">
        <w:t>,</w:t>
      </w:r>
      <w:r w:rsidR="00FF00D7">
        <w:rPr>
          <w:rFonts w:hint="eastAsia"/>
          <w:lang w:eastAsia="zh-TW"/>
        </w:rPr>
        <w:t xml:space="preserve"> </w:t>
      </w:r>
      <w:r w:rsidR="009C522E">
        <w:t>and/</w:t>
      </w:r>
      <w:r w:rsidRPr="00365EB4">
        <w:t>or increasing</w:t>
      </w:r>
      <w:r w:rsidR="00FF00D7">
        <w:rPr>
          <w:rFonts w:hint="eastAsia"/>
          <w:lang w:eastAsia="zh-TW"/>
        </w:rPr>
        <w:t xml:space="preserve"> </w:t>
      </w:r>
      <w:r w:rsidRPr="000675DF">
        <w:rPr>
          <w:noProof/>
        </w:rPr>
        <w:t>turnover</w:t>
      </w:r>
      <w:r w:rsidR="00FF00D7">
        <w:rPr>
          <w:rFonts w:hint="eastAsia"/>
          <w:noProof/>
          <w:lang w:eastAsia="zh-TW"/>
        </w:rPr>
        <w:t xml:space="preserve"> </w:t>
      </w:r>
      <w:r w:rsidR="009C522E">
        <w:t>in the use of beds</w:t>
      </w:r>
      <w:r w:rsidRPr="00365EB4">
        <w:t xml:space="preserve">. Technique change (frontier-shift effect) </w:t>
      </w:r>
      <w:r w:rsidR="009C522E">
        <w:t>is indicative of</w:t>
      </w:r>
      <w:r w:rsidR="00FF00D7">
        <w:rPr>
          <w:rFonts w:hint="eastAsia"/>
          <w:lang w:eastAsia="zh-TW"/>
        </w:rPr>
        <w:t xml:space="preserve"> </w:t>
      </w:r>
      <w:r w:rsidR="009C522E" w:rsidRPr="00365EB4">
        <w:t>innovation</w:t>
      </w:r>
      <w:r w:rsidR="009C522E">
        <w:t>s in</w:t>
      </w:r>
      <w:r w:rsidR="00FF00D7">
        <w:rPr>
          <w:rFonts w:hint="eastAsia"/>
          <w:lang w:eastAsia="zh-TW"/>
        </w:rPr>
        <w:t xml:space="preserve"> </w:t>
      </w:r>
      <w:r w:rsidRPr="00365EB4">
        <w:t xml:space="preserve">medical technology. </w:t>
      </w:r>
      <w:r w:rsidR="009C522E">
        <w:t>This makes it possible to use</w:t>
      </w:r>
      <w:r w:rsidR="009C522E" w:rsidRPr="00365EB4">
        <w:t xml:space="preserve"> time-varying indices</w:t>
      </w:r>
      <w:r w:rsidR="009C522E">
        <w:t xml:space="preserve"> to</w:t>
      </w:r>
      <w:r w:rsidR="00FF00D7">
        <w:rPr>
          <w:rFonts w:hint="eastAsia"/>
          <w:lang w:eastAsia="zh-TW"/>
        </w:rPr>
        <w:t xml:space="preserve"> </w:t>
      </w:r>
      <w:r w:rsidR="009C522E">
        <w:t>provide a</w:t>
      </w:r>
      <w:r w:rsidR="00FF00D7">
        <w:rPr>
          <w:rFonts w:hint="eastAsia"/>
          <w:lang w:eastAsia="zh-TW"/>
        </w:rPr>
        <w:t xml:space="preserve"> </w:t>
      </w:r>
      <w:r w:rsidR="009C522E" w:rsidRPr="00365EB4">
        <w:t>quantitative</w:t>
      </w:r>
      <w:r w:rsidR="009C522E">
        <w:t xml:space="preserve"> illustration of</w:t>
      </w:r>
      <w:r w:rsidR="00FF00D7">
        <w:rPr>
          <w:rFonts w:hint="eastAsia"/>
          <w:lang w:eastAsia="zh-TW"/>
        </w:rPr>
        <w:t xml:space="preserve"> </w:t>
      </w:r>
      <w:r w:rsidR="009C522E">
        <w:t>the means by which</w:t>
      </w:r>
      <w:r w:rsidRPr="00365EB4">
        <w:t xml:space="preserve"> medical service productivity changes.</w:t>
      </w:r>
    </w:p>
    <w:p w:rsidR="001B4494" w:rsidRPr="001B4494" w:rsidRDefault="001B4494" w:rsidP="00355F71">
      <w:pPr>
        <w:pStyle w:val="Newparagraph"/>
        <w:ind w:firstLine="0"/>
        <w:jc w:val="both"/>
        <w:rPr>
          <w:lang w:eastAsia="zh-TW"/>
        </w:rPr>
      </w:pPr>
      <w:r w:rsidRPr="00365EB4">
        <w:t>Fig</w:t>
      </w:r>
      <w:r w:rsidR="00526C85">
        <w:rPr>
          <w:rFonts w:hint="eastAsia"/>
          <w:lang w:eastAsia="zh-TW"/>
        </w:rPr>
        <w:t>ure</w:t>
      </w:r>
      <w:r>
        <w:rPr>
          <w:rFonts w:hint="eastAsia"/>
        </w:rPr>
        <w:t>2</w:t>
      </w:r>
      <w:r w:rsidRPr="00365EB4">
        <w:t xml:space="preserve"> is a graph </w:t>
      </w:r>
      <w:r w:rsidR="009C522E">
        <w:t>illustrating the</w:t>
      </w:r>
      <w:r w:rsidRPr="00365EB4">
        <w:t xml:space="preserve"> average frontier shift index </w:t>
      </w:r>
      <w:r w:rsidR="009C522E">
        <w:t>in T</w:t>
      </w:r>
      <w:r w:rsidRPr="00365EB4">
        <w:t xml:space="preserve">able </w:t>
      </w:r>
      <w:r>
        <w:rPr>
          <w:rFonts w:hint="eastAsia"/>
        </w:rPr>
        <w:t>6</w:t>
      </w:r>
      <w:r w:rsidRPr="00365EB4">
        <w:t xml:space="preserve">. </w:t>
      </w:r>
      <w:r w:rsidR="009C522E">
        <w:t>The results</w:t>
      </w:r>
      <w:r w:rsidR="00FF00D7">
        <w:rPr>
          <w:rFonts w:hint="eastAsia"/>
          <w:lang w:eastAsia="zh-TW"/>
        </w:rPr>
        <w:t xml:space="preserve"> </w:t>
      </w:r>
      <w:r w:rsidRPr="00365EB4">
        <w:t xml:space="preserve">show that technique change </w:t>
      </w:r>
      <w:r w:rsidR="009C522E" w:rsidRPr="00365EB4">
        <w:t xml:space="preserve">increased </w:t>
      </w:r>
      <w:r w:rsidRPr="00365EB4">
        <w:t xml:space="preserve">initially </w:t>
      </w:r>
      <w:r w:rsidR="009C522E">
        <w:t xml:space="preserve">but </w:t>
      </w:r>
      <w:r w:rsidRPr="00365EB4">
        <w:t xml:space="preserve">eventually fell to 0.978. </w:t>
      </w:r>
      <w:r w:rsidR="009C522E">
        <w:t>It should be noted</w:t>
      </w:r>
      <w:r w:rsidRPr="00365EB4">
        <w:t xml:space="preserve"> that productivity </w:t>
      </w:r>
      <w:r w:rsidR="009C522E">
        <w:t>was</w:t>
      </w:r>
      <w:r w:rsidRPr="00365EB4">
        <w:t xml:space="preserve"> declining </w:t>
      </w:r>
      <w:r w:rsidR="009C522E">
        <w:t>throughout the entire</w:t>
      </w:r>
      <w:r w:rsidRPr="00365EB4">
        <w:t xml:space="preserve"> decade</w:t>
      </w:r>
      <w:r w:rsidR="009C522E">
        <w:t>; i.e., the</w:t>
      </w:r>
      <w:r w:rsidRPr="00365EB4">
        <w:t xml:space="preserve"> average frontier-shift index </w:t>
      </w:r>
      <w:r w:rsidR="009C522E">
        <w:t>has been dropping for nearly</w:t>
      </w:r>
      <w:r w:rsidRPr="00365EB4">
        <w:t xml:space="preserve"> ten years. </w:t>
      </w:r>
      <w:r w:rsidR="009C522E">
        <w:t xml:space="preserve">The </w:t>
      </w:r>
      <w:r w:rsidR="009C522E" w:rsidRPr="00365EB4">
        <w:t xml:space="preserve">FS index </w:t>
      </w:r>
      <w:r w:rsidR="009C522E">
        <w:t xml:space="preserve">of </w:t>
      </w:r>
      <w:proofErr w:type="spellStart"/>
      <w:r w:rsidRPr="00365EB4">
        <w:t>Kinmen</w:t>
      </w:r>
      <w:proofErr w:type="spellEnd"/>
      <w:r w:rsidRPr="00365EB4">
        <w:t xml:space="preserve"> County</w:t>
      </w:r>
      <w:r w:rsidR="009C522E">
        <w:t xml:space="preserve"> (</w:t>
      </w:r>
      <w:r w:rsidR="009C522E" w:rsidRPr="00365EB4">
        <w:t>1.043%</w:t>
      </w:r>
      <w:r w:rsidR="009C522E">
        <w:t>)</w:t>
      </w:r>
      <w:r w:rsidR="00FF00D7">
        <w:rPr>
          <w:rFonts w:hint="eastAsia"/>
          <w:lang w:eastAsia="zh-TW"/>
        </w:rPr>
        <w:t xml:space="preserve"> </w:t>
      </w:r>
      <w:r w:rsidR="009C522E">
        <w:t>presented the</w:t>
      </w:r>
      <w:r w:rsidRPr="00365EB4">
        <w:t xml:space="preserve"> best annual </w:t>
      </w:r>
      <w:r w:rsidR="009C522E" w:rsidRPr="00365EB4">
        <w:t>rate</w:t>
      </w:r>
      <w:r w:rsidR="009C522E">
        <w:t xml:space="preserve"> of</w:t>
      </w:r>
      <w:r w:rsidR="00FF00D7">
        <w:rPr>
          <w:rFonts w:hint="eastAsia"/>
          <w:lang w:eastAsia="zh-TW"/>
        </w:rPr>
        <w:t xml:space="preserve"> </w:t>
      </w:r>
      <w:r w:rsidRPr="00365EB4">
        <w:t xml:space="preserve">change. </w:t>
      </w:r>
      <w:r w:rsidR="009C522E">
        <w:t>Nonetheless</w:t>
      </w:r>
      <w:r w:rsidRPr="00365EB4">
        <w:t xml:space="preserve">, there were still 3 years of negative growth </w:t>
      </w:r>
      <w:r w:rsidR="009C522E">
        <w:t>during that period</w:t>
      </w:r>
      <w:r w:rsidRPr="00365EB4">
        <w:t xml:space="preserve">. </w:t>
      </w:r>
      <w:r w:rsidR="00043EA8" w:rsidRPr="00FF00D7">
        <w:t xml:space="preserve">It is also noteworthy that </w:t>
      </w:r>
      <w:proofErr w:type="spellStart"/>
      <w:r w:rsidR="00043EA8" w:rsidRPr="00FF00D7">
        <w:t>Kinmen</w:t>
      </w:r>
      <w:proofErr w:type="spellEnd"/>
      <w:r w:rsidR="00043EA8" w:rsidRPr="00FF00D7">
        <w:t xml:space="preserve"> County </w:t>
      </w:r>
      <w:r w:rsidR="00043EA8" w:rsidRPr="00FF00D7">
        <w:rPr>
          <w:noProof/>
        </w:rPr>
        <w:t>lacks</w:t>
      </w:r>
      <w:r w:rsidR="00D01520">
        <w:rPr>
          <w:rFonts w:hint="eastAsia"/>
          <w:noProof/>
          <w:lang w:eastAsia="zh-TW"/>
        </w:rPr>
        <w:t xml:space="preserve"> </w:t>
      </w:r>
      <w:r w:rsidR="00043EA8" w:rsidRPr="00FF00D7">
        <w:t>medical resource</w:t>
      </w:r>
      <w:r w:rsidR="00D77EB7" w:rsidRPr="00FF00D7">
        <w:t>s</w:t>
      </w:r>
      <w:r w:rsidR="00043EA8" w:rsidRPr="00FF00D7">
        <w:t>, which means that additional</w:t>
      </w:r>
      <w:r w:rsidR="00D01520">
        <w:rPr>
          <w:rFonts w:hint="eastAsia"/>
          <w:lang w:eastAsia="zh-TW"/>
        </w:rPr>
        <w:t xml:space="preserve"> </w:t>
      </w:r>
      <w:r w:rsidR="00043EA8" w:rsidRPr="00FF00D7">
        <w:t>output must be generated despite limited manpower and hospital beds.</w:t>
      </w:r>
    </w:p>
    <w:p w:rsidR="00FE3287" w:rsidRPr="00355F71" w:rsidRDefault="00FE3287" w:rsidP="00AE12C3">
      <w:pPr>
        <w:pStyle w:val="Paragraph"/>
        <w:numPr>
          <w:ilvl w:val="0"/>
          <w:numId w:val="31"/>
        </w:numPr>
        <w:rPr>
          <w:b/>
          <w:sz w:val="28"/>
          <w:szCs w:val="28"/>
          <w:lang w:eastAsia="zh-TW"/>
        </w:rPr>
      </w:pPr>
      <w:r w:rsidRPr="00355F71">
        <w:rPr>
          <w:b/>
          <w:sz w:val="28"/>
          <w:szCs w:val="28"/>
        </w:rPr>
        <w:t>Conclusions</w:t>
      </w:r>
    </w:p>
    <w:p w:rsidR="00FE3287" w:rsidRPr="00365EB4" w:rsidRDefault="00FE3287" w:rsidP="00355F71">
      <w:pPr>
        <w:jc w:val="both"/>
      </w:pPr>
      <w:r w:rsidRPr="00365EB4">
        <w:t xml:space="preserve">This study </w:t>
      </w:r>
      <w:r w:rsidR="009C522E">
        <w:t>uses a</w:t>
      </w:r>
      <w:r w:rsidRPr="00365EB4">
        <w:t xml:space="preserve"> DEA/M</w:t>
      </w:r>
      <w:r w:rsidR="00D77EB7">
        <w:t>I</w:t>
      </w:r>
      <w:r w:rsidRPr="00365EB4">
        <w:t xml:space="preserve"> method to measure change </w:t>
      </w:r>
      <w:r w:rsidR="009C522E">
        <w:rPr>
          <w:noProof/>
        </w:rPr>
        <w:t>in</w:t>
      </w:r>
      <w:r w:rsidR="00234178">
        <w:rPr>
          <w:rFonts w:hint="eastAsia"/>
          <w:noProof/>
          <w:lang w:eastAsia="zh-TW"/>
        </w:rPr>
        <w:t xml:space="preserve"> </w:t>
      </w:r>
      <w:r w:rsidRPr="00365EB4">
        <w:t xml:space="preserve">total factor productivity in </w:t>
      </w:r>
      <w:r w:rsidR="009C522E">
        <w:t xml:space="preserve">the </w:t>
      </w:r>
      <w:r w:rsidR="009C522E" w:rsidRPr="00365EB4">
        <w:t xml:space="preserve">medical service industry </w:t>
      </w:r>
      <w:r w:rsidR="009C522E">
        <w:t xml:space="preserve">of </w:t>
      </w:r>
      <w:r w:rsidRPr="00365EB4">
        <w:t>Taiwan. Decomposing the M</w:t>
      </w:r>
      <w:r w:rsidR="00D77EB7">
        <w:t>I</w:t>
      </w:r>
      <w:r w:rsidRPr="00365EB4">
        <w:t xml:space="preserve"> into </w:t>
      </w:r>
      <w:r w:rsidR="009C522E" w:rsidRPr="00365EB4">
        <w:t>change</w:t>
      </w:r>
      <w:r w:rsidR="009C522E">
        <w:t>s in</w:t>
      </w:r>
      <w:r w:rsidR="00D01520">
        <w:rPr>
          <w:rFonts w:hint="eastAsia"/>
          <w:lang w:eastAsia="zh-TW"/>
        </w:rPr>
        <w:t xml:space="preserve"> </w:t>
      </w:r>
      <w:r w:rsidRPr="00365EB4">
        <w:t>technical efficiency and technique</w:t>
      </w:r>
      <w:r w:rsidR="009C522E">
        <w:t xml:space="preserve"> revealed a </w:t>
      </w:r>
      <w:r w:rsidR="00D77EB7">
        <w:t>gradual</w:t>
      </w:r>
      <w:r w:rsidR="00D01520">
        <w:rPr>
          <w:rFonts w:hint="eastAsia"/>
          <w:lang w:eastAsia="zh-TW"/>
        </w:rPr>
        <w:t xml:space="preserve"> </w:t>
      </w:r>
      <w:r w:rsidR="009C522E">
        <w:t>improvement in</w:t>
      </w:r>
      <w:r w:rsidRPr="00365EB4">
        <w:t xml:space="preserve"> technical efficiency </w:t>
      </w:r>
      <w:r w:rsidR="009C522E">
        <w:t>and a gradual drop in</w:t>
      </w:r>
      <w:r w:rsidRPr="00365EB4">
        <w:t xml:space="preserve"> technique change (or innovation). TFP </w:t>
      </w:r>
      <w:r w:rsidR="009C522E">
        <w:t>was also shown to</w:t>
      </w:r>
      <w:r w:rsidR="00D01520">
        <w:rPr>
          <w:rFonts w:hint="eastAsia"/>
          <w:lang w:eastAsia="zh-TW"/>
        </w:rPr>
        <w:t xml:space="preserve"> </w:t>
      </w:r>
      <w:r w:rsidR="009C522E">
        <w:t>decline</w:t>
      </w:r>
      <w:r w:rsidRPr="00365EB4">
        <w:t xml:space="preserve"> during </w:t>
      </w:r>
      <w:r w:rsidR="009C522E">
        <w:t>that period</w:t>
      </w:r>
      <w:r w:rsidRPr="00365EB4">
        <w:t xml:space="preserve">. </w:t>
      </w:r>
      <w:r w:rsidR="009C522E">
        <w:t>Based on the</w:t>
      </w:r>
      <w:r w:rsidRPr="00365EB4">
        <w:t xml:space="preserve"> frontier shift, we quantitatively show time-series changes in production efficiency at the industry level. Among the </w:t>
      </w:r>
      <w:r w:rsidR="00D77EB7">
        <w:t>22</w:t>
      </w:r>
      <w:r w:rsidRPr="00365EB4">
        <w:t xml:space="preserve"> counties</w:t>
      </w:r>
      <w:r w:rsidR="009C522E">
        <w:t>/</w:t>
      </w:r>
      <w:r w:rsidRPr="00365EB4">
        <w:t>cities</w:t>
      </w:r>
      <w:r w:rsidR="009C522E">
        <w:t xml:space="preserve"> in this study</w:t>
      </w:r>
      <w:r w:rsidRPr="00365EB4">
        <w:t xml:space="preserve">, </w:t>
      </w:r>
      <w:r w:rsidR="00B717AE" w:rsidRPr="00365EB4">
        <w:t xml:space="preserve">only </w:t>
      </w:r>
      <w:proofErr w:type="spellStart"/>
      <w:r w:rsidR="00B717AE" w:rsidRPr="00365EB4">
        <w:t>Kinmen</w:t>
      </w:r>
      <w:proofErr w:type="spellEnd"/>
      <w:r w:rsidR="00B717AE" w:rsidRPr="00365EB4">
        <w:t xml:space="preserve"> County and Penghu County </w:t>
      </w:r>
      <w:r w:rsidR="00B717AE">
        <w:t>presented</w:t>
      </w:r>
      <w:r w:rsidR="00D01520">
        <w:rPr>
          <w:rFonts w:hint="eastAsia"/>
          <w:lang w:eastAsia="zh-TW"/>
        </w:rPr>
        <w:t xml:space="preserve"> </w:t>
      </w:r>
      <w:r w:rsidR="00B717AE">
        <w:t xml:space="preserve">an </w:t>
      </w:r>
      <w:r w:rsidRPr="00365EB4">
        <w:t xml:space="preserve">annual </w:t>
      </w:r>
      <w:r w:rsidR="00B717AE">
        <w:t>increase in the</w:t>
      </w:r>
      <w:r w:rsidRPr="00365EB4">
        <w:t xml:space="preserve"> frontier </w:t>
      </w:r>
      <w:r w:rsidRPr="00365EB4">
        <w:lastRenderedPageBreak/>
        <w:t>shift</w:t>
      </w:r>
      <w:r w:rsidR="00B717AE">
        <w:t>, due to a lack of</w:t>
      </w:r>
      <w:r w:rsidR="00D01520">
        <w:rPr>
          <w:rFonts w:hint="eastAsia"/>
          <w:lang w:eastAsia="zh-TW"/>
        </w:rPr>
        <w:t xml:space="preserve"> </w:t>
      </w:r>
      <w:r w:rsidRPr="00365EB4">
        <w:t>medical resource</w:t>
      </w:r>
      <w:r w:rsidR="00B717AE">
        <w:t>s</w:t>
      </w:r>
      <w:r w:rsidRPr="00365EB4">
        <w:t xml:space="preserve">. </w:t>
      </w:r>
      <w:r w:rsidR="00043EA8" w:rsidRPr="00D01520">
        <w:t>Following cross-validation using scale effect, we determined that most of the expansion was implemented by foundation hospitals and chain group hospitals.</w:t>
      </w:r>
      <w:r w:rsidRPr="00365EB4">
        <w:t xml:space="preserve"> The frontier shift index </w:t>
      </w:r>
      <w:r w:rsidR="00B717AE" w:rsidRPr="00365EB4">
        <w:t>remain</w:t>
      </w:r>
      <w:r w:rsidR="00B717AE">
        <w:t>ed</w:t>
      </w:r>
      <w:r w:rsidR="00D01520">
        <w:rPr>
          <w:rFonts w:hint="eastAsia"/>
          <w:lang w:eastAsia="zh-TW"/>
        </w:rPr>
        <w:t xml:space="preserve"> </w:t>
      </w:r>
      <w:r w:rsidRPr="00365EB4">
        <w:t xml:space="preserve">positive only in the outer islands </w:t>
      </w:r>
      <w:r w:rsidR="00B717AE" w:rsidRPr="00365EB4">
        <w:t xml:space="preserve">of Taiwan </w:t>
      </w:r>
      <w:r w:rsidRPr="00365EB4">
        <w:t>(</w:t>
      </w:r>
      <w:proofErr w:type="spellStart"/>
      <w:r w:rsidRPr="00365EB4">
        <w:t>Kinmen</w:t>
      </w:r>
      <w:proofErr w:type="spellEnd"/>
      <w:r w:rsidRPr="00365EB4">
        <w:t xml:space="preserve"> County and Penghu County). </w:t>
      </w:r>
      <w:r w:rsidR="00B717AE">
        <w:t>Furthermore</w:t>
      </w:r>
      <w:r w:rsidRPr="00365EB4">
        <w:t>, most metropolitan area</w:t>
      </w:r>
      <w:r w:rsidR="00B717AE">
        <w:t>s</w:t>
      </w:r>
      <w:r w:rsidR="00D01520">
        <w:rPr>
          <w:rFonts w:hint="eastAsia"/>
          <w:lang w:eastAsia="zh-TW"/>
        </w:rPr>
        <w:t xml:space="preserve"> </w:t>
      </w:r>
      <w:r w:rsidR="00B717AE">
        <w:t>presented</w:t>
      </w:r>
      <w:r w:rsidRPr="00365EB4">
        <w:t xml:space="preserve"> significant scale expansion. The average annual rate</w:t>
      </w:r>
      <w:r w:rsidR="00D77EB7">
        <w:t xml:space="preserve"> of</w:t>
      </w:r>
      <w:r w:rsidRPr="00365EB4">
        <w:t xml:space="preserve"> increase in </w:t>
      </w:r>
      <w:r w:rsidR="00B717AE">
        <w:t>n</w:t>
      </w:r>
      <w:r w:rsidR="00B717AE" w:rsidRPr="00365EB4">
        <w:t xml:space="preserve">ational </w:t>
      </w:r>
      <w:r w:rsidR="00B717AE">
        <w:t>h</w:t>
      </w:r>
      <w:r w:rsidR="00B717AE" w:rsidRPr="00365EB4">
        <w:t xml:space="preserve">ealth </w:t>
      </w:r>
      <w:r w:rsidR="00B717AE">
        <w:t>e</w:t>
      </w:r>
      <w:r w:rsidR="00B717AE" w:rsidRPr="00365EB4">
        <w:t>xpenditure</w:t>
      </w:r>
      <w:r w:rsidR="00B717AE">
        <w:t>s</w:t>
      </w:r>
      <w:r w:rsidR="00D01520">
        <w:rPr>
          <w:rFonts w:hint="eastAsia"/>
          <w:lang w:eastAsia="zh-TW"/>
        </w:rPr>
        <w:t xml:space="preserve"> </w:t>
      </w:r>
      <w:r w:rsidRPr="00365EB4">
        <w:t>(NHE) was 3.43%</w:t>
      </w:r>
      <w:r w:rsidR="00B717AE">
        <w:t>,</w:t>
      </w:r>
      <w:r w:rsidR="00D01520">
        <w:rPr>
          <w:rFonts w:hint="eastAsia"/>
          <w:lang w:eastAsia="zh-TW"/>
        </w:rPr>
        <w:t xml:space="preserve"> </w:t>
      </w:r>
      <w:r w:rsidR="00B717AE">
        <w:t>far exceeding the</w:t>
      </w:r>
      <w:r w:rsidRPr="00365EB4">
        <w:t xml:space="preserve"> average TFP</w:t>
      </w:r>
      <w:r w:rsidR="00B717AE">
        <w:t xml:space="preserve"> of</w:t>
      </w:r>
      <w:r w:rsidRPr="00365EB4">
        <w:t xml:space="preserve"> -1.2%. </w:t>
      </w:r>
      <w:r w:rsidR="00B717AE">
        <w:t>In other words</w:t>
      </w:r>
      <w:r w:rsidRPr="00365EB4">
        <w:t xml:space="preserve">, </w:t>
      </w:r>
      <w:r w:rsidR="00B717AE" w:rsidRPr="000675DF">
        <w:rPr>
          <w:noProof/>
        </w:rPr>
        <w:t>expenditure</w:t>
      </w:r>
      <w:r w:rsidR="00B717AE">
        <w:rPr>
          <w:noProof/>
        </w:rPr>
        <w:t>s for</w:t>
      </w:r>
      <w:r w:rsidR="00234178">
        <w:rPr>
          <w:rFonts w:hint="eastAsia"/>
          <w:noProof/>
          <w:lang w:eastAsia="zh-TW"/>
        </w:rPr>
        <w:t xml:space="preserve"> </w:t>
      </w:r>
      <w:r w:rsidRPr="00365EB4">
        <w:t>medical service</w:t>
      </w:r>
      <w:r w:rsidR="00B717AE">
        <w:t xml:space="preserve">s increased but </w:t>
      </w:r>
      <w:r w:rsidRPr="00365EB4">
        <w:t>efficiency</w:t>
      </w:r>
      <w:r w:rsidR="00B717AE">
        <w:t xml:space="preserve"> did not</w:t>
      </w:r>
      <w:r w:rsidRPr="00365EB4">
        <w:t xml:space="preserve">. Of course, </w:t>
      </w:r>
      <w:r w:rsidR="00B717AE">
        <w:t>advances in</w:t>
      </w:r>
      <w:r w:rsidRPr="00365EB4">
        <w:t xml:space="preserve"> preventive medical care and average life expectancy cannot be assessed by the number of medical staff </w:t>
      </w:r>
      <w:r w:rsidR="00B717AE">
        <w:t>or</w:t>
      </w:r>
      <w:r w:rsidRPr="00365EB4">
        <w:t xml:space="preserve"> the number of beds. The method proposed in this study </w:t>
      </w:r>
      <w:r w:rsidR="00B717AE">
        <w:t>is able to</w:t>
      </w:r>
      <w:r w:rsidR="00D01520">
        <w:rPr>
          <w:rFonts w:hint="eastAsia"/>
          <w:lang w:eastAsia="zh-TW"/>
        </w:rPr>
        <w:t xml:space="preserve"> </w:t>
      </w:r>
      <w:r w:rsidRPr="00365EB4">
        <w:t xml:space="preserve">measure </w:t>
      </w:r>
      <w:r w:rsidR="00B717AE">
        <w:t>only the</w:t>
      </w:r>
      <w:r w:rsidR="00D01520">
        <w:rPr>
          <w:rFonts w:hint="eastAsia"/>
          <w:lang w:eastAsia="zh-TW"/>
        </w:rPr>
        <w:t xml:space="preserve"> </w:t>
      </w:r>
      <w:r w:rsidRPr="00365EB4">
        <w:t>efficiency of medical service production and the efficiency changes at the industry level</w:t>
      </w:r>
      <w:r w:rsidR="00B717AE">
        <w:t>. Nonetheless, this</w:t>
      </w:r>
      <w:r w:rsidRPr="00365EB4">
        <w:t xml:space="preserve"> provide</w:t>
      </w:r>
      <w:r w:rsidR="00B717AE">
        <w:t>s</w:t>
      </w:r>
      <w:r w:rsidRPr="00365EB4">
        <w:t xml:space="preserve"> useful information for public health policy and</w:t>
      </w:r>
      <w:r w:rsidR="00B717AE">
        <w:t xml:space="preserve"> the</w:t>
      </w:r>
      <w:r w:rsidR="00D01520">
        <w:rPr>
          <w:rFonts w:hint="eastAsia"/>
          <w:lang w:eastAsia="zh-TW"/>
        </w:rPr>
        <w:t xml:space="preserve"> </w:t>
      </w:r>
      <w:r w:rsidR="00B717AE" w:rsidRPr="00365EB4">
        <w:t xml:space="preserve">allocation </w:t>
      </w:r>
      <w:r w:rsidR="00B717AE">
        <w:t xml:space="preserve">of </w:t>
      </w:r>
      <w:r w:rsidRPr="00365EB4">
        <w:t>medical resource</w:t>
      </w:r>
      <w:r w:rsidR="00B717AE">
        <w:t>s</w:t>
      </w:r>
      <w:r w:rsidRPr="00365EB4">
        <w:t>.</w:t>
      </w:r>
    </w:p>
    <w:p w:rsidR="00FE3287" w:rsidRPr="00D01520" w:rsidRDefault="00FE3287" w:rsidP="00AE12C3">
      <w:pPr>
        <w:pStyle w:val="Newparagraph"/>
        <w:ind w:firstLine="0"/>
        <w:jc w:val="both"/>
        <w:rPr>
          <w:lang w:eastAsia="zh-TW"/>
        </w:rPr>
      </w:pPr>
    </w:p>
    <w:p w:rsidR="005D4872" w:rsidRDefault="005D4872" w:rsidP="00AE12C3">
      <w:pPr>
        <w:pStyle w:val="Newparagraph"/>
        <w:ind w:firstLine="0"/>
        <w:jc w:val="both"/>
        <w:rPr>
          <w:lang w:val="en-US" w:eastAsia="zh-TW"/>
        </w:rPr>
      </w:pPr>
    </w:p>
    <w:p w:rsidR="005D4872" w:rsidRDefault="005D4872" w:rsidP="00AE12C3">
      <w:pPr>
        <w:pStyle w:val="Newparagraph"/>
        <w:ind w:firstLine="0"/>
        <w:jc w:val="both"/>
        <w:rPr>
          <w:lang w:val="en-US" w:eastAsia="zh-TW"/>
        </w:rPr>
      </w:pPr>
    </w:p>
    <w:p w:rsidR="005D4872" w:rsidRDefault="005D4872" w:rsidP="00AE12C3">
      <w:pPr>
        <w:pStyle w:val="Newparagraph"/>
        <w:ind w:firstLine="0"/>
        <w:jc w:val="both"/>
        <w:rPr>
          <w:lang w:val="en-US" w:eastAsia="zh-TW"/>
        </w:rPr>
      </w:pPr>
    </w:p>
    <w:p w:rsidR="005D4872" w:rsidRDefault="005D4872" w:rsidP="00AE12C3">
      <w:pPr>
        <w:pStyle w:val="Newparagraph"/>
        <w:ind w:firstLine="0"/>
        <w:jc w:val="both"/>
        <w:rPr>
          <w:lang w:val="en-US" w:eastAsia="zh-TW"/>
        </w:rPr>
      </w:pPr>
    </w:p>
    <w:p w:rsidR="005D4872" w:rsidRDefault="005D4872" w:rsidP="00AE12C3">
      <w:pPr>
        <w:pStyle w:val="Newparagraph"/>
        <w:ind w:firstLine="0"/>
        <w:jc w:val="both"/>
        <w:rPr>
          <w:lang w:val="en-US" w:eastAsia="zh-TW"/>
        </w:rPr>
      </w:pPr>
    </w:p>
    <w:p w:rsidR="005D4872" w:rsidRDefault="005D4872" w:rsidP="00AE12C3">
      <w:pPr>
        <w:pStyle w:val="Newparagraph"/>
        <w:ind w:firstLine="0"/>
        <w:jc w:val="both"/>
        <w:rPr>
          <w:lang w:val="en-US" w:eastAsia="zh-TW"/>
        </w:rPr>
      </w:pPr>
    </w:p>
    <w:p w:rsidR="005D4872" w:rsidRPr="007449B2" w:rsidRDefault="007449B2" w:rsidP="00AE12C3">
      <w:pPr>
        <w:pStyle w:val="Newparagraph"/>
        <w:ind w:firstLine="0"/>
        <w:jc w:val="both"/>
        <w:rPr>
          <w:b/>
          <w:lang w:val="en-US" w:eastAsia="zh-TW"/>
        </w:rPr>
      </w:pPr>
      <w:r w:rsidRPr="007449B2">
        <w:rPr>
          <w:rFonts w:hint="eastAsia"/>
          <w:b/>
          <w:lang w:val="en-US" w:eastAsia="zh-TW"/>
        </w:rPr>
        <w:lastRenderedPageBreak/>
        <w:t>References</w:t>
      </w:r>
    </w:p>
    <w:p w:rsidR="00E83483" w:rsidRPr="00E83483" w:rsidRDefault="006D0F98" w:rsidP="00E83483">
      <w:pPr>
        <w:pStyle w:val="EndNoteBibliography"/>
      </w:pPr>
      <w:r>
        <w:fldChar w:fldCharType="begin"/>
      </w:r>
      <w:r w:rsidR="007449B2">
        <w:instrText xml:space="preserve"> ADDIN EN.REFLIST </w:instrText>
      </w:r>
      <w:r>
        <w:fldChar w:fldCharType="separate"/>
      </w:r>
      <w:bookmarkStart w:id="0" w:name="_ENREF_1"/>
      <w:r w:rsidR="00E83483" w:rsidRPr="00E83483">
        <w:t xml:space="preserve">[1] S. Grosskopf, V. Valdmanis, Measuring hospital performance: A non-parametric approach, </w:t>
      </w:r>
      <w:r w:rsidR="00E83483" w:rsidRPr="00E83483">
        <w:rPr>
          <w:i/>
        </w:rPr>
        <w:t>Journal of Health Economics</w:t>
      </w:r>
      <w:r w:rsidR="00E83483" w:rsidRPr="00E83483">
        <w:t xml:space="preserve">, </w:t>
      </w:r>
      <w:r w:rsidR="00E83483" w:rsidRPr="00E83483">
        <w:rPr>
          <w:b/>
        </w:rPr>
        <w:t xml:space="preserve">6 </w:t>
      </w:r>
      <w:r w:rsidR="00E83483" w:rsidRPr="00E83483">
        <w:t>(1987) 89-107.</w:t>
      </w:r>
      <w:bookmarkEnd w:id="0"/>
    </w:p>
    <w:p w:rsidR="00E83483" w:rsidRPr="00E83483" w:rsidRDefault="00E83483" w:rsidP="00E83483">
      <w:pPr>
        <w:pStyle w:val="EndNoteBibliography"/>
      </w:pPr>
      <w:bookmarkStart w:id="1" w:name="_ENREF_2"/>
      <w:r w:rsidRPr="00E83483">
        <w:t xml:space="preserve">[2] L. O’Neill, M. Rauner, K. Heidenberger, M. Kraus, A cross-national comparison and taxonomy of DEA-based hospital efficiency studies, </w:t>
      </w:r>
      <w:r w:rsidRPr="00E83483">
        <w:rPr>
          <w:i/>
        </w:rPr>
        <w:t>Socio-Economic Planning Sciences</w:t>
      </w:r>
      <w:r w:rsidRPr="00E83483">
        <w:t xml:space="preserve">, </w:t>
      </w:r>
      <w:r w:rsidRPr="00E83483">
        <w:rPr>
          <w:b/>
        </w:rPr>
        <w:t xml:space="preserve">42 </w:t>
      </w:r>
      <w:r w:rsidRPr="00E83483">
        <w:t>(2008) 158-189.</w:t>
      </w:r>
      <w:bookmarkEnd w:id="1"/>
    </w:p>
    <w:p w:rsidR="00E83483" w:rsidRPr="00E83483" w:rsidRDefault="00E83483" w:rsidP="00E83483">
      <w:pPr>
        <w:pStyle w:val="EndNoteBibliography"/>
      </w:pPr>
      <w:bookmarkStart w:id="2" w:name="_ENREF_3"/>
      <w:r w:rsidRPr="00E83483">
        <w:t xml:space="preserve">[3] Y.A. Ozcan, Health care benchmarking and performance evaluation, </w:t>
      </w:r>
      <w:r w:rsidRPr="00E83483">
        <w:rPr>
          <w:i/>
        </w:rPr>
        <w:t>An assessment using data envelopment analysis (DEA)</w:t>
      </w:r>
      <w:r w:rsidRPr="00E83483">
        <w:t>, (2008).</w:t>
      </w:r>
      <w:bookmarkEnd w:id="2"/>
    </w:p>
    <w:p w:rsidR="00E83483" w:rsidRPr="00E83483" w:rsidRDefault="00E83483" w:rsidP="00E83483">
      <w:pPr>
        <w:pStyle w:val="EndNoteBibliography"/>
      </w:pPr>
      <w:bookmarkStart w:id="3" w:name="_ENREF_4"/>
      <w:r w:rsidRPr="00E83483">
        <w:t xml:space="preserve">[4] R.S. Kaplan, M.E. Porter, How to solve the cost crisis in health care, </w:t>
      </w:r>
      <w:r w:rsidRPr="00E83483">
        <w:rPr>
          <w:i/>
        </w:rPr>
        <w:t>Harv Bus Rev</w:t>
      </w:r>
      <w:r w:rsidRPr="00E83483">
        <w:t xml:space="preserve">, </w:t>
      </w:r>
      <w:r w:rsidRPr="00E83483">
        <w:rPr>
          <w:b/>
        </w:rPr>
        <w:t xml:space="preserve">89 </w:t>
      </w:r>
      <w:r w:rsidRPr="00E83483">
        <w:t>(2011) 46-52.</w:t>
      </w:r>
      <w:bookmarkEnd w:id="3"/>
    </w:p>
    <w:p w:rsidR="00E83483" w:rsidRPr="00E83483" w:rsidRDefault="00E83483" w:rsidP="00E83483">
      <w:pPr>
        <w:pStyle w:val="EndNoteBibliography"/>
      </w:pPr>
      <w:bookmarkStart w:id="4" w:name="_ENREF_5"/>
      <w:r w:rsidRPr="00E83483">
        <w:t>[5] D.S. Shepard, D. Hodgkin, Y.E. Anthony, Analysis of hospital costs: a manual for managers, World Health Organization, 2000.</w:t>
      </w:r>
      <w:bookmarkEnd w:id="4"/>
    </w:p>
    <w:p w:rsidR="00E83483" w:rsidRPr="00E83483" w:rsidRDefault="00E83483" w:rsidP="00E83483">
      <w:pPr>
        <w:pStyle w:val="EndNoteBibliography"/>
      </w:pPr>
      <w:bookmarkStart w:id="5" w:name="_ENREF_6"/>
      <w:r w:rsidRPr="00E83483">
        <w:t>[6] M. Linna, U. Häkkinen, A comparative application of econometric frontier and DEA methods for assessing cost efficiency of Finnish hospitals, in:  Health, the Medical Profession, and Regulation, Springer, 1998, pp. 169-187.</w:t>
      </w:r>
      <w:bookmarkEnd w:id="5"/>
    </w:p>
    <w:p w:rsidR="00E83483" w:rsidRPr="00E83483" w:rsidRDefault="00E83483" w:rsidP="00E83483">
      <w:pPr>
        <w:pStyle w:val="EndNoteBibliography"/>
      </w:pPr>
      <w:bookmarkStart w:id="6" w:name="_ENREF_7"/>
      <w:r w:rsidRPr="00E83483">
        <w:t xml:space="preserve">[7] Y.A. Ozcan, R.D. Luke, Health care delivery restructuring and productivity change: assessing the Veterans Integrated Service Networks (VISNs) using the Malmquist approach, </w:t>
      </w:r>
      <w:r w:rsidRPr="00E83483">
        <w:rPr>
          <w:i/>
        </w:rPr>
        <w:t>Medical Care Research and Review</w:t>
      </w:r>
      <w:r w:rsidRPr="00E83483">
        <w:t xml:space="preserve">, </w:t>
      </w:r>
      <w:r w:rsidRPr="00E83483">
        <w:rPr>
          <w:b/>
        </w:rPr>
        <w:t xml:space="preserve">68 </w:t>
      </w:r>
      <w:r w:rsidRPr="00E83483">
        <w:t>(2011) 20S-35S.</w:t>
      </w:r>
      <w:bookmarkEnd w:id="6"/>
    </w:p>
    <w:p w:rsidR="00E83483" w:rsidRPr="00E83483" w:rsidRDefault="00E83483" w:rsidP="00E83483">
      <w:pPr>
        <w:pStyle w:val="EndNoteBibliography"/>
      </w:pPr>
      <w:bookmarkStart w:id="7" w:name="_ENREF_8"/>
      <w:r w:rsidRPr="00E83483">
        <w:t xml:space="preserve">[8] G.-H. Shim, K.-J. Moon, K.-S. Lee, Managerial Efficiency &amp; Productivity Growth Analysis of Tertiary and General Hospitals in Korea: DEA &amp; Malmquist Productivity Index Model Approach, </w:t>
      </w:r>
      <w:r w:rsidRPr="00E83483">
        <w:rPr>
          <w:i/>
        </w:rPr>
        <w:t>The Korean Journal of Health Service Management</w:t>
      </w:r>
      <w:r w:rsidRPr="00E83483">
        <w:t xml:space="preserve">, </w:t>
      </w:r>
      <w:r w:rsidRPr="00E83483">
        <w:rPr>
          <w:b/>
        </w:rPr>
        <w:t xml:space="preserve">9 </w:t>
      </w:r>
      <w:r w:rsidRPr="00E83483">
        <w:t>(2015) 43-55.</w:t>
      </w:r>
      <w:bookmarkEnd w:id="7"/>
    </w:p>
    <w:p w:rsidR="00E83483" w:rsidRPr="00E83483" w:rsidRDefault="00E83483" w:rsidP="00E83483">
      <w:pPr>
        <w:pStyle w:val="EndNoteBibliography"/>
      </w:pPr>
      <w:bookmarkStart w:id="8" w:name="_ENREF_9"/>
      <w:r w:rsidRPr="00E83483">
        <w:t xml:space="preserve">[9] M. Sommersguter-Reichmann, The impact of the Austrian hospital financing reform on hospital productivity: empirical evidence on efficiency and technology changes using a non-parametric input-based Malmquist approach, </w:t>
      </w:r>
      <w:r w:rsidRPr="00E83483">
        <w:rPr>
          <w:i/>
        </w:rPr>
        <w:t>Health Care Management Science</w:t>
      </w:r>
      <w:r w:rsidRPr="00E83483">
        <w:t xml:space="preserve">, </w:t>
      </w:r>
      <w:r w:rsidRPr="00E83483">
        <w:rPr>
          <w:b/>
        </w:rPr>
        <w:t xml:space="preserve">3 </w:t>
      </w:r>
      <w:r w:rsidRPr="00E83483">
        <w:t>(2000) 309-321.</w:t>
      </w:r>
      <w:bookmarkEnd w:id="8"/>
    </w:p>
    <w:p w:rsidR="00E83483" w:rsidRPr="00E83483" w:rsidRDefault="00E83483" w:rsidP="00E83483">
      <w:pPr>
        <w:pStyle w:val="EndNoteBibliography"/>
      </w:pPr>
      <w:bookmarkStart w:id="9" w:name="_ENREF_10"/>
      <w:r w:rsidRPr="00E83483">
        <w:t xml:space="preserve">[10] A. Charnes, W.W. Cooper, E. Rhodes, Measuring the efficiency of decision making units, </w:t>
      </w:r>
      <w:r w:rsidRPr="00E83483">
        <w:rPr>
          <w:i/>
        </w:rPr>
        <w:t>European journal of operational research</w:t>
      </w:r>
      <w:r w:rsidRPr="00E83483">
        <w:t xml:space="preserve">, </w:t>
      </w:r>
      <w:r w:rsidRPr="00E83483">
        <w:rPr>
          <w:b/>
        </w:rPr>
        <w:t xml:space="preserve">2 </w:t>
      </w:r>
      <w:r w:rsidRPr="00E83483">
        <w:t>(1978) 429-444.</w:t>
      </w:r>
      <w:bookmarkEnd w:id="9"/>
    </w:p>
    <w:p w:rsidR="00E83483" w:rsidRPr="00E83483" w:rsidRDefault="00E83483" w:rsidP="00E83483">
      <w:pPr>
        <w:pStyle w:val="EndNoteBibliography"/>
      </w:pPr>
      <w:bookmarkStart w:id="10" w:name="_ENREF_11"/>
      <w:r w:rsidRPr="00E83483">
        <w:t xml:space="preserve">[11] C. Sarrico, Data envelopment analysis: A comprehensive text with models, applications, references and DEA-solver software, </w:t>
      </w:r>
      <w:r w:rsidRPr="00E83483">
        <w:rPr>
          <w:i/>
        </w:rPr>
        <w:t>Journal of the Operational Research Society</w:t>
      </w:r>
      <w:r w:rsidRPr="00E83483">
        <w:t xml:space="preserve">, </w:t>
      </w:r>
      <w:r w:rsidRPr="00E83483">
        <w:rPr>
          <w:b/>
        </w:rPr>
        <w:t xml:space="preserve">52 </w:t>
      </w:r>
      <w:r w:rsidRPr="00E83483">
        <w:t>(2001) 1408-1409.</w:t>
      </w:r>
      <w:bookmarkEnd w:id="10"/>
    </w:p>
    <w:p w:rsidR="00E83483" w:rsidRPr="00E83483" w:rsidRDefault="00E83483" w:rsidP="00E83483">
      <w:pPr>
        <w:pStyle w:val="EndNoteBibliography"/>
      </w:pPr>
      <w:bookmarkStart w:id="11" w:name="_ENREF_12"/>
      <w:r w:rsidRPr="00E83483">
        <w:t xml:space="preserve">[12] R. Färe, S. Grosskopf, M. Norris, Z. Zhang, Productivity growth, technical progress, and efficiency change in industrialized countries, </w:t>
      </w:r>
      <w:r w:rsidRPr="00E83483">
        <w:rPr>
          <w:i/>
        </w:rPr>
        <w:t>The American economic review</w:t>
      </w:r>
      <w:r w:rsidRPr="00E83483">
        <w:t>, (1994) 66-83.</w:t>
      </w:r>
      <w:bookmarkEnd w:id="11"/>
    </w:p>
    <w:p w:rsidR="00E83483" w:rsidRPr="00E83483" w:rsidRDefault="00E83483" w:rsidP="00E83483">
      <w:pPr>
        <w:pStyle w:val="EndNoteBibliography"/>
      </w:pPr>
      <w:bookmarkStart w:id="12" w:name="_ENREF_13"/>
      <w:r w:rsidRPr="00E83483">
        <w:t>[13] E. Thanassoulis, Introduction to the theory and application of data envelopment analysis, Springer, 2001.</w:t>
      </w:r>
      <w:bookmarkEnd w:id="12"/>
    </w:p>
    <w:p w:rsidR="00E83483" w:rsidRPr="00E83483" w:rsidRDefault="00E83483" w:rsidP="00E83483">
      <w:pPr>
        <w:pStyle w:val="EndNoteBibliography"/>
      </w:pPr>
      <w:bookmarkStart w:id="13" w:name="_ENREF_14"/>
      <w:r w:rsidRPr="00E83483">
        <w:t xml:space="preserve">[14] S.-N. Chen, Productivity changes in Taiwanese hospitals and the national health insurance, </w:t>
      </w:r>
      <w:r w:rsidRPr="00E83483">
        <w:rPr>
          <w:i/>
        </w:rPr>
        <w:t>The Service Industries Journal</w:t>
      </w:r>
      <w:r w:rsidRPr="00E83483">
        <w:t xml:space="preserve">, </w:t>
      </w:r>
      <w:r w:rsidRPr="00E83483">
        <w:rPr>
          <w:b/>
        </w:rPr>
        <w:t xml:space="preserve">26 </w:t>
      </w:r>
      <w:r w:rsidRPr="00E83483">
        <w:t>(2006) 459-477.</w:t>
      </w:r>
      <w:bookmarkEnd w:id="13"/>
    </w:p>
    <w:p w:rsidR="00E83483" w:rsidRPr="00E83483" w:rsidRDefault="00E83483" w:rsidP="00E83483">
      <w:pPr>
        <w:pStyle w:val="EndNoteBibliography"/>
      </w:pPr>
      <w:bookmarkStart w:id="14" w:name="_ENREF_15"/>
      <w:r w:rsidRPr="00E83483">
        <w:lastRenderedPageBreak/>
        <w:t xml:space="preserve">[15] R.D. Banker, A. Charnes, W.W. Cooper, Some models for estimating technical and scale inefficiencies in data envelopment analysis, </w:t>
      </w:r>
      <w:r w:rsidRPr="00E83483">
        <w:rPr>
          <w:i/>
        </w:rPr>
        <w:t>Management science</w:t>
      </w:r>
      <w:r w:rsidRPr="00E83483">
        <w:t xml:space="preserve">, </w:t>
      </w:r>
      <w:r w:rsidRPr="00E83483">
        <w:rPr>
          <w:b/>
        </w:rPr>
        <w:t xml:space="preserve">30 </w:t>
      </w:r>
      <w:r w:rsidRPr="00E83483">
        <w:t>(1984) 1078-1092.</w:t>
      </w:r>
      <w:bookmarkEnd w:id="14"/>
    </w:p>
    <w:p w:rsidR="00E83483" w:rsidRPr="00E83483" w:rsidRDefault="00E83483" w:rsidP="00E83483">
      <w:pPr>
        <w:pStyle w:val="EndNoteBibliography"/>
      </w:pPr>
      <w:bookmarkStart w:id="15" w:name="_ENREF_16"/>
      <w:r w:rsidRPr="00E83483">
        <w:t xml:space="preserve">[16] S. Malmquist, Index numbers and indifference surfaces, </w:t>
      </w:r>
      <w:r w:rsidRPr="00E83483">
        <w:rPr>
          <w:i/>
        </w:rPr>
        <w:t>Trabajos de Estadistica y de Investigacion Operativa</w:t>
      </w:r>
      <w:r w:rsidRPr="00E83483">
        <w:t xml:space="preserve">, </w:t>
      </w:r>
      <w:r w:rsidRPr="00E83483">
        <w:rPr>
          <w:b/>
        </w:rPr>
        <w:t xml:space="preserve">4 </w:t>
      </w:r>
      <w:r w:rsidRPr="00E83483">
        <w:t>(1953) 209-242.</w:t>
      </w:r>
      <w:bookmarkEnd w:id="15"/>
    </w:p>
    <w:p w:rsidR="00E83483" w:rsidRPr="00E83483" w:rsidRDefault="00E83483" w:rsidP="00E83483">
      <w:pPr>
        <w:pStyle w:val="EndNoteBibliography"/>
      </w:pPr>
      <w:bookmarkStart w:id="16" w:name="_ENREF_17"/>
      <w:r w:rsidRPr="00E83483">
        <w:t xml:space="preserve">[17] A. Hashimoto, M. Kodama, Has livability of Japan gotten better for 1956–1990?: A DEA approach, </w:t>
      </w:r>
      <w:r w:rsidRPr="00E83483">
        <w:rPr>
          <w:i/>
        </w:rPr>
        <w:t>Social Indicators Research</w:t>
      </w:r>
      <w:r w:rsidRPr="00E83483">
        <w:t xml:space="preserve">, </w:t>
      </w:r>
      <w:r w:rsidRPr="00E83483">
        <w:rPr>
          <w:b/>
        </w:rPr>
        <w:t xml:space="preserve">40 </w:t>
      </w:r>
      <w:r w:rsidRPr="00E83483">
        <w:t>(1997) 359-373.</w:t>
      </w:r>
      <w:bookmarkEnd w:id="16"/>
    </w:p>
    <w:p w:rsidR="000852A6" w:rsidRDefault="006D0F98" w:rsidP="00AE12C3">
      <w:pPr>
        <w:pStyle w:val="Tabletitle"/>
        <w:spacing w:line="480" w:lineRule="auto"/>
        <w:rPr>
          <w:lang w:eastAsia="zh-TW"/>
        </w:rPr>
      </w:pPr>
      <w:r>
        <w:fldChar w:fldCharType="end"/>
      </w:r>
    </w:p>
    <w:p w:rsidR="000852A6" w:rsidRDefault="000852A6" w:rsidP="00AE12C3">
      <w:pPr>
        <w:pStyle w:val="Tabletitle"/>
        <w:spacing w:line="480" w:lineRule="auto"/>
        <w:rPr>
          <w:lang w:eastAsia="zh-TW"/>
        </w:rPr>
      </w:pPr>
    </w:p>
    <w:p w:rsidR="000852A6" w:rsidRDefault="000852A6" w:rsidP="00AE12C3">
      <w:pPr>
        <w:pStyle w:val="Tabletitle"/>
        <w:spacing w:line="480" w:lineRule="auto"/>
        <w:rPr>
          <w:lang w:eastAsia="zh-TW"/>
        </w:rPr>
      </w:pPr>
    </w:p>
    <w:p w:rsidR="000852A6" w:rsidRDefault="000852A6" w:rsidP="00AE12C3">
      <w:pPr>
        <w:pStyle w:val="Tabletitle"/>
        <w:spacing w:line="480" w:lineRule="auto"/>
        <w:rPr>
          <w:lang w:eastAsia="zh-TW"/>
        </w:rPr>
      </w:pPr>
    </w:p>
    <w:p w:rsidR="000852A6" w:rsidRDefault="000852A6" w:rsidP="00AE12C3">
      <w:pPr>
        <w:pStyle w:val="Tabletitle"/>
        <w:spacing w:line="480" w:lineRule="auto"/>
        <w:rPr>
          <w:lang w:eastAsia="zh-TW"/>
        </w:rPr>
      </w:pPr>
    </w:p>
    <w:p w:rsidR="000852A6" w:rsidRDefault="000852A6" w:rsidP="00AE12C3">
      <w:pPr>
        <w:pStyle w:val="Tabletitle"/>
        <w:spacing w:line="480" w:lineRule="auto"/>
        <w:rPr>
          <w:lang w:eastAsia="zh-TW"/>
        </w:rPr>
      </w:pPr>
    </w:p>
    <w:p w:rsidR="000852A6" w:rsidRDefault="000852A6" w:rsidP="00AE12C3">
      <w:pPr>
        <w:pStyle w:val="Tabletitle"/>
        <w:spacing w:line="480" w:lineRule="auto"/>
        <w:rPr>
          <w:lang w:eastAsia="zh-TW"/>
        </w:rPr>
      </w:pPr>
    </w:p>
    <w:p w:rsidR="000852A6" w:rsidRDefault="000852A6" w:rsidP="00AE12C3">
      <w:pPr>
        <w:pStyle w:val="Tabletitle"/>
        <w:spacing w:line="480" w:lineRule="auto"/>
        <w:rPr>
          <w:lang w:eastAsia="zh-TW"/>
        </w:rPr>
      </w:pPr>
    </w:p>
    <w:p w:rsidR="000852A6" w:rsidRDefault="000852A6" w:rsidP="00AE12C3">
      <w:pPr>
        <w:pStyle w:val="Tabletitle"/>
        <w:spacing w:line="480" w:lineRule="auto"/>
        <w:rPr>
          <w:lang w:eastAsia="zh-TW"/>
        </w:rPr>
      </w:pPr>
    </w:p>
    <w:p w:rsidR="000852A6" w:rsidRDefault="000852A6" w:rsidP="00AE12C3">
      <w:pPr>
        <w:pStyle w:val="Tabletitle"/>
        <w:spacing w:line="480" w:lineRule="auto"/>
        <w:rPr>
          <w:lang w:eastAsia="zh-TW"/>
        </w:rPr>
      </w:pPr>
    </w:p>
    <w:p w:rsidR="000852A6" w:rsidRDefault="000852A6" w:rsidP="00AE12C3">
      <w:pPr>
        <w:pStyle w:val="Tabletitle"/>
        <w:spacing w:line="480" w:lineRule="auto"/>
        <w:rPr>
          <w:lang w:eastAsia="zh-TW"/>
        </w:rPr>
      </w:pPr>
    </w:p>
    <w:p w:rsidR="000852A6" w:rsidRDefault="000852A6" w:rsidP="00AE12C3">
      <w:pPr>
        <w:pStyle w:val="Tabletitle"/>
        <w:spacing w:line="480" w:lineRule="auto"/>
        <w:rPr>
          <w:lang w:eastAsia="zh-TW"/>
        </w:rPr>
      </w:pPr>
    </w:p>
    <w:p w:rsidR="00C8313C" w:rsidRDefault="00C8313C" w:rsidP="00AE12C3">
      <w:pPr>
        <w:pStyle w:val="Tabletitle"/>
        <w:spacing w:line="480" w:lineRule="auto"/>
        <w:rPr>
          <w:lang w:eastAsia="zh-TW"/>
        </w:rPr>
      </w:pPr>
      <w:r w:rsidRPr="00365EB4">
        <w:lastRenderedPageBreak/>
        <w:t>Table 1</w:t>
      </w:r>
      <w:r w:rsidR="00F318C1">
        <w:rPr>
          <w:rFonts w:hint="eastAsia"/>
          <w:lang w:eastAsia="zh-TW"/>
        </w:rPr>
        <w:t>.</w:t>
      </w:r>
      <w:r w:rsidRPr="00365EB4">
        <w:t>10 DEA cross-section</w:t>
      </w:r>
      <w:r w:rsidR="00D77EB7">
        <w:t>al</w:t>
      </w:r>
      <w:r w:rsidRPr="00365EB4">
        <w:t xml:space="preserve"> analysis by year (DMU=22</w:t>
      </w:r>
      <w:r w:rsidRPr="000675DF">
        <w:rPr>
          <w:noProof/>
        </w:rPr>
        <w:t>counties</w:t>
      </w:r>
      <w:r w:rsidRPr="00365EB4">
        <w:t xml:space="preserve"> and cities)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9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center"/>
              <w:rPr>
                <w:b/>
              </w:rPr>
            </w:pPr>
            <w:r w:rsidRPr="00365EB4">
              <w:rPr>
                <w:b/>
              </w:rPr>
              <w:t>Counties</w:t>
            </w:r>
            <w:r>
              <w:rPr>
                <w:rFonts w:hint="eastAsia"/>
                <w:b/>
              </w:rPr>
              <w:t>/</w:t>
            </w:r>
            <w:r w:rsidRPr="00365EB4">
              <w:rPr>
                <w:b/>
              </w:rPr>
              <w:t>cities</w:t>
            </w: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  <w:hideMark/>
          </w:tcPr>
          <w:p w:rsidR="00C8313C" w:rsidRPr="00365EB4" w:rsidRDefault="00D77EB7" w:rsidP="00AE12C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C8313C" w:rsidRPr="00365EB4">
              <w:rPr>
                <w:b/>
              </w:rPr>
              <w:t>edical treatment input</w:t>
            </w:r>
            <w:r>
              <w:rPr>
                <w:b/>
              </w:rPr>
              <w:t xml:space="preserve"> by year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2005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2006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2007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2008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2009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2010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2011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2012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2013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2014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r w:rsidRPr="00365EB4">
              <w:t>Kaohsiung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roofErr w:type="spellStart"/>
            <w:r w:rsidRPr="00365EB4">
              <w:t>Hualien</w:t>
            </w:r>
            <w:proofErr w:type="spellEnd"/>
            <w:r w:rsidRPr="00365EB4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0.44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0.57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r w:rsidRPr="00365EB4">
              <w:t>Keelung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0.61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roofErr w:type="spellStart"/>
            <w:r w:rsidRPr="00365EB4">
              <w:t>Chiayi</w:t>
            </w:r>
            <w:proofErr w:type="spellEnd"/>
            <w:r w:rsidRPr="00365EB4"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0.31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roofErr w:type="spellStart"/>
            <w:r w:rsidRPr="00365EB4">
              <w:t>Chiayi</w:t>
            </w:r>
            <w:proofErr w:type="spellEnd"/>
            <w:r w:rsidRPr="00365EB4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0.87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roofErr w:type="spellStart"/>
            <w:r w:rsidRPr="00365EB4">
              <w:t>Kinmen</w:t>
            </w:r>
            <w:proofErr w:type="spellEnd"/>
            <w:r w:rsidRPr="00365EB4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roofErr w:type="spellStart"/>
            <w:r w:rsidRPr="00365EB4">
              <w:t>Lianjiang</w:t>
            </w:r>
            <w:proofErr w:type="spellEnd"/>
            <w:r w:rsidRPr="00365EB4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roofErr w:type="spellStart"/>
            <w:r w:rsidRPr="00365EB4">
              <w:t>Miaoli</w:t>
            </w:r>
            <w:proofErr w:type="spellEnd"/>
            <w:r w:rsidRPr="00365EB4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roofErr w:type="spellStart"/>
            <w:r w:rsidRPr="00365EB4">
              <w:t>Nantou</w:t>
            </w:r>
            <w:proofErr w:type="spellEnd"/>
            <w:r w:rsidRPr="00365EB4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0.94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r w:rsidRPr="00365EB4">
              <w:t>Penghu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0.85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roofErr w:type="spellStart"/>
            <w:r w:rsidRPr="00365EB4">
              <w:t>Pingtung</w:t>
            </w:r>
            <w:proofErr w:type="spellEnd"/>
            <w:r w:rsidRPr="00365EB4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r w:rsidRPr="00365EB4">
              <w:t>Taipei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0.46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0.46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0.52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roofErr w:type="spellStart"/>
            <w:r w:rsidRPr="00365EB4">
              <w:t>Taitung</w:t>
            </w:r>
            <w:proofErr w:type="spellEnd"/>
            <w:r w:rsidRPr="00365EB4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0.87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r w:rsidRPr="00365EB4">
              <w:t>Tainan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0.74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r w:rsidRPr="00365EB4">
              <w:t>Taichung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0.67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roofErr w:type="spellStart"/>
            <w:r w:rsidRPr="00365EB4">
              <w:t>Taoyuan</w:t>
            </w:r>
            <w:proofErr w:type="spellEnd"/>
            <w:r w:rsidRPr="00365EB4"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0.61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r w:rsidRPr="00365EB4">
              <w:t>New Taipei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roofErr w:type="spellStart"/>
            <w:r w:rsidRPr="00365EB4">
              <w:t>Hsinchu</w:t>
            </w:r>
            <w:proofErr w:type="spellEnd"/>
            <w:r w:rsidRPr="00365EB4"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0.58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roofErr w:type="spellStart"/>
            <w:r w:rsidRPr="00365EB4">
              <w:t>Hsinchu</w:t>
            </w:r>
            <w:proofErr w:type="spellEnd"/>
            <w:r w:rsidRPr="00365EB4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roofErr w:type="spellStart"/>
            <w:r w:rsidRPr="00365EB4">
              <w:t>Ilan</w:t>
            </w:r>
            <w:proofErr w:type="spellEnd"/>
            <w:r w:rsidRPr="00365EB4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0.91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roofErr w:type="spellStart"/>
            <w:r w:rsidRPr="00365EB4">
              <w:t>Yunlin</w:t>
            </w:r>
            <w:proofErr w:type="spellEnd"/>
            <w:r w:rsidRPr="00365EB4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roofErr w:type="spellStart"/>
            <w:r w:rsidRPr="00365EB4">
              <w:t>Changhua</w:t>
            </w:r>
            <w:proofErr w:type="spellEnd"/>
            <w:r w:rsidRPr="00365EB4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0.74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right"/>
            </w:pPr>
            <w:r w:rsidRPr="00365EB4">
              <w:t xml:space="preserve">0.86 </w:t>
            </w:r>
          </w:p>
        </w:tc>
      </w:tr>
    </w:tbl>
    <w:p w:rsidR="00EA780C" w:rsidRDefault="00EA780C" w:rsidP="006D0F98">
      <w:pPr>
        <w:spacing w:beforeLines="100"/>
        <w:rPr>
          <w:lang w:eastAsia="zh-TW"/>
        </w:rPr>
      </w:pPr>
    </w:p>
    <w:p w:rsidR="00FF00D7" w:rsidRDefault="00C8313C" w:rsidP="006D0F98">
      <w:pPr>
        <w:spacing w:beforeLines="100"/>
        <w:rPr>
          <w:lang w:eastAsia="zh-TW"/>
        </w:rPr>
      </w:pPr>
      <w:r w:rsidRPr="00365EB4">
        <w:lastRenderedPageBreak/>
        <w:t>Table 2</w:t>
      </w:r>
      <w:r>
        <w:rPr>
          <w:rFonts w:hint="eastAsia"/>
          <w:lang w:eastAsia="zh-TW"/>
        </w:rPr>
        <w:t>.</w:t>
      </w:r>
      <w:r w:rsidRPr="00365EB4">
        <w:t xml:space="preserve"> 10 DEA time series </w:t>
      </w:r>
      <w:r w:rsidR="00B717AE" w:rsidRPr="00365EB4">
        <w:t>analys</w:t>
      </w:r>
      <w:r w:rsidR="00B717AE">
        <w:t>i</w:t>
      </w:r>
      <w:r w:rsidR="00B717AE" w:rsidRPr="00365EB4">
        <w:t xml:space="preserve">s </w:t>
      </w:r>
      <w:proofErr w:type="spellStart"/>
      <w:r w:rsidR="00B717AE">
        <w:t>by</w:t>
      </w:r>
      <w:r w:rsidRPr="00365EB4">
        <w:t>year</w:t>
      </w:r>
      <w:proofErr w:type="spellEnd"/>
      <w:r w:rsidRPr="00365EB4">
        <w:t>(DMU=10 years)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9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center"/>
            </w:pPr>
            <w:r w:rsidRPr="00965631">
              <w:rPr>
                <w:b/>
              </w:rPr>
              <w:t>Counties</w:t>
            </w:r>
            <w:r>
              <w:rPr>
                <w:rFonts w:hint="eastAsia"/>
                <w:b/>
              </w:rPr>
              <w:t>/</w:t>
            </w:r>
            <w:r w:rsidRPr="00965631">
              <w:rPr>
                <w:b/>
              </w:rPr>
              <w:t>cities</w:t>
            </w: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  <w:hideMark/>
          </w:tcPr>
          <w:p w:rsidR="00C8313C" w:rsidRPr="00965631" w:rsidRDefault="00D77EB7" w:rsidP="00AE12C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C8313C" w:rsidRPr="00965631">
              <w:rPr>
                <w:b/>
              </w:rPr>
              <w:t>edical treatment input</w:t>
            </w:r>
            <w:r>
              <w:rPr>
                <w:b/>
              </w:rPr>
              <w:t xml:space="preserve"> by year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/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2005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2006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2007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2008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2009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2010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2011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2012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2013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2014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r w:rsidRPr="00965631">
              <w:t>Kaohsiung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roofErr w:type="spellStart"/>
            <w:r w:rsidRPr="00965631">
              <w:t>Hualien</w:t>
            </w:r>
            <w:proofErr w:type="spellEnd"/>
            <w:r w:rsidRPr="00965631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r w:rsidRPr="00965631">
              <w:t>Keelung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0.86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roofErr w:type="spellStart"/>
            <w:r w:rsidRPr="00965631">
              <w:t>Chiayi</w:t>
            </w:r>
            <w:proofErr w:type="spellEnd"/>
            <w:r w:rsidRPr="00965631"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roofErr w:type="spellStart"/>
            <w:r w:rsidRPr="00965631">
              <w:t>Chiayi</w:t>
            </w:r>
            <w:proofErr w:type="spellEnd"/>
            <w:r w:rsidRPr="00965631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roofErr w:type="spellStart"/>
            <w:r w:rsidRPr="00965631">
              <w:t>Kinmen</w:t>
            </w:r>
            <w:proofErr w:type="spellEnd"/>
            <w:r w:rsidRPr="00965631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0.89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roofErr w:type="spellStart"/>
            <w:r w:rsidRPr="00965631">
              <w:t>Lianjiang</w:t>
            </w:r>
            <w:proofErr w:type="spellEnd"/>
            <w:r w:rsidRPr="00965631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roofErr w:type="spellStart"/>
            <w:r w:rsidRPr="00965631">
              <w:t>Miaoli</w:t>
            </w:r>
            <w:proofErr w:type="spellEnd"/>
            <w:r w:rsidRPr="00965631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roofErr w:type="spellStart"/>
            <w:r w:rsidRPr="00965631">
              <w:t>Nantou</w:t>
            </w:r>
            <w:proofErr w:type="spellEnd"/>
            <w:r w:rsidRPr="00965631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r w:rsidRPr="00965631">
              <w:t>Penghu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roofErr w:type="spellStart"/>
            <w:r w:rsidRPr="00965631">
              <w:t>Pingtung</w:t>
            </w:r>
            <w:proofErr w:type="spellEnd"/>
            <w:r w:rsidRPr="00965631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r w:rsidRPr="00965631">
              <w:t>Taipei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0.86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0.87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0.77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0.77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roofErr w:type="spellStart"/>
            <w:r w:rsidRPr="00965631">
              <w:t>Taitung</w:t>
            </w:r>
            <w:proofErr w:type="spellEnd"/>
            <w:r w:rsidRPr="00965631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0.87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0.88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0.87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r w:rsidRPr="00965631">
              <w:t>Tainan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r w:rsidRPr="00965631">
              <w:t>Taichung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roofErr w:type="spellStart"/>
            <w:r w:rsidRPr="00965631">
              <w:t>Taoyuan</w:t>
            </w:r>
            <w:proofErr w:type="spellEnd"/>
            <w:r w:rsidRPr="00965631"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r w:rsidRPr="00965631">
              <w:t>New Taipei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roofErr w:type="spellStart"/>
            <w:r w:rsidRPr="00965631">
              <w:t>Hsinchu</w:t>
            </w:r>
            <w:proofErr w:type="spellEnd"/>
            <w:r w:rsidRPr="00965631"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roofErr w:type="spellStart"/>
            <w:r w:rsidRPr="00965631">
              <w:t>Hsinchu</w:t>
            </w:r>
            <w:proofErr w:type="spellEnd"/>
            <w:r w:rsidRPr="00965631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roofErr w:type="spellStart"/>
            <w:r w:rsidRPr="00965631">
              <w:t>Ilan</w:t>
            </w:r>
            <w:proofErr w:type="spellEnd"/>
            <w:r w:rsidRPr="00965631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roofErr w:type="spellStart"/>
            <w:r w:rsidRPr="00965631">
              <w:t>Yunlin</w:t>
            </w:r>
            <w:proofErr w:type="spellEnd"/>
            <w:r w:rsidRPr="00965631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roofErr w:type="spellStart"/>
            <w:r w:rsidRPr="00965631">
              <w:t>Changhua</w:t>
            </w:r>
            <w:proofErr w:type="spellEnd"/>
            <w:r w:rsidRPr="00965631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965631" w:rsidRDefault="00C8313C" w:rsidP="00AE12C3">
            <w:pPr>
              <w:jc w:val="right"/>
            </w:pPr>
            <w:r w:rsidRPr="00965631">
              <w:t xml:space="preserve">1.00 </w:t>
            </w:r>
          </w:p>
        </w:tc>
      </w:tr>
    </w:tbl>
    <w:p w:rsidR="00C8313C" w:rsidRDefault="00C8313C" w:rsidP="00AE12C3">
      <w:pPr>
        <w:rPr>
          <w:lang w:eastAsia="zh-TW"/>
        </w:rPr>
      </w:pPr>
    </w:p>
    <w:p w:rsidR="00840841" w:rsidRDefault="00840841" w:rsidP="00AE12C3">
      <w:pPr>
        <w:rPr>
          <w:lang w:eastAsia="zh-TW"/>
        </w:rPr>
      </w:pPr>
    </w:p>
    <w:p w:rsidR="00C8313C" w:rsidRDefault="00C8313C" w:rsidP="00AE12C3">
      <w:pPr>
        <w:pStyle w:val="Figurecaption"/>
        <w:spacing w:line="480" w:lineRule="auto"/>
        <w:rPr>
          <w:lang w:eastAsia="zh-TW"/>
        </w:rPr>
      </w:pPr>
      <w:r w:rsidRPr="00365EB4">
        <w:lastRenderedPageBreak/>
        <w:t>Table 3</w:t>
      </w:r>
      <w:r>
        <w:rPr>
          <w:rFonts w:hint="eastAsia"/>
          <w:lang w:eastAsia="zh-TW"/>
        </w:rPr>
        <w:t>.</w:t>
      </w:r>
      <w:r w:rsidRPr="00365EB4">
        <w:t xml:space="preserve"> Panel DEA</w:t>
      </w:r>
      <w:r w:rsidR="00D77EB7">
        <w:t xml:space="preserve"> by year</w:t>
      </w:r>
      <w:r w:rsidRPr="00365EB4">
        <w:t>(DMU=22</w:t>
      </w:r>
      <w:r w:rsidRPr="000675DF">
        <w:rPr>
          <w:noProof/>
        </w:rPr>
        <w:t>counties</w:t>
      </w:r>
      <w:r>
        <w:rPr>
          <w:rFonts w:hint="eastAsia"/>
        </w:rPr>
        <w:t xml:space="preserve"> and </w:t>
      </w:r>
      <w:r w:rsidRPr="00365EB4">
        <w:t>cit</w:t>
      </w:r>
      <w:r w:rsidR="00D77EB7">
        <w:t>ies</w:t>
      </w:r>
      <w:r w:rsidRPr="00365EB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9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jc w:val="center"/>
              <w:rPr>
                <w:sz w:val="20"/>
                <w:szCs w:val="20"/>
              </w:rPr>
            </w:pPr>
            <w:r w:rsidRPr="00365EB4">
              <w:rPr>
                <w:b/>
              </w:rPr>
              <w:t>Counties</w:t>
            </w:r>
            <w:r>
              <w:rPr>
                <w:rFonts w:hint="eastAsia"/>
                <w:b/>
              </w:rPr>
              <w:t>/</w:t>
            </w:r>
            <w:r w:rsidRPr="00365EB4">
              <w:rPr>
                <w:b/>
              </w:rPr>
              <w:t>cities</w:t>
            </w: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  <w:hideMark/>
          </w:tcPr>
          <w:p w:rsidR="00C8313C" w:rsidRPr="00B00B70" w:rsidRDefault="00D77EB7" w:rsidP="00AE12C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C8313C" w:rsidRPr="00B00B70">
              <w:rPr>
                <w:b/>
              </w:rPr>
              <w:t>edical treatment input</w:t>
            </w:r>
            <w:r>
              <w:rPr>
                <w:b/>
              </w:rPr>
              <w:t xml:space="preserve"> by year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365EB4" w:rsidRDefault="00C8313C" w:rsidP="00AE12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2005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2006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2007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2008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2009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2010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2011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2012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2013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2014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r w:rsidRPr="00B00B70">
              <w:t>Kaohsiung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0.34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roofErr w:type="spellStart"/>
            <w:r w:rsidRPr="00B00B70">
              <w:t>Hualien</w:t>
            </w:r>
            <w:proofErr w:type="spellEnd"/>
            <w:r w:rsidRPr="00B00B70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0.35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r w:rsidRPr="00B00B70">
              <w:t>Keelung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0.36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roofErr w:type="spellStart"/>
            <w:r w:rsidRPr="00B00B70">
              <w:t>Chiayi</w:t>
            </w:r>
            <w:proofErr w:type="spellEnd"/>
            <w:r w:rsidRPr="00B00B70"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0.18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roofErr w:type="spellStart"/>
            <w:r w:rsidRPr="00B00B70">
              <w:t>Chiayi</w:t>
            </w:r>
            <w:proofErr w:type="spellEnd"/>
            <w:r w:rsidRPr="00B00B70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roofErr w:type="spellStart"/>
            <w:r w:rsidRPr="00B00B70">
              <w:t>Kinmen</w:t>
            </w:r>
            <w:proofErr w:type="spellEnd"/>
            <w:r w:rsidRPr="00B00B70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0.86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0.99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roofErr w:type="spellStart"/>
            <w:r w:rsidRPr="00B00B70">
              <w:t>Lianjiang</w:t>
            </w:r>
            <w:proofErr w:type="spellEnd"/>
            <w:r w:rsidRPr="00B00B70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0.51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roofErr w:type="spellStart"/>
            <w:r w:rsidRPr="00B00B70">
              <w:t>Miaoli</w:t>
            </w:r>
            <w:proofErr w:type="spellEnd"/>
            <w:r w:rsidRPr="00B00B70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0.61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roofErr w:type="spellStart"/>
            <w:r w:rsidRPr="00B00B70">
              <w:t>Nantou</w:t>
            </w:r>
            <w:proofErr w:type="spellEnd"/>
            <w:r w:rsidRPr="00B00B70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0.55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r w:rsidRPr="00B00B70">
              <w:t>Penghu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0.60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roofErr w:type="spellStart"/>
            <w:r w:rsidRPr="00B00B70">
              <w:t>Pingtung</w:t>
            </w:r>
            <w:proofErr w:type="spellEnd"/>
            <w:r w:rsidRPr="00B00B70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0.51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r w:rsidRPr="00B00B70">
              <w:t>Taipei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0.26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roofErr w:type="spellStart"/>
            <w:r w:rsidRPr="00B00B70">
              <w:t>Taitung</w:t>
            </w:r>
            <w:proofErr w:type="spellEnd"/>
            <w:r w:rsidRPr="00B00B70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0.54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r w:rsidRPr="00B00B70">
              <w:t>Tainan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0.37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r w:rsidRPr="00B00B70">
              <w:t>Taichung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0.32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roofErr w:type="spellStart"/>
            <w:r w:rsidRPr="00B00B70">
              <w:t>Taoyuan</w:t>
            </w:r>
            <w:proofErr w:type="spellEnd"/>
            <w:r w:rsidRPr="00B00B70"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0.29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r w:rsidRPr="00B00B70">
              <w:t>New Taipei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0.49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roofErr w:type="spellStart"/>
            <w:r w:rsidRPr="00B00B70">
              <w:t>Hsinchu</w:t>
            </w:r>
            <w:proofErr w:type="spellEnd"/>
            <w:r w:rsidRPr="00B00B70"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0.31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roofErr w:type="spellStart"/>
            <w:r w:rsidRPr="00B00B70">
              <w:t>Hsinchu</w:t>
            </w:r>
            <w:proofErr w:type="spellEnd"/>
            <w:r w:rsidRPr="00B00B70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0.56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roofErr w:type="spellStart"/>
            <w:r w:rsidRPr="00B00B70">
              <w:t>Ilan</w:t>
            </w:r>
            <w:proofErr w:type="spellEnd"/>
            <w:r w:rsidRPr="00B00B70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0.53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roofErr w:type="spellStart"/>
            <w:r w:rsidRPr="00B00B70">
              <w:t>Yunlin</w:t>
            </w:r>
            <w:proofErr w:type="spellEnd"/>
            <w:r w:rsidRPr="00B00B70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0.71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0.63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0.57 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roofErr w:type="spellStart"/>
            <w:r w:rsidRPr="00B00B70">
              <w:t>Changhua</w:t>
            </w:r>
            <w:proofErr w:type="spellEnd"/>
            <w:r w:rsidRPr="00B00B70"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B00B70" w:rsidRDefault="00C8313C" w:rsidP="00AE12C3">
            <w:pPr>
              <w:jc w:val="right"/>
            </w:pPr>
            <w:r w:rsidRPr="00B00B70">
              <w:t xml:space="preserve">0.45 </w:t>
            </w:r>
          </w:p>
        </w:tc>
      </w:tr>
    </w:tbl>
    <w:p w:rsidR="00EA780C" w:rsidRDefault="00EA780C" w:rsidP="00AE12C3">
      <w:pPr>
        <w:rPr>
          <w:lang w:eastAsia="zh-TW"/>
        </w:rPr>
      </w:pPr>
    </w:p>
    <w:p w:rsidR="00840841" w:rsidRDefault="00840841" w:rsidP="00AE12C3">
      <w:pPr>
        <w:rPr>
          <w:lang w:eastAsia="zh-TW"/>
        </w:rPr>
      </w:pPr>
    </w:p>
    <w:p w:rsidR="00C8313C" w:rsidRDefault="00C8313C" w:rsidP="00AE12C3">
      <w:pPr>
        <w:rPr>
          <w:lang w:eastAsia="zh-TW"/>
        </w:rPr>
      </w:pPr>
      <w:r w:rsidRPr="00365EB4">
        <w:lastRenderedPageBreak/>
        <w:t xml:space="preserve">Table </w:t>
      </w:r>
      <w:r>
        <w:rPr>
          <w:rFonts w:hint="eastAsia"/>
        </w:rPr>
        <w:t>4</w:t>
      </w:r>
      <w:r>
        <w:rPr>
          <w:rFonts w:hint="eastAsia"/>
          <w:lang w:eastAsia="zh-TW"/>
        </w:rPr>
        <w:t>.</w:t>
      </w:r>
      <w:r w:rsidRPr="00365EB4">
        <w:t xml:space="preserve"> </w:t>
      </w:r>
      <w:proofErr w:type="spellStart"/>
      <w:r w:rsidRPr="00365EB4">
        <w:t>Malmquist</w:t>
      </w:r>
      <w:proofErr w:type="spellEnd"/>
      <w:r w:rsidRPr="00365EB4">
        <w:t xml:space="preserve"> index (MI)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51"/>
        <w:gridCol w:w="496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754"/>
      </w:tblGrid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center"/>
              <w:rPr>
                <w:sz w:val="22"/>
              </w:rPr>
            </w:pPr>
            <w:r w:rsidRPr="00DB18AB">
              <w:rPr>
                <w:b/>
                <w:sz w:val="22"/>
              </w:rPr>
              <w:t>Counties/cities</w:t>
            </w: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center"/>
              <w:rPr>
                <w:b/>
                <w:sz w:val="22"/>
              </w:rPr>
            </w:pPr>
            <w:r w:rsidRPr="00DB18AB">
              <w:rPr>
                <w:b/>
                <w:sz w:val="22"/>
              </w:rPr>
              <w:t xml:space="preserve">Year β of medical service </w:t>
            </w:r>
            <w:proofErr w:type="spellStart"/>
            <w:r w:rsidRPr="00DB18AB">
              <w:rPr>
                <w:b/>
                <w:sz w:val="22"/>
              </w:rPr>
              <w:t>MI</w:t>
            </w:r>
            <w:r w:rsidRPr="00BC097F">
              <w:rPr>
                <w:b/>
                <w:sz w:val="22"/>
                <w:vertAlign w:val="subscript"/>
              </w:rPr>
              <w:t>jo</w:t>
            </w:r>
            <w:proofErr w:type="spellEnd"/>
            <w:r w:rsidRPr="00DB18AB">
              <w:rPr>
                <w:b/>
                <w:sz w:val="22"/>
              </w:rPr>
              <w:t xml:space="preserve"> [2005, β], β=2005...,2014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center"/>
              <w:rPr>
                <w:b/>
                <w:sz w:val="22"/>
              </w:rPr>
            </w:pPr>
            <w:r w:rsidRPr="00DB18AB">
              <w:rPr>
                <w:b/>
                <w:sz w:val="22"/>
              </w:rPr>
              <w:t>Annual</w:t>
            </w:r>
          </w:p>
          <w:p w:rsidR="00C8313C" w:rsidRPr="00DB18AB" w:rsidRDefault="00C8313C" w:rsidP="00AE12C3">
            <w:pPr>
              <w:jc w:val="center"/>
              <w:rPr>
                <w:sz w:val="22"/>
              </w:rPr>
            </w:pPr>
            <w:r w:rsidRPr="00DB18AB">
              <w:rPr>
                <w:b/>
                <w:sz w:val="22"/>
              </w:rPr>
              <w:t>change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2014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Kaohsiung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0.653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0.944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Hualien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0.995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Keelung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0.976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Chiayi</w:t>
            </w:r>
            <w:proofErr w:type="spellEnd"/>
            <w:r w:rsidRPr="00DB18AB">
              <w:rPr>
                <w:sz w:val="22"/>
              </w:rPr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0.988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Chiayi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0.989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Kinmen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1.043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Lianjiang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0.972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Miaoli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0.987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Nantou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0.981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Penghu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1.002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Pingtung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0.981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Taipei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1.005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Taitung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0.984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Tainan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0.989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Taichung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0.986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Taoyuan</w:t>
            </w:r>
            <w:proofErr w:type="spellEnd"/>
            <w:r w:rsidRPr="00DB18AB">
              <w:rPr>
                <w:sz w:val="22"/>
              </w:rPr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0.994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New Taipei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0.986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Hsinchu</w:t>
            </w:r>
            <w:proofErr w:type="spellEnd"/>
            <w:r w:rsidRPr="00DB18AB">
              <w:rPr>
                <w:sz w:val="22"/>
              </w:rPr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0.999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Hsinchu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1.001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Ilan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0.984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Yunlin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0.961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Changhua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</w:t>
            </w:r>
          </w:p>
        </w:tc>
      </w:tr>
      <w:tr w:rsidR="00C8313C" w:rsidRPr="00DB18AB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Average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0.936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0.990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1.004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1.008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0.982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0.953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0.983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1.050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0.999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0.988 </w:t>
            </w:r>
          </w:p>
        </w:tc>
      </w:tr>
    </w:tbl>
    <w:p w:rsidR="00C8313C" w:rsidRDefault="00C8313C" w:rsidP="006D0F98">
      <w:pPr>
        <w:spacing w:beforeLines="50"/>
        <w:rPr>
          <w:lang w:eastAsia="zh-TW"/>
        </w:rPr>
      </w:pPr>
    </w:p>
    <w:p w:rsidR="00FF00D7" w:rsidRDefault="00C8313C" w:rsidP="006D0F98">
      <w:pPr>
        <w:pStyle w:val="Figurecaption"/>
        <w:spacing w:beforeLines="50" w:line="480" w:lineRule="auto"/>
        <w:rPr>
          <w:lang w:eastAsia="zh-TW"/>
        </w:rPr>
      </w:pPr>
      <w:r w:rsidRPr="00365EB4">
        <w:lastRenderedPageBreak/>
        <w:t xml:space="preserve">Table </w:t>
      </w:r>
      <w:r>
        <w:rPr>
          <w:rFonts w:hint="eastAsia"/>
        </w:rPr>
        <w:t>5</w:t>
      </w:r>
      <w:r>
        <w:rPr>
          <w:rFonts w:hint="eastAsia"/>
          <w:lang w:eastAsia="zh-TW"/>
        </w:rPr>
        <w:t>.</w:t>
      </w:r>
      <w:r w:rsidRPr="00365EB4">
        <w:t xml:space="preserve"> Catch-up index (CU)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51"/>
        <w:gridCol w:w="496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754"/>
      </w:tblGrid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b/>
                <w:sz w:val="22"/>
              </w:rPr>
              <w:t>Counties/cities</w:t>
            </w: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center"/>
              <w:rPr>
                <w:b/>
                <w:sz w:val="22"/>
              </w:rPr>
            </w:pPr>
            <w:r w:rsidRPr="00DB18AB">
              <w:rPr>
                <w:b/>
                <w:sz w:val="22"/>
              </w:rPr>
              <w:t xml:space="preserve">Year β of medical service </w:t>
            </w:r>
            <w:r w:rsidRPr="000675DF">
              <w:rPr>
                <w:b/>
                <w:noProof/>
                <w:sz w:val="22"/>
              </w:rPr>
              <w:t>CU</w:t>
            </w:r>
            <w:r w:rsidRPr="000675DF">
              <w:rPr>
                <w:b/>
                <w:noProof/>
                <w:sz w:val="22"/>
                <w:vertAlign w:val="subscript"/>
              </w:rPr>
              <w:t>jo</w:t>
            </w:r>
            <w:r w:rsidRPr="00DB18AB">
              <w:rPr>
                <w:b/>
                <w:sz w:val="22"/>
              </w:rPr>
              <w:t xml:space="preserve"> [2005, β], β=2005...,2014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center"/>
              <w:rPr>
                <w:b/>
                <w:sz w:val="22"/>
              </w:rPr>
            </w:pPr>
            <w:r w:rsidRPr="00DB18AB">
              <w:rPr>
                <w:b/>
                <w:sz w:val="22"/>
              </w:rPr>
              <w:t>Annual</w:t>
            </w:r>
          </w:p>
          <w:p w:rsidR="00C8313C" w:rsidRPr="00DB18AB" w:rsidRDefault="00C8313C" w:rsidP="00AE12C3">
            <w:pPr>
              <w:jc w:val="center"/>
              <w:rPr>
                <w:sz w:val="22"/>
              </w:rPr>
            </w:pPr>
            <w:r w:rsidRPr="00DB18AB">
              <w:rPr>
                <w:b/>
                <w:sz w:val="22"/>
              </w:rPr>
              <w:t>change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2014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Kaohsiung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0.681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0.961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Hualien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1.028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Keelung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1.008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Chiayi</w:t>
            </w:r>
            <w:proofErr w:type="spellEnd"/>
            <w:r w:rsidRPr="00DB18AB">
              <w:rPr>
                <w:sz w:val="22"/>
              </w:rPr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1.007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Chiayi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1.026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Kinmen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Lianjiang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Miaoli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1.021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Nantou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1.018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Penghu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0.983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Pingtung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1.017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Taipei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1.018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Taitung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1.014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Tainan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1.016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Taichung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1.007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Taoyuan</w:t>
            </w:r>
            <w:proofErr w:type="spellEnd"/>
            <w:r w:rsidRPr="00DB18AB">
              <w:rPr>
                <w:sz w:val="22"/>
              </w:rPr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1.022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New Taipei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Hsinchu</w:t>
            </w:r>
            <w:proofErr w:type="spellEnd"/>
            <w:r w:rsidRPr="00DB18AB">
              <w:rPr>
                <w:sz w:val="22"/>
              </w:rPr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1.006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Hsinchu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1.035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Ilan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1.023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Yunlin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proofErr w:type="spellStart"/>
            <w:r w:rsidRPr="00DB18AB">
              <w:rPr>
                <w:sz w:val="22"/>
              </w:rPr>
              <w:t>Changhua</w:t>
            </w:r>
            <w:proofErr w:type="spellEnd"/>
            <w:r w:rsidRPr="00DB18AB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>1.013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rPr>
                <w:sz w:val="22"/>
              </w:rPr>
            </w:pPr>
            <w:r w:rsidRPr="00DB18AB">
              <w:rPr>
                <w:sz w:val="22"/>
              </w:rPr>
              <w:t>Average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0.998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1.038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1.047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1.010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1.011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0.996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0.981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0.988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1.031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DB18AB" w:rsidRDefault="00C8313C" w:rsidP="00AE12C3">
            <w:pPr>
              <w:jc w:val="right"/>
              <w:rPr>
                <w:sz w:val="22"/>
              </w:rPr>
            </w:pPr>
            <w:r w:rsidRPr="00DB18AB">
              <w:rPr>
                <w:sz w:val="22"/>
              </w:rPr>
              <w:t xml:space="preserve">1.010 </w:t>
            </w:r>
          </w:p>
        </w:tc>
      </w:tr>
    </w:tbl>
    <w:p w:rsidR="00C8313C" w:rsidRDefault="00C8313C" w:rsidP="00AE12C3">
      <w:pPr>
        <w:rPr>
          <w:lang w:eastAsia="zh-TW"/>
        </w:rPr>
      </w:pPr>
    </w:p>
    <w:p w:rsidR="00C8313C" w:rsidRDefault="00C8313C" w:rsidP="00AE12C3">
      <w:pPr>
        <w:rPr>
          <w:lang w:eastAsia="zh-TW"/>
        </w:rPr>
      </w:pPr>
      <w:r w:rsidRPr="00365EB4">
        <w:lastRenderedPageBreak/>
        <w:t xml:space="preserve">Table </w:t>
      </w:r>
      <w:r>
        <w:rPr>
          <w:rFonts w:hint="eastAsia"/>
        </w:rPr>
        <w:t>6</w:t>
      </w:r>
      <w:r>
        <w:rPr>
          <w:rFonts w:hint="eastAsia"/>
          <w:lang w:eastAsia="zh-TW"/>
        </w:rPr>
        <w:t>.</w:t>
      </w:r>
      <w:r w:rsidRPr="00365EB4">
        <w:t xml:space="preserve"> Frontier shift index (FS)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51"/>
        <w:gridCol w:w="496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754"/>
      </w:tblGrid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center"/>
              <w:rPr>
                <w:sz w:val="22"/>
              </w:rPr>
            </w:pPr>
            <w:r w:rsidRPr="00CB36AC">
              <w:rPr>
                <w:b/>
                <w:sz w:val="22"/>
              </w:rPr>
              <w:t>Counties/cities</w:t>
            </w: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center"/>
              <w:rPr>
                <w:b/>
                <w:sz w:val="22"/>
              </w:rPr>
            </w:pPr>
            <w:r w:rsidRPr="00CB36AC">
              <w:rPr>
                <w:b/>
                <w:sz w:val="22"/>
              </w:rPr>
              <w:t xml:space="preserve">Year β of medical service </w:t>
            </w:r>
            <w:proofErr w:type="spellStart"/>
            <w:r w:rsidRPr="00CB36AC">
              <w:rPr>
                <w:b/>
                <w:sz w:val="22"/>
              </w:rPr>
              <w:t>FS</w:t>
            </w:r>
            <w:r w:rsidRPr="00BC097F">
              <w:rPr>
                <w:b/>
                <w:sz w:val="22"/>
                <w:vertAlign w:val="subscript"/>
              </w:rPr>
              <w:t>jo</w:t>
            </w:r>
            <w:proofErr w:type="spellEnd"/>
            <w:r w:rsidRPr="00CB36AC">
              <w:rPr>
                <w:b/>
                <w:sz w:val="22"/>
              </w:rPr>
              <w:t xml:space="preserve"> [2005, β], β=2005...,2014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center"/>
              <w:rPr>
                <w:b/>
                <w:sz w:val="22"/>
              </w:rPr>
            </w:pPr>
            <w:r w:rsidRPr="00CB36AC">
              <w:rPr>
                <w:b/>
                <w:sz w:val="22"/>
              </w:rPr>
              <w:t>Annual</w:t>
            </w:r>
          </w:p>
          <w:p w:rsidR="00C8313C" w:rsidRPr="00CB36AC" w:rsidRDefault="00C8313C" w:rsidP="00AE12C3">
            <w:pPr>
              <w:jc w:val="center"/>
              <w:rPr>
                <w:sz w:val="22"/>
              </w:rPr>
            </w:pPr>
            <w:r w:rsidRPr="00CB36AC">
              <w:rPr>
                <w:b/>
                <w:sz w:val="22"/>
              </w:rPr>
              <w:t>change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2014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r w:rsidRPr="00CB36AC">
              <w:rPr>
                <w:sz w:val="22"/>
              </w:rPr>
              <w:t>Kaohsiung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0.982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proofErr w:type="spellStart"/>
            <w:r w:rsidRPr="00CB36AC">
              <w:rPr>
                <w:sz w:val="22"/>
              </w:rPr>
              <w:t>Hualien</w:t>
            </w:r>
            <w:proofErr w:type="spellEnd"/>
            <w:r w:rsidRPr="00CB36AC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0.967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r w:rsidRPr="00CB36AC">
              <w:rPr>
                <w:sz w:val="22"/>
              </w:rPr>
              <w:t>Keelung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0.968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proofErr w:type="spellStart"/>
            <w:r w:rsidRPr="00CB36AC">
              <w:rPr>
                <w:sz w:val="22"/>
              </w:rPr>
              <w:t>Chiayi</w:t>
            </w:r>
            <w:proofErr w:type="spellEnd"/>
            <w:r w:rsidRPr="00CB36AC">
              <w:rPr>
                <w:sz w:val="22"/>
              </w:rPr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0.981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proofErr w:type="spellStart"/>
            <w:r w:rsidRPr="00CB36AC">
              <w:rPr>
                <w:sz w:val="22"/>
              </w:rPr>
              <w:t>Chiayi</w:t>
            </w:r>
            <w:proofErr w:type="spellEnd"/>
            <w:r w:rsidRPr="00CB36AC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0.965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proofErr w:type="spellStart"/>
            <w:r w:rsidRPr="00CB36AC">
              <w:rPr>
                <w:sz w:val="22"/>
              </w:rPr>
              <w:t>Kinmen</w:t>
            </w:r>
            <w:proofErr w:type="spellEnd"/>
            <w:r w:rsidRPr="00CB36AC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1.043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proofErr w:type="spellStart"/>
            <w:r w:rsidRPr="00CB36AC">
              <w:rPr>
                <w:sz w:val="22"/>
              </w:rPr>
              <w:t>Lianjiang</w:t>
            </w:r>
            <w:proofErr w:type="spellEnd"/>
            <w:r w:rsidRPr="00CB36AC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0.972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proofErr w:type="spellStart"/>
            <w:r w:rsidRPr="00CB36AC">
              <w:rPr>
                <w:sz w:val="22"/>
              </w:rPr>
              <w:t>Miaoli</w:t>
            </w:r>
            <w:proofErr w:type="spellEnd"/>
            <w:r w:rsidRPr="00CB36AC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0.967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proofErr w:type="spellStart"/>
            <w:r w:rsidRPr="00CB36AC">
              <w:rPr>
                <w:sz w:val="22"/>
              </w:rPr>
              <w:t>Nantou</w:t>
            </w:r>
            <w:proofErr w:type="spellEnd"/>
            <w:r w:rsidRPr="00CB36AC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0.963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r w:rsidRPr="00CB36AC">
              <w:rPr>
                <w:sz w:val="22"/>
              </w:rPr>
              <w:t>Penghu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1.02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proofErr w:type="spellStart"/>
            <w:r w:rsidRPr="00CB36AC">
              <w:rPr>
                <w:sz w:val="22"/>
              </w:rPr>
              <w:t>Pingtung</w:t>
            </w:r>
            <w:proofErr w:type="spellEnd"/>
            <w:r w:rsidRPr="00CB36AC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0.965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r w:rsidRPr="00CB36AC">
              <w:rPr>
                <w:sz w:val="22"/>
              </w:rPr>
              <w:t>Taipei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0.987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proofErr w:type="spellStart"/>
            <w:r w:rsidRPr="00CB36AC">
              <w:rPr>
                <w:sz w:val="22"/>
              </w:rPr>
              <w:t>Taitung</w:t>
            </w:r>
            <w:proofErr w:type="spellEnd"/>
            <w:r w:rsidRPr="00CB36AC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r w:rsidRPr="00CB36AC">
              <w:rPr>
                <w:sz w:val="22"/>
              </w:rPr>
              <w:t>Tainan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0.973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r w:rsidRPr="00CB36AC">
              <w:rPr>
                <w:sz w:val="22"/>
              </w:rPr>
              <w:t>Taichung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0.979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proofErr w:type="spellStart"/>
            <w:r w:rsidRPr="00CB36AC">
              <w:rPr>
                <w:sz w:val="22"/>
              </w:rPr>
              <w:t>Taoyuan</w:t>
            </w:r>
            <w:proofErr w:type="spellEnd"/>
            <w:r w:rsidRPr="00CB36AC">
              <w:rPr>
                <w:sz w:val="22"/>
              </w:rPr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0.972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r w:rsidRPr="00CB36AC">
              <w:rPr>
                <w:sz w:val="22"/>
              </w:rPr>
              <w:t>New Taipei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0.986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proofErr w:type="spellStart"/>
            <w:r w:rsidRPr="00CB36AC">
              <w:rPr>
                <w:sz w:val="22"/>
              </w:rPr>
              <w:t>Hsinchu</w:t>
            </w:r>
            <w:proofErr w:type="spellEnd"/>
            <w:r w:rsidRPr="00CB36AC">
              <w:rPr>
                <w:sz w:val="22"/>
              </w:rPr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0.992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proofErr w:type="spellStart"/>
            <w:r w:rsidRPr="00CB36AC">
              <w:rPr>
                <w:sz w:val="22"/>
              </w:rPr>
              <w:t>Hsinchu</w:t>
            </w:r>
            <w:proofErr w:type="spellEnd"/>
            <w:r w:rsidRPr="00CB36AC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0.968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proofErr w:type="spellStart"/>
            <w:r w:rsidRPr="00CB36AC">
              <w:rPr>
                <w:sz w:val="22"/>
              </w:rPr>
              <w:t>Ilan</w:t>
            </w:r>
            <w:proofErr w:type="spellEnd"/>
            <w:r w:rsidRPr="00CB36AC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0.962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proofErr w:type="spellStart"/>
            <w:r w:rsidRPr="00CB36AC">
              <w:rPr>
                <w:sz w:val="22"/>
              </w:rPr>
              <w:t>Yunlin</w:t>
            </w:r>
            <w:proofErr w:type="spellEnd"/>
            <w:r w:rsidRPr="00CB36AC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0.961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proofErr w:type="spellStart"/>
            <w:r w:rsidRPr="00CB36AC">
              <w:rPr>
                <w:sz w:val="22"/>
              </w:rPr>
              <w:t>Changhua</w:t>
            </w:r>
            <w:proofErr w:type="spellEnd"/>
            <w:r w:rsidRPr="00CB36AC">
              <w:rPr>
                <w:sz w:val="22"/>
              </w:rPr>
              <w:t xml:space="preserve"> 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1.075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>0.977</w:t>
            </w:r>
          </w:p>
        </w:tc>
      </w:tr>
      <w:tr w:rsidR="00C8313C" w:rsidRPr="00365EB4" w:rsidTr="00EA780C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rPr>
                <w:sz w:val="22"/>
              </w:rPr>
            </w:pPr>
            <w:r w:rsidRPr="00CB36AC">
              <w:rPr>
                <w:sz w:val="22"/>
              </w:rPr>
              <w:t>Average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 xml:space="preserve">0.938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 xml:space="preserve">0.955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 xml:space="preserve">0.959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 xml:space="preserve">0.998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 xml:space="preserve">0.972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 xml:space="preserve">0.957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 xml:space="preserve">1.003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 xml:space="preserve">1.063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 xml:space="preserve">0.972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8313C" w:rsidRPr="00CB36AC" w:rsidRDefault="00C8313C" w:rsidP="00AE12C3">
            <w:pPr>
              <w:jc w:val="right"/>
              <w:rPr>
                <w:sz w:val="22"/>
              </w:rPr>
            </w:pPr>
            <w:r w:rsidRPr="00CB36AC">
              <w:rPr>
                <w:sz w:val="22"/>
              </w:rPr>
              <w:t xml:space="preserve">0.978 </w:t>
            </w:r>
          </w:p>
        </w:tc>
      </w:tr>
    </w:tbl>
    <w:p w:rsidR="00C8313C" w:rsidRDefault="00C8313C" w:rsidP="00AE12C3">
      <w:pPr>
        <w:rPr>
          <w:lang w:eastAsia="zh-TW"/>
        </w:rPr>
      </w:pPr>
    </w:p>
    <w:p w:rsidR="00C8313C" w:rsidRDefault="00C8313C" w:rsidP="00AE12C3">
      <w:pPr>
        <w:pStyle w:val="Figurecaption"/>
        <w:spacing w:line="480" w:lineRule="auto"/>
        <w:rPr>
          <w:lang w:eastAsia="zh-TW"/>
        </w:rPr>
      </w:pPr>
      <w:r w:rsidRPr="00365EB4">
        <w:lastRenderedPageBreak/>
        <w:t>Fig</w:t>
      </w:r>
      <w:r>
        <w:rPr>
          <w:rFonts w:hint="eastAsia"/>
          <w:lang w:eastAsia="zh-TW"/>
        </w:rPr>
        <w:t>ure</w:t>
      </w:r>
      <w:r>
        <w:rPr>
          <w:rFonts w:hint="eastAsia"/>
        </w:rPr>
        <w:t>1</w:t>
      </w:r>
      <w:r>
        <w:rPr>
          <w:rFonts w:hint="eastAsia"/>
          <w:lang w:eastAsia="zh-TW"/>
        </w:rPr>
        <w:t>.</w:t>
      </w:r>
      <w:r w:rsidRPr="00365EB4">
        <w:t xml:space="preserve"> Three indices for </w:t>
      </w:r>
      <w:proofErr w:type="spellStart"/>
      <w:r w:rsidRPr="00365EB4">
        <w:t>Hsinchu</w:t>
      </w:r>
      <w:proofErr w:type="spellEnd"/>
      <w:r w:rsidRPr="00365EB4">
        <w:t xml:space="preserve"> County</w:t>
      </w:r>
    </w:p>
    <w:p w:rsidR="00C8313C" w:rsidRDefault="00C8313C" w:rsidP="00AE12C3">
      <w:pPr>
        <w:rPr>
          <w:lang w:eastAsia="zh-TW"/>
        </w:rPr>
      </w:pPr>
      <w:r w:rsidRPr="004D451A">
        <w:rPr>
          <w:noProof/>
          <w:lang w:val="en-US" w:eastAsia="zh-TW"/>
        </w:rPr>
        <w:drawing>
          <wp:inline distT="0" distB="0" distL="0" distR="0">
            <wp:extent cx="4591050" cy="2749550"/>
            <wp:effectExtent l="0" t="0" r="0" b="0"/>
            <wp:docPr id="1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表 1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41" w:rsidRDefault="00840841" w:rsidP="00AE12C3">
      <w:pPr>
        <w:rPr>
          <w:lang w:eastAsia="zh-TW"/>
        </w:rPr>
      </w:pPr>
    </w:p>
    <w:p w:rsidR="00840841" w:rsidRDefault="00840841" w:rsidP="00AE12C3">
      <w:pPr>
        <w:rPr>
          <w:lang w:eastAsia="zh-TW"/>
        </w:rPr>
      </w:pPr>
    </w:p>
    <w:p w:rsidR="00FC219D" w:rsidRDefault="00FC219D" w:rsidP="00AE12C3">
      <w:pPr>
        <w:rPr>
          <w:lang w:eastAsia="zh-TW"/>
        </w:rPr>
      </w:pPr>
    </w:p>
    <w:p w:rsidR="00FC219D" w:rsidRDefault="00FC219D" w:rsidP="00AE12C3">
      <w:pPr>
        <w:rPr>
          <w:lang w:eastAsia="zh-TW"/>
        </w:rPr>
      </w:pPr>
    </w:p>
    <w:p w:rsidR="00FC219D" w:rsidRDefault="00FC219D" w:rsidP="00AE12C3">
      <w:pPr>
        <w:rPr>
          <w:lang w:eastAsia="zh-TW"/>
        </w:rPr>
      </w:pPr>
    </w:p>
    <w:p w:rsidR="00FC219D" w:rsidRDefault="00FC219D" w:rsidP="00AE12C3">
      <w:pPr>
        <w:rPr>
          <w:lang w:eastAsia="zh-TW"/>
        </w:rPr>
      </w:pPr>
    </w:p>
    <w:p w:rsidR="00FC219D" w:rsidRDefault="00FC219D" w:rsidP="00AE12C3">
      <w:pPr>
        <w:rPr>
          <w:lang w:eastAsia="zh-TW"/>
        </w:rPr>
      </w:pPr>
    </w:p>
    <w:p w:rsidR="00FC219D" w:rsidRDefault="00FC219D" w:rsidP="00AE12C3">
      <w:pPr>
        <w:rPr>
          <w:lang w:eastAsia="zh-TW"/>
        </w:rPr>
      </w:pPr>
    </w:p>
    <w:p w:rsidR="00FC219D" w:rsidRDefault="00FC219D" w:rsidP="00AE12C3">
      <w:pPr>
        <w:rPr>
          <w:lang w:eastAsia="zh-TW"/>
        </w:rPr>
      </w:pPr>
    </w:p>
    <w:p w:rsidR="00FC219D" w:rsidRDefault="00FC219D" w:rsidP="00AE12C3">
      <w:pPr>
        <w:rPr>
          <w:lang w:eastAsia="zh-TW"/>
        </w:rPr>
      </w:pPr>
    </w:p>
    <w:p w:rsidR="00C8313C" w:rsidRDefault="00C8313C" w:rsidP="00AE12C3">
      <w:pPr>
        <w:pStyle w:val="Figurecaption"/>
        <w:spacing w:line="480" w:lineRule="auto"/>
        <w:rPr>
          <w:lang w:eastAsia="zh-TW"/>
        </w:rPr>
      </w:pPr>
      <w:r w:rsidRPr="00365EB4">
        <w:lastRenderedPageBreak/>
        <w:t>Fig</w:t>
      </w:r>
      <w:r>
        <w:rPr>
          <w:rFonts w:hint="eastAsia"/>
          <w:lang w:eastAsia="zh-TW"/>
        </w:rPr>
        <w:t>ure</w:t>
      </w:r>
      <w:r>
        <w:rPr>
          <w:rFonts w:hint="eastAsia"/>
        </w:rPr>
        <w:t>2</w:t>
      </w:r>
      <w:r>
        <w:rPr>
          <w:rFonts w:hint="eastAsia"/>
          <w:lang w:eastAsia="zh-TW"/>
        </w:rPr>
        <w:t>.</w:t>
      </w:r>
      <w:r w:rsidR="00B717AE">
        <w:t>C</w:t>
      </w:r>
      <w:r w:rsidR="00B717AE" w:rsidRPr="00365EB4">
        <w:t>hange</w:t>
      </w:r>
      <w:r w:rsidR="00B717AE">
        <w:t>s in m</w:t>
      </w:r>
      <w:r w:rsidRPr="00365EB4">
        <w:t>edical service production efficiency</w:t>
      </w:r>
      <w:r w:rsidR="00D77EB7">
        <w:t xml:space="preserve"> at industry level</w:t>
      </w:r>
      <w:bookmarkStart w:id="17" w:name="_GoBack"/>
      <w:bookmarkEnd w:id="17"/>
    </w:p>
    <w:p w:rsidR="00C8313C" w:rsidRPr="00833C33" w:rsidRDefault="00C8313C" w:rsidP="00AE12C3">
      <w:pPr>
        <w:rPr>
          <w:lang w:eastAsia="zh-TW"/>
        </w:rPr>
      </w:pPr>
      <w:r w:rsidRPr="00833C33">
        <w:rPr>
          <w:noProof/>
          <w:lang w:val="en-US" w:eastAsia="zh-TW"/>
        </w:rPr>
        <w:drawing>
          <wp:inline distT="0" distB="0" distL="0" distR="0">
            <wp:extent cx="4591050" cy="2749550"/>
            <wp:effectExtent l="0" t="0" r="0" b="0"/>
            <wp:docPr id="2" name="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表 2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713" w:rsidRDefault="00FE4713" w:rsidP="00AE12C3">
      <w:pPr>
        <w:pStyle w:val="Figurecaption"/>
        <w:spacing w:line="480" w:lineRule="auto"/>
      </w:pPr>
    </w:p>
    <w:sectPr w:rsidR="00FE4713" w:rsidSect="00AE12C3">
      <w:pgSz w:w="11901" w:h="16840" w:code="9"/>
      <w:pgMar w:top="2835" w:right="1701" w:bottom="2835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9C6584" w15:done="0"/>
  <w15:commentEx w15:paraId="52EF5E2E" w15:done="0"/>
  <w15:commentEx w15:paraId="43FCF3C3" w15:done="0"/>
  <w15:commentEx w15:paraId="5A204CA4" w15:done="0"/>
  <w15:commentEx w15:paraId="2429106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B81" w:rsidRDefault="000C1B81" w:rsidP="00AF2C92">
      <w:r>
        <w:separator/>
      </w:r>
    </w:p>
  </w:endnote>
  <w:endnote w:type="continuationSeparator" w:id="1">
    <w:p w:rsidR="000C1B81" w:rsidRDefault="000C1B81" w:rsidP="00AF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B81" w:rsidRDefault="000C1B81" w:rsidP="00AF2C92">
      <w:r>
        <w:separator/>
      </w:r>
    </w:p>
  </w:footnote>
  <w:footnote w:type="continuationSeparator" w:id="1">
    <w:p w:rsidR="000C1B81" w:rsidRDefault="000C1B81" w:rsidP="00AF2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82008"/>
    <w:multiLevelType w:val="multilevel"/>
    <w:tmpl w:val="6908C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F702D"/>
    <w:multiLevelType w:val="multilevel"/>
    <w:tmpl w:val="ADF4D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10A63"/>
    <w:multiLevelType w:val="hybridMultilevel"/>
    <w:tmpl w:val="5D32D47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9"/>
  </w:num>
  <w:num w:numId="14">
    <w:abstractNumId w:val="22"/>
  </w:num>
  <w:num w:numId="15">
    <w:abstractNumId w:val="14"/>
  </w:num>
  <w:num w:numId="16">
    <w:abstractNumId w:val="18"/>
  </w:num>
  <w:num w:numId="17">
    <w:abstractNumId w:val="11"/>
  </w:num>
  <w:num w:numId="18">
    <w:abstractNumId w:val="0"/>
  </w:num>
  <w:num w:numId="19">
    <w:abstractNumId w:val="1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19"/>
  </w:num>
  <w:num w:numId="25">
    <w:abstractNumId w:val="20"/>
  </w:num>
  <w:num w:numId="26">
    <w:abstractNumId w:val="23"/>
  </w:num>
  <w:num w:numId="27">
    <w:abstractNumId w:val="24"/>
  </w:num>
  <w:num w:numId="28">
    <w:abstractNumId w:val="22"/>
  </w:num>
  <w:num w:numId="29">
    <w:abstractNumId w:val="13"/>
  </w:num>
  <w:num w:numId="30">
    <w:abstractNumId w:val="25"/>
  </w:num>
  <w:num w:numId="31">
    <w:abstractNumId w:val="15"/>
  </w:num>
  <w:num w:numId="32">
    <w:abstractNumId w:val="26"/>
  </w:num>
  <w:num w:numId="33">
    <w:abstractNumId w:val="1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ire Falconer">
    <w15:presenceInfo w15:providerId="Windows Live" w15:userId="cc6ee73930ed4b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1008"/>
  <w:defaultTabStop w:val="720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rUwNjQ0tTAyszAxNDZS0lEKTi0uzszPAykwqgUAK+PVT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nviron Econ Mg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71F4B"/>
    <w:rsid w:val="00001899"/>
    <w:rsid w:val="000049AD"/>
    <w:rsid w:val="0000681B"/>
    <w:rsid w:val="000108B2"/>
    <w:rsid w:val="000133C0"/>
    <w:rsid w:val="00014C4E"/>
    <w:rsid w:val="00017107"/>
    <w:rsid w:val="000202E2"/>
    <w:rsid w:val="00022441"/>
    <w:rsid w:val="0002261E"/>
    <w:rsid w:val="00023F22"/>
    <w:rsid w:val="00024839"/>
    <w:rsid w:val="00026871"/>
    <w:rsid w:val="00037A98"/>
    <w:rsid w:val="00040538"/>
    <w:rsid w:val="000427FB"/>
    <w:rsid w:val="00043EA8"/>
    <w:rsid w:val="0004455E"/>
    <w:rsid w:val="00047CB5"/>
    <w:rsid w:val="000515DD"/>
    <w:rsid w:val="00051FAA"/>
    <w:rsid w:val="000572A9"/>
    <w:rsid w:val="00061325"/>
    <w:rsid w:val="000675DF"/>
    <w:rsid w:val="000733AC"/>
    <w:rsid w:val="00074B81"/>
    <w:rsid w:val="00074D22"/>
    <w:rsid w:val="00075081"/>
    <w:rsid w:val="0007528A"/>
    <w:rsid w:val="000811AB"/>
    <w:rsid w:val="00083C5F"/>
    <w:rsid w:val="000852A6"/>
    <w:rsid w:val="0009172C"/>
    <w:rsid w:val="000930EC"/>
    <w:rsid w:val="00095E61"/>
    <w:rsid w:val="000960D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1B81"/>
    <w:rsid w:val="000C3C3F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4A51"/>
    <w:rsid w:val="001372F1"/>
    <w:rsid w:val="00140727"/>
    <w:rsid w:val="00156EA3"/>
    <w:rsid w:val="00160628"/>
    <w:rsid w:val="00161344"/>
    <w:rsid w:val="00162195"/>
    <w:rsid w:val="0016322A"/>
    <w:rsid w:val="00164A9C"/>
    <w:rsid w:val="00165A21"/>
    <w:rsid w:val="00167C7E"/>
    <w:rsid w:val="001705CE"/>
    <w:rsid w:val="00174031"/>
    <w:rsid w:val="0017714B"/>
    <w:rsid w:val="001804DF"/>
    <w:rsid w:val="00181BDC"/>
    <w:rsid w:val="00181DB0"/>
    <w:rsid w:val="001829E3"/>
    <w:rsid w:val="001924C0"/>
    <w:rsid w:val="0019731E"/>
    <w:rsid w:val="001A09FE"/>
    <w:rsid w:val="001A675B"/>
    <w:rsid w:val="001A67C9"/>
    <w:rsid w:val="001A69DE"/>
    <w:rsid w:val="001A713C"/>
    <w:rsid w:val="001B1C7C"/>
    <w:rsid w:val="001B398F"/>
    <w:rsid w:val="001B4494"/>
    <w:rsid w:val="001B46C6"/>
    <w:rsid w:val="001B4B48"/>
    <w:rsid w:val="001B4D1F"/>
    <w:rsid w:val="001B692D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4178"/>
    <w:rsid w:val="00236F4B"/>
    <w:rsid w:val="00242B0D"/>
    <w:rsid w:val="002467C6"/>
    <w:rsid w:val="0024692A"/>
    <w:rsid w:val="002473D5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0A0"/>
    <w:rsid w:val="002C53EE"/>
    <w:rsid w:val="002C73D8"/>
    <w:rsid w:val="002D24F7"/>
    <w:rsid w:val="002D2799"/>
    <w:rsid w:val="002D2CD7"/>
    <w:rsid w:val="002D4DDC"/>
    <w:rsid w:val="002D4F75"/>
    <w:rsid w:val="002D6493"/>
    <w:rsid w:val="002D7AB6"/>
    <w:rsid w:val="002E041C"/>
    <w:rsid w:val="002E06D0"/>
    <w:rsid w:val="002E3C27"/>
    <w:rsid w:val="002E403A"/>
    <w:rsid w:val="002E7F3A"/>
    <w:rsid w:val="002F4EDB"/>
    <w:rsid w:val="002F6054"/>
    <w:rsid w:val="0030041D"/>
    <w:rsid w:val="003065B0"/>
    <w:rsid w:val="00310E13"/>
    <w:rsid w:val="00315713"/>
    <w:rsid w:val="0031686C"/>
    <w:rsid w:val="00316FE0"/>
    <w:rsid w:val="003204D2"/>
    <w:rsid w:val="00321CA4"/>
    <w:rsid w:val="0032605E"/>
    <w:rsid w:val="003275D1"/>
    <w:rsid w:val="00330B2A"/>
    <w:rsid w:val="00331E17"/>
    <w:rsid w:val="00333063"/>
    <w:rsid w:val="003346B8"/>
    <w:rsid w:val="003408E3"/>
    <w:rsid w:val="00343480"/>
    <w:rsid w:val="00344067"/>
    <w:rsid w:val="00345E89"/>
    <w:rsid w:val="003522A1"/>
    <w:rsid w:val="0035254B"/>
    <w:rsid w:val="00353555"/>
    <w:rsid w:val="00355F71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05B5"/>
    <w:rsid w:val="003C3AE8"/>
    <w:rsid w:val="003C7176"/>
    <w:rsid w:val="003D0929"/>
    <w:rsid w:val="003D4729"/>
    <w:rsid w:val="003D5CBF"/>
    <w:rsid w:val="003D7DD6"/>
    <w:rsid w:val="003E0EEE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35B2"/>
    <w:rsid w:val="004349EE"/>
    <w:rsid w:val="00435939"/>
    <w:rsid w:val="00437CC7"/>
    <w:rsid w:val="00442B9C"/>
    <w:rsid w:val="00443E29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03A8"/>
    <w:rsid w:val="004907D0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C7193"/>
    <w:rsid w:val="004D0EDC"/>
    <w:rsid w:val="004D1220"/>
    <w:rsid w:val="004D14B3"/>
    <w:rsid w:val="004D1529"/>
    <w:rsid w:val="004D2253"/>
    <w:rsid w:val="004D451A"/>
    <w:rsid w:val="004D5514"/>
    <w:rsid w:val="004D56C3"/>
    <w:rsid w:val="004E0338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0A4"/>
    <w:rsid w:val="00525E06"/>
    <w:rsid w:val="00526454"/>
    <w:rsid w:val="00526C85"/>
    <w:rsid w:val="00531823"/>
    <w:rsid w:val="00534ECC"/>
    <w:rsid w:val="0053720D"/>
    <w:rsid w:val="00540EF5"/>
    <w:rsid w:val="00541BF3"/>
    <w:rsid w:val="00541CD3"/>
    <w:rsid w:val="00545C4E"/>
    <w:rsid w:val="005476FA"/>
    <w:rsid w:val="0055264B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84750"/>
    <w:rsid w:val="005920B0"/>
    <w:rsid w:val="0059380D"/>
    <w:rsid w:val="00595A8F"/>
    <w:rsid w:val="0059667E"/>
    <w:rsid w:val="005977C2"/>
    <w:rsid w:val="00597BF2"/>
    <w:rsid w:val="005A27A8"/>
    <w:rsid w:val="005B134E"/>
    <w:rsid w:val="005B2039"/>
    <w:rsid w:val="005B344F"/>
    <w:rsid w:val="005B3FBA"/>
    <w:rsid w:val="005B4A1D"/>
    <w:rsid w:val="005B674D"/>
    <w:rsid w:val="005B7C41"/>
    <w:rsid w:val="005C0CBE"/>
    <w:rsid w:val="005C1FCF"/>
    <w:rsid w:val="005D1885"/>
    <w:rsid w:val="005D4872"/>
    <w:rsid w:val="005D4A38"/>
    <w:rsid w:val="005E0AC7"/>
    <w:rsid w:val="005E2EEA"/>
    <w:rsid w:val="005E3708"/>
    <w:rsid w:val="005E3CCD"/>
    <w:rsid w:val="005E3D6B"/>
    <w:rsid w:val="005E5B55"/>
    <w:rsid w:val="005E5E4A"/>
    <w:rsid w:val="005E693D"/>
    <w:rsid w:val="005E75BF"/>
    <w:rsid w:val="005F3526"/>
    <w:rsid w:val="005F57BA"/>
    <w:rsid w:val="005F61E6"/>
    <w:rsid w:val="005F6C45"/>
    <w:rsid w:val="00605A69"/>
    <w:rsid w:val="00606C54"/>
    <w:rsid w:val="00614375"/>
    <w:rsid w:val="00615B0A"/>
    <w:rsid w:val="006168CF"/>
    <w:rsid w:val="00617E12"/>
    <w:rsid w:val="0062011B"/>
    <w:rsid w:val="00626DE0"/>
    <w:rsid w:val="00630901"/>
    <w:rsid w:val="00631F8E"/>
    <w:rsid w:val="00636EE9"/>
    <w:rsid w:val="00640950"/>
    <w:rsid w:val="00641AE7"/>
    <w:rsid w:val="00642629"/>
    <w:rsid w:val="006513A7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52A6"/>
    <w:rsid w:val="00685D99"/>
    <w:rsid w:val="00687217"/>
    <w:rsid w:val="00693302"/>
    <w:rsid w:val="0069640B"/>
    <w:rsid w:val="006A1B83"/>
    <w:rsid w:val="006A21CD"/>
    <w:rsid w:val="006A5465"/>
    <w:rsid w:val="006A5918"/>
    <w:rsid w:val="006B21B2"/>
    <w:rsid w:val="006B4A4A"/>
    <w:rsid w:val="006C19B2"/>
    <w:rsid w:val="006C4409"/>
    <w:rsid w:val="006C5BB8"/>
    <w:rsid w:val="006C6936"/>
    <w:rsid w:val="006C7B01"/>
    <w:rsid w:val="006D0F98"/>
    <w:rsid w:val="006D0FE8"/>
    <w:rsid w:val="006D481B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0709F"/>
    <w:rsid w:val="00711799"/>
    <w:rsid w:val="00712B78"/>
    <w:rsid w:val="0071393B"/>
    <w:rsid w:val="00713EE2"/>
    <w:rsid w:val="00714F25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2C3"/>
    <w:rsid w:val="007449B2"/>
    <w:rsid w:val="00744C8E"/>
    <w:rsid w:val="00745608"/>
    <w:rsid w:val="0074707E"/>
    <w:rsid w:val="007509DA"/>
    <w:rsid w:val="007516DC"/>
    <w:rsid w:val="00752E58"/>
    <w:rsid w:val="00754B6C"/>
    <w:rsid w:val="00754B80"/>
    <w:rsid w:val="00761918"/>
    <w:rsid w:val="00762F03"/>
    <w:rsid w:val="0076413B"/>
    <w:rsid w:val="007648AE"/>
    <w:rsid w:val="00764BF8"/>
    <w:rsid w:val="0076514D"/>
    <w:rsid w:val="007678DD"/>
    <w:rsid w:val="00773D59"/>
    <w:rsid w:val="00774087"/>
    <w:rsid w:val="00775B5A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26C42"/>
    <w:rsid w:val="00831A50"/>
    <w:rsid w:val="00831B3C"/>
    <w:rsid w:val="00831C89"/>
    <w:rsid w:val="00832114"/>
    <w:rsid w:val="00833C33"/>
    <w:rsid w:val="00834C46"/>
    <w:rsid w:val="008360C9"/>
    <w:rsid w:val="00840841"/>
    <w:rsid w:val="0084093E"/>
    <w:rsid w:val="00841CE1"/>
    <w:rsid w:val="008473D8"/>
    <w:rsid w:val="008528DC"/>
    <w:rsid w:val="00852B8C"/>
    <w:rsid w:val="00854981"/>
    <w:rsid w:val="00861F67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40A4"/>
    <w:rsid w:val="008854F7"/>
    <w:rsid w:val="00885A9D"/>
    <w:rsid w:val="008901EE"/>
    <w:rsid w:val="00892468"/>
    <w:rsid w:val="008929D2"/>
    <w:rsid w:val="00893636"/>
    <w:rsid w:val="00893B94"/>
    <w:rsid w:val="00896E9D"/>
    <w:rsid w:val="00896F11"/>
    <w:rsid w:val="008A09A6"/>
    <w:rsid w:val="008A1049"/>
    <w:rsid w:val="008A1C98"/>
    <w:rsid w:val="008A322D"/>
    <w:rsid w:val="008A32DA"/>
    <w:rsid w:val="008A4D72"/>
    <w:rsid w:val="008A6285"/>
    <w:rsid w:val="008A63B2"/>
    <w:rsid w:val="008B2065"/>
    <w:rsid w:val="008B2765"/>
    <w:rsid w:val="008B345D"/>
    <w:rsid w:val="008C1FC2"/>
    <w:rsid w:val="008C2980"/>
    <w:rsid w:val="008C4DD6"/>
    <w:rsid w:val="008C5AFB"/>
    <w:rsid w:val="008D056D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505D"/>
    <w:rsid w:val="009170BE"/>
    <w:rsid w:val="00920B55"/>
    <w:rsid w:val="009262C9"/>
    <w:rsid w:val="00926A43"/>
    <w:rsid w:val="00930EB9"/>
    <w:rsid w:val="00933D9E"/>
    <w:rsid w:val="00933DC7"/>
    <w:rsid w:val="009418F4"/>
    <w:rsid w:val="00942BBC"/>
    <w:rsid w:val="00944180"/>
    <w:rsid w:val="00944AA0"/>
    <w:rsid w:val="00947DA2"/>
    <w:rsid w:val="00950757"/>
    <w:rsid w:val="00951177"/>
    <w:rsid w:val="0096711E"/>
    <w:rsid w:val="009673E8"/>
    <w:rsid w:val="00974DB8"/>
    <w:rsid w:val="00980661"/>
    <w:rsid w:val="0098093B"/>
    <w:rsid w:val="009876D4"/>
    <w:rsid w:val="009914A5"/>
    <w:rsid w:val="00992A0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22E"/>
    <w:rsid w:val="009C6FE2"/>
    <w:rsid w:val="009C7674"/>
    <w:rsid w:val="009D004A"/>
    <w:rsid w:val="009D5880"/>
    <w:rsid w:val="009D763C"/>
    <w:rsid w:val="009E1FD4"/>
    <w:rsid w:val="009E3B07"/>
    <w:rsid w:val="009E51D1"/>
    <w:rsid w:val="009E5531"/>
    <w:rsid w:val="009F171E"/>
    <w:rsid w:val="009F3D2F"/>
    <w:rsid w:val="009F63AD"/>
    <w:rsid w:val="009F7052"/>
    <w:rsid w:val="00A02668"/>
    <w:rsid w:val="00A02801"/>
    <w:rsid w:val="00A06A39"/>
    <w:rsid w:val="00A07F58"/>
    <w:rsid w:val="00A131CB"/>
    <w:rsid w:val="00A14847"/>
    <w:rsid w:val="00A16D6D"/>
    <w:rsid w:val="00A212AB"/>
    <w:rsid w:val="00A21383"/>
    <w:rsid w:val="00A2199F"/>
    <w:rsid w:val="00A21B31"/>
    <w:rsid w:val="00A2360E"/>
    <w:rsid w:val="00A2669B"/>
    <w:rsid w:val="00A26E0C"/>
    <w:rsid w:val="00A32FCB"/>
    <w:rsid w:val="00A34C25"/>
    <w:rsid w:val="00A3507D"/>
    <w:rsid w:val="00A3717A"/>
    <w:rsid w:val="00A4088C"/>
    <w:rsid w:val="00A40C48"/>
    <w:rsid w:val="00A4456B"/>
    <w:rsid w:val="00A448D4"/>
    <w:rsid w:val="00A452E0"/>
    <w:rsid w:val="00A51EA5"/>
    <w:rsid w:val="00A53742"/>
    <w:rsid w:val="00A557A1"/>
    <w:rsid w:val="00A57930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2C3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5AB1"/>
    <w:rsid w:val="00B0705C"/>
    <w:rsid w:val="00B077FA"/>
    <w:rsid w:val="00B127D7"/>
    <w:rsid w:val="00B13B0C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1C1B"/>
    <w:rsid w:val="00B62999"/>
    <w:rsid w:val="00B63BE3"/>
    <w:rsid w:val="00B64885"/>
    <w:rsid w:val="00B66810"/>
    <w:rsid w:val="00B717AE"/>
    <w:rsid w:val="00B71F4B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A690E"/>
    <w:rsid w:val="00BB025A"/>
    <w:rsid w:val="00BB02A4"/>
    <w:rsid w:val="00BB1270"/>
    <w:rsid w:val="00BB1E44"/>
    <w:rsid w:val="00BB5267"/>
    <w:rsid w:val="00BB52B8"/>
    <w:rsid w:val="00BB59D8"/>
    <w:rsid w:val="00BB6DA8"/>
    <w:rsid w:val="00BB76B5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C00EDB"/>
    <w:rsid w:val="00C02863"/>
    <w:rsid w:val="00C0383A"/>
    <w:rsid w:val="00C05A0D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26206"/>
    <w:rsid w:val="00C30A2A"/>
    <w:rsid w:val="00C33993"/>
    <w:rsid w:val="00C4069E"/>
    <w:rsid w:val="00C41ADC"/>
    <w:rsid w:val="00C44149"/>
    <w:rsid w:val="00C44410"/>
    <w:rsid w:val="00C44A15"/>
    <w:rsid w:val="00C4527F"/>
    <w:rsid w:val="00C4630A"/>
    <w:rsid w:val="00C523F0"/>
    <w:rsid w:val="00C526D2"/>
    <w:rsid w:val="00C53A91"/>
    <w:rsid w:val="00C56A10"/>
    <w:rsid w:val="00C5794E"/>
    <w:rsid w:val="00C60968"/>
    <w:rsid w:val="00C63D39"/>
    <w:rsid w:val="00C63EDD"/>
    <w:rsid w:val="00C65B36"/>
    <w:rsid w:val="00C7292E"/>
    <w:rsid w:val="00C74E88"/>
    <w:rsid w:val="00C7659C"/>
    <w:rsid w:val="00C80924"/>
    <w:rsid w:val="00C8286B"/>
    <w:rsid w:val="00C8313C"/>
    <w:rsid w:val="00C846E9"/>
    <w:rsid w:val="00C947F8"/>
    <w:rsid w:val="00C9515F"/>
    <w:rsid w:val="00C963C5"/>
    <w:rsid w:val="00CA030C"/>
    <w:rsid w:val="00CA1F41"/>
    <w:rsid w:val="00CA32EE"/>
    <w:rsid w:val="00CA5771"/>
    <w:rsid w:val="00CA6A1A"/>
    <w:rsid w:val="00CB0E1E"/>
    <w:rsid w:val="00CC1E75"/>
    <w:rsid w:val="00CC21FC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D7A23"/>
    <w:rsid w:val="00CE372E"/>
    <w:rsid w:val="00CF0A1B"/>
    <w:rsid w:val="00CF19F6"/>
    <w:rsid w:val="00CF2F4F"/>
    <w:rsid w:val="00CF536D"/>
    <w:rsid w:val="00CF554F"/>
    <w:rsid w:val="00D01520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5EB"/>
    <w:rsid w:val="00D379A3"/>
    <w:rsid w:val="00D42DC2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75246"/>
    <w:rsid w:val="00D77EB7"/>
    <w:rsid w:val="00D80284"/>
    <w:rsid w:val="00D81F71"/>
    <w:rsid w:val="00D8642D"/>
    <w:rsid w:val="00D90A5E"/>
    <w:rsid w:val="00D91A68"/>
    <w:rsid w:val="00D9575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353B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34F56"/>
    <w:rsid w:val="00E40488"/>
    <w:rsid w:val="00E50367"/>
    <w:rsid w:val="00E51ABA"/>
    <w:rsid w:val="00E524CB"/>
    <w:rsid w:val="00E56E2A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3483"/>
    <w:rsid w:val="00E854FE"/>
    <w:rsid w:val="00E906CC"/>
    <w:rsid w:val="00E939A0"/>
    <w:rsid w:val="00E97E4E"/>
    <w:rsid w:val="00EA1CC2"/>
    <w:rsid w:val="00EA2D76"/>
    <w:rsid w:val="00EA4644"/>
    <w:rsid w:val="00EA758A"/>
    <w:rsid w:val="00EA780C"/>
    <w:rsid w:val="00EB096F"/>
    <w:rsid w:val="00EB199F"/>
    <w:rsid w:val="00EB27C4"/>
    <w:rsid w:val="00EB40F0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40CD"/>
    <w:rsid w:val="00EF7463"/>
    <w:rsid w:val="00EF7971"/>
    <w:rsid w:val="00F002EF"/>
    <w:rsid w:val="00F01EE9"/>
    <w:rsid w:val="00F04900"/>
    <w:rsid w:val="00F065A4"/>
    <w:rsid w:val="00F11D09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18C1"/>
    <w:rsid w:val="00F32B80"/>
    <w:rsid w:val="00F340EB"/>
    <w:rsid w:val="00F344D2"/>
    <w:rsid w:val="00F35285"/>
    <w:rsid w:val="00F43B9D"/>
    <w:rsid w:val="00F44D5E"/>
    <w:rsid w:val="00F45457"/>
    <w:rsid w:val="00F4715A"/>
    <w:rsid w:val="00F5044C"/>
    <w:rsid w:val="00F53A35"/>
    <w:rsid w:val="00F53F0F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A75F2"/>
    <w:rsid w:val="00FB227E"/>
    <w:rsid w:val="00FB3D61"/>
    <w:rsid w:val="00FB44CE"/>
    <w:rsid w:val="00FB5009"/>
    <w:rsid w:val="00FB76AB"/>
    <w:rsid w:val="00FC219D"/>
    <w:rsid w:val="00FC2A3F"/>
    <w:rsid w:val="00FC6EC0"/>
    <w:rsid w:val="00FD03FE"/>
    <w:rsid w:val="00FD126E"/>
    <w:rsid w:val="00FD352E"/>
    <w:rsid w:val="00FD3C36"/>
    <w:rsid w:val="00FD4D81"/>
    <w:rsid w:val="00FD7498"/>
    <w:rsid w:val="00FD7FB3"/>
    <w:rsid w:val="00FE033C"/>
    <w:rsid w:val="00FE3287"/>
    <w:rsid w:val="00FE4713"/>
    <w:rsid w:val="00FF00D7"/>
    <w:rsid w:val="00FF1F44"/>
    <w:rsid w:val="00FF225E"/>
    <w:rsid w:val="00FF672C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1">
    <w:name w:val="heading 1"/>
    <w:basedOn w:val="a"/>
    <w:next w:val="Paragraph"/>
    <w:link w:val="10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Paragraph"/>
    <w:link w:val="20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Paragraph"/>
    <w:link w:val="30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4">
    <w:name w:val="heading 4"/>
    <w:basedOn w:val="Paragraph"/>
    <w:next w:val="Newparagraph"/>
    <w:link w:val="40"/>
    <w:rsid w:val="00F43B9D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 title"/>
    <w:basedOn w:val="a"/>
    <w:next w:val="a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a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"/>
    <w:qFormat/>
    <w:rsid w:val="00CC474B"/>
  </w:style>
  <w:style w:type="paragraph" w:customStyle="1" w:styleId="Abstract">
    <w:name w:val="Abstract"/>
    <w:basedOn w:val="a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a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a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a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a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a"/>
    <w:next w:val="a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a"/>
    <w:next w:val="a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a"/>
    <w:next w:val="a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a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a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a"/>
    <w:next w:val="a"/>
    <w:rsid w:val="00562DEF"/>
  </w:style>
  <w:style w:type="paragraph" w:customStyle="1" w:styleId="Paragraph">
    <w:name w:val="Paragraph"/>
    <w:basedOn w:val="a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a"/>
    <w:link w:val="Newparagraph0"/>
    <w:qFormat/>
    <w:rsid w:val="00AE2F8D"/>
    <w:pPr>
      <w:ind w:firstLine="720"/>
    </w:pPr>
  </w:style>
  <w:style w:type="paragraph" w:styleId="a3">
    <w:name w:val="Normal Indent"/>
    <w:basedOn w:val="a"/>
    <w:rsid w:val="00526454"/>
    <w:pPr>
      <w:ind w:left="720"/>
    </w:pPr>
  </w:style>
  <w:style w:type="paragraph" w:customStyle="1" w:styleId="References">
    <w:name w:val="References"/>
    <w:basedOn w:val="a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20">
    <w:name w:val="標題 2 字元"/>
    <w:basedOn w:val="a0"/>
    <w:link w:val="2"/>
    <w:rsid w:val="008D07FB"/>
    <w:rPr>
      <w:rFonts w:cs="Arial"/>
      <w:b/>
      <w:bCs/>
      <w:i/>
      <w:iCs/>
      <w:sz w:val="24"/>
      <w:szCs w:val="28"/>
    </w:rPr>
  </w:style>
  <w:style w:type="character" w:customStyle="1" w:styleId="10">
    <w:name w:val="標題 1 字元"/>
    <w:basedOn w:val="a0"/>
    <w:link w:val="1"/>
    <w:rsid w:val="00AE1ED4"/>
    <w:rPr>
      <w:rFonts w:cs="Arial"/>
      <w:b/>
      <w:bCs/>
      <w:kern w:val="32"/>
      <w:sz w:val="24"/>
      <w:szCs w:val="32"/>
    </w:rPr>
  </w:style>
  <w:style w:type="character" w:customStyle="1" w:styleId="30">
    <w:name w:val="標題 3 字元"/>
    <w:basedOn w:val="a0"/>
    <w:link w:val="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a4">
    <w:name w:val="footnote text"/>
    <w:basedOn w:val="a"/>
    <w:link w:val="a5"/>
    <w:autoRedefine/>
    <w:rsid w:val="006C19B2"/>
    <w:pPr>
      <w:ind w:left="284" w:hanging="284"/>
    </w:pPr>
    <w:rPr>
      <w:sz w:val="22"/>
      <w:szCs w:val="20"/>
    </w:rPr>
  </w:style>
  <w:style w:type="character" w:customStyle="1" w:styleId="a5">
    <w:name w:val="註腳文字 字元"/>
    <w:basedOn w:val="a0"/>
    <w:link w:val="a4"/>
    <w:rsid w:val="006C19B2"/>
    <w:rPr>
      <w:sz w:val="22"/>
    </w:rPr>
  </w:style>
  <w:style w:type="character" w:styleId="a6">
    <w:name w:val="footnote reference"/>
    <w:basedOn w:val="a0"/>
    <w:rsid w:val="00AF2C92"/>
    <w:rPr>
      <w:vertAlign w:val="superscript"/>
    </w:rPr>
  </w:style>
  <w:style w:type="paragraph" w:styleId="a7">
    <w:name w:val="endnote text"/>
    <w:basedOn w:val="a"/>
    <w:link w:val="a8"/>
    <w:autoRedefine/>
    <w:rsid w:val="006C19B2"/>
    <w:pPr>
      <w:ind w:left="284" w:hanging="284"/>
    </w:pPr>
    <w:rPr>
      <w:sz w:val="22"/>
      <w:szCs w:val="20"/>
    </w:rPr>
  </w:style>
  <w:style w:type="character" w:customStyle="1" w:styleId="a8">
    <w:name w:val="章節附註文字 字元"/>
    <w:basedOn w:val="a0"/>
    <w:link w:val="a7"/>
    <w:rsid w:val="006C19B2"/>
    <w:rPr>
      <w:sz w:val="22"/>
    </w:rPr>
  </w:style>
  <w:style w:type="character" w:styleId="a9">
    <w:name w:val="endnote reference"/>
    <w:basedOn w:val="a0"/>
    <w:rsid w:val="00EC571B"/>
    <w:rPr>
      <w:vertAlign w:val="superscript"/>
    </w:rPr>
  </w:style>
  <w:style w:type="character" w:customStyle="1" w:styleId="40">
    <w:name w:val="標題 4 字元"/>
    <w:basedOn w:val="a0"/>
    <w:link w:val="4"/>
    <w:rsid w:val="00F43B9D"/>
    <w:rPr>
      <w:bCs/>
      <w:sz w:val="24"/>
      <w:szCs w:val="28"/>
    </w:rPr>
  </w:style>
  <w:style w:type="paragraph" w:styleId="aa">
    <w:name w:val="header"/>
    <w:basedOn w:val="a"/>
    <w:link w:val="ab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ab">
    <w:name w:val="頁首 字元"/>
    <w:basedOn w:val="a0"/>
    <w:link w:val="aa"/>
    <w:rsid w:val="003F193A"/>
    <w:rPr>
      <w:rFonts w:eastAsia="Times New Roman"/>
      <w:sz w:val="24"/>
      <w:szCs w:val="24"/>
      <w:lang w:eastAsia="en-GB"/>
    </w:rPr>
  </w:style>
  <w:style w:type="paragraph" w:styleId="ac">
    <w:name w:val="footer"/>
    <w:basedOn w:val="a"/>
    <w:link w:val="ad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d">
    <w:name w:val="頁尾 字元"/>
    <w:basedOn w:val="a0"/>
    <w:link w:val="ac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customStyle="1" w:styleId="hps">
    <w:name w:val="hps"/>
    <w:basedOn w:val="a0"/>
    <w:rsid w:val="00B71F4B"/>
  </w:style>
  <w:style w:type="character" w:styleId="ae">
    <w:name w:val="Hyperlink"/>
    <w:uiPriority w:val="99"/>
    <w:unhideWhenUsed/>
    <w:rsid w:val="00B71F4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B2065"/>
    <w:pPr>
      <w:widowControl w:val="0"/>
      <w:spacing w:line="240" w:lineRule="auto"/>
      <w:ind w:leftChars="200" w:left="480"/>
    </w:pPr>
    <w:rPr>
      <w:rFonts w:ascii="Calibri" w:eastAsia="PMingLiU" w:hAnsi="Calibri"/>
      <w:kern w:val="2"/>
      <w:szCs w:val="22"/>
      <w:lang w:val="en-US" w:eastAsia="zh-TW"/>
    </w:rPr>
  </w:style>
  <w:style w:type="paragraph" w:styleId="af0">
    <w:name w:val="Balloon Text"/>
    <w:basedOn w:val="a"/>
    <w:link w:val="af1"/>
    <w:uiPriority w:val="99"/>
    <w:semiHidden/>
    <w:unhideWhenUsed/>
    <w:rsid w:val="004D45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D451A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7449B2"/>
    <w:pPr>
      <w:jc w:val="center"/>
    </w:pPr>
    <w:rPr>
      <w:noProof/>
    </w:rPr>
  </w:style>
  <w:style w:type="character" w:customStyle="1" w:styleId="Newparagraph0">
    <w:name w:val="New paragraph 字元"/>
    <w:basedOn w:val="a0"/>
    <w:link w:val="Newparagraph"/>
    <w:rsid w:val="007449B2"/>
    <w:rPr>
      <w:sz w:val="24"/>
      <w:szCs w:val="24"/>
    </w:rPr>
  </w:style>
  <w:style w:type="character" w:customStyle="1" w:styleId="EndNoteBibliographyTitle0">
    <w:name w:val="EndNote Bibliography Title 字元"/>
    <w:basedOn w:val="Newparagraph0"/>
    <w:link w:val="EndNoteBibliographyTitle"/>
    <w:rsid w:val="007449B2"/>
    <w:rPr>
      <w:noProof/>
    </w:rPr>
  </w:style>
  <w:style w:type="paragraph" w:customStyle="1" w:styleId="EndNoteBibliography">
    <w:name w:val="EndNote Bibliography"/>
    <w:basedOn w:val="a"/>
    <w:link w:val="EndNoteBibliography0"/>
    <w:rsid w:val="007449B2"/>
    <w:pPr>
      <w:spacing w:line="240" w:lineRule="auto"/>
    </w:pPr>
    <w:rPr>
      <w:noProof/>
    </w:rPr>
  </w:style>
  <w:style w:type="character" w:customStyle="1" w:styleId="EndNoteBibliography0">
    <w:name w:val="EndNote Bibliography 字元"/>
    <w:basedOn w:val="Newparagraph0"/>
    <w:link w:val="EndNoteBibliography"/>
    <w:rsid w:val="007449B2"/>
    <w:rPr>
      <w:noProof/>
    </w:rPr>
  </w:style>
  <w:style w:type="character" w:styleId="af2">
    <w:name w:val="annotation reference"/>
    <w:basedOn w:val="a0"/>
    <w:semiHidden/>
    <w:unhideWhenUsed/>
    <w:rsid w:val="00164A9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164A9C"/>
    <w:pPr>
      <w:spacing w:line="240" w:lineRule="auto"/>
    </w:pPr>
    <w:rPr>
      <w:sz w:val="20"/>
      <w:szCs w:val="20"/>
    </w:rPr>
  </w:style>
  <w:style w:type="character" w:customStyle="1" w:styleId="af4">
    <w:name w:val="註解文字 字元"/>
    <w:basedOn w:val="a0"/>
    <w:link w:val="af3"/>
    <w:semiHidden/>
    <w:rsid w:val="00164A9C"/>
  </w:style>
  <w:style w:type="paragraph" w:styleId="af5">
    <w:name w:val="annotation subject"/>
    <w:basedOn w:val="af3"/>
    <w:next w:val="af3"/>
    <w:link w:val="af6"/>
    <w:semiHidden/>
    <w:unhideWhenUsed/>
    <w:rsid w:val="00164A9C"/>
    <w:rPr>
      <w:b/>
      <w:bCs/>
    </w:rPr>
  </w:style>
  <w:style w:type="character" w:customStyle="1" w:styleId="af6">
    <w:name w:val="註解主旨 字元"/>
    <w:basedOn w:val="af4"/>
    <w:link w:val="af5"/>
    <w:semiHidden/>
    <w:rsid w:val="00164A9C"/>
    <w:rPr>
      <w:b/>
      <w:bCs/>
    </w:rPr>
  </w:style>
  <w:style w:type="paragraph" w:styleId="af7">
    <w:name w:val="Revision"/>
    <w:hidden/>
    <w:semiHidden/>
    <w:rsid w:val="008901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001\Documents\&#21338;&#22763;&#35542;&#25991;&#23560;&#21312;\1.Measuring%20the%20Change%20of%20Medical%20Resource%20Supply%20Efficiency%20in%20Counties%20and%20Cities%20of%20Taiwan%20in%20the%20past%20decade\Baltic\TF_Template_Word_Windows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8E1E-1394-4CEF-A549-6CE339A6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TF_Template_Word_Windows_2013</Template>
  <TotalTime>17</TotalTime>
  <Pages>23</Pages>
  <Words>6131</Words>
  <Characters>34950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TF_Template_Word_Windows_2013</vt:lpstr>
    </vt:vector>
  </TitlesOfParts>
  <Company>Informa Plc</Company>
  <LinksUpToDate>false</LinksUpToDate>
  <CharactersWithSpaces>41000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TF_Template_Word_Windows_2013</dc:title>
  <dc:creator>CT001</dc:creator>
  <cp:lastModifiedBy>User</cp:lastModifiedBy>
  <cp:revision>5</cp:revision>
  <cp:lastPrinted>2011-07-22T14:54:00Z</cp:lastPrinted>
  <dcterms:created xsi:type="dcterms:W3CDTF">2017-03-07T14:50:00Z</dcterms:created>
  <dcterms:modified xsi:type="dcterms:W3CDTF">2017-03-07T15:06:00Z</dcterms:modified>
</cp:coreProperties>
</file>