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270DB" w14:textId="77777777" w:rsidR="00E74776" w:rsidRDefault="00E74776">
      <w:pPr>
        <w:pStyle w:val="BodyText"/>
        <w:spacing w:line="240" w:lineRule="auto"/>
        <w:rPr>
          <w:rFonts w:ascii="Times New Roman" w:hAnsi="Times New Roman"/>
          <w:b w:val="0"/>
          <w:caps/>
          <w:color w:val="000000"/>
          <w:sz w:val="36"/>
          <w:szCs w:val="36"/>
        </w:rPr>
      </w:pPr>
    </w:p>
    <w:p w14:paraId="3126CE73" w14:textId="256EE5D6" w:rsidR="00A947A2" w:rsidRPr="00D94FD7" w:rsidRDefault="00F92D70" w:rsidP="00A947A2">
      <w:pPr>
        <w:pStyle w:val="Titleofpaper-line1"/>
        <w:rPr>
          <w:lang w:val="en-US"/>
        </w:rPr>
      </w:pPr>
      <w:bookmarkStart w:id="0" w:name="_Hlk120464955"/>
      <w:r w:rsidRPr="00F92D70">
        <w:rPr>
          <w:lang w:val="en-US"/>
        </w:rPr>
        <w:t>Investigating the Relationship Between Canada’s Environmental Quality and GDP-Alternative Measures: An Error Correction Approach</w:t>
      </w:r>
    </w:p>
    <w:p w14:paraId="38CAE745" w14:textId="77777777" w:rsidR="00A947A2" w:rsidRPr="00A947A2" w:rsidRDefault="00A947A2" w:rsidP="00A947A2">
      <w:pPr>
        <w:widowControl/>
        <w:autoSpaceDE w:val="0"/>
        <w:autoSpaceDN w:val="0"/>
        <w:jc w:val="center"/>
        <w:textAlignment w:val="bottom"/>
        <w:rPr>
          <w:b/>
          <w:color w:val="000000"/>
          <w:sz w:val="36"/>
          <w:szCs w:val="36"/>
          <w:lang w:val="bg-BG"/>
        </w:rPr>
      </w:pPr>
    </w:p>
    <w:p w14:paraId="22093446" w14:textId="77777777" w:rsidR="00A947A2" w:rsidRPr="00A947A2" w:rsidRDefault="00A947A2" w:rsidP="00A947A2">
      <w:pPr>
        <w:widowControl/>
        <w:autoSpaceDE w:val="0"/>
        <w:autoSpaceDN w:val="0"/>
        <w:jc w:val="center"/>
        <w:textAlignment w:val="bottom"/>
        <w:rPr>
          <w:b/>
          <w:color w:val="000000"/>
          <w:szCs w:val="24"/>
        </w:rPr>
      </w:pPr>
    </w:p>
    <w:p w14:paraId="562719ED" w14:textId="022E6711" w:rsidR="00A947A2" w:rsidRPr="00A947A2" w:rsidRDefault="00335410" w:rsidP="00A947A2">
      <w:pPr>
        <w:widowControl/>
        <w:autoSpaceDE w:val="0"/>
        <w:autoSpaceDN w:val="0"/>
        <w:jc w:val="center"/>
        <w:textAlignment w:val="bottom"/>
        <w:rPr>
          <w:b/>
          <w:color w:val="000000"/>
          <w:szCs w:val="24"/>
        </w:rPr>
      </w:pPr>
      <w:r>
        <w:rPr>
          <w:b/>
          <w:color w:val="000000"/>
          <w:szCs w:val="24"/>
        </w:rPr>
        <w:t>Sochi Iwuoha</w:t>
      </w:r>
      <w:r w:rsidR="00A947A2" w:rsidRPr="00A947A2">
        <w:rPr>
          <w:b/>
          <w:color w:val="000000"/>
          <w:szCs w:val="24"/>
          <w:vertAlign w:val="superscript"/>
        </w:rPr>
        <w:footnoteReference w:id="1"/>
      </w:r>
      <w:r w:rsidR="00A947A2" w:rsidRPr="00A947A2">
        <w:rPr>
          <w:b/>
          <w:color w:val="000000"/>
          <w:szCs w:val="24"/>
        </w:rPr>
        <w:t xml:space="preserve">, </w:t>
      </w:r>
      <w:r>
        <w:rPr>
          <w:b/>
          <w:color w:val="000000"/>
          <w:szCs w:val="24"/>
        </w:rPr>
        <w:t>Joseph I. Onochie</w:t>
      </w:r>
      <w:r w:rsidR="00A947A2" w:rsidRPr="00A947A2">
        <w:rPr>
          <w:b/>
          <w:color w:val="000000"/>
          <w:szCs w:val="24"/>
          <w:vertAlign w:val="superscript"/>
        </w:rPr>
        <w:footnoteReference w:id="2"/>
      </w:r>
    </w:p>
    <w:p w14:paraId="351A714A" w14:textId="77777777" w:rsidR="00A947A2" w:rsidRPr="00A947A2" w:rsidRDefault="00A947A2" w:rsidP="00A947A2">
      <w:pPr>
        <w:widowControl/>
        <w:autoSpaceDE w:val="0"/>
        <w:autoSpaceDN w:val="0"/>
        <w:jc w:val="center"/>
        <w:textAlignment w:val="bottom"/>
        <w:rPr>
          <w:b/>
          <w:color w:val="000000"/>
          <w:szCs w:val="24"/>
        </w:rPr>
      </w:pPr>
    </w:p>
    <w:p w14:paraId="5278F5B4" w14:textId="77777777" w:rsidR="00A947A2" w:rsidRPr="00A947A2" w:rsidRDefault="00A947A2" w:rsidP="00A947A2">
      <w:pPr>
        <w:widowControl/>
        <w:autoSpaceDE w:val="0"/>
        <w:autoSpaceDN w:val="0"/>
        <w:textAlignment w:val="bottom"/>
        <w:rPr>
          <w:color w:val="000000"/>
          <w:szCs w:val="24"/>
        </w:rPr>
      </w:pPr>
    </w:p>
    <w:p w14:paraId="0576E1B8" w14:textId="77777777" w:rsidR="00A947A2" w:rsidRPr="00A947A2" w:rsidRDefault="00A947A2" w:rsidP="00A947A2">
      <w:pPr>
        <w:widowControl/>
        <w:autoSpaceDE w:val="0"/>
        <w:autoSpaceDN w:val="0"/>
        <w:jc w:val="center"/>
        <w:textAlignment w:val="bottom"/>
        <w:rPr>
          <w:b/>
          <w:color w:val="000000"/>
          <w:sz w:val="26"/>
          <w:szCs w:val="26"/>
        </w:rPr>
      </w:pPr>
      <w:r w:rsidRPr="00A947A2">
        <w:rPr>
          <w:b/>
          <w:color w:val="000000"/>
          <w:sz w:val="26"/>
          <w:szCs w:val="26"/>
        </w:rPr>
        <w:t>Abstract</w:t>
      </w:r>
    </w:p>
    <w:p w14:paraId="3CBE15D4" w14:textId="77777777" w:rsidR="00A947A2" w:rsidRPr="00A947A2" w:rsidRDefault="00A947A2" w:rsidP="00A947A2">
      <w:pPr>
        <w:widowControl/>
        <w:autoSpaceDE w:val="0"/>
        <w:autoSpaceDN w:val="0"/>
        <w:jc w:val="center"/>
        <w:textAlignment w:val="bottom"/>
        <w:rPr>
          <w:b/>
          <w:color w:val="000000"/>
          <w:szCs w:val="24"/>
        </w:rPr>
      </w:pPr>
    </w:p>
    <w:p w14:paraId="63583284" w14:textId="711F288D" w:rsidR="00A947A2" w:rsidRPr="00A947A2" w:rsidRDefault="00F92D70" w:rsidP="00A947A2">
      <w:pPr>
        <w:rPr>
          <w:color w:val="000000"/>
          <w:szCs w:val="24"/>
        </w:rPr>
      </w:pPr>
      <w:r w:rsidRPr="00F92D70">
        <w:rPr>
          <w:szCs w:val="24"/>
        </w:rPr>
        <w:t>This paper investigates the long-run relationship between Canada’s total greenhouse gas emissions (as an indicator of environmental quality) and economic development captured by gross domestic product (GDP) and GDP-alternative measures (which are argued to be more representative of the wider-scale economic progress,</w:t>
      </w:r>
      <w:r w:rsidR="00D02ADF">
        <w:rPr>
          <w:szCs w:val="24"/>
        </w:rPr>
        <w:t xml:space="preserve"> </w:t>
      </w:r>
      <w:r w:rsidR="00D02ADF">
        <w:rPr>
          <w:szCs w:val="24"/>
        </w:rPr>
        <w:fldChar w:fldCharType="begin"/>
      </w:r>
      <w:r w:rsidR="00D02ADF">
        <w:rPr>
          <w:szCs w:val="24"/>
        </w:rPr>
        <w:instrText xml:space="preserve"> ADDIN ZOTERO_ITEM CSL_CITATION {"citationID":"MBIJEku6","properties":{"formattedCitation":"(Rani &amp; Mandal, 2020)","plainCitation":"(Rani &amp; Mandal, 2020)","noteIndex":0},"citationItems":[{"id":637,"uris":["http://zotero.org/users/5016855/items/Y4QDFIJG"],"itemData":{"id":637,"type":"post","abstract":"Gross domestic product is a narrow and an inadequate metric to capture the holistic and true value of health investment, leading to economic wellbeing.","container-title":"Policy Circle","genre":"Article","language":"en-GB","title":"All Inclusive Economic Development: The GDP alternative offers a better measure of progress | Policy Circle","title-short":"All Inclusive Economic Development","URL":"https://www.policycircle.org/economy/all-inclusive-economic-development-why-this-gdp-alternative-is-a-better-measure-of-progress/","author":[{"family":"Rani","given":"Neelam"},{"family":"Mandal","given":"Anandadeep"}],"accessed":{"date-parts":[["2020",12,31]]},"issued":{"date-parts":[["2020",8,6]]}}}],"schema":"https://github.com/citation-style-language/schema/raw/master/csl-citation.json"} </w:instrText>
      </w:r>
      <w:r w:rsidR="00D02ADF">
        <w:rPr>
          <w:szCs w:val="24"/>
        </w:rPr>
        <w:fldChar w:fldCharType="separate"/>
      </w:r>
      <w:r w:rsidR="00D02ADF" w:rsidRPr="00D02ADF">
        <w:t>Rani &amp; Mandal, 2020</w:t>
      </w:r>
      <w:r w:rsidR="00D02ADF">
        <w:rPr>
          <w:szCs w:val="24"/>
        </w:rPr>
        <w:fldChar w:fldCharType="end"/>
      </w:r>
      <w:r w:rsidRPr="00F92D70">
        <w:rPr>
          <w:szCs w:val="24"/>
        </w:rPr>
        <w:t xml:space="preserve">). The three GDP-alternative measures assessed were gross national disposable income (GNDI), human development index (HDI), and index of economic freedom (IEF). </w:t>
      </w:r>
      <w:bookmarkStart w:id="1" w:name="_Hlk119260208"/>
      <w:r w:rsidR="007A5E57">
        <w:rPr>
          <w:szCs w:val="24"/>
        </w:rPr>
        <w:t>T</w:t>
      </w:r>
      <w:r w:rsidRPr="00F92D70">
        <w:rPr>
          <w:szCs w:val="24"/>
        </w:rPr>
        <w:t>ime series properties of per capita greenhouse gas emissions (GHGpc) were evaluated. Augmented Dickey Fuller stationarity test was</w:t>
      </w:r>
      <w:r w:rsidR="00774A5B">
        <w:rPr>
          <w:szCs w:val="24"/>
        </w:rPr>
        <w:t xml:space="preserve"> </w:t>
      </w:r>
      <w:r w:rsidRPr="00F92D70">
        <w:rPr>
          <w:szCs w:val="24"/>
        </w:rPr>
        <w:t>performed for GHGpc, after which</w:t>
      </w:r>
      <w:r w:rsidR="007A5E57">
        <w:rPr>
          <w:szCs w:val="24"/>
        </w:rPr>
        <w:t>,</w:t>
      </w:r>
      <w:r w:rsidRPr="00F92D70">
        <w:rPr>
          <w:szCs w:val="24"/>
        </w:rPr>
        <w:t xml:space="preserve"> Johansen tests were </w:t>
      </w:r>
      <w:r w:rsidRPr="008D4D63">
        <w:rPr>
          <w:szCs w:val="24"/>
        </w:rPr>
        <w:t xml:space="preserve">performed </w:t>
      </w:r>
      <w:r w:rsidR="008D4D63" w:rsidRPr="008D4D63">
        <w:rPr>
          <w:szCs w:val="24"/>
        </w:rPr>
        <w:t>to evaluate</w:t>
      </w:r>
      <w:r w:rsidRPr="008D4D63">
        <w:rPr>
          <w:szCs w:val="24"/>
        </w:rPr>
        <w:t xml:space="preserve"> cointegration</w:t>
      </w:r>
      <w:r w:rsidRPr="00F92D70">
        <w:rPr>
          <w:szCs w:val="24"/>
        </w:rPr>
        <w:t xml:space="preserve"> between GHGpc and the economic growth measures.</w:t>
      </w:r>
      <w:r w:rsidR="00744A7E">
        <w:rPr>
          <w:szCs w:val="24"/>
        </w:rPr>
        <w:t xml:space="preserve"> </w:t>
      </w:r>
      <w:r w:rsidR="007A5E57">
        <w:rPr>
          <w:szCs w:val="24"/>
        </w:rPr>
        <w:t>E</w:t>
      </w:r>
      <w:r w:rsidRPr="00F92D70">
        <w:rPr>
          <w:szCs w:val="24"/>
        </w:rPr>
        <w:t>rror correction model</w:t>
      </w:r>
      <w:r w:rsidR="007A5E57">
        <w:rPr>
          <w:szCs w:val="24"/>
        </w:rPr>
        <w:t>s</w:t>
      </w:r>
      <w:r w:rsidRPr="00F92D70">
        <w:rPr>
          <w:szCs w:val="24"/>
        </w:rPr>
        <w:t xml:space="preserve"> were run to evaluate the long-run behavior of GHGpc </w:t>
      </w:r>
      <w:r w:rsidR="00774A5B">
        <w:rPr>
          <w:szCs w:val="24"/>
        </w:rPr>
        <w:t>with</w:t>
      </w:r>
      <w:r w:rsidRPr="00F92D70">
        <w:rPr>
          <w:szCs w:val="24"/>
        </w:rPr>
        <w:t xml:space="preserve"> per capita GDP</w:t>
      </w:r>
      <w:r w:rsidR="00AC419E">
        <w:rPr>
          <w:szCs w:val="24"/>
        </w:rPr>
        <w:t xml:space="preserve"> and GNDI</w:t>
      </w:r>
      <w:r w:rsidRPr="00F92D70">
        <w:rPr>
          <w:szCs w:val="24"/>
        </w:rPr>
        <w:t xml:space="preserve"> (GDPpc</w:t>
      </w:r>
      <w:r w:rsidR="00AC419E">
        <w:rPr>
          <w:szCs w:val="24"/>
        </w:rPr>
        <w:t xml:space="preserve"> and GNDIpc, respectively</w:t>
      </w:r>
      <w:r w:rsidRPr="00F92D70">
        <w:rPr>
          <w:szCs w:val="24"/>
        </w:rPr>
        <w:t>),</w:t>
      </w:r>
      <w:r w:rsidR="00AC419E">
        <w:rPr>
          <w:szCs w:val="24"/>
        </w:rPr>
        <w:t xml:space="preserve"> </w:t>
      </w:r>
      <w:r w:rsidRPr="00F92D70">
        <w:rPr>
          <w:szCs w:val="24"/>
        </w:rPr>
        <w:t>HDI, and IEF</w:t>
      </w:r>
      <w:bookmarkEnd w:id="1"/>
      <w:r w:rsidRPr="00F92D70">
        <w:rPr>
          <w:szCs w:val="24"/>
        </w:rPr>
        <w:t xml:space="preserve">. GHGpc was found to be cointegrated with both GDPpc and all the GDP-alternative indicators. The paper contributes to the existing literature by demonstrating that Canada’s per capita GHG emission has a long-run relationship with both GDP and GDP-alternative indicators. This study represents the first assessment in the body of knowledge of the relationship between Canada’s </w:t>
      </w:r>
      <w:r w:rsidR="00290B07">
        <w:rPr>
          <w:szCs w:val="24"/>
        </w:rPr>
        <w:t xml:space="preserve">national-level </w:t>
      </w:r>
      <w:r w:rsidRPr="00F92D70">
        <w:rPr>
          <w:szCs w:val="24"/>
        </w:rPr>
        <w:t xml:space="preserve">total GHG emissions and GDP-alternative measures. </w:t>
      </w:r>
    </w:p>
    <w:p w14:paraId="4996DD40" w14:textId="77777777" w:rsidR="00A947A2" w:rsidRPr="00A947A2" w:rsidRDefault="00A947A2" w:rsidP="00A947A2">
      <w:pPr>
        <w:rPr>
          <w:color w:val="000000"/>
          <w:szCs w:val="24"/>
        </w:rPr>
      </w:pPr>
    </w:p>
    <w:p w14:paraId="3BB2BE49" w14:textId="77777777" w:rsidR="00A947A2" w:rsidRPr="00A947A2" w:rsidRDefault="00A947A2" w:rsidP="00A947A2">
      <w:pPr>
        <w:ind w:left="1" w:hanging="1"/>
        <w:rPr>
          <w:color w:val="000000"/>
          <w:szCs w:val="24"/>
        </w:rPr>
      </w:pPr>
      <w:r w:rsidRPr="00A947A2">
        <w:rPr>
          <w:b/>
          <w:color w:val="000000"/>
          <w:szCs w:val="24"/>
        </w:rPr>
        <w:t>JEL classification numbers:</w:t>
      </w:r>
      <w:r w:rsidRPr="00A947A2">
        <w:rPr>
          <w:color w:val="000000"/>
          <w:szCs w:val="24"/>
        </w:rPr>
        <w:t xml:space="preserve"> </w:t>
      </w:r>
      <w:proofErr w:type="spellStart"/>
      <w:r w:rsidRPr="00A947A2">
        <w:rPr>
          <w:color w:val="000000"/>
          <w:szCs w:val="24"/>
        </w:rPr>
        <w:t>xxxxx</w:t>
      </w:r>
      <w:proofErr w:type="spellEnd"/>
    </w:p>
    <w:p w14:paraId="533ACEC9" w14:textId="6919B56E" w:rsidR="00A947A2" w:rsidRDefault="00A947A2" w:rsidP="00A947A2">
      <w:pPr>
        <w:ind w:left="1" w:hanging="1"/>
        <w:rPr>
          <w:color w:val="000000"/>
          <w:szCs w:val="24"/>
        </w:rPr>
      </w:pPr>
      <w:r w:rsidRPr="00A947A2">
        <w:rPr>
          <w:b/>
          <w:color w:val="000000"/>
          <w:szCs w:val="24"/>
        </w:rPr>
        <w:t xml:space="preserve">Keywords: </w:t>
      </w:r>
      <w:r w:rsidR="00A21D2F" w:rsidRPr="00A21D2F">
        <w:rPr>
          <w:color w:val="000000"/>
          <w:szCs w:val="24"/>
        </w:rPr>
        <w:t>Greenhouse gas, stationarity, cointegration, error correction, GDP-alternatives</w:t>
      </w:r>
    </w:p>
    <w:p w14:paraId="1A522603" w14:textId="77777777" w:rsidR="002B78B5" w:rsidRPr="00A947A2" w:rsidRDefault="002B78B5" w:rsidP="00A947A2">
      <w:pPr>
        <w:ind w:left="1" w:hanging="1"/>
        <w:rPr>
          <w:b/>
          <w:color w:val="000000"/>
          <w:szCs w:val="24"/>
        </w:rPr>
      </w:pPr>
    </w:p>
    <w:bookmarkEnd w:id="0"/>
    <w:p w14:paraId="121BCDD0" w14:textId="77777777" w:rsidR="00A947A2" w:rsidRPr="00A947A2" w:rsidRDefault="00A947A2" w:rsidP="00A947A2">
      <w:pPr>
        <w:ind w:left="1104" w:hangingChars="460" w:hanging="1104"/>
        <w:rPr>
          <w:bCs/>
          <w:iCs/>
          <w:color w:val="000000"/>
          <w:szCs w:val="24"/>
        </w:rPr>
      </w:pPr>
    </w:p>
    <w:p w14:paraId="2FAC9924" w14:textId="7F38A0E1" w:rsidR="00A947A2" w:rsidRPr="00A947A2" w:rsidRDefault="00A947A2" w:rsidP="00A947A2">
      <w:pPr>
        <w:pStyle w:val="HeadingNumbering1"/>
      </w:pPr>
      <w:r w:rsidRPr="00A947A2">
        <w:lastRenderedPageBreak/>
        <w:t xml:space="preserve">Introduction </w:t>
      </w:r>
    </w:p>
    <w:p w14:paraId="07E77DE4" w14:textId="371918A6" w:rsidR="00BC17E3" w:rsidRPr="002B78B5" w:rsidRDefault="00BC17E3" w:rsidP="002B78B5">
      <w:pPr>
        <w:rPr>
          <w:color w:val="000000" w:themeColor="text1"/>
          <w:szCs w:val="24"/>
        </w:rPr>
      </w:pPr>
      <w:r w:rsidRPr="002B78B5">
        <w:rPr>
          <w:color w:val="000000" w:themeColor="text1"/>
          <w:szCs w:val="24"/>
        </w:rPr>
        <w:t xml:space="preserve">Canada </w:t>
      </w:r>
      <w:r w:rsidR="001C36F5" w:rsidRPr="002B78B5">
        <w:rPr>
          <w:color w:val="000000" w:themeColor="text1"/>
          <w:szCs w:val="24"/>
        </w:rPr>
        <w:t>has</w:t>
      </w:r>
      <w:r w:rsidRPr="002B78B5">
        <w:rPr>
          <w:color w:val="000000" w:themeColor="text1"/>
          <w:szCs w:val="24"/>
        </w:rPr>
        <w:t xml:space="preserve"> established regulatory frameworks to assist the country in achieving its intended nationally-determined contribution (INDC) targets to reduce </w:t>
      </w:r>
      <w:r w:rsidR="00A747E5" w:rsidRPr="002B78B5">
        <w:rPr>
          <w:color w:val="000000" w:themeColor="text1"/>
          <w:szCs w:val="24"/>
        </w:rPr>
        <w:t>greenhouse gas (</w:t>
      </w:r>
      <w:r w:rsidRPr="002B78B5">
        <w:rPr>
          <w:color w:val="000000" w:themeColor="text1"/>
          <w:szCs w:val="24"/>
        </w:rPr>
        <w:t>GHG</w:t>
      </w:r>
      <w:r w:rsidR="00A747E5" w:rsidRPr="002B78B5">
        <w:rPr>
          <w:color w:val="000000" w:themeColor="text1"/>
          <w:szCs w:val="24"/>
        </w:rPr>
        <w:t>)</w:t>
      </w:r>
      <w:r w:rsidRPr="002B78B5">
        <w:rPr>
          <w:color w:val="000000" w:themeColor="text1"/>
          <w:szCs w:val="24"/>
        </w:rPr>
        <w:t xml:space="preserve"> emissions </w:t>
      </w:r>
      <w:r w:rsidR="001C36F5" w:rsidRPr="002B78B5">
        <w:rPr>
          <w:color w:val="000000" w:themeColor="text1"/>
          <w:szCs w:val="24"/>
        </w:rPr>
        <w:t xml:space="preserve">in line with </w:t>
      </w:r>
      <w:r w:rsidRPr="002B78B5">
        <w:rPr>
          <w:color w:val="000000" w:themeColor="text1"/>
          <w:szCs w:val="24"/>
        </w:rPr>
        <w:t>the United Nations Framework Convention on Climate Change (UNFCCC) Paris Climate accord (</w:t>
      </w:r>
      <w:proofErr w:type="spellStart"/>
      <w:r w:rsidR="00B1132F" w:rsidRPr="002B78B5">
        <w:rPr>
          <w:color w:val="000000" w:themeColor="text1"/>
          <w:szCs w:val="24"/>
        </w:rPr>
        <w:fldChar w:fldCharType="begin"/>
      </w:r>
      <w:r w:rsidR="00B1132F" w:rsidRPr="002B78B5">
        <w:rPr>
          <w:color w:val="000000" w:themeColor="text1"/>
          <w:szCs w:val="24"/>
        </w:rPr>
        <w:instrText xml:space="preserve"> ADDIN ZOTERO_ITEM CSL_CITATION {"citationID":"r4QtuFvI","properties":{"formattedCitation":"(Doluweera et al., 2018)","plainCitation":"(Doluweera et al., 2018)","noteIndex":0},"citationItems":[{"id":604,"uris":["http://zotero.org/users/5016855/items/49PRZSGR"],"itemData":{"id":604,"type":"report","abstract":"In Canada, the nature of carbon management policy instruments and their stringency on electricity systems varies by jurisdiction. These include direct pricing carbon emissions (i.e. carbon tax, carbon cap and trade systems), setting maximum emissions levels for power generating units, and requiring utilities to carry a minimum amount of zero emissive generation assets (i.e. renewable energy targets). These policies have a direct effect on the cost of generation and transmission in Canada and, consequently, on electricity rates paid by residential, commercial and industrial customers.\n\nCERI's study, Impacts of Carbon Management Policies on Canadian Electricity Prices, provides insights into the impacts of carbon management policies on provincial electricity sectors in Canada. The overview will:\n\n1. Provide an up-to-date review of carbon management policies that have been or are expected to be implemented from 2018-2030, focusing specifically on their impacts on the electric power sector\n\n2. Identify industries with greatest impact due to increased electricity rates\n\n3. Assess direct/indirect effects on Canadian households due to increased electricity rates.","event-place":"Calgary, Canada","language":"en","license":"All rights reserved","number":"171","publisher":"Canadian Energy Research Institute","publisher-place":"Calgary, Canada","title":"Impacts of Carbon Management Policies on Canadian Electricity Prices","URL":"https://ceri.ca/studies/impacts-of-carbon-management-policies-on-canadian-electricity-prices","author":[{"family":"Doluweera","given":"Ganesh"},{"family":"Vypovska","given":"Anna"},{"family":"Datta","given":"Archana"},{"family":"Iwuoha","given":"Sochi"}],"accessed":{"date-parts":[["2020",11,8]]},"issued":{"date-parts":[["2018",6,20]]}}}],"schema":"https://github.com/citation-style-language/schema/raw/master/csl-citation.json"} </w:instrText>
      </w:r>
      <w:r w:rsidR="00B1132F" w:rsidRPr="002B78B5">
        <w:rPr>
          <w:color w:val="000000" w:themeColor="text1"/>
          <w:szCs w:val="24"/>
        </w:rPr>
        <w:fldChar w:fldCharType="separate"/>
      </w:r>
      <w:r w:rsidR="00B1132F" w:rsidRPr="002B78B5">
        <w:rPr>
          <w:color w:val="000000" w:themeColor="text1"/>
          <w:szCs w:val="24"/>
        </w:rPr>
        <w:t>Doluweera</w:t>
      </w:r>
      <w:proofErr w:type="spellEnd"/>
      <w:r w:rsidR="00B1132F" w:rsidRPr="002B78B5">
        <w:rPr>
          <w:color w:val="000000" w:themeColor="text1"/>
          <w:szCs w:val="24"/>
        </w:rPr>
        <w:t xml:space="preserve"> et al., 2018</w:t>
      </w:r>
      <w:r w:rsidR="00B1132F" w:rsidRPr="002B78B5">
        <w:rPr>
          <w:color w:val="000000" w:themeColor="text1"/>
          <w:szCs w:val="24"/>
        </w:rPr>
        <w:fldChar w:fldCharType="end"/>
      </w:r>
      <w:r w:rsidRPr="002B78B5">
        <w:rPr>
          <w:color w:val="000000" w:themeColor="text1"/>
          <w:szCs w:val="24"/>
        </w:rPr>
        <w:t>;</w:t>
      </w:r>
      <w:r w:rsidR="00797ACF" w:rsidRPr="002B78B5">
        <w:rPr>
          <w:color w:val="000000" w:themeColor="text1"/>
          <w:szCs w:val="24"/>
        </w:rPr>
        <w:t xml:space="preserve"> </w:t>
      </w:r>
      <w:r w:rsidR="00B1132F" w:rsidRPr="002B78B5">
        <w:rPr>
          <w:color w:val="000000" w:themeColor="text1"/>
          <w:szCs w:val="24"/>
        </w:rPr>
        <w:fldChar w:fldCharType="begin"/>
      </w:r>
      <w:r w:rsidR="00B1132F" w:rsidRPr="002B78B5">
        <w:rPr>
          <w:color w:val="000000" w:themeColor="text1"/>
          <w:szCs w:val="24"/>
        </w:rPr>
        <w:instrText xml:space="preserve"> ADDIN ZOTERO_ITEM CSL_CITATION {"citationID":"ertzs6yu","properties":{"formattedCitation":"(Gao et al., 2017)","plainCitation":"(Gao et al., 2017)","noteIndex":0},"citationItems":[{"id":845,"uris":["http://zotero.org/users/5016855/items/RSQ9DIAH"],"itemData":{"id":845,"type":"article-journal","abstract":"The Paris Agreement proposed to keep the increase in global average temperature to well below 2 °C above pre-industrial levels and to pursue efforts to limit the temperature increase to 1.5 °C above pre-industrial levels. It was thus the first international treaty to endow the 2 °C global temperature target with legal effect. The qualitative expression of the ultimate objective in Article 2 of the United Nations Framework Convention on Climate Change (UNFCCC) has now evolved into the numerical temperature rise target in Article 2 of the Paris Agreement. Starting with the Second Assessment Report (SAR) of the Intergovernmental Panel on Climate Change (IPCC), an important task for subsequent assessments has been to provide scientific information to help determine the quantified long-term goal for UNFCCC negotiation. However, due to involvement in the value judgment within the scope of non-scientific assessment, the IPCC has never scientifically affirmed the unacceptable extent of global temperature rise. The setting of the long-term goal for addressing climate change has been a long process, and the 2 °C global temperature target is the political consensus on the basis of scientific assessment. This article analyzes the evolution of the long-term global goal for addressing climate change and its impact on scientific assessment, negotiation processes, and global low-carbon development, from aspects of the origin of the target, the series of assessments carried out by the IPCC focusing on Article 2 of the UNFCCC, and the promotion of the global temperature goal at the political level.","container-title":"Engineering","DOI":"10.1016/J.ENG.2017.01.022","ISSN":"2095-8099","issue":"2","journalAbbreviation":"Engineering","language":"en","page":"272-278","source":"ScienceDirect","title":"The 2°C Global Temperature Target and the Evolution of the Long-Term Goal of Addressing Climate Change—From the United Nations Framework Convention on Climate Change to the Paris Agreement","volume":"3","author":[{"family":"Gao","given":"Yun"},{"family":"Gao","given":"Xiang"},{"family":"Zhang","given":"Xiaohua"}],"issued":{"date-parts":[["2017",4,1]]}}}],"schema":"https://github.com/citation-style-language/schema/raw/master/csl-citation.json"} </w:instrText>
      </w:r>
      <w:r w:rsidR="00B1132F" w:rsidRPr="002B78B5">
        <w:rPr>
          <w:color w:val="000000" w:themeColor="text1"/>
          <w:szCs w:val="24"/>
        </w:rPr>
        <w:fldChar w:fldCharType="separate"/>
      </w:r>
      <w:r w:rsidR="00B1132F" w:rsidRPr="002B78B5">
        <w:rPr>
          <w:color w:val="000000" w:themeColor="text1"/>
          <w:szCs w:val="24"/>
        </w:rPr>
        <w:t>Gao et al., 2017</w:t>
      </w:r>
      <w:r w:rsidR="00B1132F" w:rsidRPr="002B78B5">
        <w:rPr>
          <w:color w:val="000000" w:themeColor="text1"/>
          <w:szCs w:val="24"/>
        </w:rPr>
        <w:fldChar w:fldCharType="end"/>
      </w:r>
      <w:r w:rsidRPr="002B78B5">
        <w:rPr>
          <w:color w:val="000000" w:themeColor="text1"/>
          <w:szCs w:val="24"/>
        </w:rPr>
        <w:t>;</w:t>
      </w:r>
      <w:r w:rsidR="00B1132F" w:rsidRPr="002B78B5">
        <w:rPr>
          <w:color w:val="000000" w:themeColor="text1"/>
          <w:szCs w:val="24"/>
        </w:rPr>
        <w:t xml:space="preserve"> </w:t>
      </w:r>
      <w:r w:rsidR="00B1132F" w:rsidRPr="002B78B5">
        <w:rPr>
          <w:color w:val="000000" w:themeColor="text1"/>
          <w:szCs w:val="24"/>
        </w:rPr>
        <w:fldChar w:fldCharType="begin"/>
      </w:r>
      <w:r w:rsidR="00B1132F" w:rsidRPr="002B78B5">
        <w:rPr>
          <w:color w:val="000000" w:themeColor="text1"/>
          <w:szCs w:val="24"/>
        </w:rPr>
        <w:instrText xml:space="preserve"> ADDIN ZOTERO_ITEM CSL_CITATION {"citationID":"W5llSJqi","properties":{"formattedCitation":"(Iwuoha, 2018)","plainCitation":"(Iwuoha, 2018)","noteIndex":0},"citationItems":[{"id":606,"uris":["http://zotero.org/users/5016855/items/UJQ3BYQE"],"itemData":{"id":606,"type":"article-journal","abstract":"In the quest to achieve the Paris climate accord agreements of reducing greenhouse gas (GHG)\nemissions to 30% less than 2005 standards by 2030, carbon policies are being utilized by various jurisdictions (including Canada) as policy instruments to facilitate changes in the environmental behavior of economic agents (energy producers, consumers and governments). Carbon policies\nare expressed through two popular channels – carbon cap and trade (CAT) mechanisms and carbon pricing (CP) – both of which fundamentally differ in terms of scope, design, and\nimplementation strategy. Published literature is replete with research on the challenges associated with carbon policy design and implementation. One of the developing areas of\nemissions policy-related challenges is carbon leakage. The objective of this article is to conduct a high-level exploration of potential issues surrounding carbon leakage within the Canadian context. The intent is to facilitate a continued conversation on carbon policies in Canada, notably the\nspillover effect of carbon leakage. Where relevant, parallels have also been drawn from selected\ninternational jurisdictions that are implementing CAT and/or CP practices.","container-title":"Geopolitics of Energy","ISSN":"0273-1371","issue":"1","journalAbbreviation":"GoE","language":"en","license":"All rights reserved","page":"9-16","title":"Carbon Policies and Potential Leakage: A Bridge-to-Cross in Canada’s Journey to a Lower Carbon Economy","volume":"40","author":[{"family":"Iwuoha","given":"Sochi"}],"issued":{"date-parts":[["2018",2,12]]}}}],"schema":"https://github.com/citation-style-language/schema/raw/master/csl-citation.json"} </w:instrText>
      </w:r>
      <w:r w:rsidR="00B1132F" w:rsidRPr="002B78B5">
        <w:rPr>
          <w:color w:val="000000" w:themeColor="text1"/>
          <w:szCs w:val="24"/>
        </w:rPr>
        <w:fldChar w:fldCharType="separate"/>
      </w:r>
      <w:r w:rsidR="00B1132F" w:rsidRPr="002B78B5">
        <w:rPr>
          <w:color w:val="000000" w:themeColor="text1"/>
          <w:szCs w:val="24"/>
        </w:rPr>
        <w:t>Iwuoha, 2018</w:t>
      </w:r>
      <w:r w:rsidR="00B1132F" w:rsidRPr="002B78B5">
        <w:rPr>
          <w:color w:val="000000" w:themeColor="text1"/>
          <w:szCs w:val="24"/>
        </w:rPr>
        <w:fldChar w:fldCharType="end"/>
      </w:r>
      <w:r w:rsidRPr="002B78B5">
        <w:rPr>
          <w:color w:val="000000" w:themeColor="text1"/>
          <w:szCs w:val="24"/>
        </w:rPr>
        <w:t>;</w:t>
      </w:r>
      <w:r w:rsidR="00B1132F" w:rsidRPr="002B78B5">
        <w:rPr>
          <w:color w:val="000000" w:themeColor="text1"/>
          <w:szCs w:val="24"/>
        </w:rPr>
        <w:t xml:space="preserve"> </w:t>
      </w:r>
      <w:r w:rsidR="00B1132F" w:rsidRPr="002B78B5">
        <w:rPr>
          <w:color w:val="000000" w:themeColor="text1"/>
          <w:szCs w:val="24"/>
        </w:rPr>
        <w:fldChar w:fldCharType="begin"/>
      </w:r>
      <w:r w:rsidR="00B1132F" w:rsidRPr="002B78B5">
        <w:rPr>
          <w:color w:val="000000" w:themeColor="text1"/>
          <w:szCs w:val="24"/>
        </w:rPr>
        <w:instrText xml:space="preserve"> ADDIN ZOTERO_ITEM CSL_CITATION {"citationID":"w62RuTFr","properties":{"formattedCitation":"(Millington et al., 2020)","plainCitation":"(Millington et al., 2020)","noteIndex":0},"citationItems":[{"id":599,"uris":["http://zotero.org/users/5016855/items/7LV2ZZUI"],"itemData":{"id":599,"type":"report","abstract":"This report sheds light on the effectiveness of carbon management policies in terms of their effect on the economy and/or sector-level emissions and economic performance and adds to the growing volume of other empirical studies. Studies based on empirical evidence of the effectiveness of different carbon policies were sparse and hard to find, with most researchers taking a qualitative approach to the evaluation of the various systems in place.\n\nThis Canadian Energy Research Institute (CERI) study takes the quantitative approach and analyzes the impact of major carbon management initiatives across the globe. It reviews the design, analyzes the impact, and identifies the lessons learned from key carbon management policies/systems for the four case studies in terms of their impacts on emissions efficiency, emissions reduction, and economic output.\n\nThe four case studies include the European Union Emissions Trading System, California (linked with Quebec) Cap-and-Trade System, British Columbia Carbon Tax System, and Alberta Specified Gas Emitters Regulation.","event-place":"Calgary, Canada","language":"en","number":"189","publisher":"Canadian Energy Research Institute","publisher-place":"Calgary, Canada","title":"The Economic Effectiveness of Different Carbon Pricing Options to Reduce Carbon Dioxide Emissions","URL":"https://ceri.ca/assets/files/Study_189_Full_Report.pdf","author":[{"family":"Millington","given":"Dinara"},{"family":"Hossain","given":"Nurul A.K.M."},{"family":"Vypovska","given":"Anna"},{"family":"Goddard","given":"Kiana"},{"family":"Sanin","given":"Mateo"}],"accessed":{"date-parts":[["2021",1,8]]},"issued":{"date-parts":[["2020",8]]}}}],"schema":"https://github.com/citation-style-language/schema/raw/master/csl-citation.json"} </w:instrText>
      </w:r>
      <w:r w:rsidR="00B1132F" w:rsidRPr="002B78B5">
        <w:rPr>
          <w:color w:val="000000" w:themeColor="text1"/>
          <w:szCs w:val="24"/>
        </w:rPr>
        <w:fldChar w:fldCharType="separate"/>
      </w:r>
      <w:r w:rsidR="00B1132F" w:rsidRPr="002B78B5">
        <w:rPr>
          <w:color w:val="000000" w:themeColor="text1"/>
          <w:szCs w:val="24"/>
        </w:rPr>
        <w:t>Millington et al., 2020</w:t>
      </w:r>
      <w:r w:rsidR="00B1132F" w:rsidRPr="002B78B5">
        <w:rPr>
          <w:color w:val="000000" w:themeColor="text1"/>
          <w:szCs w:val="24"/>
        </w:rPr>
        <w:fldChar w:fldCharType="end"/>
      </w:r>
      <w:r w:rsidRPr="002B78B5">
        <w:rPr>
          <w:color w:val="000000" w:themeColor="text1"/>
          <w:szCs w:val="24"/>
        </w:rPr>
        <w:t>;</w:t>
      </w:r>
      <w:r w:rsidR="00797ACF" w:rsidRPr="002B78B5">
        <w:rPr>
          <w:color w:val="000000" w:themeColor="text1"/>
          <w:szCs w:val="24"/>
        </w:rPr>
        <w:t xml:space="preserve"> </w:t>
      </w:r>
      <w:r w:rsidR="00ED0670" w:rsidRPr="002B78B5">
        <w:rPr>
          <w:color w:val="000000" w:themeColor="text1"/>
          <w:szCs w:val="24"/>
        </w:rPr>
        <w:t xml:space="preserve">and </w:t>
      </w:r>
      <w:r w:rsidR="00B1132F" w:rsidRPr="002B78B5">
        <w:rPr>
          <w:color w:val="000000" w:themeColor="text1"/>
          <w:szCs w:val="24"/>
        </w:rPr>
        <w:fldChar w:fldCharType="begin"/>
      </w:r>
      <w:r w:rsidR="00B1132F" w:rsidRPr="002B78B5">
        <w:rPr>
          <w:color w:val="000000" w:themeColor="text1"/>
          <w:szCs w:val="24"/>
        </w:rPr>
        <w:instrText xml:space="preserve"> ADDIN ZOTERO_ITEM CSL_CITATION {"citationID":"4WcAGhP6","properties":{"formattedCitation":"(Umeozor et al., 2019)","plainCitation":"(Umeozor et al., 2019)","noteIndex":0},"citationItems":[{"id":602,"uris":["http://zotero.org/users/5016855/items/3LPXEPW2"],"itemData":{"id":602,"type":"report","abstract":"CERI commissioned this study to quantify greenhouse gas (GHG) emissions from petrochemical processes and evaluate supply costs of products from various processing pathways and petrochemical hubs. The hubs assessed are Alberta Industrial Heartland in Alberta, Sarnia/Corunna (Ontario), the United States Gulf Coast (USGC), and South Korean hubs. Environmental impact is evaluated in terms of carbon dioxide, methane and nitrous oxide emissions from the petrochemical sector. The economic impact is assessed through indicative product supply costs at both the plant gate and at potential destination markets. The United States and China are considered destination markets.\n\nTo achieve the objectives of the study, CERI adopted a hub-level analysis approach. We modelled hypothetical integrated petrochemical facilities in each of the hubs, observing jurisdictional differences in the supply cost model and considering various processing pathways for single and mixed feedstocks.","event-place":"Calgary, Canada","language":"en","license":"All rights reserved","note":"OCLC: 1119081471","number":"181","publisher-place":"Calgary, Canada","source":"Open WorldCat","title":"Supply Costs and Emission Profiles of Petrochemical Products in Selected Hubs","URL":"https://ceri.ca/assets/files/Study_181_Full_Report.pdf","author":[{"family":"Umeozor","given":"Evar"},{"family":"Iwuoha","given":"Sochi"},{"family":"Vypovska","given":"Anna"}],"accessed":{"date-parts":[["2021",1,8]]},"issued":{"date-parts":[["2019",6]]}}}],"schema":"https://github.com/citation-style-language/schema/raw/master/csl-citation.json"} </w:instrText>
      </w:r>
      <w:r w:rsidR="00B1132F" w:rsidRPr="002B78B5">
        <w:rPr>
          <w:color w:val="000000" w:themeColor="text1"/>
          <w:szCs w:val="24"/>
        </w:rPr>
        <w:fldChar w:fldCharType="separate"/>
      </w:r>
      <w:r w:rsidR="00B1132F" w:rsidRPr="002B78B5">
        <w:rPr>
          <w:color w:val="000000" w:themeColor="text1"/>
          <w:szCs w:val="24"/>
        </w:rPr>
        <w:t>Umeozor et al., 2019</w:t>
      </w:r>
      <w:r w:rsidR="00B1132F" w:rsidRPr="002B78B5">
        <w:rPr>
          <w:color w:val="000000" w:themeColor="text1"/>
          <w:szCs w:val="24"/>
        </w:rPr>
        <w:fldChar w:fldCharType="end"/>
      </w:r>
      <w:r w:rsidRPr="002B78B5">
        <w:rPr>
          <w:color w:val="000000" w:themeColor="text1"/>
          <w:szCs w:val="24"/>
        </w:rPr>
        <w:t>).</w:t>
      </w:r>
    </w:p>
    <w:p w14:paraId="3C183B07" w14:textId="0F9A83B8" w:rsidR="008E0527" w:rsidRPr="002B78B5" w:rsidRDefault="00BC17E3" w:rsidP="002B78B5">
      <w:pPr>
        <w:rPr>
          <w:color w:val="000000" w:themeColor="text1"/>
          <w:szCs w:val="24"/>
        </w:rPr>
      </w:pPr>
      <w:r w:rsidRPr="002B78B5">
        <w:rPr>
          <w:color w:val="000000" w:themeColor="text1"/>
          <w:szCs w:val="24"/>
        </w:rPr>
        <w:t xml:space="preserve">Successful policy formulation </w:t>
      </w:r>
      <w:r w:rsidR="008E0527" w:rsidRPr="002B78B5">
        <w:rPr>
          <w:color w:val="000000" w:themeColor="text1"/>
          <w:szCs w:val="24"/>
        </w:rPr>
        <w:t xml:space="preserve">and </w:t>
      </w:r>
      <w:r w:rsidRPr="002B78B5">
        <w:rPr>
          <w:color w:val="000000" w:themeColor="text1"/>
          <w:szCs w:val="24"/>
        </w:rPr>
        <w:t>implementation</w:t>
      </w:r>
      <w:r w:rsidR="008E0527" w:rsidRPr="002B78B5">
        <w:rPr>
          <w:color w:val="000000" w:themeColor="text1"/>
          <w:szCs w:val="24"/>
        </w:rPr>
        <w:t xml:space="preserve"> is, however, dependent on a robust understanding of the </w:t>
      </w:r>
      <w:r w:rsidR="00E176FF" w:rsidRPr="002B78B5">
        <w:rPr>
          <w:color w:val="000000" w:themeColor="text1"/>
          <w:szCs w:val="24"/>
        </w:rPr>
        <w:t xml:space="preserve">environment, </w:t>
      </w:r>
      <w:r w:rsidR="008E0527" w:rsidRPr="002B78B5">
        <w:rPr>
          <w:color w:val="000000" w:themeColor="text1"/>
          <w:szCs w:val="24"/>
        </w:rPr>
        <w:t>economic performance</w:t>
      </w:r>
      <w:r w:rsidR="00E176FF" w:rsidRPr="002B78B5">
        <w:rPr>
          <w:color w:val="000000" w:themeColor="text1"/>
          <w:szCs w:val="24"/>
        </w:rPr>
        <w:t>,</w:t>
      </w:r>
      <w:r w:rsidR="008E0527" w:rsidRPr="002B78B5">
        <w:rPr>
          <w:color w:val="000000" w:themeColor="text1"/>
          <w:szCs w:val="24"/>
        </w:rPr>
        <w:t xml:space="preserve"> and development metrics by which the progress towards achieving the INDC targets can be </w:t>
      </w:r>
      <w:r w:rsidR="00E176FF" w:rsidRPr="002B78B5">
        <w:rPr>
          <w:color w:val="000000" w:themeColor="text1"/>
          <w:szCs w:val="24"/>
        </w:rPr>
        <w:t xml:space="preserve">measured and </w:t>
      </w:r>
      <w:r w:rsidR="008E0527" w:rsidRPr="002B78B5">
        <w:rPr>
          <w:color w:val="000000" w:themeColor="text1"/>
          <w:szCs w:val="24"/>
        </w:rPr>
        <w:t xml:space="preserve">monitored. Historically in Canada, where efforts have been made to understand the environment-growth nexus, the methods applied have primarily relied on the use of </w:t>
      </w:r>
      <w:r w:rsidR="00A747E5" w:rsidRPr="002B78B5">
        <w:rPr>
          <w:color w:val="000000" w:themeColor="text1"/>
          <w:szCs w:val="24"/>
        </w:rPr>
        <w:t>gross domestic product (</w:t>
      </w:r>
      <w:r w:rsidR="008E0527" w:rsidRPr="002B78B5">
        <w:rPr>
          <w:color w:val="000000" w:themeColor="text1"/>
          <w:szCs w:val="24"/>
        </w:rPr>
        <w:t>GDP</w:t>
      </w:r>
      <w:r w:rsidR="00A747E5" w:rsidRPr="002B78B5">
        <w:rPr>
          <w:color w:val="000000" w:themeColor="text1"/>
          <w:szCs w:val="24"/>
        </w:rPr>
        <w:t>)</w:t>
      </w:r>
      <w:r w:rsidR="008E0527" w:rsidRPr="002B78B5">
        <w:rPr>
          <w:color w:val="000000" w:themeColor="text1"/>
          <w:szCs w:val="24"/>
        </w:rPr>
        <w:t xml:space="preserve"> as the economic growth metric and carbon dioxide</w:t>
      </w:r>
      <w:r w:rsidR="00A747E5" w:rsidRPr="002B78B5">
        <w:rPr>
          <w:color w:val="000000" w:themeColor="text1"/>
          <w:szCs w:val="24"/>
        </w:rPr>
        <w:t xml:space="preserve"> (CO</w:t>
      </w:r>
      <w:r w:rsidR="00A747E5" w:rsidRPr="00774A5B">
        <w:rPr>
          <w:color w:val="000000" w:themeColor="text1"/>
          <w:szCs w:val="24"/>
          <w:vertAlign w:val="subscript"/>
        </w:rPr>
        <w:t>2</w:t>
      </w:r>
      <w:r w:rsidR="00A747E5" w:rsidRPr="002B78B5">
        <w:rPr>
          <w:color w:val="000000" w:themeColor="text1"/>
          <w:szCs w:val="24"/>
        </w:rPr>
        <w:t>)</w:t>
      </w:r>
      <w:r w:rsidR="008E0527" w:rsidRPr="002B78B5">
        <w:rPr>
          <w:color w:val="000000" w:themeColor="text1"/>
          <w:szCs w:val="24"/>
        </w:rPr>
        <w:t xml:space="preserve"> as the measure of environmental quality (</w:t>
      </w:r>
      <w:proofErr w:type="spellStart"/>
      <w:r w:rsidR="00ED0670" w:rsidRPr="002B78B5">
        <w:rPr>
          <w:color w:val="000000" w:themeColor="text1"/>
          <w:szCs w:val="24"/>
        </w:rPr>
        <w:fldChar w:fldCharType="begin"/>
      </w:r>
      <w:r w:rsidR="00ED0670" w:rsidRPr="002B78B5">
        <w:rPr>
          <w:color w:val="000000" w:themeColor="text1"/>
          <w:szCs w:val="24"/>
        </w:rPr>
        <w:instrText xml:space="preserve"> ADDIN ZOTERO_ITEM CSL_CITATION {"citationID":"BtkQDYDs","properties":{"formattedCitation":"(Destek et al., 2020)","plainCitation":"(Destek et al., 2020)","noteIndex":0},"citationItems":[{"id":336,"uris":["http://zotero.org/users/5016855/items/TCPW9AIT"],"itemData":{"id":336,"type":"article-journal","abstract":"This paper re-investigates the time-varying impacts of economic growth on carbon emissions in the G-7 countries over a long history. In doing so, the historical data spanning the period from the 1800s to 2010 (as constructed) for each country is examined using the time-varying cointegration and bootstrap-rolling window estimation approach. Unlike the previous environmental Kuznets curve (EKC) studies, using this methodology gives us avenue to detect more than one, two, or more turning points for the economic growth-carbon emissions nexus. The empirical findings show that the nexus between economic growth and carbon emission seems over a long history to be M-shaped for Canada and the UK; N-shaped for France; inverted N-shaped for Germany; and inverted M-shaped (W-shaped) for Italy, Japan, and the USA. In addition, the possible validity of EKC hypothesis is examined for both the pre-1973 and post-1973 sub-periods. Based on this investigation, we found that an inverted U-shaped is confirmed only for the pre-1973 period in France, Italy, and the USA. These empirical evidences provide new insights to policy makers to improve environmental quality using economic growth as an economic tool for the long run by observing changes in the environmental impact of this growth from year to year.","container-title":"Environmental Science and Pollution Research","DOI":"10.1007/s11356-020-09189-y","ISSN":"1614-7499","issue":"23","journalAbbreviation":"Environ Sci Pollut Res","language":"en","page":"29100-29117","source":"Springer Link","title":"The relationship between economic growth and carbon emissions in G-7 countries: evidence from time-varying parameters with a long history","title-short":"The relationship between economic growth and carbon emissions in G-7 countries","volume":"27","author":[{"family":"Destek","given":"Mehmet Akif"},{"family":"Shahbaz","given":"Muhammad"},{"family":"Okumus","given":"Ilyas"},{"family":"Hammoudeh","given":"Shawkat"},{"family":"Sinha","given":"Avik"}],"issued":{"date-parts":[["2020"]]}}}],"schema":"https://github.com/citation-style-language/schema/raw/master/csl-citation.json"} </w:instrText>
      </w:r>
      <w:r w:rsidR="00ED0670" w:rsidRPr="002B78B5">
        <w:rPr>
          <w:color w:val="000000" w:themeColor="text1"/>
          <w:szCs w:val="24"/>
        </w:rPr>
        <w:fldChar w:fldCharType="separate"/>
      </w:r>
      <w:r w:rsidR="00ED0670" w:rsidRPr="002B78B5">
        <w:rPr>
          <w:color w:val="000000" w:themeColor="text1"/>
          <w:szCs w:val="24"/>
        </w:rPr>
        <w:t>Destek</w:t>
      </w:r>
      <w:proofErr w:type="spellEnd"/>
      <w:r w:rsidR="00ED0670" w:rsidRPr="002B78B5">
        <w:rPr>
          <w:color w:val="000000" w:themeColor="text1"/>
          <w:szCs w:val="24"/>
        </w:rPr>
        <w:t xml:space="preserve"> et al., 2020</w:t>
      </w:r>
      <w:r w:rsidR="00ED0670" w:rsidRPr="002B78B5">
        <w:rPr>
          <w:color w:val="000000" w:themeColor="text1"/>
          <w:szCs w:val="24"/>
        </w:rPr>
        <w:fldChar w:fldCharType="end"/>
      </w:r>
      <w:r w:rsidR="008E0527" w:rsidRPr="002B78B5">
        <w:rPr>
          <w:color w:val="000000" w:themeColor="text1"/>
          <w:szCs w:val="24"/>
        </w:rPr>
        <w:t xml:space="preserve">; </w:t>
      </w:r>
      <w:r w:rsidR="008F2E87" w:rsidRPr="002B78B5">
        <w:rPr>
          <w:color w:val="000000" w:themeColor="text1"/>
          <w:szCs w:val="24"/>
        </w:rPr>
        <w:fldChar w:fldCharType="begin"/>
      </w:r>
      <w:r w:rsidR="000E3B45" w:rsidRPr="002B78B5">
        <w:rPr>
          <w:color w:val="000000" w:themeColor="text1"/>
          <w:szCs w:val="24"/>
        </w:rPr>
        <w:instrText xml:space="preserve"> ADDIN ZOTERO_ITEM CSL_CITATION {"citationID":"61LZYnE7","properties":{"formattedCitation":"(Government of Canada, 2020c)","plainCitation":"(Government of Canada, 2020c)","noteIndex":0},"citationItems":[{"id":584,"uris":["http://zotero.org/users/5016855/items/9ZNTMC7C"],"itemData":{"id":584,"type":"document","abstract":"December 19, 2020, Part 1, Volume 154, Number 51, Canada Gazette","language":"eng","note":"Last Modified: &lt;!--#config timefmt='%Y-%m-%d'--&gt;&lt;!--#echo var='LAST_MODIFIED'--&gt;\npublisher: Government of Canada, Public Works and Government Services Canada, Integrated Services Branch, Canada Gazette","publisher":"Public Works and Government Services, Government of Canada","title":"Canada Gazette, Part 1, Volume 154, Number 51: Clean Fuel Regulations","title-short":"Canada Gazette, Part 1, Volume 154, Number 51","URL":"http://gazette.gc.ca/rp-pr/p1/2020/2020-12-19/html/reg2-eng.html","author":[{"family":"Government of Canada","given":""}],"accessed":{"date-parts":[["2021",1,10]]},"issued":{"date-parts":[["2020",12,19]]}}}],"schema":"https://github.com/citation-style-language/schema/raw/master/csl-citation.json"} </w:instrText>
      </w:r>
      <w:r w:rsidR="008F2E87" w:rsidRPr="002B78B5">
        <w:rPr>
          <w:color w:val="000000" w:themeColor="text1"/>
          <w:szCs w:val="24"/>
        </w:rPr>
        <w:fldChar w:fldCharType="separate"/>
      </w:r>
      <w:r w:rsidR="000E3B45" w:rsidRPr="002B78B5">
        <w:rPr>
          <w:color w:val="000000" w:themeColor="text1"/>
          <w:szCs w:val="24"/>
        </w:rPr>
        <w:t>Government of Canada, 2020c</w:t>
      </w:r>
      <w:r w:rsidR="008F2E87" w:rsidRPr="002B78B5">
        <w:rPr>
          <w:color w:val="000000" w:themeColor="text1"/>
          <w:szCs w:val="24"/>
        </w:rPr>
        <w:fldChar w:fldCharType="end"/>
      </w:r>
      <w:r w:rsidR="008E0527" w:rsidRPr="002B78B5">
        <w:rPr>
          <w:color w:val="000000" w:themeColor="text1"/>
          <w:szCs w:val="24"/>
        </w:rPr>
        <w:t xml:space="preserve">; </w:t>
      </w:r>
      <w:r w:rsidR="000C173A" w:rsidRPr="002B78B5">
        <w:rPr>
          <w:color w:val="000000" w:themeColor="text1"/>
          <w:szCs w:val="24"/>
        </w:rPr>
        <w:fldChar w:fldCharType="begin"/>
      </w:r>
      <w:r w:rsidR="00D02ADF" w:rsidRPr="002B78B5">
        <w:rPr>
          <w:color w:val="000000" w:themeColor="text1"/>
          <w:szCs w:val="24"/>
        </w:rPr>
        <w:instrText xml:space="preserve"> ADDIN ZOTERO_ITEM CSL_CITATION {"citationID":"a2ms0snq56l","properties":{"formattedCitation":"\\uldash{(Guo et al., 2017)}","plainCitation":"(Guo et al., 2017)","dontUpdate":true,"noteIndex":0},"citationItems":[{"id":814,"uris":["http://zotero.org/users/5016855/items/CU5JDSZS"],"itemData":{"id":814,"type":"article-journal","abstract":"As green growth is considered an effective method to save energy and reduce emissions, the questions of how to achieve it and which factors drive green growth have become hot topic. Although there are some studies on the factors impacting the achievement of green growth, they are limited in quantity. Moreover, most of them are primarily focused on specific influencing factors, such as political factors, environmental regulation (ER), technological innovation (TI), and so on; while there is little discussion of the interaction effects in an integrated methodological framework. Accordingly, this paper develops an integrated model to investigate the relationships among ER, TI and regional green growth performance (RGGP). The model is tested using empirical data on 30 provincial administrative regions in China during 2011–2012 by employing structural equation modeling (SEM) approach that can effectively investigate the relationships between observed and latent variables and the relationships among latent variables simultaneously. The hypothesis H1 of this paper is not confirmed, and the results show that ER has a significant negative effect on RGGP. Both the hypotheses H2 and H3 are confirmed, namely, ER significantly positively influences TI, and TI has a positive impact on RGGP. This finding provides empirical evidence to support the Porter Hypothesis that properly designed ER may positively affect RGGP through motivating TI. According to the results of hypotheses H1, H2 and H3, we find that ER couldn’t directly promote RGGP, but RGGP will be positively impacted by TI driven ER. The finding supports the view of ecological modernization theory that green growth practices may be promoted by TI driven ER, but whether ER can bring green growth practices is uncertain. Furthermore, the finding indicates that TI is a bridge for linking ER and RGGP. Based on our findings, we present some important implications that can be useful for policy-makers and enterprise managers to promote green growth practices in China.","container-title":"Journal of Cleaner Production","DOI":"10.1016/j.jclepro.2017.05.210","ISSN":"0959-6526","journalAbbreviation":"Journal of Cleaner Production","language":"en","page":"894-902","source":"ScienceDirect","title":"The interaction effects of environmental regulation and technological innovation on regional green growth performance","volume":"162","author":[{"family":"Guo","given":"Ling","dropping-particle":"ling"},{"family":"Qu","given":"Ying"},{"family":"Tseng","given":"Ming-Lang"}],"issued":{"date-parts":[["2017"]]}}}],"schema":"https://github.com/citation-style-language/schema/raw/master/csl-citation.json"} </w:instrText>
      </w:r>
      <w:r w:rsidR="000C173A" w:rsidRPr="002B78B5">
        <w:rPr>
          <w:color w:val="000000" w:themeColor="text1"/>
          <w:szCs w:val="24"/>
        </w:rPr>
        <w:fldChar w:fldCharType="separate"/>
      </w:r>
      <w:r w:rsidR="000C173A" w:rsidRPr="002B78B5">
        <w:rPr>
          <w:color w:val="000000" w:themeColor="text1"/>
          <w:szCs w:val="24"/>
        </w:rPr>
        <w:t>Guo et al., 2017</w:t>
      </w:r>
      <w:r w:rsidR="000C173A" w:rsidRPr="002B78B5">
        <w:rPr>
          <w:color w:val="000000" w:themeColor="text1"/>
          <w:szCs w:val="24"/>
        </w:rPr>
        <w:fldChar w:fldCharType="end"/>
      </w:r>
      <w:r w:rsidR="000C173A" w:rsidRPr="002B78B5">
        <w:rPr>
          <w:color w:val="000000" w:themeColor="text1"/>
          <w:szCs w:val="24"/>
        </w:rPr>
        <w:t xml:space="preserve">; </w:t>
      </w:r>
      <w:r w:rsidR="008F2E87" w:rsidRPr="002B78B5">
        <w:rPr>
          <w:color w:val="000000" w:themeColor="text1"/>
          <w:szCs w:val="24"/>
        </w:rPr>
        <w:fldChar w:fldCharType="begin"/>
      </w:r>
      <w:r w:rsidR="008F2E87" w:rsidRPr="002B78B5">
        <w:rPr>
          <w:color w:val="000000" w:themeColor="text1"/>
          <w:szCs w:val="24"/>
        </w:rPr>
        <w:instrText xml:space="preserve"> ADDIN ZOTERO_ITEM CSL_CITATION {"citationID":"IwrcFFve","properties":{"formattedCitation":"(Hosseini et al., 2019)","plainCitation":"(Hosseini et al., 2019)","noteIndex":0},"citationItems":[{"id":843,"uris":["http://zotero.org/users/5016855/items/GRXVV8KX"],"itemData":{"id":843,"type":"report","abstract":"Fuel decarbonization, also referred to as a low-carbon fuel standard, is a policy or regulation to reduce\ncarbon-intensity (CI) usually in transportation fuels as compared to conventional petroleum fuels, such\nas gasoline and diesel. The most common low-carbon fuels are alternative fuels – which in the\ntransportation sector include biofuels, propane, hydrogen, and electric vehicle charging and cleaner\nfossil fuels, such as natural gas. Traditionally, the main objective of fuel decarbonization is to decrease\ncarbon dioxide emissions associated with vehicles powered by various types of internal combustion\nengines while considering the entire life cycle (\"well to wheels\") carbon footprint of transportation.\nThis project evaluates the potential greenhouse gas (GHG) emissions reduction of fuel decarbonization\nscenarios and their overall economic cost. The analysis takes into consideration the proposed Clean\nFuel Standard of the federal government and explores two scenarios to reduce the carbon intensity of gaseous, liquid, and solid fuels against the Business as Usual (BAU) scenario. The study assesses how these three fuel types affect the industrial (including agriculture), transportation and building sectors.\nFigure E.1 shows total emission reductions as compared to the 2016 emission level under alternative\ncarbon intensity reduction scenarios. 2016 was chosen as it reflects the most recent year of detailed emissions data available. As shown in the Figure, scenarios that reduce carbon intensity by 10% will result in annual avoided emissions in the year 2030 of 47 million tonnes (MT) below Business as Usual but still 12 MT above the 2016 emission level. Under a 20% carbon intensity reduction scenario, emissions decrease by 31 MT below 2016 level. The largest emission reductions can be realized in the industrial and transportation sectors.","event-place":"Calgary, Canada","language":"en","note":"OCLC: 1107423941","number":"179","publisher":"Canadian Energy Research Institute","publisher-place":"Calgary, Canada","source":"Open WorldCat","title":"Economic and Emissions Impacts of Fuel Decarbonization","URL":"https://ceri.ca/assets/files/Study_179_Full_Report.pdf","author":[{"family":"Hosseini","given":"Hossein"},{"family":"Romaniuk","given":"Andrei"},{"family":"Millington","given":"Dinara"}],"accessed":{"date-parts":[["2021",1,10]]},"issued":{"date-parts":[["2019",5]]}}}],"schema":"https://github.com/citation-style-language/schema/raw/master/csl-citation.json"} </w:instrText>
      </w:r>
      <w:r w:rsidR="008F2E87" w:rsidRPr="002B78B5">
        <w:rPr>
          <w:color w:val="000000" w:themeColor="text1"/>
          <w:szCs w:val="24"/>
        </w:rPr>
        <w:fldChar w:fldCharType="separate"/>
      </w:r>
      <w:r w:rsidR="008F2E87" w:rsidRPr="002B78B5">
        <w:rPr>
          <w:color w:val="000000" w:themeColor="text1"/>
          <w:szCs w:val="24"/>
        </w:rPr>
        <w:t>Hosseini et al., 2019</w:t>
      </w:r>
      <w:r w:rsidR="008F2E87" w:rsidRPr="002B78B5">
        <w:rPr>
          <w:color w:val="000000" w:themeColor="text1"/>
          <w:szCs w:val="24"/>
        </w:rPr>
        <w:fldChar w:fldCharType="end"/>
      </w:r>
      <w:r w:rsidR="008E0527" w:rsidRPr="002B78B5">
        <w:rPr>
          <w:color w:val="000000" w:themeColor="text1"/>
          <w:szCs w:val="24"/>
        </w:rPr>
        <w:t xml:space="preserve">; </w:t>
      </w:r>
      <w:r w:rsidR="008F2E87" w:rsidRPr="002B78B5">
        <w:rPr>
          <w:color w:val="000000" w:themeColor="text1"/>
          <w:szCs w:val="24"/>
        </w:rPr>
        <w:fldChar w:fldCharType="begin"/>
      </w:r>
      <w:r w:rsidR="0034355E" w:rsidRPr="002B78B5">
        <w:rPr>
          <w:color w:val="000000" w:themeColor="text1"/>
          <w:szCs w:val="24"/>
        </w:rPr>
        <w:instrText xml:space="preserve"> ADDIN ZOTERO_ITEM CSL_CITATION {"citationID":"88N9hQ9q","properties":{"formattedCitation":"(Okumu\\uc0\\u351{} &amp; Bozkurt, 2020)","plainCitation":"(Okumuş &amp; Bozkurt, 2020)","noteIndex":0},"citationItems":[{"id":434,"uris":["http://zotero.org/users/5016855/items/PDNR44UL"],"itemData":{"id":434,"type":"article-journal","abstract":"This study, which aims at investigating economic growth and environmental pollution nexus for groups of countries with different development levels in the context of Environmental Kuznets Curve (EKC) hypothesis, is to analyze the relationship between energy consumption, real gross domestic product (GDP) per capita, the square of real GDP per capita, urbanization, trade liberalization and CO2 emissions for the period of 1980-2013 for groups of countries with different development levels. In addition, in order to examine the impact of the Kyoto Protocol which came into force in 2005 on carbon emissions, a dummy variable was used for energy consumption in 2005. According to the findings, the existence of EKC hypothesis is validated for lower middle income and upper middle income country groups, while the existence of the hypothesis is not validated for low income and high income country groups. In all country groups, the coefficient of energy consumption is positive and statistically significant. An increase in trade liberalization increases carbon dioxide emission levels in lower middle income and low income country groups, whereas an increase in trade liberalization in upper middle income country group reduces the emission level. An increase in urbanization in developed and underdeveloped countries reduces CO2 emissions while increasing CO2 emissions in the upper middle income and lower middle income groups. In the high income country group, the coefficient of the Kyoto dummy variable is negative and statistically significant; it has positive sign in lower middle income country group and statistically significant.","container-title":"Gaziantep University Journal of Social Sciences","DOI":"10.21547/jss.593962","journalAbbreviation":"Gaziantep University Journal of Social Sciences","language":"en","page":"238-255","source":"ResearchGate","title":"The Effects of Economic Growth on Environment for Different Income Group Countries","volume":"19","author":[{"family":"Okumuş","given":"İlyas"},{"family":"Bozkurt","given":"Cuma"}],"issued":{"date-parts":[["2020"]]}}}],"schema":"https://github.com/citation-style-language/schema/raw/master/csl-citation.json"} </w:instrText>
      </w:r>
      <w:r w:rsidR="008F2E87" w:rsidRPr="002B78B5">
        <w:rPr>
          <w:color w:val="000000" w:themeColor="text1"/>
          <w:szCs w:val="24"/>
        </w:rPr>
        <w:fldChar w:fldCharType="separate"/>
      </w:r>
      <w:r w:rsidR="0034355E" w:rsidRPr="002B78B5">
        <w:rPr>
          <w:color w:val="000000" w:themeColor="text1"/>
          <w:szCs w:val="24"/>
        </w:rPr>
        <w:t>Okumuş &amp; Bozkurt, 2020</w:t>
      </w:r>
      <w:r w:rsidR="008F2E87" w:rsidRPr="002B78B5">
        <w:rPr>
          <w:color w:val="000000" w:themeColor="text1"/>
          <w:szCs w:val="24"/>
        </w:rPr>
        <w:fldChar w:fldCharType="end"/>
      </w:r>
      <w:r w:rsidR="000C173A" w:rsidRPr="002B78B5">
        <w:rPr>
          <w:color w:val="000000" w:themeColor="text1"/>
          <w:szCs w:val="24"/>
        </w:rPr>
        <w:t xml:space="preserve">; </w:t>
      </w:r>
      <w:r w:rsidR="0034355E" w:rsidRPr="002B78B5">
        <w:rPr>
          <w:color w:val="000000" w:themeColor="text1"/>
          <w:szCs w:val="24"/>
        </w:rPr>
        <w:t xml:space="preserve">and </w:t>
      </w:r>
      <w:r w:rsidR="000C173A" w:rsidRPr="002B78B5">
        <w:rPr>
          <w:color w:val="000000" w:themeColor="text1"/>
          <w:szCs w:val="24"/>
        </w:rPr>
        <w:fldChar w:fldCharType="begin"/>
      </w:r>
      <w:r w:rsidR="00D02ADF" w:rsidRPr="002B78B5">
        <w:rPr>
          <w:color w:val="000000" w:themeColor="text1"/>
          <w:szCs w:val="24"/>
        </w:rPr>
        <w:instrText xml:space="preserve"> ADDIN ZOTERO_ITEM CSL_CITATION {"citationID":"a1q1q7br99o","properties":{"formattedCitation":"\\uldash{(Schandl et al., 2016)}","plainCitation":"(Schandl et al., 2016)","dontUpdate":true,"noteIndex":0},"citationItems":[{"id":825,"uris":["http://zotero.org/users/5016855/items/LBGYGHEZ"],"itemData":{"id":825,"type":"article-journal","abstract":"In recent decades economic growth and increased human wellbeing around the globe have come at the cost of fast growing natural resource use (including materials and energy) and carbon emissions, leading to converging pressures of declining resource security, rising and increasingly volatile natural resource prices, and climate change. We ask whether well-designed policies can reduce global material and energy use, and carbon emissions, with only minimal impacts on improvements in living standards. We use a novel approach of combined economic and environmental modelling to assess the potential for decoupling for 13 world regions and globally. We apply a production (territorial) and consumption approach to discuss regional differences in natural resource use and carbon emissions across three stylized policy outlooks: a reference case with no significant changes to environment and climate policies; a ‘high efficiency’ outlook involving a global carbon price rising from $50 to $236 (constant price) per tonne of CO2 between 2010 and 2050 and improvements in resource efficiency (rising from 1.5% historically to between 3.5% and 4.5% in the scenarios); and a ‘medium efficiency’ outlook midway between the ‘no change’ and ‘high’ outlooks. We find that global energy use will continue to grow rapidly under all three scenarios from 17 billion tonnes of oil equivalent (toe) in 2010 to between 30 and 36 billion toe. Carbon emissions would be considerably lower with a global carbon price, less than half the level of the reference case (29–37 billion tonnes of CO2 instead of 74 billion tonnes) and also material use would grow much more slowly under a carbon price and significant investment to increase resource efficiency (95 instead of 180 billion tonnes of materials). We find that OECD economies have significant potential to reduce their material throughput and carbon emissions with little impact on economic growth, and that developing economies such as China could expand their economies at much lower environmental cost. Globally, the effects of very strong abatement and resource efficiency policies on economic growth and employment until 2050 are negligible. Our study suggests that decarbonization and dematerialization are possible with well-designed policy settings and would not contradict efforts to raise human wellbeing and standards of living. The research demonstrates the usefulness of scenarios for unpacking environmental and economic outcomes of policy alternatives. The findings have important implications for future economic opportunities in a highly resource efficient and low carbon global economy to set human development and achieving the sustainable development goals on a more resilient path.","collection-title":"Absolute Reductions in Material Throughput, Energy Use and Emissions","container-title":"Journal of Cleaner Production","DOI":"10.1016/j.jclepro.2015.06.100","ISSN":"0959-6526","journalAbbreviation":"Journal of Cleaner Production","language":"en","page":"45-56","source":"ScienceDirect","title":"Decoupling global environmental pressure and economic growth: scenarios for energy use, materials use and carbon emissions","title-short":"Decoupling global environmental pressure and economic growth","volume":"132","author":[{"family":"Schandl","given":"Heinz"},{"family":"Hatfield-Dodds","given":"Steve"},{"family":"Wiedmann","given":"Thomas"},{"family":"Geschke","given":"Arne"},{"family":"Cai","given":"Yiyong"},{"family":"West","given":"James"},{"family":"Newth","given":"David"},{"family":"Baynes","given":"Tim"},{"family":"Lenzen","given":"Manfred"},{"family":"Owen","given":"Anne"}],"issued":{"date-parts":[["2016"]]}}}],"schema":"https://github.com/citation-style-language/schema/raw/master/csl-citation.json"} </w:instrText>
      </w:r>
      <w:r w:rsidR="000C173A" w:rsidRPr="002B78B5">
        <w:rPr>
          <w:color w:val="000000" w:themeColor="text1"/>
          <w:szCs w:val="24"/>
        </w:rPr>
        <w:fldChar w:fldCharType="separate"/>
      </w:r>
      <w:r w:rsidR="000C173A" w:rsidRPr="002B78B5">
        <w:rPr>
          <w:color w:val="000000" w:themeColor="text1"/>
          <w:szCs w:val="24"/>
        </w:rPr>
        <w:t>Schandl et al., 2016</w:t>
      </w:r>
      <w:r w:rsidR="000C173A" w:rsidRPr="002B78B5">
        <w:rPr>
          <w:color w:val="000000" w:themeColor="text1"/>
          <w:szCs w:val="24"/>
        </w:rPr>
        <w:fldChar w:fldCharType="end"/>
      </w:r>
      <w:r w:rsidR="008E0527" w:rsidRPr="002B78B5">
        <w:rPr>
          <w:color w:val="000000" w:themeColor="text1"/>
          <w:szCs w:val="24"/>
        </w:rPr>
        <w:t>).</w:t>
      </w:r>
    </w:p>
    <w:p w14:paraId="5CEB158F" w14:textId="77777777" w:rsidR="003905A6" w:rsidRPr="00966AA9" w:rsidRDefault="00E176FF" w:rsidP="00A46CEF">
      <w:pPr>
        <w:keepNext/>
        <w:tabs>
          <w:tab w:val="left" w:pos="360"/>
        </w:tabs>
        <w:ind w:right="45"/>
        <w:outlineLvl w:val="0"/>
        <w:rPr>
          <w:color w:val="000000" w:themeColor="text1"/>
          <w:szCs w:val="24"/>
        </w:rPr>
      </w:pPr>
      <w:r w:rsidRPr="00966AA9">
        <w:rPr>
          <w:color w:val="000000" w:themeColor="text1"/>
          <w:szCs w:val="24"/>
        </w:rPr>
        <w:t>As a result of the above-mentioned historical approaches used in Canada, t</w:t>
      </w:r>
      <w:r w:rsidR="007D6ED2" w:rsidRPr="00966AA9">
        <w:rPr>
          <w:color w:val="000000" w:themeColor="text1"/>
          <w:szCs w:val="24"/>
        </w:rPr>
        <w:t>wo major gaps</w:t>
      </w:r>
      <w:r w:rsidRPr="00966AA9">
        <w:rPr>
          <w:color w:val="000000" w:themeColor="text1"/>
          <w:szCs w:val="24"/>
        </w:rPr>
        <w:t xml:space="preserve"> exist in the literature:</w:t>
      </w:r>
      <w:r w:rsidR="007D6ED2" w:rsidRPr="00966AA9">
        <w:rPr>
          <w:color w:val="000000" w:themeColor="text1"/>
          <w:szCs w:val="24"/>
        </w:rPr>
        <w:t xml:space="preserve"> </w:t>
      </w:r>
    </w:p>
    <w:p w14:paraId="3F2B71CA" w14:textId="4E4FC3F5" w:rsidR="003905A6" w:rsidRPr="00966AA9" w:rsidRDefault="007D6ED2" w:rsidP="003905A6">
      <w:pPr>
        <w:keepNext/>
        <w:tabs>
          <w:tab w:val="left" w:pos="360"/>
        </w:tabs>
        <w:ind w:left="360" w:right="45"/>
        <w:outlineLvl w:val="0"/>
        <w:rPr>
          <w:color w:val="000000" w:themeColor="text1"/>
          <w:szCs w:val="24"/>
        </w:rPr>
      </w:pPr>
      <w:r w:rsidRPr="00966AA9">
        <w:rPr>
          <w:color w:val="000000" w:themeColor="text1"/>
          <w:szCs w:val="24"/>
        </w:rPr>
        <w:t xml:space="preserve">(a) </w:t>
      </w:r>
      <w:r w:rsidR="00E176FF" w:rsidRPr="00966AA9">
        <w:rPr>
          <w:color w:val="000000" w:themeColor="text1"/>
          <w:szCs w:val="24"/>
        </w:rPr>
        <w:t xml:space="preserve">The role of </w:t>
      </w:r>
      <w:r w:rsidR="00CD366C" w:rsidRPr="00966AA9">
        <w:rPr>
          <w:color w:val="000000" w:themeColor="text1"/>
          <w:szCs w:val="24"/>
        </w:rPr>
        <w:t>Canada’s</w:t>
      </w:r>
      <w:r w:rsidR="00E176FF" w:rsidRPr="00966AA9">
        <w:rPr>
          <w:color w:val="000000" w:themeColor="text1"/>
          <w:szCs w:val="24"/>
        </w:rPr>
        <w:t xml:space="preserve"> overall economic progress in achieving the INDC is poorly understood. This is because, </w:t>
      </w:r>
      <w:r w:rsidRPr="00966AA9">
        <w:rPr>
          <w:color w:val="000000" w:themeColor="text1"/>
          <w:szCs w:val="24"/>
        </w:rPr>
        <w:t xml:space="preserve">GDP itself </w:t>
      </w:r>
      <w:r w:rsidR="00E176FF" w:rsidRPr="00966AA9">
        <w:rPr>
          <w:color w:val="000000" w:themeColor="text1"/>
          <w:szCs w:val="24"/>
        </w:rPr>
        <w:t xml:space="preserve">has been </w:t>
      </w:r>
      <w:r w:rsidR="00C623C5" w:rsidRPr="00966AA9">
        <w:rPr>
          <w:color w:val="000000" w:themeColor="text1"/>
          <w:szCs w:val="24"/>
        </w:rPr>
        <w:t>debated</w:t>
      </w:r>
      <w:r w:rsidR="00CD366C" w:rsidRPr="00966AA9">
        <w:rPr>
          <w:color w:val="000000" w:themeColor="text1"/>
          <w:szCs w:val="24"/>
        </w:rPr>
        <w:t xml:space="preserve"> to be</w:t>
      </w:r>
      <w:r w:rsidR="00E176FF" w:rsidRPr="00966AA9">
        <w:rPr>
          <w:color w:val="000000" w:themeColor="text1"/>
          <w:szCs w:val="24"/>
        </w:rPr>
        <w:t xml:space="preserve"> limited </w:t>
      </w:r>
      <w:r w:rsidRPr="00966AA9">
        <w:rPr>
          <w:color w:val="000000" w:themeColor="text1"/>
          <w:szCs w:val="24"/>
        </w:rPr>
        <w:t>in capturing wholescale economic wellbeing (</w:t>
      </w:r>
      <w:r w:rsidR="005E7BC2">
        <w:rPr>
          <w:color w:val="000000" w:themeColor="text1"/>
          <w:szCs w:val="24"/>
        </w:rPr>
        <w:fldChar w:fldCharType="begin"/>
      </w:r>
      <w:r w:rsidR="005E7BC2">
        <w:rPr>
          <w:color w:val="000000" w:themeColor="text1"/>
          <w:szCs w:val="24"/>
        </w:rPr>
        <w:instrText xml:space="preserve"> ADDIN ZOTERO_ITEM CSL_CITATION {"citationID":"FfTadXgG","properties":{"formattedCitation":"(Ivkovic, 2016)","plainCitation":"(Ivkovic, 2016)","noteIndex":0},"citationItems":[{"id":634,"uris":["http://zotero.org/users/5016855/items/LE7J2DRB"],"itemData":{"id":634,"type":"article-journal","abstract":"The subject of this paper is the gross domestic product that has become a universal measure of progress and well-being. However, its usage for this purpose is inadequate, inappropriate and wrong since this economic measure does not reflect anything more than productivity. Moreover, it was never designed to be more than just a monetary measure and, besides that, it has a lot of limitations and weaknesses that are not sufficiently presented to the general public or in academic papers. In this paper the limitations of the GDP are shown by defining and describing its historical aspects Moreover, the SWOT analysis is used to emphasize the weaknesses and restrictions of this monetary measure. Structured critiques of the gross domestic product make way for other measures of progress and well-being to be recognized and used in a more comprehensive way.","container-title":"Ekonomski Vjesnik","ISSN":"0353359X","issue":"1","language":"English","license":"Copyright J.J. Strossmayer University of Osijek, Faculty of Economics 2016","note":"number-of-pages: 16\npublisher-place: Osijek, Croatia\npublisher: J.J. Strossmayer University of Osijek, Faculty of Economics\nsection: Review article","page":"257-272","source":"ProQuest","title":"Limitations of the Gdp as a Measure of Progress and Well-Being","volume":"29","author":[{"family":"Ivkovic","given":"Anita Frajman"}],"issued":{"date-parts":[["2016"]]}}}],"schema":"https://github.com/citation-style-language/schema/raw/master/csl-citation.json"} </w:instrText>
      </w:r>
      <w:r w:rsidR="005E7BC2">
        <w:rPr>
          <w:color w:val="000000" w:themeColor="text1"/>
          <w:szCs w:val="24"/>
        </w:rPr>
        <w:fldChar w:fldCharType="separate"/>
      </w:r>
      <w:r w:rsidR="005E7BC2" w:rsidRPr="005E7BC2">
        <w:t>Ivkovic, 2016</w:t>
      </w:r>
      <w:r w:rsidR="005E7BC2">
        <w:rPr>
          <w:color w:val="000000" w:themeColor="text1"/>
          <w:szCs w:val="24"/>
        </w:rPr>
        <w:fldChar w:fldCharType="end"/>
      </w:r>
      <w:r w:rsidR="0032513D">
        <w:rPr>
          <w:color w:val="000000" w:themeColor="text1"/>
          <w:szCs w:val="24"/>
        </w:rPr>
        <w:t>;</w:t>
      </w:r>
      <w:r w:rsidR="005E7BC2">
        <w:rPr>
          <w:color w:val="000000" w:themeColor="text1"/>
          <w:szCs w:val="24"/>
        </w:rPr>
        <w:t xml:space="preserve"> and </w:t>
      </w:r>
      <w:r w:rsidR="005E7BC2">
        <w:rPr>
          <w:color w:val="000000" w:themeColor="text1"/>
          <w:szCs w:val="24"/>
        </w:rPr>
        <w:fldChar w:fldCharType="begin"/>
      </w:r>
      <w:r w:rsidR="005E7BC2">
        <w:rPr>
          <w:color w:val="000000" w:themeColor="text1"/>
          <w:szCs w:val="24"/>
        </w:rPr>
        <w:instrText xml:space="preserve"> ADDIN ZOTERO_ITEM CSL_CITATION {"citationID":"pcmrAMOI","properties":{"formattedCitation":"(Whitby et al., 2014)","plainCitation":"(Whitby et al., 2014)","noteIndex":0},"citationItems":[{"id":896,"uris":["http://zotero.org/users/5016855/items/HW4CF455"],"itemData":{"id":896,"type":"report","genre":"Project Report","language":"en","note":"A collaborative programme funded by the European Union’s Seventh Programme for research, technological development and demonstration under grant agreement No. 283024. WFC (World Future Council)","number":"D5.2","page":"68","publisher":"European Union","title":"BRAINPOol Project: Beyond GDP - From Measurement to Politics and Policy Deliverable","URL":"https://neweconomics.org/uploads/images/2018/01/BRAINPOoL-Project-Final-Report.pdf","author":[{"family":"Whitby","given":"Alistair (WFC)"},{"family":"Seaford","given":"Charles"},{"family":"Berry","given":"Christine"}],"accessed":{"date-parts":[["2020",12,31]]},"issued":{"date-parts":[["2014",3,31]]}}}],"schema":"https://github.com/citation-style-language/schema/raw/master/csl-citation.json"} </w:instrText>
      </w:r>
      <w:r w:rsidR="005E7BC2">
        <w:rPr>
          <w:color w:val="000000" w:themeColor="text1"/>
          <w:szCs w:val="24"/>
        </w:rPr>
        <w:fldChar w:fldCharType="separate"/>
      </w:r>
      <w:r w:rsidR="005E7BC2" w:rsidRPr="005E7BC2">
        <w:t>Whitby et al., 2014</w:t>
      </w:r>
      <w:r w:rsidR="005E7BC2">
        <w:rPr>
          <w:color w:val="000000" w:themeColor="text1"/>
          <w:szCs w:val="24"/>
        </w:rPr>
        <w:fldChar w:fldCharType="end"/>
      </w:r>
      <w:r w:rsidRPr="00966AA9">
        <w:rPr>
          <w:color w:val="000000" w:themeColor="text1"/>
          <w:szCs w:val="24"/>
        </w:rPr>
        <w:t xml:space="preserve">). It </w:t>
      </w:r>
      <w:r w:rsidR="00E176FF" w:rsidRPr="00966AA9">
        <w:rPr>
          <w:color w:val="000000" w:themeColor="text1"/>
          <w:szCs w:val="24"/>
        </w:rPr>
        <w:t>has</w:t>
      </w:r>
      <w:r w:rsidRPr="00966AA9">
        <w:rPr>
          <w:color w:val="000000" w:themeColor="text1"/>
          <w:szCs w:val="24"/>
        </w:rPr>
        <w:t xml:space="preserve"> be</w:t>
      </w:r>
      <w:r w:rsidR="00E176FF" w:rsidRPr="00966AA9">
        <w:rPr>
          <w:color w:val="000000" w:themeColor="text1"/>
          <w:szCs w:val="24"/>
        </w:rPr>
        <w:t>en</w:t>
      </w:r>
      <w:r w:rsidRPr="00966AA9">
        <w:rPr>
          <w:color w:val="000000" w:themeColor="text1"/>
          <w:szCs w:val="24"/>
        </w:rPr>
        <w:t xml:space="preserve"> argued that the overall wellbeing of a nation will be crucial in achieving </w:t>
      </w:r>
      <w:r w:rsidR="00C623C5">
        <w:rPr>
          <w:color w:val="000000" w:themeColor="text1"/>
          <w:szCs w:val="24"/>
        </w:rPr>
        <w:t>GHG</w:t>
      </w:r>
      <w:r w:rsidRPr="00966AA9">
        <w:rPr>
          <w:color w:val="000000" w:themeColor="text1"/>
          <w:szCs w:val="24"/>
        </w:rPr>
        <w:t xml:space="preserve"> emission reduction targets</w:t>
      </w:r>
      <w:r w:rsidR="00C623C5">
        <w:rPr>
          <w:color w:val="000000" w:themeColor="text1"/>
          <w:szCs w:val="24"/>
        </w:rPr>
        <w:t>,</w:t>
      </w:r>
      <w:r w:rsidRPr="00966AA9">
        <w:rPr>
          <w:color w:val="000000" w:themeColor="text1"/>
          <w:szCs w:val="24"/>
        </w:rPr>
        <w:t xml:space="preserve"> given the interconnected nature of today’s world and the impact that</w:t>
      </w:r>
      <w:r w:rsidR="00CD366C" w:rsidRPr="00966AA9">
        <w:rPr>
          <w:color w:val="000000" w:themeColor="text1"/>
          <w:szCs w:val="24"/>
        </w:rPr>
        <w:t xml:space="preserve"> socio-</w:t>
      </w:r>
      <w:r w:rsidRPr="00966AA9">
        <w:rPr>
          <w:color w:val="000000" w:themeColor="text1"/>
          <w:szCs w:val="24"/>
        </w:rPr>
        <w:t xml:space="preserve">economic progress can have on </w:t>
      </w:r>
      <w:r w:rsidR="00CD366C" w:rsidRPr="00966AA9">
        <w:rPr>
          <w:color w:val="000000" w:themeColor="text1"/>
          <w:szCs w:val="24"/>
        </w:rPr>
        <w:t xml:space="preserve">the options and </w:t>
      </w:r>
      <w:r w:rsidRPr="00966AA9">
        <w:rPr>
          <w:color w:val="000000" w:themeColor="text1"/>
          <w:szCs w:val="24"/>
        </w:rPr>
        <w:t xml:space="preserve">societal </w:t>
      </w:r>
      <w:r w:rsidR="005A7592" w:rsidRPr="00966AA9">
        <w:rPr>
          <w:color w:val="000000" w:themeColor="text1"/>
          <w:szCs w:val="24"/>
        </w:rPr>
        <w:t xml:space="preserve">choices </w:t>
      </w:r>
      <w:r w:rsidRPr="00966AA9">
        <w:rPr>
          <w:color w:val="000000" w:themeColor="text1"/>
          <w:szCs w:val="24"/>
        </w:rPr>
        <w:t xml:space="preserve">that can </w:t>
      </w:r>
      <w:r w:rsidR="005A7592" w:rsidRPr="00966AA9">
        <w:rPr>
          <w:color w:val="000000" w:themeColor="text1"/>
          <w:szCs w:val="24"/>
        </w:rPr>
        <w:t xml:space="preserve">ultimately </w:t>
      </w:r>
      <w:r w:rsidRPr="00966AA9">
        <w:rPr>
          <w:color w:val="000000" w:themeColor="text1"/>
          <w:szCs w:val="24"/>
        </w:rPr>
        <w:t>lead to emissions reduction (</w:t>
      </w:r>
      <w:r w:rsidR="005E7BC2">
        <w:rPr>
          <w:color w:val="000000" w:themeColor="text1"/>
          <w:szCs w:val="24"/>
        </w:rPr>
        <w:fldChar w:fldCharType="begin"/>
      </w:r>
      <w:r w:rsidR="005E7BC2">
        <w:rPr>
          <w:color w:val="000000" w:themeColor="text1"/>
          <w:szCs w:val="24"/>
        </w:rPr>
        <w:instrText xml:space="preserve"> ADDIN ZOTERO_ITEM CSL_CITATION {"citationID":"RX8ionQK","properties":{"formattedCitation":"(Seto et al., 2016)","plainCitation":"(Seto et al., 2016)","noteIndex":0},"citationItems":[{"id":818,"uris":["http://zotero.org/users/5016855/items/EB3UMEFY"],"itemData":{"id":818,"type":"article-journal","abstract":"Existing technologies, institutions, and behavioral norms together act to constrain the rate and magnitude of carbon emissions reductions in the coming decades. The inertia of carbon emissions due to such mutually reinforcing physical, economic, and social constraints is referred to as carbon lock-in. Carbon lock-in is a special case of path dependency, which is common in the evolution of complex systems. However, carbon lock-in is particularly prone to entrenchment given the large capital costs, long infrastructure lifetimes, and interrelationships between the socioeconomic and technical systems involved. Further, the urgency of efforts to avoid dangerous climate change exacerbates the liability of even small lock-in risks. Although carbon lock-in has been recognized for years, efforts to characterize the types and causes of carbon lock-in, or to quantitatively assess and evaluate its policy implications, have been limited and scattered across a number of different disciplines. This systematic review of the literature synthesizes what is known about the types and causes of carbon lock-in, including the scale, magnitude, and longevity of the effects, and policy implications. We identify three main types of carbon lock-in and describe how they coevolve: (a) infrastructural and technological, (b) institutional, and (c) behavioral. Although each type of lock-in has its own set of processes, all three are tightly intertwined and contribute to the inertia of carbon emissions. We outline the conditions, opportunities, and strategies for fostering transitions toward less-carbon-intensive emissions trajectories. We conclude by proposing a carbon lock-in research agenda that can help bridge the gaps between science, knowledge, and policy-making.","container-title":"Annual Review of Environment and Resources","DOI":"10.1146/annurev-environ-110615-085934","issue":"1","note":"_eprint: https://doi.org/10.1146/annurev-environ-110615-085934","page":"425-452","source":"Annual Reviews","title":"Carbon Lock-In: Types, Causes, and Policy Implications","title-short":"Carbon Lock-In","volume":"41","author":[{"family":"Seto","given":"Karen C."},{"family":"Davis","given":"Steven J."},{"family":"Mitchell","given":"Ronald B."},{"family":"Stokes","given":"Eleanor C."},{"family":"Unruh","given":"Gregory"},{"family":"Ürge-Vorsatz","given":"Diana"}],"issued":{"date-parts":[["2016"]]}}}],"schema":"https://github.com/citation-style-language/schema/raw/master/csl-citation.json"} </w:instrText>
      </w:r>
      <w:r w:rsidR="005E7BC2">
        <w:rPr>
          <w:color w:val="000000" w:themeColor="text1"/>
          <w:szCs w:val="24"/>
        </w:rPr>
        <w:fldChar w:fldCharType="separate"/>
      </w:r>
      <w:r w:rsidR="005E7BC2" w:rsidRPr="005E7BC2">
        <w:t>Seto et al., 2016</w:t>
      </w:r>
      <w:r w:rsidR="005E7BC2">
        <w:rPr>
          <w:color w:val="000000" w:themeColor="text1"/>
          <w:szCs w:val="24"/>
        </w:rPr>
        <w:fldChar w:fldCharType="end"/>
      </w:r>
      <w:r w:rsidRPr="00966AA9">
        <w:rPr>
          <w:color w:val="000000" w:themeColor="text1"/>
          <w:szCs w:val="24"/>
        </w:rPr>
        <w:t xml:space="preserve">). </w:t>
      </w:r>
    </w:p>
    <w:p w14:paraId="68444E69" w14:textId="5363AA19" w:rsidR="007D6ED2" w:rsidRPr="00966AA9" w:rsidRDefault="007D6ED2" w:rsidP="003905A6">
      <w:pPr>
        <w:keepNext/>
        <w:tabs>
          <w:tab w:val="left" w:pos="360"/>
        </w:tabs>
        <w:ind w:left="360" w:right="45"/>
        <w:outlineLvl w:val="0"/>
        <w:rPr>
          <w:color w:val="000000" w:themeColor="text1"/>
          <w:szCs w:val="24"/>
        </w:rPr>
      </w:pPr>
      <w:r w:rsidRPr="00966AA9">
        <w:rPr>
          <w:color w:val="000000" w:themeColor="text1"/>
          <w:szCs w:val="24"/>
        </w:rPr>
        <w:t xml:space="preserve">(b) </w:t>
      </w:r>
      <w:r w:rsidR="005A7592" w:rsidRPr="00966AA9">
        <w:rPr>
          <w:color w:val="000000" w:themeColor="text1"/>
          <w:szCs w:val="24"/>
        </w:rPr>
        <w:t xml:space="preserve">There is a lack of clarity on the link between total </w:t>
      </w:r>
      <w:r w:rsidR="003905A6" w:rsidRPr="00966AA9">
        <w:rPr>
          <w:color w:val="000000" w:themeColor="text1"/>
          <w:szCs w:val="24"/>
        </w:rPr>
        <w:t>GHG</w:t>
      </w:r>
      <w:r w:rsidR="005A7592" w:rsidRPr="00966AA9">
        <w:rPr>
          <w:color w:val="000000" w:themeColor="text1"/>
          <w:szCs w:val="24"/>
        </w:rPr>
        <w:t xml:space="preserve"> emissions and Canada’s economic progress. </w:t>
      </w:r>
      <w:r w:rsidR="003905A6" w:rsidRPr="00966AA9">
        <w:rPr>
          <w:color w:val="000000" w:themeColor="text1"/>
          <w:szCs w:val="24"/>
        </w:rPr>
        <w:t>We opine that s</w:t>
      </w:r>
      <w:r w:rsidRPr="00966AA9">
        <w:rPr>
          <w:color w:val="000000" w:themeColor="text1"/>
          <w:szCs w:val="24"/>
        </w:rPr>
        <w:t xml:space="preserve">ince the </w:t>
      </w:r>
      <w:r w:rsidR="00E176FF" w:rsidRPr="00966AA9">
        <w:rPr>
          <w:color w:val="000000" w:themeColor="text1"/>
          <w:szCs w:val="24"/>
        </w:rPr>
        <w:t>ultimate</w:t>
      </w:r>
      <w:r w:rsidRPr="00966AA9">
        <w:rPr>
          <w:color w:val="000000" w:themeColor="text1"/>
          <w:szCs w:val="24"/>
        </w:rPr>
        <w:t xml:space="preserve"> objective is to reduce the total GHG emissions, it is paramount that effort is directed towards </w:t>
      </w:r>
      <w:r w:rsidR="005A7592" w:rsidRPr="00966AA9">
        <w:rPr>
          <w:color w:val="000000" w:themeColor="text1"/>
          <w:szCs w:val="24"/>
        </w:rPr>
        <w:t>understanding</w:t>
      </w:r>
      <w:r w:rsidRPr="00966AA9">
        <w:rPr>
          <w:color w:val="000000" w:themeColor="text1"/>
          <w:szCs w:val="24"/>
        </w:rPr>
        <w:t xml:space="preserve"> the environment-growth nexus </w:t>
      </w:r>
      <w:r w:rsidR="003905A6" w:rsidRPr="00966AA9">
        <w:rPr>
          <w:color w:val="000000" w:themeColor="text1"/>
          <w:szCs w:val="24"/>
        </w:rPr>
        <w:t xml:space="preserve">by </w:t>
      </w:r>
      <w:r w:rsidRPr="00966AA9">
        <w:rPr>
          <w:color w:val="000000" w:themeColor="text1"/>
          <w:szCs w:val="24"/>
        </w:rPr>
        <w:t>using the total GHG emissions as an indicator of environmental quality</w:t>
      </w:r>
      <w:r w:rsidR="003905A6" w:rsidRPr="00966AA9">
        <w:rPr>
          <w:color w:val="000000" w:themeColor="text1"/>
          <w:szCs w:val="24"/>
        </w:rPr>
        <w:t>,</w:t>
      </w:r>
      <w:r w:rsidRPr="00966AA9">
        <w:rPr>
          <w:color w:val="000000" w:themeColor="text1"/>
          <w:szCs w:val="24"/>
        </w:rPr>
        <w:t xml:space="preserve"> </w:t>
      </w:r>
      <w:r w:rsidR="003905A6" w:rsidRPr="00966AA9">
        <w:rPr>
          <w:color w:val="000000" w:themeColor="text1"/>
          <w:szCs w:val="24"/>
        </w:rPr>
        <w:t>rather than</w:t>
      </w:r>
      <w:r w:rsidRPr="00966AA9">
        <w:rPr>
          <w:color w:val="000000" w:themeColor="text1"/>
          <w:szCs w:val="24"/>
        </w:rPr>
        <w:t xml:space="preserve"> </w:t>
      </w:r>
      <w:r w:rsidR="00CD366C" w:rsidRPr="00966AA9">
        <w:rPr>
          <w:color w:val="000000" w:themeColor="text1"/>
          <w:szCs w:val="24"/>
        </w:rPr>
        <w:t xml:space="preserve">mostly relying on the perspectives gained from studying components of Canada’s </w:t>
      </w:r>
      <w:r w:rsidRPr="00966AA9">
        <w:rPr>
          <w:color w:val="000000" w:themeColor="text1"/>
          <w:szCs w:val="24"/>
        </w:rPr>
        <w:t xml:space="preserve">emissions </w:t>
      </w:r>
      <w:r w:rsidR="00CD366C" w:rsidRPr="00966AA9">
        <w:rPr>
          <w:color w:val="000000" w:themeColor="text1"/>
          <w:szCs w:val="24"/>
        </w:rPr>
        <w:t>profile</w:t>
      </w:r>
      <w:r w:rsidRPr="00966AA9">
        <w:rPr>
          <w:color w:val="000000" w:themeColor="text1"/>
          <w:szCs w:val="24"/>
        </w:rPr>
        <w:t xml:space="preserve"> such as CO</w:t>
      </w:r>
      <w:r w:rsidRPr="00966AA9">
        <w:rPr>
          <w:color w:val="000000" w:themeColor="text1"/>
          <w:szCs w:val="24"/>
          <w:vertAlign w:val="subscript"/>
        </w:rPr>
        <w:t>2</w:t>
      </w:r>
      <w:r w:rsidRPr="00966AA9">
        <w:rPr>
          <w:color w:val="000000" w:themeColor="text1"/>
          <w:szCs w:val="24"/>
        </w:rPr>
        <w:t xml:space="preserve"> (</w:t>
      </w:r>
      <w:proofErr w:type="spellStart"/>
      <w:r w:rsidR="00614B8C">
        <w:rPr>
          <w:color w:val="000000" w:themeColor="text1"/>
          <w:szCs w:val="24"/>
        </w:rPr>
        <w:fldChar w:fldCharType="begin"/>
      </w:r>
      <w:r w:rsidR="00B62BFE">
        <w:rPr>
          <w:color w:val="000000" w:themeColor="text1"/>
          <w:szCs w:val="24"/>
        </w:rPr>
        <w:instrText xml:space="preserve"> ADDIN ZOTERO_ITEM CSL_CITATION {"citationID":"iAvozCLV","properties":{"formattedCitation":"(Huisingh et al., 2015; Shahbaz et al., 2013; Tan et al., 2017)","plainCitation":"(Huisingh et al., 2015; Shahbaz et al., 2013; Tan et al., 2017)","noteIndex":0},"citationItems":[{"id":833,"uris":["http://zotero.org/users/5016855/items/HMIDMWYR"],"itemData":{"id":833,"type":"article-journal","abstract":"Climate change and its social, environmental, economic and ethical consequences are widely recognized as the major set of interconnected problems facing human societies. Its impacts and costs will be large, serious, and unevenly spread, globally for decades. The main factor causing climate change and global warming is the increase of global carbon emissions produced by human activities such as deforestation and burning of fossil fuels. In this special volume, the articles mainly focus on investigations of technical innovations and policy interventions for improved energy efficiency and carbon emissions reduction in a wide diversity of industrial, construction and agricultural sectors at different scales, from the smallest scales (firm or household), cities, regional, to national and global scales. Some articles in this special volume assess alternative carbon emissions reduction approaches, such as carbon capture and storage and geoengineering schemes. Given the high cost and internal/external uncertainties of carbon capture and storage and risks and side effects of various geoengineering schemes, improved energy efficiency and widespread implementation of low fossil-carbon renewable-energy based systems are clearly the most direct and effective approaches to reduce carbon emissions. This means that we have to radically transform our societal metabolism towards low/no fossil-carbon economies. However, design and implementation of low/no fossil-carbon production will require fundamental changes in the design, production and use of products and these needed changes are evolving but much more needs to be done. Additionally, the design and timing of suitable climate policy interventions, such as various carbon taxation/trading schemes, must be integral in facilitating the development of low fossil carbon products and accelerating the transition to post-fossil carbon societies.","collection-title":"Carbon Emissions Reduction: Policies, Technologies, Monitoring, Assessment and Modeling","container-title":"Journal of Cleaner Production","DOI":"10.1016/j.jclepro.2015.04.098","ISSN":"0959-6526","journalAbbreviation":"Journal of Cleaner Production","language":"en","page":"1-12","source":"ScienceDirect","title":"Recent advances in carbon emissions reduction: policies, technologies, monitoring, assessment and modeling","title-short":"Recent advances in carbon emissions reduction","volume":"103","author":[{"family":"Huisingh","given":"Donald"},{"family":"Zhang","given":"Zhihua"},{"family":"Moore","given":"John C."},{"family":"Qiao","given":"Qi"},{"family":"Li","given":"Qi"}],"issued":{"date-parts":[["2015"]]}}},{"id":282,"uris":["http://zotero.org/users/5016855/items/HZJSQCXC"],"itemData":{"id":282,"type":"article-journal","abstract":"This study deals with the question whether financial development reduces CO2 emissions or not in case of Malaysia. For this purpose, we apply the bounds testing approach to cointegration between the variables. We establish the presence of significant long-run relationships between CO2 emissions, financial development, energy consumption and economic growth. The empirical evidence also indicates that financial development reduces CO2 emissions. Energy consumption and economic growth add in CO2 emissions. The Granger causality analysis reveals the feedback hypothesis between financial development and CO2 emissions, energy consumption and CO2 emissions and, between CO2 emissions and economic growth.","container-title":"Economic Modelling","DOI":"10.1016/j.econmod.2013.06.037","ISSN":"0264-9993","journalAbbreviation":"Economic Modelling","language":"en","page":"145-152","source":"ScienceDirect","title":"Does financial development reduce CO2 emissions in Malaysian economy? A time series analysis","title-short":"Does financial development reduce CO2 emissions in Malaysian economy?","volume":"35","author":[{"family":"Shahbaz","given":"Muhammad"},{"family":"Solarin","given":"Sakiru Adebola"},{"family":"Mahmood","given":"Haider"},{"family":"Arouri","given":"Mohamed"}],"issued":{"date-parts":[["2013"]]}}},{"id":827,"uris":["http://zotero.org/users/5016855/items/Q7UDJG2X"],"itemData":{"id":827,"type":"article-journal","abstract":"Many cities are pursuing the low-carbon practices to reduce CO2 and other environmental emissions. However, it is still unclear which aspects a low-carbon city (LCC) covers and how to quantify and certify its low carbon level. In this paper, an indicator framework for the evaluation of LCC was established from the perspectives of Economic, Energy pattern, Social and Living, Carbon and Environment, Urban mobility, Solid waste, and Water. A comprehensive evaluation method was employed for LCC ranking by using the entropy weighting factor method. The benchmark values for LCC certification were also identified. The framework was applied to 10 global cities to rank their low-carbon levels. The comparison of cities at different levels of economic, social, and environmental development enhances the holistic of the study. The results showed that Stockholm, Vancouver, and Sydney ranked higher than the benchmark value, indicating these cities achieved a high level of low-carbon development. São Paulo, London, and Mexico City are still in the slow transition towards LCC. Beijing and New York each has much lower LCC level than the benchmark value due to the poor environmental performance and infrastructure supports caused by intensive human activities. The proposed indicator system serves as a guideline for the standardization of LCC and further identifies the key aspects of low-carbon management for different cities.","collection-title":"Clean, Efficient and Affordable Energy for a Sustainable Future","container-title":"Applied Energy","DOI":"10.1016/j.apenergy.2016.03.041","ISSN":"0306-2619","journalAbbreviation":"Applied Energy","language":"en","page":"1919-1930","source":"ScienceDirect","title":"A holistic low carbon city indicator framework for sustainable development","volume":"185","author":[{"family":"Tan","given":"Sieting"},{"family":"Yang","given":"Jin"},{"family":"Yan","given":"Jinyue"},{"family":"Lee","given":"Chewtin"},{"family":"Hashim","given":"Haslenda"},{"family":"Chen","given":"Bin"}],"issued":{"date-parts":[["2017"]]}}}],"schema":"https://github.com/citation-style-language/schema/raw/master/csl-citation.json"} </w:instrText>
      </w:r>
      <w:r w:rsidR="00614B8C">
        <w:rPr>
          <w:color w:val="000000" w:themeColor="text1"/>
          <w:szCs w:val="24"/>
        </w:rPr>
        <w:fldChar w:fldCharType="separate"/>
      </w:r>
      <w:r w:rsidR="00B62BFE" w:rsidRPr="00B62BFE">
        <w:t>Huisingh</w:t>
      </w:r>
      <w:proofErr w:type="spellEnd"/>
      <w:r w:rsidR="00B62BFE" w:rsidRPr="00B62BFE">
        <w:t xml:space="preserve"> et al., 2015; Shahbaz et al., 2013; </w:t>
      </w:r>
      <w:r w:rsidR="00B62BFE">
        <w:t xml:space="preserve">and </w:t>
      </w:r>
      <w:r w:rsidR="00B62BFE" w:rsidRPr="00B62BFE">
        <w:t>Tan et al., 2017</w:t>
      </w:r>
      <w:r w:rsidR="00614B8C">
        <w:rPr>
          <w:color w:val="000000" w:themeColor="text1"/>
          <w:szCs w:val="24"/>
        </w:rPr>
        <w:fldChar w:fldCharType="end"/>
      </w:r>
      <w:r w:rsidRPr="00966AA9">
        <w:rPr>
          <w:color w:val="000000" w:themeColor="text1"/>
          <w:szCs w:val="24"/>
        </w:rPr>
        <w:t xml:space="preserve">). </w:t>
      </w:r>
    </w:p>
    <w:p w14:paraId="64C600D3" w14:textId="46323E9F" w:rsidR="007D6ED2" w:rsidRPr="00966AA9" w:rsidRDefault="007D6ED2" w:rsidP="002B78B5">
      <w:pPr>
        <w:rPr>
          <w:color w:val="000000" w:themeColor="text1"/>
          <w:szCs w:val="24"/>
        </w:rPr>
      </w:pPr>
      <w:r w:rsidRPr="00966AA9">
        <w:rPr>
          <w:color w:val="000000" w:themeColor="text1"/>
          <w:szCs w:val="24"/>
        </w:rPr>
        <w:t xml:space="preserve">Efforts at addressing the gaps identified above in Canada are still limited in the literature, hence </w:t>
      </w:r>
      <w:r w:rsidR="00C623C5">
        <w:rPr>
          <w:color w:val="000000" w:themeColor="text1"/>
          <w:szCs w:val="24"/>
        </w:rPr>
        <w:t>our developing this paper</w:t>
      </w:r>
      <w:r w:rsidRPr="00966AA9">
        <w:rPr>
          <w:color w:val="000000" w:themeColor="text1"/>
          <w:szCs w:val="24"/>
        </w:rPr>
        <w:t xml:space="preserve"> </w:t>
      </w:r>
      <w:r w:rsidR="00C623C5">
        <w:rPr>
          <w:color w:val="000000" w:themeColor="text1"/>
          <w:szCs w:val="24"/>
        </w:rPr>
        <w:t xml:space="preserve">that </w:t>
      </w:r>
      <w:r w:rsidRPr="00966AA9">
        <w:rPr>
          <w:color w:val="000000" w:themeColor="text1"/>
          <w:szCs w:val="24"/>
        </w:rPr>
        <w:t>research</w:t>
      </w:r>
      <w:r w:rsidR="00C623C5">
        <w:rPr>
          <w:color w:val="000000" w:themeColor="text1"/>
          <w:szCs w:val="24"/>
        </w:rPr>
        <w:t>es</w:t>
      </w:r>
      <w:r w:rsidRPr="00966AA9">
        <w:rPr>
          <w:color w:val="000000" w:themeColor="text1"/>
          <w:szCs w:val="24"/>
        </w:rPr>
        <w:t xml:space="preserve"> the relationship between the total GHG</w:t>
      </w:r>
      <w:r w:rsidR="003905A6" w:rsidRPr="00966AA9">
        <w:rPr>
          <w:color w:val="000000" w:themeColor="text1"/>
          <w:szCs w:val="24"/>
        </w:rPr>
        <w:t xml:space="preserve"> emissions</w:t>
      </w:r>
      <w:r w:rsidRPr="00966AA9">
        <w:rPr>
          <w:color w:val="000000" w:themeColor="text1"/>
          <w:szCs w:val="24"/>
        </w:rPr>
        <w:t xml:space="preserve"> and GDP-alternative measures. </w:t>
      </w:r>
    </w:p>
    <w:p w14:paraId="5629FA12" w14:textId="77777777" w:rsidR="00D238C4" w:rsidRPr="00966AA9" w:rsidRDefault="00D238C4" w:rsidP="00A947A2">
      <w:pPr>
        <w:rPr>
          <w:color w:val="000000" w:themeColor="text1"/>
          <w:szCs w:val="24"/>
        </w:rPr>
      </w:pPr>
    </w:p>
    <w:p w14:paraId="33B3C8AE" w14:textId="77777777" w:rsidR="00185FDF" w:rsidRPr="00966AA9" w:rsidRDefault="00185FDF" w:rsidP="00127A4C">
      <w:pPr>
        <w:pStyle w:val="HeadingNumbering2"/>
        <w:ind w:left="720"/>
        <w:rPr>
          <w:color w:val="000000" w:themeColor="text1"/>
        </w:rPr>
      </w:pPr>
      <w:r w:rsidRPr="00966AA9">
        <w:rPr>
          <w:color w:val="000000" w:themeColor="text1"/>
        </w:rPr>
        <w:t>Purpose of the Study</w:t>
      </w:r>
    </w:p>
    <w:p w14:paraId="13268372" w14:textId="7899B2C3" w:rsidR="00185FDF" w:rsidRDefault="008C034E" w:rsidP="00185FDF">
      <w:pPr>
        <w:rPr>
          <w:color w:val="000000" w:themeColor="text1"/>
          <w:szCs w:val="24"/>
        </w:rPr>
      </w:pPr>
      <w:r w:rsidRPr="00966AA9">
        <w:rPr>
          <w:color w:val="000000" w:themeColor="text1"/>
          <w:szCs w:val="24"/>
        </w:rPr>
        <w:t>The objective</w:t>
      </w:r>
      <w:r w:rsidR="003905A6" w:rsidRPr="00966AA9">
        <w:rPr>
          <w:color w:val="000000" w:themeColor="text1"/>
          <w:szCs w:val="24"/>
        </w:rPr>
        <w:t>s</w:t>
      </w:r>
      <w:r w:rsidRPr="00966AA9">
        <w:rPr>
          <w:color w:val="000000" w:themeColor="text1"/>
          <w:szCs w:val="24"/>
        </w:rPr>
        <w:t xml:space="preserve"> of this study</w:t>
      </w:r>
      <w:r w:rsidR="003905A6" w:rsidRPr="00966AA9">
        <w:rPr>
          <w:color w:val="000000" w:themeColor="text1"/>
          <w:szCs w:val="24"/>
        </w:rPr>
        <w:t>, therefore,</w:t>
      </w:r>
      <w:r w:rsidRPr="00966AA9">
        <w:rPr>
          <w:color w:val="000000" w:themeColor="text1"/>
          <w:szCs w:val="24"/>
        </w:rPr>
        <w:t xml:space="preserve"> </w:t>
      </w:r>
      <w:r w:rsidR="00C623C5">
        <w:rPr>
          <w:color w:val="000000" w:themeColor="text1"/>
          <w:szCs w:val="24"/>
        </w:rPr>
        <w:t>are</w:t>
      </w:r>
      <w:r w:rsidRPr="00966AA9">
        <w:rPr>
          <w:color w:val="000000" w:themeColor="text1"/>
          <w:szCs w:val="24"/>
        </w:rPr>
        <w:t xml:space="preserve"> to</w:t>
      </w:r>
      <w:r w:rsidR="002C17B6" w:rsidRPr="00966AA9">
        <w:rPr>
          <w:color w:val="000000" w:themeColor="text1"/>
          <w:szCs w:val="24"/>
        </w:rPr>
        <w:t xml:space="preserve"> (a) establish the relationship between Canada’s </w:t>
      </w:r>
      <w:r w:rsidR="00FC1D81">
        <w:rPr>
          <w:color w:val="000000" w:themeColor="text1"/>
          <w:szCs w:val="24"/>
        </w:rPr>
        <w:t>per capita total GHG emissions (</w:t>
      </w:r>
      <w:r w:rsidR="002C17B6" w:rsidRPr="00966AA9">
        <w:rPr>
          <w:color w:val="000000" w:themeColor="text1"/>
          <w:szCs w:val="24"/>
        </w:rPr>
        <w:t>GHGpc</w:t>
      </w:r>
      <w:r w:rsidR="00FC1D81">
        <w:rPr>
          <w:color w:val="000000" w:themeColor="text1"/>
          <w:szCs w:val="24"/>
        </w:rPr>
        <w:t>)</w:t>
      </w:r>
      <w:r w:rsidR="002C17B6" w:rsidRPr="00966AA9">
        <w:rPr>
          <w:color w:val="000000" w:themeColor="text1"/>
          <w:szCs w:val="24"/>
        </w:rPr>
        <w:t xml:space="preserve"> and economic development (captured by GDP-alternative measures</w:t>
      </w:r>
      <w:r w:rsidR="005D6579" w:rsidRPr="00966AA9">
        <w:rPr>
          <w:color w:val="000000" w:themeColor="text1"/>
          <w:szCs w:val="24"/>
        </w:rPr>
        <w:t>)</w:t>
      </w:r>
      <w:r w:rsidR="003747A7" w:rsidRPr="00966AA9">
        <w:rPr>
          <w:color w:val="000000" w:themeColor="text1"/>
          <w:szCs w:val="24"/>
        </w:rPr>
        <w:t xml:space="preserve"> and</w:t>
      </w:r>
      <w:r w:rsidR="002C17B6" w:rsidRPr="00966AA9">
        <w:rPr>
          <w:color w:val="000000" w:themeColor="text1"/>
          <w:szCs w:val="24"/>
        </w:rPr>
        <w:t xml:space="preserve"> (b)</w:t>
      </w:r>
      <w:r w:rsidRPr="00966AA9">
        <w:rPr>
          <w:color w:val="000000" w:themeColor="text1"/>
          <w:szCs w:val="24"/>
        </w:rPr>
        <w:t xml:space="preserve"> investigate</w:t>
      </w:r>
      <w:r w:rsidR="002C17B6" w:rsidRPr="00966AA9">
        <w:rPr>
          <w:color w:val="000000" w:themeColor="text1"/>
          <w:szCs w:val="24"/>
        </w:rPr>
        <w:t xml:space="preserve"> </w:t>
      </w:r>
      <w:r w:rsidRPr="00966AA9">
        <w:rPr>
          <w:color w:val="000000" w:themeColor="text1"/>
          <w:szCs w:val="24"/>
        </w:rPr>
        <w:t xml:space="preserve">if a long-run </w:t>
      </w:r>
      <w:r w:rsidR="00376A59" w:rsidRPr="00966AA9">
        <w:rPr>
          <w:color w:val="000000" w:themeColor="text1"/>
          <w:szCs w:val="24"/>
        </w:rPr>
        <w:t xml:space="preserve">relationship </w:t>
      </w:r>
      <w:r w:rsidR="00376A59">
        <w:rPr>
          <w:color w:val="000000" w:themeColor="text1"/>
          <w:szCs w:val="24"/>
        </w:rPr>
        <w:t xml:space="preserve">exists </w:t>
      </w:r>
      <w:r w:rsidRPr="00966AA9">
        <w:rPr>
          <w:color w:val="000000" w:themeColor="text1"/>
          <w:szCs w:val="24"/>
        </w:rPr>
        <w:t>between Canada’s GHGpc and economic development</w:t>
      </w:r>
      <w:r w:rsidR="005D6579" w:rsidRPr="00966AA9">
        <w:rPr>
          <w:color w:val="000000" w:themeColor="text1"/>
          <w:szCs w:val="24"/>
        </w:rPr>
        <w:t>.</w:t>
      </w:r>
    </w:p>
    <w:p w14:paraId="29C9B2C1" w14:textId="7A56FC31" w:rsidR="00376A59" w:rsidRPr="00966AA9" w:rsidRDefault="00376A59" w:rsidP="00185FDF">
      <w:pPr>
        <w:rPr>
          <w:color w:val="000000" w:themeColor="text1"/>
          <w:szCs w:val="24"/>
        </w:rPr>
      </w:pPr>
      <w:r>
        <w:rPr>
          <w:color w:val="000000" w:themeColor="text1"/>
          <w:szCs w:val="24"/>
        </w:rPr>
        <w:t>Given the ubiquitous use of GDP</w:t>
      </w:r>
      <w:r w:rsidR="0087386B">
        <w:rPr>
          <w:color w:val="000000" w:themeColor="text1"/>
          <w:szCs w:val="24"/>
        </w:rPr>
        <w:t xml:space="preserve"> as an economic growth metric</w:t>
      </w:r>
      <w:r>
        <w:rPr>
          <w:color w:val="000000" w:themeColor="text1"/>
          <w:szCs w:val="24"/>
        </w:rPr>
        <w:t>, th</w:t>
      </w:r>
      <w:r w:rsidR="0087386B">
        <w:rPr>
          <w:color w:val="000000" w:themeColor="text1"/>
          <w:szCs w:val="24"/>
        </w:rPr>
        <w:t>is</w:t>
      </w:r>
      <w:r>
        <w:rPr>
          <w:color w:val="000000" w:themeColor="text1"/>
          <w:szCs w:val="24"/>
        </w:rPr>
        <w:t xml:space="preserve"> study also incorporates an analysis of GDP for comparison, for both objectives (a) and (b) </w:t>
      </w:r>
      <w:r>
        <w:rPr>
          <w:color w:val="000000" w:themeColor="text1"/>
          <w:szCs w:val="24"/>
        </w:rPr>
        <w:lastRenderedPageBreak/>
        <w:t xml:space="preserve">above. </w:t>
      </w:r>
    </w:p>
    <w:p w14:paraId="05449925" w14:textId="77777777" w:rsidR="00185FDF" w:rsidRDefault="00185FDF" w:rsidP="00A947A2">
      <w:pPr>
        <w:rPr>
          <w:color w:val="000000"/>
          <w:szCs w:val="24"/>
        </w:rPr>
      </w:pPr>
    </w:p>
    <w:p w14:paraId="6D47CBFA" w14:textId="77777777" w:rsidR="00A46CEF" w:rsidRPr="00A947A2" w:rsidRDefault="00A46CEF" w:rsidP="00A947A2">
      <w:pPr>
        <w:rPr>
          <w:color w:val="000000"/>
          <w:szCs w:val="24"/>
        </w:rPr>
      </w:pPr>
    </w:p>
    <w:p w14:paraId="7A329487" w14:textId="1422821D" w:rsidR="00A947A2" w:rsidRPr="00A947A2" w:rsidRDefault="00622F68" w:rsidP="00A947A2">
      <w:pPr>
        <w:pStyle w:val="HeadingNumbering1"/>
      </w:pPr>
      <w:r>
        <w:t>Brief Review of the Literature</w:t>
      </w:r>
    </w:p>
    <w:p w14:paraId="426EF67A" w14:textId="3FD860F1" w:rsidR="0087386B" w:rsidRDefault="0087386B" w:rsidP="00A26495">
      <w:pPr>
        <w:rPr>
          <w:bCs/>
          <w:szCs w:val="24"/>
        </w:rPr>
      </w:pPr>
      <w:r w:rsidRPr="0087386B">
        <w:rPr>
          <w:bCs/>
          <w:szCs w:val="24"/>
        </w:rPr>
        <w:t>Since the Kyoto Protocol in 1997 and the subsequent Paris climate accord in 2015, many</w:t>
      </w:r>
      <w:r w:rsidR="00F209BF">
        <w:rPr>
          <w:bCs/>
          <w:szCs w:val="24"/>
        </w:rPr>
        <w:t xml:space="preserve"> </w:t>
      </w:r>
      <w:r w:rsidR="00774A5B">
        <w:rPr>
          <w:bCs/>
          <w:szCs w:val="24"/>
        </w:rPr>
        <w:t xml:space="preserve">Organization for Economic </w:t>
      </w:r>
      <w:r w:rsidR="00F209BF">
        <w:rPr>
          <w:bCs/>
          <w:szCs w:val="24"/>
        </w:rPr>
        <w:t xml:space="preserve">Co-operation and </w:t>
      </w:r>
      <w:r w:rsidR="00774A5B">
        <w:rPr>
          <w:bCs/>
          <w:szCs w:val="24"/>
        </w:rPr>
        <w:t>Development (</w:t>
      </w:r>
      <w:r w:rsidRPr="0087386B">
        <w:rPr>
          <w:bCs/>
          <w:szCs w:val="24"/>
        </w:rPr>
        <w:t>OECD</w:t>
      </w:r>
      <w:r w:rsidR="00F209BF">
        <w:rPr>
          <w:bCs/>
          <w:szCs w:val="24"/>
        </w:rPr>
        <w:t>)</w:t>
      </w:r>
      <w:r w:rsidRPr="0087386B">
        <w:rPr>
          <w:bCs/>
          <w:szCs w:val="24"/>
        </w:rPr>
        <w:t xml:space="preserve"> countries (</w:t>
      </w:r>
      <w:r w:rsidR="00F209BF">
        <w:rPr>
          <w:bCs/>
          <w:szCs w:val="24"/>
        </w:rPr>
        <w:t>which includes</w:t>
      </w:r>
      <w:r w:rsidRPr="0087386B">
        <w:rPr>
          <w:bCs/>
          <w:szCs w:val="24"/>
        </w:rPr>
        <w:t xml:space="preserve"> Canada) have voluntarily set targets to improve their environmental performance (through GHG emissions reduction) and attract broad attention toward establishing and developing alternative sources of energy (</w:t>
      </w:r>
      <w:r w:rsidR="00046A7A">
        <w:rPr>
          <w:bCs/>
          <w:szCs w:val="24"/>
        </w:rPr>
        <w:fldChar w:fldCharType="begin"/>
      </w:r>
      <w:r w:rsidR="001B4006">
        <w:rPr>
          <w:bCs/>
          <w:szCs w:val="24"/>
        </w:rPr>
        <w:instrText xml:space="preserve"> ADDIN ZOTERO_ITEM CSL_CITATION {"citationID":"97XZAj6E","properties":{"formattedCitation":"(Falkner, 2016; Gao et al., 2017; Grubb et al., 2018; Horowitz, 2016; Iwata &amp; Okada, 2014; Maamoun, 2019; Obergassel et al., 2015; Victor, 2011; Yang et al., 2017)","plainCitation":"(Falkner, 2016; Gao et al., 2017; Grubb et al., 2018; Horowitz, 2016; Iwata &amp; Okada, 2014; Maamoun, 2019; Obergassel et al., 2015; Victor, 2011; Yang et al., 2017)","dontUpdate":true,"noteIndex":0},"citationItems":[{"id":844,"uris":["http://zotero.org/users/5016855/items/CWN2MEK6"],"itemData":{"id":844,"type":"article-journal","abstract":"Abstract. This article reviews and assesses the outcome of the 21st Conference of the Parties (COP-21) to the United Nations Framework Convention on Climate Change.","container-title":"International Affairs","DOI":"10.1111/1468-2346.12708","ISSN":"0020-5850","issue":"5","journalAbbreviation":"International Affairs","language":"en","note":"publisher: Oxford Academic","page":"1107-1125","source":"academic.oup.com","title":"The Paris Agreement and the new logic of international climate politics","volume":"92","author":[{"family":"Falkner","given":"Robert"}],"issued":{"date-parts":[["2016",9,1]]}}},{"id":845,"uris":["http://zotero.org/users/5016855/items/RSQ9DIAH"],"itemData":{"id":845,"type":"article-journal","abstract":"The Paris Agreement proposed to keep the increase in global average temperature to well below 2 °C above pre-industrial levels and to pursue efforts to limit the temperature increase to 1.5 °C above pre-industrial levels. It was thus the first international treaty to endow the 2 °C global temperature target with legal effect. The qualitative expression of the ultimate objective in Article 2 of the United Nations Framework Convention on Climate Change (UNFCCC) has now evolved into the numerical temperature rise target in Article 2 of the Paris Agreement. Starting with the Second Assessment Report (SAR) of the Intergovernmental Panel on Climate Change (IPCC), an important task for subsequent assessments has been to provide scientific information to help determine the quantified long-term goal for UNFCCC negotiation. However, due to involvement in the value judgment within the scope of non-scientific assessment, the IPCC has never scientifically affirmed the unacceptable extent of global temperature rise. The setting of the long-term goal for addressing climate change has been a long process, and the 2 °C global temperature target is the political consensus on the basis of scientific assessment. This article analyzes the evolution of the long-term global goal for addressing climate change and its impact on scientific assessment, negotiation processes, and global low-carbon development, from aspects of the origin of the target, the series of assessments carried out by the IPCC focusing on Article 2 of the UNFCCC, and the promotion of the global temperature goal at the political level.","container-title":"Engineering","DOI":"10.1016/J.ENG.2017.01.022","ISSN":"2095-8099","issue":"2","journalAbbreviation":"Engineering","language":"en","page":"272-278","source":"ScienceDirect","title":"The 2°C Global Temperature Target and the Evolution of the Long-Term Goal of Addressing Climate Change—From the United Nations Framework Convention on Climate Change to the Paris Agreement","volume":"3","author":[{"family":"Gao","given":"Yun"},{"family":"Gao","given":"Xiang"},{"family":"Zhang","given":"Xiaohua"}],"issued":{"date-parts":[["2017",4,1]]}}},{"id":795,"uris":["http://zotero.org/users/5016855/items/KUYWC5W7"],"itemData":{"id":795,"type":"book","abstract":"Originally published in 1999, The Kyoto Protocol provides a detailed discussion on the history, terms and implications of the Kyoto Protocol 1997. It explains the meaning of provision on emissions trading and other flexibility mechanisms, and provides a quantitative analysis using the Energy and Environment Programme's emissions trading model. It also contains the full text of the Kyoto Protocol and developments at the 4th Conference of the Parties in December 1998. This book will be of interest to academics working in the field of climate change, as well as the broader area of environment and sustainability.","ISBN":"978-1-351-37791-1","language":"en","note":"Google-Books-ID: d0laDwAAQBAJ","number-of-pages":"238","publisher":"Routledge","source":"Google Books","title":"Kyoto Protocol (1999): A Guide and Assessment","title-short":"Routledge Revivals","author":[{"family":"Grubb","given":"Michael"},{"family":"Vrolijk","given":"Christiaan"},{"family":"Brack","given":"Duncan"}],"accessed":{"date-parts":[["2021",1,23]]},"issued":{"date-parts":[["2018"]]}}},{"id":593,"uris":["http://zotero.org/users/5016855/items/PZU3Z9C5"],"itemData":{"id":593,"type":"article-journal","container-title":"International Legal Materials","ISSN":"0020-7829","issue":"4","language":"en","note":"publisher: American Society of International Law","page":"740-755","source":"JSTOR","title":"Paris Agreement","volume":"55","author":[{"family":"Horowitz","given":"Cara A."}],"issued":{"date-parts":[["2016"]]}}},{"id":796,"uris":["http://zotero.org/users/5016855/items/EXINCR9K"],"itemData":{"id":796,"type":"article-journal","abstract":"Our study empirically investigates the effects of the Kyoto Protocol’s quantified emission limitation or reduction commitments on various greenhouse gas (GHG) emissions such as carbon dioxide (CO2), methane (CH4), nitrous oxide (N2O), and other greenhouse gases consisting of hydrofluorocarbons (HFCs), perfluorocarbons (PFCs), and sulfur hexafluoride (SF6). These GHG emissions are considered to be the main source of global warming issues, and 39 countries approved to meet the commitments by ratifying the Kyoto Protocol. Our empirical analysis is based on the Stochastic Impacts by Regression on Population, Affluence, and Technology (STIRPAT) model, the stochastic version of the IPAT model, using the data of 119 countries from 1990 to 2005. Our main findings are that the effects of the commitments to the Kyoto Protocol are (1) significantly negative for the cases of CO2 and CH4 emissions, (2) not significant for the case of N2O emissions, and (3) significantly positive for the case of other greenhouse gas emissions. These results have important policy implications for global warming issues.","container-title":"Environmental Economics and Policy Studies","DOI":"10.1007/s10018-012-0047-1","ISSN":"1867-383X","issue":"4","journalAbbreviation":"Environ Econ Policy Stud","language":"en","page":"325-342","source":"Springer Link","title":"Greenhouse gas emissions and the role of the Kyoto Protocol","volume":"16","author":[{"family":"Iwata","given":"Hiroki"},{"family":"Okada","given":"Keisuke"}],"issued":{"date-parts":[["2014"]]}}},{"id":797,"uris":["http://zotero.org/users/5016855/items/M9TAH9VS"],"itemData":{"id":797,"type":"article-journal","abstract":"How effective was the Kyoto protocol? International Environmental Agreements (IEA) have been on the rise over the past four decades; however, thus far their effectiveness is controversial. In view of the conflicting results found in the related literature, this paper addresses its effectiveness by utilizing for the first time the generalized synthetic control method (GSCM) to compare the emissions of the industrialized countries with a “No- Kyoto” counterfactual scenario that represents the expected emissions in the absence of the protocol. This method facilitates a robust comparison between treated and control countries as done by Almer and Winkler (2017) and account for the multiple treated units as done by Grunewald and Martinez-Zarzoso (2016), so as to capture the collective nature of the protocol. Results show that the protocol was successful in reducing the emissions of the ratifying countries approximately by 7% below the emissions expected under a “No-Kyoto” scenario, confirming the importance of accounting for the collective nature of the agreement.","container-title":"Journal of Environmental Economics and Management","DOI":"10.1016/j.jeem.2019.04.001","ISSN":"0095-0696","journalAbbreviation":"Journal of Environmental Economics and Management","language":"en","page":"227-256","source":"ScienceDirect","title":"The Kyoto protocol: Empirical evidence of a hidden success","title-short":"The Kyoto protocol","volume":"95","author":[{"family":"Maamoun","given":"Nada"}],"issued":{"date-parts":[["2019"]]}}},{"id":592,"uris":["http://zotero.org/users/5016855/items/Y6TJAJRR"],"itemData":{"id":592,"type":"article-journal","abstract":"After 25 years of United Nations (UN) climate diplomacy, the world’s governments have for the first time in history negotiated a treaty that envisages climate action by all countries. Despite all shortcomings, the Paris Agreement may therefore be labelled a success. It also demonstrates that environmental multilateralism is not dead.The Parties to the United Nations Framework Convention on Climate Change (UNFCCC) were able to conclude a treaty under international law, with an innovative legal approach in order to satisfy the constitutional peculiarities of the United States of America (US).The successful outcome of Paris has thus restored some of the confidence in international diplomacy lost over the last decade.","container-title":"Environmental Law","language":"en","page":"243-262","source":"Zotero","title":"Phoenix from the ashes: an analysis of the Paris Agreement to the United Nations Framework Convention on Climate Change – Part I","volume":"27","author":[{"family":"Obergassel","given":"Wolfgang"},{"family":"Mersmann","given":"Florian"},{"family":"Ott","given":"Hermann E"},{"family":"Wang-Helmreich","given":"Hanna"}],"issued":{"date-parts":[["2015"]]}}},{"id":798,"uris":["http://zotero.org/users/5016855/items/3MAVK6DX"],"itemData":{"id":798,"type":"book","abstract":"Even as the evidence of global warming mounts, the international response to this serious threat is coming unraveled. The United States has formally withdrawn from the 1997 Kyoto Protocol; other key nations are facing difficulty in meeting their Kyoto commitments; and developing countries face no limit on their emissions of the gases that cause global warming. In this clear and cogent book-reissued in paperback with an afterword that comments on recent events--David Victor explains why the Kyoto Protocol was never likely to become an effective legal instrument. He explores how its collapse offers opportunities to establish a more realistic alternative. Global warming continues to dominate environmental news as legislatures worldwide grapple with the process of ratification of the December 1997 Kyoto Protocol. The collapse of the November 2000 conference at the Hague showed clearly how difficult it will be to bring the Kyoto treaty into force. Yet most politicians, policymakers, and analysts hailed it as a vital first step in slowing greenhouse warming. David Victor was not among them. Kyoto's fatal flaw, Victor argues, is that it can work only if emissions trading works. The Protocol requires industrialized nations to reduce their emissions of greenhouse gases to specific targets. Crucially, the Protocol also provides for so-called \"emissions trading,\" whereby nations could offset the need for rapid cuts in their own emissions by buying emissions credits from other countries. But starting this trading system would require creating emission permits worth two trillion dollars--the largest single invention of assets by voluntary international treaty in world history. Even if it were politically possible to distribute such astronomical sums, the Protocol does not provide for adequate monitoring and enforcement of these new property rights. Nor does it offer an achievable plan for allocating new permits, which would be essential if the system were expanded to include developing countries. The collapse of the Kyoto Protocol--which Victor views as inevitable--will provide the political space to rethink strategy. Better alternatives would focus on policies that control emissions, such as emission taxes. Though economically sensible, however, a pure tax approach is impossible to monitor in practice. Thus, the author proposes a hybrid in which governments set targets for both emission quantities and tax levels. This offers the important advantages of both emission trading and taxes without the debilitating drawbacks of each. Individuals at all levels of environmental science, economics, public policy, and politics-from students to professionals--and anyone else hoping to participate in the debate over how to slow global warming will want to read this book.","ISBN":"978-1-4008-2406-9","language":"en","note":"Google-Books-ID: cffXAQAAQBAJ","number-of-pages":"218","publisher":"Princeton University Press","source":"Google Books","title":"The Collapse of the Kyoto Protocol and the Struggle to Slow Global Warming","author":[{"family":"Victor","given":"David G."}],"accessed":{"date-parts":[["2021",1,23]]},"issued":{"date-parts":[["2011"]]}}},{"id":819,"uris":["http://zotero.org/users/5016855/items/RNQM2VVT"],"itemData":{"id":819,"type":"article-journal","abstract":"Combined heat and power from the intermediate pyrolysis of biomass materials offers flexible, on-demand renewable energy with some significant advantages over other renewable routes. To maximise the deployment of this technology an understanding of the dynamics and sensitivities of such a system is required. In the present work the system performance, economics and life-cycle environmental impact is analysed with the aid of the process simulation software Aspen Plus. Under the base conditions for the UK, such schemes are not currently economically competitive with energy and char products produced from conventional means. However, under certain scenarios as modelled using a sensitivity analysis this technology can compete and can therefore potentially contribute to the energy and resource sustainability of the economy, particularly in on-site applications with low-value waste feedstocks. The major areas for potential performance improvement are in reactor cost reductions, the reliable use of waste feedstocks and a high value end use for the char by-product from pyrolysis.","container-title":"Applied Energy","DOI":"10.1016/j.apenergy.2017.02.004","ISSN":"0306-2619","journalAbbreviation":"Applied Energy","language":"en","page":"639-652","source":"ScienceDirect","title":"Combined heat and power from the intermediate pyrolysis of biomass materials: performance, economics and environmental impact","title-short":"Combined heat and power from the intermediate pyrolysis of biomass materials","volume":"191","author":[{"family":"Yang","given":"Y."},{"family":"Brammer","given":"J. G."},{"family":"Wright","given":"D. G."},{"family":"Scott","given":"J. A."},{"family":"Serrano","given":"C."},{"family":"Bridgwater","given":"A. V."}],"issued":{"date-parts":[["2017",4,1]]}}}],"schema":"https://github.com/citation-style-language/schema/raw/master/csl-citation.json"} </w:instrText>
      </w:r>
      <w:r w:rsidR="00046A7A">
        <w:rPr>
          <w:bCs/>
          <w:szCs w:val="24"/>
        </w:rPr>
        <w:fldChar w:fldCharType="separate"/>
      </w:r>
      <w:r w:rsidR="00046A7A" w:rsidRPr="00046A7A">
        <w:t xml:space="preserve">Falkner, 2016; Gao et al., 2017; Grubb et al., 2018; Horowitz, 2016; Iwata &amp; Okada, 2014; Maamoun, 2019; Obergassel et al., 2015; Victor, 2011; </w:t>
      </w:r>
      <w:r w:rsidR="00046A7A">
        <w:t xml:space="preserve">and </w:t>
      </w:r>
      <w:r w:rsidR="00046A7A" w:rsidRPr="00046A7A">
        <w:t>Yang et al., 2017</w:t>
      </w:r>
      <w:r w:rsidR="00046A7A">
        <w:rPr>
          <w:bCs/>
          <w:szCs w:val="24"/>
        </w:rPr>
        <w:fldChar w:fldCharType="end"/>
      </w:r>
      <w:r w:rsidRPr="0087386B">
        <w:rPr>
          <w:bCs/>
          <w:szCs w:val="24"/>
        </w:rPr>
        <w:t xml:space="preserve">). </w:t>
      </w:r>
    </w:p>
    <w:p w14:paraId="00E26F81" w14:textId="2E7FEBF4" w:rsidR="0087386B" w:rsidRDefault="0087386B" w:rsidP="00A26495">
      <w:pPr>
        <w:rPr>
          <w:bCs/>
          <w:szCs w:val="24"/>
          <w:highlight w:val="yellow"/>
        </w:rPr>
      </w:pPr>
      <w:r w:rsidRPr="0087386B">
        <w:rPr>
          <w:bCs/>
          <w:szCs w:val="24"/>
        </w:rPr>
        <w:t xml:space="preserve">Since 2002, investment in sustainable sources of energy in OECD countries has represented at least </w:t>
      </w:r>
      <w:r w:rsidR="004B371C">
        <w:rPr>
          <w:bCs/>
          <w:szCs w:val="24"/>
        </w:rPr>
        <w:t>$</w:t>
      </w:r>
      <w:r w:rsidRPr="0087386B">
        <w:rPr>
          <w:bCs/>
          <w:szCs w:val="24"/>
        </w:rPr>
        <w:t>1 trillion</w:t>
      </w:r>
      <w:r w:rsidR="004B371C">
        <w:rPr>
          <w:bCs/>
          <w:szCs w:val="24"/>
        </w:rPr>
        <w:t xml:space="preserve"> USD</w:t>
      </w:r>
      <w:r w:rsidR="005235F5">
        <w:rPr>
          <w:bCs/>
          <w:szCs w:val="24"/>
        </w:rPr>
        <w:t>,</w:t>
      </w:r>
      <w:r w:rsidR="004B371C">
        <w:rPr>
          <w:bCs/>
          <w:szCs w:val="24"/>
        </w:rPr>
        <w:t xml:space="preserve"> </w:t>
      </w:r>
      <w:r w:rsidRPr="0087386B">
        <w:rPr>
          <w:bCs/>
          <w:szCs w:val="24"/>
        </w:rPr>
        <w:t>and</w:t>
      </w:r>
      <w:r w:rsidR="005235F5">
        <w:rPr>
          <w:bCs/>
          <w:szCs w:val="24"/>
        </w:rPr>
        <w:t>,</w:t>
      </w:r>
      <w:r w:rsidRPr="0087386B">
        <w:rPr>
          <w:bCs/>
          <w:szCs w:val="24"/>
        </w:rPr>
        <w:t xml:space="preserve"> sustainable energy supply grew on average by </w:t>
      </w:r>
      <w:r w:rsidR="00F209BF">
        <w:rPr>
          <w:bCs/>
          <w:szCs w:val="24"/>
        </w:rPr>
        <w:t>three</w:t>
      </w:r>
      <w:r w:rsidRPr="0087386B">
        <w:rPr>
          <w:bCs/>
          <w:szCs w:val="24"/>
        </w:rPr>
        <w:t xml:space="preserve"> percent annually between 1971 and 2014</w:t>
      </w:r>
      <w:r w:rsidR="00F209BF">
        <w:rPr>
          <w:bCs/>
          <w:szCs w:val="24"/>
        </w:rPr>
        <w:t>,</w:t>
      </w:r>
      <w:r w:rsidRPr="0087386B">
        <w:rPr>
          <w:bCs/>
          <w:szCs w:val="24"/>
        </w:rPr>
        <w:t xml:space="preserve"> relative to </w:t>
      </w:r>
      <w:r w:rsidR="00F209BF">
        <w:rPr>
          <w:bCs/>
          <w:szCs w:val="24"/>
        </w:rPr>
        <w:t>one</w:t>
      </w:r>
      <w:r w:rsidRPr="0087386B">
        <w:rPr>
          <w:bCs/>
          <w:szCs w:val="24"/>
        </w:rPr>
        <w:t xml:space="preserve"> percent per year for total primary energy supply (</w:t>
      </w:r>
      <w:r w:rsidR="00046A7A">
        <w:rPr>
          <w:bCs/>
          <w:szCs w:val="24"/>
        </w:rPr>
        <w:fldChar w:fldCharType="begin"/>
      </w:r>
      <w:r w:rsidR="00046A7A">
        <w:rPr>
          <w:bCs/>
          <w:szCs w:val="24"/>
        </w:rPr>
        <w:instrText xml:space="preserve"> ADDIN ZOTERO_ITEM CSL_CITATION {"citationID":"AtQKtdQN","properties":{"formattedCitation":"(Guo et al., 2017)","plainCitation":"(Guo et al., 2017)","noteIndex":0},"citationItems":[{"id":814,"uris":["http://zotero.org/users/5016855/items/CU5JDSZS"],"itemData":{"id":814,"type":"article-journal","abstract":"As green growth is considered an effective method to save energy and reduce emissions, the questions of how to achieve it and which factors drive green growth have become hot topic. Although there are some studies on the factors impacting the achievement of green growth, they are limited in quantity. Moreover, most of them are primarily focused on specific influencing factors, such as political factors, environmental regulation (ER), technological innovation (TI), and so on; while there is little discussion of the interaction effects in an integrated methodological framework. Accordingly, this paper develops an integrated model to investigate the relationships among ER, TI and regional green growth performance (RGGP). The model is tested using empirical data on 30 provincial administrative regions in China during 2011–2012 by employing structural equation modeling (SEM) approach that can effectively investigate the relationships between observed and latent variables and the relationships among latent variables simultaneously. The hypothesis H1 of this paper is not confirmed, and the results show that ER has a significant negative effect on RGGP. Both the hypotheses H2 and H3 are confirmed, namely, ER significantly positively influences TI, and TI has a positive impact on RGGP. This finding provides empirical evidence to support the Porter Hypothesis that properly designed ER may positively affect RGGP through motivating TI. According to the results of hypotheses H1, H2 and H3, we find that ER couldn’t directly promote RGGP, but RGGP will be positively impacted by TI driven ER. The finding supports the view of ecological modernization theory that green growth practices may be promoted by TI driven ER, but whether ER can bring green growth practices is uncertain. Furthermore, the finding indicates that TI is a bridge for linking ER and RGGP. Based on our findings, we present some important implications that can be useful for policy-makers and enterprise managers to promote green growth practices in China.","container-title":"Journal of Cleaner Production","DOI":"10.1016/j.jclepro.2017.05.210","ISSN":"0959-6526","journalAbbreviation":"Journal of Cleaner Production","language":"en","page":"894-902","source":"ScienceDirect","title":"The interaction effects of environmental regulation and technological innovation on regional green growth performance","volume":"162","author":[{"family":"Guo","given":"Ling","dropping-particle":"ling"},{"family":"Qu","given":"Ying"},{"family":"Tseng","given":"Ming-Lang"}],"issued":{"date-parts":[["2017"]]}}}],"schema":"https://github.com/citation-style-language/schema/raw/master/csl-citation.json"} </w:instrText>
      </w:r>
      <w:r w:rsidR="00046A7A">
        <w:rPr>
          <w:bCs/>
          <w:szCs w:val="24"/>
        </w:rPr>
        <w:fldChar w:fldCharType="separate"/>
      </w:r>
      <w:r w:rsidR="00046A7A" w:rsidRPr="00046A7A">
        <w:t>Guo et al., 2017</w:t>
      </w:r>
      <w:r w:rsidR="00046A7A">
        <w:rPr>
          <w:bCs/>
          <w:szCs w:val="24"/>
        </w:rPr>
        <w:fldChar w:fldCharType="end"/>
      </w:r>
      <w:r w:rsidRPr="0087386B">
        <w:rPr>
          <w:bCs/>
          <w:szCs w:val="24"/>
        </w:rPr>
        <w:t>).</w:t>
      </w:r>
    </w:p>
    <w:p w14:paraId="6CEA4E4A" w14:textId="7C8BB28C" w:rsidR="0087386B" w:rsidRDefault="00785ACF" w:rsidP="00A26495">
      <w:pPr>
        <w:rPr>
          <w:bCs/>
          <w:szCs w:val="24"/>
        </w:rPr>
      </w:pPr>
      <w:r>
        <w:rPr>
          <w:bCs/>
          <w:szCs w:val="24"/>
        </w:rPr>
        <w:t>As was indicated in Section 1, CO</w:t>
      </w:r>
      <w:r w:rsidRPr="00785ACF">
        <w:rPr>
          <w:bCs/>
          <w:szCs w:val="24"/>
          <w:vertAlign w:val="subscript"/>
        </w:rPr>
        <w:t>2</w:t>
      </w:r>
      <w:r>
        <w:rPr>
          <w:bCs/>
          <w:szCs w:val="24"/>
        </w:rPr>
        <w:t xml:space="preserve"> emissions have been </w:t>
      </w:r>
      <w:r w:rsidR="00F3456B">
        <w:rPr>
          <w:bCs/>
          <w:szCs w:val="24"/>
        </w:rPr>
        <w:t xml:space="preserve">historically </w:t>
      </w:r>
      <w:r>
        <w:rPr>
          <w:bCs/>
          <w:szCs w:val="24"/>
        </w:rPr>
        <w:t xml:space="preserve">primarily used in the </w:t>
      </w:r>
      <w:r w:rsidR="00554C3C">
        <w:rPr>
          <w:bCs/>
          <w:szCs w:val="24"/>
        </w:rPr>
        <w:t xml:space="preserve">environment-growth nexus </w:t>
      </w:r>
      <w:r>
        <w:rPr>
          <w:bCs/>
          <w:szCs w:val="24"/>
        </w:rPr>
        <w:t>literature as a leading indicator of environmental performance</w:t>
      </w:r>
      <w:r w:rsidR="00554C3C">
        <w:rPr>
          <w:bCs/>
          <w:szCs w:val="24"/>
        </w:rPr>
        <w:t xml:space="preserve"> </w:t>
      </w:r>
      <w:r w:rsidRPr="00554C3C">
        <w:rPr>
          <w:bCs/>
          <w:szCs w:val="24"/>
        </w:rPr>
        <w:t>(</w:t>
      </w:r>
      <w:r w:rsidR="00046A7A">
        <w:rPr>
          <w:bCs/>
          <w:szCs w:val="24"/>
        </w:rPr>
        <w:fldChar w:fldCharType="begin"/>
      </w:r>
      <w:r w:rsidR="00B11C18">
        <w:rPr>
          <w:bCs/>
          <w:szCs w:val="24"/>
        </w:rPr>
        <w:instrText xml:space="preserve"> ADDIN ZOTERO_ITEM CSL_CITATION {"citationID":"hDTVtjQP","properties":{"formattedCitation":"(Abbasi &amp; Riaz, 2016; Al-mulali &amp; Binti Che Sab, 2012; Bekhet et al., 2017; Bekun et al., 2019)","plainCitation":"(Abbasi &amp; Riaz, 2016; Al-mulali &amp; Binti Che Sab, 2012; Bekhet et al., 2017; Bekun et al., 2019)","noteIndex":0},"citationItems":[{"id":741,"uris":["http://zotero.org/users/5016855/items/JKVYTYRM"],"itemData":{"id":741,"type":"article-journal","abstract":"This paper explores the influence of economic and financial development on carbon emissions in a small emerging economy. The study employs ARDL approach to investigate the long run relationship between carbon emissions and a set of economic and financial variables, an Error Correction Model (ECM) to capture the short run dynamics, Granger causality in an augmented VAR framework to check the causality direction, and variance decomposition based on an estimated Vector Error Correction Model (VECM) to determine the relative contributions of economic and financial variables to the evolution of per capita carbon emissions. The periods considered were the full sample (1971–2011), and a reduced sample sub-period (1988–2011) that corresponded to greater liberalization and financial sector development. The financial variables played a role in emission mitigation only in the latter period where greater degree of liberalization and financial sector development occurred. Even then the relative magnitude of emissions mitigation attributable to financial variables was much smaller compared to the emissions raising impact of rising per capita incomes. This underscores the need for adopting other mitigation policies for reducing carbon footprints in those emerging economies where a sufficient degree of financial deepening and financial sector development has not yet taken place.","container-title":"Energy Policy","DOI":"10.1016/j.enpol.2015.12.017","ISSN":"0301-4215","journalAbbreviation":"Energy Policy","language":"en","page":"102-114","source":"ScienceDirect","title":"CO2 emissions and financial development in an emerging economy: An augmented VAR approach","title-short":"CO2 emissions and financial development in an emerging economy","volume":"90","author":[{"family":"Abbasi","given":"Faiza"},{"family":"Riaz","given":"Khalid"}],"issued":{"date-parts":[["2016"]]}}},{"id":281,"uris":["http://zotero.org/users/5016855/items/Q2QZ846I"],"itemData":{"id":281,"type":"article-journal","abstract":"This study investigated the impact of energy consumption on the economic and financial development in 19 countries. These countries were selected due to the fact that the financial development indicators contribute an important share to their total GDP. The panel model was employed taking the period of 1980 to 2008. The results show that energy consumption enables these countries to achieve high economic and financial development. However, the high development that these countries have achieved in the late three decades increased the CO2 emission. It is important that these countries should reduce the level of pollution through utilizing energy protection policies, such as rationing energy consumption and controlling carbon dioxide emissions or increasing the share of clean energy of their total energy consumption.","container-title":"Renewable and Sustainable Energy Reviews","DOI":"10.1016/j.rser.2012.05.017","ISSN":"1364-0321","issue":"7","journalAbbreviation":"Renewable and Sustainable Energy Reviews","language":"en","page":"4365-4369","source":"ScienceDirect","title":"The impact of energy consumption and CO2 emission on the economic and financial development in 19 selected countries","volume":"16","author":[{"family":"Al-mulali","given":"Usama"},{"family":"Binti Che Sab","given":"Che Normee"}],"issued":{"date-parts":[["2012"]]}}},{"id":352,"uris":["http://zotero.org/users/5016855/items/JKHZJ97E"],"itemData":{"id":352,"type":"article-journal","abstract":"This study investigates the dynamic causal relationships among carbon emissions, financial development, economic growth, and energy consumption for Gulf Cooperation Council (GCC) countries from 1980 through 2011. Annual time series data and an autoregressive distributed lag (ARDL) model are used. The main contribution of this paper is that it has investigated the causes of carbon emissions by taking into account the role of financial development and economic growth in GCC countries. The results suggest long-run and causal relationships among carbon emissions, financial development, gross domestic product (GDP), and energy use in all GCC countries except United Arab Emirates (UAE). Moreover, there is long-run unidirectional causality running from carbon emissions to energy use in the case of Saudi Arabia, UAE, and Qatar. Furthermore, a one-way causal relationship from financial development to carbon emissions in the context of UAE, Oman, and Kuwait is found. The evidence suggests that financial systems should take into account environmental aspects in their current operations in these countries. The results of this study may be of great importance for policy and decision makers in developing energy policies for GCC countries that contribute to curbing carbon emissions while preserving economic growth.","container-title":"Renewable and Sustainable Energy Reviews","DOI":"10.1016/j.rser.2016.11.089","ISSN":"1364-0321","journalAbbreviation":"Renewable and Sustainable Energy Reviews","language":"en","page":"117-132","source":"ScienceDirect","title":"CO2 emissions, energy consumption, economic growth, and financial development in GCC countries: Dynamic simultaneous equation models","title-short":"CO2 emissions, energy consumption, economic growth, and financial development in GCC countries","volume":"70","author":[{"family":"Bekhet","given":"Hussain Ali"},{"family":"Matar","given":"Ali"},{"family":"Yasmin","given":"Tahira"}],"issued":{"date-parts":[["2017"]]}}},{"id":736,"uris":["http://zotero.org/users/5016855/items/E569WMDW"],"itemData":{"id":736,"type":"article-journal","abstract":"The study investigates the long-run and causal interaction between, renewable energy consumption, nonrenewable energy consumption, and economic growth in a carbon function. The current study incorporates natural resources rent to the model as an additional variable. Empirical evidence is based on a balanced panel data between annual periods of 1996–2014 for selected EU-16 countries. The Kao test reveals a cointegration between carbon dioxide emissions, economic growth, natural resources rent, renewable, and nonrenewable energy consumption. The Panel Pooled Mean Group-Autoregressive Auto regressive distributive lag model (PMG-ARDL) suggests a positive significant relationship between the countries' natural resource rent and CO2 emissions in the long-run. Implying that the overdependence on natural resource rent affects environmental sustainability of the panel countries if conservation and management options are ignored. Our study affirms that nonrenewable energy consumption and economic growth increase carbon emission flaring while renewable energy consumption declines CO2 emissions. The panel causality analysis reveals a feedback mechanism between economic growth, renewable, and nonrenewable energy consumption. We further observed a feedback causality between natural resources rent and economic growth. Effective policy implications could be drawn toward modern and environmentally friendly energy sources, especially in attaining the Sustainable Development Goals.","container-title":"Science of The Total Environment","DOI":"10.1016/j.scitotenv.2018.12.104","ISSN":"0048-9697","journalAbbreviation":"Science of The Total Environment","language":"en","page":"1023-1029","source":"ScienceDirect","title":"Toward a sustainable environment: Nexus between CO2 emissions, resource rent, renewable and nonrenewable energy in 16-EU countries","title-short":"Toward a sustainable environment","volume":"657","author":[{"family":"Bekun","given":"Festus Victor"},{"family":"Alola","given":"Andrew Adewale"},{"family":"Sarkodie","given":"Samuel Asumadu"}],"issued":{"date-parts":[["2019"]]}}}],"schema":"https://github.com/citation-style-language/schema/raw/master/csl-citation.json"} </w:instrText>
      </w:r>
      <w:r w:rsidR="00046A7A">
        <w:rPr>
          <w:bCs/>
          <w:szCs w:val="24"/>
        </w:rPr>
        <w:fldChar w:fldCharType="separate"/>
      </w:r>
      <w:r w:rsidR="00B11C18" w:rsidRPr="00B11C18">
        <w:t xml:space="preserve">Abbasi &amp; Riaz, 2016; Al-mulali &amp; Binti Che Sab, 2012; Bekhet et al., 2017; </w:t>
      </w:r>
      <w:r w:rsidR="00B11C18">
        <w:t xml:space="preserve">and </w:t>
      </w:r>
      <w:r w:rsidR="00B11C18" w:rsidRPr="00B11C18">
        <w:t>Bekun et al., 2019</w:t>
      </w:r>
      <w:r w:rsidR="00046A7A">
        <w:rPr>
          <w:bCs/>
          <w:szCs w:val="24"/>
        </w:rPr>
        <w:fldChar w:fldCharType="end"/>
      </w:r>
      <w:r w:rsidR="00554C3C" w:rsidRPr="00554C3C">
        <w:rPr>
          <w:bCs/>
          <w:szCs w:val="24"/>
        </w:rPr>
        <w:t>)</w:t>
      </w:r>
      <w:r w:rsidR="00554C3C">
        <w:rPr>
          <w:bCs/>
          <w:szCs w:val="24"/>
        </w:rPr>
        <w:t xml:space="preserve">. </w:t>
      </w:r>
      <w:r w:rsidR="004B371C" w:rsidRPr="004B371C">
        <w:rPr>
          <w:bCs/>
          <w:szCs w:val="24"/>
        </w:rPr>
        <w:t>Although CO</w:t>
      </w:r>
      <w:r w:rsidR="004B371C" w:rsidRPr="004B371C">
        <w:rPr>
          <w:bCs/>
          <w:szCs w:val="24"/>
          <w:vertAlign w:val="subscript"/>
        </w:rPr>
        <w:t>2</w:t>
      </w:r>
      <w:r w:rsidR="004B371C" w:rsidRPr="004B371C">
        <w:rPr>
          <w:bCs/>
          <w:szCs w:val="24"/>
        </w:rPr>
        <w:t xml:space="preserve"> emissions constitute the largest proportion of GHG emissions (Figure</w:t>
      </w:r>
      <w:r w:rsidR="000D70E5">
        <w:rPr>
          <w:bCs/>
          <w:szCs w:val="24"/>
        </w:rPr>
        <w:t>s</w:t>
      </w:r>
      <w:r w:rsidR="0096576D">
        <w:rPr>
          <w:bCs/>
          <w:szCs w:val="24"/>
        </w:rPr>
        <w:t xml:space="preserve"> 1</w:t>
      </w:r>
      <w:r w:rsidR="004B371C" w:rsidRPr="004B371C">
        <w:rPr>
          <w:bCs/>
          <w:szCs w:val="24"/>
        </w:rPr>
        <w:t xml:space="preserve"> and 2), emissions time series data, however, show that the trends in CO</w:t>
      </w:r>
      <w:r w:rsidR="004B371C" w:rsidRPr="004B371C">
        <w:rPr>
          <w:bCs/>
          <w:szCs w:val="24"/>
          <w:vertAlign w:val="subscript"/>
        </w:rPr>
        <w:t>2</w:t>
      </w:r>
      <w:r w:rsidR="004B371C" w:rsidRPr="004B371C">
        <w:rPr>
          <w:bCs/>
          <w:szCs w:val="24"/>
        </w:rPr>
        <w:t xml:space="preserve"> emission</w:t>
      </w:r>
      <w:r w:rsidR="005235F5">
        <w:rPr>
          <w:bCs/>
          <w:szCs w:val="24"/>
        </w:rPr>
        <w:t>s</w:t>
      </w:r>
      <w:r w:rsidR="004B371C" w:rsidRPr="004B371C">
        <w:rPr>
          <w:bCs/>
          <w:szCs w:val="24"/>
        </w:rPr>
        <w:t xml:space="preserve"> may not necessarily be representative of (and can differ from) the aggregate GHG emissions trend (Figure</w:t>
      </w:r>
      <w:r w:rsidR="0096576D">
        <w:rPr>
          <w:bCs/>
          <w:szCs w:val="24"/>
        </w:rPr>
        <w:t xml:space="preserve"> </w:t>
      </w:r>
      <w:r w:rsidR="004B371C" w:rsidRPr="004B371C">
        <w:rPr>
          <w:bCs/>
          <w:szCs w:val="24"/>
        </w:rPr>
        <w:t>3).</w:t>
      </w:r>
    </w:p>
    <w:p w14:paraId="3A4C01BE" w14:textId="7DB5FC2C" w:rsidR="00AF1F7B" w:rsidRDefault="00AF1F7B" w:rsidP="00A26495">
      <w:pPr>
        <w:rPr>
          <w:bCs/>
          <w:szCs w:val="24"/>
        </w:rPr>
      </w:pPr>
      <w:r w:rsidRPr="00AF1F7B">
        <w:rPr>
          <w:bCs/>
          <w:szCs w:val="24"/>
        </w:rPr>
        <w:t>Furthermore, with natural gas being considered a bridge fuel in the transition towards a lower-carbon economy and methane (CH</w:t>
      </w:r>
      <w:r w:rsidRPr="00AF1F7B">
        <w:rPr>
          <w:bCs/>
          <w:szCs w:val="24"/>
          <w:vertAlign w:val="subscript"/>
        </w:rPr>
        <w:t>4</w:t>
      </w:r>
      <w:r w:rsidRPr="00AF1F7B">
        <w:rPr>
          <w:bCs/>
          <w:szCs w:val="24"/>
        </w:rPr>
        <w:t>) being the primary constituent of natural gas (</w:t>
      </w:r>
      <w:r w:rsidR="00AA1475">
        <w:rPr>
          <w:bCs/>
          <w:szCs w:val="24"/>
        </w:rPr>
        <w:fldChar w:fldCharType="begin"/>
      </w:r>
      <w:r w:rsidR="00AA1475">
        <w:rPr>
          <w:bCs/>
          <w:szCs w:val="24"/>
        </w:rPr>
        <w:instrText xml:space="preserve"> ADDIN ZOTERO_ITEM CSL_CITATION {"citationID":"FvgWV3qj","properties":{"formattedCitation":"(Howarth et al., 2011)","plainCitation":"(Howarth et al., 2011)","noteIndex":0},"citationItems":[{"id":205,"uris":["http://zotero.org/users/5016855/items/P8K6ZRHP"],"itemData":{"id":205,"type":"article-journal","abstract":"We evaluate the greenhouse gas footprint of natural gas obtained by high-volume hydraulic fracturing from shale formations, focusing on methane emissions. Natural gas is composed largely of methane,...","container-title":"Climatic Change","DOI":"10.1007/s10584-011-0061-5","ISSN":"0165-0009, 1573-1480","issue":"4","journalAbbreviation":"Climatic Change","language":"en","page":"679","source":"link.springer.com","title":"Methane and the greenhouse-gas footprint of natural gas from shale formations","volume":"106","author":[{"family":"Howarth","given":"Robert W."},{"family":"Santoro","given":"Renee"},{"family":"Ingraffea","given":"Anthony"}],"issued":{"date-parts":[["2011",6,1]]}}}],"schema":"https://github.com/citation-style-language/schema/raw/master/csl-citation.json"} </w:instrText>
      </w:r>
      <w:r w:rsidR="00AA1475">
        <w:rPr>
          <w:bCs/>
          <w:szCs w:val="24"/>
        </w:rPr>
        <w:fldChar w:fldCharType="separate"/>
      </w:r>
      <w:r w:rsidR="00AA1475" w:rsidRPr="00AA1475">
        <w:t>Howarth et al., 2011</w:t>
      </w:r>
      <w:r w:rsidR="00AA1475">
        <w:rPr>
          <w:bCs/>
          <w:szCs w:val="24"/>
        </w:rPr>
        <w:fldChar w:fldCharType="end"/>
      </w:r>
      <w:r w:rsidRPr="00AF1F7B">
        <w:rPr>
          <w:bCs/>
          <w:szCs w:val="24"/>
        </w:rPr>
        <w:t xml:space="preserve">), the importance of capturing a fuller picture of the total GHG emissions in </w:t>
      </w:r>
      <w:r>
        <w:rPr>
          <w:bCs/>
          <w:szCs w:val="24"/>
        </w:rPr>
        <w:t>environment-growth</w:t>
      </w:r>
      <w:r w:rsidRPr="00AF1F7B">
        <w:rPr>
          <w:bCs/>
          <w:szCs w:val="24"/>
        </w:rPr>
        <w:t xml:space="preserve"> studies cannot be overstated, particularly given that CH</w:t>
      </w:r>
      <w:r w:rsidRPr="00AF1F7B">
        <w:rPr>
          <w:bCs/>
          <w:szCs w:val="24"/>
          <w:vertAlign w:val="subscript"/>
        </w:rPr>
        <w:t>4</w:t>
      </w:r>
      <w:r w:rsidRPr="00AF1F7B">
        <w:rPr>
          <w:bCs/>
          <w:szCs w:val="24"/>
        </w:rPr>
        <w:t xml:space="preserve"> contributes the second-highest proportion of GHG emissions (Figures 1, 2, 3, and 4</w:t>
      </w:r>
      <w:r w:rsidR="00922B85">
        <w:rPr>
          <w:bCs/>
          <w:szCs w:val="24"/>
        </w:rPr>
        <w:t>;</w:t>
      </w:r>
      <w:r w:rsidR="00922B85" w:rsidRPr="00922B85">
        <w:t xml:space="preserve"> </w:t>
      </w:r>
      <w:r w:rsidR="007A6C14">
        <w:rPr>
          <w:bCs/>
          <w:szCs w:val="24"/>
        </w:rPr>
        <w:fldChar w:fldCharType="begin"/>
      </w:r>
      <w:r w:rsidR="007A6C14">
        <w:rPr>
          <w:bCs/>
          <w:szCs w:val="24"/>
        </w:rPr>
        <w:instrText xml:space="preserve"> ADDIN ZOTERO_ITEM CSL_CITATION {"citationID":"7oKN5a2G","properties":{"formattedCitation":"(Whittenberg, 2021)","plainCitation":"(Whittenberg, 2021)","noteIndex":0},"citationItems":[{"id":954,"uris":["http://zotero.org/users/5016855/items/JUDXYMXW"],"itemData":{"id":954,"type":"document","abstract":"Methane is a potent greenhouse gas that damages our climate when it's released during natural gas production and distribution.","language":"en","publisher":"Environmental Defense Fund","title":"Methane: The other important greenhouse gas","title-short":"Methane","URL":"https://www.edf.org/climate/methane-other-important-greenhouse-gas","author":[{"family":"Whittenberg","given":"Lauren"}],"accessed":{"date-parts":[["2021",1,27]]},"issued":{"date-parts":[["2021"]]}}}],"schema":"https://github.com/citation-style-language/schema/raw/master/csl-citation.json"} </w:instrText>
      </w:r>
      <w:r w:rsidR="007A6C14">
        <w:rPr>
          <w:bCs/>
          <w:szCs w:val="24"/>
        </w:rPr>
        <w:fldChar w:fldCharType="separate"/>
      </w:r>
      <w:r w:rsidR="007A6C14" w:rsidRPr="007A6C14">
        <w:t>Whittenberg, 2021</w:t>
      </w:r>
      <w:r w:rsidR="007A6C14">
        <w:rPr>
          <w:bCs/>
          <w:szCs w:val="24"/>
        </w:rPr>
        <w:fldChar w:fldCharType="end"/>
      </w:r>
      <w:r w:rsidRPr="00AF1F7B">
        <w:rPr>
          <w:bCs/>
          <w:szCs w:val="24"/>
        </w:rPr>
        <w:t>).</w:t>
      </w:r>
      <w:r>
        <w:rPr>
          <w:bCs/>
          <w:szCs w:val="24"/>
        </w:rPr>
        <w:t xml:space="preserve"> </w:t>
      </w:r>
    </w:p>
    <w:p w14:paraId="4ABE421F" w14:textId="613A45C0" w:rsidR="00AF1F7B" w:rsidRDefault="00AF1F7B" w:rsidP="00A26495">
      <w:pPr>
        <w:rPr>
          <w:bCs/>
          <w:szCs w:val="24"/>
        </w:rPr>
      </w:pPr>
      <w:r>
        <w:rPr>
          <w:bCs/>
          <w:szCs w:val="24"/>
        </w:rPr>
        <w:t>The total GHG emissions has</w:t>
      </w:r>
      <w:r w:rsidR="00922B85">
        <w:rPr>
          <w:bCs/>
          <w:szCs w:val="24"/>
        </w:rPr>
        <w:t>,</w:t>
      </w:r>
      <w:r>
        <w:rPr>
          <w:bCs/>
          <w:szCs w:val="24"/>
        </w:rPr>
        <w:t xml:space="preserve"> indeed</w:t>
      </w:r>
      <w:r w:rsidR="00922B85">
        <w:rPr>
          <w:bCs/>
          <w:szCs w:val="24"/>
        </w:rPr>
        <w:t>,</w:t>
      </w:r>
      <w:r>
        <w:rPr>
          <w:bCs/>
          <w:szCs w:val="24"/>
        </w:rPr>
        <w:t xml:space="preserve"> been used in OECD and other countries to evaluate the relationship between environmental quality and economic performance, however, its use in Canada </w:t>
      </w:r>
      <w:r w:rsidR="00F377FE">
        <w:rPr>
          <w:bCs/>
          <w:szCs w:val="24"/>
        </w:rPr>
        <w:t>is limited</w:t>
      </w:r>
      <w:r>
        <w:rPr>
          <w:bCs/>
          <w:szCs w:val="24"/>
        </w:rPr>
        <w:t xml:space="preserve"> (</w:t>
      </w:r>
      <w:proofErr w:type="spellStart"/>
      <w:r w:rsidR="007A6C14">
        <w:rPr>
          <w:bCs/>
          <w:szCs w:val="24"/>
        </w:rPr>
        <w:fldChar w:fldCharType="begin"/>
      </w:r>
      <w:r w:rsidR="007A6C14">
        <w:rPr>
          <w:bCs/>
          <w:szCs w:val="24"/>
        </w:rPr>
        <w:instrText xml:space="preserve"> ADDIN ZOTERO_ITEM CSL_CITATION {"citationID":"Y63f4xTP","properties":{"formattedCitation":"(Blindheim, 2015; Hoyle, 2020; Iwata &amp; Okada, 2014; Jordaan et al., 2017; Maaloul, 2018)","plainCitation":"(Blindheim, 2015; Hoyle, 2020; Iwata &amp; Okada, 2014; Jordaan et al., 2017; Maaloul, 2018)","noteIndex":0},"citationItems":[{"id":842,"uris":["http://zotero.org/users/5016855/items/Z5YW4KTU"],"itemData":{"id":842,"type":"article-journal","abstract":"This article examines how the EU׳s RES directive11The directive for the promotion of renewable energy sources; – the “RES directive”. will impact domestic greenhouse gas emissions in Norway and Sweden by 2020. The directive aims for a higher RES share in the energy consumption mix, and Norway and Sweden have established a common electricity certificate scheme to help achieve these RES goals. In terms of how these two national RES plans will impact domestic emissions by 2020, factors such as nuclear power, consumption changes and the energy balance must be considered. The most practical approach to evaluate the plans’ impact on emissions is to focus on changes in carbon-based consumption within the three directive sectors. The Norwegian RES action plan will not affect domestic emissions unless the electricity surplus generated by the certificate market is used to phase out fossil fuels in domestic sectors beyond the scope of the RES directive. The use of electricity to phase out fossil fuel consumption in the offshore sector would substantially reduce Norwegian emissions figures. The Swedish plan would positively impact Swedish greenhouse gas emissions; however, this impact is limited, primarily because a substantial increase in energy consumption is expected.","container-title":"Energy Policy","DOI":"10.1016/j.enpol.2014.10.019","ISSN":"0301-4215","journalAbbreviation":"Energy Policy","language":"en","page":"207-215","source":"ScienceDirect","title":"A missing link? The case of Norway and Sweden: Does increased renewable energy production impact domestic greenhouse gas emissions?","title-short":"A missing link?","volume":"77","author":[{"family":"Blindheim","given":"Bernt"}],"issued":{"date-parts":[["2015"]]}}},{"id":594,"uris":["http://zotero.org/users/5016855/items/KRJ2E4LB"],"itemData":{"id":594,"type":"thesis","abstract":"Canada is projected to miss its 2030 greenhouse gas (GHG) emissions target. Consequently, there remain federal policies that have been announced but not yet implemented that aim to close the 2030 “emissions gap”. This study assesses the likely effects of one such policy, the Clean Fuel Standard (CFS), on GHG emissions using the gTech energy-economy model, with a focus on the importance of policy interactions as they relate to the CFS’s GHG abatement potential. The study finds that Canada’s CFS as proposed would cause about 7Mt of GHG emissions reductions by 2030 when added to other planned and implemented climate policies. An exploratory method for quantifying GHG emissions reductions “overlap” between climate policies is developed. The results emphasize the importance to analysts and policy makers of accounting for both the incremental and combinatory effects of different types of interacting climate polices.","event-place":"Burnaby, British Columbia, Canada","genre":"Masters Thesis (Unpublished)","language":"en","number-of-pages":"101","publisher":"Simon Fraser University","publisher-place":"Burnaby, British Columbia, Canada","source":"summit.sfu.ca","title":"Modelling the effect of Canada's clean fuel standard on greenhouse gas emissions","URL":"https://summit.sfu.ca/item/20518","author":[{"family":"Hoyle","given":"Aaron"}],"accessed":{"date-parts":[["2021",1,9]]},"issued":{"date-parts":[["2020",7,14]]}}},{"id":796,"uris":["http://zotero.org/users/5016855/items/EXINCR9K"],"itemData":{"id":796,"type":"article-journal","abstract":"Our study empirically investigates the effects of the Kyoto Protocol’s quantified emission limitation or reduction commitments on various greenhouse gas (GHG) emissions such as carbon dioxide (CO2), methane (CH4), nitrous oxide (N2O), and other greenhouse gases consisting of hydrofluorocarbons (HFCs), perfluorocarbons (PFCs), and sulfur hexafluoride (SF6). These GHG emissions are considered to be the main source of global warming issues, and 39 countries approved to meet the commitments by ratifying the Kyoto Protocol. Our empirical analysis is based on the Stochastic Impacts by Regression on Population, Affluence, and Technology (STIRPAT) model, the stochastic version of the IPAT model, using the data of 119 countries from 1990 to 2005. Our main findings are that the effects of the commitments to the Kyoto Protocol are (1) significantly negative for the cases of CO2 and CH4 emissions, (2) not significant for the case of N2O emissions, and (3) significantly positive for the case of other greenhouse gas emissions. These results have important policy implications for global warming issues.","container-title":"Environmental Economics and Policy Studies","DOI":"10.1007/s10018-012-0047-1","ISSN":"1867-383X","issue":"4","journalAbbreviation":"Environ Econ Policy Stud","language":"en","page":"325-342","source":"Springer Link","title":"Greenhouse gas emissions and the role of the Kyoto Protocol","volume":"16","author":[{"family":"Iwata","given":"Hiroki"},{"family":"Okada","given":"Keisuke"}],"issued":{"date-parts":[["2014"]]}}},{"id":596,"uris":["http://zotero.org/users/5016855/items/UYN3XDGD"],"itemData":{"id":596,"type":"article-journal","abstract":"Understanding the influence of energy technology innovation in reducing a country's greenhouse gas emissions requires a systematic review to characterize the existing system. A comprehensive data review of available financing mechanisms and investments by government and industry is undertaken for the case of Canada, coupled with an organized examination of existing international, federal, and regional climate policies that advance innovation. Results indicate that investments from early research and development through to capital expenditures are heavily weighted towards fossil fuels. Though federal efforts to meet international commitments have been unsuccessful, regions implementing high carbon fuel phase-out, renewable portfolio standards, and feed-in-tariffs were found to be successful in reducing emissions. Financing for clean energy projects is readily available; however, there is no complete database available for investors to discover these opportunities. To enhance clean energy innovation in Canada and enable success in emissions reductions, we suggest that investments (from research and development to capital expenditures) and regional policies should be aligned with federal commitments, along with clear communication of available financing to attract clean energy investors. Our approach to a systematic review is broadly applicable to other regions where there is interest in understanding and improving the role of innovation in reducing greenhouse gas emissions, particularly in countries with federalist political systems and large fossil fuel reserves.","container-title":"Renewable and Sustainable Energy Reviews","DOI":"10.1016/j.rser.2017.05.162","ISSN":"1364-0321","journalAbbreviation":"Renewable and Sustainable Energy Reviews","language":"en","page":"1397-1409","source":"ScienceDirect","title":"The role of energy technology innovation in reducing greenhouse gas emissions: A case study of Canada","title-short":"The role of energy technology innovation in reducing greenhouse gas emissions","volume":"78","author":[{"family":"Jordaan","given":"Sarah M."},{"family":"Romo-Rabago","given":"Elizabeth"},{"family":"McLeary","given":"Romaine"},{"family":"Reidy","given":"Luke"},{"family":"Nazari","given":"Jamal"},{"family":"Herremans","given":"Irene M."}],"issued":{"date-parts":[["2017"]]}}},{"id":850,"uris":["http://zotero.org/users/5016855/items/F8GDDI7S"],"itemData":{"id":850,"type":"article-journal","abstract":"The aim of this paper is to investigate the relation between greenhouse gas (GHG) emissions and cost of debt and to estimate the cost that lenders are imputing to GHG emissions. Data on GHG emissions were hand-collected from Carbon Disclosure Project reports, whereas data on the cost of debt and other financial data were obtained from Bloomberg Professional database. Using a sample of Canadian firms, the results show that GHG emissions increase firms' cost of debt. In other words, for each additional tonne of GHG emissions, the cost of debt increases on average by 11–15%. These results imply that creditors incorporate firms' GHG emissions into their lending decisions and they penalize the polluting firms. This could encourage firms to reduce and manage their GHG emissions because there is a cost associated with these emissions. This study is one of the first to examine the relationship between GHG emissions and the cost of debt.","container-title":"Corporate Social Responsibility and Environmental Management","DOI":"https://doi.org/10.1002/csr.1662","ISSN":"1535-3966","issue":"6","language":"en","license":"© 2018 John Wiley &amp; Sons, Ltd and ERP Environment","note":"_eprint: https://onlinelibrary.wiley.com/doi/pdf/10.1002/csr.1662","page":"1407-1415","source":"Wiley Online Library","title":"The effect of greenhouse gas emissions on cost of debt: Evidence from Canadian firms","title-short":"The effect of greenhouse gas emissions on cost of debt","volume":"25","author":[{"family":"Maaloul","given":"Anis"}],"issued":{"date-parts":[["2018"]]}}}],"schema":"https://github.com/citation-style-language/schema/raw/master/csl-citation.json"} </w:instrText>
      </w:r>
      <w:r w:rsidR="007A6C14">
        <w:rPr>
          <w:bCs/>
          <w:szCs w:val="24"/>
        </w:rPr>
        <w:fldChar w:fldCharType="separate"/>
      </w:r>
      <w:r w:rsidR="007A6C14" w:rsidRPr="007A6C14">
        <w:t>Blindheim</w:t>
      </w:r>
      <w:proofErr w:type="spellEnd"/>
      <w:r w:rsidR="007A6C14" w:rsidRPr="007A6C14">
        <w:t xml:space="preserve">, 2015; Hoyle, 2020; Iwata &amp; Okada, 2014; Jordaan et al., 2017; </w:t>
      </w:r>
      <w:r w:rsidR="007A6C14">
        <w:t xml:space="preserve">and </w:t>
      </w:r>
      <w:r w:rsidR="007A6C14" w:rsidRPr="007A6C14">
        <w:t>Maaloul, 2018</w:t>
      </w:r>
      <w:r w:rsidR="007A6C14">
        <w:rPr>
          <w:bCs/>
          <w:szCs w:val="24"/>
        </w:rPr>
        <w:fldChar w:fldCharType="end"/>
      </w:r>
      <w:r>
        <w:rPr>
          <w:bCs/>
          <w:szCs w:val="24"/>
        </w:rPr>
        <w:t>).</w:t>
      </w:r>
    </w:p>
    <w:p w14:paraId="79BF839F" w14:textId="432970F5" w:rsidR="004B371C" w:rsidRDefault="004B371C" w:rsidP="00A26495">
      <w:pPr>
        <w:rPr>
          <w:bCs/>
          <w:szCs w:val="24"/>
        </w:rPr>
      </w:pPr>
    </w:p>
    <w:p w14:paraId="27DF4D22" w14:textId="356359CD" w:rsidR="004B371C" w:rsidRDefault="004B371C" w:rsidP="00ED0DCC">
      <w:pPr>
        <w:jc w:val="center"/>
        <w:rPr>
          <w:bCs/>
          <w:szCs w:val="24"/>
        </w:rPr>
      </w:pPr>
      <w:r w:rsidRPr="004B371C">
        <w:rPr>
          <w:bCs/>
          <w:noProof/>
          <w:szCs w:val="24"/>
        </w:rPr>
        <w:lastRenderedPageBreak/>
        <w:drawing>
          <wp:inline distT="0" distB="0" distL="0" distR="0" wp14:anchorId="799B8D46" wp14:editId="256D9DE7">
            <wp:extent cx="2093976" cy="2148840"/>
            <wp:effectExtent l="0" t="0" r="1905" b="3810"/>
            <wp:docPr id="16" name="Picture 16"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diagram&#10;&#10;Description automatically generated"/>
                    <pic:cNvPicPr/>
                  </pic:nvPicPr>
                  <pic:blipFill>
                    <a:blip r:embed="rId8"/>
                    <a:stretch>
                      <a:fillRect/>
                    </a:stretch>
                  </pic:blipFill>
                  <pic:spPr>
                    <a:xfrm>
                      <a:off x="0" y="0"/>
                      <a:ext cx="2093976" cy="2148840"/>
                    </a:xfrm>
                    <a:prstGeom prst="rect">
                      <a:avLst/>
                    </a:prstGeom>
                  </pic:spPr>
                </pic:pic>
              </a:graphicData>
            </a:graphic>
          </wp:inline>
        </w:drawing>
      </w:r>
    </w:p>
    <w:p w14:paraId="775FC1B5" w14:textId="7221B62A" w:rsidR="004B371C" w:rsidRDefault="004B371C" w:rsidP="004B371C">
      <w:pPr>
        <w:pStyle w:val="Figure"/>
        <w:spacing w:after="0"/>
      </w:pPr>
      <w:r w:rsidRPr="00183750">
        <w:t xml:space="preserve">Figure </w:t>
      </w:r>
      <w:r>
        <w:fldChar w:fldCharType="begin"/>
      </w:r>
      <w:r>
        <w:instrText xml:space="preserve"> SEQ Figure \* ARABIC </w:instrText>
      </w:r>
      <w:r>
        <w:fldChar w:fldCharType="separate"/>
      </w:r>
      <w:r>
        <w:rPr>
          <w:noProof/>
        </w:rPr>
        <w:t>1</w:t>
      </w:r>
      <w:r>
        <w:fldChar w:fldCharType="end"/>
      </w:r>
      <w:r w:rsidRPr="00183750">
        <w:t xml:space="preserve">: </w:t>
      </w:r>
      <w:r w:rsidR="00ED0DCC" w:rsidRPr="00ED0DCC">
        <w:t>2015 Global GHG emissions share by gas</w:t>
      </w:r>
    </w:p>
    <w:p w14:paraId="2F97395C" w14:textId="41565E74" w:rsidR="004B371C" w:rsidRDefault="00ED0DCC" w:rsidP="00ED0DCC">
      <w:pPr>
        <w:pStyle w:val="Figure"/>
        <w:spacing w:before="0" w:after="0"/>
        <w:rPr>
          <w:b w:val="0"/>
          <w:bCs w:val="0"/>
        </w:rPr>
      </w:pPr>
      <w:r>
        <w:rPr>
          <w:b w:val="0"/>
          <w:bCs w:val="0"/>
          <w:i/>
          <w:iCs/>
        </w:rPr>
        <w:t>Source</w:t>
      </w:r>
      <w:r w:rsidR="004B371C" w:rsidRPr="006B4454">
        <w:rPr>
          <w:b w:val="0"/>
          <w:bCs w:val="0"/>
        </w:rPr>
        <w:t xml:space="preserve">: </w:t>
      </w:r>
      <w:r w:rsidR="00D13853" w:rsidRPr="00D13853">
        <w:rPr>
          <w:b w:val="0"/>
          <w:bCs w:val="0"/>
        </w:rPr>
        <w:fldChar w:fldCharType="begin"/>
      </w:r>
      <w:r w:rsidR="00D13853" w:rsidRPr="00D13853">
        <w:rPr>
          <w:b w:val="0"/>
          <w:bCs w:val="0"/>
        </w:rPr>
        <w:instrText xml:space="preserve"> ADDIN ZOTERO_ITEM CSL_CITATION {"citationID":"SuVJPlng","properties":{"formattedCitation":"(US EPA, 2016)","plainCitation":"(US EPA, 2016)","noteIndex":0},"citationItems":[{"id":947,"uris":["http://zotero.org/users/5016855/items/A5GBG5IP"],"itemData":{"id":947,"type":"webpage","abstract":"Includes information on global greenhouse gas emissions trends, and by type of gas, by source, and by country.","container-title":"United States Environmental Protection Agency","genre":"Overviews and Factsheets","language":"en","title":"Global Greenhouse Gas Emissions Data","title-short":"US EPA","URL":"https://www.epa.gov/ghgemissions/global-greenhouse-gas-emissions-data","author":[{"family":"US EPA","given":""}],"accessed":{"date-parts":[["2021",1,27]]},"issued":{"date-parts":[["2016",1,12]]}}}],"schema":"https://github.com/citation-style-language/schema/raw/master/csl-citation.json"} </w:instrText>
      </w:r>
      <w:r w:rsidR="00D13853" w:rsidRPr="00D13853">
        <w:rPr>
          <w:b w:val="0"/>
          <w:bCs w:val="0"/>
        </w:rPr>
        <w:fldChar w:fldCharType="separate"/>
      </w:r>
      <w:r w:rsidR="00D13853" w:rsidRPr="00D13853">
        <w:rPr>
          <w:b w:val="0"/>
          <w:bCs w:val="0"/>
        </w:rPr>
        <w:t xml:space="preserve">US EPA </w:t>
      </w:r>
      <w:r w:rsidR="00D13853">
        <w:rPr>
          <w:b w:val="0"/>
          <w:bCs w:val="0"/>
        </w:rPr>
        <w:t>(</w:t>
      </w:r>
      <w:r w:rsidR="00D13853" w:rsidRPr="00D13853">
        <w:rPr>
          <w:b w:val="0"/>
          <w:bCs w:val="0"/>
        </w:rPr>
        <w:t>2016)</w:t>
      </w:r>
      <w:r w:rsidR="00D13853" w:rsidRPr="00D13853">
        <w:rPr>
          <w:b w:val="0"/>
          <w:bCs w:val="0"/>
        </w:rPr>
        <w:fldChar w:fldCharType="end"/>
      </w:r>
    </w:p>
    <w:p w14:paraId="0354062E" w14:textId="2F3B5725" w:rsidR="00044E49" w:rsidRDefault="00044E49" w:rsidP="00ED0DCC">
      <w:pPr>
        <w:pStyle w:val="Figure"/>
        <w:spacing w:before="0" w:after="0"/>
        <w:rPr>
          <w:b w:val="0"/>
          <w:bCs w:val="0"/>
        </w:rPr>
      </w:pPr>
      <w:r w:rsidRPr="00044E49">
        <w:rPr>
          <w:b w:val="0"/>
          <w:bCs w:val="0"/>
          <w:i/>
          <w:iCs/>
        </w:rPr>
        <w:t>Note</w:t>
      </w:r>
      <w:r>
        <w:rPr>
          <w:b w:val="0"/>
          <w:bCs w:val="0"/>
        </w:rPr>
        <w:t xml:space="preserve">: Total (or aggregate) GHG emissions is comprised of </w:t>
      </w:r>
      <w:r w:rsidRPr="00044E49">
        <w:rPr>
          <w:b w:val="0"/>
          <w:bCs w:val="0"/>
        </w:rPr>
        <w:t>CO</w:t>
      </w:r>
      <w:r w:rsidRPr="00044E49">
        <w:rPr>
          <w:b w:val="0"/>
          <w:bCs w:val="0"/>
          <w:vertAlign w:val="subscript"/>
        </w:rPr>
        <w:t>2</w:t>
      </w:r>
      <w:r w:rsidRPr="00044E49">
        <w:rPr>
          <w:b w:val="0"/>
          <w:bCs w:val="0"/>
        </w:rPr>
        <w:t>, CH</w:t>
      </w:r>
      <w:r w:rsidRPr="00044E49">
        <w:rPr>
          <w:b w:val="0"/>
          <w:bCs w:val="0"/>
          <w:vertAlign w:val="subscript"/>
        </w:rPr>
        <w:t>4</w:t>
      </w:r>
      <w:r w:rsidRPr="00044E49">
        <w:rPr>
          <w:b w:val="0"/>
          <w:bCs w:val="0"/>
        </w:rPr>
        <w:t>, Nitrous oxide (N</w:t>
      </w:r>
      <w:r w:rsidRPr="00044E49">
        <w:rPr>
          <w:b w:val="0"/>
          <w:bCs w:val="0"/>
          <w:vertAlign w:val="subscript"/>
        </w:rPr>
        <w:t>2</w:t>
      </w:r>
      <w:r w:rsidRPr="00044E49">
        <w:rPr>
          <w:b w:val="0"/>
          <w:bCs w:val="0"/>
        </w:rPr>
        <w:t xml:space="preserve">O), </w:t>
      </w:r>
      <w:r>
        <w:rPr>
          <w:b w:val="0"/>
          <w:bCs w:val="0"/>
        </w:rPr>
        <w:t xml:space="preserve">and </w:t>
      </w:r>
      <w:r w:rsidRPr="00044E49">
        <w:rPr>
          <w:b w:val="0"/>
          <w:bCs w:val="0"/>
        </w:rPr>
        <w:t>Fluorinated gases or F-gases (nitrogen trifluoride, hydrofluorocarbons, perfluorocarbons, and sulfur hexafluoride.</w:t>
      </w:r>
    </w:p>
    <w:p w14:paraId="4558F9F1" w14:textId="77777777" w:rsidR="00044E49" w:rsidRDefault="00044E49" w:rsidP="00ED0DCC">
      <w:pPr>
        <w:pStyle w:val="Figure"/>
        <w:spacing w:before="0" w:after="0"/>
        <w:rPr>
          <w:b w:val="0"/>
          <w:bCs w:val="0"/>
        </w:rPr>
      </w:pPr>
    </w:p>
    <w:p w14:paraId="5AF39BD4" w14:textId="4EADE9F5" w:rsidR="004B371C" w:rsidRDefault="004B371C" w:rsidP="00ED0DCC">
      <w:pPr>
        <w:pStyle w:val="Figure"/>
        <w:spacing w:before="0" w:after="0"/>
      </w:pPr>
      <w:r w:rsidRPr="00E31A5B">
        <w:rPr>
          <w:noProof/>
          <w:color w:val="000000" w:themeColor="text1"/>
        </w:rPr>
        <w:drawing>
          <wp:inline distT="0" distB="0" distL="0" distR="0" wp14:anchorId="00F542F6" wp14:editId="794F628F">
            <wp:extent cx="2093976" cy="2148840"/>
            <wp:effectExtent l="0" t="0" r="1905" b="3810"/>
            <wp:docPr id="15" name="Picture 1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pie chart&#10;&#10;Description automatically generated"/>
                    <pic:cNvPicPr/>
                  </pic:nvPicPr>
                  <pic:blipFill>
                    <a:blip r:embed="rId9"/>
                    <a:stretch>
                      <a:fillRect/>
                    </a:stretch>
                  </pic:blipFill>
                  <pic:spPr>
                    <a:xfrm>
                      <a:off x="0" y="0"/>
                      <a:ext cx="2093976" cy="2148840"/>
                    </a:xfrm>
                    <a:prstGeom prst="rect">
                      <a:avLst/>
                    </a:prstGeom>
                  </pic:spPr>
                </pic:pic>
              </a:graphicData>
            </a:graphic>
          </wp:inline>
        </w:drawing>
      </w:r>
    </w:p>
    <w:p w14:paraId="722E4F5A" w14:textId="000AD62E" w:rsidR="004B371C" w:rsidRDefault="004B371C" w:rsidP="004B371C">
      <w:pPr>
        <w:pStyle w:val="Figure"/>
        <w:spacing w:after="0"/>
      </w:pPr>
      <w:r w:rsidRPr="00183750">
        <w:t xml:space="preserve">Figure </w:t>
      </w:r>
      <w:r>
        <w:t>2</w:t>
      </w:r>
      <w:r w:rsidRPr="00183750">
        <w:t xml:space="preserve">: </w:t>
      </w:r>
      <w:r w:rsidR="00ED0DCC" w:rsidRPr="00ED0DCC">
        <w:t>Canada’s 2016 GHG emissions share by gas</w:t>
      </w:r>
    </w:p>
    <w:p w14:paraId="75A7348A" w14:textId="10F875C2" w:rsidR="004B371C" w:rsidRDefault="00ED0DCC" w:rsidP="00ED0DCC">
      <w:pPr>
        <w:pStyle w:val="Figure"/>
        <w:spacing w:before="0" w:after="0"/>
        <w:rPr>
          <w:b w:val="0"/>
          <w:bCs w:val="0"/>
        </w:rPr>
      </w:pPr>
      <w:r>
        <w:rPr>
          <w:b w:val="0"/>
          <w:bCs w:val="0"/>
          <w:i/>
          <w:iCs/>
        </w:rPr>
        <w:t>Data Source</w:t>
      </w:r>
      <w:r w:rsidR="004B371C" w:rsidRPr="006B4454">
        <w:rPr>
          <w:b w:val="0"/>
          <w:bCs w:val="0"/>
        </w:rPr>
        <w:t xml:space="preserve">: </w:t>
      </w:r>
      <w:r w:rsidR="00560555" w:rsidRPr="00560555">
        <w:rPr>
          <w:b w:val="0"/>
          <w:bCs w:val="0"/>
        </w:rPr>
        <w:fldChar w:fldCharType="begin"/>
      </w:r>
      <w:r w:rsidR="00587B19">
        <w:rPr>
          <w:b w:val="0"/>
          <w:bCs w:val="0"/>
        </w:rPr>
        <w:instrText xml:space="preserve"> ADDIN ZOTERO_ITEM CSL_CITATION {"citationID":"69c0YKDc","properties":{"formattedCitation":"(Ritchie &amp; Roser, 2017)","plainCitation":"(Ritchie &amp; Roser, 2017)","dontUpdate":true,"noteIndex":0},"citationItems":[{"id":946,"uris":["http://zotero.org/users/5016855/items/Q4B9EKA7"],"itemData":{"id":946,"type":"document","abstract":"Canada: How much CO2 does your country emit? Are emissions falling? How does it compare to other countries?","language":"en","publisher":"Our World in Data","source":"ourworldindata.org","title":"CO₂ and Greenhouse Gas Emissions: Canada","URL":"https://ourworldindata.org/co2/country/canada","author":[{"family":"Ritchie","given":"Hannah"},{"family":"Roser","given":"Max"}],"accessed":{"date-parts":[["2021",1,20]]},"issued":{"date-parts":[["2017"]]}}}],"schema":"https://github.com/citation-style-language/schema/raw/master/csl-citation.json"} </w:instrText>
      </w:r>
      <w:r w:rsidR="00560555" w:rsidRPr="00560555">
        <w:rPr>
          <w:b w:val="0"/>
          <w:bCs w:val="0"/>
        </w:rPr>
        <w:fldChar w:fldCharType="separate"/>
      </w:r>
      <w:r w:rsidR="00560555" w:rsidRPr="00560555">
        <w:rPr>
          <w:b w:val="0"/>
          <w:bCs w:val="0"/>
        </w:rPr>
        <w:t>Ritchie &amp; Roser, 2017</w:t>
      </w:r>
      <w:r w:rsidR="00560555" w:rsidRPr="00560555">
        <w:rPr>
          <w:b w:val="0"/>
          <w:bCs w:val="0"/>
        </w:rPr>
        <w:fldChar w:fldCharType="end"/>
      </w:r>
      <w:r w:rsidRPr="00ED0DCC">
        <w:rPr>
          <w:b w:val="0"/>
          <w:bCs w:val="0"/>
        </w:rPr>
        <w:t>.</w:t>
      </w:r>
    </w:p>
    <w:p w14:paraId="7CA39530" w14:textId="3EBC890B" w:rsidR="00ED0DCC" w:rsidRDefault="00ED0DCC" w:rsidP="00ED0DCC">
      <w:pPr>
        <w:pStyle w:val="Figure"/>
        <w:spacing w:before="0" w:after="0"/>
        <w:rPr>
          <w:b w:val="0"/>
          <w:bCs w:val="0"/>
        </w:rPr>
      </w:pPr>
      <w:r>
        <w:rPr>
          <w:b w:val="0"/>
          <w:bCs w:val="0"/>
          <w:i/>
          <w:iCs/>
        </w:rPr>
        <w:t>Note</w:t>
      </w:r>
      <w:r w:rsidRPr="006B4454">
        <w:rPr>
          <w:b w:val="0"/>
          <w:bCs w:val="0"/>
        </w:rPr>
        <w:t xml:space="preserve">: </w:t>
      </w:r>
      <w:r w:rsidRPr="00ED0DCC">
        <w:rPr>
          <w:b w:val="0"/>
          <w:bCs w:val="0"/>
        </w:rPr>
        <w:t xml:space="preserve">Canada’s Aggregate GHG emission was ~779 </w:t>
      </w:r>
      <w:proofErr w:type="spellStart"/>
      <w:r w:rsidRPr="00ED0DCC">
        <w:rPr>
          <w:b w:val="0"/>
          <w:bCs w:val="0"/>
        </w:rPr>
        <w:t>megatonnes</w:t>
      </w:r>
      <w:proofErr w:type="spellEnd"/>
      <w:r w:rsidRPr="00ED0DCC">
        <w:rPr>
          <w:b w:val="0"/>
          <w:bCs w:val="0"/>
        </w:rPr>
        <w:t xml:space="preserve"> (Mt) </w:t>
      </w:r>
      <w:r w:rsidR="000D67A5">
        <w:rPr>
          <w:b w:val="0"/>
          <w:bCs w:val="0"/>
        </w:rPr>
        <w:t>CO</w:t>
      </w:r>
      <w:r w:rsidR="000D67A5" w:rsidRPr="000D67A5">
        <w:rPr>
          <w:b w:val="0"/>
          <w:bCs w:val="0"/>
          <w:vertAlign w:val="subscript"/>
        </w:rPr>
        <w:t>2</w:t>
      </w:r>
      <w:r w:rsidR="000D67A5">
        <w:rPr>
          <w:b w:val="0"/>
          <w:bCs w:val="0"/>
        </w:rPr>
        <w:t xml:space="preserve"> equivalent (</w:t>
      </w:r>
      <w:r w:rsidRPr="00ED0DCC">
        <w:rPr>
          <w:b w:val="0"/>
          <w:bCs w:val="0"/>
        </w:rPr>
        <w:t>CO</w:t>
      </w:r>
      <w:r w:rsidRPr="000D67A5">
        <w:rPr>
          <w:b w:val="0"/>
          <w:bCs w:val="0"/>
          <w:vertAlign w:val="subscript"/>
        </w:rPr>
        <w:t>2</w:t>
      </w:r>
      <w:r w:rsidRPr="00ED0DCC">
        <w:rPr>
          <w:b w:val="0"/>
          <w:bCs w:val="0"/>
        </w:rPr>
        <w:t>e</w:t>
      </w:r>
      <w:r w:rsidR="000D67A5">
        <w:rPr>
          <w:b w:val="0"/>
          <w:bCs w:val="0"/>
        </w:rPr>
        <w:t>)</w:t>
      </w:r>
      <w:r w:rsidRPr="00ED0DCC">
        <w:rPr>
          <w:b w:val="0"/>
          <w:bCs w:val="0"/>
        </w:rPr>
        <w:t xml:space="preserve"> (</w:t>
      </w:r>
      <w:r w:rsidR="00560555" w:rsidRPr="00560555">
        <w:rPr>
          <w:b w:val="0"/>
          <w:bCs w:val="0"/>
        </w:rPr>
        <w:fldChar w:fldCharType="begin"/>
      </w:r>
      <w:r w:rsidR="00587B19">
        <w:rPr>
          <w:b w:val="0"/>
          <w:bCs w:val="0"/>
        </w:rPr>
        <w:instrText xml:space="preserve"> ADDIN ZOTERO_ITEM CSL_CITATION {"citationID":"qLYYj2Ho","properties":{"formattedCitation":"(Ritchie &amp; Roser, 2017)","plainCitation":"(Ritchie &amp; Roser, 2017)","dontUpdate":true,"noteIndex":0},"citationItems":[{"id":946,"uris":["http://zotero.org/users/5016855/items/Q4B9EKA7"],"itemData":{"id":946,"type":"document","abstract":"Canada: How much CO2 does your country emit? Are emissions falling? How does it compare to other countries?","language":"en","publisher":"Our World in Data","source":"ourworldindata.org","title":"CO₂ and Greenhouse Gas Emissions: Canada","URL":"https://ourworldindata.org/co2/country/canada","author":[{"family":"Ritchie","given":"Hannah"},{"family":"Roser","given":"Max"}],"accessed":{"date-parts":[["2021",1,20]]},"issued":{"date-parts":[["2017"]]}}}],"schema":"https://github.com/citation-style-language/schema/raw/master/csl-citation.json"} </w:instrText>
      </w:r>
      <w:r w:rsidR="00560555" w:rsidRPr="00560555">
        <w:rPr>
          <w:b w:val="0"/>
          <w:bCs w:val="0"/>
        </w:rPr>
        <w:fldChar w:fldCharType="separate"/>
      </w:r>
      <w:r w:rsidR="00560555" w:rsidRPr="00560555">
        <w:rPr>
          <w:b w:val="0"/>
          <w:bCs w:val="0"/>
        </w:rPr>
        <w:t>Ritchie &amp; Roser, 2017</w:t>
      </w:r>
      <w:r w:rsidR="00560555" w:rsidRPr="00560555">
        <w:rPr>
          <w:b w:val="0"/>
          <w:bCs w:val="0"/>
        </w:rPr>
        <w:fldChar w:fldCharType="end"/>
      </w:r>
      <w:r w:rsidRPr="00ED0DCC">
        <w:rPr>
          <w:b w:val="0"/>
          <w:bCs w:val="0"/>
        </w:rPr>
        <w:t>).</w:t>
      </w:r>
    </w:p>
    <w:p w14:paraId="3F78D03C" w14:textId="14207BA1" w:rsidR="004B371C" w:rsidRDefault="004B371C" w:rsidP="00A26495">
      <w:pPr>
        <w:rPr>
          <w:bCs/>
          <w:szCs w:val="24"/>
        </w:rPr>
      </w:pPr>
    </w:p>
    <w:p w14:paraId="3D33916D" w14:textId="0AB614C5" w:rsidR="004B371C" w:rsidRDefault="004B371C" w:rsidP="00ED0DCC">
      <w:pPr>
        <w:jc w:val="center"/>
        <w:rPr>
          <w:bCs/>
          <w:szCs w:val="24"/>
        </w:rPr>
      </w:pPr>
      <w:r w:rsidRPr="00E31A5B">
        <w:rPr>
          <w:noProof/>
          <w:color w:val="000000" w:themeColor="text1"/>
        </w:rPr>
        <w:lastRenderedPageBreak/>
        <w:drawing>
          <wp:inline distT="0" distB="0" distL="0" distR="0" wp14:anchorId="0647860A" wp14:editId="00EDD127">
            <wp:extent cx="4257675" cy="2437453"/>
            <wp:effectExtent l="0" t="0" r="9525" b="1270"/>
            <wp:docPr id="2" name="Chart 2">
              <a:extLst xmlns:a="http://schemas.openxmlformats.org/drawingml/2006/main">
                <a:ext uri="{FF2B5EF4-FFF2-40B4-BE49-F238E27FC236}">
                  <a16:creationId xmlns:a16="http://schemas.microsoft.com/office/drawing/2014/main" id="{FE23C05A-5C31-454D-90C8-C83C31E823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6C0DC67" w14:textId="05DCDBA3" w:rsidR="004B371C" w:rsidRDefault="004B371C" w:rsidP="00ED0DCC">
      <w:pPr>
        <w:pStyle w:val="Figure"/>
        <w:spacing w:after="0"/>
      </w:pPr>
      <w:r w:rsidRPr="00183750">
        <w:t xml:space="preserve">Figure </w:t>
      </w:r>
      <w:r>
        <w:t>3</w:t>
      </w:r>
      <w:r w:rsidRPr="00183750">
        <w:t xml:space="preserve">: </w:t>
      </w:r>
      <w:r w:rsidR="00ED0DCC" w:rsidRPr="00ED0DCC">
        <w:t>Canada’s per capita GHG emissions by gas from 1990 to 2016</w:t>
      </w:r>
    </w:p>
    <w:p w14:paraId="2FD40095" w14:textId="034C0A3A" w:rsidR="004B371C" w:rsidRDefault="004B371C" w:rsidP="00ED0DCC">
      <w:pPr>
        <w:pStyle w:val="Figure"/>
        <w:spacing w:before="0" w:after="0"/>
      </w:pPr>
      <w:r w:rsidRPr="006B4454">
        <w:rPr>
          <w:b w:val="0"/>
          <w:bCs w:val="0"/>
          <w:i/>
          <w:iCs/>
        </w:rPr>
        <w:t>Note</w:t>
      </w:r>
      <w:r w:rsidRPr="006B4454">
        <w:rPr>
          <w:b w:val="0"/>
          <w:bCs w:val="0"/>
        </w:rPr>
        <w:t xml:space="preserve">: </w:t>
      </w:r>
      <w:r w:rsidR="00ED0DCC" w:rsidRPr="00ED0DCC">
        <w:rPr>
          <w:b w:val="0"/>
          <w:bCs w:val="0"/>
        </w:rPr>
        <w:t>Data from (</w:t>
      </w:r>
      <w:r w:rsidR="006143C8" w:rsidRPr="00560555">
        <w:rPr>
          <w:b w:val="0"/>
          <w:bCs w:val="0"/>
        </w:rPr>
        <w:fldChar w:fldCharType="begin"/>
      </w:r>
      <w:r w:rsidR="00587B19">
        <w:rPr>
          <w:b w:val="0"/>
          <w:bCs w:val="0"/>
        </w:rPr>
        <w:instrText xml:space="preserve"> ADDIN ZOTERO_ITEM CSL_CITATION {"citationID":"l0bLlBMQ","properties":{"formattedCitation":"(Ritchie &amp; Roser, 2017)","plainCitation":"(Ritchie &amp; Roser, 2017)","dontUpdate":true,"noteIndex":0},"citationItems":[{"id":946,"uris":["http://zotero.org/users/5016855/items/Q4B9EKA7"],"itemData":{"id":946,"type":"document","abstract":"Canada: How much CO2 does your country emit? Are emissions falling? How does it compare to other countries?","language":"en","publisher":"Our World in Data","source":"ourworldindata.org","title":"CO₂ and Greenhouse Gas Emissions: Canada","URL":"https://ourworldindata.org/co2/country/canada","author":[{"family":"Ritchie","given":"Hannah"},{"family":"Roser","given":"Max"}],"accessed":{"date-parts":[["2021",1,20]]},"issued":{"date-parts":[["2017"]]}}}],"schema":"https://github.com/citation-style-language/schema/raw/master/csl-citation.json"} </w:instrText>
      </w:r>
      <w:r w:rsidR="006143C8" w:rsidRPr="00560555">
        <w:rPr>
          <w:b w:val="0"/>
          <w:bCs w:val="0"/>
        </w:rPr>
        <w:fldChar w:fldCharType="separate"/>
      </w:r>
      <w:r w:rsidR="006143C8" w:rsidRPr="00560555">
        <w:rPr>
          <w:b w:val="0"/>
          <w:bCs w:val="0"/>
        </w:rPr>
        <w:t>Ritchie &amp; Roser, 2017</w:t>
      </w:r>
      <w:r w:rsidR="006143C8" w:rsidRPr="00560555">
        <w:rPr>
          <w:b w:val="0"/>
          <w:bCs w:val="0"/>
        </w:rPr>
        <w:fldChar w:fldCharType="end"/>
      </w:r>
      <w:r w:rsidR="00ED0DCC" w:rsidRPr="00ED0DCC">
        <w:rPr>
          <w:b w:val="0"/>
          <w:bCs w:val="0"/>
        </w:rPr>
        <w:t>).</w:t>
      </w:r>
    </w:p>
    <w:p w14:paraId="52BBB94F" w14:textId="77777777" w:rsidR="004B371C" w:rsidRDefault="004B371C" w:rsidP="00A26495">
      <w:pPr>
        <w:rPr>
          <w:bCs/>
          <w:szCs w:val="24"/>
        </w:rPr>
      </w:pPr>
    </w:p>
    <w:p w14:paraId="5C6C937E" w14:textId="6D86065A" w:rsidR="00AF1F7B" w:rsidRDefault="00922B85" w:rsidP="00A26495">
      <w:pPr>
        <w:rPr>
          <w:bCs/>
          <w:szCs w:val="24"/>
          <w:highlight w:val="yellow"/>
        </w:rPr>
      </w:pPr>
      <w:r w:rsidRPr="00922B85">
        <w:rPr>
          <w:noProof/>
          <w:highlight w:val="yellow"/>
        </w:rPr>
        <w:drawing>
          <wp:inline distT="0" distB="0" distL="0" distR="0" wp14:anchorId="1E3F17F8" wp14:editId="17DB9C86">
            <wp:extent cx="5054600" cy="38055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4600" cy="3805555"/>
                    </a:xfrm>
                    <a:prstGeom prst="rect">
                      <a:avLst/>
                    </a:prstGeom>
                    <a:noFill/>
                    <a:ln>
                      <a:noFill/>
                    </a:ln>
                  </pic:spPr>
                </pic:pic>
              </a:graphicData>
            </a:graphic>
          </wp:inline>
        </w:drawing>
      </w:r>
    </w:p>
    <w:p w14:paraId="5EF472AD" w14:textId="47300509" w:rsidR="00922B85" w:rsidRDefault="00922B85" w:rsidP="00922B85">
      <w:pPr>
        <w:pStyle w:val="Figure"/>
        <w:spacing w:after="0"/>
      </w:pPr>
      <w:r w:rsidRPr="00183750">
        <w:t xml:space="preserve">Figure </w:t>
      </w:r>
      <w:r>
        <w:t>4</w:t>
      </w:r>
      <w:r w:rsidRPr="00183750">
        <w:t xml:space="preserve">: </w:t>
      </w:r>
      <w:r w:rsidRPr="00922B85">
        <w:t>2016 Global GHG emissions by sector, end-use, and gas</w:t>
      </w:r>
      <w:r w:rsidR="00587B19">
        <w:t xml:space="preserve"> </w:t>
      </w:r>
      <w:r w:rsidR="00587B19">
        <w:fldChar w:fldCharType="begin"/>
      </w:r>
      <w:r w:rsidR="00587B19">
        <w:instrText xml:space="preserve"> ADDIN ZOTERO_ITEM CSL_CITATION {"citationID":"1DYCYmiP","properties":{"formattedCitation":"(Ge &amp; Friedrich, 2020)","plainCitation":"(Ge &amp; Friedrich, 2020)","noteIndex":0},"citationItems":[{"id":794,"uris":["http://zotero.org/users/5016855/items/CGVN39LF"],"itemData":{"id":794,"type":"document","abstract":"Data shows that the energy sector produces 73% of global greenhouse gas emissions, and 10 countries account for more than two-thirds of annual emissions.","language":"en","publisher":"World Resources Institute","title":"4 Charts Explain Greenhouse Gas Emissions by Countries and Sectors","URL":"https://www.wri.org/blog/2020/02/greenhouse-gas-emissions-by-country-sector","author":[{"family":"Ge","given":"Mengpin"},{"family":"Friedrich","given":"Johannes"}],"accessed":{"date-parts":[["2021",1,24]]},"issued":{"date-parts":[["2020"]]}}}],"schema":"https://github.com/citation-style-language/schema/raw/master/csl-citation.json"} </w:instrText>
      </w:r>
      <w:r w:rsidR="00587B19">
        <w:fldChar w:fldCharType="separate"/>
      </w:r>
      <w:r w:rsidR="00587B19" w:rsidRPr="00587B19">
        <w:t>(Ge &amp; Friedrich, 2020)</w:t>
      </w:r>
      <w:r w:rsidR="00587B19">
        <w:fldChar w:fldCharType="end"/>
      </w:r>
      <w:r w:rsidRPr="00922B85">
        <w:t>.</w:t>
      </w:r>
    </w:p>
    <w:p w14:paraId="23A9E715" w14:textId="4812D8EF" w:rsidR="00922B85" w:rsidRDefault="00922B85" w:rsidP="00A26495">
      <w:pPr>
        <w:rPr>
          <w:bCs/>
          <w:szCs w:val="24"/>
          <w:highlight w:val="yellow"/>
        </w:rPr>
      </w:pPr>
    </w:p>
    <w:p w14:paraId="48061CF0" w14:textId="6D4EE145" w:rsidR="00FC43C6" w:rsidRDefault="00FC43C6" w:rsidP="00A26495">
      <w:pPr>
        <w:rPr>
          <w:bCs/>
          <w:szCs w:val="24"/>
        </w:rPr>
      </w:pPr>
      <w:r w:rsidRPr="00FC43C6">
        <w:rPr>
          <w:bCs/>
          <w:szCs w:val="24"/>
        </w:rPr>
        <w:t xml:space="preserve">One of the challenges with conducting </w:t>
      </w:r>
      <w:r>
        <w:rPr>
          <w:bCs/>
          <w:szCs w:val="24"/>
        </w:rPr>
        <w:t>environment-growth</w:t>
      </w:r>
      <w:r w:rsidRPr="00FC43C6">
        <w:rPr>
          <w:bCs/>
          <w:szCs w:val="24"/>
        </w:rPr>
        <w:t xml:space="preserve"> research using </w:t>
      </w:r>
      <w:r w:rsidRPr="00FC43C6">
        <w:rPr>
          <w:bCs/>
          <w:szCs w:val="24"/>
        </w:rPr>
        <w:lastRenderedPageBreak/>
        <w:t>aggregate GHG emissions for some countries is the difficulty of data collection and aggregation for the constituent gases (CO</w:t>
      </w:r>
      <w:r w:rsidRPr="00FC43C6">
        <w:rPr>
          <w:bCs/>
          <w:szCs w:val="24"/>
          <w:vertAlign w:val="subscript"/>
        </w:rPr>
        <w:t>2</w:t>
      </w:r>
      <w:r w:rsidRPr="00FC43C6">
        <w:rPr>
          <w:bCs/>
          <w:szCs w:val="24"/>
        </w:rPr>
        <w:t>, CH</w:t>
      </w:r>
      <w:r w:rsidRPr="00FC43C6">
        <w:rPr>
          <w:bCs/>
          <w:szCs w:val="24"/>
          <w:vertAlign w:val="subscript"/>
        </w:rPr>
        <w:t>4</w:t>
      </w:r>
      <w:r w:rsidRPr="00FC43C6">
        <w:rPr>
          <w:bCs/>
          <w:szCs w:val="24"/>
        </w:rPr>
        <w:t>, nitrous oxide - N</w:t>
      </w:r>
      <w:r w:rsidRPr="00FC43C6">
        <w:rPr>
          <w:bCs/>
          <w:szCs w:val="24"/>
          <w:vertAlign w:val="subscript"/>
        </w:rPr>
        <w:t>2</w:t>
      </w:r>
      <w:r w:rsidRPr="00FC43C6">
        <w:rPr>
          <w:bCs/>
          <w:szCs w:val="24"/>
        </w:rPr>
        <w:t xml:space="preserve">O, and fluorinated gases) thereby leading to elevated levels of uncertainty on the total GHG emissions estimate for some countries </w:t>
      </w:r>
      <w:r w:rsidR="00F15D87">
        <w:rPr>
          <w:bCs/>
          <w:szCs w:val="24"/>
        </w:rPr>
        <w:fldChar w:fldCharType="begin"/>
      </w:r>
      <w:r w:rsidR="00F15D87">
        <w:rPr>
          <w:bCs/>
          <w:szCs w:val="24"/>
        </w:rPr>
        <w:instrText xml:space="preserve"> ADDIN ZOTERO_ITEM CSL_CITATION {"citationID":"matrk5gp","properties":{"formattedCitation":"(Masnadi et al., 2018)","plainCitation":"(Masnadi et al., 2018)","noteIndex":0},"citationItems":[{"id":791,"uris":["http://zotero.org/users/5016855/items/JDYV9A8J"],"itemData":{"id":791,"type":"article-journal","abstract":"New data enable targeted policy to lessen GHG emissions\nNew data enable targeted policy to lessen GHG emissions","container-title":"Science","DOI":"10.1126/science.aar6859","ISSN":"0036-8075, 1095-9203","issue":"6405","language":"en","license":"Copyright © 2018, American Association for the Advancement of Science. http://www.sciencemag.org/about/science-licenses-journal-article-reuseThis is an article distributed under the terms of the Science Journals Default License.","note":"publisher: American Association for the Advancement of Science\nsection: Policy Forum\nPMID: 30166477","page":"851-853","source":"science.sciencemag.org","title":"Global carbon intensity of crude oil production","volume":"361","author":[{"family":"Masnadi","given":"Mohammad S."},{"family":"El-Houjeiri","given":"Hassan M."},{"family":"Schunack","given":"Dominik"},{"family":"Li","given":"Yunpo"},{"family":"Englander","given":"Jacob G."},{"family":"Badahdah","given":"Alhassan"},{"family":"Monfort","given":"Jean-Christophe"},{"family":"Anderson","given":"James E."},{"family":"Wallington","given":"Timothy J."},{"family":"Bergerson","given":"Joule A."},{"family":"Gordon","given":"Deborah"},{"family":"Koomey","given":"Jonathan"},{"family":"Przesmitzki","given":"Steven"},{"family":"Azevedo","given":"Inês L."},{"family":"Bi","given":"Xiaotao T."},{"family":"Duffy","given":"James E."},{"family":"Heath","given":"Garvin A."},{"family":"Keoleian","given":"Gregory A."},{"family":"McGlade","given":"Christophe"},{"family":"Meehan","given":"D. Nathan"},{"family":"Yeh","given":"Sonia"},{"family":"You","given":"Fengqi"},{"family":"Wang","given":"Michael"},{"family":"Brandt","given":"Adam R."}],"issued":{"date-parts":[["2018",8,31]]}}}],"schema":"https://github.com/citation-style-language/schema/raw/master/csl-citation.json"} </w:instrText>
      </w:r>
      <w:r w:rsidR="00F15D87">
        <w:rPr>
          <w:bCs/>
          <w:szCs w:val="24"/>
        </w:rPr>
        <w:fldChar w:fldCharType="separate"/>
      </w:r>
      <w:r w:rsidR="00F15D87" w:rsidRPr="00F15D87">
        <w:t>(Masnadi et al., 2018)</w:t>
      </w:r>
      <w:r w:rsidR="00F15D87">
        <w:rPr>
          <w:bCs/>
          <w:szCs w:val="24"/>
        </w:rPr>
        <w:fldChar w:fldCharType="end"/>
      </w:r>
      <w:r w:rsidRPr="00FC43C6">
        <w:rPr>
          <w:bCs/>
          <w:szCs w:val="24"/>
        </w:rPr>
        <w:t>. Being a subscriber to both the Paris climate accord and the predecessor Kyoto Protocol, Canada has historically reported its GHG emissions data for several decades and the reported numbers are reviewed for consistency with the UNFCCC</w:t>
      </w:r>
      <w:r>
        <w:rPr>
          <w:bCs/>
          <w:szCs w:val="24"/>
        </w:rPr>
        <w:t>-</w:t>
      </w:r>
      <w:r w:rsidRPr="00FC43C6">
        <w:rPr>
          <w:bCs/>
          <w:szCs w:val="24"/>
        </w:rPr>
        <w:t>prescribed GHG accounting methods (</w:t>
      </w:r>
      <w:r w:rsidR="000E3B45">
        <w:rPr>
          <w:bCs/>
          <w:szCs w:val="24"/>
        </w:rPr>
        <w:fldChar w:fldCharType="begin"/>
      </w:r>
      <w:r w:rsidR="000E3B45">
        <w:rPr>
          <w:bCs/>
          <w:szCs w:val="24"/>
        </w:rPr>
        <w:instrText xml:space="preserve"> ADDIN ZOTERO_ITEM CSL_CITATION {"citationID":"Izh1A5pj","properties":{"formattedCitation":"(Government of Canada, 2020a, 2020b)","plainCitation":"(Government of Canada, 2020a, 2020b)","noteIndex":0},"citationItems":[{"id":789,"uris":["http://zotero.org/users/5016855/items/X3IDHHWY"],"itemData":{"id":789,"type":"document","language":"en","publisher":"United Nations","title":"GHG Emissions - Common Reporting Format (CRF) Tables","URL":"https://unfccc.int/documents/224828","author":[{"family":"Government of Canada","given":""}],"accessed":{"date-parts":[["2021",1,7]]},"issued":{"date-parts":[["2020",4,14]]}}},{"id":805,"uris":["http://zotero.org/users/5016855/items/9646N475"],"itemData":{"id":805,"type":"report","abstract":"Canada’s National Greenhouse Gas Inventory is prepared and submitted annually to the UNFCCC by April 15 of each year, in accordance with the revised Guidelines for the preparation of national communications by Parties included in Annex I to the Convention, Part I: UNFCCC reporting guidelines on annual inventories(UNFCCC Reporting Guidelines), adopted through Decision 24/CP.19 in 2013.","genre":"program results","language":"eng","note":"Last Modified: 2020-09-25","page":"15","publisher":"Environment and Climate Change, Government of Canada","title":"Greenhouse gas sources and sinks: executive summary","title-short":"Greenhouse gas sources and sinks","URL":"https://www.canada.ca/en/environment-climate-change/services/climate-change/greenhouse-gas-emissions/sources-sinks-executive-summary-2020.html","author":[{"family":"Government of Canada","given":""}],"accessed":{"date-parts":[["2021",1,21]]},"issued":{"date-parts":[["2020",9,25]]}}}],"schema":"https://github.com/citation-style-language/schema/raw/master/csl-citation.json"} </w:instrText>
      </w:r>
      <w:r w:rsidR="000E3B45">
        <w:rPr>
          <w:bCs/>
          <w:szCs w:val="24"/>
        </w:rPr>
        <w:fldChar w:fldCharType="separate"/>
      </w:r>
      <w:r w:rsidR="000E3B45" w:rsidRPr="000E3B45">
        <w:t>Government of Canada, 2020a, 2020b</w:t>
      </w:r>
      <w:r w:rsidR="000E3B45">
        <w:rPr>
          <w:bCs/>
          <w:szCs w:val="24"/>
        </w:rPr>
        <w:fldChar w:fldCharType="end"/>
      </w:r>
      <w:r w:rsidRPr="00FC43C6">
        <w:rPr>
          <w:bCs/>
          <w:szCs w:val="24"/>
        </w:rPr>
        <w:t xml:space="preserve">; </w:t>
      </w:r>
      <w:r w:rsidR="000E3B45" w:rsidRPr="000E3B45">
        <w:fldChar w:fldCharType="begin"/>
      </w:r>
      <w:r w:rsidR="000E3B45">
        <w:instrText xml:space="preserve"> ADDIN ZOTERO_ITEM CSL_CITATION {"citationID":"R7uN8PXJ","properties":{"formattedCitation":"(Ritchie &amp; Roser, 2017)","plainCitation":"(Ritchie &amp; Roser, 2017)","dontUpdate":true,"noteIndex":0},"citationItems":[{"id":946,"uris":["http://zotero.org/users/5016855/items/Q4B9EKA7"],"itemData":{"id":946,"type":"document","abstract":"Canada: How much CO2 does your country emit? Are emissions falling? How does it compare to other countries?","language":"en","publisher":"Our World in Data","source":"ourworldindata.org","title":"CO₂ and Greenhouse Gas Emissions: Canada","URL":"https://ourworldindata.org/co2/country/canada","author":[{"family":"Ritchie","given":"Hannah"},{"family":"Roser","given":"Max"}],"accessed":{"date-parts":[["2021",1,20]]},"issued":{"date-parts":[["2017"]]}}}],"schema":"https://github.com/citation-style-language/schema/raw/master/csl-citation.json"} </w:instrText>
      </w:r>
      <w:r w:rsidR="000E3B45" w:rsidRPr="000E3B45">
        <w:fldChar w:fldCharType="separate"/>
      </w:r>
      <w:r w:rsidR="000E3B45" w:rsidRPr="000E3B45">
        <w:t>Ritchie &amp; Roser, 2017</w:t>
      </w:r>
      <w:r w:rsidR="000E3B45" w:rsidRPr="000E3B45">
        <w:fldChar w:fldCharType="end"/>
      </w:r>
      <w:r w:rsidRPr="00FC43C6">
        <w:rPr>
          <w:bCs/>
          <w:szCs w:val="24"/>
        </w:rPr>
        <w:t>). It has been argued that Canada’s regulatory standards and enforcement policies facilitate a high level of reporting transparency and has over the years helped in reducing the level of uncertainty in the Canada’s GHG emissions data capturing and reporting, relative to other countries (</w:t>
      </w:r>
      <w:r w:rsidR="000D70E5" w:rsidRPr="00FC43C6">
        <w:rPr>
          <w:bCs/>
          <w:szCs w:val="24"/>
        </w:rPr>
        <w:t xml:space="preserve">Figure </w:t>
      </w:r>
      <w:r w:rsidR="000D70E5" w:rsidRPr="00222CEC">
        <w:rPr>
          <w:bCs/>
          <w:szCs w:val="24"/>
        </w:rPr>
        <w:t xml:space="preserve">5; </w:t>
      </w:r>
      <w:r w:rsidR="00222CEC" w:rsidRPr="00222CEC">
        <w:rPr>
          <w:bCs/>
          <w:szCs w:val="24"/>
        </w:rPr>
        <w:fldChar w:fldCharType="begin"/>
      </w:r>
      <w:r w:rsidR="00222CEC" w:rsidRPr="00222CEC">
        <w:rPr>
          <w:bCs/>
          <w:szCs w:val="24"/>
        </w:rPr>
        <w:instrText xml:space="preserve"> ADDIN ZOTERO_ITEM CSL_CITATION {"citationID":"NIwEKtKT","properties":{"formattedCitation":"(Blair, 2021)","plainCitation":"(Blair, 2021)","noteIndex":0},"citationItems":[{"id":790,"uris":["http://zotero.org/users/5016855/items/RJ64XN7H"],"itemData":{"id":790,"type":"post-weblog","abstract":"Uncertainty is a fact of life in science. Understanding and communicating uncertainty is an essential element of the scientific pursuit. Uncertainty in research comes from the fact that, in most si…","container-title":"A Chemist in Langley","language":"en","title":"The GHG intensity of the Canadian oil industry – what the scientific research actually says","URL":"https://achemistinlangley.net/2021/01/15/the-ghg-intensity-of-the-canadian-oil-industry-what-the-scientific-research-actually-says/","author":[{"literal":"Blair"}],"accessed":{"date-parts":[["2021",1,24]]},"issued":{"date-parts":[["2021",1,16]]}}}],"schema":"https://github.com/citation-style-language/schema/raw/master/csl-citation.json"} </w:instrText>
      </w:r>
      <w:r w:rsidR="00222CEC" w:rsidRPr="00222CEC">
        <w:rPr>
          <w:bCs/>
          <w:szCs w:val="24"/>
        </w:rPr>
        <w:fldChar w:fldCharType="separate"/>
      </w:r>
      <w:r w:rsidR="00222CEC" w:rsidRPr="00222CEC">
        <w:t>Blair, 2021</w:t>
      </w:r>
      <w:r w:rsidR="00222CEC" w:rsidRPr="00222CEC">
        <w:rPr>
          <w:bCs/>
          <w:szCs w:val="24"/>
        </w:rPr>
        <w:fldChar w:fldCharType="end"/>
      </w:r>
      <w:r w:rsidRPr="00FC43C6">
        <w:rPr>
          <w:bCs/>
          <w:szCs w:val="24"/>
        </w:rPr>
        <w:t xml:space="preserve">; </w:t>
      </w:r>
      <w:r w:rsidR="000E3B45" w:rsidRPr="000E3B45">
        <w:fldChar w:fldCharType="begin"/>
      </w:r>
      <w:r w:rsidR="00222CEC">
        <w:instrText xml:space="preserve"> ADDIN ZOTERO_ITEM CSL_CITATION {"citationID":"zBOLd753","properties":{"formattedCitation":"(Ritchie &amp; Roser, 2017)","plainCitation":"(Ritchie &amp; Roser, 2017)","dontUpdate":true,"noteIndex":0},"citationItems":[{"id":946,"uris":["http://zotero.org/users/5016855/items/Q4B9EKA7"],"itemData":{"id":946,"type":"document","abstract":"Canada: How much CO2 does your country emit? Are emissions falling? How does it compare to other countries?","language":"en","publisher":"Our World in Data","source":"ourworldindata.org","title":"CO₂ and Greenhouse Gas Emissions: Canada","URL":"https://ourworldindata.org/co2/country/canada","author":[{"family":"Ritchie","given":"Hannah"},{"family":"Roser","given":"Max"}],"accessed":{"date-parts":[["2021",1,20]]},"issued":{"date-parts":[["2017"]]}}}],"schema":"https://github.com/citation-style-language/schema/raw/master/csl-citation.json"} </w:instrText>
      </w:r>
      <w:r w:rsidR="000E3B45" w:rsidRPr="000E3B45">
        <w:fldChar w:fldCharType="separate"/>
      </w:r>
      <w:r w:rsidR="000E3B45" w:rsidRPr="000E3B45">
        <w:t>Ritchie &amp; Roser, 2017</w:t>
      </w:r>
      <w:r w:rsidR="000E3B45" w:rsidRPr="000E3B45">
        <w:fldChar w:fldCharType="end"/>
      </w:r>
      <w:r w:rsidRPr="00FC43C6">
        <w:rPr>
          <w:bCs/>
          <w:szCs w:val="24"/>
        </w:rPr>
        <w:t xml:space="preserve">). This, therefore, implies that the Canada’s GHG emissions data can be considered sufficiently representative to be used </w:t>
      </w:r>
      <w:r>
        <w:rPr>
          <w:bCs/>
          <w:szCs w:val="24"/>
        </w:rPr>
        <w:t>to evaluate the relationship between GHG emission and economic development</w:t>
      </w:r>
      <w:r w:rsidRPr="00FC43C6">
        <w:rPr>
          <w:bCs/>
          <w:szCs w:val="24"/>
        </w:rPr>
        <w:t>.</w:t>
      </w:r>
    </w:p>
    <w:p w14:paraId="62B2A718" w14:textId="2CEB1580" w:rsidR="00FC43C6" w:rsidRDefault="00FC43C6" w:rsidP="00A26495">
      <w:pPr>
        <w:rPr>
          <w:bCs/>
          <w:szCs w:val="24"/>
        </w:rPr>
      </w:pPr>
    </w:p>
    <w:p w14:paraId="51A4A405" w14:textId="49856AB8" w:rsidR="00FC43C6" w:rsidRDefault="00FC43C6" w:rsidP="00A26495">
      <w:pPr>
        <w:rPr>
          <w:bCs/>
          <w:szCs w:val="24"/>
        </w:rPr>
      </w:pPr>
      <w:r w:rsidRPr="00FC43C6">
        <w:rPr>
          <w:noProof/>
        </w:rPr>
        <w:drawing>
          <wp:inline distT="0" distB="0" distL="0" distR="0" wp14:anchorId="04ECA1A5" wp14:editId="41BFB090">
            <wp:extent cx="5054600" cy="28549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4600" cy="2854960"/>
                    </a:xfrm>
                    <a:prstGeom prst="rect">
                      <a:avLst/>
                    </a:prstGeom>
                    <a:noFill/>
                    <a:ln>
                      <a:noFill/>
                    </a:ln>
                  </pic:spPr>
                </pic:pic>
              </a:graphicData>
            </a:graphic>
          </wp:inline>
        </w:drawing>
      </w:r>
    </w:p>
    <w:p w14:paraId="1025ACD2" w14:textId="0BB9744A" w:rsidR="00FC43C6" w:rsidRDefault="00FC43C6" w:rsidP="00FC43C6">
      <w:pPr>
        <w:pStyle w:val="Figure"/>
        <w:spacing w:after="0"/>
      </w:pPr>
      <w:r w:rsidRPr="00183750">
        <w:t xml:space="preserve">Figure </w:t>
      </w:r>
      <w:r>
        <w:t>5</w:t>
      </w:r>
      <w:r w:rsidRPr="00183750">
        <w:t xml:space="preserve">: </w:t>
      </w:r>
      <w:r w:rsidRPr="00FC43C6">
        <w:t>Data quality scores of volume-weighted-average crude oil production GHG intensity estimates</w:t>
      </w:r>
    </w:p>
    <w:p w14:paraId="1063A752" w14:textId="3016A4E3" w:rsidR="00FC43C6" w:rsidRDefault="00FC43C6" w:rsidP="00FC43C6">
      <w:pPr>
        <w:pStyle w:val="Figure"/>
        <w:spacing w:before="0" w:after="0"/>
        <w:rPr>
          <w:b w:val="0"/>
          <w:bCs w:val="0"/>
        </w:rPr>
      </w:pPr>
      <w:r>
        <w:rPr>
          <w:b w:val="0"/>
          <w:bCs w:val="0"/>
          <w:i/>
          <w:iCs/>
        </w:rPr>
        <w:t>Source</w:t>
      </w:r>
      <w:r w:rsidRPr="006B4454">
        <w:rPr>
          <w:b w:val="0"/>
          <w:bCs w:val="0"/>
        </w:rPr>
        <w:t xml:space="preserve">: </w:t>
      </w:r>
      <w:proofErr w:type="spellStart"/>
      <w:r w:rsidR="00F15D87" w:rsidRPr="00F15D87">
        <w:rPr>
          <w:b w:val="0"/>
          <w:bCs w:val="0"/>
        </w:rPr>
        <w:t>Masnadi</w:t>
      </w:r>
      <w:proofErr w:type="spellEnd"/>
      <w:r w:rsidR="00F15D87" w:rsidRPr="00F15D87">
        <w:rPr>
          <w:b w:val="0"/>
          <w:bCs w:val="0"/>
        </w:rPr>
        <w:t xml:space="preserve"> et al.</w:t>
      </w:r>
      <w:r w:rsidR="00F15D87">
        <w:rPr>
          <w:b w:val="0"/>
          <w:bCs w:val="0"/>
        </w:rPr>
        <w:t xml:space="preserve"> (</w:t>
      </w:r>
      <w:r w:rsidR="00F15D87" w:rsidRPr="00F15D87">
        <w:rPr>
          <w:b w:val="0"/>
          <w:bCs w:val="0"/>
        </w:rPr>
        <w:t>2018</w:t>
      </w:r>
      <w:r w:rsidR="00F15D87">
        <w:rPr>
          <w:b w:val="0"/>
          <w:bCs w:val="0"/>
        </w:rPr>
        <w:t>)</w:t>
      </w:r>
    </w:p>
    <w:p w14:paraId="19F6D4EB" w14:textId="6229990C" w:rsidR="002D6EC9" w:rsidRDefault="002D6EC9" w:rsidP="002D6EC9">
      <w:pPr>
        <w:pStyle w:val="Figure"/>
        <w:spacing w:before="0" w:after="0"/>
      </w:pPr>
      <w:r>
        <w:rPr>
          <w:b w:val="0"/>
          <w:bCs w:val="0"/>
          <w:i/>
          <w:iCs/>
        </w:rPr>
        <w:t>Note</w:t>
      </w:r>
      <w:r w:rsidRPr="006B4454">
        <w:rPr>
          <w:b w:val="0"/>
          <w:bCs w:val="0"/>
        </w:rPr>
        <w:t xml:space="preserve">: </w:t>
      </w:r>
      <w:r w:rsidRPr="002D6EC9">
        <w:rPr>
          <w:b w:val="0"/>
          <w:bCs w:val="0"/>
        </w:rPr>
        <w:t>The reference year is 2015 and the number below a country name represents the number of fields studied. On the data quality color legend, the number 10 is the highest data quality score while 0 marks the lowest score. The author only plotted countries whose oil production share is ≥ 0.1% of the global production. The figure shows a high data quality score for the 84 Canadian fields analyzed.</w:t>
      </w:r>
    </w:p>
    <w:p w14:paraId="5F835281" w14:textId="4C011087" w:rsidR="00FC43C6" w:rsidRDefault="00FC43C6" w:rsidP="00A26495">
      <w:pPr>
        <w:rPr>
          <w:bCs/>
          <w:szCs w:val="24"/>
        </w:rPr>
      </w:pPr>
    </w:p>
    <w:p w14:paraId="2B8D5DFC" w14:textId="3CEFFAE8" w:rsidR="007B7CF0" w:rsidRDefault="007B7CF0" w:rsidP="00F10150">
      <w:pPr>
        <w:rPr>
          <w:color w:val="000000" w:themeColor="text1"/>
          <w:szCs w:val="24"/>
        </w:rPr>
      </w:pPr>
      <w:r>
        <w:rPr>
          <w:color w:val="000000" w:themeColor="text1"/>
          <w:szCs w:val="24"/>
        </w:rPr>
        <w:t>T</w:t>
      </w:r>
      <w:r w:rsidRPr="007B7CF0">
        <w:rPr>
          <w:color w:val="000000" w:themeColor="text1"/>
          <w:szCs w:val="24"/>
        </w:rPr>
        <w:t xml:space="preserve">he </w:t>
      </w:r>
      <w:r>
        <w:rPr>
          <w:color w:val="000000" w:themeColor="text1"/>
          <w:szCs w:val="24"/>
        </w:rPr>
        <w:t>use</w:t>
      </w:r>
      <w:r w:rsidRPr="007B7CF0">
        <w:rPr>
          <w:color w:val="000000" w:themeColor="text1"/>
          <w:szCs w:val="24"/>
        </w:rPr>
        <w:t xml:space="preserve"> of </w:t>
      </w:r>
      <w:r>
        <w:rPr>
          <w:color w:val="000000" w:themeColor="text1"/>
          <w:szCs w:val="24"/>
        </w:rPr>
        <w:t>GDP-</w:t>
      </w:r>
      <w:r w:rsidR="005235F5">
        <w:rPr>
          <w:color w:val="000000" w:themeColor="text1"/>
          <w:szCs w:val="24"/>
        </w:rPr>
        <w:t>a</w:t>
      </w:r>
      <w:r>
        <w:rPr>
          <w:color w:val="000000" w:themeColor="text1"/>
          <w:szCs w:val="24"/>
        </w:rPr>
        <w:t>lternative</w:t>
      </w:r>
      <w:r w:rsidRPr="007B7CF0">
        <w:rPr>
          <w:color w:val="000000" w:themeColor="text1"/>
          <w:szCs w:val="24"/>
        </w:rPr>
        <w:t xml:space="preserve"> indicators in empirical </w:t>
      </w:r>
      <w:r>
        <w:rPr>
          <w:color w:val="000000" w:themeColor="text1"/>
          <w:szCs w:val="24"/>
        </w:rPr>
        <w:t xml:space="preserve">environment-growth nexus </w:t>
      </w:r>
      <w:r w:rsidRPr="007B7CF0">
        <w:rPr>
          <w:color w:val="000000" w:themeColor="text1"/>
          <w:szCs w:val="24"/>
        </w:rPr>
        <w:t xml:space="preserve">studies is </w:t>
      </w:r>
      <w:r>
        <w:rPr>
          <w:color w:val="000000" w:themeColor="text1"/>
          <w:szCs w:val="24"/>
        </w:rPr>
        <w:t xml:space="preserve">an area of developing research with little traction gained over the past ten </w:t>
      </w:r>
      <w:r>
        <w:rPr>
          <w:color w:val="000000" w:themeColor="text1"/>
          <w:szCs w:val="24"/>
        </w:rPr>
        <w:lastRenderedPageBreak/>
        <w:t>years.</w:t>
      </w:r>
      <w:r w:rsidRPr="007B7CF0">
        <w:rPr>
          <w:color w:val="000000" w:themeColor="text1"/>
          <w:szCs w:val="24"/>
        </w:rPr>
        <w:t xml:space="preserve"> </w:t>
      </w:r>
      <w:r w:rsidR="005D3F3E">
        <w:rPr>
          <w:color w:val="000000" w:themeColor="text1"/>
          <w:szCs w:val="24"/>
        </w:rPr>
        <w:t xml:space="preserve">Although efforts have been made both in the global and Canadian literature to evaluate the role of determinants such as trade, energy consumption, </w:t>
      </w:r>
      <w:r w:rsidR="0002713A">
        <w:rPr>
          <w:color w:val="000000" w:themeColor="text1"/>
          <w:szCs w:val="24"/>
        </w:rPr>
        <w:t>foreign direct investment (</w:t>
      </w:r>
      <w:r w:rsidR="005D3F3E">
        <w:rPr>
          <w:color w:val="000000" w:themeColor="text1"/>
          <w:szCs w:val="24"/>
        </w:rPr>
        <w:t>FDI</w:t>
      </w:r>
      <w:r w:rsidR="0002713A">
        <w:rPr>
          <w:color w:val="000000" w:themeColor="text1"/>
          <w:szCs w:val="24"/>
        </w:rPr>
        <w:t>)</w:t>
      </w:r>
      <w:r w:rsidR="005D3F3E">
        <w:rPr>
          <w:color w:val="000000" w:themeColor="text1"/>
          <w:szCs w:val="24"/>
        </w:rPr>
        <w:t xml:space="preserve"> in the environment-growth nexus </w:t>
      </w:r>
      <w:r w:rsidR="00026CEA">
        <w:rPr>
          <w:color w:val="000000" w:themeColor="text1"/>
          <w:szCs w:val="24"/>
        </w:rPr>
        <w:fldChar w:fldCharType="begin"/>
      </w:r>
      <w:r w:rsidR="00026CEA">
        <w:rPr>
          <w:color w:val="000000" w:themeColor="text1"/>
          <w:szCs w:val="24"/>
        </w:rPr>
        <w:instrText xml:space="preserve"> ADDIN ZOTERO_ITEM CSL_CITATION {"citationID":"D5EssTbc","properties":{"formattedCitation":"(Ben Jebli et al., 2016; Camarero et al., 2015; Dogan, 2016; Farhani &amp; Shahbaz, 2014; Jayanthakumaran &amp; Liu, 2012; Singhania &amp; Saini, 2021)","plainCitation":"(Ben Jebli et al., 2016; Camarero et al., 2015; Dogan, 2016; Farhani &amp; Shahbaz, 2014; Jayanthakumaran &amp; Liu, 2012; Singhania &amp; Saini, 2021)","noteIndex":0},"citationItems":[{"id":417,"uris":["http://zotero.org/users/5016855/items/T7ZX98AC"],"itemData":{"id":417,"type":"article-journal","abstract":"This paper investigates the causal relationships between per capita CO2 emissions, gross domestic product (GDP), renewable and non-renewable energy consumption, and international trade for a panel of 25 OECD countries over the period 1980–2010. Short-run Granger causality tests show the existence of bidirectional causality between: renewable energy consumption and imports, renewable and non-renewable energy consumption, non-renewable energy and trade (exports or imports); and unidirectional causality running from: exports to renewable energy, trade to CO2 emissions, output to renewable energy. There are also long-run bidirectional causalities between all our considered variables. Our long-run fully modified ordinary least squares (FMOLS) and dynamic ordinary least squares (DOLS) estimates show that the inverted U-shaped environmental Kuznets curve (EKC) hypothesis is verified for this sample of OECD countries. They also show that increasing non-renewable energy increases CO2 emissions. Interestingly, increasing trade or renewable energy reduces CO2 emissions. According to these results, more trade and more use of renewable energy are efficient strategies to combat global warming in these countries.","container-title":"Ecological Indicators","DOI":"10.1016/j.ecolind.2015.08.031","ISSN":"1470-160X","journalAbbreviation":"Ecological Indicators","language":"en","page":"824-831","source":"ScienceDirect","title":"Testing environmental Kuznets curve hypothesis: The role of renewable and non-renewable energy consumption and trade in OECD countries","title-short":"Testing environmental Kuznets curve hypothesis","volume":"60","author":[{"family":"Ben Jebli","given":"Mehdi"},{"family":"Ben Youssef","given":"Slim"},{"family":"Ozturk","given":"Ilhan"}],"issued":{"date-parts":[["2016"]]}}},{"id":284,"uris":["http://zotero.org/users/5016855/items/VC5M59X8"],"itemData":{"id":284,"type":"article-journal","abstract":"There is abundant empirical literature that focuses on whether energy consumption is a critical driver of economic growth. The evolution of this literature has largely consisted of attempts to solve the problems and answer the criticisms arising from earlier studies. One of the most common criticisms is that previous work concentrates on the bivariate relationship, energy consumption–economic growth. Many authors try to overcome this critique using control variables. However, the choice of these variables has been ad hoc, made according to the subjective economic rationale of the authors. Our contribution to this literature is to apply a robust probabilistic model to select the explanatory variables from a large set of potential candidates in the case of the US from 1949 to 2010, not only for an aggregate analysis but also for a sector analysis. The results highlight the critical role of public spending and energy intensity in the explanation of growth. Furthermore, since the study reveals different explanatory variables for each sector, it indicates the importance of policy decisions specifically aimed at different sectors.","container-title":"Energy Economics","DOI":"10.1016/j.eneco.2015.10.012","ISSN":"0140-9883","journalAbbreviation":"Energy Economics","language":"en","page":"207-216","source":"ScienceDirect","title":"Variable selection in the analysis of energy consumption–growth nexus","volume":"52","author":[{"family":"Camarero","given":"Mariam"},{"family":"Forte","given":"Anabel"},{"family":"Garcia-Donato","given":"Gonzalo"},{"family":"Mendoza","given":"Yurena"},{"family":"Ordoñez","given":"Javier"}],"issued":{"date-parts":[["2015"]]}}},{"id":679,"uris":["http://zotero.org/users/5016855/items/LMUZBJ8P"],"itemData":{"id":679,"type":"article-journal","abstract":"Even though a number of studies investigate the energy-growth nexus, only a small number of the existing studies use estimation techniques with structural break. Furthermore, majority of the existing studies use aggregate energy consumption and thus fail to identify the effects of energy consumption by sources on economic growth. By taking into account the importance of structural break, this study analyzes the short run and the long run estimates as well as the causality relationship between economic growth, renewable and non-renewable energy consumption for Turkey in a multivariate model wherein capital and labor are included as additional variables. By including additional variables into the model, we also attempt to handle omitted-variable bias problem. This study finds that renewable energy consumption has an insignificant impact on economic growth while non-renewable energy consumption has a significant positive effect on it. The coefficients on capital and labor are statistically significant. Furthermore, we have enough evidence to support conservation hypothesis and feedback hypothesis between renewable energy consumption and economic growth in the short run and the long run, respectively, and feedback hypothesis between non-renewable energy consumption and economic growth both in the short run and the long run. Several policy implications are further discussed.","container-title":"Renewable Energy","DOI":"10.1016/j.renene.2016.07.078","ISSN":"0960-1481","journalAbbreviation":"Renewable Energy","language":"en","page":"1126-1136","source":"ScienceDirect","title":"Analyzing the linkage between renewable and non-renewable energy consumption and economic growth by considering structural break in time-series data","volume":"99","author":[{"family":"Dogan","given":"Eyup"}],"issued":{"date-parts":[["2016"]]}}},{"id":742,"uris":["http://zotero.org/users/5016855/items/ACQ5Z2R4"],"itemData":{"id":742,"type":"article-journal","abstract":"This study attempts to explore the causal relationship between renewable and non-renewable electricity consumption, output and carbon dioxide (CO2) emissions for 10 Middle East and North Africa (MENA) countries over the period of 1980–2009. The results from panel Fully Modified Ordinary Least Squares (FMOLS) and Dynamic Ordinary Least Squares (DOLS) show that renewable and non-renewable electricity consumption add in CO2 emissions while output (real gross domestic product (GDP) per capita) exhibits an inverted U-shaped relationship with CO2 emissions i.e. the environment Kuznets curve (EKC) hypothesis is validated. The short-run dynamics indicate the unidirectional causality running from renewable and non-renewable electricity consumption and output to CO2 emissions. In the long-run, there appears to be a bidirectional causality between electricity consumption (renewable and non-renewable) and CO2 emissions. The findings suggest that future reductions in CO2 emissions might be achieved at the cost of economic growth.","container-title":"Renewable and Sustainable Energy Reviews","DOI":"10.1016/j.rser.2014.07.170","ISSN":"1364-0321","journalAbbreviation":"Renewable and Sustainable Energy Reviews","language":"en","page":"80-90","source":"ScienceDirect","title":"What role of renewable and non-renewable electricity consumption and output is needed to initially mitigate CO2 emissions in MENA region?","volume":"40","author":[{"family":"Farhani","given":"Sahbi"},{"family":"Shahbaz","given":"Muhammad"}],"issued":{"date-parts":[["2014"]]}}},{"id":395,"uris":["http://zotero.org/users/5016855/items/GSHMDWME"],"itemData":{"id":395,"type":"article-journal","abstract":"This paper investigates the relationship in China between trade, growth and emissions using provincial-level data for water (chemical oxygen demand: COD) and air (sulphur dioxide: SO2). It analyses the period 1990–2007 in three steps. First, the income ‘turning point’ of the Environmental Kuznets Curve (EKC) has been estimated using quadratic log function and obtained a turning point consistent with existing studies. Second, adopting Dean's (2002) simultaneous equations system, the relationships between trade, growth and emissions has been estimated and the results confirm the dominance of scale effects over technique effects. Third, the estimated per capita turning point for EKC is used to split the provincial industrial database into two groups (below and above turning point income) and simultaneous equations are estimated separately for them. The split sample provided limited support for the trade-induced emissions hypothesis for COD, but not for SO2. At the provincial level rising incomes via increased levels of international trade were associated with falling COD due to the technique effect, so that rising incomes among the provinces tended to be associated with lower emissions. Stricter environmental regulations are required for growing incomes because they may encourage better production techniques.","container-title":"Economic Modelling","DOI":"10.1016/j.econmod.2011.12.011","ISSN":"0264-9993","issue":"3","journalAbbreviation":"Economic Modelling","language":"en","page":"566-576","source":"ScienceDirect","title":"Openness and the Environmental Kuznets Curve: Evidence from China","title-short":"Openness and the Environmental Kuznets Curve","volume":"29","author":[{"family":"Jayanthakumaran","given":"Kankesu"},{"family":"Liu","given":"Ying"}],"issued":{"date-parts":[["2012"]]}}},{"id":692,"uris":["http://zotero.org/users/5016855/items/TKVBRSVP"],"itemData":{"id":692,"type":"article-journal","abstract":"This study explores the interrelationship between FDI, institutional factors, financial development and sustainability by revisiting the pollution haven (or halo) hypotheses. The data is sourced from the World Development Indicators (WDI) database over the period of 1990–2016, covering 21 developed and developing countries with high carbon emissions. The study uses dynamic panel data estimations by applying the generalized method of moments (GMM) and system-generalized methods of moments (Sys-GMM) over sample countries. The results indicate that FDI has a significant positive impact on environmental degradation. There is evidence of pollution haven hypotheses, especially in developing countries. We contribute to existing literature by revisiting the Environment Kuznets Curve (EKC) hypothesis and presenting the effect of FDI on carbon intensity in the light of institutional factors and financial development. The findings relating to FDI, institutional factors and financial development may cause researchers and policymakers to reiterate the sustainability dimension of foreign capital inflows in both developed and developing countries. We propose the policy framework to include a mandatory Statement of Environmental Disclosures for both listed and unlisted home and host companies at the time of their origin, expansion and fund raising in order to achieve sustainable business goals (SBGs).","container-title":"Journal of Business Research","DOI":"10.1016/j.jbusres.2020.10.007","ISSN":"0148-2963","journalAbbreviation":"Journal of Business Research","language":"en","page":"516-528","source":"ScienceDirect","title":"Demystifying pollution haven hypothesis: Role of FDI","title-short":"Demystifying pollution haven hypothesis","volume":"123","author":[{"family":"Singhania","given":"Monica"},{"family":"Saini","given":"Neha"}],"issued":{"date-parts":[["2021"]]}}}],"schema":"https://github.com/citation-style-language/schema/raw/master/csl-citation.json"} </w:instrText>
      </w:r>
      <w:r w:rsidR="00026CEA">
        <w:rPr>
          <w:color w:val="000000" w:themeColor="text1"/>
          <w:szCs w:val="24"/>
        </w:rPr>
        <w:fldChar w:fldCharType="separate"/>
      </w:r>
      <w:r w:rsidR="00026CEA" w:rsidRPr="00026CEA">
        <w:t>(Ben Jebli et al., 2016; Camarero et al., 2015; Dogan, 2016; Farhani &amp; Shahbaz, 2014; Jayanthakumaran &amp; Liu, 2012; Singhania &amp; Saini, 2021)</w:t>
      </w:r>
      <w:r w:rsidR="00026CEA">
        <w:rPr>
          <w:color w:val="000000" w:themeColor="text1"/>
          <w:szCs w:val="24"/>
        </w:rPr>
        <w:fldChar w:fldCharType="end"/>
      </w:r>
      <w:r w:rsidR="005D3F3E">
        <w:rPr>
          <w:color w:val="000000" w:themeColor="text1"/>
          <w:szCs w:val="24"/>
        </w:rPr>
        <w:t xml:space="preserve">, the body of knowledge on the relationship between other “alternative” indicators of economic progress or well-being and environmental quality </w:t>
      </w:r>
      <w:r>
        <w:rPr>
          <w:color w:val="000000" w:themeColor="text1"/>
          <w:szCs w:val="24"/>
        </w:rPr>
        <w:t>remains</w:t>
      </w:r>
      <w:r w:rsidR="005D3F3E">
        <w:rPr>
          <w:color w:val="000000" w:themeColor="text1"/>
          <w:szCs w:val="24"/>
        </w:rPr>
        <w:t xml:space="preserve"> limited. </w:t>
      </w:r>
    </w:p>
    <w:p w14:paraId="2E7E3C2B" w14:textId="356C5DBB" w:rsidR="00F10150" w:rsidRDefault="0002713A" w:rsidP="00F10150">
      <w:r>
        <w:rPr>
          <w:color w:val="000000" w:themeColor="text1"/>
          <w:szCs w:val="24"/>
        </w:rPr>
        <w:t xml:space="preserve">IEF </w:t>
      </w:r>
      <w:r w:rsidRPr="0002713A">
        <w:rPr>
          <w:color w:val="000000" w:themeColor="text1"/>
          <w:szCs w:val="24"/>
        </w:rPr>
        <w:t xml:space="preserve">has been utilized across European, </w:t>
      </w:r>
      <w:r>
        <w:rPr>
          <w:color w:val="000000" w:themeColor="text1"/>
          <w:szCs w:val="24"/>
        </w:rPr>
        <w:t xml:space="preserve">Middle East, </w:t>
      </w:r>
      <w:r w:rsidRPr="0002713A">
        <w:rPr>
          <w:color w:val="000000" w:themeColor="text1"/>
          <w:szCs w:val="24"/>
        </w:rPr>
        <w:t>and African countrie</w:t>
      </w:r>
      <w:r>
        <w:rPr>
          <w:color w:val="000000" w:themeColor="text1"/>
          <w:szCs w:val="24"/>
        </w:rPr>
        <w:t>s using CO</w:t>
      </w:r>
      <w:r w:rsidRPr="0002713A">
        <w:rPr>
          <w:color w:val="000000" w:themeColor="text1"/>
          <w:szCs w:val="24"/>
          <w:vertAlign w:val="subscript"/>
        </w:rPr>
        <w:t>2</w:t>
      </w:r>
      <w:r>
        <w:rPr>
          <w:color w:val="000000" w:themeColor="text1"/>
          <w:szCs w:val="24"/>
        </w:rPr>
        <w:t xml:space="preserve"> as the pollutant </w:t>
      </w:r>
      <w:r w:rsidR="009D7625">
        <w:rPr>
          <w:color w:val="000000" w:themeColor="text1"/>
          <w:szCs w:val="24"/>
        </w:rPr>
        <w:fldChar w:fldCharType="begin"/>
      </w:r>
      <w:r w:rsidR="001B4006">
        <w:rPr>
          <w:color w:val="000000" w:themeColor="text1"/>
          <w:szCs w:val="24"/>
        </w:rPr>
        <w:instrText xml:space="preserve"> ADDIN ZOTERO_ITEM CSL_CITATION {"citationID":"qtmzQrvo","properties":{"formattedCitation":"(Cobb et al., 1995; IMF, 2011; Ivkovic, 2016; Kimmerer, 2020; McGregor, 2003; Rani &amp; Mandal, 2020)","plainCitation":"(Cobb et al., 1995; IMF, 2011; Ivkovic, 2016; Kimmerer, 2020; McGregor, 2003; Rani &amp; Mandal, 2020)","noteIndex":0},"citationItems":[{"id":616,"uris":["http://zotero.org/users/5016855/items/CQ2RD5TF"],"itemData":{"id":616,"type":"book","language":"en","number-of-pages":"56","publisher":"Redefining Progress","title":"The Genuine Progress Indicator: Summary of data and methodology","URL":"https://books.google.com/books/about/The_Genuine_Progress_Indicator.html?id=-YDaPQAACAAJ","author":[{"family":"Cobb","given":"Clifford"},{"family":"Halstead","given":"Ted"},{"family":"Rowe","given":"Jonathan"}],"accessed":{"date-parts":[["2021",1,2]]},"issued":{"date-parts":[["1995"]]}}},{"id":627,"uris":["http://zotero.org/users/5016855/items/MH79GDNK"],"itemData":{"id":627,"type":"webpage","abstract":"The Gross Domestic Product (GDP) is a well-known standard benchmark for measuring economic performance of countries. This traditional indicator is a common tool on which policy decisions are based. But the GDP only aggregates monetary values like investment, private and government consumption or exports and imports. However, it is not very intuitive to consider only financial aspects when a sustainable development of policy making matters. Environmental sustainability and social inclusion should be taken into consideration as well. This leads to the conclusion that GDP cannot be viewed as an appropriate metric to gauge all reasonable dimensions of nations’ well-being.\n\nIn November 2007, the European Commission, together with the European Parliament, the Club of Rome, the WWF and the OECD, hosted a conference to initiate a political and public debate on these aspects. Many high-level experts and policy makers revealed the feasibility that additional and alternative information should be taken into account measuring the overall welfare of nations in a changing world. Therefore, it becomes necessary to reconsider existing indicators with regards to issues people’s well-being is dependent on, e.g. health, climate change, depletion of resources, pollution or nature and biodiversity, and to improve present data collection processes. This reveals the urgent need for alternative measurement tools and relevant information for the production of indicators in the context of social progress and environmental sustainability.","container-title":"Collaboration in Research and Methodology for Official Statistics (CROS) - European Commission","genre":"Text","language":"en","title":"Beyond GDP - Measuring Progress in a Changing World","URL":"https://ec.europa.eu/eurostat/cros/content/38-beyond-gdp_en","author":[{"family":"IMF","given":""}],"accessed":{"date-parts":[["2021",1,2]]},"issued":{"date-parts":[["2011",7,19]]}}},{"id":634,"uris":["http://zotero.org/users/5016855/items/LE7J2DRB"],"itemData":{"id":634,"type":"article-journal","abstract":"The subject of this paper is the gross domestic product that has become a universal measure of progress and well-being. However, its usage for this purpose is inadequate, inappropriate and wrong since this economic measure does not reflect anything more than productivity. Moreover, it was never designed to be more than just a monetary measure and, besides that, it has a lot of limitations and weaknesses that are not sufficiently presented to the general public or in academic papers. In this paper the limitations of the GDP are shown by defining and describing its historical aspects Moreover, the SWOT analysis is used to emphasize the weaknesses and restrictions of this monetary measure. Structured critiques of the gross domestic product make way for other measures of progress and well-being to be recognized and used in a more comprehensive way.","container-title":"Ekonomski Vjesnik","ISSN":"0353359X","issue":"1","language":"English","license":"Copyright J.J. Strossmayer University of Osijek, Faculty of Economics 2016","note":"number-of-pages: 16\npublisher-place: Osijek, Croatia\npublisher: J.J. Strossmayer University of Osijek, Faculty of Economics\nsection: Review article","page":"257-272","source":"ProQuest","title":"Limitations of the Gdp as a Measure of Progress and Well-Being","volume":"29","author":[{"family":"Ivkovic","given":"Anita Frajman"}],"issued":{"date-parts":[["2016"]]}}},{"id":777,"uris":["http://zotero.org/users/5016855/items/H8X9X9F9"],"itemData":{"id":777,"type":"report","abstract":"This discussion paper explores the ways in which our official BC measures of economic value are inadequate and fail to reflect the values of First Nations governments and individuals to the overall wellbeing of the province.\nBC, like Canada and most countries around the world, currently measures economic growth using gross domestic product (GDP). GDP is a crude proxy for gauging economic wellbeing in that it essentially measures only national income. However, countries around the world are increasingly adopting new indices of wellbeing that measure economic income, plus a full suite of indicators such as the environment, culture, safety, leisure time, health, and education. These wellbeing indices measures are remarkably similar to those held by BC Indigenous peoples. Indigenous peoples in BC already have a sophisticated concept of what constitutes a “good life”, a conception and way of living that has been refined over millennia and that varies within each culture, place, and language. An Indigenous good life is one that is “richer” with, for example, clean air, regenerative wild fisheries and forests, socially healthy families, the passing-down of cultural values and language, excellent education, respect for traditions that value Elders and living Indigenous knowledge, a responsive health care system, and a natural environment that sustains our collective wellbeing and species. \nGiven the global trend in GDP-alternative measures, and considering the need for a productive and efficient COVID-19 recovery, there is an opportunity for BC to develop its own made-in-BC wellbeing index that considers Indigenous knowledge of environmental, health, education, community and cultural outcomes in order to improve the livelihoods of all British Columbians.\n\nThis paper takes the following rationale to supporting an Indigenous-centric, made-in-BC wellbeing index:\n• There is a growing global movement in GDP-alternatives now becoming substitute indices for measuring human wellbeing.\n• Within this global movement, there is a lack of Indigenous values in current GDP-based valuation of the BC economy.\n• Indigenous values – which are showing up in other countries in their re-examination of their economies – can be incorporated into a re-imagined BC Wellbeing Index.\n• Indigenous values and knowledge have the potential to strengthen GDP alternative indices worldwide and here in BC.\n• BC now has an opportunity to take the lead in defining a made-in-BC wellbeing index.\n\nThis logic is organized and discussed in the four-part report that follows.","event-place":"Prince George, British Columbia, Canada","language":"en","page":"72","publisher":"British Columbia Assembly of First Nations","publisher-place":"Prince George, British Columbia, Canada","source":"Zotero","title":"Centering First Nations Concepts of Wellbeing: Toward a GDP-Alternative Index in British Columbia","URL":"https://www.bcafn.ca/sites/default/files/docs/reports-presentations/BC%20AFN%20FINAL%20PRINT%202020-11-23.pdf","author":[{"family":"Kimmerer","given":"Robin Wall"}],"accessed":{"date-parts":[["2021",1,18]]},"issued":{"date-parts":[["2020"]]}}},{"id":633,"uris":["http://zotero.org/users/5016855/items/RZRGBWY4"],"itemData":{"id":633,"type":"document","language":"en-US","publisher":"McGregor Consulting","title":"Economic Indicators and Alternatives to the GDP","URL":"http://www.consultmcgregor.com/documents/resources/GDP_and_GPI.pdf","author":[{"family":"McGregor","given":"Sue L.T."}],"accessed":{"date-parts":[["2020",12,31]]},"issued":{"date-parts":[["2003"]]}}},{"id":637,"uris":["http://zotero.org/users/5016855/items/Y4QDFIJG"],"itemData":{"id":637,"type":"post","abstract":"Gross domestic product is a narrow and an inadequate metric to capture the holistic and true value of health investment, leading to economic wellbeing.","container-title":"Policy Circle","genre":"Article","language":"en-GB","title":"All Inclusive Economic Development: The GDP alternative offers a better measure of progress | Policy Circle","title-short":"All Inclusive Economic Development","URL":"https://www.policycircle.org/economy/all-inclusive-economic-development-why-this-gdp-alternative-is-a-better-measure-of-progress/","author":[{"family":"Rani","given":"Neelam"},{"family":"Mandal","given":"Anandadeep"}],"accessed":{"date-parts":[["2020",12,31]]},"issued":{"date-parts":[["2020",8,6]]}}}],"schema":"https://github.com/citation-style-language/schema/raw/master/csl-citation.json"} </w:instrText>
      </w:r>
      <w:r w:rsidR="009D7625">
        <w:rPr>
          <w:color w:val="000000" w:themeColor="text1"/>
          <w:szCs w:val="24"/>
        </w:rPr>
        <w:fldChar w:fldCharType="separate"/>
      </w:r>
      <w:r w:rsidR="001B4006" w:rsidRPr="001B4006">
        <w:t xml:space="preserve">(Cobb et al., 1995; IMF, 2011; Ivkovic, 2016; Kimmerer, 2020; McGregor, 2003; </w:t>
      </w:r>
      <w:r w:rsidR="001B4006">
        <w:t xml:space="preserve">and </w:t>
      </w:r>
      <w:r w:rsidR="001B4006" w:rsidRPr="001B4006">
        <w:t>Rani &amp; Mandal, 2020)</w:t>
      </w:r>
      <w:r w:rsidR="009D7625">
        <w:rPr>
          <w:color w:val="000000" w:themeColor="text1"/>
          <w:szCs w:val="24"/>
        </w:rPr>
        <w:fldChar w:fldCharType="end"/>
      </w:r>
      <w:r w:rsidR="007B7CF0">
        <w:rPr>
          <w:color w:val="000000" w:themeColor="text1"/>
          <w:szCs w:val="24"/>
        </w:rPr>
        <w:t xml:space="preserve">. </w:t>
      </w:r>
      <w:r w:rsidR="00F10150">
        <w:rPr>
          <w:color w:val="000000" w:themeColor="text1"/>
          <w:szCs w:val="24"/>
        </w:rPr>
        <w:t>I</w:t>
      </w:r>
      <w:r w:rsidR="005D3F3E">
        <w:t xml:space="preserve">n Canada, </w:t>
      </w:r>
      <w:r w:rsidR="007B7CF0">
        <w:t xml:space="preserve">however, there has been little to no traction on using GDP-alternative measures to evaluate </w:t>
      </w:r>
      <w:r w:rsidR="005D3F3E">
        <w:t>the relationship between environmental quality and economic development</w:t>
      </w:r>
      <w:r w:rsidR="007B7CF0">
        <w:t xml:space="preserve">. No assessment to date exists that evaluates the long run relationship between Canada’s national-level GHGpc and any GDP-alternative indicator. </w:t>
      </w:r>
      <w:r w:rsidR="00F10150">
        <w:rPr>
          <w:bCs/>
          <w:szCs w:val="24"/>
        </w:rPr>
        <w:t xml:space="preserve">As a result, there is a poor understanding of how </w:t>
      </w:r>
      <w:r w:rsidR="007B7CF0">
        <w:rPr>
          <w:bCs/>
          <w:szCs w:val="24"/>
        </w:rPr>
        <w:t xml:space="preserve">Canada’s </w:t>
      </w:r>
      <w:r w:rsidR="00F10150">
        <w:rPr>
          <w:bCs/>
          <w:szCs w:val="24"/>
        </w:rPr>
        <w:t xml:space="preserve">wholescale economic development can support or impede the </w:t>
      </w:r>
      <w:r w:rsidR="007B7CF0">
        <w:rPr>
          <w:bCs/>
          <w:szCs w:val="24"/>
        </w:rPr>
        <w:t xml:space="preserve">nation’s </w:t>
      </w:r>
      <w:r w:rsidR="00F10150">
        <w:rPr>
          <w:bCs/>
          <w:szCs w:val="24"/>
        </w:rPr>
        <w:t xml:space="preserve">objectives of achieving </w:t>
      </w:r>
      <w:r w:rsidR="00F10150" w:rsidRPr="00E31A5B">
        <w:rPr>
          <w:color w:val="000000" w:themeColor="text1"/>
          <w:szCs w:val="24"/>
        </w:rPr>
        <w:t xml:space="preserve">INDC targets to reduce </w:t>
      </w:r>
      <w:r w:rsidR="00F10150">
        <w:rPr>
          <w:color w:val="000000" w:themeColor="text1"/>
          <w:szCs w:val="24"/>
        </w:rPr>
        <w:t xml:space="preserve">aggregate </w:t>
      </w:r>
      <w:r w:rsidR="00F10150" w:rsidRPr="00E31A5B">
        <w:rPr>
          <w:color w:val="000000" w:themeColor="text1"/>
          <w:szCs w:val="24"/>
        </w:rPr>
        <w:t>GHG emissions</w:t>
      </w:r>
      <w:r w:rsidR="00F10150">
        <w:rPr>
          <w:color w:val="000000" w:themeColor="text1"/>
          <w:szCs w:val="24"/>
        </w:rPr>
        <w:t>.</w:t>
      </w:r>
      <w:r w:rsidR="00F10150">
        <w:t xml:space="preserve"> </w:t>
      </w:r>
    </w:p>
    <w:p w14:paraId="6D60DA1D" w14:textId="1522DA35" w:rsidR="00032750" w:rsidRPr="00026CEA" w:rsidRDefault="00032750" w:rsidP="00026CEA">
      <w:pPr>
        <w:rPr>
          <w:color w:val="000000" w:themeColor="text1"/>
          <w:szCs w:val="24"/>
        </w:rPr>
      </w:pPr>
      <w:r w:rsidRPr="00026CEA">
        <w:rPr>
          <w:color w:val="000000" w:themeColor="text1"/>
          <w:szCs w:val="24"/>
        </w:rPr>
        <w:t>By</w:t>
      </w:r>
      <w:r w:rsidR="009E3297" w:rsidRPr="00026CEA">
        <w:rPr>
          <w:color w:val="000000" w:themeColor="text1"/>
          <w:szCs w:val="24"/>
        </w:rPr>
        <w:t xml:space="preserve"> </w:t>
      </w:r>
      <w:r w:rsidRPr="00026CEA">
        <w:rPr>
          <w:color w:val="000000" w:themeColor="text1"/>
          <w:szCs w:val="24"/>
        </w:rPr>
        <w:t xml:space="preserve">evaluating </w:t>
      </w:r>
      <w:r w:rsidR="009E3297" w:rsidRPr="00026CEA">
        <w:rPr>
          <w:color w:val="000000" w:themeColor="text1"/>
          <w:szCs w:val="24"/>
        </w:rPr>
        <w:t xml:space="preserve">in this research, </w:t>
      </w:r>
      <w:r w:rsidRPr="00026CEA">
        <w:rPr>
          <w:color w:val="000000" w:themeColor="text1"/>
          <w:szCs w:val="24"/>
        </w:rPr>
        <w:t xml:space="preserve">a set of wider-scale measures of economic performance </w:t>
      </w:r>
      <w:r w:rsidR="009E3297" w:rsidRPr="00026CEA">
        <w:rPr>
          <w:color w:val="000000" w:themeColor="text1"/>
          <w:szCs w:val="24"/>
        </w:rPr>
        <w:t>(through the GDP-</w:t>
      </w:r>
      <w:r w:rsidR="005235F5">
        <w:rPr>
          <w:color w:val="000000" w:themeColor="text1"/>
          <w:szCs w:val="24"/>
        </w:rPr>
        <w:t>a</w:t>
      </w:r>
      <w:r w:rsidR="009E3297" w:rsidRPr="00026CEA">
        <w:rPr>
          <w:color w:val="000000" w:themeColor="text1"/>
          <w:szCs w:val="24"/>
        </w:rPr>
        <w:t>lternative indicators)</w:t>
      </w:r>
      <w:r w:rsidRPr="00026CEA">
        <w:rPr>
          <w:color w:val="000000" w:themeColor="text1"/>
          <w:szCs w:val="24"/>
        </w:rPr>
        <w:t xml:space="preserve">, </w:t>
      </w:r>
      <w:r w:rsidR="009E3297" w:rsidRPr="00026CEA">
        <w:rPr>
          <w:color w:val="000000" w:themeColor="text1"/>
          <w:szCs w:val="24"/>
        </w:rPr>
        <w:t>the role of the externalities not captured by GDP are incorporated to provide complementary insight on t</w:t>
      </w:r>
      <w:r w:rsidRPr="00026CEA">
        <w:rPr>
          <w:color w:val="000000" w:themeColor="text1"/>
          <w:szCs w:val="24"/>
        </w:rPr>
        <w:t xml:space="preserve">he </w:t>
      </w:r>
      <w:r w:rsidR="009E3297" w:rsidRPr="00026CEA">
        <w:rPr>
          <w:color w:val="000000" w:themeColor="text1"/>
          <w:szCs w:val="24"/>
        </w:rPr>
        <w:t>relationship between</w:t>
      </w:r>
      <w:r w:rsidRPr="00026CEA">
        <w:rPr>
          <w:color w:val="000000" w:themeColor="text1"/>
          <w:szCs w:val="24"/>
        </w:rPr>
        <w:t xml:space="preserve"> </w:t>
      </w:r>
      <w:r w:rsidR="009E3297" w:rsidRPr="00026CEA">
        <w:rPr>
          <w:color w:val="000000" w:themeColor="text1"/>
          <w:szCs w:val="24"/>
        </w:rPr>
        <w:t xml:space="preserve">Canada’s environmental performance and </w:t>
      </w:r>
      <w:r w:rsidRPr="00026CEA">
        <w:rPr>
          <w:color w:val="000000" w:themeColor="text1"/>
          <w:szCs w:val="24"/>
        </w:rPr>
        <w:t xml:space="preserve">wholescale </w:t>
      </w:r>
      <w:r w:rsidR="009E3297" w:rsidRPr="00026CEA">
        <w:rPr>
          <w:color w:val="000000" w:themeColor="text1"/>
          <w:szCs w:val="24"/>
        </w:rPr>
        <w:t xml:space="preserve">economic </w:t>
      </w:r>
      <w:r w:rsidRPr="00026CEA">
        <w:rPr>
          <w:color w:val="000000" w:themeColor="text1"/>
          <w:szCs w:val="24"/>
        </w:rPr>
        <w:t xml:space="preserve">progress </w:t>
      </w:r>
      <w:r w:rsidR="001B4006">
        <w:rPr>
          <w:color w:val="000000" w:themeColor="text1"/>
          <w:szCs w:val="24"/>
        </w:rPr>
        <w:fldChar w:fldCharType="begin"/>
      </w:r>
      <w:r w:rsidR="001B4006">
        <w:rPr>
          <w:color w:val="000000" w:themeColor="text1"/>
          <w:szCs w:val="24"/>
        </w:rPr>
        <w:instrText xml:space="preserve"> ADDIN ZOTERO_ITEM CSL_CITATION {"citationID":"GlgfGNpd","properties":{"formattedCitation":"(Kneese et al., 2015; P. A. Victor, 2017; P. A. Victor &amp; Dolter, 2017)","plainCitation":"(Kneese et al., 2015; P. A. Victor, 2017; P. A. Victor &amp; Dolter, 2017)","noteIndex":0},"citationItems":[{"id":820,"uris":["http://zotero.org/users/5016855/items/W8X39VVJ"],"itemData":{"id":820,"type":"book","abstract":"This monograph length report, first published in 1970, originated from a program of research at Resources for the Future that dealt with the management of residuals and of environmental quality. It presents some of the broad concepts that the program was based on and represents the effort to break out of the traditional approach in pollution and policy research, which had treated air, water, and solid waste problems as separate categories. This book will be of interest to students of economics and environmental studies.","ISBN":"978-1-317-40225-1","language":"en","note":"Google-Books-ID: KA7ICQAAQBAJ\n\nhttps://books.google.ca/books?id=KA7ICQAAQBAJ&amp;printsec=frontcover&amp;source=gbs_atb#v=onepage&amp;q&amp;f=false","number-of-pages":"156","publisher":"Routledge","source":"Google Books","title":"Economics and the Environment: A Materials Balance Approach","title-short":"Economics and the Environment","author":[{"family":"Kneese","given":"Allen V."},{"family":"Ayres","given":"Robert U."},{"family":"Arge","given":"Ralph C.","non-dropping-particle":"d'"}],"accessed":{"date-parts":[["2021",1,17]]},"issued":{"date-parts":[["2015"]]}}},{"id":822,"uris":["http://zotero.org/users/5016855/items/AMT9MR66"],"itemData":{"id":822,"type":"book","abstract":"This study, originally published in 1972, examines the connections between human society and the rest of the universe that are attributable to economic activity. These include the inputs from the environment to industry, such as oxygen, used in the combustion of mineral fuels. Also included are the industrial outputs which are fed back into the environment in the form of waste products. An attempt will be made to establish functional relations between the extent and character of economic activity and the flow of materials in both directions between the economy and the environment. This title will be of interest to students of environmental and natural resource economics.","event-place":"New York, USA","ISBN":"978-1-351-61018-6","language":"en","note":"Google-Books-ID: gFk6DwAAQBAJ\n\nhttps://www.amazon.com/Pollution-Environment-Routledge-Environmental-Economics-ebook/dp/B08R16Q1CF/ref=sr_1_1?dchild=1&amp;keywords=Pollution%3A+Economy+and+Environment&amp;qid=1610939523&amp;sr=8-1","number-of-pages":"225","publisher":"Routledge, Taylor Francis Group","publisher-place":"New York, USA","source":"Google Books","title":"Pollution: Economy and Environment","title-short":"Pollution","volume":"18","author":[{"family":"Victor","given":"Peter A."}],"accessed":{"date-parts":[["2021",1,17]]},"issued":{"date-parts":[["2017"]]}}},{"id":821,"uris":["http://zotero.org/users/5016855/items/782WMGJK"],"itemData":{"id":821,"type":"book","abstract":"This Handbook assembles original contributions from influential authors such as Herman Daly, Paul Ekins, Marina Fischer-Kowalski, Jeroen van den Bergh, William E. Rees and Tim Jackson who have helped to define our understanding of growth and sustainability. The Handbook also presents new contributions on topics such as degrowth, the debt-based financial system, cultural change, energy return on investment, shorter working hours and employment, and innovation and technology. Explorations of these issues can deepen our understanding of whether growth is sustainable and, in turn, whether a move away from growth can be sustained. With issues such as climate change looming large, our understanding of growth and sustainability is critical. This Handbook offers a broad range of perspectives that can help the reader to decide: Growth? Sustainability? Both? Or neither?","event-place":"Massachusetts, USA","ISBN":"978-1-78347-356-4","language":"en","note":"Google-Books-ID: m7EnDwAAQBAJ\n\nhttps://books.google.ca/books?id=m7EnDwAAQBAJ&amp;printsec=frontcover&amp;source=gbs_atb#v=onepage&amp;q&amp;f=false","number-of-pages":"593","publisher":"Edward Elgar Publishing","publisher-place":"Massachusetts, USA","source":"Google Books","title":"Handbook on Growth and Sustainability","author":[{"family":"Victor","given":"Peter A."},{"family":"Dolter","given":"Brett"}],"accessed":{"date-parts":[["2021",1,17]]},"issued":{"date-parts":[["2017"]]}}}],"schema":"https://github.com/citation-style-language/schema/raw/master/csl-citation.json"} </w:instrText>
      </w:r>
      <w:r w:rsidR="001B4006">
        <w:rPr>
          <w:color w:val="000000" w:themeColor="text1"/>
          <w:szCs w:val="24"/>
        </w:rPr>
        <w:fldChar w:fldCharType="separate"/>
      </w:r>
      <w:r w:rsidR="001B4006" w:rsidRPr="001B4006">
        <w:t xml:space="preserve">(Kneese et al., 2015; Victor, 2017; </w:t>
      </w:r>
      <w:r w:rsidR="001B4006">
        <w:t xml:space="preserve">and </w:t>
      </w:r>
      <w:r w:rsidR="001B4006" w:rsidRPr="001B4006">
        <w:t>Victor &amp; Dolter, 2017)</w:t>
      </w:r>
      <w:r w:rsidR="001B4006">
        <w:rPr>
          <w:color w:val="000000" w:themeColor="text1"/>
          <w:szCs w:val="24"/>
        </w:rPr>
        <w:fldChar w:fldCharType="end"/>
      </w:r>
      <w:r w:rsidR="009E3297" w:rsidRPr="00026CEA">
        <w:rPr>
          <w:color w:val="000000" w:themeColor="text1"/>
          <w:szCs w:val="24"/>
        </w:rPr>
        <w:t xml:space="preserve">. </w:t>
      </w:r>
      <w:r w:rsidRPr="00026CEA">
        <w:rPr>
          <w:color w:val="000000" w:themeColor="text1"/>
          <w:szCs w:val="24"/>
        </w:rPr>
        <w:t xml:space="preserve"> </w:t>
      </w:r>
    </w:p>
    <w:p w14:paraId="1649F5FC" w14:textId="77777777" w:rsidR="007D6ED2" w:rsidRDefault="007D6ED2" w:rsidP="009E3297"/>
    <w:p w14:paraId="2E982BCF" w14:textId="77777777" w:rsidR="00A947A2" w:rsidRPr="00C502BD" w:rsidRDefault="00A947A2" w:rsidP="00A947A2">
      <w:pPr>
        <w:rPr>
          <w:b/>
          <w:szCs w:val="24"/>
        </w:rPr>
      </w:pPr>
    </w:p>
    <w:p w14:paraId="1ED56264" w14:textId="55C817BB" w:rsidR="00A947A2" w:rsidRPr="00A947A2" w:rsidRDefault="002B54AF" w:rsidP="00A947A2">
      <w:pPr>
        <w:pStyle w:val="HeadingNumbering1"/>
      </w:pPr>
      <w:r>
        <w:t>Data and Methodology</w:t>
      </w:r>
    </w:p>
    <w:p w14:paraId="7740DB5F" w14:textId="6AFB23FA" w:rsidR="00995B36" w:rsidRDefault="00EB3F98" w:rsidP="00EB3F98">
      <w:pPr>
        <w:rPr>
          <w:color w:val="000000" w:themeColor="text1"/>
        </w:rPr>
      </w:pPr>
      <w:r>
        <w:rPr>
          <w:color w:val="000000" w:themeColor="text1"/>
        </w:rPr>
        <w:t>T</w:t>
      </w:r>
      <w:r w:rsidRPr="00EB3F98">
        <w:rPr>
          <w:color w:val="000000" w:themeColor="text1"/>
        </w:rPr>
        <w:t xml:space="preserve">he research data </w:t>
      </w:r>
      <w:r>
        <w:rPr>
          <w:color w:val="000000" w:themeColor="text1"/>
        </w:rPr>
        <w:t>for GDP, GNDI, HDI, IEF, and population (which was used to calculate GDPpc, GNDIpc, and GHGpc) were</w:t>
      </w:r>
      <w:r w:rsidRPr="00EB3F98">
        <w:rPr>
          <w:color w:val="000000" w:themeColor="text1"/>
        </w:rPr>
        <w:t xml:space="preserve"> </w:t>
      </w:r>
      <w:r>
        <w:rPr>
          <w:color w:val="000000" w:themeColor="text1"/>
        </w:rPr>
        <w:t>obtained</w:t>
      </w:r>
      <w:r w:rsidRPr="00EB3F98">
        <w:rPr>
          <w:color w:val="000000" w:themeColor="text1"/>
        </w:rPr>
        <w:t xml:space="preserve"> from </w:t>
      </w:r>
      <w:r>
        <w:rPr>
          <w:color w:val="000000" w:themeColor="text1"/>
        </w:rPr>
        <w:t xml:space="preserve">the same sources as </w:t>
      </w:r>
      <w:r w:rsidR="001A5FBA">
        <w:rPr>
          <w:color w:val="000000" w:themeColor="text1"/>
        </w:rPr>
        <w:fldChar w:fldCharType="begin"/>
      </w:r>
      <w:r w:rsidR="00A377FA">
        <w:rPr>
          <w:color w:val="000000" w:themeColor="text1"/>
        </w:rPr>
        <w:instrText xml:space="preserve"> ADDIN ZOTERO_ITEM CSL_CITATION {"citationID":"R57q6yHp","properties":{"formattedCitation":"(Iwuoha &amp; Onochie, 2022)","plainCitation":"(Iwuoha &amp; Onochie, 2022)","dontUpdate":true,"noteIndex":0},"citationItems":[{"id":2199,"uris":["http://zotero.org/users/5016855/items/VPGV8A97"],"itemData":{"id":2199,"type":"article-journal","abstract":"This paper investigates the time series properties of three Beyond-Gross Domestic Product (BGDP) measures in Canada, namely, gross national disposable income (GNDI), human development index (HDI), and index of economic freedom (IEF), along with Gross Domestic Product (GDP). GDP is the most used metric for measuring economic growth and is susceptible to influence by numerous factors beyond the value of production measured by GDP. BGDP measures have been suggested in the literature as alternative indicators that can capture economic progress in a more holistic way (Kimmerer, 2020). This paper generates and evaluates the descriptive statistics of GDP and BGDP indicators. To evaluate the potential existence of a long run relationship between GDP and BGDP indices, we performed Augmented Dickey Fuller stationarity and Johansen cointegration tests. The results demonstrate that per capita GDP is cointegrated with the BGDP indicators. Furthermore, this study shows for the first time in the literature that BGDP measures are cointegrated when paired with each other. The paper contributes to the literature by highlighting the time series properties of BGDP indicators in Canada. This insight facilitates understanding the behavior of BGDP measures, thereby further enhancing the use of these measures for econometric studies and policy making.","container-title":"Advances in Management and Applied Economics","DOI":"10.47260/amae/1256","language":"en","page":"79-94","source":"DOI.org (Crossref)","title":"Time Series Characteristics of Canada’s Beyond GDP Indicators","author":[{"family":"Iwuoha","given":"Sochi"},{"family":"Onochie","given":"Joseph I."}],"issued":{"date-parts":[["2022",8,1]]}}}],"schema":"https://github.com/citation-style-language/schema/raw/master/csl-citation.json"} </w:instrText>
      </w:r>
      <w:r w:rsidR="001A5FBA">
        <w:rPr>
          <w:color w:val="000000" w:themeColor="text1"/>
        </w:rPr>
        <w:fldChar w:fldCharType="separate"/>
      </w:r>
      <w:r w:rsidR="001A5FBA" w:rsidRPr="001A5FBA">
        <w:t>Iwuoha &amp; Onochie</w:t>
      </w:r>
      <w:r w:rsidR="001A5FBA">
        <w:t xml:space="preserve"> (</w:t>
      </w:r>
      <w:r w:rsidR="001A5FBA" w:rsidRPr="001A5FBA">
        <w:t>2022)</w:t>
      </w:r>
      <w:r w:rsidR="001A5FBA">
        <w:rPr>
          <w:color w:val="000000" w:themeColor="text1"/>
        </w:rPr>
        <w:fldChar w:fldCharType="end"/>
      </w:r>
      <w:r>
        <w:rPr>
          <w:color w:val="000000" w:themeColor="text1"/>
        </w:rPr>
        <w:t xml:space="preserve">, i.e., the </w:t>
      </w:r>
      <w:r w:rsidRPr="00EB3F98">
        <w:rPr>
          <w:color w:val="000000" w:themeColor="text1"/>
        </w:rPr>
        <w:t>databases</w:t>
      </w:r>
      <w:r>
        <w:rPr>
          <w:color w:val="000000" w:themeColor="text1"/>
        </w:rPr>
        <w:t xml:space="preserve"> for the </w:t>
      </w:r>
      <w:r w:rsidRPr="00EB3F98">
        <w:rPr>
          <w:color w:val="000000" w:themeColor="text1"/>
        </w:rPr>
        <w:t>OECD</w:t>
      </w:r>
      <w:r>
        <w:rPr>
          <w:color w:val="000000" w:themeColor="text1"/>
        </w:rPr>
        <w:t xml:space="preserve">, United Nations Development </w:t>
      </w:r>
      <w:proofErr w:type="spellStart"/>
      <w:r>
        <w:rPr>
          <w:color w:val="000000" w:themeColor="text1"/>
        </w:rPr>
        <w:t>Programme</w:t>
      </w:r>
      <w:proofErr w:type="spellEnd"/>
      <w:r>
        <w:rPr>
          <w:color w:val="000000" w:themeColor="text1"/>
        </w:rPr>
        <w:t xml:space="preserve"> (UNDP), and Heritage Foundation.</w:t>
      </w:r>
      <w:r w:rsidR="00995B36">
        <w:rPr>
          <w:color w:val="000000" w:themeColor="text1"/>
        </w:rPr>
        <w:t xml:space="preserve"> </w:t>
      </w:r>
      <w:r>
        <w:rPr>
          <w:color w:val="000000" w:themeColor="text1"/>
        </w:rPr>
        <w:t xml:space="preserve">GHG data was retrieved from </w:t>
      </w:r>
      <w:r w:rsidR="00995B36">
        <w:rPr>
          <w:color w:val="000000" w:themeColor="text1"/>
        </w:rPr>
        <w:t xml:space="preserve">the United Nations (UN) 2020 </w:t>
      </w:r>
      <w:r w:rsidR="00995B36" w:rsidRPr="00995B36">
        <w:rPr>
          <w:color w:val="000000" w:themeColor="text1"/>
        </w:rPr>
        <w:t>Common Reporting Format</w:t>
      </w:r>
      <w:r w:rsidR="00810A8E">
        <w:rPr>
          <w:color w:val="000000" w:themeColor="text1"/>
        </w:rPr>
        <w:t xml:space="preserve"> </w:t>
      </w:r>
      <w:r w:rsidR="00995B36" w:rsidRPr="00995B36">
        <w:rPr>
          <w:color w:val="000000" w:themeColor="text1"/>
        </w:rPr>
        <w:t>Table</w:t>
      </w:r>
      <w:r w:rsidR="00184675">
        <w:rPr>
          <w:color w:val="000000" w:themeColor="text1"/>
        </w:rPr>
        <w:t xml:space="preserve"> (</w:t>
      </w:r>
      <w:r w:rsidR="00184675" w:rsidRPr="000E3B45">
        <w:t>Government of Canada, 2020a</w:t>
      </w:r>
      <w:r w:rsidR="00184675">
        <w:t>)</w:t>
      </w:r>
      <w:r w:rsidR="00995B36">
        <w:rPr>
          <w:color w:val="000000" w:themeColor="text1"/>
        </w:rPr>
        <w:t>. The time series period evaluated in this assessment is from 1995 – 2019.</w:t>
      </w:r>
    </w:p>
    <w:p w14:paraId="24057F45" w14:textId="72A33932" w:rsidR="008A4276" w:rsidRDefault="00810A8E" w:rsidP="00744A7E">
      <w:pPr>
        <w:rPr>
          <w:color w:val="000000" w:themeColor="text1"/>
        </w:rPr>
      </w:pPr>
      <w:r>
        <w:rPr>
          <w:color w:val="000000" w:themeColor="text1"/>
        </w:rPr>
        <w:t>T</w:t>
      </w:r>
      <w:r w:rsidR="00744A7E" w:rsidRPr="00744A7E">
        <w:rPr>
          <w:color w:val="000000" w:themeColor="text1"/>
        </w:rPr>
        <w:t>ime series plot</w:t>
      </w:r>
      <w:r>
        <w:rPr>
          <w:color w:val="000000" w:themeColor="text1"/>
        </w:rPr>
        <w:t>s</w:t>
      </w:r>
      <w:r w:rsidR="00744A7E" w:rsidRPr="00744A7E">
        <w:rPr>
          <w:color w:val="000000" w:themeColor="text1"/>
        </w:rPr>
        <w:t xml:space="preserve"> of </w:t>
      </w:r>
      <w:r w:rsidR="008A4276">
        <w:rPr>
          <w:color w:val="000000" w:themeColor="text1"/>
        </w:rPr>
        <w:t>GHGpc</w:t>
      </w:r>
      <w:r w:rsidR="00744A7E" w:rsidRPr="00744A7E">
        <w:rPr>
          <w:color w:val="000000" w:themeColor="text1"/>
        </w:rPr>
        <w:t xml:space="preserve"> were generated to visually assess the behavior and</w:t>
      </w:r>
      <w:r w:rsidR="008A4276">
        <w:rPr>
          <w:color w:val="000000" w:themeColor="text1"/>
        </w:rPr>
        <w:t xml:space="preserve"> </w:t>
      </w:r>
      <w:r w:rsidR="00744A7E" w:rsidRPr="00744A7E">
        <w:rPr>
          <w:color w:val="000000" w:themeColor="text1"/>
        </w:rPr>
        <w:t xml:space="preserve">trend of </w:t>
      </w:r>
      <w:r w:rsidR="008A4276">
        <w:rPr>
          <w:color w:val="000000" w:themeColor="text1"/>
        </w:rPr>
        <w:t>GHGpc</w:t>
      </w:r>
      <w:r w:rsidR="00744A7E" w:rsidRPr="00744A7E">
        <w:rPr>
          <w:color w:val="000000" w:themeColor="text1"/>
        </w:rPr>
        <w:t xml:space="preserve"> during the period evaluated.</w:t>
      </w:r>
      <w:r>
        <w:rPr>
          <w:color w:val="000000" w:themeColor="text1"/>
        </w:rPr>
        <w:t xml:space="preserve"> </w:t>
      </w:r>
      <w:r w:rsidR="008A4276">
        <w:rPr>
          <w:color w:val="000000" w:themeColor="text1"/>
        </w:rPr>
        <w:t xml:space="preserve">Paired time series plots of GHGpc with GDP and the </w:t>
      </w:r>
      <w:r w:rsidR="00B3782E">
        <w:rPr>
          <w:color w:val="000000" w:themeColor="text1"/>
        </w:rPr>
        <w:t>GDP-alternative</w:t>
      </w:r>
      <w:r w:rsidR="008A4276">
        <w:rPr>
          <w:color w:val="000000" w:themeColor="text1"/>
        </w:rPr>
        <w:t xml:space="preserve"> measures (i.e., GNDI</w:t>
      </w:r>
      <w:r>
        <w:rPr>
          <w:color w:val="000000" w:themeColor="text1"/>
        </w:rPr>
        <w:t>pc</w:t>
      </w:r>
      <w:r w:rsidR="008A4276">
        <w:rPr>
          <w:color w:val="000000" w:themeColor="text1"/>
        </w:rPr>
        <w:t xml:space="preserve">, HDI, and IEF) were also created to </w:t>
      </w:r>
      <w:r>
        <w:rPr>
          <w:color w:val="000000" w:themeColor="text1"/>
        </w:rPr>
        <w:t xml:space="preserve">comparatively </w:t>
      </w:r>
      <w:r w:rsidR="008A4276">
        <w:rPr>
          <w:color w:val="000000" w:themeColor="text1"/>
        </w:rPr>
        <w:t>view the trend of GHGpc with the growth indicator</w:t>
      </w:r>
      <w:r>
        <w:rPr>
          <w:color w:val="000000" w:themeColor="text1"/>
        </w:rPr>
        <w:t xml:space="preserve"> trends</w:t>
      </w:r>
      <w:r w:rsidR="008A4276">
        <w:rPr>
          <w:color w:val="000000" w:themeColor="text1"/>
        </w:rPr>
        <w:t xml:space="preserve">. </w:t>
      </w:r>
      <w:r w:rsidR="00744A7E" w:rsidRPr="00744A7E">
        <w:rPr>
          <w:color w:val="000000" w:themeColor="text1"/>
        </w:rPr>
        <w:t xml:space="preserve">The descriptive statistics of the </w:t>
      </w:r>
      <w:r w:rsidR="008A4276">
        <w:rPr>
          <w:color w:val="000000" w:themeColor="text1"/>
        </w:rPr>
        <w:t xml:space="preserve">GHGpc </w:t>
      </w:r>
      <w:r w:rsidR="00744A7E" w:rsidRPr="00744A7E">
        <w:rPr>
          <w:color w:val="000000" w:themeColor="text1"/>
        </w:rPr>
        <w:t>time series were calculated, including the quantiles and measures of</w:t>
      </w:r>
      <w:r w:rsidR="008A4276">
        <w:rPr>
          <w:color w:val="000000" w:themeColor="text1"/>
        </w:rPr>
        <w:t xml:space="preserve"> </w:t>
      </w:r>
      <w:r w:rsidR="00744A7E" w:rsidRPr="00744A7E">
        <w:rPr>
          <w:color w:val="000000" w:themeColor="text1"/>
        </w:rPr>
        <w:t xml:space="preserve">symmetry. </w:t>
      </w:r>
      <w:r w:rsidR="008A4276">
        <w:rPr>
          <w:color w:val="000000" w:themeColor="text1"/>
        </w:rPr>
        <w:t xml:space="preserve">Note that </w:t>
      </w:r>
      <w:r w:rsidR="001A5FBA">
        <w:rPr>
          <w:color w:val="000000" w:themeColor="text1"/>
        </w:rPr>
        <w:fldChar w:fldCharType="begin"/>
      </w:r>
      <w:r w:rsidR="00A377FA">
        <w:rPr>
          <w:color w:val="000000" w:themeColor="text1"/>
        </w:rPr>
        <w:instrText xml:space="preserve"> ADDIN ZOTERO_ITEM CSL_CITATION {"citationID":"tAxK0a8o","properties":{"formattedCitation":"(Iwuoha &amp; Onochie, 2022)","plainCitation":"(Iwuoha &amp; Onochie, 2022)","dontUpdate":true,"noteIndex":0},"citationItems":[{"id":2199,"uris":["http://zotero.org/users/5016855/items/VPGV8A97"],"itemData":{"id":2199,"type":"article-journal","abstract":"This paper investigates the time series properties of three Beyond-Gross Domestic Product (BGDP) measures in Canada, namely, gross national disposable income (GNDI), human development index (HDI), and index of economic freedom (IEF), along with Gross Domestic Product (GDP). GDP is the most used metric for measuring economic growth and is susceptible to influence by numerous factors beyond the value of production measured by GDP. BGDP measures have been suggested in the literature as alternative indicators that can capture economic progress in a more holistic way (Kimmerer, 2020). This paper generates and evaluates the descriptive statistics of GDP and BGDP indicators. To evaluate the potential existence of a long run relationship between GDP and BGDP indices, we performed Augmented Dickey Fuller stationarity and Johansen cointegration tests. The results demonstrate that per capita GDP is cointegrated with the BGDP indicators. Furthermore, this study shows for the first time in the literature that BGDP measures are cointegrated when paired with each other. The paper contributes to the literature by highlighting the time series properties of BGDP indicators in Canada. This insight facilitates understanding the behavior of BGDP measures, thereby further enhancing the use of these measures for econometric studies and policy making.","container-title":"Advances in Management and Applied Economics","DOI":"10.47260/amae/1256","language":"en","page":"79-94","source":"DOI.org (Crossref)","title":"Time Series Characteristics of Canada’s Beyond GDP Indicators","author":[{"family":"Iwuoha","given":"Sochi"},{"family":"Onochie","given":"Joseph I."}],"issued":{"date-parts":[["2022",8,1]]}}}],"schema":"https://github.com/citation-style-language/schema/raw/master/csl-citation.json"} </w:instrText>
      </w:r>
      <w:r w:rsidR="001A5FBA">
        <w:rPr>
          <w:color w:val="000000" w:themeColor="text1"/>
        </w:rPr>
        <w:fldChar w:fldCharType="separate"/>
      </w:r>
      <w:r w:rsidR="001A5FBA" w:rsidRPr="001A5FBA">
        <w:t>Iwuoha &amp; Onochie</w:t>
      </w:r>
      <w:r w:rsidR="001A5FBA">
        <w:t xml:space="preserve"> (</w:t>
      </w:r>
      <w:r w:rsidR="001A5FBA" w:rsidRPr="001A5FBA">
        <w:t>2022)</w:t>
      </w:r>
      <w:r w:rsidR="001A5FBA">
        <w:rPr>
          <w:color w:val="000000" w:themeColor="text1"/>
        </w:rPr>
        <w:fldChar w:fldCharType="end"/>
      </w:r>
      <w:r w:rsidR="008A4276">
        <w:rPr>
          <w:color w:val="000000" w:themeColor="text1"/>
        </w:rPr>
        <w:t xml:space="preserve"> reported the </w:t>
      </w:r>
      <w:r w:rsidR="008A4276" w:rsidRPr="00744A7E">
        <w:rPr>
          <w:color w:val="000000" w:themeColor="text1"/>
        </w:rPr>
        <w:t xml:space="preserve">descriptive statistics </w:t>
      </w:r>
      <w:r w:rsidR="008A4276">
        <w:rPr>
          <w:color w:val="000000" w:themeColor="text1"/>
        </w:rPr>
        <w:t>of the GDP</w:t>
      </w:r>
      <w:r>
        <w:rPr>
          <w:color w:val="000000" w:themeColor="text1"/>
        </w:rPr>
        <w:t>pc</w:t>
      </w:r>
      <w:r w:rsidR="008A4276">
        <w:rPr>
          <w:color w:val="000000" w:themeColor="text1"/>
        </w:rPr>
        <w:t>, GNDI</w:t>
      </w:r>
      <w:r>
        <w:rPr>
          <w:color w:val="000000" w:themeColor="text1"/>
        </w:rPr>
        <w:t>pc</w:t>
      </w:r>
      <w:r w:rsidR="008A4276">
        <w:rPr>
          <w:color w:val="000000" w:themeColor="text1"/>
        </w:rPr>
        <w:t xml:space="preserve">, HDI, and IEF time series. </w:t>
      </w:r>
    </w:p>
    <w:p w14:paraId="20B68EDD" w14:textId="15C29C4A" w:rsidR="00BA38D9" w:rsidRDefault="00744A7E" w:rsidP="00744A7E">
      <w:pPr>
        <w:rPr>
          <w:color w:val="000000" w:themeColor="text1"/>
        </w:rPr>
      </w:pPr>
      <w:r w:rsidRPr="00744A7E">
        <w:rPr>
          <w:color w:val="000000" w:themeColor="text1"/>
        </w:rPr>
        <w:t xml:space="preserve">Augmented Dickey-Fuller (ADF) test was </w:t>
      </w:r>
      <w:r w:rsidR="00BA38D9">
        <w:rPr>
          <w:color w:val="000000" w:themeColor="text1"/>
        </w:rPr>
        <w:t>performed</w:t>
      </w:r>
      <w:r w:rsidRPr="00744A7E">
        <w:rPr>
          <w:color w:val="000000" w:themeColor="text1"/>
        </w:rPr>
        <w:t xml:space="preserve"> to assess</w:t>
      </w:r>
      <w:r w:rsidR="00BA38D9">
        <w:rPr>
          <w:color w:val="000000" w:themeColor="text1"/>
        </w:rPr>
        <w:t xml:space="preserve"> </w:t>
      </w:r>
      <w:r w:rsidRPr="00744A7E">
        <w:rPr>
          <w:color w:val="000000" w:themeColor="text1"/>
        </w:rPr>
        <w:t>the stationarity of the level and first</w:t>
      </w:r>
      <w:r w:rsidR="00BA38D9">
        <w:rPr>
          <w:color w:val="000000" w:themeColor="text1"/>
        </w:rPr>
        <w:t xml:space="preserve"> </w:t>
      </w:r>
      <w:r w:rsidRPr="00744A7E">
        <w:rPr>
          <w:color w:val="000000" w:themeColor="text1"/>
        </w:rPr>
        <w:t xml:space="preserve">difference of </w:t>
      </w:r>
      <w:r w:rsidR="00BA38D9">
        <w:rPr>
          <w:color w:val="000000" w:themeColor="text1"/>
        </w:rPr>
        <w:t>GHGpc</w:t>
      </w:r>
      <w:r w:rsidRPr="00744A7E">
        <w:rPr>
          <w:color w:val="000000" w:themeColor="text1"/>
        </w:rPr>
        <w:t>. The stationarity of the variable was determined by</w:t>
      </w:r>
      <w:r w:rsidR="00BA38D9">
        <w:rPr>
          <w:color w:val="000000" w:themeColor="text1"/>
        </w:rPr>
        <w:t xml:space="preserve"> </w:t>
      </w:r>
      <w:r w:rsidRPr="00744A7E">
        <w:rPr>
          <w:color w:val="000000" w:themeColor="text1"/>
        </w:rPr>
        <w:t xml:space="preserve">considering the </w:t>
      </w:r>
      <w:r w:rsidR="00810A8E" w:rsidRPr="00744A7E">
        <w:rPr>
          <w:color w:val="000000" w:themeColor="text1"/>
        </w:rPr>
        <w:t xml:space="preserve">asymptotic p-values </w:t>
      </w:r>
      <w:r w:rsidR="00810A8E">
        <w:rPr>
          <w:color w:val="000000" w:themeColor="text1"/>
        </w:rPr>
        <w:t xml:space="preserve">of the </w:t>
      </w:r>
      <w:r w:rsidRPr="00744A7E">
        <w:rPr>
          <w:color w:val="000000" w:themeColor="text1"/>
        </w:rPr>
        <w:t xml:space="preserve">ADF test. </w:t>
      </w:r>
      <w:r w:rsidR="00BA38D9" w:rsidRPr="00BA38D9">
        <w:rPr>
          <w:color w:val="000000" w:themeColor="text1"/>
        </w:rPr>
        <w:t>GDP</w:t>
      </w:r>
      <w:r w:rsidR="00810A8E">
        <w:rPr>
          <w:color w:val="000000" w:themeColor="text1"/>
        </w:rPr>
        <w:t>pc</w:t>
      </w:r>
      <w:r w:rsidR="00BA38D9" w:rsidRPr="00BA38D9">
        <w:rPr>
          <w:color w:val="000000" w:themeColor="text1"/>
        </w:rPr>
        <w:t>, GNDI</w:t>
      </w:r>
      <w:r w:rsidR="00810A8E">
        <w:rPr>
          <w:color w:val="000000" w:themeColor="text1"/>
        </w:rPr>
        <w:t>pc</w:t>
      </w:r>
      <w:r w:rsidR="00BA38D9" w:rsidRPr="00BA38D9">
        <w:rPr>
          <w:color w:val="000000" w:themeColor="text1"/>
        </w:rPr>
        <w:t xml:space="preserve">, HDI, and IEF were already </w:t>
      </w:r>
      <w:r w:rsidR="00BA38D9">
        <w:rPr>
          <w:color w:val="000000" w:themeColor="text1"/>
        </w:rPr>
        <w:t>confirmed</w:t>
      </w:r>
      <w:r w:rsidR="00BA38D9" w:rsidRPr="00BA38D9">
        <w:rPr>
          <w:color w:val="000000" w:themeColor="text1"/>
        </w:rPr>
        <w:t xml:space="preserve"> though ADF testing to be stationary </w:t>
      </w:r>
      <w:r w:rsidR="00BA38D9" w:rsidRPr="00BA38D9">
        <w:rPr>
          <w:color w:val="000000" w:themeColor="text1"/>
        </w:rPr>
        <w:lastRenderedPageBreak/>
        <w:t xml:space="preserve">at first difference </w:t>
      </w:r>
      <w:r w:rsidR="007A6083">
        <w:rPr>
          <w:color w:val="000000" w:themeColor="text1"/>
        </w:rPr>
        <w:t>(</w:t>
      </w:r>
      <w:r w:rsidR="007A6083">
        <w:rPr>
          <w:color w:val="000000" w:themeColor="text1"/>
        </w:rPr>
        <w:fldChar w:fldCharType="begin"/>
      </w:r>
      <w:r w:rsidR="00A377FA">
        <w:rPr>
          <w:color w:val="000000" w:themeColor="text1"/>
        </w:rPr>
        <w:instrText xml:space="preserve"> ADDIN ZOTERO_ITEM CSL_CITATION {"citationID":"l56ncVbm","properties":{"formattedCitation":"(Iwuoha &amp; Onochie, 2022)","plainCitation":"(Iwuoha &amp; Onochie, 2022)","dontUpdate":true,"noteIndex":0},"citationItems":[{"id":2199,"uris":["http://zotero.org/users/5016855/items/VPGV8A97"],"itemData":{"id":2199,"type":"article-journal","abstract":"This paper investigates the time series properties of three Beyond-Gross Domestic Product (BGDP) measures in Canada, namely, gross national disposable income (GNDI), human development index (HDI), and index of economic freedom (IEF), along with Gross Domestic Product (GDP). GDP is the most used metric for measuring economic growth and is susceptible to influence by numerous factors beyond the value of production measured by GDP. BGDP measures have been suggested in the literature as alternative indicators that can capture economic progress in a more holistic way (Kimmerer, 2020). This paper generates and evaluates the descriptive statistics of GDP and BGDP indicators. To evaluate the potential existence of a long run relationship between GDP and BGDP indices, we performed Augmented Dickey Fuller stationarity and Johansen cointegration tests. The results demonstrate that per capita GDP is cointegrated with the BGDP indicators. Furthermore, this study shows for the first time in the literature that BGDP measures are cointegrated when paired with each other. The paper contributes to the literature by highlighting the time series properties of BGDP indicators in Canada. This insight facilitates understanding the behavior of BGDP measures, thereby further enhancing the use of these measures for econometric studies and policy making.","container-title":"Advances in Management and Applied Economics","DOI":"10.47260/amae/1256","language":"en","page":"79-94","source":"DOI.org (Crossref)","title":"Time Series Characteristics of Canada’s Beyond GDP Indicators","author":[{"family":"Iwuoha","given":"Sochi"},{"family":"Onochie","given":"Joseph I."}],"issued":{"date-parts":[["2022",8,1]]}}}],"schema":"https://github.com/citation-style-language/schema/raw/master/csl-citation.json"} </w:instrText>
      </w:r>
      <w:r w:rsidR="007A6083">
        <w:rPr>
          <w:color w:val="000000" w:themeColor="text1"/>
        </w:rPr>
        <w:fldChar w:fldCharType="separate"/>
      </w:r>
      <w:r w:rsidR="007A6083" w:rsidRPr="001A5FBA">
        <w:t>Iwuoha &amp; Onochie</w:t>
      </w:r>
      <w:r w:rsidR="007A6083">
        <w:t xml:space="preserve">, </w:t>
      </w:r>
      <w:r w:rsidR="007A6083" w:rsidRPr="001A5FBA">
        <w:t>2022)</w:t>
      </w:r>
      <w:r w:rsidR="007A6083">
        <w:rPr>
          <w:color w:val="000000" w:themeColor="text1"/>
        </w:rPr>
        <w:fldChar w:fldCharType="end"/>
      </w:r>
      <w:r w:rsidR="00BA38D9" w:rsidRPr="00BA38D9">
        <w:rPr>
          <w:color w:val="000000" w:themeColor="text1"/>
        </w:rPr>
        <w:t>.</w:t>
      </w:r>
    </w:p>
    <w:p w14:paraId="10D612DC" w14:textId="639EF35B" w:rsidR="00F10150" w:rsidRDefault="00BA38D9" w:rsidP="00F10150">
      <w:pPr>
        <w:rPr>
          <w:bCs/>
          <w:szCs w:val="24"/>
        </w:rPr>
      </w:pPr>
      <w:r>
        <w:rPr>
          <w:color w:val="000000" w:themeColor="text1"/>
        </w:rPr>
        <w:t xml:space="preserve">Furthermore, </w:t>
      </w:r>
      <w:r w:rsidR="00744A7E" w:rsidRPr="00744A7E">
        <w:rPr>
          <w:color w:val="000000" w:themeColor="text1"/>
        </w:rPr>
        <w:t>Johansen cointegration (JC) test</w:t>
      </w:r>
      <w:r w:rsidR="007C6A56">
        <w:rPr>
          <w:color w:val="000000" w:themeColor="text1"/>
        </w:rPr>
        <w:t>s</w:t>
      </w:r>
      <w:r>
        <w:rPr>
          <w:color w:val="000000" w:themeColor="text1"/>
        </w:rPr>
        <w:t xml:space="preserve"> </w:t>
      </w:r>
      <w:r w:rsidR="00744A7E" w:rsidRPr="00744A7E">
        <w:rPr>
          <w:color w:val="000000" w:themeColor="text1"/>
        </w:rPr>
        <w:t xml:space="preserve">were </w:t>
      </w:r>
      <w:r>
        <w:rPr>
          <w:color w:val="000000" w:themeColor="text1"/>
        </w:rPr>
        <w:t>performed</w:t>
      </w:r>
      <w:r w:rsidR="00744A7E" w:rsidRPr="00744A7E">
        <w:rPr>
          <w:color w:val="000000" w:themeColor="text1"/>
        </w:rPr>
        <w:t xml:space="preserve"> to evaluate if </w:t>
      </w:r>
      <w:r w:rsidR="007C6A56">
        <w:rPr>
          <w:color w:val="000000" w:themeColor="text1"/>
        </w:rPr>
        <w:t xml:space="preserve">GHGpc is </w:t>
      </w:r>
      <w:r w:rsidR="007C6A56" w:rsidRPr="00744A7E">
        <w:rPr>
          <w:color w:val="000000" w:themeColor="text1"/>
        </w:rPr>
        <w:t>cointegrated</w:t>
      </w:r>
      <w:r w:rsidR="007C6A56">
        <w:rPr>
          <w:color w:val="000000" w:themeColor="text1"/>
        </w:rPr>
        <w:t xml:space="preserve"> with GDPpc, G</w:t>
      </w:r>
      <w:r w:rsidR="00810A8E">
        <w:rPr>
          <w:color w:val="000000" w:themeColor="text1"/>
        </w:rPr>
        <w:t>N</w:t>
      </w:r>
      <w:r w:rsidR="007C6A56">
        <w:rPr>
          <w:color w:val="000000" w:themeColor="text1"/>
        </w:rPr>
        <w:t xml:space="preserve">DIpc, HDI, and IEF, respectively. </w:t>
      </w:r>
      <w:r w:rsidR="008A4276" w:rsidRPr="008A4276">
        <w:rPr>
          <w:color w:val="000000" w:themeColor="text1"/>
        </w:rPr>
        <w:t xml:space="preserve">Error correction models were run to evaluate the long-run behavior of GHGpc </w:t>
      </w:r>
      <w:r w:rsidR="00B3782E">
        <w:rPr>
          <w:color w:val="000000" w:themeColor="text1"/>
        </w:rPr>
        <w:t>with</w:t>
      </w:r>
      <w:r w:rsidR="008A4276" w:rsidRPr="008A4276">
        <w:rPr>
          <w:color w:val="000000" w:themeColor="text1"/>
        </w:rPr>
        <w:t xml:space="preserve"> GDP</w:t>
      </w:r>
      <w:r w:rsidR="007C6A56">
        <w:rPr>
          <w:color w:val="000000" w:themeColor="text1"/>
        </w:rPr>
        <w:t>pc</w:t>
      </w:r>
      <w:r w:rsidR="008A4276" w:rsidRPr="008A4276">
        <w:rPr>
          <w:color w:val="000000" w:themeColor="text1"/>
        </w:rPr>
        <w:t xml:space="preserve"> and </w:t>
      </w:r>
      <w:r w:rsidR="007C6A56">
        <w:rPr>
          <w:color w:val="000000" w:themeColor="text1"/>
        </w:rPr>
        <w:t xml:space="preserve">the </w:t>
      </w:r>
      <w:r w:rsidR="00B3782E">
        <w:rPr>
          <w:color w:val="000000" w:themeColor="text1"/>
        </w:rPr>
        <w:t>GDP-alternative</w:t>
      </w:r>
      <w:r w:rsidR="007C6A56">
        <w:rPr>
          <w:color w:val="000000" w:themeColor="text1"/>
        </w:rPr>
        <w:t xml:space="preserve"> growth measures. </w:t>
      </w:r>
      <w:r w:rsidR="007C6A56">
        <w:rPr>
          <w:bCs/>
          <w:szCs w:val="24"/>
        </w:rPr>
        <w:t>The c</w:t>
      </w:r>
      <w:r w:rsidR="00F10150" w:rsidRPr="00F10150">
        <w:rPr>
          <w:bCs/>
          <w:szCs w:val="24"/>
        </w:rPr>
        <w:t xml:space="preserve">ointegration and error correction methods applied in this study have been </w:t>
      </w:r>
      <w:r w:rsidR="00B3782E">
        <w:rPr>
          <w:bCs/>
          <w:szCs w:val="24"/>
        </w:rPr>
        <w:t>previously</w:t>
      </w:r>
      <w:r w:rsidR="00F10150" w:rsidRPr="00F10150">
        <w:rPr>
          <w:bCs/>
          <w:szCs w:val="24"/>
        </w:rPr>
        <w:t xml:space="preserve"> applied </w:t>
      </w:r>
      <w:r w:rsidR="007C6A56">
        <w:rPr>
          <w:bCs/>
          <w:szCs w:val="24"/>
        </w:rPr>
        <w:t xml:space="preserve">in the literature </w:t>
      </w:r>
      <w:r w:rsidR="00F10150" w:rsidRPr="00F10150">
        <w:rPr>
          <w:bCs/>
          <w:szCs w:val="24"/>
        </w:rPr>
        <w:t xml:space="preserve">to evaluate the environment-growth relationship in both OECD countries and other nations </w:t>
      </w:r>
      <w:r w:rsidR="00A377FA">
        <w:rPr>
          <w:bCs/>
          <w:szCs w:val="24"/>
        </w:rPr>
        <w:fldChar w:fldCharType="begin"/>
      </w:r>
      <w:r w:rsidR="00A377FA">
        <w:rPr>
          <w:bCs/>
          <w:szCs w:val="24"/>
        </w:rPr>
        <w:instrText xml:space="preserve"> ADDIN ZOTERO_ITEM CSL_CITATION {"citationID":"ispmg9fP","properties":{"formattedCitation":"(Apergis &amp; Payne, 2014)","plainCitation":"(Apergis &amp; Payne, 2014)","noteIndex":0},"citationItems":[{"id":32,"uris":["http://zotero.org/users/5016855/items/UBI4U8VZ"],"itemData":{"id":32,"type":"article-journal","abstract":"This study examines the determinants of renewable energy consumption per capita for a panel of seven Central American countries over the period 1980 to 2010. Specifically, we find that a long-run cointegrated relationship exists between renewable energy consumption per capita, real GDP per capita, carbon emissions per capita, real coal prices, and real oil prices with the respective coefficients positive and statistically significant. A structural break in the cointegrating relationship appears in 2002 which coincides with the establishment of the Energy and Environment Partnership with Central America initiative to expand the use of renewable energy sources. Recognizing the regime shift in 2002, we estimate a nonlinear panel smooth transition vector error correction model to show that for the post-2002 period, the influence of renewable energy consumption per capita upon real coal and oil prices strengthened relative to the pre-2002 period as well as a greater sensitivity of real GDP per capita to carbon emissions per capita.","container-title":"Energy Economics","DOI":"10.1016/j.eneco.2014.01.003","ISSN":"0140-9883","journalAbbreviation":"Energy Economics","language":"en","page":"226-232","source":"ScienceDirect","title":"Renewable energy, output, CO2 emissions, and fossil fuel prices in Central America: Evidence from a nonlinear panel smooth transition vector error correction model","title-short":"Renewable energy, output, CO2 emissions, and fossil fuel prices in Central America","volume":"42","author":[{"family":"Apergis","given":"Nicholas"},{"family":"Payne","given":"James E."}],"issued":{"date-parts":[["2014"]]}}}],"schema":"https://github.com/citation-style-language/schema/raw/master/csl-citation.json"} </w:instrText>
      </w:r>
      <w:r w:rsidR="00A377FA">
        <w:rPr>
          <w:bCs/>
          <w:szCs w:val="24"/>
        </w:rPr>
        <w:fldChar w:fldCharType="separate"/>
      </w:r>
      <w:r w:rsidR="00A377FA" w:rsidRPr="00A377FA">
        <w:t>(Apergis &amp; Payne, 2014)</w:t>
      </w:r>
      <w:r w:rsidR="00A377FA">
        <w:rPr>
          <w:bCs/>
          <w:szCs w:val="24"/>
        </w:rPr>
        <w:fldChar w:fldCharType="end"/>
      </w:r>
      <w:r w:rsidR="00810A8E">
        <w:rPr>
          <w:bCs/>
          <w:szCs w:val="24"/>
        </w:rPr>
        <w:t>.</w:t>
      </w:r>
    </w:p>
    <w:p w14:paraId="148D176C" w14:textId="15F84691" w:rsidR="00810A8E" w:rsidRPr="00810A8E" w:rsidRDefault="00810A8E" w:rsidP="00810A8E">
      <w:pPr>
        <w:rPr>
          <w:color w:val="000000" w:themeColor="text1"/>
          <w:szCs w:val="24"/>
        </w:rPr>
      </w:pPr>
      <w:r w:rsidRPr="00810A8E">
        <w:rPr>
          <w:color w:val="000000" w:themeColor="text1"/>
          <w:szCs w:val="24"/>
        </w:rPr>
        <w:t>Where a cointegrated relationship is confirmed to exist</w:t>
      </w:r>
      <w:r>
        <w:rPr>
          <w:color w:val="000000" w:themeColor="text1"/>
          <w:szCs w:val="24"/>
        </w:rPr>
        <w:t xml:space="preserve"> between two variables</w:t>
      </w:r>
      <w:r w:rsidRPr="00810A8E">
        <w:rPr>
          <w:color w:val="000000" w:themeColor="text1"/>
          <w:szCs w:val="24"/>
        </w:rPr>
        <w:t xml:space="preserve">, the relationship can be written as an error correction model expressed as </w:t>
      </w:r>
      <w:r w:rsidRPr="00810A8E">
        <w:rPr>
          <w:color w:val="000000" w:themeColor="text1"/>
          <w:szCs w:val="24"/>
        </w:rPr>
        <w:fldChar w:fldCharType="begin"/>
      </w:r>
      <w:r w:rsidR="00A377FA">
        <w:rPr>
          <w:color w:val="000000" w:themeColor="text1"/>
          <w:szCs w:val="24"/>
        </w:rPr>
        <w:instrText xml:space="preserve"> ADDIN ZOTERO_ITEM CSL_CITATION {"citationID":"KriLBUtV","properties":{"formattedCitation":"(Enns et al., 2016)","plainCitation":"(Enns et al., 2016)","noteIndex":0},"citationItems":[{"id":30,"uris":["http://zotero.org/users/5016855/items/LS7NMEDK"],"itemData":{"id":30,"type":"article-journal","abstract":"In a recent issue of Political Analysis, Grant and Lebo authored two articles that forcefully argue against the use of the general error correction model (GECM) in nearly all time series applications of political data. We reconsider Grant and Lebo’s simulation results based on five common time series data scenarios. We show that Grant and Lebo’s simulations (as well as our own additional simulations) suggest the GECM performs quite well across these five data scenarios common in political science. The evidence shows that the problems Grant and Lebo highlight are almost exclusively the result of either incorrect applications of the GECM or the incorrect interpretation of results. Based on the prevailing evidence, we contend the GECM will often be a suitable model choice if implemented properly, and we offer practical advice on its use in applied settings.","container-title":"Research &amp; Politics","DOI":"10.1177/2053168016643345","ISSN":"2053-1680","issue":"2","journalAbbreviation":"Research &amp; Politics","language":"en","note":"publisher: SAGE Publications Ltd","page":"2053168016643345","source":"SAGE Journals","title":"Don’t jettison the general error correction model just yet: A practical guide to avoiding spurious regression with the GECM","title-short":"Don’t jettison the general error correction model just yet","volume":"3","author":[{"family":"Enns","given":"Peter K."},{"family":"Kelly","given":"Nathan J."},{"family":"Masaki","given":"Takaaki"},{"family":"Wohlfarth","given":"Patrick C."}],"issued":{"date-parts":[["2016"]]}}}],"schema":"https://github.com/citation-style-language/schema/raw/master/csl-citation.json"} </w:instrText>
      </w:r>
      <w:r w:rsidRPr="00810A8E">
        <w:rPr>
          <w:color w:val="000000" w:themeColor="text1"/>
          <w:szCs w:val="24"/>
        </w:rPr>
        <w:fldChar w:fldCharType="separate"/>
      </w:r>
      <w:r w:rsidR="00A377FA" w:rsidRPr="00A377FA">
        <w:t>(Enns et al., 2016)</w:t>
      </w:r>
      <w:r w:rsidRPr="00810A8E">
        <w:rPr>
          <w:color w:val="000000" w:themeColor="text1"/>
          <w:szCs w:val="24"/>
        </w:rPr>
        <w:fldChar w:fldCharType="end"/>
      </w:r>
      <w:r w:rsidRPr="00810A8E">
        <w:rPr>
          <w:color w:val="000000" w:themeColor="text1"/>
          <w:szCs w:val="24"/>
        </w:rPr>
        <w:t>:</w:t>
      </w:r>
    </w:p>
    <w:p w14:paraId="15BCA3E1" w14:textId="77777777" w:rsidR="00810A8E" w:rsidRDefault="00810A8E" w:rsidP="00810A8E">
      <w:pPr>
        <w:ind w:firstLine="720"/>
        <w:rPr>
          <w:color w:val="000000" w:themeColor="text1"/>
          <w:szCs w:val="24"/>
          <w:shd w:val="clear" w:color="auto" w:fill="FFFFFF"/>
        </w:rPr>
      </w:pPr>
    </w:p>
    <w:p w14:paraId="03C83E2A" w14:textId="5E7FA0AC" w:rsidR="00810A8E" w:rsidRPr="00810A8E" w:rsidRDefault="00810A8E" w:rsidP="00810A8E">
      <w:pPr>
        <w:ind w:firstLine="720"/>
        <w:rPr>
          <w:color w:val="000000" w:themeColor="text1"/>
          <w:szCs w:val="24"/>
        </w:rPr>
      </w:pPr>
      <w:proofErr w:type="spellStart"/>
      <w:r w:rsidRPr="00810A8E">
        <w:rPr>
          <w:color w:val="000000" w:themeColor="text1"/>
          <w:szCs w:val="24"/>
          <w:shd w:val="clear" w:color="auto" w:fill="FFFFFF"/>
        </w:rPr>
        <w:t>Δ</w:t>
      </w:r>
      <w:r w:rsidRPr="00810A8E">
        <w:rPr>
          <w:color w:val="000000" w:themeColor="text1"/>
          <w:szCs w:val="24"/>
        </w:rPr>
        <w:t>Y</w:t>
      </w:r>
      <w:r w:rsidRPr="00810A8E">
        <w:rPr>
          <w:color w:val="000000" w:themeColor="text1"/>
          <w:szCs w:val="24"/>
          <w:vertAlign w:val="subscript"/>
        </w:rPr>
        <w:t>t</w:t>
      </w:r>
      <w:proofErr w:type="spellEnd"/>
      <w:r w:rsidRPr="00810A8E">
        <w:rPr>
          <w:color w:val="000000" w:themeColor="text1"/>
          <w:szCs w:val="24"/>
        </w:rPr>
        <w:t xml:space="preserve"> = α</w:t>
      </w:r>
      <w:r w:rsidRPr="00810A8E">
        <w:rPr>
          <w:color w:val="000000" w:themeColor="text1"/>
          <w:szCs w:val="24"/>
          <w:vertAlign w:val="subscript"/>
        </w:rPr>
        <w:t>0</w:t>
      </w:r>
      <w:r w:rsidRPr="00810A8E">
        <w:rPr>
          <w:color w:val="000000" w:themeColor="text1"/>
          <w:szCs w:val="24"/>
        </w:rPr>
        <w:t xml:space="preserve"> + α</w:t>
      </w:r>
      <w:r w:rsidRPr="00810A8E">
        <w:rPr>
          <w:color w:val="000000" w:themeColor="text1"/>
          <w:szCs w:val="24"/>
          <w:vertAlign w:val="subscript"/>
        </w:rPr>
        <w:t>1</w:t>
      </w:r>
      <w:r w:rsidRPr="00810A8E">
        <w:rPr>
          <w:color w:val="000000" w:themeColor="text1"/>
          <w:szCs w:val="24"/>
        </w:rPr>
        <w:t>Y</w:t>
      </w:r>
      <w:r w:rsidRPr="00810A8E">
        <w:rPr>
          <w:color w:val="000000" w:themeColor="text1"/>
          <w:szCs w:val="24"/>
          <w:vertAlign w:val="subscript"/>
        </w:rPr>
        <w:t xml:space="preserve">t-1 </w:t>
      </w:r>
      <w:r w:rsidRPr="00810A8E">
        <w:rPr>
          <w:color w:val="000000" w:themeColor="text1"/>
          <w:szCs w:val="24"/>
        </w:rPr>
        <w:t>+ β</w:t>
      </w:r>
      <w:r w:rsidRPr="00810A8E">
        <w:rPr>
          <w:color w:val="000000" w:themeColor="text1"/>
          <w:szCs w:val="24"/>
          <w:vertAlign w:val="subscript"/>
        </w:rPr>
        <w:t>0</w:t>
      </w:r>
      <w:r w:rsidRPr="00810A8E">
        <w:rPr>
          <w:color w:val="000000" w:themeColor="text1"/>
          <w:szCs w:val="24"/>
          <w:shd w:val="clear" w:color="auto" w:fill="FFFFFF"/>
        </w:rPr>
        <w:t>Δ</w:t>
      </w:r>
      <w:r w:rsidRPr="00810A8E">
        <w:rPr>
          <w:color w:val="000000" w:themeColor="text1"/>
          <w:szCs w:val="24"/>
        </w:rPr>
        <w:t>X</w:t>
      </w:r>
      <w:r w:rsidRPr="00810A8E">
        <w:rPr>
          <w:color w:val="000000" w:themeColor="text1"/>
          <w:szCs w:val="24"/>
          <w:vertAlign w:val="subscript"/>
        </w:rPr>
        <w:t xml:space="preserve">t </w:t>
      </w:r>
      <w:r w:rsidRPr="00810A8E">
        <w:rPr>
          <w:color w:val="000000" w:themeColor="text1"/>
          <w:szCs w:val="24"/>
        </w:rPr>
        <w:t>+ β</w:t>
      </w:r>
      <w:r w:rsidRPr="00810A8E">
        <w:rPr>
          <w:color w:val="000000" w:themeColor="text1"/>
          <w:szCs w:val="24"/>
          <w:vertAlign w:val="subscript"/>
        </w:rPr>
        <w:t>1</w:t>
      </w:r>
      <w:r w:rsidRPr="00810A8E">
        <w:rPr>
          <w:color w:val="000000" w:themeColor="text1"/>
          <w:szCs w:val="24"/>
        </w:rPr>
        <w:t>X</w:t>
      </w:r>
      <w:r w:rsidRPr="00810A8E">
        <w:rPr>
          <w:color w:val="000000" w:themeColor="text1"/>
          <w:szCs w:val="24"/>
          <w:vertAlign w:val="subscript"/>
        </w:rPr>
        <w:t xml:space="preserve">t-1 </w:t>
      </w:r>
      <w:r w:rsidRPr="00810A8E">
        <w:rPr>
          <w:color w:val="000000" w:themeColor="text1"/>
          <w:szCs w:val="24"/>
        </w:rPr>
        <w:t xml:space="preserve">+ </w:t>
      </w:r>
      <w:proofErr w:type="spellStart"/>
      <w:r w:rsidRPr="00810A8E">
        <w:rPr>
          <w:color w:val="000000" w:themeColor="text1"/>
          <w:szCs w:val="24"/>
        </w:rPr>
        <w:t>ℇ</w:t>
      </w:r>
      <w:r w:rsidRPr="00810A8E">
        <w:rPr>
          <w:color w:val="000000" w:themeColor="text1"/>
          <w:szCs w:val="24"/>
          <w:vertAlign w:val="subscript"/>
        </w:rPr>
        <w:t>t</w:t>
      </w:r>
      <w:proofErr w:type="spellEnd"/>
      <w:r w:rsidRPr="00810A8E">
        <w:rPr>
          <w:color w:val="000000" w:themeColor="text1"/>
          <w:szCs w:val="24"/>
          <w:vertAlign w:val="subscript"/>
        </w:rPr>
        <w:t xml:space="preserve">  </w:t>
      </w:r>
      <m:oMath>
        <m:r>
          <m:rPr>
            <m:sty m:val="p"/>
          </m:rPr>
          <w:rPr>
            <w:rFonts w:ascii="Cambria Math" w:hAnsi="Cambria Math"/>
            <w:color w:val="000000" w:themeColor="text1"/>
            <w:szCs w:val="24"/>
          </w:rPr>
          <m:t>……………….……..….</m:t>
        </m:r>
      </m:oMath>
      <w:r w:rsidRPr="00810A8E">
        <w:rPr>
          <w:color w:val="000000" w:themeColor="text1"/>
          <w:szCs w:val="24"/>
        </w:rPr>
        <w:t xml:space="preserve">(Equation </w:t>
      </w:r>
      <w:r>
        <w:rPr>
          <w:color w:val="000000" w:themeColor="text1"/>
          <w:szCs w:val="24"/>
        </w:rPr>
        <w:t>1</w:t>
      </w:r>
      <w:r w:rsidRPr="00810A8E">
        <w:rPr>
          <w:color w:val="000000" w:themeColor="text1"/>
          <w:szCs w:val="24"/>
        </w:rPr>
        <w:t xml:space="preserve">) </w:t>
      </w:r>
    </w:p>
    <w:p w14:paraId="6548FAEC" w14:textId="77777777" w:rsidR="00810A8E" w:rsidRDefault="00810A8E" w:rsidP="00810A8E">
      <w:pPr>
        <w:rPr>
          <w:color w:val="000000" w:themeColor="text1"/>
          <w:szCs w:val="24"/>
        </w:rPr>
      </w:pPr>
    </w:p>
    <w:p w14:paraId="34058004" w14:textId="37B5E097" w:rsidR="00810A8E" w:rsidRPr="00810A8E" w:rsidRDefault="00810A8E" w:rsidP="00810A8E">
      <w:pPr>
        <w:rPr>
          <w:color w:val="000000" w:themeColor="text1"/>
          <w:szCs w:val="24"/>
        </w:rPr>
      </w:pPr>
      <w:r w:rsidRPr="00810A8E">
        <w:rPr>
          <w:color w:val="000000" w:themeColor="text1"/>
          <w:szCs w:val="24"/>
        </w:rPr>
        <w:t xml:space="preserve">where </w:t>
      </w:r>
      <w:proofErr w:type="spellStart"/>
      <w:r w:rsidRPr="00810A8E">
        <w:rPr>
          <w:color w:val="000000" w:themeColor="text1"/>
          <w:szCs w:val="24"/>
          <w:shd w:val="clear" w:color="auto" w:fill="FFFFFF"/>
        </w:rPr>
        <w:t>Δ</w:t>
      </w:r>
      <w:r w:rsidRPr="00810A8E">
        <w:rPr>
          <w:color w:val="000000" w:themeColor="text1"/>
          <w:szCs w:val="24"/>
        </w:rPr>
        <w:t>Y</w:t>
      </w:r>
      <w:r w:rsidRPr="00810A8E">
        <w:rPr>
          <w:color w:val="000000" w:themeColor="text1"/>
          <w:szCs w:val="24"/>
          <w:vertAlign w:val="subscript"/>
        </w:rPr>
        <w:t>t</w:t>
      </w:r>
      <w:proofErr w:type="spellEnd"/>
      <w:r w:rsidRPr="00810A8E">
        <w:rPr>
          <w:color w:val="000000" w:themeColor="text1"/>
          <w:szCs w:val="24"/>
        </w:rPr>
        <w:t xml:space="preserve"> is the change in the dependent variable, α</w:t>
      </w:r>
      <w:r w:rsidRPr="00810A8E">
        <w:rPr>
          <w:color w:val="000000" w:themeColor="text1"/>
          <w:szCs w:val="24"/>
          <w:vertAlign w:val="subscript"/>
        </w:rPr>
        <w:t xml:space="preserve">0 </w:t>
      </w:r>
      <w:r w:rsidRPr="00810A8E">
        <w:rPr>
          <w:color w:val="000000" w:themeColor="text1"/>
          <w:szCs w:val="24"/>
        </w:rPr>
        <w:t xml:space="preserve">is a constant (or the intercept), </w:t>
      </w:r>
      <w:r w:rsidRPr="00810A8E">
        <w:rPr>
          <w:color w:val="000000" w:themeColor="text1"/>
          <w:szCs w:val="24"/>
          <w:vertAlign w:val="subscript"/>
        </w:rPr>
        <w:t xml:space="preserve"> </w:t>
      </w:r>
      <w:r w:rsidRPr="00810A8E">
        <w:rPr>
          <w:color w:val="000000" w:themeColor="text1"/>
          <w:szCs w:val="24"/>
        </w:rPr>
        <w:t>α</w:t>
      </w:r>
      <w:r w:rsidRPr="00810A8E">
        <w:rPr>
          <w:color w:val="000000" w:themeColor="text1"/>
          <w:szCs w:val="24"/>
          <w:vertAlign w:val="subscript"/>
        </w:rPr>
        <w:t xml:space="preserve">1 </w:t>
      </w:r>
      <w:r w:rsidRPr="00810A8E">
        <w:rPr>
          <w:color w:val="000000" w:themeColor="text1"/>
          <w:szCs w:val="24"/>
        </w:rPr>
        <w:t>is the error correction rate, Y</w:t>
      </w:r>
      <w:r w:rsidRPr="00810A8E">
        <w:rPr>
          <w:color w:val="000000" w:themeColor="text1"/>
          <w:szCs w:val="24"/>
          <w:vertAlign w:val="subscript"/>
        </w:rPr>
        <w:t xml:space="preserve">t-1 </w:t>
      </w:r>
      <w:r w:rsidRPr="00810A8E">
        <w:rPr>
          <w:color w:val="000000" w:themeColor="text1"/>
          <w:szCs w:val="24"/>
        </w:rPr>
        <w:t>is the dependent variable lagged by one period, β</w:t>
      </w:r>
      <w:r w:rsidRPr="00810A8E">
        <w:rPr>
          <w:color w:val="000000" w:themeColor="text1"/>
          <w:szCs w:val="24"/>
          <w:vertAlign w:val="subscript"/>
        </w:rPr>
        <w:t>0</w:t>
      </w:r>
      <w:r w:rsidRPr="00810A8E">
        <w:rPr>
          <w:color w:val="000000" w:themeColor="text1"/>
          <w:szCs w:val="24"/>
        </w:rPr>
        <w:t xml:space="preserve"> is the coefficient of the change in the explanatory variable, </w:t>
      </w:r>
      <w:proofErr w:type="spellStart"/>
      <w:r w:rsidRPr="00810A8E">
        <w:rPr>
          <w:color w:val="000000" w:themeColor="text1"/>
          <w:szCs w:val="24"/>
          <w:shd w:val="clear" w:color="auto" w:fill="FFFFFF"/>
        </w:rPr>
        <w:t>Δ</w:t>
      </w:r>
      <w:r w:rsidRPr="00810A8E">
        <w:rPr>
          <w:color w:val="000000" w:themeColor="text1"/>
          <w:szCs w:val="24"/>
        </w:rPr>
        <w:t>X</w:t>
      </w:r>
      <w:r w:rsidRPr="00810A8E">
        <w:rPr>
          <w:color w:val="000000" w:themeColor="text1"/>
          <w:szCs w:val="24"/>
          <w:vertAlign w:val="subscript"/>
        </w:rPr>
        <w:t>t</w:t>
      </w:r>
      <w:proofErr w:type="spellEnd"/>
      <w:r w:rsidRPr="00810A8E">
        <w:rPr>
          <w:color w:val="000000" w:themeColor="text1"/>
          <w:szCs w:val="24"/>
        </w:rPr>
        <w:t xml:space="preserve"> is the change in the explanatory (or independent) variable, β</w:t>
      </w:r>
      <w:r w:rsidRPr="00810A8E">
        <w:rPr>
          <w:color w:val="000000" w:themeColor="text1"/>
          <w:szCs w:val="24"/>
          <w:vertAlign w:val="subscript"/>
        </w:rPr>
        <w:t xml:space="preserve">1 </w:t>
      </w:r>
      <w:r w:rsidRPr="00810A8E">
        <w:rPr>
          <w:color w:val="000000" w:themeColor="text1"/>
          <w:szCs w:val="24"/>
        </w:rPr>
        <w:t>is the coefficient of the lagged value of the explanatory variable,</w:t>
      </w:r>
      <w:r>
        <w:rPr>
          <w:color w:val="000000" w:themeColor="text1"/>
          <w:szCs w:val="24"/>
        </w:rPr>
        <w:t xml:space="preserve"> </w:t>
      </w:r>
      <w:r w:rsidRPr="00810A8E">
        <w:rPr>
          <w:color w:val="000000" w:themeColor="text1"/>
          <w:szCs w:val="24"/>
        </w:rPr>
        <w:t>X</w:t>
      </w:r>
      <w:r w:rsidRPr="00810A8E">
        <w:rPr>
          <w:color w:val="000000" w:themeColor="text1"/>
          <w:szCs w:val="24"/>
          <w:vertAlign w:val="subscript"/>
        </w:rPr>
        <w:t xml:space="preserve">t-1 </w:t>
      </w:r>
      <w:r w:rsidRPr="00810A8E">
        <w:rPr>
          <w:color w:val="000000" w:themeColor="text1"/>
          <w:szCs w:val="24"/>
        </w:rPr>
        <w:t xml:space="preserve">is the explanatory variable lagged by one period, and </w:t>
      </w:r>
      <w:proofErr w:type="spellStart"/>
      <w:r w:rsidRPr="00810A8E">
        <w:rPr>
          <w:color w:val="000000" w:themeColor="text1"/>
          <w:szCs w:val="24"/>
        </w:rPr>
        <w:t>ℇ</w:t>
      </w:r>
      <w:r w:rsidRPr="00810A8E">
        <w:rPr>
          <w:color w:val="000000" w:themeColor="text1"/>
          <w:szCs w:val="24"/>
          <w:vertAlign w:val="subscript"/>
        </w:rPr>
        <w:t>t</w:t>
      </w:r>
      <w:proofErr w:type="spellEnd"/>
      <w:r w:rsidRPr="00810A8E">
        <w:rPr>
          <w:color w:val="000000" w:themeColor="text1"/>
          <w:szCs w:val="24"/>
          <w:vertAlign w:val="subscript"/>
        </w:rPr>
        <w:t xml:space="preserve"> </w:t>
      </w:r>
      <w:r w:rsidRPr="00810A8E">
        <w:rPr>
          <w:color w:val="000000" w:themeColor="text1"/>
          <w:szCs w:val="24"/>
        </w:rPr>
        <w:t>is the error term (or the residual).</w:t>
      </w:r>
    </w:p>
    <w:p w14:paraId="0CDBE999" w14:textId="60DA7F7F" w:rsidR="009C1BE5" w:rsidRDefault="00F231BD" w:rsidP="00765AB5">
      <w:pPr>
        <w:rPr>
          <w:szCs w:val="24"/>
        </w:rPr>
      </w:pPr>
      <w:r>
        <w:rPr>
          <w:szCs w:val="24"/>
        </w:rPr>
        <w:t>S</w:t>
      </w:r>
      <w:r w:rsidRPr="00F231BD">
        <w:rPr>
          <w:szCs w:val="24"/>
        </w:rPr>
        <w:t xml:space="preserve">ingle-equation </w:t>
      </w:r>
      <w:r>
        <w:rPr>
          <w:szCs w:val="24"/>
        </w:rPr>
        <w:t>ordinary least squares (</w:t>
      </w:r>
      <w:r w:rsidRPr="00F231BD">
        <w:rPr>
          <w:szCs w:val="24"/>
        </w:rPr>
        <w:t>OLS</w:t>
      </w:r>
      <w:r>
        <w:rPr>
          <w:szCs w:val="24"/>
        </w:rPr>
        <w:t>)-</w:t>
      </w:r>
      <w:r w:rsidRPr="00F231BD">
        <w:rPr>
          <w:szCs w:val="24"/>
        </w:rPr>
        <w:t xml:space="preserve">based ECMs </w:t>
      </w:r>
      <w:r>
        <w:rPr>
          <w:szCs w:val="24"/>
        </w:rPr>
        <w:t xml:space="preserve">were </w:t>
      </w:r>
      <w:r w:rsidRPr="00F231BD">
        <w:rPr>
          <w:szCs w:val="24"/>
        </w:rPr>
        <w:t>set up to test for</w:t>
      </w:r>
      <w:r w:rsidR="009C1BE5">
        <w:rPr>
          <w:szCs w:val="24"/>
        </w:rPr>
        <w:t xml:space="preserve"> the existence of a long run relationship between GHGpc and each of the GDP-alternative measures, as well as “weak </w:t>
      </w:r>
      <w:r w:rsidRPr="00F231BD">
        <w:rPr>
          <w:szCs w:val="24"/>
        </w:rPr>
        <w:t>exogeneity</w:t>
      </w:r>
      <w:r w:rsidR="009C1BE5">
        <w:rPr>
          <w:szCs w:val="24"/>
        </w:rPr>
        <w:t>”</w:t>
      </w:r>
      <w:r w:rsidRPr="00F231BD">
        <w:rPr>
          <w:szCs w:val="24"/>
        </w:rPr>
        <w:t xml:space="preserve"> in</w:t>
      </w:r>
      <w:r>
        <w:rPr>
          <w:szCs w:val="24"/>
        </w:rPr>
        <w:t xml:space="preserve"> </w:t>
      </w:r>
      <w:r w:rsidRPr="00F231BD">
        <w:rPr>
          <w:szCs w:val="24"/>
        </w:rPr>
        <w:t>GHGpc</w:t>
      </w:r>
      <w:r w:rsidR="009C1BE5">
        <w:rPr>
          <w:szCs w:val="24"/>
        </w:rPr>
        <w:t xml:space="preserve"> </w:t>
      </w:r>
      <w:r w:rsidR="00A377FA">
        <w:rPr>
          <w:szCs w:val="24"/>
        </w:rPr>
        <w:fldChar w:fldCharType="begin"/>
      </w:r>
      <w:r w:rsidR="00A377FA">
        <w:rPr>
          <w:szCs w:val="24"/>
        </w:rPr>
        <w:instrText xml:space="preserve"> ADDIN ZOTERO_ITEM CSL_CITATION {"citationID":"lcwlKZJy","properties":{"formattedCitation":"(Urbain, 2012)","plainCitation":"(Urbain, 2012)","noteIndex":0},"citationItems":[{"id":28,"uris":["http://zotero.org/users/5016855/items/URM4GFIQ"],"itemData":{"id":28,"type":"book","abstract":"In the recent years, the study of cointegrated time series and the use of error correction models have become extremely popular in the econometric literature. This book provides an analysis of the notion of (weak) exogeneity, which is necessary to sustain valid inference in sub-systems, inthe framework of error correction models (ECMs). In many practical situations, the applied econometrician wants to introduce \"structure\" on his/her model in order to get economically meaningful coefficients. For thispurpose, ECMs in structural form provide an appealing framework, allowing the researcher to introduce (theoretically motivated) identification restrictions on the long run relationships. In this case, the validity of the inference will depend on a number of conditions which are investigated here. In particular,we point out that orthogonality tests, often used to test for weak exogeneity or for general misspecification, behave poorly in finite samples and are often not very useful in cointegrated systems.","ISBN":"978-3-642-95706-2","language":"en","note":"Google-Books-ID: PmXwCAAAQBAJ","number-of-pages":"201","publisher":"Springer Science &amp; Business Media","source":"Google Books","title":"Exogeneity in Error Correction Models","author":[{"family":"Urbain","given":"Jean-Pierre"}],"accessed":{"date-parts":[["2021",8,11]]},"issued":{"date-parts":[["2012",12,6]]}}}],"schema":"https://github.com/citation-style-language/schema/raw/master/csl-citation.json"} </w:instrText>
      </w:r>
      <w:r w:rsidR="00A377FA">
        <w:rPr>
          <w:szCs w:val="24"/>
        </w:rPr>
        <w:fldChar w:fldCharType="separate"/>
      </w:r>
      <w:r w:rsidR="00A377FA" w:rsidRPr="00A377FA">
        <w:t>(Urbain, 2012)</w:t>
      </w:r>
      <w:r w:rsidR="00A377FA">
        <w:rPr>
          <w:szCs w:val="24"/>
        </w:rPr>
        <w:fldChar w:fldCharType="end"/>
      </w:r>
      <w:r w:rsidRPr="00F231BD">
        <w:rPr>
          <w:szCs w:val="24"/>
        </w:rPr>
        <w:t xml:space="preserve">. Heteroskedasticity and autocorrelation consistent (HAC) standard error estimation </w:t>
      </w:r>
      <w:r w:rsidR="00B3782E">
        <w:rPr>
          <w:szCs w:val="24"/>
        </w:rPr>
        <w:t>was</w:t>
      </w:r>
      <w:r w:rsidRPr="00F231BD">
        <w:rPr>
          <w:szCs w:val="24"/>
        </w:rPr>
        <w:t xml:space="preserve"> applied when generating the ECMs.</w:t>
      </w:r>
    </w:p>
    <w:p w14:paraId="5D4A8485" w14:textId="4B95D6BD" w:rsidR="00765AB5" w:rsidRDefault="00765AB5" w:rsidP="00765AB5">
      <w:r w:rsidRPr="00F92D70">
        <w:rPr>
          <w:szCs w:val="24"/>
        </w:rPr>
        <w:t xml:space="preserve">Post-ECM model specification tests were performed </w:t>
      </w:r>
      <w:r w:rsidR="00891B09">
        <w:rPr>
          <w:szCs w:val="24"/>
        </w:rPr>
        <w:t xml:space="preserve">(a) </w:t>
      </w:r>
      <w:r w:rsidRPr="00F92D70">
        <w:rPr>
          <w:szCs w:val="24"/>
        </w:rPr>
        <w:t>to assess the characteristics and quality of the ECMs</w:t>
      </w:r>
      <w:r w:rsidR="00891B09">
        <w:rPr>
          <w:szCs w:val="24"/>
        </w:rPr>
        <w:t xml:space="preserve"> and (b) to select the reference ECM scenarios considered to be representative for capturing the long run relationship between GHGpc and each of the growth measures</w:t>
      </w:r>
      <w:r w:rsidRPr="00F92D70">
        <w:rPr>
          <w:szCs w:val="24"/>
        </w:rPr>
        <w:t>.</w:t>
      </w:r>
      <w:r>
        <w:rPr>
          <w:szCs w:val="24"/>
        </w:rPr>
        <w:t xml:space="preserve"> </w:t>
      </w:r>
      <w:r w:rsidR="009C1BE5" w:rsidRPr="009C1BE5">
        <w:rPr>
          <w:szCs w:val="24"/>
        </w:rPr>
        <w:t xml:space="preserve">Six specification tests were performed on the </w:t>
      </w:r>
      <w:proofErr w:type="gramStart"/>
      <w:r w:rsidR="009C1BE5" w:rsidRPr="009C1BE5">
        <w:rPr>
          <w:szCs w:val="24"/>
        </w:rPr>
        <w:t>ECMs</w:t>
      </w:r>
      <w:proofErr w:type="gramEnd"/>
      <w:r w:rsidR="009C1BE5" w:rsidRPr="009C1BE5">
        <w:rPr>
          <w:szCs w:val="24"/>
        </w:rPr>
        <w:t xml:space="preserve"> and the p-values </w:t>
      </w:r>
      <w:r w:rsidR="009C1BE5">
        <w:rPr>
          <w:szCs w:val="24"/>
        </w:rPr>
        <w:t>were used</w:t>
      </w:r>
      <w:r w:rsidR="009C1BE5" w:rsidRPr="009C1BE5">
        <w:rPr>
          <w:szCs w:val="24"/>
        </w:rPr>
        <w:t xml:space="preserve"> </w:t>
      </w:r>
      <w:r w:rsidR="009C1BE5">
        <w:rPr>
          <w:szCs w:val="24"/>
        </w:rPr>
        <w:t>to determine whether</w:t>
      </w:r>
      <w:r w:rsidR="009C1BE5" w:rsidRPr="009C1BE5">
        <w:rPr>
          <w:szCs w:val="24"/>
        </w:rPr>
        <w:t xml:space="preserve"> </w:t>
      </w:r>
      <w:r w:rsidR="009C1BE5">
        <w:rPr>
          <w:szCs w:val="24"/>
        </w:rPr>
        <w:t>to</w:t>
      </w:r>
      <w:r w:rsidR="009C1BE5" w:rsidRPr="009C1BE5">
        <w:rPr>
          <w:szCs w:val="24"/>
        </w:rPr>
        <w:t xml:space="preserve"> </w:t>
      </w:r>
      <w:r w:rsidR="009C1BE5">
        <w:rPr>
          <w:szCs w:val="24"/>
        </w:rPr>
        <w:t>reject</w:t>
      </w:r>
      <w:r w:rsidR="009C1BE5" w:rsidRPr="009C1BE5">
        <w:rPr>
          <w:szCs w:val="24"/>
        </w:rPr>
        <w:t xml:space="preserve"> or fail to reject the null hypotheses</w:t>
      </w:r>
      <w:r w:rsidR="00B3782E">
        <w:rPr>
          <w:szCs w:val="24"/>
        </w:rPr>
        <w:t xml:space="preserve"> of the specification tests</w:t>
      </w:r>
      <w:r w:rsidR="009C1BE5">
        <w:rPr>
          <w:szCs w:val="24"/>
        </w:rPr>
        <w:t>.</w:t>
      </w:r>
      <w:r w:rsidR="00FB52AC">
        <w:rPr>
          <w:szCs w:val="24"/>
        </w:rPr>
        <w:t xml:space="preserve"> The ECM results reported in this paper are for the selected reference scenarios that passed the post-ECM specification tests.</w:t>
      </w:r>
    </w:p>
    <w:p w14:paraId="44E1B119" w14:textId="77777777" w:rsidR="00A947A2" w:rsidRPr="00A947A2" w:rsidRDefault="00A947A2" w:rsidP="00A947A2">
      <w:pPr>
        <w:rPr>
          <w:szCs w:val="24"/>
        </w:rPr>
      </w:pPr>
    </w:p>
    <w:p w14:paraId="08C06C06" w14:textId="77777777" w:rsidR="00A947A2" w:rsidRDefault="00A947A2" w:rsidP="00A947A2">
      <w:pPr>
        <w:rPr>
          <w:szCs w:val="24"/>
        </w:rPr>
      </w:pPr>
    </w:p>
    <w:p w14:paraId="18858627" w14:textId="77777777" w:rsidR="008A301D" w:rsidRPr="007E5AD5" w:rsidRDefault="008A301D" w:rsidP="008A301D">
      <w:pPr>
        <w:pStyle w:val="HeadingNumbering1"/>
        <w:numPr>
          <w:ilvl w:val="0"/>
          <w:numId w:val="12"/>
        </w:numPr>
        <w:ind w:left="360"/>
      </w:pPr>
      <w:bookmarkStart w:id="2" w:name="_Hlk120465388"/>
      <w:r>
        <w:t>Results and Discussion</w:t>
      </w:r>
    </w:p>
    <w:p w14:paraId="55BB5292" w14:textId="4C87AAF5" w:rsidR="00F231BD" w:rsidRDefault="00395A7B" w:rsidP="008A301D">
      <w:pPr>
        <w:rPr>
          <w:color w:val="000000"/>
          <w:szCs w:val="24"/>
        </w:rPr>
      </w:pPr>
      <w:r>
        <w:rPr>
          <w:color w:val="000000"/>
          <w:szCs w:val="24"/>
        </w:rPr>
        <w:t>Figure</w:t>
      </w:r>
      <w:r w:rsidR="00590A0E">
        <w:rPr>
          <w:color w:val="000000"/>
          <w:szCs w:val="24"/>
        </w:rPr>
        <w:t>s</w:t>
      </w:r>
      <w:r>
        <w:rPr>
          <w:color w:val="000000"/>
          <w:szCs w:val="24"/>
        </w:rPr>
        <w:t xml:space="preserve"> 6</w:t>
      </w:r>
      <w:r w:rsidR="00590A0E">
        <w:rPr>
          <w:color w:val="000000"/>
          <w:szCs w:val="24"/>
        </w:rPr>
        <w:t xml:space="preserve">A and 6B </w:t>
      </w:r>
      <w:r>
        <w:rPr>
          <w:color w:val="000000"/>
          <w:szCs w:val="24"/>
        </w:rPr>
        <w:t xml:space="preserve">show </w:t>
      </w:r>
      <w:r w:rsidR="00590A0E">
        <w:rPr>
          <w:color w:val="000000"/>
          <w:szCs w:val="24"/>
        </w:rPr>
        <w:t>the GHGpc time series plots by level and first difference while</w:t>
      </w:r>
      <w:r w:rsidR="003405C4">
        <w:rPr>
          <w:color w:val="000000"/>
          <w:szCs w:val="24"/>
        </w:rPr>
        <w:t xml:space="preserve"> Figures 7A to 7</w:t>
      </w:r>
      <w:r w:rsidR="002018FC">
        <w:rPr>
          <w:color w:val="000000"/>
          <w:szCs w:val="24"/>
        </w:rPr>
        <w:t>D</w:t>
      </w:r>
      <w:r w:rsidR="003405C4">
        <w:rPr>
          <w:color w:val="000000"/>
          <w:szCs w:val="24"/>
        </w:rPr>
        <w:t xml:space="preserve"> show the overlay </w:t>
      </w:r>
      <w:bookmarkEnd w:id="2"/>
      <w:r w:rsidR="003405C4">
        <w:rPr>
          <w:color w:val="000000"/>
          <w:szCs w:val="24"/>
        </w:rPr>
        <w:t>plots by level of the GHGpc time series with each of the GDP-</w:t>
      </w:r>
      <w:r w:rsidR="00710B1F">
        <w:rPr>
          <w:color w:val="000000"/>
          <w:szCs w:val="24"/>
        </w:rPr>
        <w:t>a</w:t>
      </w:r>
      <w:r w:rsidR="003405C4">
        <w:rPr>
          <w:color w:val="000000"/>
          <w:szCs w:val="24"/>
        </w:rPr>
        <w:t>lternative indicators.</w:t>
      </w:r>
      <w:r w:rsidR="00F231BD">
        <w:rPr>
          <w:color w:val="000000"/>
          <w:szCs w:val="24"/>
        </w:rPr>
        <w:t xml:space="preserve"> </w:t>
      </w:r>
      <w:r w:rsidR="002018FC">
        <w:rPr>
          <w:color w:val="000000"/>
          <w:szCs w:val="24"/>
        </w:rPr>
        <w:t xml:space="preserve">GHGpc descriptive statistics are reported in </w:t>
      </w:r>
      <w:r>
        <w:rPr>
          <w:color w:val="000000"/>
          <w:szCs w:val="24"/>
        </w:rPr>
        <w:t>Table 1</w:t>
      </w:r>
      <w:r w:rsidR="00E067AF">
        <w:rPr>
          <w:color w:val="000000"/>
          <w:szCs w:val="24"/>
        </w:rPr>
        <w:t>.</w:t>
      </w:r>
      <w:r w:rsidR="002018FC">
        <w:rPr>
          <w:color w:val="000000"/>
          <w:szCs w:val="24"/>
        </w:rPr>
        <w:t xml:space="preserve"> Table 2 contains the results from the tests for stationarity for GHGpc from the ADF analysis.</w:t>
      </w:r>
      <w:r w:rsidR="00F231BD">
        <w:rPr>
          <w:color w:val="000000"/>
          <w:szCs w:val="24"/>
        </w:rPr>
        <w:t xml:space="preserve"> </w:t>
      </w:r>
    </w:p>
    <w:p w14:paraId="13874764" w14:textId="06519760" w:rsidR="00F231BD" w:rsidRDefault="00F231BD" w:rsidP="008A301D">
      <w:pPr>
        <w:rPr>
          <w:color w:val="000000"/>
          <w:szCs w:val="24"/>
        </w:rPr>
      </w:pPr>
      <w:r>
        <w:rPr>
          <w:color w:val="000000"/>
          <w:szCs w:val="24"/>
        </w:rPr>
        <w:t xml:space="preserve">The results from the </w:t>
      </w:r>
      <w:r w:rsidR="00E067AF">
        <w:rPr>
          <w:color w:val="000000"/>
          <w:szCs w:val="24"/>
        </w:rPr>
        <w:t>vector auto-regression (</w:t>
      </w:r>
      <w:r>
        <w:rPr>
          <w:color w:val="000000"/>
          <w:szCs w:val="24"/>
        </w:rPr>
        <w:t>VAR</w:t>
      </w:r>
      <w:r w:rsidR="00E067AF">
        <w:rPr>
          <w:color w:val="000000"/>
          <w:szCs w:val="24"/>
        </w:rPr>
        <w:t>)</w:t>
      </w:r>
      <w:r>
        <w:rPr>
          <w:color w:val="000000"/>
          <w:szCs w:val="24"/>
        </w:rPr>
        <w:t xml:space="preserve"> lag selection used for JC testing for GHGpc and each of the GDP-</w:t>
      </w:r>
      <w:r w:rsidR="00CF0B43">
        <w:rPr>
          <w:color w:val="000000"/>
          <w:szCs w:val="24"/>
        </w:rPr>
        <w:t>a</w:t>
      </w:r>
      <w:r>
        <w:rPr>
          <w:color w:val="000000"/>
          <w:szCs w:val="24"/>
        </w:rPr>
        <w:t>lternative measures are presented in Table 3. Tables 4 to 11 report the JC test results for GHGpc paired with the GDP-</w:t>
      </w:r>
      <w:r w:rsidR="00CF0B43">
        <w:rPr>
          <w:color w:val="000000"/>
          <w:szCs w:val="24"/>
        </w:rPr>
        <w:t>a</w:t>
      </w:r>
      <w:r>
        <w:rPr>
          <w:color w:val="000000"/>
          <w:szCs w:val="24"/>
        </w:rPr>
        <w:t xml:space="preserve">lternative </w:t>
      </w:r>
      <w:r>
        <w:rPr>
          <w:color w:val="000000"/>
          <w:szCs w:val="24"/>
        </w:rPr>
        <w:lastRenderedPageBreak/>
        <w:t>indicators. These results are for the “unrestricted constant” and “unrestricted constant and trend” scenarios which were selected as the reference scenarios for reporting based on the visually observed trend of the time series plots (Figures 7A to 7D). The JC testing summary results for all the scenarios tested are shown in Table 12 which also highlights the reference scenarios used for the ECM</w:t>
      </w:r>
      <w:r w:rsidR="00CF0B43">
        <w:rPr>
          <w:color w:val="000000"/>
          <w:szCs w:val="24"/>
        </w:rPr>
        <w:t xml:space="preserve"> </w:t>
      </w:r>
      <w:r>
        <w:rPr>
          <w:color w:val="000000"/>
          <w:szCs w:val="24"/>
        </w:rPr>
        <w:t>assessments. The number of cointegrated scenarios for the JC testing are indicated in Table 13.</w:t>
      </w:r>
    </w:p>
    <w:p w14:paraId="75A6BEBF" w14:textId="531C2E3F" w:rsidR="00F231BD" w:rsidRDefault="00F231BD" w:rsidP="008A301D">
      <w:pPr>
        <w:rPr>
          <w:color w:val="000000"/>
          <w:szCs w:val="24"/>
        </w:rPr>
      </w:pPr>
      <w:r>
        <w:rPr>
          <w:color w:val="000000"/>
          <w:szCs w:val="24"/>
        </w:rPr>
        <w:t>ECM results are presented in Tables 14 to 17 with the outcomes of post-ECM specification tests reported in Table 18</w:t>
      </w:r>
      <w:r w:rsidR="00D334E6">
        <w:rPr>
          <w:color w:val="000000"/>
          <w:szCs w:val="24"/>
        </w:rPr>
        <w:t xml:space="preserve"> and Figure 8</w:t>
      </w:r>
      <w:r>
        <w:rPr>
          <w:color w:val="000000"/>
          <w:szCs w:val="24"/>
        </w:rPr>
        <w:t xml:space="preserve">. A summary of the assessment of exogeneity of GHGpc from the ECM is shown in Table 19.  </w:t>
      </w:r>
    </w:p>
    <w:p w14:paraId="43472CC9" w14:textId="2CACA0EF" w:rsidR="00EB3EAB" w:rsidRDefault="00F231BD" w:rsidP="008A301D">
      <w:r>
        <w:rPr>
          <w:color w:val="000000"/>
          <w:szCs w:val="24"/>
        </w:rPr>
        <w:t xml:space="preserve">  </w:t>
      </w:r>
      <w:r w:rsidR="00395A7B">
        <w:rPr>
          <w:color w:val="000000"/>
          <w:szCs w:val="24"/>
        </w:rPr>
        <w:t xml:space="preserve"> </w:t>
      </w:r>
    </w:p>
    <w:p w14:paraId="405306FB" w14:textId="398818CE" w:rsidR="00797A03" w:rsidRPr="008A301D" w:rsidRDefault="00FF7353" w:rsidP="00797A03">
      <w:pPr>
        <w:jc w:val="center"/>
        <w:rPr>
          <w:color w:val="000000"/>
          <w:szCs w:val="24"/>
        </w:rPr>
      </w:pPr>
      <w:r w:rsidRPr="00FF7353">
        <w:rPr>
          <w:noProof/>
        </w:rPr>
        <w:drawing>
          <wp:inline distT="0" distB="0" distL="0" distR="0" wp14:anchorId="61571F5D" wp14:editId="45197160">
            <wp:extent cx="4312692" cy="24013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02" b="5213"/>
                    <a:stretch/>
                  </pic:blipFill>
                  <pic:spPr bwMode="auto">
                    <a:xfrm>
                      <a:off x="0" y="0"/>
                      <a:ext cx="4318075" cy="2404316"/>
                    </a:xfrm>
                    <a:prstGeom prst="rect">
                      <a:avLst/>
                    </a:prstGeom>
                    <a:noFill/>
                    <a:ln>
                      <a:noFill/>
                    </a:ln>
                    <a:extLst>
                      <a:ext uri="{53640926-AAD7-44D8-BBD7-CCE9431645EC}">
                        <a14:shadowObscured xmlns:a14="http://schemas.microsoft.com/office/drawing/2010/main"/>
                      </a:ext>
                    </a:extLst>
                  </pic:spPr>
                </pic:pic>
              </a:graphicData>
            </a:graphic>
          </wp:inline>
        </w:drawing>
      </w:r>
    </w:p>
    <w:p w14:paraId="1C8DFDED" w14:textId="3BFB689E" w:rsidR="00EB3EAB" w:rsidRDefault="00EB3EAB" w:rsidP="00FF1C7A">
      <w:pPr>
        <w:pStyle w:val="Figure"/>
        <w:spacing w:after="0"/>
      </w:pPr>
      <w:r w:rsidRPr="00183750">
        <w:t xml:space="preserve">Figure </w:t>
      </w:r>
      <w:r w:rsidR="001B6A59">
        <w:t>6</w:t>
      </w:r>
      <w:r w:rsidRPr="00183750">
        <w:t xml:space="preserve">: </w:t>
      </w:r>
      <w:r w:rsidR="00D810E4">
        <w:t>GHGpc time series plot</w:t>
      </w:r>
      <w:r w:rsidR="00590A0E">
        <w:t>s</w:t>
      </w:r>
      <w:r w:rsidR="00D810E4">
        <w:t xml:space="preserve"> by level</w:t>
      </w:r>
      <w:r w:rsidR="007F7643">
        <w:t xml:space="preserve"> and first difference</w:t>
      </w:r>
      <w:r w:rsidR="000D70E5">
        <w:t xml:space="preserve"> (growth level)</w:t>
      </w:r>
    </w:p>
    <w:p w14:paraId="52F6FCFF" w14:textId="34CF314A" w:rsidR="009B68EE" w:rsidRDefault="009B68EE" w:rsidP="003075C4">
      <w:pPr>
        <w:pStyle w:val="Figure"/>
        <w:spacing w:before="0" w:after="0"/>
        <w:jc w:val="left"/>
      </w:pPr>
      <w:r w:rsidRPr="006B4454">
        <w:rPr>
          <w:b w:val="0"/>
          <w:bCs w:val="0"/>
          <w:i/>
          <w:iCs/>
        </w:rPr>
        <w:t>Note</w:t>
      </w:r>
      <w:r w:rsidRPr="006B4454">
        <w:rPr>
          <w:b w:val="0"/>
          <w:bCs w:val="0"/>
        </w:rPr>
        <w:t xml:space="preserve">: </w:t>
      </w:r>
      <w:r>
        <w:rPr>
          <w:b w:val="0"/>
          <w:bCs w:val="0"/>
        </w:rPr>
        <w:t>(a) The time series plot of GDP and the GDP-</w:t>
      </w:r>
      <w:r w:rsidR="00CF0B43">
        <w:rPr>
          <w:b w:val="0"/>
          <w:bCs w:val="0"/>
        </w:rPr>
        <w:t>a</w:t>
      </w:r>
      <w:r>
        <w:rPr>
          <w:b w:val="0"/>
          <w:bCs w:val="0"/>
        </w:rPr>
        <w:t>lternative measures is shown in Figure 2 below, paired with GHGpc</w:t>
      </w:r>
      <w:r w:rsidRPr="006B4454">
        <w:rPr>
          <w:b w:val="0"/>
          <w:bCs w:val="0"/>
        </w:rPr>
        <w:t>.</w:t>
      </w:r>
      <w:r>
        <w:rPr>
          <w:b w:val="0"/>
          <w:bCs w:val="0"/>
        </w:rPr>
        <w:t xml:space="preserve"> (b) The first difference of GDP and the GDP-</w:t>
      </w:r>
      <w:r w:rsidR="00CF0B43">
        <w:rPr>
          <w:b w:val="0"/>
          <w:bCs w:val="0"/>
        </w:rPr>
        <w:t>a</w:t>
      </w:r>
      <w:r>
        <w:rPr>
          <w:b w:val="0"/>
          <w:bCs w:val="0"/>
        </w:rPr>
        <w:t xml:space="preserve">lternative measures is reported </w:t>
      </w:r>
      <w:r w:rsidRPr="00A377FA">
        <w:rPr>
          <w:b w:val="0"/>
          <w:bCs w:val="0"/>
        </w:rPr>
        <w:t xml:space="preserve">in </w:t>
      </w:r>
      <w:r w:rsidR="00A377FA" w:rsidRPr="00A377FA">
        <w:rPr>
          <w:b w:val="0"/>
          <w:bCs w:val="0"/>
        </w:rPr>
        <w:fldChar w:fldCharType="begin"/>
      </w:r>
      <w:r w:rsidR="00A377FA">
        <w:rPr>
          <w:b w:val="0"/>
          <w:bCs w:val="0"/>
        </w:rPr>
        <w:instrText xml:space="preserve"> ADDIN ZOTERO_ITEM CSL_CITATION {"citationID":"e6dPwgj6","properties":{"formattedCitation":"(Iwuoha &amp; Onochie, 2022)","plainCitation":"(Iwuoha &amp; Onochie, 2022)","dontUpdate":true,"noteIndex":0},"citationItems":[{"id":2199,"uris":["http://zotero.org/users/5016855/items/VPGV8A97"],"itemData":{"id":2199,"type":"article-journal","abstract":"This paper investigates the time series properties of three Beyond-Gross Domestic Product (BGDP) measures in Canada, namely, gross national disposable income (GNDI), human development index (HDI), and index of economic freedom (IEF), along with Gross Domestic Product (GDP). GDP is the most used metric for measuring economic growth and is susceptible to influence by numerous factors beyond the value of production measured by GDP. BGDP measures have been suggested in the literature as alternative indicators that can capture economic progress in a more holistic way (Kimmerer, 2020). This paper generates and evaluates the descriptive statistics of GDP and BGDP indicators. To evaluate the potential existence of a long run relationship between GDP and BGDP indices, we performed Augmented Dickey Fuller stationarity and Johansen cointegration tests. The results demonstrate that per capita GDP is cointegrated with the BGDP indicators. Furthermore, this study shows for the first time in the literature that BGDP measures are cointegrated when paired with each other. The paper contributes to the literature by highlighting the time series properties of BGDP indicators in Canada. This insight facilitates understanding the behavior of BGDP measures, thereby further enhancing the use of these measures for econometric studies and policy making.","container-title":"Advances in Management and Applied Economics","DOI":"10.47260/amae/1256","language":"en","page":"79-94","source":"DOI.org (Crossref)","title":"Time Series Characteristics of Canada’s Beyond GDP Indicators","author":[{"family":"Iwuoha","given":"Sochi"},{"family":"Onochie","given":"Joseph I."}],"issued":{"date-parts":[["2022",8,1]]}}}],"schema":"https://github.com/citation-style-language/schema/raw/master/csl-citation.json"} </w:instrText>
      </w:r>
      <w:r w:rsidR="00A377FA" w:rsidRPr="00A377FA">
        <w:rPr>
          <w:b w:val="0"/>
          <w:bCs w:val="0"/>
        </w:rPr>
        <w:fldChar w:fldCharType="separate"/>
      </w:r>
      <w:r w:rsidR="00A377FA" w:rsidRPr="00A377FA">
        <w:rPr>
          <w:b w:val="0"/>
          <w:bCs w:val="0"/>
        </w:rPr>
        <w:t xml:space="preserve">Iwuoha &amp; Onochie </w:t>
      </w:r>
      <w:r w:rsidR="00A377FA">
        <w:rPr>
          <w:b w:val="0"/>
          <w:bCs w:val="0"/>
        </w:rPr>
        <w:t>(</w:t>
      </w:r>
      <w:r w:rsidR="00A377FA" w:rsidRPr="00A377FA">
        <w:rPr>
          <w:b w:val="0"/>
          <w:bCs w:val="0"/>
        </w:rPr>
        <w:t>2022)</w:t>
      </w:r>
      <w:r w:rsidR="00A377FA" w:rsidRPr="00A377FA">
        <w:rPr>
          <w:b w:val="0"/>
          <w:bCs w:val="0"/>
        </w:rPr>
        <w:fldChar w:fldCharType="end"/>
      </w:r>
      <w:r w:rsidRPr="00A377FA">
        <w:rPr>
          <w:b w:val="0"/>
          <w:bCs w:val="0"/>
        </w:rPr>
        <w:t>.</w:t>
      </w:r>
    </w:p>
    <w:p w14:paraId="1CC0B371" w14:textId="1714E307" w:rsidR="00797A03" w:rsidRDefault="00797A03" w:rsidP="005666ED">
      <w:pPr>
        <w:pStyle w:val="Figure"/>
        <w:spacing w:before="0" w:after="0"/>
      </w:pPr>
    </w:p>
    <w:p w14:paraId="4459A2DC" w14:textId="71A7DE2F" w:rsidR="003405C4" w:rsidRDefault="00B72A85" w:rsidP="00B72A85">
      <w:pPr>
        <w:pStyle w:val="Figure"/>
      </w:pPr>
      <w:r w:rsidRPr="00E31A5B">
        <w:rPr>
          <w:noProof/>
          <w:color w:val="000000" w:themeColor="text1"/>
        </w:rPr>
        <w:drawing>
          <wp:inline distT="0" distB="0" distL="0" distR="0" wp14:anchorId="56537199" wp14:editId="3D84DBA8">
            <wp:extent cx="5053763" cy="125330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0706"/>
                    <a:stretch/>
                  </pic:blipFill>
                  <pic:spPr bwMode="auto">
                    <a:xfrm>
                      <a:off x="0" y="0"/>
                      <a:ext cx="5054600" cy="1253512"/>
                    </a:xfrm>
                    <a:prstGeom prst="rect">
                      <a:avLst/>
                    </a:prstGeom>
                    <a:noFill/>
                    <a:ln>
                      <a:noFill/>
                    </a:ln>
                    <a:extLst>
                      <a:ext uri="{53640926-AAD7-44D8-BBD7-CCE9431645EC}">
                        <a14:shadowObscured xmlns:a14="http://schemas.microsoft.com/office/drawing/2010/main"/>
                      </a:ext>
                    </a:extLst>
                  </pic:spPr>
                </pic:pic>
              </a:graphicData>
            </a:graphic>
          </wp:inline>
        </w:drawing>
      </w:r>
    </w:p>
    <w:p w14:paraId="78DAAC3F" w14:textId="22ADE6D3" w:rsidR="003405C4" w:rsidRDefault="003405C4" w:rsidP="003405C4">
      <w:pPr>
        <w:pStyle w:val="Figure"/>
        <w:jc w:val="left"/>
      </w:pPr>
      <w:r>
        <w:t xml:space="preserve"> </w:t>
      </w:r>
    </w:p>
    <w:p w14:paraId="6E0C228F" w14:textId="5E1BF8A5" w:rsidR="00972D64" w:rsidRDefault="00972D64" w:rsidP="003405C4">
      <w:pPr>
        <w:pStyle w:val="Figure"/>
        <w:jc w:val="left"/>
      </w:pPr>
      <w:r>
        <w:rPr>
          <w:noProof/>
        </w:rPr>
        <w:lastRenderedPageBreak/>
        <w:drawing>
          <wp:inline distT="0" distB="0" distL="0" distR="0" wp14:anchorId="721EB84B" wp14:editId="047CF09E">
            <wp:extent cx="1645920" cy="1280160"/>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15"/>
                    <a:stretch>
                      <a:fillRect/>
                    </a:stretch>
                  </pic:blipFill>
                  <pic:spPr>
                    <a:xfrm>
                      <a:off x="0" y="0"/>
                      <a:ext cx="1645920" cy="1280160"/>
                    </a:xfrm>
                    <a:prstGeom prst="rect">
                      <a:avLst/>
                    </a:prstGeom>
                  </pic:spPr>
                </pic:pic>
              </a:graphicData>
            </a:graphic>
          </wp:inline>
        </w:drawing>
      </w:r>
    </w:p>
    <w:p w14:paraId="1E77AD88" w14:textId="3DC9997B" w:rsidR="00B72A85" w:rsidRDefault="00B72A85" w:rsidP="00B72A85">
      <w:pPr>
        <w:pStyle w:val="Figure"/>
      </w:pPr>
      <w:r w:rsidRPr="00183750">
        <w:t xml:space="preserve">Figure </w:t>
      </w:r>
      <w:r w:rsidR="001B6A59">
        <w:t>7</w:t>
      </w:r>
      <w:r w:rsidRPr="00183750">
        <w:t xml:space="preserve">: </w:t>
      </w:r>
      <w:r w:rsidR="00D0771C">
        <w:t>Paired time-series plots (by level) of GHGpc and GDP-Alternative measures</w:t>
      </w:r>
    </w:p>
    <w:p w14:paraId="33C18543" w14:textId="77777777" w:rsidR="00B72A85" w:rsidRDefault="00B72A85" w:rsidP="005666ED">
      <w:pPr>
        <w:pStyle w:val="Figure"/>
        <w:spacing w:before="0" w:after="0"/>
      </w:pPr>
    </w:p>
    <w:p w14:paraId="0569A9B4" w14:textId="3D7408B6" w:rsidR="00662512" w:rsidRPr="007C74D3" w:rsidRDefault="00662512" w:rsidP="00662512">
      <w:pPr>
        <w:pStyle w:val="Tabletitle"/>
        <w:rPr>
          <w:sz w:val="24"/>
          <w:szCs w:val="24"/>
        </w:rPr>
      </w:pPr>
      <w:r w:rsidRPr="007C74D3">
        <w:rPr>
          <w:sz w:val="24"/>
          <w:szCs w:val="24"/>
        </w:rPr>
        <w:t xml:space="preserve">Table </w:t>
      </w:r>
      <w:r w:rsidR="007C74D3" w:rsidRPr="007C74D3">
        <w:rPr>
          <w:sz w:val="24"/>
          <w:szCs w:val="24"/>
        </w:rPr>
        <w:t>1</w:t>
      </w:r>
      <w:r w:rsidRPr="007C74D3">
        <w:rPr>
          <w:sz w:val="24"/>
          <w:szCs w:val="24"/>
        </w:rPr>
        <w:t xml:space="preserve">: Summary </w:t>
      </w:r>
      <w:r w:rsidR="00786FD9" w:rsidRPr="007C74D3">
        <w:rPr>
          <w:sz w:val="24"/>
          <w:szCs w:val="24"/>
        </w:rPr>
        <w:t>s</w:t>
      </w:r>
      <w:r w:rsidRPr="007C74D3">
        <w:rPr>
          <w:sz w:val="24"/>
          <w:szCs w:val="24"/>
        </w:rPr>
        <w:t>tatistics</w:t>
      </w:r>
      <w:r w:rsidR="00256303" w:rsidRPr="007C74D3">
        <w:rPr>
          <w:sz w:val="24"/>
          <w:szCs w:val="24"/>
        </w:rPr>
        <w:t xml:space="preserve">, quantiles, and measures of symmetry of </w:t>
      </w:r>
      <w:r w:rsidRPr="007C74D3">
        <w:rPr>
          <w:sz w:val="24"/>
          <w:szCs w:val="24"/>
        </w:rPr>
        <w:t xml:space="preserve">Canada’s </w:t>
      </w:r>
      <w:r w:rsidR="00786FD9" w:rsidRPr="007C74D3">
        <w:rPr>
          <w:sz w:val="24"/>
          <w:szCs w:val="24"/>
        </w:rPr>
        <w:t>GHGpc</w:t>
      </w:r>
    </w:p>
    <w:p w14:paraId="0C7B785D" w14:textId="77777777" w:rsidR="00964102" w:rsidRDefault="00964102" w:rsidP="00614BB9">
      <w:pPr>
        <w:pStyle w:val="Tabletitle"/>
        <w:spacing w:after="0"/>
      </w:pPr>
    </w:p>
    <w:tbl>
      <w:tblPr>
        <w:tblW w:w="7915"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895"/>
        <w:gridCol w:w="990"/>
        <w:gridCol w:w="900"/>
        <w:gridCol w:w="1170"/>
        <w:gridCol w:w="1440"/>
        <w:gridCol w:w="1170"/>
        <w:gridCol w:w="1350"/>
      </w:tblGrid>
      <w:tr w:rsidR="000B4AC2" w:rsidRPr="003E4FD1" w14:paraId="37091109" w14:textId="77777777" w:rsidTr="000B4AC2">
        <w:trPr>
          <w:trHeight w:val="570"/>
          <w:jc w:val="center"/>
        </w:trPr>
        <w:tc>
          <w:tcPr>
            <w:tcW w:w="895" w:type="dxa"/>
            <w:shd w:val="clear" w:color="auto" w:fill="auto"/>
            <w:vAlign w:val="center"/>
            <w:hideMark/>
          </w:tcPr>
          <w:p w14:paraId="62A50A6B" w14:textId="77777777" w:rsidR="009558CD" w:rsidRPr="003E4FD1" w:rsidRDefault="009558CD" w:rsidP="00F34330">
            <w:pPr>
              <w:jc w:val="center"/>
              <w:rPr>
                <w:rFonts w:eastAsia="Times New Roman"/>
                <w:color w:val="000000" w:themeColor="text1"/>
                <w:szCs w:val="24"/>
              </w:rPr>
            </w:pPr>
            <w:r w:rsidRPr="003E4FD1">
              <w:rPr>
                <w:color w:val="000000" w:themeColor="text1"/>
                <w:szCs w:val="24"/>
              </w:rPr>
              <w:t>Mean</w:t>
            </w:r>
          </w:p>
        </w:tc>
        <w:tc>
          <w:tcPr>
            <w:tcW w:w="990" w:type="dxa"/>
            <w:shd w:val="clear" w:color="auto" w:fill="auto"/>
            <w:vAlign w:val="center"/>
            <w:hideMark/>
          </w:tcPr>
          <w:p w14:paraId="708DA1B4" w14:textId="77777777" w:rsidR="009558CD" w:rsidRPr="003E4FD1" w:rsidRDefault="009558CD" w:rsidP="00F34330">
            <w:pPr>
              <w:jc w:val="center"/>
              <w:rPr>
                <w:rFonts w:eastAsia="Times New Roman"/>
                <w:color w:val="000000" w:themeColor="text1"/>
                <w:szCs w:val="24"/>
              </w:rPr>
            </w:pPr>
            <w:r w:rsidRPr="003E4FD1">
              <w:rPr>
                <w:color w:val="000000" w:themeColor="text1"/>
                <w:szCs w:val="24"/>
              </w:rPr>
              <w:t>Median</w:t>
            </w:r>
          </w:p>
        </w:tc>
        <w:tc>
          <w:tcPr>
            <w:tcW w:w="900" w:type="dxa"/>
            <w:shd w:val="clear" w:color="auto" w:fill="auto"/>
            <w:vAlign w:val="center"/>
            <w:hideMark/>
          </w:tcPr>
          <w:p w14:paraId="048179BE" w14:textId="65B147C7" w:rsidR="009558CD" w:rsidRPr="003E4FD1" w:rsidRDefault="009558CD" w:rsidP="00F34330">
            <w:pPr>
              <w:jc w:val="center"/>
              <w:rPr>
                <w:rFonts w:eastAsia="Times New Roman"/>
                <w:color w:val="000000" w:themeColor="text1"/>
                <w:szCs w:val="24"/>
              </w:rPr>
            </w:pPr>
            <w:r w:rsidRPr="003E4FD1">
              <w:rPr>
                <w:color w:val="000000" w:themeColor="text1"/>
                <w:szCs w:val="24"/>
              </w:rPr>
              <w:t>Min</w:t>
            </w:r>
            <w:r>
              <w:rPr>
                <w:color w:val="000000" w:themeColor="text1"/>
                <w:szCs w:val="24"/>
              </w:rPr>
              <w:t>.</w:t>
            </w:r>
          </w:p>
        </w:tc>
        <w:tc>
          <w:tcPr>
            <w:tcW w:w="1170" w:type="dxa"/>
            <w:shd w:val="clear" w:color="auto" w:fill="auto"/>
            <w:vAlign w:val="center"/>
            <w:hideMark/>
          </w:tcPr>
          <w:p w14:paraId="76283188" w14:textId="5D1B7FD2" w:rsidR="009558CD" w:rsidRPr="003E4FD1" w:rsidRDefault="009558CD" w:rsidP="00F34330">
            <w:pPr>
              <w:jc w:val="center"/>
              <w:rPr>
                <w:rFonts w:eastAsia="Times New Roman"/>
                <w:color w:val="000000" w:themeColor="text1"/>
                <w:szCs w:val="24"/>
              </w:rPr>
            </w:pPr>
            <w:r w:rsidRPr="003E4FD1">
              <w:rPr>
                <w:color w:val="000000" w:themeColor="text1"/>
                <w:szCs w:val="24"/>
              </w:rPr>
              <w:t>Max</w:t>
            </w:r>
            <w:r>
              <w:rPr>
                <w:color w:val="000000" w:themeColor="text1"/>
                <w:szCs w:val="24"/>
              </w:rPr>
              <w:t>.</w:t>
            </w:r>
          </w:p>
        </w:tc>
        <w:tc>
          <w:tcPr>
            <w:tcW w:w="1440" w:type="dxa"/>
            <w:shd w:val="clear" w:color="auto" w:fill="auto"/>
            <w:vAlign w:val="center"/>
            <w:hideMark/>
          </w:tcPr>
          <w:p w14:paraId="7F01217E" w14:textId="77777777" w:rsidR="009558CD" w:rsidRPr="003E4FD1" w:rsidRDefault="009558CD" w:rsidP="00F34330">
            <w:pPr>
              <w:jc w:val="center"/>
              <w:rPr>
                <w:rFonts w:eastAsia="Times New Roman"/>
                <w:color w:val="000000" w:themeColor="text1"/>
                <w:szCs w:val="24"/>
              </w:rPr>
            </w:pPr>
            <w:r w:rsidRPr="003E4FD1">
              <w:rPr>
                <w:color w:val="000000" w:themeColor="text1"/>
                <w:szCs w:val="24"/>
              </w:rPr>
              <w:t>Std. Dev.</w:t>
            </w:r>
          </w:p>
        </w:tc>
        <w:tc>
          <w:tcPr>
            <w:tcW w:w="1170" w:type="dxa"/>
            <w:vAlign w:val="center"/>
          </w:tcPr>
          <w:p w14:paraId="696EDEF9" w14:textId="77777777" w:rsidR="009558CD" w:rsidRPr="003E4FD1" w:rsidRDefault="009558CD" w:rsidP="00F34330">
            <w:pPr>
              <w:jc w:val="center"/>
              <w:rPr>
                <w:color w:val="000000" w:themeColor="text1"/>
                <w:szCs w:val="24"/>
              </w:rPr>
            </w:pPr>
            <w:r w:rsidRPr="003E4FD1">
              <w:rPr>
                <w:color w:val="000000" w:themeColor="text1"/>
                <w:szCs w:val="24"/>
              </w:rPr>
              <w:t>Variance</w:t>
            </w:r>
          </w:p>
        </w:tc>
        <w:tc>
          <w:tcPr>
            <w:tcW w:w="1350" w:type="dxa"/>
            <w:shd w:val="clear" w:color="auto" w:fill="auto"/>
            <w:vAlign w:val="center"/>
            <w:hideMark/>
          </w:tcPr>
          <w:p w14:paraId="5D6CEE91" w14:textId="77777777" w:rsidR="009558CD" w:rsidRPr="003E4FD1" w:rsidRDefault="009558CD" w:rsidP="00F34330">
            <w:pPr>
              <w:jc w:val="center"/>
              <w:rPr>
                <w:rFonts w:eastAsia="Times New Roman"/>
                <w:color w:val="000000" w:themeColor="text1"/>
                <w:szCs w:val="24"/>
              </w:rPr>
            </w:pPr>
            <w:r w:rsidRPr="003E4FD1">
              <w:rPr>
                <w:color w:val="000000" w:themeColor="text1"/>
                <w:szCs w:val="24"/>
              </w:rPr>
              <w:t>C.V.</w:t>
            </w:r>
          </w:p>
        </w:tc>
      </w:tr>
      <w:tr w:rsidR="000B4AC2" w:rsidRPr="003E4FD1" w14:paraId="6367033A" w14:textId="77777777" w:rsidTr="005F1DC4">
        <w:trPr>
          <w:trHeight w:val="300"/>
          <w:jc w:val="center"/>
        </w:trPr>
        <w:tc>
          <w:tcPr>
            <w:tcW w:w="895" w:type="dxa"/>
            <w:shd w:val="clear" w:color="auto" w:fill="auto"/>
            <w:vAlign w:val="center"/>
            <w:hideMark/>
          </w:tcPr>
          <w:p w14:paraId="1F1B3F01" w14:textId="7F715A74" w:rsidR="009558CD" w:rsidRPr="003E4FD1" w:rsidRDefault="009558CD" w:rsidP="000B4AC2">
            <w:pPr>
              <w:jc w:val="center"/>
              <w:rPr>
                <w:rFonts w:eastAsia="Times New Roman"/>
                <w:color w:val="000000" w:themeColor="text1"/>
                <w:szCs w:val="24"/>
              </w:rPr>
            </w:pPr>
            <w:r w:rsidRPr="00E31A5B">
              <w:rPr>
                <w:color w:val="000000" w:themeColor="text1"/>
              </w:rPr>
              <w:t>21.37</w:t>
            </w:r>
          </w:p>
        </w:tc>
        <w:tc>
          <w:tcPr>
            <w:tcW w:w="990" w:type="dxa"/>
            <w:shd w:val="clear" w:color="auto" w:fill="auto"/>
            <w:vAlign w:val="center"/>
            <w:hideMark/>
          </w:tcPr>
          <w:p w14:paraId="734CD1D1" w14:textId="5A1648B0" w:rsidR="009558CD" w:rsidRPr="003E4FD1" w:rsidRDefault="009558CD" w:rsidP="000B4AC2">
            <w:pPr>
              <w:jc w:val="center"/>
              <w:rPr>
                <w:rFonts w:eastAsia="Times New Roman"/>
                <w:color w:val="000000" w:themeColor="text1"/>
                <w:szCs w:val="24"/>
              </w:rPr>
            </w:pPr>
            <w:r w:rsidRPr="00E31A5B">
              <w:rPr>
                <w:color w:val="000000" w:themeColor="text1"/>
              </w:rPr>
              <w:t>21.49</w:t>
            </w:r>
          </w:p>
        </w:tc>
        <w:tc>
          <w:tcPr>
            <w:tcW w:w="900" w:type="dxa"/>
            <w:shd w:val="clear" w:color="auto" w:fill="auto"/>
            <w:vAlign w:val="center"/>
            <w:hideMark/>
          </w:tcPr>
          <w:p w14:paraId="651A3190" w14:textId="32197A5F" w:rsidR="009558CD" w:rsidRPr="003E4FD1" w:rsidRDefault="009558CD" w:rsidP="000B4AC2">
            <w:pPr>
              <w:jc w:val="center"/>
              <w:rPr>
                <w:rFonts w:eastAsia="Times New Roman"/>
                <w:color w:val="000000" w:themeColor="text1"/>
                <w:szCs w:val="24"/>
              </w:rPr>
            </w:pPr>
            <w:r w:rsidRPr="00E31A5B">
              <w:rPr>
                <w:color w:val="000000" w:themeColor="text1"/>
              </w:rPr>
              <w:t>19.60</w:t>
            </w:r>
          </w:p>
        </w:tc>
        <w:tc>
          <w:tcPr>
            <w:tcW w:w="1170" w:type="dxa"/>
            <w:shd w:val="clear" w:color="auto" w:fill="auto"/>
            <w:vAlign w:val="center"/>
            <w:hideMark/>
          </w:tcPr>
          <w:p w14:paraId="38EC5E38" w14:textId="217696D5" w:rsidR="009558CD" w:rsidRPr="003E4FD1" w:rsidRDefault="009558CD" w:rsidP="000B4AC2">
            <w:pPr>
              <w:jc w:val="center"/>
              <w:rPr>
                <w:rFonts w:eastAsia="Times New Roman"/>
                <w:color w:val="000000" w:themeColor="text1"/>
                <w:szCs w:val="24"/>
              </w:rPr>
            </w:pPr>
            <w:r w:rsidRPr="00E31A5B">
              <w:rPr>
                <w:color w:val="000000" w:themeColor="text1"/>
              </w:rPr>
              <w:t>23.49</w:t>
            </w:r>
          </w:p>
        </w:tc>
        <w:tc>
          <w:tcPr>
            <w:tcW w:w="1440" w:type="dxa"/>
            <w:shd w:val="clear" w:color="auto" w:fill="auto"/>
            <w:noWrap/>
            <w:vAlign w:val="center"/>
            <w:hideMark/>
          </w:tcPr>
          <w:p w14:paraId="5EE75C50" w14:textId="5668F276" w:rsidR="009558CD" w:rsidRPr="003E4FD1" w:rsidRDefault="009558CD" w:rsidP="000B4AC2">
            <w:pPr>
              <w:jc w:val="center"/>
              <w:rPr>
                <w:rFonts w:eastAsia="Times New Roman"/>
                <w:color w:val="000000" w:themeColor="text1"/>
                <w:szCs w:val="24"/>
              </w:rPr>
            </w:pPr>
            <w:r w:rsidRPr="00E31A5B">
              <w:rPr>
                <w:color w:val="000000" w:themeColor="text1"/>
              </w:rPr>
              <w:t>1.2493</w:t>
            </w:r>
          </w:p>
        </w:tc>
        <w:tc>
          <w:tcPr>
            <w:tcW w:w="1170" w:type="dxa"/>
            <w:vAlign w:val="center"/>
          </w:tcPr>
          <w:p w14:paraId="6CCD5E53" w14:textId="625F0ECE" w:rsidR="009558CD" w:rsidRPr="003E4FD1" w:rsidRDefault="009558CD" w:rsidP="000B4AC2">
            <w:pPr>
              <w:jc w:val="center"/>
              <w:rPr>
                <w:color w:val="000000" w:themeColor="text1"/>
                <w:szCs w:val="24"/>
              </w:rPr>
            </w:pPr>
            <w:r w:rsidRPr="00E31A5B">
              <w:rPr>
                <w:color w:val="000000" w:themeColor="text1"/>
              </w:rPr>
              <w:t>1.5610</w:t>
            </w:r>
          </w:p>
        </w:tc>
        <w:tc>
          <w:tcPr>
            <w:tcW w:w="1350" w:type="dxa"/>
            <w:shd w:val="clear" w:color="auto" w:fill="auto"/>
            <w:vAlign w:val="center"/>
            <w:hideMark/>
          </w:tcPr>
          <w:p w14:paraId="1DA87A42" w14:textId="58A5F717" w:rsidR="009558CD" w:rsidRPr="003E4FD1" w:rsidRDefault="009558CD" w:rsidP="000B4AC2">
            <w:pPr>
              <w:jc w:val="center"/>
              <w:rPr>
                <w:rFonts w:eastAsia="Times New Roman"/>
                <w:color w:val="000000" w:themeColor="text1"/>
                <w:szCs w:val="24"/>
              </w:rPr>
            </w:pPr>
            <w:r w:rsidRPr="00E31A5B">
              <w:rPr>
                <w:color w:val="000000" w:themeColor="text1"/>
              </w:rPr>
              <w:t>0.058</w:t>
            </w:r>
          </w:p>
        </w:tc>
      </w:tr>
      <w:tr w:rsidR="000B4AC2" w:rsidRPr="003E4FD1" w14:paraId="15FB4C6A" w14:textId="77777777" w:rsidTr="005F1DC4">
        <w:trPr>
          <w:trHeight w:val="300"/>
          <w:jc w:val="center"/>
        </w:trPr>
        <w:tc>
          <w:tcPr>
            <w:tcW w:w="895" w:type="dxa"/>
            <w:shd w:val="clear" w:color="auto" w:fill="auto"/>
            <w:vAlign w:val="center"/>
          </w:tcPr>
          <w:p w14:paraId="7C26C756" w14:textId="51ADD959" w:rsidR="009558CD" w:rsidRPr="003E4FD1" w:rsidRDefault="009558CD" w:rsidP="000B4AC2">
            <w:pPr>
              <w:jc w:val="center"/>
              <w:rPr>
                <w:rFonts w:eastAsia="Times New Roman"/>
                <w:color w:val="000000" w:themeColor="text1"/>
                <w:szCs w:val="24"/>
              </w:rPr>
            </w:pPr>
          </w:p>
        </w:tc>
        <w:tc>
          <w:tcPr>
            <w:tcW w:w="990" w:type="dxa"/>
            <w:shd w:val="clear" w:color="auto" w:fill="auto"/>
            <w:vAlign w:val="center"/>
          </w:tcPr>
          <w:p w14:paraId="76BA309E" w14:textId="1C17A1FB" w:rsidR="009558CD" w:rsidRPr="003E4FD1" w:rsidRDefault="009558CD" w:rsidP="000B4AC2">
            <w:pPr>
              <w:jc w:val="center"/>
              <w:rPr>
                <w:rFonts w:eastAsia="Times New Roman"/>
                <w:color w:val="000000" w:themeColor="text1"/>
                <w:szCs w:val="24"/>
              </w:rPr>
            </w:pPr>
          </w:p>
        </w:tc>
        <w:tc>
          <w:tcPr>
            <w:tcW w:w="900" w:type="dxa"/>
            <w:shd w:val="clear" w:color="auto" w:fill="auto"/>
            <w:vAlign w:val="center"/>
          </w:tcPr>
          <w:p w14:paraId="5FE81069" w14:textId="744527E0" w:rsidR="009558CD" w:rsidRPr="003E4FD1" w:rsidRDefault="009558CD" w:rsidP="000B4AC2">
            <w:pPr>
              <w:jc w:val="center"/>
              <w:rPr>
                <w:rFonts w:eastAsia="Times New Roman"/>
                <w:color w:val="000000" w:themeColor="text1"/>
                <w:szCs w:val="24"/>
              </w:rPr>
            </w:pPr>
          </w:p>
        </w:tc>
        <w:tc>
          <w:tcPr>
            <w:tcW w:w="1170" w:type="dxa"/>
            <w:shd w:val="clear" w:color="auto" w:fill="auto"/>
            <w:vAlign w:val="center"/>
          </w:tcPr>
          <w:p w14:paraId="64CA8574" w14:textId="08BDCBEE" w:rsidR="009558CD" w:rsidRPr="003E4FD1" w:rsidRDefault="009558CD" w:rsidP="000B4AC2">
            <w:pPr>
              <w:jc w:val="center"/>
              <w:rPr>
                <w:rFonts w:eastAsia="Times New Roman"/>
                <w:color w:val="000000" w:themeColor="text1"/>
                <w:szCs w:val="24"/>
              </w:rPr>
            </w:pPr>
          </w:p>
        </w:tc>
        <w:tc>
          <w:tcPr>
            <w:tcW w:w="1440" w:type="dxa"/>
            <w:shd w:val="clear" w:color="auto" w:fill="auto"/>
            <w:noWrap/>
            <w:vAlign w:val="center"/>
          </w:tcPr>
          <w:p w14:paraId="486E8FE7" w14:textId="2971AB1A" w:rsidR="009558CD" w:rsidRPr="003E4FD1" w:rsidRDefault="009558CD" w:rsidP="000B4AC2">
            <w:pPr>
              <w:jc w:val="center"/>
              <w:rPr>
                <w:rFonts w:eastAsia="Times New Roman"/>
                <w:color w:val="000000" w:themeColor="text1"/>
                <w:szCs w:val="24"/>
              </w:rPr>
            </w:pPr>
          </w:p>
        </w:tc>
        <w:tc>
          <w:tcPr>
            <w:tcW w:w="1170" w:type="dxa"/>
            <w:vAlign w:val="center"/>
          </w:tcPr>
          <w:p w14:paraId="549365D0" w14:textId="45BE1D2A" w:rsidR="009558CD" w:rsidRPr="003E4FD1" w:rsidRDefault="009558CD" w:rsidP="000B4AC2">
            <w:pPr>
              <w:jc w:val="center"/>
              <w:rPr>
                <w:color w:val="000000" w:themeColor="text1"/>
                <w:szCs w:val="24"/>
              </w:rPr>
            </w:pPr>
          </w:p>
        </w:tc>
        <w:tc>
          <w:tcPr>
            <w:tcW w:w="1350" w:type="dxa"/>
            <w:shd w:val="clear" w:color="auto" w:fill="auto"/>
            <w:vAlign w:val="center"/>
          </w:tcPr>
          <w:p w14:paraId="35B5AEAF" w14:textId="720505D8" w:rsidR="009558CD" w:rsidRPr="003E4FD1" w:rsidRDefault="009558CD" w:rsidP="000B4AC2">
            <w:pPr>
              <w:jc w:val="center"/>
              <w:rPr>
                <w:rFonts w:eastAsia="Times New Roman"/>
                <w:color w:val="000000" w:themeColor="text1"/>
                <w:szCs w:val="24"/>
              </w:rPr>
            </w:pPr>
          </w:p>
        </w:tc>
      </w:tr>
      <w:tr w:rsidR="000B4AC2" w:rsidRPr="003E4FD1" w14:paraId="08CE1074" w14:textId="77777777" w:rsidTr="005F1DC4">
        <w:trPr>
          <w:trHeight w:val="300"/>
          <w:jc w:val="center"/>
        </w:trPr>
        <w:tc>
          <w:tcPr>
            <w:tcW w:w="895" w:type="dxa"/>
            <w:shd w:val="clear" w:color="auto" w:fill="auto"/>
            <w:vAlign w:val="center"/>
          </w:tcPr>
          <w:p w14:paraId="306AFEBA" w14:textId="0C68AFF7" w:rsidR="009558CD" w:rsidRPr="003E4FD1" w:rsidRDefault="009558CD" w:rsidP="000B4AC2">
            <w:pPr>
              <w:jc w:val="center"/>
              <w:rPr>
                <w:rFonts w:eastAsia="Times New Roman"/>
                <w:color w:val="000000" w:themeColor="text1"/>
                <w:szCs w:val="24"/>
              </w:rPr>
            </w:pPr>
            <w:r w:rsidRPr="001B639D">
              <w:t>5% Perc.</w:t>
            </w:r>
          </w:p>
        </w:tc>
        <w:tc>
          <w:tcPr>
            <w:tcW w:w="990" w:type="dxa"/>
            <w:shd w:val="clear" w:color="auto" w:fill="auto"/>
            <w:vAlign w:val="center"/>
          </w:tcPr>
          <w:p w14:paraId="13BB02C9" w14:textId="27333E85" w:rsidR="009558CD" w:rsidRPr="003E4FD1" w:rsidRDefault="009558CD" w:rsidP="000B4AC2">
            <w:pPr>
              <w:jc w:val="center"/>
              <w:rPr>
                <w:rFonts w:eastAsia="Times New Roman"/>
                <w:color w:val="000000" w:themeColor="text1"/>
                <w:szCs w:val="24"/>
              </w:rPr>
            </w:pPr>
            <w:r w:rsidRPr="001B639D">
              <w:t>95% Perc.</w:t>
            </w:r>
          </w:p>
        </w:tc>
        <w:tc>
          <w:tcPr>
            <w:tcW w:w="900" w:type="dxa"/>
            <w:shd w:val="clear" w:color="auto" w:fill="auto"/>
            <w:vAlign w:val="center"/>
          </w:tcPr>
          <w:p w14:paraId="08668B00" w14:textId="73F23919" w:rsidR="009558CD" w:rsidRPr="003E4FD1" w:rsidRDefault="009558CD" w:rsidP="000B4AC2">
            <w:pPr>
              <w:jc w:val="center"/>
              <w:rPr>
                <w:rFonts w:eastAsia="Times New Roman"/>
                <w:color w:val="000000" w:themeColor="text1"/>
                <w:szCs w:val="24"/>
              </w:rPr>
            </w:pPr>
            <w:r w:rsidRPr="001B639D">
              <w:t>IQ range</w:t>
            </w:r>
          </w:p>
        </w:tc>
        <w:tc>
          <w:tcPr>
            <w:tcW w:w="1170" w:type="dxa"/>
            <w:shd w:val="clear" w:color="auto" w:fill="auto"/>
            <w:vAlign w:val="center"/>
          </w:tcPr>
          <w:p w14:paraId="60EF3865" w14:textId="2E856A8C" w:rsidR="009558CD" w:rsidRPr="003E4FD1" w:rsidRDefault="009558CD" w:rsidP="000B4AC2">
            <w:pPr>
              <w:jc w:val="center"/>
              <w:rPr>
                <w:rFonts w:eastAsia="Times New Roman"/>
                <w:color w:val="000000" w:themeColor="text1"/>
                <w:szCs w:val="24"/>
              </w:rPr>
            </w:pPr>
            <w:r w:rsidRPr="001B639D">
              <w:t>Skewness</w:t>
            </w:r>
          </w:p>
        </w:tc>
        <w:tc>
          <w:tcPr>
            <w:tcW w:w="1440" w:type="dxa"/>
            <w:shd w:val="clear" w:color="auto" w:fill="auto"/>
            <w:noWrap/>
            <w:vAlign w:val="center"/>
          </w:tcPr>
          <w:p w14:paraId="545359C6" w14:textId="4F553714" w:rsidR="009558CD" w:rsidRPr="003E4FD1" w:rsidRDefault="009558CD" w:rsidP="000B4AC2">
            <w:pPr>
              <w:jc w:val="center"/>
              <w:rPr>
                <w:rFonts w:eastAsia="Times New Roman"/>
                <w:color w:val="000000" w:themeColor="text1"/>
                <w:szCs w:val="24"/>
              </w:rPr>
            </w:pPr>
            <w:r w:rsidRPr="001B639D">
              <w:t>Skewness Comment</w:t>
            </w:r>
          </w:p>
        </w:tc>
        <w:tc>
          <w:tcPr>
            <w:tcW w:w="1170" w:type="dxa"/>
            <w:vAlign w:val="center"/>
          </w:tcPr>
          <w:p w14:paraId="1CA7EE07" w14:textId="663FEB0E" w:rsidR="009558CD" w:rsidRPr="003E4FD1" w:rsidRDefault="009558CD" w:rsidP="000B4AC2">
            <w:pPr>
              <w:jc w:val="center"/>
              <w:rPr>
                <w:color w:val="000000" w:themeColor="text1"/>
                <w:szCs w:val="24"/>
              </w:rPr>
            </w:pPr>
            <w:r w:rsidRPr="001B639D">
              <w:t>Ex</w:t>
            </w:r>
            <w:r w:rsidR="005F1DC4">
              <w:t>cess</w:t>
            </w:r>
            <w:r w:rsidRPr="001B639D">
              <w:t xml:space="preserve"> kurtosis</w:t>
            </w:r>
          </w:p>
        </w:tc>
        <w:tc>
          <w:tcPr>
            <w:tcW w:w="1350" w:type="dxa"/>
            <w:shd w:val="clear" w:color="auto" w:fill="auto"/>
            <w:vAlign w:val="center"/>
          </w:tcPr>
          <w:p w14:paraId="71634800" w14:textId="236C2B9E" w:rsidR="009558CD" w:rsidRPr="003E4FD1" w:rsidRDefault="009558CD" w:rsidP="000B4AC2">
            <w:pPr>
              <w:jc w:val="center"/>
              <w:rPr>
                <w:rFonts w:eastAsia="Times New Roman"/>
                <w:color w:val="000000" w:themeColor="text1"/>
                <w:szCs w:val="24"/>
              </w:rPr>
            </w:pPr>
            <w:r w:rsidRPr="001B639D">
              <w:t>Kurtosis Comment</w:t>
            </w:r>
          </w:p>
        </w:tc>
      </w:tr>
      <w:tr w:rsidR="000B4AC2" w:rsidRPr="003E4FD1" w14:paraId="21706EF6" w14:textId="77777777" w:rsidTr="005F1DC4">
        <w:trPr>
          <w:trHeight w:val="300"/>
          <w:jc w:val="center"/>
        </w:trPr>
        <w:tc>
          <w:tcPr>
            <w:tcW w:w="895" w:type="dxa"/>
            <w:shd w:val="clear" w:color="auto" w:fill="auto"/>
            <w:vAlign w:val="center"/>
          </w:tcPr>
          <w:p w14:paraId="6901221A" w14:textId="2FF01480" w:rsidR="009558CD" w:rsidRPr="003E4FD1" w:rsidRDefault="009558CD" w:rsidP="000B4AC2">
            <w:pPr>
              <w:jc w:val="center"/>
              <w:rPr>
                <w:rFonts w:eastAsia="Times New Roman"/>
                <w:color w:val="000000" w:themeColor="text1"/>
                <w:szCs w:val="24"/>
              </w:rPr>
            </w:pPr>
            <w:r w:rsidRPr="00745A7D">
              <w:t>19.61</w:t>
            </w:r>
          </w:p>
        </w:tc>
        <w:tc>
          <w:tcPr>
            <w:tcW w:w="990" w:type="dxa"/>
            <w:shd w:val="clear" w:color="auto" w:fill="auto"/>
            <w:vAlign w:val="center"/>
          </w:tcPr>
          <w:p w14:paraId="6B86281E" w14:textId="284F4BAB" w:rsidR="009558CD" w:rsidRPr="003E4FD1" w:rsidRDefault="009558CD" w:rsidP="000B4AC2">
            <w:pPr>
              <w:jc w:val="center"/>
              <w:rPr>
                <w:rFonts w:eastAsia="Times New Roman"/>
                <w:color w:val="000000" w:themeColor="text1"/>
                <w:szCs w:val="24"/>
              </w:rPr>
            </w:pPr>
            <w:r w:rsidRPr="00745A7D">
              <w:t>23.41</w:t>
            </w:r>
          </w:p>
        </w:tc>
        <w:tc>
          <w:tcPr>
            <w:tcW w:w="900" w:type="dxa"/>
            <w:shd w:val="clear" w:color="auto" w:fill="auto"/>
            <w:vAlign w:val="center"/>
          </w:tcPr>
          <w:p w14:paraId="14BDFD96" w14:textId="05169872" w:rsidR="009558CD" w:rsidRPr="003E4FD1" w:rsidRDefault="009558CD" w:rsidP="000B4AC2">
            <w:pPr>
              <w:jc w:val="center"/>
              <w:rPr>
                <w:rFonts w:eastAsia="Times New Roman"/>
                <w:color w:val="000000" w:themeColor="text1"/>
                <w:szCs w:val="24"/>
              </w:rPr>
            </w:pPr>
            <w:r w:rsidRPr="00745A7D">
              <w:t>2.12</w:t>
            </w:r>
          </w:p>
        </w:tc>
        <w:tc>
          <w:tcPr>
            <w:tcW w:w="1170" w:type="dxa"/>
            <w:shd w:val="clear" w:color="auto" w:fill="auto"/>
            <w:vAlign w:val="center"/>
          </w:tcPr>
          <w:p w14:paraId="57B6328A" w14:textId="4EE2FF2A" w:rsidR="009558CD" w:rsidRPr="003E4FD1" w:rsidRDefault="009558CD" w:rsidP="000B4AC2">
            <w:pPr>
              <w:jc w:val="center"/>
              <w:rPr>
                <w:rFonts w:eastAsia="Times New Roman"/>
                <w:color w:val="000000" w:themeColor="text1"/>
                <w:szCs w:val="24"/>
              </w:rPr>
            </w:pPr>
            <w:r w:rsidRPr="00745A7D">
              <w:t>0.09</w:t>
            </w:r>
          </w:p>
        </w:tc>
        <w:tc>
          <w:tcPr>
            <w:tcW w:w="1440" w:type="dxa"/>
            <w:shd w:val="clear" w:color="auto" w:fill="auto"/>
            <w:noWrap/>
            <w:vAlign w:val="center"/>
          </w:tcPr>
          <w:p w14:paraId="03BDCA2D" w14:textId="7563DF79" w:rsidR="009558CD" w:rsidRPr="003E4FD1" w:rsidRDefault="009558CD" w:rsidP="000B4AC2">
            <w:pPr>
              <w:jc w:val="center"/>
              <w:rPr>
                <w:rFonts w:eastAsia="Times New Roman"/>
                <w:color w:val="000000" w:themeColor="text1"/>
                <w:szCs w:val="24"/>
              </w:rPr>
            </w:pPr>
            <w:r w:rsidRPr="00745A7D">
              <w:t xml:space="preserve">Positive </w:t>
            </w:r>
            <w:proofErr w:type="gramStart"/>
            <w:r w:rsidRPr="00745A7D">
              <w:t>fairly symmetrical</w:t>
            </w:r>
            <w:proofErr w:type="gramEnd"/>
          </w:p>
        </w:tc>
        <w:tc>
          <w:tcPr>
            <w:tcW w:w="1170" w:type="dxa"/>
            <w:vAlign w:val="center"/>
          </w:tcPr>
          <w:p w14:paraId="2301E55C" w14:textId="13811068" w:rsidR="009558CD" w:rsidRPr="003E4FD1" w:rsidRDefault="009558CD" w:rsidP="000B4AC2">
            <w:pPr>
              <w:jc w:val="center"/>
              <w:rPr>
                <w:color w:val="000000" w:themeColor="text1"/>
                <w:szCs w:val="24"/>
              </w:rPr>
            </w:pPr>
            <w:r w:rsidRPr="00745A7D">
              <w:t>-1.3210</w:t>
            </w:r>
          </w:p>
        </w:tc>
        <w:tc>
          <w:tcPr>
            <w:tcW w:w="1350" w:type="dxa"/>
            <w:shd w:val="clear" w:color="auto" w:fill="auto"/>
            <w:vAlign w:val="center"/>
          </w:tcPr>
          <w:p w14:paraId="1AC8B911" w14:textId="595F2B8A" w:rsidR="009558CD" w:rsidRPr="003E4FD1" w:rsidRDefault="009558CD" w:rsidP="000B4AC2">
            <w:pPr>
              <w:jc w:val="center"/>
              <w:rPr>
                <w:rFonts w:eastAsia="Times New Roman"/>
                <w:color w:val="000000" w:themeColor="text1"/>
                <w:szCs w:val="24"/>
              </w:rPr>
            </w:pPr>
            <w:r w:rsidRPr="00745A7D">
              <w:t>Platykurtic</w:t>
            </w:r>
          </w:p>
        </w:tc>
      </w:tr>
    </w:tbl>
    <w:p w14:paraId="664F25CA" w14:textId="3611CB5E" w:rsidR="00662512" w:rsidRPr="00DC62C8" w:rsidRDefault="00DC62C8" w:rsidP="00196651">
      <w:pPr>
        <w:pStyle w:val="Figure"/>
        <w:spacing w:before="0"/>
        <w:jc w:val="left"/>
        <w:rPr>
          <w:b w:val="0"/>
          <w:bCs w:val="0"/>
        </w:rPr>
      </w:pPr>
      <w:r w:rsidRPr="006B4454">
        <w:rPr>
          <w:b w:val="0"/>
          <w:bCs w:val="0"/>
          <w:i/>
          <w:iCs/>
        </w:rPr>
        <w:t>Note</w:t>
      </w:r>
      <w:r w:rsidRPr="006B4454">
        <w:rPr>
          <w:b w:val="0"/>
          <w:bCs w:val="0"/>
        </w:rPr>
        <w:t>: (</w:t>
      </w:r>
      <w:r w:rsidR="007C74D3" w:rsidRPr="006B4454">
        <w:rPr>
          <w:b w:val="0"/>
          <w:bCs w:val="0"/>
        </w:rPr>
        <w:t>a</w:t>
      </w:r>
      <w:r w:rsidRPr="006B4454">
        <w:rPr>
          <w:b w:val="0"/>
          <w:bCs w:val="0"/>
        </w:rPr>
        <w:t>) C.V. is the coefficient of variation. (</w:t>
      </w:r>
      <w:r w:rsidR="007C74D3" w:rsidRPr="006B4454">
        <w:rPr>
          <w:b w:val="0"/>
          <w:bCs w:val="0"/>
        </w:rPr>
        <w:t>b</w:t>
      </w:r>
      <w:r w:rsidRPr="006B4454">
        <w:rPr>
          <w:b w:val="0"/>
          <w:bCs w:val="0"/>
        </w:rPr>
        <w:t>) Variance is in squared units</w:t>
      </w:r>
      <w:r w:rsidR="00786FD9" w:rsidRPr="006B4454">
        <w:rPr>
          <w:b w:val="0"/>
          <w:bCs w:val="0"/>
        </w:rPr>
        <w:t xml:space="preserve"> (</w:t>
      </w:r>
      <w:r w:rsidR="007C74D3" w:rsidRPr="006B4454">
        <w:rPr>
          <w:b w:val="0"/>
          <w:bCs w:val="0"/>
        </w:rPr>
        <w:t>c</w:t>
      </w:r>
      <w:r w:rsidR="00786FD9" w:rsidRPr="006B4454">
        <w:rPr>
          <w:b w:val="0"/>
          <w:bCs w:val="0"/>
        </w:rPr>
        <w:t xml:space="preserve">) </w:t>
      </w:r>
      <w:r w:rsidR="008317BF" w:rsidRPr="006B4454">
        <w:rPr>
          <w:b w:val="0"/>
          <w:bCs w:val="0"/>
        </w:rPr>
        <w:t xml:space="preserve">The summary statistics of GDP, GNDI, HDI, and IEF </w:t>
      </w:r>
      <w:r w:rsidR="007C74D3" w:rsidRPr="006B4454">
        <w:rPr>
          <w:b w:val="0"/>
          <w:bCs w:val="0"/>
        </w:rPr>
        <w:t>are</w:t>
      </w:r>
      <w:r w:rsidR="008317BF" w:rsidRPr="006B4454">
        <w:rPr>
          <w:b w:val="0"/>
          <w:bCs w:val="0"/>
        </w:rPr>
        <w:t xml:space="preserve"> reported </w:t>
      </w:r>
      <w:r w:rsidR="0098470F">
        <w:rPr>
          <w:b w:val="0"/>
          <w:bCs w:val="0"/>
        </w:rPr>
        <w:t xml:space="preserve">and discussed </w:t>
      </w:r>
      <w:r w:rsidR="008317BF" w:rsidRPr="006B4454">
        <w:rPr>
          <w:b w:val="0"/>
          <w:bCs w:val="0"/>
        </w:rPr>
        <w:t xml:space="preserve">in </w:t>
      </w:r>
      <w:r w:rsidR="00A377FA" w:rsidRPr="00A377FA">
        <w:rPr>
          <w:b w:val="0"/>
          <w:bCs w:val="0"/>
        </w:rPr>
        <w:fldChar w:fldCharType="begin"/>
      </w:r>
      <w:r w:rsidR="00A377FA">
        <w:rPr>
          <w:b w:val="0"/>
          <w:bCs w:val="0"/>
        </w:rPr>
        <w:instrText xml:space="preserve"> ADDIN ZOTERO_ITEM CSL_CITATION {"citationID":"2OCfeC6J","properties":{"formattedCitation":"(Iwuoha &amp; Onochie, 2022)","plainCitation":"(Iwuoha &amp; Onochie, 2022)","dontUpdate":true,"noteIndex":0},"citationItems":[{"id":2199,"uris":["http://zotero.org/users/5016855/items/VPGV8A97"],"itemData":{"id":2199,"type":"article-journal","abstract":"This paper investigates the time series properties of three Beyond-Gross Domestic Product (BGDP) measures in Canada, namely, gross national disposable income (GNDI), human development index (HDI), and index of economic freedom (IEF), along with Gross Domestic Product (GDP). GDP is the most used metric for measuring economic growth and is susceptible to influence by numerous factors beyond the value of production measured by GDP. BGDP measures have been suggested in the literature as alternative indicators that can capture economic progress in a more holistic way (Kimmerer, 2020). This paper generates and evaluates the descriptive statistics of GDP and BGDP indicators. To evaluate the potential existence of a long run relationship between GDP and BGDP indices, we performed Augmented Dickey Fuller stationarity and Johansen cointegration tests. The results demonstrate that per capita GDP is cointegrated with the BGDP indicators. Furthermore, this study shows for the first time in the literature that BGDP measures are cointegrated when paired with each other. The paper contributes to the literature by highlighting the time series properties of BGDP indicators in Canada. This insight facilitates understanding the behavior of BGDP measures, thereby further enhancing the use of these measures for econometric studies and policy making.","container-title":"Advances in Management and Applied Economics","DOI":"10.47260/amae/1256","language":"en","page":"79-94","source":"DOI.org (Crossref)","title":"Time Series Characteristics of Canada’s Beyond GDP Indicators","author":[{"family":"Iwuoha","given":"Sochi"},{"family":"Onochie","given":"Joseph I."}],"issued":{"date-parts":[["2022",8,1]]}}}],"schema":"https://github.com/citation-style-language/schema/raw/master/csl-citation.json"} </w:instrText>
      </w:r>
      <w:r w:rsidR="00A377FA" w:rsidRPr="00A377FA">
        <w:rPr>
          <w:b w:val="0"/>
          <w:bCs w:val="0"/>
        </w:rPr>
        <w:fldChar w:fldCharType="separate"/>
      </w:r>
      <w:r w:rsidR="00A377FA" w:rsidRPr="00A377FA">
        <w:rPr>
          <w:b w:val="0"/>
          <w:bCs w:val="0"/>
        </w:rPr>
        <w:t xml:space="preserve">Iwuoha &amp; Onochie </w:t>
      </w:r>
      <w:r w:rsidR="00A377FA">
        <w:rPr>
          <w:b w:val="0"/>
          <w:bCs w:val="0"/>
        </w:rPr>
        <w:t>(</w:t>
      </w:r>
      <w:r w:rsidR="00A377FA" w:rsidRPr="00A377FA">
        <w:rPr>
          <w:b w:val="0"/>
          <w:bCs w:val="0"/>
        </w:rPr>
        <w:t>2022)</w:t>
      </w:r>
      <w:r w:rsidR="00A377FA" w:rsidRPr="00A377FA">
        <w:rPr>
          <w:b w:val="0"/>
          <w:bCs w:val="0"/>
        </w:rPr>
        <w:fldChar w:fldCharType="end"/>
      </w:r>
      <w:r w:rsidR="00A377FA" w:rsidRPr="00A377FA">
        <w:rPr>
          <w:b w:val="0"/>
          <w:bCs w:val="0"/>
        </w:rPr>
        <w:t>.</w:t>
      </w:r>
    </w:p>
    <w:p w14:paraId="184A7E03" w14:textId="77777777" w:rsidR="00317FEA" w:rsidRDefault="00317FEA" w:rsidP="00650B4E">
      <w:pPr>
        <w:pStyle w:val="Figure"/>
        <w:spacing w:before="0" w:after="0"/>
      </w:pPr>
    </w:p>
    <w:p w14:paraId="2B14A769" w14:textId="7B2A74E4" w:rsidR="00DC62C8" w:rsidRPr="00B66698" w:rsidRDefault="00DC62C8" w:rsidP="00DC62C8">
      <w:pPr>
        <w:pStyle w:val="Tabletitle"/>
        <w:rPr>
          <w:sz w:val="24"/>
          <w:szCs w:val="24"/>
        </w:rPr>
      </w:pPr>
      <w:r w:rsidRPr="00B7097D">
        <w:rPr>
          <w:sz w:val="24"/>
          <w:szCs w:val="24"/>
        </w:rPr>
        <w:t xml:space="preserve">Table </w:t>
      </w:r>
      <w:r w:rsidR="00B66698" w:rsidRPr="00B7097D">
        <w:rPr>
          <w:sz w:val="24"/>
          <w:szCs w:val="24"/>
        </w:rPr>
        <w:t>2</w:t>
      </w:r>
      <w:r w:rsidRPr="00B7097D">
        <w:rPr>
          <w:sz w:val="24"/>
          <w:szCs w:val="24"/>
        </w:rPr>
        <w:t>: Summary results of ADF unit root tests</w:t>
      </w:r>
      <w:r w:rsidR="00B7097D" w:rsidRPr="00B7097D">
        <w:rPr>
          <w:sz w:val="24"/>
          <w:szCs w:val="24"/>
        </w:rPr>
        <w:t xml:space="preserve"> for GHGpc</w:t>
      </w:r>
    </w:p>
    <w:tbl>
      <w:tblPr>
        <w:tblStyle w:val="TableGrid"/>
        <w:tblW w:w="7560" w:type="dxa"/>
        <w:jc w:val="center"/>
        <w:tblBorders>
          <w:insideV w:val="none" w:sz="0" w:space="0" w:color="auto"/>
        </w:tblBorders>
        <w:tblLayout w:type="fixed"/>
        <w:tblLook w:val="04A0" w:firstRow="1" w:lastRow="0" w:firstColumn="1" w:lastColumn="0" w:noHBand="0" w:noVBand="1"/>
      </w:tblPr>
      <w:tblGrid>
        <w:gridCol w:w="1075"/>
        <w:gridCol w:w="1672"/>
        <w:gridCol w:w="1673"/>
        <w:gridCol w:w="3140"/>
      </w:tblGrid>
      <w:tr w:rsidR="00DC62C8" w:rsidRPr="00EB7301" w14:paraId="44A79223" w14:textId="77777777" w:rsidTr="003E1254">
        <w:trPr>
          <w:trHeight w:val="431"/>
          <w:jc w:val="center"/>
        </w:trPr>
        <w:tc>
          <w:tcPr>
            <w:tcW w:w="1075" w:type="dxa"/>
            <w:vAlign w:val="center"/>
          </w:tcPr>
          <w:p w14:paraId="0233D745" w14:textId="77777777" w:rsidR="00DC62C8" w:rsidRPr="00B7097D" w:rsidRDefault="00DC62C8" w:rsidP="005004C2">
            <w:pPr>
              <w:jc w:val="center"/>
              <w:rPr>
                <w:color w:val="000000" w:themeColor="text1"/>
              </w:rPr>
            </w:pPr>
            <w:r w:rsidRPr="00B7097D">
              <w:rPr>
                <w:color w:val="000000" w:themeColor="text1"/>
              </w:rPr>
              <w:t>Variable</w:t>
            </w:r>
          </w:p>
        </w:tc>
        <w:tc>
          <w:tcPr>
            <w:tcW w:w="1672" w:type="dxa"/>
            <w:vAlign w:val="center"/>
          </w:tcPr>
          <w:p w14:paraId="19D62386" w14:textId="77777777" w:rsidR="00DC62C8" w:rsidRPr="00B7097D" w:rsidRDefault="00DC62C8" w:rsidP="005004C2">
            <w:pPr>
              <w:jc w:val="center"/>
              <w:rPr>
                <w:color w:val="000000" w:themeColor="text1"/>
              </w:rPr>
            </w:pPr>
            <w:r w:rsidRPr="00B7097D">
              <w:rPr>
                <w:color w:val="000000" w:themeColor="text1"/>
              </w:rPr>
              <w:t>Type</w:t>
            </w:r>
          </w:p>
        </w:tc>
        <w:tc>
          <w:tcPr>
            <w:tcW w:w="1673" w:type="dxa"/>
            <w:vAlign w:val="center"/>
          </w:tcPr>
          <w:p w14:paraId="471D7AA9" w14:textId="77777777" w:rsidR="00DC62C8" w:rsidRPr="00B7097D" w:rsidRDefault="00DC62C8" w:rsidP="005004C2">
            <w:pPr>
              <w:jc w:val="center"/>
              <w:rPr>
                <w:color w:val="000000" w:themeColor="text1"/>
              </w:rPr>
            </w:pPr>
            <w:r w:rsidRPr="00B7097D">
              <w:rPr>
                <w:color w:val="000000" w:themeColor="text1"/>
              </w:rPr>
              <w:t>p-value</w:t>
            </w:r>
          </w:p>
        </w:tc>
        <w:tc>
          <w:tcPr>
            <w:tcW w:w="3140" w:type="dxa"/>
            <w:vAlign w:val="center"/>
          </w:tcPr>
          <w:p w14:paraId="50F791F7" w14:textId="77777777" w:rsidR="00DC62C8" w:rsidRPr="00B7097D" w:rsidRDefault="00DC62C8" w:rsidP="005004C2">
            <w:pPr>
              <w:jc w:val="center"/>
              <w:rPr>
                <w:color w:val="000000" w:themeColor="text1"/>
              </w:rPr>
            </w:pPr>
            <w:r w:rsidRPr="00B7097D">
              <w:rPr>
                <w:color w:val="000000" w:themeColor="text1"/>
              </w:rPr>
              <w:t>Stationarity</w:t>
            </w:r>
          </w:p>
        </w:tc>
      </w:tr>
      <w:tr w:rsidR="00317FEA" w:rsidRPr="00EB7301" w14:paraId="21F8FDB8" w14:textId="77777777" w:rsidTr="003E1254">
        <w:trPr>
          <w:jc w:val="center"/>
        </w:trPr>
        <w:tc>
          <w:tcPr>
            <w:tcW w:w="1075" w:type="dxa"/>
            <w:vMerge w:val="restart"/>
            <w:vAlign w:val="center"/>
          </w:tcPr>
          <w:p w14:paraId="1ED5B853" w14:textId="3B48F8B8" w:rsidR="00317FEA" w:rsidRPr="00B7097D" w:rsidRDefault="00317FEA" w:rsidP="00B7097D">
            <w:pPr>
              <w:jc w:val="center"/>
              <w:rPr>
                <w:color w:val="000000" w:themeColor="text1"/>
              </w:rPr>
            </w:pPr>
            <w:r w:rsidRPr="00B7097D">
              <w:rPr>
                <w:color w:val="000000" w:themeColor="text1"/>
              </w:rPr>
              <w:t>GHGpc</w:t>
            </w:r>
          </w:p>
        </w:tc>
        <w:tc>
          <w:tcPr>
            <w:tcW w:w="1672" w:type="dxa"/>
            <w:vAlign w:val="center"/>
          </w:tcPr>
          <w:p w14:paraId="080D1A81" w14:textId="77777777" w:rsidR="00317FEA" w:rsidRPr="00B7097D" w:rsidRDefault="00317FEA" w:rsidP="00B7097D">
            <w:pPr>
              <w:jc w:val="center"/>
              <w:rPr>
                <w:color w:val="000000" w:themeColor="text1"/>
              </w:rPr>
            </w:pPr>
            <w:r w:rsidRPr="00B7097D">
              <w:rPr>
                <w:color w:val="000000" w:themeColor="text1"/>
              </w:rPr>
              <w:t>Level</w:t>
            </w:r>
          </w:p>
        </w:tc>
        <w:tc>
          <w:tcPr>
            <w:tcW w:w="1673" w:type="dxa"/>
            <w:vAlign w:val="center"/>
          </w:tcPr>
          <w:p w14:paraId="79BE82E1" w14:textId="003FB0A6" w:rsidR="00317FEA" w:rsidRPr="00B7097D" w:rsidRDefault="00317FEA" w:rsidP="00B7097D">
            <w:pPr>
              <w:jc w:val="center"/>
              <w:rPr>
                <w:color w:val="000000" w:themeColor="text1"/>
              </w:rPr>
            </w:pPr>
            <w:r w:rsidRPr="00B7097D">
              <w:rPr>
                <w:color w:val="000000" w:themeColor="text1"/>
              </w:rPr>
              <w:t>0.5246</w:t>
            </w:r>
          </w:p>
        </w:tc>
        <w:tc>
          <w:tcPr>
            <w:tcW w:w="3140" w:type="dxa"/>
          </w:tcPr>
          <w:p w14:paraId="1CAFDE89" w14:textId="3DAC9B93" w:rsidR="00317FEA" w:rsidRPr="00B7097D" w:rsidRDefault="00317FEA" w:rsidP="00B7097D">
            <w:pPr>
              <w:jc w:val="center"/>
              <w:rPr>
                <w:color w:val="000000" w:themeColor="text1"/>
              </w:rPr>
            </w:pPr>
            <w:r w:rsidRPr="00B7097D">
              <w:rPr>
                <w:color w:val="000000" w:themeColor="text1"/>
              </w:rPr>
              <w:t>Non-stationary</w:t>
            </w:r>
          </w:p>
        </w:tc>
      </w:tr>
      <w:tr w:rsidR="00317FEA" w:rsidRPr="00EB7301" w14:paraId="25CC10DA" w14:textId="77777777" w:rsidTr="003E1254">
        <w:trPr>
          <w:jc w:val="center"/>
        </w:trPr>
        <w:tc>
          <w:tcPr>
            <w:tcW w:w="1075" w:type="dxa"/>
            <w:vMerge/>
            <w:vAlign w:val="center"/>
          </w:tcPr>
          <w:p w14:paraId="682A4E6A" w14:textId="77777777" w:rsidR="00317FEA" w:rsidRPr="00B7097D" w:rsidRDefault="00317FEA" w:rsidP="00B7097D">
            <w:pPr>
              <w:jc w:val="center"/>
              <w:rPr>
                <w:color w:val="000000" w:themeColor="text1"/>
              </w:rPr>
            </w:pPr>
          </w:p>
        </w:tc>
        <w:tc>
          <w:tcPr>
            <w:tcW w:w="1672" w:type="dxa"/>
            <w:vAlign w:val="center"/>
          </w:tcPr>
          <w:p w14:paraId="3A0F18CB" w14:textId="77777777" w:rsidR="00317FEA" w:rsidRPr="00B7097D" w:rsidRDefault="00317FEA" w:rsidP="00B7097D">
            <w:pPr>
              <w:jc w:val="center"/>
              <w:rPr>
                <w:color w:val="000000" w:themeColor="text1"/>
              </w:rPr>
            </w:pPr>
            <w:r w:rsidRPr="00B7097D">
              <w:rPr>
                <w:color w:val="000000" w:themeColor="text1"/>
              </w:rPr>
              <w:t>First difference</w:t>
            </w:r>
          </w:p>
        </w:tc>
        <w:tc>
          <w:tcPr>
            <w:tcW w:w="1673" w:type="dxa"/>
            <w:vAlign w:val="center"/>
          </w:tcPr>
          <w:p w14:paraId="7036E6E1" w14:textId="12E20957" w:rsidR="00317FEA" w:rsidRPr="00B7097D" w:rsidRDefault="00317FEA" w:rsidP="00B7097D">
            <w:pPr>
              <w:jc w:val="center"/>
              <w:rPr>
                <w:color w:val="000000" w:themeColor="text1"/>
              </w:rPr>
            </w:pPr>
            <w:r w:rsidRPr="00B7097D">
              <w:rPr>
                <w:color w:val="000000" w:themeColor="text1"/>
              </w:rPr>
              <w:t>0.9821</w:t>
            </w:r>
          </w:p>
        </w:tc>
        <w:tc>
          <w:tcPr>
            <w:tcW w:w="3140" w:type="dxa"/>
          </w:tcPr>
          <w:p w14:paraId="05443C5B" w14:textId="22FD1921" w:rsidR="00317FEA" w:rsidRPr="00B7097D" w:rsidRDefault="00317FEA" w:rsidP="00B7097D">
            <w:pPr>
              <w:jc w:val="center"/>
              <w:rPr>
                <w:color w:val="000000" w:themeColor="text1"/>
              </w:rPr>
            </w:pPr>
            <w:r w:rsidRPr="00B7097D">
              <w:rPr>
                <w:color w:val="000000" w:themeColor="text1"/>
              </w:rPr>
              <w:t>Non-stationary</w:t>
            </w:r>
          </w:p>
        </w:tc>
      </w:tr>
      <w:tr w:rsidR="00317FEA" w:rsidRPr="00EB7301" w14:paraId="488CE761" w14:textId="77777777" w:rsidTr="003E1254">
        <w:trPr>
          <w:jc w:val="center"/>
        </w:trPr>
        <w:tc>
          <w:tcPr>
            <w:tcW w:w="1075" w:type="dxa"/>
            <w:vMerge/>
            <w:vAlign w:val="center"/>
          </w:tcPr>
          <w:p w14:paraId="20AF51F7" w14:textId="77777777" w:rsidR="00317FEA" w:rsidRPr="00B7097D" w:rsidRDefault="00317FEA" w:rsidP="00B7097D">
            <w:pPr>
              <w:jc w:val="center"/>
              <w:rPr>
                <w:color w:val="000000" w:themeColor="text1"/>
              </w:rPr>
            </w:pPr>
          </w:p>
        </w:tc>
        <w:tc>
          <w:tcPr>
            <w:tcW w:w="1672" w:type="dxa"/>
            <w:vAlign w:val="center"/>
          </w:tcPr>
          <w:p w14:paraId="00E8313F" w14:textId="77777777" w:rsidR="00317FEA" w:rsidRPr="00B7097D" w:rsidRDefault="00317FEA" w:rsidP="00B7097D">
            <w:pPr>
              <w:jc w:val="center"/>
              <w:rPr>
                <w:color w:val="000000" w:themeColor="text1"/>
              </w:rPr>
            </w:pPr>
            <w:r w:rsidRPr="00B7097D">
              <w:rPr>
                <w:color w:val="000000" w:themeColor="text1"/>
              </w:rPr>
              <w:t>First difference*</w:t>
            </w:r>
          </w:p>
        </w:tc>
        <w:tc>
          <w:tcPr>
            <w:tcW w:w="1673" w:type="dxa"/>
            <w:vAlign w:val="center"/>
          </w:tcPr>
          <w:p w14:paraId="66B6006C" w14:textId="304534EC" w:rsidR="00317FEA" w:rsidRPr="00B7097D" w:rsidRDefault="00317FEA" w:rsidP="00B7097D">
            <w:pPr>
              <w:jc w:val="center"/>
              <w:rPr>
                <w:color w:val="000000" w:themeColor="text1"/>
              </w:rPr>
            </w:pPr>
            <w:r w:rsidRPr="00B7097D">
              <w:rPr>
                <w:color w:val="000000" w:themeColor="text1"/>
              </w:rPr>
              <w:t>0.0896</w:t>
            </w:r>
          </w:p>
        </w:tc>
        <w:tc>
          <w:tcPr>
            <w:tcW w:w="3140" w:type="dxa"/>
          </w:tcPr>
          <w:p w14:paraId="6F3B1476" w14:textId="0E66488A" w:rsidR="00317FEA" w:rsidRPr="00B7097D" w:rsidRDefault="00317FEA" w:rsidP="00B7097D">
            <w:pPr>
              <w:jc w:val="center"/>
              <w:rPr>
                <w:color w:val="000000" w:themeColor="text1"/>
              </w:rPr>
            </w:pPr>
            <w:r w:rsidRPr="00B7097D">
              <w:rPr>
                <w:color w:val="000000" w:themeColor="text1"/>
              </w:rPr>
              <w:t>Stationary at the 10% level but not at the 1% and 5% significance levels</w:t>
            </w:r>
          </w:p>
        </w:tc>
      </w:tr>
    </w:tbl>
    <w:p w14:paraId="5DA51BAF" w14:textId="0251BEB1" w:rsidR="00DC62C8" w:rsidRDefault="00DC62C8" w:rsidP="001D3A2C">
      <w:pPr>
        <w:pStyle w:val="Figure"/>
        <w:spacing w:before="0" w:after="0"/>
        <w:jc w:val="left"/>
        <w:rPr>
          <w:b w:val="0"/>
          <w:bCs w:val="0"/>
        </w:rPr>
      </w:pPr>
      <w:r w:rsidRPr="00DC62C8">
        <w:rPr>
          <w:b w:val="0"/>
          <w:bCs w:val="0"/>
          <w:i/>
          <w:iCs/>
        </w:rPr>
        <w:t>Note</w:t>
      </w:r>
      <w:r w:rsidRPr="00DC62C8">
        <w:rPr>
          <w:b w:val="0"/>
          <w:bCs w:val="0"/>
        </w:rPr>
        <w:t>: (a) Unless otherwise indicated, the ADF results were derived from tests that were performed using the “constant and trend” scenario. (b) *refers to a test with constant only.</w:t>
      </w:r>
      <w:r w:rsidR="001D3A2C">
        <w:rPr>
          <w:b w:val="0"/>
          <w:bCs w:val="0"/>
        </w:rPr>
        <w:t xml:space="preserve"> </w:t>
      </w:r>
      <w:r w:rsidR="001D3A2C" w:rsidRPr="006B4454">
        <w:rPr>
          <w:b w:val="0"/>
          <w:bCs w:val="0"/>
        </w:rPr>
        <w:t xml:space="preserve">(c) The </w:t>
      </w:r>
      <w:r w:rsidR="001D3A2C">
        <w:rPr>
          <w:b w:val="0"/>
          <w:bCs w:val="0"/>
        </w:rPr>
        <w:t xml:space="preserve">ADF unit root test results of </w:t>
      </w:r>
      <w:r w:rsidR="001D3A2C" w:rsidRPr="006B4454">
        <w:rPr>
          <w:b w:val="0"/>
          <w:bCs w:val="0"/>
        </w:rPr>
        <w:t xml:space="preserve">GDP, GNDI, HDI, and IEF are reported </w:t>
      </w:r>
      <w:r w:rsidR="0098470F">
        <w:rPr>
          <w:b w:val="0"/>
          <w:bCs w:val="0"/>
        </w:rPr>
        <w:t xml:space="preserve">and discussed </w:t>
      </w:r>
      <w:r w:rsidR="001D3A2C" w:rsidRPr="006B4454">
        <w:rPr>
          <w:b w:val="0"/>
          <w:bCs w:val="0"/>
        </w:rPr>
        <w:t xml:space="preserve">in </w:t>
      </w:r>
      <w:r w:rsidR="00A377FA" w:rsidRPr="00A377FA">
        <w:rPr>
          <w:b w:val="0"/>
          <w:bCs w:val="0"/>
        </w:rPr>
        <w:fldChar w:fldCharType="begin"/>
      </w:r>
      <w:r w:rsidR="00A377FA">
        <w:rPr>
          <w:b w:val="0"/>
          <w:bCs w:val="0"/>
        </w:rPr>
        <w:instrText xml:space="preserve"> ADDIN ZOTERO_ITEM CSL_CITATION {"citationID":"8aibEDNf","properties":{"formattedCitation":"(Iwuoha &amp; Onochie, 2022)","plainCitation":"(Iwuoha &amp; Onochie, 2022)","dontUpdate":true,"noteIndex":0},"citationItems":[{"id":2199,"uris":["http://zotero.org/users/5016855/items/VPGV8A97"],"itemData":{"id":2199,"type":"article-journal","abstract":"This paper investigates the time series properties of three Beyond-Gross Domestic Product (BGDP) measures in Canada, namely, gross national disposable income (GNDI), human development index (HDI), and index of economic freedom (IEF), along with Gross Domestic Product (GDP). GDP is the most used metric for measuring economic growth and is susceptible to influence by numerous factors beyond the value of production measured by GDP. BGDP measures have been suggested in the literature as alternative indicators that can capture economic progress in a more holistic way (Kimmerer, 2020). This paper generates and evaluates the descriptive statistics of GDP and BGDP indicators. To evaluate the potential existence of a long run relationship between GDP and BGDP indices, we performed Augmented Dickey Fuller stationarity and Johansen cointegration tests. The results demonstrate that per capita GDP is cointegrated with the BGDP indicators. Furthermore, this study shows for the first time in the literature that BGDP measures are cointegrated when paired with each other. The paper contributes to the literature by highlighting the time series properties of BGDP indicators in Canada. This insight facilitates understanding the behavior of BGDP measures, thereby further enhancing the use of these measures for econometric studies and policy making.","container-title":"Advances in Management and Applied Economics","DOI":"10.47260/amae/1256","language":"en","page":"79-94","source":"DOI.org (Crossref)","title":"Time Series Characteristics of Canada’s Beyond GDP Indicators","author":[{"family":"Iwuoha","given":"Sochi"},{"family":"Onochie","given":"Joseph I."}],"issued":{"date-parts":[["2022",8,1]]}}}],"schema":"https://github.com/citation-style-language/schema/raw/master/csl-citation.json"} </w:instrText>
      </w:r>
      <w:r w:rsidR="00A377FA" w:rsidRPr="00A377FA">
        <w:rPr>
          <w:b w:val="0"/>
          <w:bCs w:val="0"/>
        </w:rPr>
        <w:fldChar w:fldCharType="separate"/>
      </w:r>
      <w:r w:rsidR="00A377FA" w:rsidRPr="00A377FA">
        <w:rPr>
          <w:b w:val="0"/>
          <w:bCs w:val="0"/>
        </w:rPr>
        <w:t xml:space="preserve">Iwuoha &amp; Onochie </w:t>
      </w:r>
      <w:r w:rsidR="00A377FA">
        <w:rPr>
          <w:b w:val="0"/>
          <w:bCs w:val="0"/>
        </w:rPr>
        <w:t>(</w:t>
      </w:r>
      <w:r w:rsidR="00A377FA" w:rsidRPr="00A377FA">
        <w:rPr>
          <w:b w:val="0"/>
          <w:bCs w:val="0"/>
        </w:rPr>
        <w:t>2022)</w:t>
      </w:r>
      <w:r w:rsidR="00A377FA" w:rsidRPr="00A377FA">
        <w:rPr>
          <w:b w:val="0"/>
          <w:bCs w:val="0"/>
        </w:rPr>
        <w:fldChar w:fldCharType="end"/>
      </w:r>
      <w:r w:rsidR="00A377FA" w:rsidRPr="00A377FA">
        <w:rPr>
          <w:b w:val="0"/>
          <w:bCs w:val="0"/>
        </w:rPr>
        <w:t>.</w:t>
      </w:r>
      <w:r w:rsidR="00A377FA">
        <w:rPr>
          <w:b w:val="0"/>
          <w:bCs w:val="0"/>
        </w:rPr>
        <w:t xml:space="preserve"> </w:t>
      </w:r>
      <w:r w:rsidR="001D3A2C">
        <w:rPr>
          <w:b w:val="0"/>
          <w:bCs w:val="0"/>
        </w:rPr>
        <w:t>The results indicate</w:t>
      </w:r>
      <w:r w:rsidR="0098470F">
        <w:rPr>
          <w:b w:val="0"/>
          <w:bCs w:val="0"/>
        </w:rPr>
        <w:t>d</w:t>
      </w:r>
      <w:r w:rsidR="001D3A2C">
        <w:rPr>
          <w:b w:val="0"/>
          <w:bCs w:val="0"/>
        </w:rPr>
        <w:t xml:space="preserve"> that </w:t>
      </w:r>
      <w:r w:rsidR="001D3A2C" w:rsidRPr="006B4454">
        <w:rPr>
          <w:b w:val="0"/>
          <w:bCs w:val="0"/>
        </w:rPr>
        <w:t>GDP, GNDI, HDI, and IEF</w:t>
      </w:r>
      <w:r w:rsidR="001D3A2C">
        <w:rPr>
          <w:b w:val="0"/>
          <w:bCs w:val="0"/>
        </w:rPr>
        <w:t xml:space="preserve"> are non-stationary at level and stationary when first-differenced. </w:t>
      </w:r>
    </w:p>
    <w:p w14:paraId="4CF4739F" w14:textId="77777777" w:rsidR="00D238C4" w:rsidRDefault="00D238C4" w:rsidP="00DC62C8">
      <w:pPr>
        <w:pStyle w:val="Figure"/>
        <w:spacing w:before="0" w:after="0"/>
        <w:rPr>
          <w:b w:val="0"/>
          <w:bCs w:val="0"/>
        </w:rPr>
      </w:pPr>
    </w:p>
    <w:p w14:paraId="2F6C0711" w14:textId="2DC201C3" w:rsidR="009E712E" w:rsidRPr="00B66698" w:rsidRDefault="009E712E" w:rsidP="009E712E">
      <w:pPr>
        <w:pStyle w:val="MyTables"/>
        <w:jc w:val="center"/>
        <w:rPr>
          <w:rFonts w:cs="Times New Roman"/>
          <w:szCs w:val="24"/>
        </w:rPr>
      </w:pPr>
      <w:r w:rsidRPr="0014647A">
        <w:rPr>
          <w:rFonts w:cs="Times New Roman"/>
          <w:szCs w:val="24"/>
        </w:rPr>
        <w:t xml:space="preserve">Table </w:t>
      </w:r>
      <w:r w:rsidR="0014647A" w:rsidRPr="0014647A">
        <w:rPr>
          <w:rFonts w:cs="Times New Roman"/>
          <w:szCs w:val="24"/>
        </w:rPr>
        <w:t>3</w:t>
      </w:r>
      <w:r w:rsidR="003B1155" w:rsidRPr="0014647A">
        <w:rPr>
          <w:rFonts w:cs="Times New Roman"/>
          <w:szCs w:val="24"/>
        </w:rPr>
        <w:t xml:space="preserve">: Summary of VAR lag selection results for </w:t>
      </w:r>
      <w:r w:rsidR="0014647A" w:rsidRPr="0014647A">
        <w:rPr>
          <w:rFonts w:cs="Times New Roman"/>
          <w:szCs w:val="24"/>
        </w:rPr>
        <w:t>GHGpc and GDP-Alternatives</w:t>
      </w:r>
      <w:r w:rsidR="003B1155" w:rsidRPr="0014647A">
        <w:rPr>
          <w:rFonts w:cs="Times New Roman"/>
          <w:szCs w:val="24"/>
        </w:rPr>
        <w:t xml:space="preserve"> paired cointegration testing</w:t>
      </w:r>
    </w:p>
    <w:tbl>
      <w:tblPr>
        <w:tblStyle w:val="TableGrid"/>
        <w:tblW w:w="7565" w:type="dxa"/>
        <w:jc w:val="center"/>
        <w:tblBorders>
          <w:insideV w:val="none" w:sz="0" w:space="0" w:color="auto"/>
        </w:tblBorders>
        <w:tblLayout w:type="fixed"/>
        <w:tblLook w:val="04A0" w:firstRow="1" w:lastRow="0" w:firstColumn="1" w:lastColumn="0" w:noHBand="0" w:noVBand="1"/>
      </w:tblPr>
      <w:tblGrid>
        <w:gridCol w:w="2885"/>
        <w:gridCol w:w="2970"/>
        <w:gridCol w:w="1710"/>
      </w:tblGrid>
      <w:tr w:rsidR="009E712E" w:rsidRPr="009E712E" w14:paraId="1B8C7A27" w14:textId="77777777" w:rsidTr="0066160D">
        <w:trPr>
          <w:trHeight w:val="431"/>
          <w:jc w:val="center"/>
        </w:trPr>
        <w:tc>
          <w:tcPr>
            <w:tcW w:w="2885" w:type="dxa"/>
            <w:vAlign w:val="center"/>
          </w:tcPr>
          <w:p w14:paraId="6DB7C447" w14:textId="77777777" w:rsidR="009E712E" w:rsidRPr="0014647A" w:rsidRDefault="009E712E" w:rsidP="009E712E">
            <w:pPr>
              <w:jc w:val="center"/>
              <w:rPr>
                <w:color w:val="000000" w:themeColor="text1"/>
              </w:rPr>
            </w:pPr>
            <w:r w:rsidRPr="0014647A">
              <w:rPr>
                <w:color w:val="000000" w:themeColor="text1"/>
              </w:rPr>
              <w:t>Variables</w:t>
            </w:r>
          </w:p>
        </w:tc>
        <w:tc>
          <w:tcPr>
            <w:tcW w:w="2970" w:type="dxa"/>
            <w:vAlign w:val="center"/>
          </w:tcPr>
          <w:p w14:paraId="3DF1DB4B" w14:textId="77777777" w:rsidR="009E712E" w:rsidRPr="0014647A" w:rsidRDefault="009E712E" w:rsidP="009E712E">
            <w:pPr>
              <w:jc w:val="center"/>
              <w:rPr>
                <w:color w:val="000000" w:themeColor="text1"/>
              </w:rPr>
            </w:pPr>
            <w:r w:rsidRPr="0014647A">
              <w:rPr>
                <w:color w:val="000000" w:themeColor="text1"/>
              </w:rPr>
              <w:t>Scenario</w:t>
            </w:r>
          </w:p>
        </w:tc>
        <w:tc>
          <w:tcPr>
            <w:tcW w:w="1710" w:type="dxa"/>
            <w:vAlign w:val="center"/>
          </w:tcPr>
          <w:p w14:paraId="02769DB2" w14:textId="77777777" w:rsidR="009E712E" w:rsidRPr="0014647A" w:rsidRDefault="009E712E" w:rsidP="009E712E">
            <w:pPr>
              <w:jc w:val="center"/>
              <w:rPr>
                <w:color w:val="000000" w:themeColor="text1"/>
              </w:rPr>
            </w:pPr>
            <w:r w:rsidRPr="0014647A">
              <w:rPr>
                <w:color w:val="000000" w:themeColor="text1"/>
              </w:rPr>
              <w:t>Lag Length</w:t>
            </w:r>
          </w:p>
        </w:tc>
      </w:tr>
      <w:tr w:rsidR="0014647A" w:rsidRPr="009E712E" w14:paraId="51D67627" w14:textId="77777777" w:rsidTr="0014647A">
        <w:trPr>
          <w:jc w:val="center"/>
        </w:trPr>
        <w:tc>
          <w:tcPr>
            <w:tcW w:w="2885" w:type="dxa"/>
            <w:vMerge w:val="restart"/>
            <w:vAlign w:val="center"/>
          </w:tcPr>
          <w:p w14:paraId="7736DE64" w14:textId="3F3CE6F3" w:rsidR="0014647A" w:rsidRPr="0014647A" w:rsidRDefault="0014647A" w:rsidP="0014647A">
            <w:pPr>
              <w:jc w:val="center"/>
              <w:rPr>
                <w:color w:val="000000" w:themeColor="text1"/>
              </w:rPr>
            </w:pPr>
            <w:r w:rsidRPr="0014647A">
              <w:rPr>
                <w:color w:val="000000" w:themeColor="text1"/>
              </w:rPr>
              <w:t>GHGpc vs GDPpc</w:t>
            </w:r>
          </w:p>
        </w:tc>
        <w:tc>
          <w:tcPr>
            <w:tcW w:w="2970" w:type="dxa"/>
            <w:vAlign w:val="center"/>
          </w:tcPr>
          <w:p w14:paraId="0EFEAA54" w14:textId="77777777" w:rsidR="0014647A" w:rsidRPr="0014647A" w:rsidRDefault="0014647A" w:rsidP="0014647A">
            <w:pPr>
              <w:jc w:val="center"/>
              <w:rPr>
                <w:color w:val="000000" w:themeColor="text1"/>
              </w:rPr>
            </w:pPr>
            <w:r w:rsidRPr="0014647A">
              <w:rPr>
                <w:color w:val="000000" w:themeColor="text1"/>
              </w:rPr>
              <w:t>With constant</w:t>
            </w:r>
          </w:p>
        </w:tc>
        <w:tc>
          <w:tcPr>
            <w:tcW w:w="1710" w:type="dxa"/>
            <w:vAlign w:val="center"/>
          </w:tcPr>
          <w:p w14:paraId="5AD8FFB4" w14:textId="77777777" w:rsidR="0014647A" w:rsidRPr="0014647A" w:rsidRDefault="0014647A" w:rsidP="0014647A">
            <w:pPr>
              <w:jc w:val="center"/>
              <w:rPr>
                <w:color w:val="000000" w:themeColor="text1"/>
              </w:rPr>
            </w:pPr>
            <w:r w:rsidRPr="0014647A">
              <w:rPr>
                <w:color w:val="000000" w:themeColor="text1"/>
              </w:rPr>
              <w:t>7</w:t>
            </w:r>
          </w:p>
        </w:tc>
      </w:tr>
      <w:tr w:rsidR="0014647A" w:rsidRPr="009E712E" w14:paraId="203BBA80" w14:textId="77777777" w:rsidTr="0014647A">
        <w:trPr>
          <w:jc w:val="center"/>
        </w:trPr>
        <w:tc>
          <w:tcPr>
            <w:tcW w:w="2885" w:type="dxa"/>
            <w:vMerge/>
            <w:vAlign w:val="center"/>
          </w:tcPr>
          <w:p w14:paraId="2B7FA73D" w14:textId="77777777" w:rsidR="0014647A" w:rsidRPr="0014647A" w:rsidRDefault="0014647A" w:rsidP="0014647A">
            <w:pPr>
              <w:jc w:val="center"/>
              <w:rPr>
                <w:color w:val="000000" w:themeColor="text1"/>
              </w:rPr>
            </w:pPr>
          </w:p>
        </w:tc>
        <w:tc>
          <w:tcPr>
            <w:tcW w:w="2970" w:type="dxa"/>
            <w:vAlign w:val="center"/>
          </w:tcPr>
          <w:p w14:paraId="5B3F864E" w14:textId="77777777" w:rsidR="0014647A" w:rsidRPr="0014647A" w:rsidRDefault="0014647A" w:rsidP="0014647A">
            <w:pPr>
              <w:jc w:val="center"/>
              <w:rPr>
                <w:color w:val="000000" w:themeColor="text1"/>
              </w:rPr>
            </w:pPr>
            <w:r w:rsidRPr="0014647A">
              <w:rPr>
                <w:color w:val="000000" w:themeColor="text1"/>
              </w:rPr>
              <w:t>With constant and trend</w:t>
            </w:r>
          </w:p>
        </w:tc>
        <w:tc>
          <w:tcPr>
            <w:tcW w:w="1710" w:type="dxa"/>
            <w:vAlign w:val="center"/>
          </w:tcPr>
          <w:p w14:paraId="2F10528D" w14:textId="77777777" w:rsidR="0014647A" w:rsidRPr="0014647A" w:rsidRDefault="0014647A" w:rsidP="0014647A">
            <w:pPr>
              <w:jc w:val="center"/>
              <w:rPr>
                <w:color w:val="000000" w:themeColor="text1"/>
              </w:rPr>
            </w:pPr>
            <w:r w:rsidRPr="0014647A">
              <w:rPr>
                <w:color w:val="000000" w:themeColor="text1"/>
              </w:rPr>
              <w:t>7</w:t>
            </w:r>
          </w:p>
        </w:tc>
      </w:tr>
      <w:tr w:rsidR="0014647A" w:rsidRPr="009E712E" w14:paraId="00D301BC" w14:textId="77777777" w:rsidTr="0014647A">
        <w:trPr>
          <w:jc w:val="center"/>
        </w:trPr>
        <w:tc>
          <w:tcPr>
            <w:tcW w:w="2885" w:type="dxa"/>
            <w:vMerge w:val="restart"/>
            <w:vAlign w:val="center"/>
          </w:tcPr>
          <w:p w14:paraId="2E6E7AB8" w14:textId="02A21B17" w:rsidR="0014647A" w:rsidRPr="0014647A" w:rsidRDefault="0014647A" w:rsidP="0014647A">
            <w:pPr>
              <w:jc w:val="center"/>
              <w:rPr>
                <w:color w:val="000000" w:themeColor="text1"/>
              </w:rPr>
            </w:pPr>
            <w:r w:rsidRPr="0014647A">
              <w:rPr>
                <w:color w:val="000000" w:themeColor="text1"/>
              </w:rPr>
              <w:t>GHGpc vs GNDIpc</w:t>
            </w:r>
          </w:p>
        </w:tc>
        <w:tc>
          <w:tcPr>
            <w:tcW w:w="2970" w:type="dxa"/>
            <w:vAlign w:val="center"/>
          </w:tcPr>
          <w:p w14:paraId="5F66C3DA" w14:textId="77777777" w:rsidR="0014647A" w:rsidRPr="0014647A" w:rsidRDefault="0014647A" w:rsidP="0014647A">
            <w:pPr>
              <w:jc w:val="center"/>
              <w:rPr>
                <w:color w:val="000000" w:themeColor="text1"/>
              </w:rPr>
            </w:pPr>
            <w:r w:rsidRPr="0014647A">
              <w:rPr>
                <w:color w:val="000000" w:themeColor="text1"/>
              </w:rPr>
              <w:t>With constant</w:t>
            </w:r>
          </w:p>
        </w:tc>
        <w:tc>
          <w:tcPr>
            <w:tcW w:w="1710" w:type="dxa"/>
            <w:vAlign w:val="center"/>
          </w:tcPr>
          <w:p w14:paraId="04746854" w14:textId="77777777" w:rsidR="0014647A" w:rsidRPr="0014647A" w:rsidRDefault="0014647A" w:rsidP="0014647A">
            <w:pPr>
              <w:jc w:val="center"/>
              <w:rPr>
                <w:color w:val="000000" w:themeColor="text1"/>
              </w:rPr>
            </w:pPr>
            <w:r w:rsidRPr="0014647A">
              <w:rPr>
                <w:color w:val="000000" w:themeColor="text1"/>
              </w:rPr>
              <w:t>7</w:t>
            </w:r>
          </w:p>
        </w:tc>
      </w:tr>
      <w:tr w:rsidR="0014647A" w:rsidRPr="009E712E" w14:paraId="2B046E35" w14:textId="77777777" w:rsidTr="0014647A">
        <w:trPr>
          <w:jc w:val="center"/>
        </w:trPr>
        <w:tc>
          <w:tcPr>
            <w:tcW w:w="2885" w:type="dxa"/>
            <w:vMerge/>
            <w:vAlign w:val="center"/>
          </w:tcPr>
          <w:p w14:paraId="39F64B02" w14:textId="77777777" w:rsidR="0014647A" w:rsidRPr="0014647A" w:rsidRDefault="0014647A" w:rsidP="0014647A">
            <w:pPr>
              <w:jc w:val="center"/>
              <w:rPr>
                <w:color w:val="000000" w:themeColor="text1"/>
              </w:rPr>
            </w:pPr>
          </w:p>
        </w:tc>
        <w:tc>
          <w:tcPr>
            <w:tcW w:w="2970" w:type="dxa"/>
            <w:vAlign w:val="center"/>
          </w:tcPr>
          <w:p w14:paraId="38A87108" w14:textId="77777777" w:rsidR="0014647A" w:rsidRPr="0014647A" w:rsidRDefault="0014647A" w:rsidP="0014647A">
            <w:pPr>
              <w:jc w:val="center"/>
              <w:rPr>
                <w:color w:val="000000" w:themeColor="text1"/>
              </w:rPr>
            </w:pPr>
            <w:r w:rsidRPr="0014647A">
              <w:rPr>
                <w:color w:val="000000" w:themeColor="text1"/>
              </w:rPr>
              <w:t>With constant and trend</w:t>
            </w:r>
          </w:p>
        </w:tc>
        <w:tc>
          <w:tcPr>
            <w:tcW w:w="1710" w:type="dxa"/>
            <w:vAlign w:val="center"/>
          </w:tcPr>
          <w:p w14:paraId="31051507" w14:textId="77777777" w:rsidR="0014647A" w:rsidRPr="0014647A" w:rsidRDefault="0014647A" w:rsidP="0014647A">
            <w:pPr>
              <w:jc w:val="center"/>
              <w:rPr>
                <w:color w:val="000000" w:themeColor="text1"/>
              </w:rPr>
            </w:pPr>
            <w:r w:rsidRPr="0014647A">
              <w:rPr>
                <w:color w:val="000000" w:themeColor="text1"/>
              </w:rPr>
              <w:t>7</w:t>
            </w:r>
          </w:p>
        </w:tc>
      </w:tr>
      <w:tr w:rsidR="0014647A" w:rsidRPr="009E712E" w14:paraId="2BA497BA" w14:textId="77777777" w:rsidTr="0014647A">
        <w:trPr>
          <w:jc w:val="center"/>
        </w:trPr>
        <w:tc>
          <w:tcPr>
            <w:tcW w:w="2885" w:type="dxa"/>
            <w:vMerge w:val="restart"/>
            <w:vAlign w:val="center"/>
          </w:tcPr>
          <w:p w14:paraId="6404B7BA" w14:textId="3C258561" w:rsidR="0014647A" w:rsidRPr="0014647A" w:rsidRDefault="0014647A" w:rsidP="0014647A">
            <w:pPr>
              <w:jc w:val="center"/>
              <w:rPr>
                <w:color w:val="000000" w:themeColor="text1"/>
              </w:rPr>
            </w:pPr>
            <w:r w:rsidRPr="0014647A">
              <w:rPr>
                <w:color w:val="000000" w:themeColor="text1"/>
              </w:rPr>
              <w:t>GHGpc vs HDI</w:t>
            </w:r>
          </w:p>
        </w:tc>
        <w:tc>
          <w:tcPr>
            <w:tcW w:w="2970" w:type="dxa"/>
            <w:vAlign w:val="center"/>
          </w:tcPr>
          <w:p w14:paraId="2409378F" w14:textId="77777777" w:rsidR="0014647A" w:rsidRPr="0014647A" w:rsidRDefault="0014647A" w:rsidP="0014647A">
            <w:pPr>
              <w:jc w:val="center"/>
              <w:rPr>
                <w:color w:val="000000" w:themeColor="text1"/>
              </w:rPr>
            </w:pPr>
            <w:r w:rsidRPr="0014647A">
              <w:rPr>
                <w:color w:val="000000" w:themeColor="text1"/>
              </w:rPr>
              <w:t>With constant</w:t>
            </w:r>
          </w:p>
        </w:tc>
        <w:tc>
          <w:tcPr>
            <w:tcW w:w="1710" w:type="dxa"/>
            <w:vAlign w:val="center"/>
          </w:tcPr>
          <w:p w14:paraId="10A52C63" w14:textId="77777777" w:rsidR="0014647A" w:rsidRPr="0014647A" w:rsidRDefault="0014647A" w:rsidP="0014647A">
            <w:pPr>
              <w:jc w:val="center"/>
              <w:rPr>
                <w:color w:val="000000" w:themeColor="text1"/>
              </w:rPr>
            </w:pPr>
            <w:r w:rsidRPr="0014647A">
              <w:rPr>
                <w:color w:val="000000" w:themeColor="text1"/>
              </w:rPr>
              <w:t>7</w:t>
            </w:r>
          </w:p>
        </w:tc>
      </w:tr>
      <w:tr w:rsidR="0014647A" w:rsidRPr="009E712E" w14:paraId="4342FCFD" w14:textId="77777777" w:rsidTr="0014647A">
        <w:trPr>
          <w:jc w:val="center"/>
        </w:trPr>
        <w:tc>
          <w:tcPr>
            <w:tcW w:w="2885" w:type="dxa"/>
            <w:vMerge/>
            <w:vAlign w:val="center"/>
          </w:tcPr>
          <w:p w14:paraId="645D722A" w14:textId="77777777" w:rsidR="0014647A" w:rsidRPr="0014647A" w:rsidRDefault="0014647A" w:rsidP="0014647A">
            <w:pPr>
              <w:jc w:val="center"/>
              <w:rPr>
                <w:color w:val="000000" w:themeColor="text1"/>
              </w:rPr>
            </w:pPr>
          </w:p>
        </w:tc>
        <w:tc>
          <w:tcPr>
            <w:tcW w:w="2970" w:type="dxa"/>
            <w:vAlign w:val="center"/>
          </w:tcPr>
          <w:p w14:paraId="6FF1ACEA" w14:textId="77777777" w:rsidR="0014647A" w:rsidRPr="0014647A" w:rsidRDefault="0014647A" w:rsidP="0014647A">
            <w:pPr>
              <w:jc w:val="center"/>
              <w:rPr>
                <w:color w:val="000000" w:themeColor="text1"/>
              </w:rPr>
            </w:pPr>
            <w:r w:rsidRPr="0014647A">
              <w:rPr>
                <w:color w:val="000000" w:themeColor="text1"/>
              </w:rPr>
              <w:t>With constant and trend</w:t>
            </w:r>
          </w:p>
        </w:tc>
        <w:tc>
          <w:tcPr>
            <w:tcW w:w="1710" w:type="dxa"/>
            <w:vAlign w:val="center"/>
          </w:tcPr>
          <w:p w14:paraId="25839049" w14:textId="77777777" w:rsidR="0014647A" w:rsidRPr="0014647A" w:rsidRDefault="0014647A" w:rsidP="0014647A">
            <w:pPr>
              <w:jc w:val="center"/>
              <w:rPr>
                <w:color w:val="000000" w:themeColor="text1"/>
              </w:rPr>
            </w:pPr>
            <w:r w:rsidRPr="0014647A">
              <w:rPr>
                <w:color w:val="000000" w:themeColor="text1"/>
              </w:rPr>
              <w:t>7</w:t>
            </w:r>
          </w:p>
        </w:tc>
      </w:tr>
      <w:tr w:rsidR="0014647A" w:rsidRPr="009E712E" w14:paraId="0FE4C456" w14:textId="77777777" w:rsidTr="0014647A">
        <w:trPr>
          <w:jc w:val="center"/>
        </w:trPr>
        <w:tc>
          <w:tcPr>
            <w:tcW w:w="2885" w:type="dxa"/>
            <w:vMerge/>
            <w:vAlign w:val="center"/>
          </w:tcPr>
          <w:p w14:paraId="420EE2BE" w14:textId="77777777" w:rsidR="0014647A" w:rsidRPr="0014647A" w:rsidRDefault="0014647A" w:rsidP="0014647A">
            <w:pPr>
              <w:jc w:val="center"/>
              <w:rPr>
                <w:color w:val="000000" w:themeColor="text1"/>
              </w:rPr>
            </w:pPr>
          </w:p>
        </w:tc>
        <w:tc>
          <w:tcPr>
            <w:tcW w:w="2970" w:type="dxa"/>
            <w:vAlign w:val="center"/>
          </w:tcPr>
          <w:p w14:paraId="501D6EF6" w14:textId="77777777" w:rsidR="0014647A" w:rsidRPr="0014647A" w:rsidRDefault="0014647A" w:rsidP="0014647A">
            <w:pPr>
              <w:jc w:val="center"/>
              <w:rPr>
                <w:color w:val="000000" w:themeColor="text1"/>
              </w:rPr>
            </w:pPr>
            <w:r w:rsidRPr="0014647A">
              <w:rPr>
                <w:color w:val="000000" w:themeColor="text1"/>
              </w:rPr>
              <w:t>With constant and trend</w:t>
            </w:r>
          </w:p>
        </w:tc>
        <w:tc>
          <w:tcPr>
            <w:tcW w:w="1710" w:type="dxa"/>
            <w:vAlign w:val="center"/>
          </w:tcPr>
          <w:p w14:paraId="1436A857" w14:textId="77777777" w:rsidR="0014647A" w:rsidRPr="0014647A" w:rsidRDefault="0014647A" w:rsidP="0014647A">
            <w:pPr>
              <w:jc w:val="center"/>
              <w:rPr>
                <w:color w:val="000000" w:themeColor="text1"/>
              </w:rPr>
            </w:pPr>
            <w:r w:rsidRPr="0014647A">
              <w:rPr>
                <w:color w:val="000000" w:themeColor="text1"/>
              </w:rPr>
              <w:t>7</w:t>
            </w:r>
          </w:p>
        </w:tc>
      </w:tr>
      <w:tr w:rsidR="0014647A" w:rsidRPr="009E712E" w14:paraId="083C3E28" w14:textId="77777777" w:rsidTr="0014647A">
        <w:trPr>
          <w:jc w:val="center"/>
        </w:trPr>
        <w:tc>
          <w:tcPr>
            <w:tcW w:w="2885" w:type="dxa"/>
            <w:vMerge w:val="restart"/>
            <w:vAlign w:val="center"/>
          </w:tcPr>
          <w:p w14:paraId="564CC998" w14:textId="0BA2266D" w:rsidR="0014647A" w:rsidRPr="0014647A" w:rsidRDefault="0014647A" w:rsidP="0014647A">
            <w:pPr>
              <w:jc w:val="center"/>
              <w:rPr>
                <w:color w:val="000000" w:themeColor="text1"/>
              </w:rPr>
            </w:pPr>
            <w:r w:rsidRPr="0014647A">
              <w:rPr>
                <w:color w:val="000000" w:themeColor="text1"/>
              </w:rPr>
              <w:t>GHGpc vs IEF</w:t>
            </w:r>
          </w:p>
        </w:tc>
        <w:tc>
          <w:tcPr>
            <w:tcW w:w="2970" w:type="dxa"/>
            <w:vAlign w:val="center"/>
          </w:tcPr>
          <w:p w14:paraId="5ADEA874" w14:textId="77777777" w:rsidR="0014647A" w:rsidRPr="0014647A" w:rsidRDefault="0014647A" w:rsidP="0014647A">
            <w:pPr>
              <w:jc w:val="center"/>
              <w:rPr>
                <w:color w:val="000000" w:themeColor="text1"/>
              </w:rPr>
            </w:pPr>
            <w:r w:rsidRPr="0014647A">
              <w:rPr>
                <w:color w:val="000000" w:themeColor="text1"/>
              </w:rPr>
              <w:t>With constant</w:t>
            </w:r>
          </w:p>
        </w:tc>
        <w:tc>
          <w:tcPr>
            <w:tcW w:w="1710" w:type="dxa"/>
            <w:vAlign w:val="center"/>
          </w:tcPr>
          <w:p w14:paraId="2AF15AFC" w14:textId="77777777" w:rsidR="0014647A" w:rsidRPr="0014647A" w:rsidRDefault="0014647A" w:rsidP="0014647A">
            <w:pPr>
              <w:jc w:val="center"/>
              <w:rPr>
                <w:color w:val="000000" w:themeColor="text1"/>
              </w:rPr>
            </w:pPr>
            <w:r w:rsidRPr="0014647A">
              <w:rPr>
                <w:color w:val="000000" w:themeColor="text1"/>
              </w:rPr>
              <w:t>7</w:t>
            </w:r>
          </w:p>
        </w:tc>
      </w:tr>
      <w:tr w:rsidR="009E712E" w:rsidRPr="009E712E" w14:paraId="0EE074A8" w14:textId="77777777" w:rsidTr="0066160D">
        <w:trPr>
          <w:jc w:val="center"/>
        </w:trPr>
        <w:tc>
          <w:tcPr>
            <w:tcW w:w="2885" w:type="dxa"/>
            <w:vMerge/>
            <w:vAlign w:val="center"/>
          </w:tcPr>
          <w:p w14:paraId="0A293863" w14:textId="77777777" w:rsidR="009E712E" w:rsidRPr="0014647A" w:rsidRDefault="009E712E" w:rsidP="009E712E">
            <w:pPr>
              <w:jc w:val="center"/>
              <w:rPr>
                <w:color w:val="000000" w:themeColor="text1"/>
              </w:rPr>
            </w:pPr>
          </w:p>
        </w:tc>
        <w:tc>
          <w:tcPr>
            <w:tcW w:w="2970" w:type="dxa"/>
            <w:vAlign w:val="center"/>
          </w:tcPr>
          <w:p w14:paraId="6A64D5C0" w14:textId="77777777" w:rsidR="009E712E" w:rsidRPr="0014647A" w:rsidRDefault="009E712E" w:rsidP="009E712E">
            <w:pPr>
              <w:jc w:val="center"/>
              <w:rPr>
                <w:color w:val="000000" w:themeColor="text1"/>
              </w:rPr>
            </w:pPr>
            <w:r w:rsidRPr="0014647A">
              <w:rPr>
                <w:color w:val="000000" w:themeColor="text1"/>
              </w:rPr>
              <w:t>With constant and trend</w:t>
            </w:r>
          </w:p>
        </w:tc>
        <w:tc>
          <w:tcPr>
            <w:tcW w:w="1710" w:type="dxa"/>
            <w:vAlign w:val="center"/>
          </w:tcPr>
          <w:p w14:paraId="396911E6" w14:textId="77777777" w:rsidR="009E712E" w:rsidRPr="0014647A" w:rsidRDefault="009E712E" w:rsidP="009E712E">
            <w:pPr>
              <w:jc w:val="center"/>
              <w:rPr>
                <w:color w:val="000000" w:themeColor="text1"/>
              </w:rPr>
            </w:pPr>
            <w:r w:rsidRPr="0014647A">
              <w:rPr>
                <w:color w:val="000000" w:themeColor="text1"/>
              </w:rPr>
              <w:t>7</w:t>
            </w:r>
          </w:p>
        </w:tc>
      </w:tr>
    </w:tbl>
    <w:p w14:paraId="41902A40" w14:textId="77777777" w:rsidR="005C278F" w:rsidRPr="00E31A5B" w:rsidRDefault="005C278F" w:rsidP="005C278F">
      <w:pPr>
        <w:rPr>
          <w:color w:val="000000" w:themeColor="text1"/>
        </w:rPr>
      </w:pPr>
      <w:bookmarkStart w:id="3" w:name="_Toc79604516"/>
      <w:r w:rsidRPr="00E31A5B">
        <w:rPr>
          <w:i/>
          <w:iCs/>
          <w:color w:val="000000" w:themeColor="text1"/>
        </w:rPr>
        <w:t>Note:</w:t>
      </w:r>
      <w:r w:rsidRPr="00E31A5B">
        <w:rPr>
          <w:color w:val="000000" w:themeColor="text1"/>
        </w:rPr>
        <w:t xml:space="preserve"> The reported lag length was selected based on the Akaike Information Criterion (AIC).</w:t>
      </w:r>
    </w:p>
    <w:p w14:paraId="1F2AE6F3" w14:textId="590482B0" w:rsidR="009E712E" w:rsidRDefault="009E712E" w:rsidP="009E712E">
      <w:pPr>
        <w:pStyle w:val="Caption"/>
        <w:jc w:val="center"/>
        <w:rPr>
          <w:szCs w:val="24"/>
        </w:rPr>
      </w:pPr>
    </w:p>
    <w:p w14:paraId="7C92731A" w14:textId="21344686" w:rsidR="00D44038" w:rsidRPr="00B66698" w:rsidRDefault="00D44038" w:rsidP="00D44038">
      <w:pPr>
        <w:pStyle w:val="MyTables"/>
        <w:jc w:val="center"/>
        <w:rPr>
          <w:rFonts w:cs="Times New Roman"/>
          <w:szCs w:val="24"/>
        </w:rPr>
      </w:pPr>
      <w:r w:rsidRPr="002E3702">
        <w:rPr>
          <w:rFonts w:cs="Times New Roman"/>
          <w:szCs w:val="24"/>
        </w:rPr>
        <w:t>Table 4:</w:t>
      </w:r>
      <w:r w:rsidRPr="002E3702">
        <w:rPr>
          <w:szCs w:val="24"/>
        </w:rPr>
        <w:t xml:space="preserve"> </w:t>
      </w:r>
      <w:r w:rsidRPr="002E3702">
        <w:rPr>
          <w:rFonts w:cs="Times New Roman"/>
          <w:szCs w:val="24"/>
        </w:rPr>
        <w:t>JC test results for GHGpc and GDPpc with unrestricted constant</w:t>
      </w:r>
      <w:r w:rsidRPr="00B66698">
        <w:rPr>
          <w:rFonts w:cs="Times New Roman"/>
          <w:szCs w:val="24"/>
        </w:rPr>
        <w:t xml:space="preserve"> </w:t>
      </w:r>
    </w:p>
    <w:tbl>
      <w:tblPr>
        <w:tblStyle w:val="TableGrid"/>
        <w:tblW w:w="7888" w:type="dxa"/>
        <w:jc w:val="center"/>
        <w:tblBorders>
          <w:insideV w:val="none" w:sz="0" w:space="0" w:color="auto"/>
        </w:tblBorders>
        <w:tblLayout w:type="fixed"/>
        <w:tblLook w:val="04A0" w:firstRow="1" w:lastRow="0" w:firstColumn="1" w:lastColumn="0" w:noHBand="0" w:noVBand="1"/>
      </w:tblPr>
      <w:tblGrid>
        <w:gridCol w:w="805"/>
        <w:gridCol w:w="1416"/>
        <w:gridCol w:w="1417"/>
        <w:gridCol w:w="1416"/>
        <w:gridCol w:w="1417"/>
        <w:gridCol w:w="1417"/>
      </w:tblGrid>
      <w:tr w:rsidR="00D44038" w:rsidRPr="009E712E" w14:paraId="11B46DD6" w14:textId="77777777" w:rsidTr="00AB3100">
        <w:trPr>
          <w:trHeight w:val="431"/>
          <w:jc w:val="center"/>
        </w:trPr>
        <w:tc>
          <w:tcPr>
            <w:tcW w:w="805" w:type="dxa"/>
            <w:vAlign w:val="center"/>
          </w:tcPr>
          <w:p w14:paraId="1956B963" w14:textId="77777777" w:rsidR="00D44038" w:rsidRPr="009E712E" w:rsidRDefault="00D44038" w:rsidP="00AB3100">
            <w:pPr>
              <w:jc w:val="center"/>
              <w:rPr>
                <w:color w:val="000000" w:themeColor="text1"/>
              </w:rPr>
            </w:pPr>
            <w:r w:rsidRPr="009E712E">
              <w:rPr>
                <w:color w:val="000000" w:themeColor="text1"/>
              </w:rPr>
              <w:t>Rank</w:t>
            </w:r>
          </w:p>
        </w:tc>
        <w:tc>
          <w:tcPr>
            <w:tcW w:w="1416" w:type="dxa"/>
            <w:vAlign w:val="center"/>
          </w:tcPr>
          <w:p w14:paraId="2F12D811" w14:textId="77777777" w:rsidR="00D44038" w:rsidRPr="009E712E" w:rsidRDefault="00D44038" w:rsidP="00AB3100">
            <w:pPr>
              <w:jc w:val="center"/>
              <w:rPr>
                <w:color w:val="000000" w:themeColor="text1"/>
              </w:rPr>
            </w:pPr>
            <w:r w:rsidRPr="009E712E">
              <w:rPr>
                <w:color w:val="000000" w:themeColor="text1"/>
              </w:rPr>
              <w:t>Eigenvalue</w:t>
            </w:r>
          </w:p>
        </w:tc>
        <w:tc>
          <w:tcPr>
            <w:tcW w:w="1417" w:type="dxa"/>
            <w:vAlign w:val="center"/>
          </w:tcPr>
          <w:p w14:paraId="00F7DA7F" w14:textId="77777777" w:rsidR="00D44038" w:rsidRPr="009E712E" w:rsidRDefault="00D44038" w:rsidP="00AB3100">
            <w:pPr>
              <w:jc w:val="center"/>
              <w:rPr>
                <w:color w:val="000000" w:themeColor="text1"/>
              </w:rPr>
            </w:pPr>
            <w:r w:rsidRPr="009E712E">
              <w:rPr>
                <w:color w:val="000000" w:themeColor="text1"/>
              </w:rPr>
              <w:t>Trace Test</w:t>
            </w:r>
          </w:p>
        </w:tc>
        <w:tc>
          <w:tcPr>
            <w:tcW w:w="1416" w:type="dxa"/>
            <w:vAlign w:val="center"/>
          </w:tcPr>
          <w:p w14:paraId="3F85F734" w14:textId="77777777" w:rsidR="00D44038" w:rsidRPr="009E712E" w:rsidRDefault="00D44038" w:rsidP="00AB3100">
            <w:pPr>
              <w:jc w:val="center"/>
              <w:rPr>
                <w:color w:val="000000" w:themeColor="text1"/>
              </w:rPr>
            </w:pPr>
            <w:r w:rsidRPr="009E712E">
              <w:rPr>
                <w:color w:val="000000" w:themeColor="text1"/>
              </w:rPr>
              <w:t>p-value (Trace)</w:t>
            </w:r>
          </w:p>
        </w:tc>
        <w:tc>
          <w:tcPr>
            <w:tcW w:w="1417" w:type="dxa"/>
            <w:vAlign w:val="center"/>
          </w:tcPr>
          <w:p w14:paraId="11696128" w14:textId="77777777" w:rsidR="00D44038" w:rsidRPr="009E712E" w:rsidRDefault="00D44038" w:rsidP="00AB3100">
            <w:pPr>
              <w:jc w:val="center"/>
              <w:rPr>
                <w:color w:val="000000" w:themeColor="text1"/>
              </w:rPr>
            </w:pPr>
            <w:r w:rsidRPr="009E712E">
              <w:rPr>
                <w:color w:val="000000" w:themeColor="text1"/>
              </w:rPr>
              <w:t>Lmax Test</w:t>
            </w:r>
          </w:p>
        </w:tc>
        <w:tc>
          <w:tcPr>
            <w:tcW w:w="1417" w:type="dxa"/>
            <w:vAlign w:val="center"/>
          </w:tcPr>
          <w:p w14:paraId="12C1039E" w14:textId="77777777" w:rsidR="00D44038" w:rsidRPr="009E712E" w:rsidRDefault="00D44038" w:rsidP="00AB3100">
            <w:pPr>
              <w:jc w:val="center"/>
              <w:rPr>
                <w:color w:val="000000" w:themeColor="text1"/>
              </w:rPr>
            </w:pPr>
            <w:r w:rsidRPr="009E712E">
              <w:rPr>
                <w:color w:val="000000" w:themeColor="text1"/>
              </w:rPr>
              <w:t>p-value (Lmax)</w:t>
            </w:r>
          </w:p>
        </w:tc>
      </w:tr>
      <w:tr w:rsidR="0001616D" w:rsidRPr="009E712E" w14:paraId="04879F17" w14:textId="77777777" w:rsidTr="00AB3100">
        <w:trPr>
          <w:jc w:val="center"/>
        </w:trPr>
        <w:tc>
          <w:tcPr>
            <w:tcW w:w="805" w:type="dxa"/>
          </w:tcPr>
          <w:p w14:paraId="51E66F60" w14:textId="101AB160" w:rsidR="0001616D" w:rsidRPr="009E712E" w:rsidRDefault="0001616D" w:rsidP="0001616D">
            <w:pPr>
              <w:jc w:val="center"/>
              <w:rPr>
                <w:color w:val="000000" w:themeColor="text1"/>
              </w:rPr>
            </w:pPr>
            <w:r w:rsidRPr="00A306BC">
              <w:t>0</w:t>
            </w:r>
          </w:p>
        </w:tc>
        <w:tc>
          <w:tcPr>
            <w:tcW w:w="1416" w:type="dxa"/>
          </w:tcPr>
          <w:p w14:paraId="104B9E67" w14:textId="623EC0B6" w:rsidR="0001616D" w:rsidRPr="009E712E" w:rsidRDefault="0001616D" w:rsidP="0001616D">
            <w:pPr>
              <w:jc w:val="center"/>
              <w:rPr>
                <w:color w:val="000000" w:themeColor="text1"/>
              </w:rPr>
            </w:pPr>
            <w:r w:rsidRPr="00A306BC">
              <w:t>0.9787</w:t>
            </w:r>
          </w:p>
        </w:tc>
        <w:tc>
          <w:tcPr>
            <w:tcW w:w="1417" w:type="dxa"/>
          </w:tcPr>
          <w:p w14:paraId="400897CE" w14:textId="251B8367" w:rsidR="0001616D" w:rsidRPr="009E712E" w:rsidRDefault="0001616D" w:rsidP="0001616D">
            <w:pPr>
              <w:jc w:val="center"/>
              <w:rPr>
                <w:color w:val="000000" w:themeColor="text1"/>
              </w:rPr>
            </w:pPr>
            <w:r w:rsidRPr="00A306BC">
              <w:t>87.068</w:t>
            </w:r>
          </w:p>
        </w:tc>
        <w:tc>
          <w:tcPr>
            <w:tcW w:w="1416" w:type="dxa"/>
          </w:tcPr>
          <w:p w14:paraId="24B49121" w14:textId="516B105D" w:rsidR="0001616D" w:rsidRPr="009E712E" w:rsidRDefault="0001616D" w:rsidP="0001616D">
            <w:pPr>
              <w:jc w:val="center"/>
              <w:rPr>
                <w:color w:val="000000" w:themeColor="text1"/>
              </w:rPr>
            </w:pPr>
            <w:r w:rsidRPr="00A306BC">
              <w:t>[0.0000]</w:t>
            </w:r>
          </w:p>
        </w:tc>
        <w:tc>
          <w:tcPr>
            <w:tcW w:w="1417" w:type="dxa"/>
          </w:tcPr>
          <w:p w14:paraId="3E3069EB" w14:textId="5430F0D5" w:rsidR="0001616D" w:rsidRPr="009E712E" w:rsidRDefault="0001616D" w:rsidP="0001616D">
            <w:pPr>
              <w:jc w:val="center"/>
              <w:rPr>
                <w:color w:val="000000" w:themeColor="text1"/>
              </w:rPr>
            </w:pPr>
            <w:r w:rsidRPr="00A306BC">
              <w:t>69.287</w:t>
            </w:r>
          </w:p>
        </w:tc>
        <w:tc>
          <w:tcPr>
            <w:tcW w:w="1417" w:type="dxa"/>
          </w:tcPr>
          <w:p w14:paraId="625C286C" w14:textId="6CF96294" w:rsidR="0001616D" w:rsidRPr="009E712E" w:rsidRDefault="0001616D" w:rsidP="0001616D">
            <w:pPr>
              <w:jc w:val="center"/>
              <w:rPr>
                <w:color w:val="000000" w:themeColor="text1"/>
              </w:rPr>
            </w:pPr>
            <w:r w:rsidRPr="00A306BC">
              <w:t>[0.0000]</w:t>
            </w:r>
          </w:p>
        </w:tc>
      </w:tr>
      <w:tr w:rsidR="0001616D" w:rsidRPr="009E712E" w14:paraId="77C74195" w14:textId="77777777" w:rsidTr="00AB3100">
        <w:trPr>
          <w:jc w:val="center"/>
        </w:trPr>
        <w:tc>
          <w:tcPr>
            <w:tcW w:w="805" w:type="dxa"/>
          </w:tcPr>
          <w:p w14:paraId="61EEDF63" w14:textId="7AE645CD" w:rsidR="0001616D" w:rsidRPr="009E712E" w:rsidRDefault="0001616D" w:rsidP="0001616D">
            <w:pPr>
              <w:jc w:val="center"/>
              <w:rPr>
                <w:color w:val="000000" w:themeColor="text1"/>
              </w:rPr>
            </w:pPr>
            <w:r w:rsidRPr="00A306BC">
              <w:t>1</w:t>
            </w:r>
          </w:p>
        </w:tc>
        <w:tc>
          <w:tcPr>
            <w:tcW w:w="1416" w:type="dxa"/>
          </w:tcPr>
          <w:p w14:paraId="23FCD559" w14:textId="73DECF1B" w:rsidR="0001616D" w:rsidRPr="009E712E" w:rsidRDefault="0001616D" w:rsidP="0001616D">
            <w:pPr>
              <w:jc w:val="center"/>
              <w:rPr>
                <w:color w:val="000000" w:themeColor="text1"/>
              </w:rPr>
            </w:pPr>
            <w:r w:rsidRPr="00A306BC">
              <w:t>0.62762</w:t>
            </w:r>
          </w:p>
        </w:tc>
        <w:tc>
          <w:tcPr>
            <w:tcW w:w="1417" w:type="dxa"/>
          </w:tcPr>
          <w:p w14:paraId="35917EE4" w14:textId="5D9CD7F2" w:rsidR="0001616D" w:rsidRPr="009E712E" w:rsidRDefault="0001616D" w:rsidP="0001616D">
            <w:pPr>
              <w:jc w:val="center"/>
              <w:rPr>
                <w:color w:val="000000" w:themeColor="text1"/>
              </w:rPr>
            </w:pPr>
            <w:r w:rsidRPr="00A306BC">
              <w:t>17.781</w:t>
            </w:r>
          </w:p>
        </w:tc>
        <w:tc>
          <w:tcPr>
            <w:tcW w:w="1416" w:type="dxa"/>
          </w:tcPr>
          <w:p w14:paraId="29BDB637" w14:textId="7AEFAD1E" w:rsidR="0001616D" w:rsidRPr="009E712E" w:rsidRDefault="0001616D" w:rsidP="0001616D">
            <w:pPr>
              <w:jc w:val="center"/>
              <w:rPr>
                <w:color w:val="000000" w:themeColor="text1"/>
              </w:rPr>
            </w:pPr>
            <w:r w:rsidRPr="00A306BC">
              <w:t>[0.0000]</w:t>
            </w:r>
          </w:p>
        </w:tc>
        <w:tc>
          <w:tcPr>
            <w:tcW w:w="1417" w:type="dxa"/>
          </w:tcPr>
          <w:p w14:paraId="6E041719" w14:textId="13FA1CF5" w:rsidR="0001616D" w:rsidRPr="009E712E" w:rsidRDefault="0001616D" w:rsidP="0001616D">
            <w:pPr>
              <w:jc w:val="center"/>
              <w:rPr>
                <w:color w:val="000000" w:themeColor="text1"/>
              </w:rPr>
            </w:pPr>
            <w:r w:rsidRPr="00A306BC">
              <w:t>17.781</w:t>
            </w:r>
          </w:p>
        </w:tc>
        <w:tc>
          <w:tcPr>
            <w:tcW w:w="1417" w:type="dxa"/>
          </w:tcPr>
          <w:p w14:paraId="2DF6FFFC" w14:textId="0EA0BE6A" w:rsidR="0001616D" w:rsidRPr="009E712E" w:rsidRDefault="0001616D" w:rsidP="0001616D">
            <w:pPr>
              <w:jc w:val="center"/>
              <w:rPr>
                <w:color w:val="000000" w:themeColor="text1"/>
              </w:rPr>
            </w:pPr>
            <w:r w:rsidRPr="00A306BC">
              <w:t>[0.0000]</w:t>
            </w:r>
          </w:p>
        </w:tc>
      </w:tr>
    </w:tbl>
    <w:p w14:paraId="322BE592" w14:textId="15ADD9C4" w:rsidR="00D44038" w:rsidRPr="009E712E" w:rsidRDefault="00D44038" w:rsidP="00D44038">
      <w:pPr>
        <w:jc w:val="center"/>
        <w:rPr>
          <w:color w:val="000000" w:themeColor="text1"/>
          <w:szCs w:val="24"/>
        </w:rPr>
      </w:pPr>
      <w:r w:rsidRPr="009E712E">
        <w:rPr>
          <w:i/>
          <w:iCs/>
          <w:color w:val="000000" w:themeColor="text1"/>
          <w:szCs w:val="24"/>
        </w:rPr>
        <w:t>Note:</w:t>
      </w:r>
      <w:r w:rsidRPr="009E712E">
        <w:rPr>
          <w:color w:val="000000" w:themeColor="text1"/>
          <w:szCs w:val="24"/>
        </w:rPr>
        <w:t xml:space="preserve"> (a) The JC test was run with a lag length of 7 obtained from the paired VAR lag selection (Table </w:t>
      </w:r>
      <w:r w:rsidR="0001616D">
        <w:rPr>
          <w:color w:val="000000" w:themeColor="text1"/>
          <w:szCs w:val="24"/>
        </w:rPr>
        <w:t>3</w:t>
      </w:r>
      <w:r w:rsidRPr="009E712E">
        <w:rPr>
          <w:color w:val="000000" w:themeColor="text1"/>
          <w:szCs w:val="24"/>
        </w:rPr>
        <w:t>). (b) Lmax is the Lambda max test. This note applies to all the other paired cointegration tests subsequently reported</w:t>
      </w:r>
      <w:r w:rsidR="00CF0B43">
        <w:rPr>
          <w:color w:val="000000" w:themeColor="text1"/>
          <w:szCs w:val="24"/>
        </w:rPr>
        <w:t xml:space="preserve"> in Tables 5 to 11</w:t>
      </w:r>
      <w:r w:rsidR="0001616D">
        <w:rPr>
          <w:color w:val="000000" w:themeColor="text1"/>
          <w:szCs w:val="24"/>
        </w:rPr>
        <w:t>.</w:t>
      </w:r>
    </w:p>
    <w:p w14:paraId="5912D001" w14:textId="77777777" w:rsidR="00D44038" w:rsidRDefault="00D44038" w:rsidP="00D44038">
      <w:pPr>
        <w:jc w:val="center"/>
        <w:rPr>
          <w:color w:val="000000" w:themeColor="text1"/>
          <w:szCs w:val="24"/>
        </w:rPr>
      </w:pPr>
    </w:p>
    <w:p w14:paraId="41C29885" w14:textId="77777777" w:rsidR="00D44038" w:rsidRDefault="00D44038" w:rsidP="00D44038">
      <w:pPr>
        <w:jc w:val="center"/>
        <w:rPr>
          <w:color w:val="000000" w:themeColor="text1"/>
          <w:szCs w:val="24"/>
        </w:rPr>
      </w:pPr>
    </w:p>
    <w:p w14:paraId="6161FE35" w14:textId="582B227B" w:rsidR="00D44038" w:rsidRPr="00B66698" w:rsidRDefault="00D44038" w:rsidP="00D44038">
      <w:pPr>
        <w:pStyle w:val="MyTables"/>
        <w:jc w:val="center"/>
        <w:rPr>
          <w:rFonts w:cs="Times New Roman"/>
          <w:szCs w:val="24"/>
        </w:rPr>
      </w:pPr>
      <w:r w:rsidRPr="006C478E">
        <w:rPr>
          <w:rFonts w:cs="Times New Roman"/>
          <w:szCs w:val="24"/>
        </w:rPr>
        <w:t>Table 5: JC test results for GHGpc and GDPpc with unrestricted constant and trend</w:t>
      </w:r>
    </w:p>
    <w:tbl>
      <w:tblPr>
        <w:tblStyle w:val="TableGrid"/>
        <w:tblW w:w="7800" w:type="dxa"/>
        <w:jc w:val="center"/>
        <w:tblBorders>
          <w:insideV w:val="none" w:sz="0" w:space="0" w:color="auto"/>
        </w:tblBorders>
        <w:tblLayout w:type="fixed"/>
        <w:tblLook w:val="04A0" w:firstRow="1" w:lastRow="0" w:firstColumn="1" w:lastColumn="0" w:noHBand="0" w:noVBand="1"/>
      </w:tblPr>
      <w:tblGrid>
        <w:gridCol w:w="805"/>
        <w:gridCol w:w="1399"/>
        <w:gridCol w:w="1399"/>
        <w:gridCol w:w="1399"/>
        <w:gridCol w:w="1399"/>
        <w:gridCol w:w="1399"/>
      </w:tblGrid>
      <w:tr w:rsidR="00D44038" w:rsidRPr="009E712E" w14:paraId="5FB56293" w14:textId="77777777" w:rsidTr="00AB3100">
        <w:trPr>
          <w:trHeight w:val="431"/>
          <w:jc w:val="center"/>
        </w:trPr>
        <w:tc>
          <w:tcPr>
            <w:tcW w:w="805" w:type="dxa"/>
            <w:vAlign w:val="center"/>
          </w:tcPr>
          <w:p w14:paraId="07621392" w14:textId="77777777" w:rsidR="00D44038" w:rsidRPr="009E712E" w:rsidRDefault="00D44038" w:rsidP="00AB3100">
            <w:pPr>
              <w:jc w:val="center"/>
              <w:rPr>
                <w:color w:val="000000" w:themeColor="text1"/>
              </w:rPr>
            </w:pPr>
            <w:r w:rsidRPr="009E712E">
              <w:rPr>
                <w:color w:val="000000" w:themeColor="text1"/>
              </w:rPr>
              <w:t>Rank</w:t>
            </w:r>
          </w:p>
        </w:tc>
        <w:tc>
          <w:tcPr>
            <w:tcW w:w="1399" w:type="dxa"/>
            <w:vAlign w:val="center"/>
          </w:tcPr>
          <w:p w14:paraId="5895731F" w14:textId="77777777" w:rsidR="00D44038" w:rsidRPr="009E712E" w:rsidRDefault="00D44038" w:rsidP="00AB3100">
            <w:pPr>
              <w:jc w:val="center"/>
              <w:rPr>
                <w:color w:val="000000" w:themeColor="text1"/>
              </w:rPr>
            </w:pPr>
            <w:r w:rsidRPr="009E712E">
              <w:rPr>
                <w:color w:val="000000" w:themeColor="text1"/>
              </w:rPr>
              <w:t>Eigenvalue</w:t>
            </w:r>
          </w:p>
        </w:tc>
        <w:tc>
          <w:tcPr>
            <w:tcW w:w="1399" w:type="dxa"/>
            <w:vAlign w:val="center"/>
          </w:tcPr>
          <w:p w14:paraId="786E571B" w14:textId="77777777" w:rsidR="00D44038" w:rsidRPr="009E712E" w:rsidRDefault="00D44038" w:rsidP="00AB3100">
            <w:pPr>
              <w:jc w:val="center"/>
              <w:rPr>
                <w:color w:val="000000" w:themeColor="text1"/>
              </w:rPr>
            </w:pPr>
            <w:r w:rsidRPr="009E712E">
              <w:rPr>
                <w:color w:val="000000" w:themeColor="text1"/>
              </w:rPr>
              <w:t>Trace Test</w:t>
            </w:r>
          </w:p>
        </w:tc>
        <w:tc>
          <w:tcPr>
            <w:tcW w:w="1399" w:type="dxa"/>
            <w:vAlign w:val="center"/>
          </w:tcPr>
          <w:p w14:paraId="3C10A7C3" w14:textId="77777777" w:rsidR="00D44038" w:rsidRPr="009E712E" w:rsidRDefault="00D44038" w:rsidP="00AB3100">
            <w:pPr>
              <w:jc w:val="center"/>
              <w:rPr>
                <w:color w:val="000000" w:themeColor="text1"/>
              </w:rPr>
            </w:pPr>
            <w:r w:rsidRPr="009E712E">
              <w:rPr>
                <w:color w:val="000000" w:themeColor="text1"/>
              </w:rPr>
              <w:t>p-value (Trace)</w:t>
            </w:r>
          </w:p>
        </w:tc>
        <w:tc>
          <w:tcPr>
            <w:tcW w:w="1399" w:type="dxa"/>
            <w:vAlign w:val="center"/>
          </w:tcPr>
          <w:p w14:paraId="6600AE8B" w14:textId="77777777" w:rsidR="00D44038" w:rsidRPr="009E712E" w:rsidRDefault="00D44038" w:rsidP="00AB3100">
            <w:pPr>
              <w:jc w:val="center"/>
              <w:rPr>
                <w:color w:val="000000" w:themeColor="text1"/>
              </w:rPr>
            </w:pPr>
            <w:r w:rsidRPr="009E712E">
              <w:rPr>
                <w:color w:val="000000" w:themeColor="text1"/>
              </w:rPr>
              <w:t>Lmax Test</w:t>
            </w:r>
          </w:p>
        </w:tc>
        <w:tc>
          <w:tcPr>
            <w:tcW w:w="1399" w:type="dxa"/>
            <w:vAlign w:val="center"/>
          </w:tcPr>
          <w:p w14:paraId="4334E802" w14:textId="77777777" w:rsidR="00D44038" w:rsidRPr="009E712E" w:rsidRDefault="00D44038" w:rsidP="00AB3100">
            <w:pPr>
              <w:jc w:val="center"/>
              <w:rPr>
                <w:color w:val="000000" w:themeColor="text1"/>
              </w:rPr>
            </w:pPr>
            <w:r w:rsidRPr="009E712E">
              <w:rPr>
                <w:color w:val="000000" w:themeColor="text1"/>
              </w:rPr>
              <w:t>p-value (Lmax)</w:t>
            </w:r>
          </w:p>
        </w:tc>
      </w:tr>
      <w:tr w:rsidR="006C478E" w:rsidRPr="009E712E" w14:paraId="48A4EAAE" w14:textId="77777777" w:rsidTr="00AB3100">
        <w:trPr>
          <w:jc w:val="center"/>
        </w:trPr>
        <w:tc>
          <w:tcPr>
            <w:tcW w:w="805" w:type="dxa"/>
          </w:tcPr>
          <w:p w14:paraId="4C93970A" w14:textId="663AD0D4" w:rsidR="006C478E" w:rsidRPr="009E712E" w:rsidRDefault="006C478E" w:rsidP="006C478E">
            <w:pPr>
              <w:jc w:val="center"/>
              <w:rPr>
                <w:color w:val="000000" w:themeColor="text1"/>
              </w:rPr>
            </w:pPr>
            <w:r w:rsidRPr="00323F82">
              <w:t>0</w:t>
            </w:r>
          </w:p>
        </w:tc>
        <w:tc>
          <w:tcPr>
            <w:tcW w:w="1399" w:type="dxa"/>
          </w:tcPr>
          <w:p w14:paraId="55163B37" w14:textId="7E1AC51C" w:rsidR="006C478E" w:rsidRPr="009E712E" w:rsidRDefault="006C478E" w:rsidP="006C478E">
            <w:pPr>
              <w:jc w:val="center"/>
              <w:rPr>
                <w:color w:val="000000" w:themeColor="text1"/>
              </w:rPr>
            </w:pPr>
            <w:r w:rsidRPr="00323F82">
              <w:t>0.94341</w:t>
            </w:r>
          </w:p>
        </w:tc>
        <w:tc>
          <w:tcPr>
            <w:tcW w:w="1399" w:type="dxa"/>
          </w:tcPr>
          <w:p w14:paraId="50EA8BFD" w14:textId="3D815F8A" w:rsidR="006C478E" w:rsidRPr="009E712E" w:rsidRDefault="006C478E" w:rsidP="006C478E">
            <w:pPr>
              <w:jc w:val="center"/>
              <w:rPr>
                <w:color w:val="000000" w:themeColor="text1"/>
              </w:rPr>
            </w:pPr>
            <w:r w:rsidRPr="00323F82">
              <w:t>59.441</w:t>
            </w:r>
          </w:p>
        </w:tc>
        <w:tc>
          <w:tcPr>
            <w:tcW w:w="1399" w:type="dxa"/>
          </w:tcPr>
          <w:p w14:paraId="51094F09" w14:textId="1D7A3724" w:rsidR="006C478E" w:rsidRPr="009E712E" w:rsidRDefault="006C478E" w:rsidP="006C478E">
            <w:pPr>
              <w:jc w:val="center"/>
              <w:rPr>
                <w:color w:val="000000" w:themeColor="text1"/>
              </w:rPr>
            </w:pPr>
            <w:r w:rsidRPr="00323F82">
              <w:t>[0.0000]</w:t>
            </w:r>
          </w:p>
        </w:tc>
        <w:tc>
          <w:tcPr>
            <w:tcW w:w="1399" w:type="dxa"/>
          </w:tcPr>
          <w:p w14:paraId="6D29FC36" w14:textId="0D4FECA9" w:rsidR="006C478E" w:rsidRPr="009E712E" w:rsidRDefault="006C478E" w:rsidP="006C478E">
            <w:pPr>
              <w:jc w:val="center"/>
              <w:rPr>
                <w:color w:val="000000" w:themeColor="text1"/>
              </w:rPr>
            </w:pPr>
            <w:r w:rsidRPr="00323F82">
              <w:t>51.694</w:t>
            </w:r>
          </w:p>
        </w:tc>
        <w:tc>
          <w:tcPr>
            <w:tcW w:w="1399" w:type="dxa"/>
          </w:tcPr>
          <w:p w14:paraId="7EBD8BB0" w14:textId="269C6E26" w:rsidR="006C478E" w:rsidRPr="009E712E" w:rsidRDefault="006C478E" w:rsidP="006C478E">
            <w:pPr>
              <w:jc w:val="center"/>
              <w:rPr>
                <w:color w:val="000000" w:themeColor="text1"/>
              </w:rPr>
            </w:pPr>
            <w:r w:rsidRPr="00323F82">
              <w:t>[0.0000]</w:t>
            </w:r>
          </w:p>
        </w:tc>
      </w:tr>
      <w:tr w:rsidR="006C478E" w:rsidRPr="009E712E" w14:paraId="28D55DAC" w14:textId="77777777" w:rsidTr="00AB3100">
        <w:trPr>
          <w:jc w:val="center"/>
        </w:trPr>
        <w:tc>
          <w:tcPr>
            <w:tcW w:w="805" w:type="dxa"/>
          </w:tcPr>
          <w:p w14:paraId="79CBE5E8" w14:textId="10F6EF57" w:rsidR="006C478E" w:rsidRPr="009E712E" w:rsidRDefault="006C478E" w:rsidP="006C478E">
            <w:pPr>
              <w:jc w:val="center"/>
              <w:rPr>
                <w:color w:val="000000" w:themeColor="text1"/>
              </w:rPr>
            </w:pPr>
            <w:r w:rsidRPr="00323F82">
              <w:t>1</w:t>
            </w:r>
          </w:p>
        </w:tc>
        <w:tc>
          <w:tcPr>
            <w:tcW w:w="1399" w:type="dxa"/>
          </w:tcPr>
          <w:p w14:paraId="1E3FE72D" w14:textId="3A196148" w:rsidR="006C478E" w:rsidRPr="009E712E" w:rsidRDefault="006C478E" w:rsidP="006C478E">
            <w:pPr>
              <w:jc w:val="center"/>
              <w:rPr>
                <w:color w:val="000000" w:themeColor="text1"/>
              </w:rPr>
            </w:pPr>
            <w:r w:rsidRPr="00323F82">
              <w:t>0.34976</w:t>
            </w:r>
          </w:p>
        </w:tc>
        <w:tc>
          <w:tcPr>
            <w:tcW w:w="1399" w:type="dxa"/>
          </w:tcPr>
          <w:p w14:paraId="1494606C" w14:textId="2B1B8FA0" w:rsidR="006C478E" w:rsidRPr="009E712E" w:rsidRDefault="006C478E" w:rsidP="006C478E">
            <w:pPr>
              <w:jc w:val="center"/>
              <w:rPr>
                <w:color w:val="000000" w:themeColor="text1"/>
              </w:rPr>
            </w:pPr>
            <w:r w:rsidRPr="00323F82">
              <w:t>7.7475</w:t>
            </w:r>
          </w:p>
        </w:tc>
        <w:tc>
          <w:tcPr>
            <w:tcW w:w="1399" w:type="dxa"/>
          </w:tcPr>
          <w:p w14:paraId="1B43D61E" w14:textId="4F155AAE" w:rsidR="006C478E" w:rsidRPr="009E712E" w:rsidRDefault="006C478E" w:rsidP="006C478E">
            <w:pPr>
              <w:jc w:val="center"/>
              <w:rPr>
                <w:color w:val="000000" w:themeColor="text1"/>
              </w:rPr>
            </w:pPr>
            <w:r w:rsidRPr="00323F82">
              <w:t>[0.0054]</w:t>
            </w:r>
          </w:p>
        </w:tc>
        <w:tc>
          <w:tcPr>
            <w:tcW w:w="1399" w:type="dxa"/>
          </w:tcPr>
          <w:p w14:paraId="147A104C" w14:textId="4273B1ED" w:rsidR="006C478E" w:rsidRPr="009E712E" w:rsidRDefault="006C478E" w:rsidP="006C478E">
            <w:pPr>
              <w:jc w:val="center"/>
              <w:rPr>
                <w:color w:val="000000" w:themeColor="text1"/>
              </w:rPr>
            </w:pPr>
            <w:r w:rsidRPr="00323F82">
              <w:t>7.7475</w:t>
            </w:r>
          </w:p>
        </w:tc>
        <w:tc>
          <w:tcPr>
            <w:tcW w:w="1399" w:type="dxa"/>
          </w:tcPr>
          <w:p w14:paraId="29CFED75" w14:textId="4FF98BFA" w:rsidR="006C478E" w:rsidRPr="009E712E" w:rsidRDefault="006C478E" w:rsidP="006C478E">
            <w:pPr>
              <w:jc w:val="center"/>
              <w:rPr>
                <w:color w:val="000000" w:themeColor="text1"/>
              </w:rPr>
            </w:pPr>
            <w:r w:rsidRPr="00323F82">
              <w:t>[0.0054]</w:t>
            </w:r>
          </w:p>
        </w:tc>
      </w:tr>
    </w:tbl>
    <w:p w14:paraId="1D16714E" w14:textId="159A6490" w:rsidR="00D238C4" w:rsidRDefault="00D238C4" w:rsidP="00D238C4"/>
    <w:p w14:paraId="5F10AA06" w14:textId="77777777" w:rsidR="00D44038" w:rsidRPr="00D238C4" w:rsidRDefault="00D44038" w:rsidP="00D238C4"/>
    <w:p w14:paraId="4BEAAAA1" w14:textId="1FEB0137" w:rsidR="009E712E" w:rsidRPr="00B66698" w:rsidRDefault="009E712E" w:rsidP="009E712E">
      <w:pPr>
        <w:pStyle w:val="MyTables"/>
        <w:jc w:val="center"/>
        <w:rPr>
          <w:rFonts w:cs="Times New Roman"/>
          <w:szCs w:val="24"/>
        </w:rPr>
      </w:pPr>
      <w:r w:rsidRPr="00801B7A">
        <w:rPr>
          <w:rFonts w:cs="Times New Roman"/>
          <w:szCs w:val="24"/>
        </w:rPr>
        <w:t xml:space="preserve">Table </w:t>
      </w:r>
      <w:bookmarkEnd w:id="3"/>
      <w:r w:rsidR="00D44038" w:rsidRPr="00801B7A">
        <w:rPr>
          <w:rFonts w:cs="Times New Roman"/>
          <w:szCs w:val="24"/>
        </w:rPr>
        <w:t>6</w:t>
      </w:r>
      <w:r w:rsidR="00076985" w:rsidRPr="00801B7A">
        <w:rPr>
          <w:rFonts w:cs="Times New Roman"/>
          <w:szCs w:val="24"/>
        </w:rPr>
        <w:t>:</w:t>
      </w:r>
      <w:r w:rsidR="00076985" w:rsidRPr="00801B7A">
        <w:rPr>
          <w:szCs w:val="24"/>
        </w:rPr>
        <w:t xml:space="preserve"> </w:t>
      </w:r>
      <w:r w:rsidR="00076985" w:rsidRPr="00801B7A">
        <w:rPr>
          <w:rFonts w:cs="Times New Roman"/>
          <w:szCs w:val="24"/>
        </w:rPr>
        <w:t>JC test results for G</w:t>
      </w:r>
      <w:r w:rsidR="00D44038" w:rsidRPr="00801B7A">
        <w:rPr>
          <w:rFonts w:cs="Times New Roman"/>
          <w:szCs w:val="24"/>
        </w:rPr>
        <w:t>HG</w:t>
      </w:r>
      <w:r w:rsidR="00076985" w:rsidRPr="00801B7A">
        <w:rPr>
          <w:rFonts w:cs="Times New Roman"/>
          <w:szCs w:val="24"/>
        </w:rPr>
        <w:t>pc and GNDIpc with unrestricted constant</w:t>
      </w:r>
      <w:r w:rsidR="00076985" w:rsidRPr="00B66698">
        <w:rPr>
          <w:rFonts w:cs="Times New Roman"/>
          <w:szCs w:val="24"/>
        </w:rPr>
        <w:t xml:space="preserve"> </w:t>
      </w:r>
    </w:p>
    <w:tbl>
      <w:tblPr>
        <w:tblStyle w:val="TableGrid"/>
        <w:tblW w:w="7888" w:type="dxa"/>
        <w:jc w:val="center"/>
        <w:tblBorders>
          <w:insideV w:val="none" w:sz="0" w:space="0" w:color="auto"/>
        </w:tblBorders>
        <w:tblLayout w:type="fixed"/>
        <w:tblLook w:val="04A0" w:firstRow="1" w:lastRow="0" w:firstColumn="1" w:lastColumn="0" w:noHBand="0" w:noVBand="1"/>
      </w:tblPr>
      <w:tblGrid>
        <w:gridCol w:w="805"/>
        <w:gridCol w:w="1416"/>
        <w:gridCol w:w="1417"/>
        <w:gridCol w:w="1416"/>
        <w:gridCol w:w="1417"/>
        <w:gridCol w:w="1417"/>
      </w:tblGrid>
      <w:tr w:rsidR="009E712E" w:rsidRPr="009E712E" w14:paraId="5538E993" w14:textId="77777777" w:rsidTr="0066160D">
        <w:trPr>
          <w:trHeight w:val="431"/>
          <w:jc w:val="center"/>
        </w:trPr>
        <w:tc>
          <w:tcPr>
            <w:tcW w:w="805" w:type="dxa"/>
            <w:vAlign w:val="center"/>
          </w:tcPr>
          <w:p w14:paraId="25C1B00D" w14:textId="77777777" w:rsidR="009E712E" w:rsidRPr="009E712E" w:rsidRDefault="009E712E" w:rsidP="009E712E">
            <w:pPr>
              <w:jc w:val="center"/>
              <w:rPr>
                <w:color w:val="000000" w:themeColor="text1"/>
              </w:rPr>
            </w:pPr>
            <w:r w:rsidRPr="009E712E">
              <w:rPr>
                <w:color w:val="000000" w:themeColor="text1"/>
              </w:rPr>
              <w:t>Rank</w:t>
            </w:r>
          </w:p>
        </w:tc>
        <w:tc>
          <w:tcPr>
            <w:tcW w:w="1416" w:type="dxa"/>
            <w:vAlign w:val="center"/>
          </w:tcPr>
          <w:p w14:paraId="128BAB55" w14:textId="77777777" w:rsidR="009E712E" w:rsidRPr="009E712E" w:rsidRDefault="009E712E" w:rsidP="009E712E">
            <w:pPr>
              <w:jc w:val="center"/>
              <w:rPr>
                <w:color w:val="000000" w:themeColor="text1"/>
              </w:rPr>
            </w:pPr>
            <w:r w:rsidRPr="009E712E">
              <w:rPr>
                <w:color w:val="000000" w:themeColor="text1"/>
              </w:rPr>
              <w:t>Eigenvalue</w:t>
            </w:r>
          </w:p>
        </w:tc>
        <w:tc>
          <w:tcPr>
            <w:tcW w:w="1417" w:type="dxa"/>
            <w:vAlign w:val="center"/>
          </w:tcPr>
          <w:p w14:paraId="13388FBB" w14:textId="77777777" w:rsidR="009E712E" w:rsidRPr="009E712E" w:rsidRDefault="009E712E" w:rsidP="009E712E">
            <w:pPr>
              <w:jc w:val="center"/>
              <w:rPr>
                <w:color w:val="000000" w:themeColor="text1"/>
              </w:rPr>
            </w:pPr>
            <w:r w:rsidRPr="009E712E">
              <w:rPr>
                <w:color w:val="000000" w:themeColor="text1"/>
              </w:rPr>
              <w:t>Trace Test</w:t>
            </w:r>
          </w:p>
        </w:tc>
        <w:tc>
          <w:tcPr>
            <w:tcW w:w="1416" w:type="dxa"/>
            <w:vAlign w:val="center"/>
          </w:tcPr>
          <w:p w14:paraId="7BEEC715" w14:textId="77777777" w:rsidR="009E712E" w:rsidRPr="009E712E" w:rsidRDefault="009E712E" w:rsidP="009E712E">
            <w:pPr>
              <w:jc w:val="center"/>
              <w:rPr>
                <w:color w:val="000000" w:themeColor="text1"/>
              </w:rPr>
            </w:pPr>
            <w:r w:rsidRPr="009E712E">
              <w:rPr>
                <w:color w:val="000000" w:themeColor="text1"/>
              </w:rPr>
              <w:t>p-value (Trace)</w:t>
            </w:r>
          </w:p>
        </w:tc>
        <w:tc>
          <w:tcPr>
            <w:tcW w:w="1417" w:type="dxa"/>
            <w:vAlign w:val="center"/>
          </w:tcPr>
          <w:p w14:paraId="12585BC8" w14:textId="77777777" w:rsidR="009E712E" w:rsidRPr="009E712E" w:rsidRDefault="009E712E" w:rsidP="009E712E">
            <w:pPr>
              <w:jc w:val="center"/>
              <w:rPr>
                <w:color w:val="000000" w:themeColor="text1"/>
              </w:rPr>
            </w:pPr>
            <w:r w:rsidRPr="009E712E">
              <w:rPr>
                <w:color w:val="000000" w:themeColor="text1"/>
              </w:rPr>
              <w:t>Lmax Test</w:t>
            </w:r>
          </w:p>
        </w:tc>
        <w:tc>
          <w:tcPr>
            <w:tcW w:w="1417" w:type="dxa"/>
            <w:vAlign w:val="center"/>
          </w:tcPr>
          <w:p w14:paraId="62C5B18A" w14:textId="77777777" w:rsidR="009E712E" w:rsidRPr="009E712E" w:rsidRDefault="009E712E" w:rsidP="009E712E">
            <w:pPr>
              <w:jc w:val="center"/>
              <w:rPr>
                <w:color w:val="000000" w:themeColor="text1"/>
              </w:rPr>
            </w:pPr>
            <w:r w:rsidRPr="009E712E">
              <w:rPr>
                <w:color w:val="000000" w:themeColor="text1"/>
              </w:rPr>
              <w:t>p-value (Lmax)</w:t>
            </w:r>
          </w:p>
        </w:tc>
      </w:tr>
      <w:tr w:rsidR="00D862BC" w:rsidRPr="009E712E" w14:paraId="63F58EE3" w14:textId="77777777" w:rsidTr="0066160D">
        <w:trPr>
          <w:jc w:val="center"/>
        </w:trPr>
        <w:tc>
          <w:tcPr>
            <w:tcW w:w="805" w:type="dxa"/>
          </w:tcPr>
          <w:p w14:paraId="0365A291" w14:textId="050373BD" w:rsidR="00D862BC" w:rsidRPr="009E712E" w:rsidRDefault="00D862BC" w:rsidP="00D862BC">
            <w:pPr>
              <w:jc w:val="center"/>
              <w:rPr>
                <w:color w:val="000000" w:themeColor="text1"/>
              </w:rPr>
            </w:pPr>
            <w:r w:rsidRPr="00C72E5C">
              <w:t>0</w:t>
            </w:r>
          </w:p>
        </w:tc>
        <w:tc>
          <w:tcPr>
            <w:tcW w:w="1416" w:type="dxa"/>
          </w:tcPr>
          <w:p w14:paraId="6D1A594F" w14:textId="56C1BD2C" w:rsidR="00D862BC" w:rsidRPr="009E712E" w:rsidRDefault="00D862BC" w:rsidP="00D862BC">
            <w:pPr>
              <w:jc w:val="center"/>
              <w:rPr>
                <w:color w:val="000000" w:themeColor="text1"/>
              </w:rPr>
            </w:pPr>
            <w:r w:rsidRPr="00C72E5C">
              <w:t>0.98731</w:t>
            </w:r>
          </w:p>
        </w:tc>
        <w:tc>
          <w:tcPr>
            <w:tcW w:w="1417" w:type="dxa"/>
          </w:tcPr>
          <w:p w14:paraId="26E1143A" w14:textId="001B8623" w:rsidR="00D862BC" w:rsidRPr="009E712E" w:rsidRDefault="00D862BC" w:rsidP="00D862BC">
            <w:pPr>
              <w:jc w:val="center"/>
              <w:rPr>
                <w:color w:val="000000" w:themeColor="text1"/>
              </w:rPr>
            </w:pPr>
            <w:r w:rsidRPr="00C72E5C">
              <w:t>93.629</w:t>
            </w:r>
          </w:p>
        </w:tc>
        <w:tc>
          <w:tcPr>
            <w:tcW w:w="1416" w:type="dxa"/>
          </w:tcPr>
          <w:p w14:paraId="23D1B789" w14:textId="7996E5EC" w:rsidR="00D862BC" w:rsidRPr="009E712E" w:rsidRDefault="00D862BC" w:rsidP="00D862BC">
            <w:pPr>
              <w:jc w:val="center"/>
              <w:rPr>
                <w:color w:val="000000" w:themeColor="text1"/>
              </w:rPr>
            </w:pPr>
            <w:r w:rsidRPr="00C72E5C">
              <w:t>[0.0000]</w:t>
            </w:r>
          </w:p>
        </w:tc>
        <w:tc>
          <w:tcPr>
            <w:tcW w:w="1417" w:type="dxa"/>
          </w:tcPr>
          <w:p w14:paraId="3F7ABAAB" w14:textId="63159F31" w:rsidR="00D862BC" w:rsidRPr="009E712E" w:rsidRDefault="00D862BC" w:rsidP="00D862BC">
            <w:pPr>
              <w:jc w:val="center"/>
              <w:rPr>
                <w:color w:val="000000" w:themeColor="text1"/>
              </w:rPr>
            </w:pPr>
            <w:r w:rsidRPr="00C72E5C">
              <w:t>78.601</w:t>
            </w:r>
          </w:p>
        </w:tc>
        <w:tc>
          <w:tcPr>
            <w:tcW w:w="1417" w:type="dxa"/>
          </w:tcPr>
          <w:p w14:paraId="6257F8ED" w14:textId="56544FC6" w:rsidR="00D862BC" w:rsidRPr="009E712E" w:rsidRDefault="00D862BC" w:rsidP="00D862BC">
            <w:pPr>
              <w:jc w:val="center"/>
              <w:rPr>
                <w:color w:val="000000" w:themeColor="text1"/>
              </w:rPr>
            </w:pPr>
            <w:r w:rsidRPr="00C72E5C">
              <w:t>[0.0000]</w:t>
            </w:r>
          </w:p>
        </w:tc>
      </w:tr>
      <w:tr w:rsidR="00D862BC" w:rsidRPr="009E712E" w14:paraId="57DBD9A3" w14:textId="77777777" w:rsidTr="0066160D">
        <w:trPr>
          <w:jc w:val="center"/>
        </w:trPr>
        <w:tc>
          <w:tcPr>
            <w:tcW w:w="805" w:type="dxa"/>
          </w:tcPr>
          <w:p w14:paraId="5E777ECB" w14:textId="3FDFDAC0" w:rsidR="00D862BC" w:rsidRPr="009E712E" w:rsidRDefault="00D862BC" w:rsidP="00D862BC">
            <w:pPr>
              <w:jc w:val="center"/>
              <w:rPr>
                <w:color w:val="000000" w:themeColor="text1"/>
              </w:rPr>
            </w:pPr>
            <w:r w:rsidRPr="00C72E5C">
              <w:t>1</w:t>
            </w:r>
          </w:p>
        </w:tc>
        <w:tc>
          <w:tcPr>
            <w:tcW w:w="1416" w:type="dxa"/>
          </w:tcPr>
          <w:p w14:paraId="294813E7" w14:textId="34FB3D46" w:rsidR="00D862BC" w:rsidRPr="009E712E" w:rsidRDefault="00D862BC" w:rsidP="00D862BC">
            <w:pPr>
              <w:jc w:val="center"/>
              <w:rPr>
                <w:color w:val="000000" w:themeColor="text1"/>
              </w:rPr>
            </w:pPr>
            <w:r w:rsidRPr="00C72E5C">
              <w:t>0.56607</w:t>
            </w:r>
          </w:p>
        </w:tc>
        <w:tc>
          <w:tcPr>
            <w:tcW w:w="1417" w:type="dxa"/>
          </w:tcPr>
          <w:p w14:paraId="4D305CCF" w14:textId="00073CEB" w:rsidR="00D862BC" w:rsidRPr="009E712E" w:rsidRDefault="00D862BC" w:rsidP="00D862BC">
            <w:pPr>
              <w:jc w:val="center"/>
              <w:rPr>
                <w:color w:val="000000" w:themeColor="text1"/>
              </w:rPr>
            </w:pPr>
            <w:r w:rsidRPr="00C72E5C">
              <w:t>15.028</w:t>
            </w:r>
          </w:p>
        </w:tc>
        <w:tc>
          <w:tcPr>
            <w:tcW w:w="1416" w:type="dxa"/>
          </w:tcPr>
          <w:p w14:paraId="53654D83" w14:textId="37D5C552" w:rsidR="00D862BC" w:rsidRPr="009E712E" w:rsidRDefault="00D862BC" w:rsidP="00D862BC">
            <w:pPr>
              <w:jc w:val="center"/>
              <w:rPr>
                <w:color w:val="000000" w:themeColor="text1"/>
              </w:rPr>
            </w:pPr>
            <w:r w:rsidRPr="00C72E5C">
              <w:t>[0.0001]</w:t>
            </w:r>
          </w:p>
        </w:tc>
        <w:tc>
          <w:tcPr>
            <w:tcW w:w="1417" w:type="dxa"/>
          </w:tcPr>
          <w:p w14:paraId="705B6C09" w14:textId="4EC7C3F1" w:rsidR="00D862BC" w:rsidRPr="009E712E" w:rsidRDefault="00D862BC" w:rsidP="00D862BC">
            <w:pPr>
              <w:jc w:val="center"/>
              <w:rPr>
                <w:color w:val="000000" w:themeColor="text1"/>
              </w:rPr>
            </w:pPr>
            <w:r w:rsidRPr="00C72E5C">
              <w:t>15.028</w:t>
            </w:r>
          </w:p>
        </w:tc>
        <w:tc>
          <w:tcPr>
            <w:tcW w:w="1417" w:type="dxa"/>
          </w:tcPr>
          <w:p w14:paraId="7E4C801D" w14:textId="1375A2F8" w:rsidR="00D862BC" w:rsidRPr="009E712E" w:rsidRDefault="00D862BC" w:rsidP="00D862BC">
            <w:pPr>
              <w:jc w:val="center"/>
              <w:rPr>
                <w:color w:val="000000" w:themeColor="text1"/>
              </w:rPr>
            </w:pPr>
            <w:r w:rsidRPr="00C72E5C">
              <w:t>[0.0001]</w:t>
            </w:r>
          </w:p>
        </w:tc>
      </w:tr>
    </w:tbl>
    <w:p w14:paraId="31C818D4" w14:textId="01058F3D" w:rsidR="009E712E" w:rsidRDefault="009E712E" w:rsidP="009E712E">
      <w:pPr>
        <w:jc w:val="center"/>
        <w:rPr>
          <w:color w:val="000000" w:themeColor="text1"/>
          <w:szCs w:val="24"/>
        </w:rPr>
      </w:pPr>
    </w:p>
    <w:p w14:paraId="4D54B8BA" w14:textId="463F9FCC" w:rsidR="00D238C4" w:rsidRDefault="00D238C4" w:rsidP="009E712E">
      <w:pPr>
        <w:jc w:val="center"/>
        <w:rPr>
          <w:color w:val="000000" w:themeColor="text1"/>
          <w:szCs w:val="24"/>
        </w:rPr>
      </w:pPr>
    </w:p>
    <w:p w14:paraId="646D4B9D" w14:textId="25319CB9" w:rsidR="009E712E" w:rsidRPr="00B66698" w:rsidRDefault="009E712E" w:rsidP="009E712E">
      <w:pPr>
        <w:pStyle w:val="MyTables"/>
        <w:jc w:val="center"/>
        <w:rPr>
          <w:rFonts w:cs="Times New Roman"/>
          <w:szCs w:val="24"/>
        </w:rPr>
      </w:pPr>
      <w:bookmarkStart w:id="4" w:name="_Toc79604518"/>
      <w:r w:rsidRPr="002A0CC3">
        <w:rPr>
          <w:rFonts w:cs="Times New Roman"/>
          <w:szCs w:val="24"/>
        </w:rPr>
        <w:t xml:space="preserve">Table </w:t>
      </w:r>
      <w:bookmarkEnd w:id="4"/>
      <w:r w:rsidRPr="002A0CC3">
        <w:rPr>
          <w:rFonts w:cs="Times New Roman"/>
          <w:szCs w:val="24"/>
        </w:rPr>
        <w:t>7</w:t>
      </w:r>
      <w:r w:rsidR="00D117C7" w:rsidRPr="002A0CC3">
        <w:rPr>
          <w:rFonts w:cs="Times New Roman"/>
          <w:szCs w:val="24"/>
        </w:rPr>
        <w:t>:</w:t>
      </w:r>
      <w:r w:rsidR="00B6449F" w:rsidRPr="002A0CC3">
        <w:rPr>
          <w:rFonts w:cs="Times New Roman"/>
          <w:szCs w:val="24"/>
        </w:rPr>
        <w:t xml:space="preserve"> JC test results for </w:t>
      </w:r>
      <w:r w:rsidR="00D44038" w:rsidRPr="002A0CC3">
        <w:rPr>
          <w:rFonts w:cs="Times New Roman"/>
          <w:szCs w:val="24"/>
        </w:rPr>
        <w:t xml:space="preserve">GHGpc </w:t>
      </w:r>
      <w:r w:rsidR="00B6449F" w:rsidRPr="002A0CC3">
        <w:rPr>
          <w:rFonts w:cs="Times New Roman"/>
          <w:szCs w:val="24"/>
        </w:rPr>
        <w:t>and GNDIpc with unrestricted constant and trend</w:t>
      </w:r>
    </w:p>
    <w:tbl>
      <w:tblPr>
        <w:tblStyle w:val="TableGrid"/>
        <w:tblW w:w="7800" w:type="dxa"/>
        <w:jc w:val="center"/>
        <w:tblBorders>
          <w:insideV w:val="none" w:sz="0" w:space="0" w:color="auto"/>
        </w:tblBorders>
        <w:tblLayout w:type="fixed"/>
        <w:tblLook w:val="04A0" w:firstRow="1" w:lastRow="0" w:firstColumn="1" w:lastColumn="0" w:noHBand="0" w:noVBand="1"/>
      </w:tblPr>
      <w:tblGrid>
        <w:gridCol w:w="805"/>
        <w:gridCol w:w="1399"/>
        <w:gridCol w:w="1399"/>
        <w:gridCol w:w="1399"/>
        <w:gridCol w:w="1399"/>
        <w:gridCol w:w="1399"/>
      </w:tblGrid>
      <w:tr w:rsidR="00907C44" w:rsidRPr="009E712E" w14:paraId="48CB867B" w14:textId="77777777" w:rsidTr="00907C44">
        <w:trPr>
          <w:trHeight w:val="431"/>
          <w:jc w:val="center"/>
        </w:trPr>
        <w:tc>
          <w:tcPr>
            <w:tcW w:w="805" w:type="dxa"/>
            <w:vAlign w:val="center"/>
          </w:tcPr>
          <w:p w14:paraId="5FF06239" w14:textId="77777777" w:rsidR="009E712E" w:rsidRPr="009E712E" w:rsidRDefault="009E712E" w:rsidP="009E712E">
            <w:pPr>
              <w:jc w:val="center"/>
              <w:rPr>
                <w:color w:val="000000" w:themeColor="text1"/>
              </w:rPr>
            </w:pPr>
            <w:r w:rsidRPr="009E712E">
              <w:rPr>
                <w:color w:val="000000" w:themeColor="text1"/>
              </w:rPr>
              <w:t>Rank</w:t>
            </w:r>
          </w:p>
        </w:tc>
        <w:tc>
          <w:tcPr>
            <w:tcW w:w="1399" w:type="dxa"/>
            <w:vAlign w:val="center"/>
          </w:tcPr>
          <w:p w14:paraId="23F50777" w14:textId="77777777" w:rsidR="009E712E" w:rsidRPr="009E712E" w:rsidRDefault="009E712E" w:rsidP="009E712E">
            <w:pPr>
              <w:jc w:val="center"/>
              <w:rPr>
                <w:color w:val="000000" w:themeColor="text1"/>
              </w:rPr>
            </w:pPr>
            <w:r w:rsidRPr="009E712E">
              <w:rPr>
                <w:color w:val="000000" w:themeColor="text1"/>
              </w:rPr>
              <w:t>Eigenvalue</w:t>
            </w:r>
          </w:p>
        </w:tc>
        <w:tc>
          <w:tcPr>
            <w:tcW w:w="1399" w:type="dxa"/>
            <w:vAlign w:val="center"/>
          </w:tcPr>
          <w:p w14:paraId="0A2C2325" w14:textId="77777777" w:rsidR="009E712E" w:rsidRPr="009E712E" w:rsidRDefault="009E712E" w:rsidP="009E712E">
            <w:pPr>
              <w:jc w:val="center"/>
              <w:rPr>
                <w:color w:val="000000" w:themeColor="text1"/>
              </w:rPr>
            </w:pPr>
            <w:r w:rsidRPr="009E712E">
              <w:rPr>
                <w:color w:val="000000" w:themeColor="text1"/>
              </w:rPr>
              <w:t>Trace Test</w:t>
            </w:r>
          </w:p>
        </w:tc>
        <w:tc>
          <w:tcPr>
            <w:tcW w:w="1399" w:type="dxa"/>
            <w:vAlign w:val="center"/>
          </w:tcPr>
          <w:p w14:paraId="5A4CFDC9" w14:textId="77777777" w:rsidR="009E712E" w:rsidRPr="009E712E" w:rsidRDefault="009E712E" w:rsidP="009E712E">
            <w:pPr>
              <w:jc w:val="center"/>
              <w:rPr>
                <w:color w:val="000000" w:themeColor="text1"/>
              </w:rPr>
            </w:pPr>
            <w:r w:rsidRPr="009E712E">
              <w:rPr>
                <w:color w:val="000000" w:themeColor="text1"/>
              </w:rPr>
              <w:t>p-value (Trace)</w:t>
            </w:r>
          </w:p>
        </w:tc>
        <w:tc>
          <w:tcPr>
            <w:tcW w:w="1399" w:type="dxa"/>
            <w:vAlign w:val="center"/>
          </w:tcPr>
          <w:p w14:paraId="56B0DC76" w14:textId="77777777" w:rsidR="009E712E" w:rsidRPr="009E712E" w:rsidRDefault="009E712E" w:rsidP="009E712E">
            <w:pPr>
              <w:jc w:val="center"/>
              <w:rPr>
                <w:color w:val="000000" w:themeColor="text1"/>
              </w:rPr>
            </w:pPr>
            <w:r w:rsidRPr="009E712E">
              <w:rPr>
                <w:color w:val="000000" w:themeColor="text1"/>
              </w:rPr>
              <w:t>Lmax Test</w:t>
            </w:r>
          </w:p>
        </w:tc>
        <w:tc>
          <w:tcPr>
            <w:tcW w:w="1399" w:type="dxa"/>
            <w:vAlign w:val="center"/>
          </w:tcPr>
          <w:p w14:paraId="5A068FE7" w14:textId="77777777" w:rsidR="009E712E" w:rsidRPr="009E712E" w:rsidRDefault="009E712E" w:rsidP="009E712E">
            <w:pPr>
              <w:jc w:val="center"/>
              <w:rPr>
                <w:color w:val="000000" w:themeColor="text1"/>
              </w:rPr>
            </w:pPr>
            <w:r w:rsidRPr="009E712E">
              <w:rPr>
                <w:color w:val="000000" w:themeColor="text1"/>
              </w:rPr>
              <w:t>p-value (Lmax)</w:t>
            </w:r>
          </w:p>
        </w:tc>
      </w:tr>
      <w:tr w:rsidR="002A0CC3" w:rsidRPr="009E712E" w14:paraId="0ED25B47" w14:textId="77777777" w:rsidTr="00907C44">
        <w:trPr>
          <w:jc w:val="center"/>
        </w:trPr>
        <w:tc>
          <w:tcPr>
            <w:tcW w:w="805" w:type="dxa"/>
          </w:tcPr>
          <w:p w14:paraId="42F2F64C" w14:textId="78383221" w:rsidR="002A0CC3" w:rsidRPr="009E712E" w:rsidRDefault="002A0CC3" w:rsidP="002A0CC3">
            <w:pPr>
              <w:jc w:val="center"/>
              <w:rPr>
                <w:color w:val="000000" w:themeColor="text1"/>
              </w:rPr>
            </w:pPr>
            <w:r w:rsidRPr="007A7D4E">
              <w:t>0</w:t>
            </w:r>
          </w:p>
        </w:tc>
        <w:tc>
          <w:tcPr>
            <w:tcW w:w="1399" w:type="dxa"/>
          </w:tcPr>
          <w:p w14:paraId="7DDFA4BC" w14:textId="46247CDD" w:rsidR="002A0CC3" w:rsidRPr="009E712E" w:rsidRDefault="002A0CC3" w:rsidP="002A0CC3">
            <w:pPr>
              <w:jc w:val="center"/>
              <w:rPr>
                <w:color w:val="000000" w:themeColor="text1"/>
              </w:rPr>
            </w:pPr>
            <w:r w:rsidRPr="007A7D4E">
              <w:t>0.9747</w:t>
            </w:r>
          </w:p>
        </w:tc>
        <w:tc>
          <w:tcPr>
            <w:tcW w:w="1399" w:type="dxa"/>
          </w:tcPr>
          <w:p w14:paraId="07BFCC6B" w14:textId="52C63CCE" w:rsidR="002A0CC3" w:rsidRPr="009E712E" w:rsidRDefault="002A0CC3" w:rsidP="002A0CC3">
            <w:pPr>
              <w:jc w:val="center"/>
              <w:rPr>
                <w:color w:val="000000" w:themeColor="text1"/>
              </w:rPr>
            </w:pPr>
            <w:r w:rsidRPr="007A7D4E">
              <w:t>74.648</w:t>
            </w:r>
          </w:p>
        </w:tc>
        <w:tc>
          <w:tcPr>
            <w:tcW w:w="1399" w:type="dxa"/>
          </w:tcPr>
          <w:p w14:paraId="6411CBC2" w14:textId="167179A5" w:rsidR="002A0CC3" w:rsidRPr="009E712E" w:rsidRDefault="002A0CC3" w:rsidP="002A0CC3">
            <w:pPr>
              <w:jc w:val="center"/>
              <w:rPr>
                <w:color w:val="000000" w:themeColor="text1"/>
              </w:rPr>
            </w:pPr>
            <w:r w:rsidRPr="007A7D4E">
              <w:t>[0.0000]</w:t>
            </w:r>
          </w:p>
        </w:tc>
        <w:tc>
          <w:tcPr>
            <w:tcW w:w="1399" w:type="dxa"/>
          </w:tcPr>
          <w:p w14:paraId="19C2B5BC" w14:textId="35BA4D3B" w:rsidR="002A0CC3" w:rsidRPr="009E712E" w:rsidRDefault="002A0CC3" w:rsidP="002A0CC3">
            <w:pPr>
              <w:jc w:val="center"/>
              <w:rPr>
                <w:color w:val="000000" w:themeColor="text1"/>
              </w:rPr>
            </w:pPr>
            <w:r w:rsidRPr="007A7D4E">
              <w:t>66.186</w:t>
            </w:r>
          </w:p>
        </w:tc>
        <w:tc>
          <w:tcPr>
            <w:tcW w:w="1399" w:type="dxa"/>
          </w:tcPr>
          <w:p w14:paraId="5DC2A21F" w14:textId="5386FD55" w:rsidR="002A0CC3" w:rsidRPr="009E712E" w:rsidRDefault="002A0CC3" w:rsidP="002A0CC3">
            <w:pPr>
              <w:jc w:val="center"/>
              <w:rPr>
                <w:color w:val="000000" w:themeColor="text1"/>
              </w:rPr>
            </w:pPr>
            <w:r w:rsidRPr="007A7D4E">
              <w:t>[0.0000]</w:t>
            </w:r>
          </w:p>
        </w:tc>
      </w:tr>
      <w:tr w:rsidR="002A0CC3" w:rsidRPr="009E712E" w14:paraId="32771976" w14:textId="77777777" w:rsidTr="00907C44">
        <w:trPr>
          <w:jc w:val="center"/>
        </w:trPr>
        <w:tc>
          <w:tcPr>
            <w:tcW w:w="805" w:type="dxa"/>
          </w:tcPr>
          <w:p w14:paraId="3704685E" w14:textId="3EEB199F" w:rsidR="002A0CC3" w:rsidRPr="009E712E" w:rsidRDefault="002A0CC3" w:rsidP="002A0CC3">
            <w:pPr>
              <w:jc w:val="center"/>
              <w:rPr>
                <w:color w:val="000000" w:themeColor="text1"/>
              </w:rPr>
            </w:pPr>
            <w:r w:rsidRPr="007A7D4E">
              <w:t>1</w:t>
            </w:r>
          </w:p>
        </w:tc>
        <w:tc>
          <w:tcPr>
            <w:tcW w:w="1399" w:type="dxa"/>
          </w:tcPr>
          <w:p w14:paraId="3F24B31E" w14:textId="085E5D8D" w:rsidR="002A0CC3" w:rsidRPr="009E712E" w:rsidRDefault="002A0CC3" w:rsidP="002A0CC3">
            <w:pPr>
              <w:jc w:val="center"/>
              <w:rPr>
                <w:color w:val="000000" w:themeColor="text1"/>
              </w:rPr>
            </w:pPr>
            <w:r w:rsidRPr="007A7D4E">
              <w:t>0.37508</w:t>
            </w:r>
          </w:p>
        </w:tc>
        <w:tc>
          <w:tcPr>
            <w:tcW w:w="1399" w:type="dxa"/>
          </w:tcPr>
          <w:p w14:paraId="7DF85EFC" w14:textId="1D365BDB" w:rsidR="002A0CC3" w:rsidRPr="009E712E" w:rsidRDefault="002A0CC3" w:rsidP="002A0CC3">
            <w:pPr>
              <w:jc w:val="center"/>
              <w:rPr>
                <w:color w:val="000000" w:themeColor="text1"/>
              </w:rPr>
            </w:pPr>
            <w:r w:rsidRPr="007A7D4E">
              <w:t>8.4623</w:t>
            </w:r>
          </w:p>
        </w:tc>
        <w:tc>
          <w:tcPr>
            <w:tcW w:w="1399" w:type="dxa"/>
          </w:tcPr>
          <w:p w14:paraId="3C60E8A0" w14:textId="33236414" w:rsidR="002A0CC3" w:rsidRPr="009E712E" w:rsidRDefault="002A0CC3" w:rsidP="002A0CC3">
            <w:pPr>
              <w:jc w:val="center"/>
              <w:rPr>
                <w:color w:val="000000" w:themeColor="text1"/>
              </w:rPr>
            </w:pPr>
            <w:r w:rsidRPr="007A7D4E">
              <w:t>[0.0036]</w:t>
            </w:r>
          </w:p>
        </w:tc>
        <w:tc>
          <w:tcPr>
            <w:tcW w:w="1399" w:type="dxa"/>
          </w:tcPr>
          <w:p w14:paraId="6CC91E5C" w14:textId="2D7278CF" w:rsidR="002A0CC3" w:rsidRPr="009E712E" w:rsidRDefault="002A0CC3" w:rsidP="002A0CC3">
            <w:pPr>
              <w:jc w:val="center"/>
              <w:rPr>
                <w:color w:val="000000" w:themeColor="text1"/>
              </w:rPr>
            </w:pPr>
            <w:r w:rsidRPr="007A7D4E">
              <w:t>8.4623</w:t>
            </w:r>
          </w:p>
        </w:tc>
        <w:tc>
          <w:tcPr>
            <w:tcW w:w="1399" w:type="dxa"/>
          </w:tcPr>
          <w:p w14:paraId="7A9EA043" w14:textId="361D917B" w:rsidR="002A0CC3" w:rsidRPr="009E712E" w:rsidRDefault="002A0CC3" w:rsidP="002A0CC3">
            <w:pPr>
              <w:jc w:val="center"/>
              <w:rPr>
                <w:color w:val="000000" w:themeColor="text1"/>
              </w:rPr>
            </w:pPr>
            <w:r w:rsidRPr="007A7D4E">
              <w:t>[0.0036]</w:t>
            </w:r>
          </w:p>
        </w:tc>
      </w:tr>
    </w:tbl>
    <w:p w14:paraId="1E1885BB" w14:textId="3898BA4B" w:rsidR="009E712E" w:rsidRDefault="009E712E" w:rsidP="009E712E">
      <w:pPr>
        <w:jc w:val="center"/>
        <w:rPr>
          <w:color w:val="000000" w:themeColor="text1"/>
          <w:szCs w:val="24"/>
        </w:rPr>
      </w:pPr>
    </w:p>
    <w:p w14:paraId="562F94B4" w14:textId="254181F4" w:rsidR="00D238C4" w:rsidRDefault="00D238C4" w:rsidP="009E712E">
      <w:pPr>
        <w:jc w:val="center"/>
        <w:rPr>
          <w:color w:val="000000" w:themeColor="text1"/>
          <w:szCs w:val="24"/>
        </w:rPr>
      </w:pPr>
    </w:p>
    <w:p w14:paraId="2DCF23D0" w14:textId="3461DC31" w:rsidR="009E712E" w:rsidRPr="00B66698" w:rsidRDefault="009E712E" w:rsidP="009E712E">
      <w:pPr>
        <w:pStyle w:val="MyTables"/>
        <w:jc w:val="center"/>
        <w:rPr>
          <w:rFonts w:cs="Times New Roman"/>
          <w:szCs w:val="24"/>
        </w:rPr>
      </w:pPr>
      <w:bookmarkStart w:id="5" w:name="_Toc79604520"/>
      <w:r w:rsidRPr="006A47C9">
        <w:rPr>
          <w:rFonts w:cs="Times New Roman"/>
          <w:szCs w:val="24"/>
        </w:rPr>
        <w:t xml:space="preserve">Table </w:t>
      </w:r>
      <w:bookmarkEnd w:id="5"/>
      <w:r w:rsidRPr="002A0CC3">
        <w:rPr>
          <w:rFonts w:cs="Times New Roman"/>
          <w:szCs w:val="24"/>
        </w:rPr>
        <w:t>8</w:t>
      </w:r>
      <w:r w:rsidR="00D117C7" w:rsidRPr="002A0CC3">
        <w:rPr>
          <w:rFonts w:cs="Times New Roman"/>
          <w:szCs w:val="24"/>
        </w:rPr>
        <w:t>:</w:t>
      </w:r>
      <w:r w:rsidR="00674EA3" w:rsidRPr="002A0CC3">
        <w:rPr>
          <w:rFonts w:cs="Times New Roman"/>
          <w:szCs w:val="24"/>
        </w:rPr>
        <w:t xml:space="preserve"> JC test results for </w:t>
      </w:r>
      <w:r w:rsidR="00D44038" w:rsidRPr="002A0CC3">
        <w:rPr>
          <w:rFonts w:cs="Times New Roman"/>
          <w:szCs w:val="24"/>
        </w:rPr>
        <w:t xml:space="preserve">GHGpc </w:t>
      </w:r>
      <w:r w:rsidR="00674EA3" w:rsidRPr="002A0CC3">
        <w:rPr>
          <w:rFonts w:cs="Times New Roman"/>
          <w:szCs w:val="24"/>
        </w:rPr>
        <w:t>and HDI with unrestricted constant</w:t>
      </w:r>
    </w:p>
    <w:tbl>
      <w:tblPr>
        <w:tblStyle w:val="TableGrid"/>
        <w:tblW w:w="7795" w:type="dxa"/>
        <w:jc w:val="center"/>
        <w:tblBorders>
          <w:insideV w:val="none" w:sz="0" w:space="0" w:color="auto"/>
        </w:tblBorders>
        <w:tblLayout w:type="fixed"/>
        <w:tblLook w:val="04A0" w:firstRow="1" w:lastRow="0" w:firstColumn="1" w:lastColumn="0" w:noHBand="0" w:noVBand="1"/>
      </w:tblPr>
      <w:tblGrid>
        <w:gridCol w:w="774"/>
        <w:gridCol w:w="1404"/>
        <w:gridCol w:w="1404"/>
        <w:gridCol w:w="1404"/>
        <w:gridCol w:w="1404"/>
        <w:gridCol w:w="1405"/>
      </w:tblGrid>
      <w:tr w:rsidR="00DB6EF9" w:rsidRPr="009E712E" w14:paraId="5BB9D8AC" w14:textId="77777777" w:rsidTr="00907C44">
        <w:trPr>
          <w:trHeight w:val="431"/>
          <w:jc w:val="center"/>
        </w:trPr>
        <w:tc>
          <w:tcPr>
            <w:tcW w:w="774" w:type="dxa"/>
            <w:vAlign w:val="center"/>
          </w:tcPr>
          <w:p w14:paraId="00A87741" w14:textId="77777777" w:rsidR="009E712E" w:rsidRPr="009E712E" w:rsidRDefault="009E712E" w:rsidP="009E712E">
            <w:pPr>
              <w:jc w:val="center"/>
              <w:rPr>
                <w:color w:val="000000" w:themeColor="text1"/>
              </w:rPr>
            </w:pPr>
            <w:r w:rsidRPr="009E712E">
              <w:rPr>
                <w:color w:val="000000" w:themeColor="text1"/>
              </w:rPr>
              <w:t>Rank</w:t>
            </w:r>
          </w:p>
        </w:tc>
        <w:tc>
          <w:tcPr>
            <w:tcW w:w="1404" w:type="dxa"/>
            <w:vAlign w:val="center"/>
          </w:tcPr>
          <w:p w14:paraId="59F3AC63" w14:textId="77777777" w:rsidR="009E712E" w:rsidRPr="009E712E" w:rsidRDefault="009E712E" w:rsidP="009E712E">
            <w:pPr>
              <w:jc w:val="center"/>
              <w:rPr>
                <w:color w:val="000000" w:themeColor="text1"/>
              </w:rPr>
            </w:pPr>
            <w:r w:rsidRPr="009E712E">
              <w:rPr>
                <w:color w:val="000000" w:themeColor="text1"/>
              </w:rPr>
              <w:t>Eigenvalue</w:t>
            </w:r>
          </w:p>
        </w:tc>
        <w:tc>
          <w:tcPr>
            <w:tcW w:w="1404" w:type="dxa"/>
            <w:vAlign w:val="center"/>
          </w:tcPr>
          <w:p w14:paraId="74293F82" w14:textId="77777777" w:rsidR="009E712E" w:rsidRPr="009E712E" w:rsidRDefault="009E712E" w:rsidP="009E712E">
            <w:pPr>
              <w:jc w:val="center"/>
              <w:rPr>
                <w:color w:val="000000" w:themeColor="text1"/>
              </w:rPr>
            </w:pPr>
            <w:r w:rsidRPr="009E712E">
              <w:rPr>
                <w:color w:val="000000" w:themeColor="text1"/>
              </w:rPr>
              <w:t>Trace Test</w:t>
            </w:r>
          </w:p>
        </w:tc>
        <w:tc>
          <w:tcPr>
            <w:tcW w:w="1404" w:type="dxa"/>
            <w:vAlign w:val="center"/>
          </w:tcPr>
          <w:p w14:paraId="6D7658F5" w14:textId="77777777" w:rsidR="009E712E" w:rsidRPr="009E712E" w:rsidRDefault="009E712E" w:rsidP="009E712E">
            <w:pPr>
              <w:jc w:val="center"/>
              <w:rPr>
                <w:color w:val="000000" w:themeColor="text1"/>
              </w:rPr>
            </w:pPr>
            <w:r w:rsidRPr="009E712E">
              <w:rPr>
                <w:color w:val="000000" w:themeColor="text1"/>
              </w:rPr>
              <w:t>p-value (Trace)</w:t>
            </w:r>
          </w:p>
        </w:tc>
        <w:tc>
          <w:tcPr>
            <w:tcW w:w="1404" w:type="dxa"/>
            <w:vAlign w:val="center"/>
          </w:tcPr>
          <w:p w14:paraId="703F9D39" w14:textId="77777777" w:rsidR="009E712E" w:rsidRPr="009E712E" w:rsidRDefault="009E712E" w:rsidP="009E712E">
            <w:pPr>
              <w:jc w:val="center"/>
              <w:rPr>
                <w:color w:val="000000" w:themeColor="text1"/>
              </w:rPr>
            </w:pPr>
            <w:r w:rsidRPr="009E712E">
              <w:rPr>
                <w:color w:val="000000" w:themeColor="text1"/>
              </w:rPr>
              <w:t>Lmax Test</w:t>
            </w:r>
          </w:p>
        </w:tc>
        <w:tc>
          <w:tcPr>
            <w:tcW w:w="1405" w:type="dxa"/>
            <w:vAlign w:val="center"/>
          </w:tcPr>
          <w:p w14:paraId="537F750A" w14:textId="77777777" w:rsidR="009E712E" w:rsidRPr="009E712E" w:rsidRDefault="009E712E" w:rsidP="009E712E">
            <w:pPr>
              <w:jc w:val="center"/>
              <w:rPr>
                <w:color w:val="000000" w:themeColor="text1"/>
              </w:rPr>
            </w:pPr>
            <w:r w:rsidRPr="009E712E">
              <w:rPr>
                <w:color w:val="000000" w:themeColor="text1"/>
              </w:rPr>
              <w:t>p-value (Lmax)</w:t>
            </w:r>
          </w:p>
        </w:tc>
      </w:tr>
      <w:tr w:rsidR="002A0CC3" w:rsidRPr="009E712E" w14:paraId="4EA23A2D" w14:textId="77777777" w:rsidTr="00907C44">
        <w:trPr>
          <w:jc w:val="center"/>
        </w:trPr>
        <w:tc>
          <w:tcPr>
            <w:tcW w:w="774" w:type="dxa"/>
          </w:tcPr>
          <w:p w14:paraId="03BA28BD" w14:textId="55582F2A" w:rsidR="002A0CC3" w:rsidRPr="009E712E" w:rsidRDefault="002A0CC3" w:rsidP="002A0CC3">
            <w:pPr>
              <w:jc w:val="center"/>
              <w:rPr>
                <w:color w:val="000000" w:themeColor="text1"/>
              </w:rPr>
            </w:pPr>
            <w:r w:rsidRPr="00364616">
              <w:t>0</w:t>
            </w:r>
          </w:p>
        </w:tc>
        <w:tc>
          <w:tcPr>
            <w:tcW w:w="1404" w:type="dxa"/>
          </w:tcPr>
          <w:p w14:paraId="17B97D81" w14:textId="769B26F1" w:rsidR="002A0CC3" w:rsidRPr="009E712E" w:rsidRDefault="002A0CC3" w:rsidP="002A0CC3">
            <w:pPr>
              <w:jc w:val="center"/>
              <w:rPr>
                <w:color w:val="000000" w:themeColor="text1"/>
              </w:rPr>
            </w:pPr>
            <w:r w:rsidRPr="00364616">
              <w:t>0.922530</w:t>
            </w:r>
          </w:p>
        </w:tc>
        <w:tc>
          <w:tcPr>
            <w:tcW w:w="1404" w:type="dxa"/>
          </w:tcPr>
          <w:p w14:paraId="42108319" w14:textId="48373F00" w:rsidR="002A0CC3" w:rsidRPr="009E712E" w:rsidRDefault="002A0CC3" w:rsidP="002A0CC3">
            <w:pPr>
              <w:jc w:val="center"/>
              <w:rPr>
                <w:color w:val="000000" w:themeColor="text1"/>
              </w:rPr>
            </w:pPr>
            <w:r w:rsidRPr="00364616">
              <w:t>47.515</w:t>
            </w:r>
          </w:p>
        </w:tc>
        <w:tc>
          <w:tcPr>
            <w:tcW w:w="1404" w:type="dxa"/>
          </w:tcPr>
          <w:p w14:paraId="0E8229A1" w14:textId="57FC52BB" w:rsidR="002A0CC3" w:rsidRPr="009E712E" w:rsidRDefault="002A0CC3" w:rsidP="002A0CC3">
            <w:pPr>
              <w:jc w:val="center"/>
              <w:rPr>
                <w:color w:val="000000" w:themeColor="text1"/>
              </w:rPr>
            </w:pPr>
            <w:r w:rsidRPr="00364616">
              <w:t>[0.0000]</w:t>
            </w:r>
          </w:p>
        </w:tc>
        <w:tc>
          <w:tcPr>
            <w:tcW w:w="1404" w:type="dxa"/>
          </w:tcPr>
          <w:p w14:paraId="3283CD45" w14:textId="150ECAC1" w:rsidR="002A0CC3" w:rsidRPr="009E712E" w:rsidRDefault="002A0CC3" w:rsidP="002A0CC3">
            <w:pPr>
              <w:jc w:val="center"/>
              <w:rPr>
                <w:color w:val="000000" w:themeColor="text1"/>
              </w:rPr>
            </w:pPr>
            <w:r w:rsidRPr="00364616">
              <w:t>46.041</w:t>
            </w:r>
          </w:p>
        </w:tc>
        <w:tc>
          <w:tcPr>
            <w:tcW w:w="1405" w:type="dxa"/>
          </w:tcPr>
          <w:p w14:paraId="0566AA5C" w14:textId="4F337FB1" w:rsidR="002A0CC3" w:rsidRPr="009E712E" w:rsidRDefault="002A0CC3" w:rsidP="002A0CC3">
            <w:pPr>
              <w:jc w:val="center"/>
              <w:rPr>
                <w:color w:val="000000" w:themeColor="text1"/>
              </w:rPr>
            </w:pPr>
            <w:r w:rsidRPr="00364616">
              <w:t>[0.0000]</w:t>
            </w:r>
          </w:p>
        </w:tc>
      </w:tr>
      <w:tr w:rsidR="002A0CC3" w:rsidRPr="009E712E" w14:paraId="2ECCC21E" w14:textId="77777777" w:rsidTr="00907C44">
        <w:trPr>
          <w:jc w:val="center"/>
        </w:trPr>
        <w:tc>
          <w:tcPr>
            <w:tcW w:w="774" w:type="dxa"/>
          </w:tcPr>
          <w:p w14:paraId="409EB760" w14:textId="4838F213" w:rsidR="002A0CC3" w:rsidRPr="009E712E" w:rsidRDefault="002A0CC3" w:rsidP="002A0CC3">
            <w:pPr>
              <w:jc w:val="center"/>
              <w:rPr>
                <w:color w:val="000000" w:themeColor="text1"/>
              </w:rPr>
            </w:pPr>
            <w:r w:rsidRPr="00364616">
              <w:t>1</w:t>
            </w:r>
          </w:p>
        </w:tc>
        <w:tc>
          <w:tcPr>
            <w:tcW w:w="1404" w:type="dxa"/>
          </w:tcPr>
          <w:p w14:paraId="23EDAE5A" w14:textId="11A8F6B3" w:rsidR="002A0CC3" w:rsidRPr="009E712E" w:rsidRDefault="002A0CC3" w:rsidP="002A0CC3">
            <w:pPr>
              <w:jc w:val="center"/>
              <w:rPr>
                <w:color w:val="000000" w:themeColor="text1"/>
              </w:rPr>
            </w:pPr>
            <w:r w:rsidRPr="00364616">
              <w:t>0.078585</w:t>
            </w:r>
          </w:p>
        </w:tc>
        <w:tc>
          <w:tcPr>
            <w:tcW w:w="1404" w:type="dxa"/>
          </w:tcPr>
          <w:p w14:paraId="70466951" w14:textId="7B95BB4F" w:rsidR="002A0CC3" w:rsidRPr="009E712E" w:rsidRDefault="002A0CC3" w:rsidP="002A0CC3">
            <w:pPr>
              <w:jc w:val="center"/>
              <w:rPr>
                <w:color w:val="000000" w:themeColor="text1"/>
              </w:rPr>
            </w:pPr>
            <w:r w:rsidRPr="00364616">
              <w:t>1.4732</w:t>
            </w:r>
          </w:p>
        </w:tc>
        <w:tc>
          <w:tcPr>
            <w:tcW w:w="1404" w:type="dxa"/>
          </w:tcPr>
          <w:p w14:paraId="58433239" w14:textId="397B98FB" w:rsidR="002A0CC3" w:rsidRPr="009E712E" w:rsidRDefault="002A0CC3" w:rsidP="002A0CC3">
            <w:pPr>
              <w:jc w:val="center"/>
              <w:rPr>
                <w:color w:val="000000" w:themeColor="text1"/>
              </w:rPr>
            </w:pPr>
            <w:r w:rsidRPr="00364616">
              <w:t>[0.2248]</w:t>
            </w:r>
          </w:p>
        </w:tc>
        <w:tc>
          <w:tcPr>
            <w:tcW w:w="1404" w:type="dxa"/>
          </w:tcPr>
          <w:p w14:paraId="24EAA0D5" w14:textId="3FA914E2" w:rsidR="002A0CC3" w:rsidRPr="009E712E" w:rsidRDefault="002A0CC3" w:rsidP="002A0CC3">
            <w:pPr>
              <w:jc w:val="center"/>
              <w:rPr>
                <w:color w:val="000000" w:themeColor="text1"/>
              </w:rPr>
            </w:pPr>
            <w:r w:rsidRPr="00364616">
              <w:t>1.4732</w:t>
            </w:r>
          </w:p>
        </w:tc>
        <w:tc>
          <w:tcPr>
            <w:tcW w:w="1405" w:type="dxa"/>
          </w:tcPr>
          <w:p w14:paraId="5828C2F9" w14:textId="254584D2" w:rsidR="002A0CC3" w:rsidRPr="009E712E" w:rsidRDefault="002A0CC3" w:rsidP="002A0CC3">
            <w:pPr>
              <w:jc w:val="center"/>
              <w:rPr>
                <w:color w:val="000000" w:themeColor="text1"/>
              </w:rPr>
            </w:pPr>
            <w:r w:rsidRPr="00364616">
              <w:t>[0.2248]</w:t>
            </w:r>
          </w:p>
        </w:tc>
      </w:tr>
    </w:tbl>
    <w:p w14:paraId="3106C53C" w14:textId="4FAA03F8" w:rsidR="00D238C4" w:rsidRDefault="00D238C4" w:rsidP="008550C3">
      <w:pPr>
        <w:pStyle w:val="Caption"/>
        <w:spacing w:after="0"/>
        <w:jc w:val="center"/>
        <w:rPr>
          <w:lang w:eastAsia="en-US"/>
        </w:rPr>
      </w:pPr>
      <w:bookmarkStart w:id="6" w:name="_Toc79604522"/>
    </w:p>
    <w:p w14:paraId="48671D8E" w14:textId="77777777" w:rsidR="006B4454" w:rsidRPr="006B4454" w:rsidRDefault="006B4454" w:rsidP="006B4454">
      <w:pPr>
        <w:rPr>
          <w:lang w:eastAsia="en-US"/>
        </w:rPr>
      </w:pPr>
    </w:p>
    <w:p w14:paraId="2BFA4908" w14:textId="72680C40" w:rsidR="009E712E" w:rsidRPr="00B66698" w:rsidRDefault="009E712E" w:rsidP="009E712E">
      <w:pPr>
        <w:pStyle w:val="MyTables"/>
        <w:jc w:val="center"/>
        <w:rPr>
          <w:rFonts w:cs="Times New Roman"/>
          <w:szCs w:val="24"/>
        </w:rPr>
      </w:pPr>
      <w:r w:rsidRPr="00461CE5">
        <w:rPr>
          <w:rFonts w:cs="Times New Roman"/>
          <w:szCs w:val="24"/>
        </w:rPr>
        <w:t>Table 9</w:t>
      </w:r>
      <w:bookmarkEnd w:id="6"/>
      <w:r w:rsidR="00D117C7" w:rsidRPr="00461CE5">
        <w:rPr>
          <w:rFonts w:cs="Times New Roman"/>
          <w:szCs w:val="24"/>
        </w:rPr>
        <w:t>:</w:t>
      </w:r>
      <w:r w:rsidR="00024679" w:rsidRPr="00461CE5">
        <w:rPr>
          <w:rFonts w:cs="Times New Roman"/>
          <w:szCs w:val="24"/>
        </w:rPr>
        <w:t xml:space="preserve"> JC test results for </w:t>
      </w:r>
      <w:r w:rsidR="00D44038" w:rsidRPr="00461CE5">
        <w:rPr>
          <w:rFonts w:cs="Times New Roman"/>
          <w:szCs w:val="24"/>
        </w:rPr>
        <w:t xml:space="preserve">GHGpc </w:t>
      </w:r>
      <w:r w:rsidR="00024679" w:rsidRPr="00461CE5">
        <w:rPr>
          <w:rFonts w:cs="Times New Roman"/>
          <w:szCs w:val="24"/>
        </w:rPr>
        <w:t>and HDI with unrestricted constant and trend</w:t>
      </w:r>
    </w:p>
    <w:tbl>
      <w:tblPr>
        <w:tblStyle w:val="TableGrid"/>
        <w:tblW w:w="7777" w:type="dxa"/>
        <w:jc w:val="center"/>
        <w:tblBorders>
          <w:insideV w:val="none" w:sz="0" w:space="0" w:color="auto"/>
        </w:tblBorders>
        <w:tblLayout w:type="fixed"/>
        <w:tblLook w:val="04A0" w:firstRow="1" w:lastRow="0" w:firstColumn="1" w:lastColumn="0" w:noHBand="0" w:noVBand="1"/>
      </w:tblPr>
      <w:tblGrid>
        <w:gridCol w:w="833"/>
        <w:gridCol w:w="1388"/>
        <w:gridCol w:w="1389"/>
        <w:gridCol w:w="1389"/>
        <w:gridCol w:w="1389"/>
        <w:gridCol w:w="1389"/>
      </w:tblGrid>
      <w:tr w:rsidR="001E1AC3" w:rsidRPr="009E712E" w14:paraId="1DC2B66F" w14:textId="77777777" w:rsidTr="00907C44">
        <w:trPr>
          <w:trHeight w:val="431"/>
          <w:jc w:val="center"/>
        </w:trPr>
        <w:tc>
          <w:tcPr>
            <w:tcW w:w="833" w:type="dxa"/>
            <w:vAlign w:val="center"/>
          </w:tcPr>
          <w:p w14:paraId="490FE7FE" w14:textId="77777777" w:rsidR="009E712E" w:rsidRPr="009E712E" w:rsidRDefault="009E712E" w:rsidP="009E712E">
            <w:pPr>
              <w:jc w:val="center"/>
              <w:rPr>
                <w:color w:val="000000" w:themeColor="text1"/>
              </w:rPr>
            </w:pPr>
            <w:r w:rsidRPr="009E712E">
              <w:rPr>
                <w:color w:val="000000" w:themeColor="text1"/>
              </w:rPr>
              <w:t>Rank</w:t>
            </w:r>
          </w:p>
        </w:tc>
        <w:tc>
          <w:tcPr>
            <w:tcW w:w="1388" w:type="dxa"/>
            <w:vAlign w:val="center"/>
          </w:tcPr>
          <w:p w14:paraId="0243CB4D" w14:textId="77777777" w:rsidR="009E712E" w:rsidRPr="009E712E" w:rsidRDefault="009E712E" w:rsidP="009E712E">
            <w:pPr>
              <w:jc w:val="center"/>
              <w:rPr>
                <w:color w:val="000000" w:themeColor="text1"/>
              </w:rPr>
            </w:pPr>
            <w:r w:rsidRPr="009E712E">
              <w:rPr>
                <w:color w:val="000000" w:themeColor="text1"/>
              </w:rPr>
              <w:t>Eigenvalue</w:t>
            </w:r>
          </w:p>
        </w:tc>
        <w:tc>
          <w:tcPr>
            <w:tcW w:w="1389" w:type="dxa"/>
            <w:vAlign w:val="center"/>
          </w:tcPr>
          <w:p w14:paraId="7DDAFC25" w14:textId="77777777" w:rsidR="009E712E" w:rsidRPr="009E712E" w:rsidRDefault="009E712E" w:rsidP="009E712E">
            <w:pPr>
              <w:jc w:val="center"/>
              <w:rPr>
                <w:color w:val="000000" w:themeColor="text1"/>
              </w:rPr>
            </w:pPr>
            <w:r w:rsidRPr="009E712E">
              <w:rPr>
                <w:color w:val="000000" w:themeColor="text1"/>
              </w:rPr>
              <w:t>Trace Test</w:t>
            </w:r>
          </w:p>
        </w:tc>
        <w:tc>
          <w:tcPr>
            <w:tcW w:w="1389" w:type="dxa"/>
            <w:vAlign w:val="center"/>
          </w:tcPr>
          <w:p w14:paraId="550819F8" w14:textId="77777777" w:rsidR="009E712E" w:rsidRPr="009E712E" w:rsidRDefault="009E712E" w:rsidP="009E712E">
            <w:pPr>
              <w:jc w:val="center"/>
              <w:rPr>
                <w:color w:val="000000" w:themeColor="text1"/>
              </w:rPr>
            </w:pPr>
            <w:r w:rsidRPr="009E712E">
              <w:rPr>
                <w:color w:val="000000" w:themeColor="text1"/>
              </w:rPr>
              <w:t>p-value (Trace)</w:t>
            </w:r>
          </w:p>
        </w:tc>
        <w:tc>
          <w:tcPr>
            <w:tcW w:w="1389" w:type="dxa"/>
            <w:vAlign w:val="center"/>
          </w:tcPr>
          <w:p w14:paraId="32D919AF" w14:textId="77777777" w:rsidR="009E712E" w:rsidRPr="009E712E" w:rsidRDefault="009E712E" w:rsidP="009E712E">
            <w:pPr>
              <w:jc w:val="center"/>
              <w:rPr>
                <w:color w:val="000000" w:themeColor="text1"/>
              </w:rPr>
            </w:pPr>
            <w:r w:rsidRPr="009E712E">
              <w:rPr>
                <w:color w:val="000000" w:themeColor="text1"/>
              </w:rPr>
              <w:t>Lmax Test</w:t>
            </w:r>
          </w:p>
        </w:tc>
        <w:tc>
          <w:tcPr>
            <w:tcW w:w="1389" w:type="dxa"/>
            <w:vAlign w:val="center"/>
          </w:tcPr>
          <w:p w14:paraId="4DBB1934" w14:textId="77777777" w:rsidR="009E712E" w:rsidRPr="009E712E" w:rsidRDefault="009E712E" w:rsidP="009E712E">
            <w:pPr>
              <w:jc w:val="center"/>
              <w:rPr>
                <w:color w:val="000000" w:themeColor="text1"/>
              </w:rPr>
            </w:pPr>
            <w:r w:rsidRPr="009E712E">
              <w:rPr>
                <w:color w:val="000000" w:themeColor="text1"/>
              </w:rPr>
              <w:t>p-value (Lmax)</w:t>
            </w:r>
          </w:p>
        </w:tc>
      </w:tr>
      <w:tr w:rsidR="00461CE5" w:rsidRPr="009E712E" w14:paraId="4C086621" w14:textId="77777777" w:rsidTr="00907C44">
        <w:trPr>
          <w:jc w:val="center"/>
        </w:trPr>
        <w:tc>
          <w:tcPr>
            <w:tcW w:w="833" w:type="dxa"/>
          </w:tcPr>
          <w:p w14:paraId="51DD924C" w14:textId="5394834D" w:rsidR="00461CE5" w:rsidRPr="009E712E" w:rsidRDefault="00461CE5" w:rsidP="00461CE5">
            <w:pPr>
              <w:jc w:val="center"/>
              <w:rPr>
                <w:color w:val="000000" w:themeColor="text1"/>
              </w:rPr>
            </w:pPr>
            <w:r w:rsidRPr="00646338">
              <w:t>0</w:t>
            </w:r>
          </w:p>
        </w:tc>
        <w:tc>
          <w:tcPr>
            <w:tcW w:w="1388" w:type="dxa"/>
          </w:tcPr>
          <w:p w14:paraId="3C423C82" w14:textId="16041CFE" w:rsidR="00461CE5" w:rsidRPr="009E712E" w:rsidRDefault="00461CE5" w:rsidP="00461CE5">
            <w:pPr>
              <w:jc w:val="center"/>
              <w:rPr>
                <w:color w:val="000000" w:themeColor="text1"/>
              </w:rPr>
            </w:pPr>
            <w:r w:rsidRPr="00646338">
              <w:t>0.974470</w:t>
            </w:r>
          </w:p>
        </w:tc>
        <w:tc>
          <w:tcPr>
            <w:tcW w:w="1389" w:type="dxa"/>
          </w:tcPr>
          <w:p w14:paraId="54182B54" w14:textId="3E3B4A59" w:rsidR="00461CE5" w:rsidRPr="009E712E" w:rsidRDefault="00461CE5" w:rsidP="00461CE5">
            <w:pPr>
              <w:jc w:val="center"/>
              <w:rPr>
                <w:color w:val="000000" w:themeColor="text1"/>
              </w:rPr>
            </w:pPr>
            <w:r w:rsidRPr="00646338">
              <w:t>73.247</w:t>
            </w:r>
          </w:p>
        </w:tc>
        <w:tc>
          <w:tcPr>
            <w:tcW w:w="1389" w:type="dxa"/>
          </w:tcPr>
          <w:p w14:paraId="3E432921" w14:textId="30E59CA3" w:rsidR="00461CE5" w:rsidRPr="009E712E" w:rsidRDefault="00461CE5" w:rsidP="00461CE5">
            <w:pPr>
              <w:jc w:val="center"/>
              <w:rPr>
                <w:color w:val="000000" w:themeColor="text1"/>
              </w:rPr>
            </w:pPr>
            <w:r w:rsidRPr="00646338">
              <w:t>[0.0000]</w:t>
            </w:r>
          </w:p>
        </w:tc>
        <w:tc>
          <w:tcPr>
            <w:tcW w:w="1389" w:type="dxa"/>
          </w:tcPr>
          <w:p w14:paraId="318DBB3E" w14:textId="4BD3BA8D" w:rsidR="00461CE5" w:rsidRPr="009E712E" w:rsidRDefault="00461CE5" w:rsidP="00461CE5">
            <w:pPr>
              <w:jc w:val="center"/>
              <w:rPr>
                <w:color w:val="000000" w:themeColor="text1"/>
              </w:rPr>
            </w:pPr>
            <w:r w:rsidRPr="00646338">
              <w:t>66.023</w:t>
            </w:r>
          </w:p>
        </w:tc>
        <w:tc>
          <w:tcPr>
            <w:tcW w:w="1389" w:type="dxa"/>
          </w:tcPr>
          <w:p w14:paraId="255514B7" w14:textId="22ED5CD4" w:rsidR="00461CE5" w:rsidRPr="009E712E" w:rsidRDefault="00461CE5" w:rsidP="00461CE5">
            <w:pPr>
              <w:jc w:val="center"/>
              <w:rPr>
                <w:color w:val="000000" w:themeColor="text1"/>
              </w:rPr>
            </w:pPr>
            <w:r w:rsidRPr="00646338">
              <w:t>[0.0000]</w:t>
            </w:r>
          </w:p>
        </w:tc>
      </w:tr>
      <w:tr w:rsidR="00461CE5" w:rsidRPr="009E712E" w14:paraId="73014102" w14:textId="77777777" w:rsidTr="00907C44">
        <w:trPr>
          <w:jc w:val="center"/>
        </w:trPr>
        <w:tc>
          <w:tcPr>
            <w:tcW w:w="833" w:type="dxa"/>
          </w:tcPr>
          <w:p w14:paraId="7942DBEC" w14:textId="652C1BBB" w:rsidR="00461CE5" w:rsidRPr="009E712E" w:rsidRDefault="00461CE5" w:rsidP="00461CE5">
            <w:pPr>
              <w:jc w:val="center"/>
              <w:rPr>
                <w:color w:val="000000" w:themeColor="text1"/>
              </w:rPr>
            </w:pPr>
            <w:r w:rsidRPr="00646338">
              <w:t>1</w:t>
            </w:r>
          </w:p>
        </w:tc>
        <w:tc>
          <w:tcPr>
            <w:tcW w:w="1388" w:type="dxa"/>
          </w:tcPr>
          <w:p w14:paraId="14FBE812" w14:textId="32960699" w:rsidR="00461CE5" w:rsidRPr="009E712E" w:rsidRDefault="00461CE5" w:rsidP="00461CE5">
            <w:pPr>
              <w:jc w:val="center"/>
              <w:rPr>
                <w:color w:val="000000" w:themeColor="text1"/>
              </w:rPr>
            </w:pPr>
            <w:r w:rsidRPr="00646338">
              <w:t>0.330560</w:t>
            </w:r>
          </w:p>
        </w:tc>
        <w:tc>
          <w:tcPr>
            <w:tcW w:w="1389" w:type="dxa"/>
          </w:tcPr>
          <w:p w14:paraId="1F02AD6B" w14:textId="389A5C08" w:rsidR="00461CE5" w:rsidRPr="009E712E" w:rsidRDefault="00461CE5" w:rsidP="00461CE5">
            <w:pPr>
              <w:jc w:val="center"/>
              <w:rPr>
                <w:color w:val="000000" w:themeColor="text1"/>
              </w:rPr>
            </w:pPr>
            <w:r w:rsidRPr="00646338">
              <w:t>7.2236</w:t>
            </w:r>
          </w:p>
        </w:tc>
        <w:tc>
          <w:tcPr>
            <w:tcW w:w="1389" w:type="dxa"/>
          </w:tcPr>
          <w:p w14:paraId="44C3A229" w14:textId="0E5E1DC1" w:rsidR="00461CE5" w:rsidRPr="009E712E" w:rsidRDefault="00461CE5" w:rsidP="00461CE5">
            <w:pPr>
              <w:jc w:val="center"/>
              <w:rPr>
                <w:color w:val="000000" w:themeColor="text1"/>
              </w:rPr>
            </w:pPr>
            <w:r w:rsidRPr="00646338">
              <w:t>[0.0072]</w:t>
            </w:r>
          </w:p>
        </w:tc>
        <w:tc>
          <w:tcPr>
            <w:tcW w:w="1389" w:type="dxa"/>
          </w:tcPr>
          <w:p w14:paraId="2030D2E4" w14:textId="0E2CAEE4" w:rsidR="00461CE5" w:rsidRPr="009E712E" w:rsidRDefault="00461CE5" w:rsidP="00461CE5">
            <w:pPr>
              <w:jc w:val="center"/>
              <w:rPr>
                <w:color w:val="000000" w:themeColor="text1"/>
              </w:rPr>
            </w:pPr>
            <w:r w:rsidRPr="00646338">
              <w:t>7.2236</w:t>
            </w:r>
          </w:p>
        </w:tc>
        <w:tc>
          <w:tcPr>
            <w:tcW w:w="1389" w:type="dxa"/>
          </w:tcPr>
          <w:p w14:paraId="0C17400F" w14:textId="617530CC" w:rsidR="00461CE5" w:rsidRPr="009E712E" w:rsidRDefault="00461CE5" w:rsidP="00461CE5">
            <w:pPr>
              <w:jc w:val="center"/>
              <w:rPr>
                <w:color w:val="000000" w:themeColor="text1"/>
              </w:rPr>
            </w:pPr>
            <w:r w:rsidRPr="00646338">
              <w:t>[0.0072]</w:t>
            </w:r>
          </w:p>
        </w:tc>
      </w:tr>
    </w:tbl>
    <w:p w14:paraId="1227E776" w14:textId="6BC95334" w:rsidR="009E712E" w:rsidRDefault="009E712E" w:rsidP="009E712E">
      <w:pPr>
        <w:jc w:val="center"/>
        <w:rPr>
          <w:color w:val="000000" w:themeColor="text1"/>
          <w:szCs w:val="24"/>
        </w:rPr>
      </w:pPr>
    </w:p>
    <w:p w14:paraId="2589EBE0" w14:textId="77777777" w:rsidR="00D238C4" w:rsidRPr="009E712E" w:rsidRDefault="00D238C4" w:rsidP="009E712E">
      <w:pPr>
        <w:jc w:val="center"/>
        <w:rPr>
          <w:color w:val="000000" w:themeColor="text1"/>
          <w:szCs w:val="24"/>
        </w:rPr>
      </w:pPr>
    </w:p>
    <w:p w14:paraId="1FE7458D" w14:textId="64C640D6" w:rsidR="009E712E" w:rsidRPr="00B66698" w:rsidRDefault="009E712E" w:rsidP="009E712E">
      <w:pPr>
        <w:pStyle w:val="MyTables"/>
        <w:jc w:val="center"/>
        <w:rPr>
          <w:rFonts w:cs="Times New Roman"/>
          <w:szCs w:val="24"/>
        </w:rPr>
      </w:pPr>
      <w:bookmarkStart w:id="7" w:name="_Toc79604528"/>
      <w:r w:rsidRPr="006A47C9">
        <w:rPr>
          <w:rFonts w:cs="Times New Roman"/>
          <w:szCs w:val="24"/>
        </w:rPr>
        <w:t xml:space="preserve">Table </w:t>
      </w:r>
      <w:bookmarkEnd w:id="7"/>
      <w:r w:rsidRPr="006A47C9">
        <w:rPr>
          <w:rFonts w:cs="Times New Roman"/>
          <w:szCs w:val="24"/>
        </w:rPr>
        <w:t>10</w:t>
      </w:r>
      <w:r w:rsidR="00D117C7" w:rsidRPr="00F75144">
        <w:rPr>
          <w:rFonts w:cs="Times New Roman"/>
          <w:szCs w:val="24"/>
        </w:rPr>
        <w:t>:</w:t>
      </w:r>
      <w:r w:rsidR="00D615C7" w:rsidRPr="00F75144">
        <w:rPr>
          <w:rFonts w:cs="Times New Roman"/>
          <w:szCs w:val="24"/>
        </w:rPr>
        <w:t xml:space="preserve"> JC test results for </w:t>
      </w:r>
      <w:r w:rsidR="00D44038" w:rsidRPr="00F75144">
        <w:rPr>
          <w:rFonts w:cs="Times New Roman"/>
          <w:szCs w:val="24"/>
        </w:rPr>
        <w:t xml:space="preserve">GHGpc </w:t>
      </w:r>
      <w:r w:rsidR="00D615C7" w:rsidRPr="00F75144">
        <w:rPr>
          <w:rFonts w:cs="Times New Roman"/>
          <w:szCs w:val="24"/>
        </w:rPr>
        <w:t>and IEF with unrestricted constant</w:t>
      </w:r>
    </w:p>
    <w:tbl>
      <w:tblPr>
        <w:tblStyle w:val="TableGrid"/>
        <w:tblW w:w="7776" w:type="dxa"/>
        <w:jc w:val="center"/>
        <w:tblBorders>
          <w:insideV w:val="none" w:sz="0" w:space="0" w:color="auto"/>
        </w:tblBorders>
        <w:tblLayout w:type="fixed"/>
        <w:tblLook w:val="04A0" w:firstRow="1" w:lastRow="0" w:firstColumn="1" w:lastColumn="0" w:noHBand="0" w:noVBand="1"/>
      </w:tblPr>
      <w:tblGrid>
        <w:gridCol w:w="810"/>
        <w:gridCol w:w="1393"/>
        <w:gridCol w:w="1393"/>
        <w:gridCol w:w="1393"/>
        <w:gridCol w:w="1393"/>
        <w:gridCol w:w="1394"/>
      </w:tblGrid>
      <w:tr w:rsidR="00907C44" w:rsidRPr="009E712E" w14:paraId="4D9F4DCB" w14:textId="77777777" w:rsidTr="00907C44">
        <w:trPr>
          <w:trHeight w:val="431"/>
          <w:jc w:val="center"/>
        </w:trPr>
        <w:tc>
          <w:tcPr>
            <w:tcW w:w="810" w:type="dxa"/>
            <w:vAlign w:val="center"/>
          </w:tcPr>
          <w:p w14:paraId="46973A57" w14:textId="77777777" w:rsidR="009E712E" w:rsidRPr="009E712E" w:rsidRDefault="009E712E" w:rsidP="009E712E">
            <w:pPr>
              <w:jc w:val="center"/>
              <w:rPr>
                <w:color w:val="000000" w:themeColor="text1"/>
              </w:rPr>
            </w:pPr>
            <w:r w:rsidRPr="009E712E">
              <w:rPr>
                <w:color w:val="000000" w:themeColor="text1"/>
              </w:rPr>
              <w:t>Rank</w:t>
            </w:r>
          </w:p>
        </w:tc>
        <w:tc>
          <w:tcPr>
            <w:tcW w:w="1393" w:type="dxa"/>
            <w:vAlign w:val="center"/>
          </w:tcPr>
          <w:p w14:paraId="32A5E93B" w14:textId="77777777" w:rsidR="009E712E" w:rsidRPr="009E712E" w:rsidRDefault="009E712E" w:rsidP="009E712E">
            <w:pPr>
              <w:jc w:val="center"/>
              <w:rPr>
                <w:color w:val="000000" w:themeColor="text1"/>
              </w:rPr>
            </w:pPr>
            <w:r w:rsidRPr="009E712E">
              <w:rPr>
                <w:color w:val="000000" w:themeColor="text1"/>
              </w:rPr>
              <w:t>Eigenvalue</w:t>
            </w:r>
          </w:p>
        </w:tc>
        <w:tc>
          <w:tcPr>
            <w:tcW w:w="1393" w:type="dxa"/>
            <w:vAlign w:val="center"/>
          </w:tcPr>
          <w:p w14:paraId="21F15D2B" w14:textId="77777777" w:rsidR="009E712E" w:rsidRPr="009E712E" w:rsidRDefault="009E712E" w:rsidP="009E712E">
            <w:pPr>
              <w:jc w:val="center"/>
              <w:rPr>
                <w:color w:val="000000" w:themeColor="text1"/>
              </w:rPr>
            </w:pPr>
            <w:r w:rsidRPr="009E712E">
              <w:rPr>
                <w:color w:val="000000" w:themeColor="text1"/>
              </w:rPr>
              <w:t>Trace Test</w:t>
            </w:r>
          </w:p>
        </w:tc>
        <w:tc>
          <w:tcPr>
            <w:tcW w:w="1393" w:type="dxa"/>
            <w:vAlign w:val="center"/>
          </w:tcPr>
          <w:p w14:paraId="43900134" w14:textId="77777777" w:rsidR="009E712E" w:rsidRPr="009E712E" w:rsidRDefault="009E712E" w:rsidP="009E712E">
            <w:pPr>
              <w:jc w:val="center"/>
              <w:rPr>
                <w:color w:val="000000" w:themeColor="text1"/>
              </w:rPr>
            </w:pPr>
            <w:r w:rsidRPr="009E712E">
              <w:rPr>
                <w:color w:val="000000" w:themeColor="text1"/>
              </w:rPr>
              <w:t>p-value (Trace)</w:t>
            </w:r>
          </w:p>
        </w:tc>
        <w:tc>
          <w:tcPr>
            <w:tcW w:w="1393" w:type="dxa"/>
            <w:vAlign w:val="center"/>
          </w:tcPr>
          <w:p w14:paraId="068B05C8" w14:textId="77777777" w:rsidR="009E712E" w:rsidRPr="009E712E" w:rsidRDefault="009E712E" w:rsidP="009E712E">
            <w:pPr>
              <w:jc w:val="center"/>
              <w:rPr>
                <w:color w:val="000000" w:themeColor="text1"/>
              </w:rPr>
            </w:pPr>
            <w:r w:rsidRPr="009E712E">
              <w:rPr>
                <w:color w:val="000000" w:themeColor="text1"/>
              </w:rPr>
              <w:t>Lmax Test</w:t>
            </w:r>
          </w:p>
        </w:tc>
        <w:tc>
          <w:tcPr>
            <w:tcW w:w="1394" w:type="dxa"/>
            <w:vAlign w:val="center"/>
          </w:tcPr>
          <w:p w14:paraId="1E696DA0" w14:textId="77777777" w:rsidR="009E712E" w:rsidRPr="009E712E" w:rsidRDefault="009E712E" w:rsidP="009E712E">
            <w:pPr>
              <w:jc w:val="center"/>
              <w:rPr>
                <w:color w:val="000000" w:themeColor="text1"/>
              </w:rPr>
            </w:pPr>
            <w:r w:rsidRPr="009E712E">
              <w:rPr>
                <w:color w:val="000000" w:themeColor="text1"/>
              </w:rPr>
              <w:t>p-value (Lmax)</w:t>
            </w:r>
          </w:p>
        </w:tc>
      </w:tr>
      <w:tr w:rsidR="00F75144" w:rsidRPr="009E712E" w14:paraId="024C2E08" w14:textId="77777777" w:rsidTr="00907C44">
        <w:trPr>
          <w:jc w:val="center"/>
        </w:trPr>
        <w:tc>
          <w:tcPr>
            <w:tcW w:w="810" w:type="dxa"/>
          </w:tcPr>
          <w:p w14:paraId="73784733" w14:textId="2D101033" w:rsidR="00F75144" w:rsidRPr="009E712E" w:rsidRDefault="00F75144" w:rsidP="00F75144">
            <w:pPr>
              <w:jc w:val="center"/>
              <w:rPr>
                <w:color w:val="000000" w:themeColor="text1"/>
              </w:rPr>
            </w:pPr>
            <w:r w:rsidRPr="007F1E41">
              <w:t>0</w:t>
            </w:r>
          </w:p>
        </w:tc>
        <w:tc>
          <w:tcPr>
            <w:tcW w:w="1393" w:type="dxa"/>
          </w:tcPr>
          <w:p w14:paraId="6850634A" w14:textId="28AA8976" w:rsidR="00F75144" w:rsidRPr="009E712E" w:rsidRDefault="00F75144" w:rsidP="00F75144">
            <w:pPr>
              <w:jc w:val="center"/>
              <w:rPr>
                <w:color w:val="000000" w:themeColor="text1"/>
              </w:rPr>
            </w:pPr>
            <w:r w:rsidRPr="007F1E41">
              <w:t>0.968580</w:t>
            </w:r>
          </w:p>
        </w:tc>
        <w:tc>
          <w:tcPr>
            <w:tcW w:w="1393" w:type="dxa"/>
          </w:tcPr>
          <w:p w14:paraId="6EFE0025" w14:textId="07800131" w:rsidR="00F75144" w:rsidRPr="009E712E" w:rsidRDefault="00F75144" w:rsidP="00F75144">
            <w:pPr>
              <w:jc w:val="center"/>
              <w:rPr>
                <w:color w:val="000000" w:themeColor="text1"/>
              </w:rPr>
            </w:pPr>
            <w:r w:rsidRPr="007F1E41">
              <w:t>109.850</w:t>
            </w:r>
          </w:p>
        </w:tc>
        <w:tc>
          <w:tcPr>
            <w:tcW w:w="1393" w:type="dxa"/>
          </w:tcPr>
          <w:p w14:paraId="21588BB9" w14:textId="0DA40474" w:rsidR="00F75144" w:rsidRPr="009E712E" w:rsidRDefault="00F75144" w:rsidP="00F75144">
            <w:pPr>
              <w:jc w:val="center"/>
              <w:rPr>
                <w:color w:val="000000" w:themeColor="text1"/>
              </w:rPr>
            </w:pPr>
            <w:r w:rsidRPr="007F1E41">
              <w:t>[0.0000]</w:t>
            </w:r>
          </w:p>
        </w:tc>
        <w:tc>
          <w:tcPr>
            <w:tcW w:w="1393" w:type="dxa"/>
          </w:tcPr>
          <w:p w14:paraId="5CF4EA7C" w14:textId="33B4D20A" w:rsidR="00F75144" w:rsidRPr="009E712E" w:rsidRDefault="00F75144" w:rsidP="00F75144">
            <w:pPr>
              <w:jc w:val="center"/>
              <w:rPr>
                <w:color w:val="000000" w:themeColor="text1"/>
              </w:rPr>
            </w:pPr>
            <w:r w:rsidRPr="007F1E41">
              <w:t>62.28700</w:t>
            </w:r>
          </w:p>
        </w:tc>
        <w:tc>
          <w:tcPr>
            <w:tcW w:w="1394" w:type="dxa"/>
          </w:tcPr>
          <w:p w14:paraId="3AD46C51" w14:textId="543285C9" w:rsidR="00F75144" w:rsidRPr="009E712E" w:rsidRDefault="00F75144" w:rsidP="00F75144">
            <w:pPr>
              <w:jc w:val="center"/>
              <w:rPr>
                <w:color w:val="000000" w:themeColor="text1"/>
              </w:rPr>
            </w:pPr>
            <w:r w:rsidRPr="007F1E41">
              <w:t>[0.0000]</w:t>
            </w:r>
          </w:p>
        </w:tc>
      </w:tr>
      <w:tr w:rsidR="00F75144" w:rsidRPr="009E712E" w14:paraId="0D92AFC0" w14:textId="77777777" w:rsidTr="00907C44">
        <w:trPr>
          <w:jc w:val="center"/>
        </w:trPr>
        <w:tc>
          <w:tcPr>
            <w:tcW w:w="810" w:type="dxa"/>
          </w:tcPr>
          <w:p w14:paraId="3F8E8AC6" w14:textId="009A2A63" w:rsidR="00F75144" w:rsidRPr="009E712E" w:rsidRDefault="00F75144" w:rsidP="00F75144">
            <w:pPr>
              <w:jc w:val="center"/>
              <w:rPr>
                <w:color w:val="000000" w:themeColor="text1"/>
              </w:rPr>
            </w:pPr>
            <w:r w:rsidRPr="007F1E41">
              <w:t>1</w:t>
            </w:r>
          </w:p>
        </w:tc>
        <w:tc>
          <w:tcPr>
            <w:tcW w:w="1393" w:type="dxa"/>
          </w:tcPr>
          <w:p w14:paraId="5A6EABAB" w14:textId="29FD45AD" w:rsidR="00F75144" w:rsidRPr="009E712E" w:rsidRDefault="00F75144" w:rsidP="00F75144">
            <w:pPr>
              <w:jc w:val="center"/>
              <w:rPr>
                <w:color w:val="000000" w:themeColor="text1"/>
              </w:rPr>
            </w:pPr>
            <w:r w:rsidRPr="007F1E41">
              <w:t>0.928810</w:t>
            </w:r>
          </w:p>
        </w:tc>
        <w:tc>
          <w:tcPr>
            <w:tcW w:w="1393" w:type="dxa"/>
          </w:tcPr>
          <w:p w14:paraId="62BC9284" w14:textId="23FF4FA1" w:rsidR="00F75144" w:rsidRPr="009E712E" w:rsidRDefault="00F75144" w:rsidP="00F75144">
            <w:pPr>
              <w:jc w:val="center"/>
              <w:rPr>
                <w:color w:val="000000" w:themeColor="text1"/>
              </w:rPr>
            </w:pPr>
            <w:r w:rsidRPr="007F1E41">
              <w:t>47.562</w:t>
            </w:r>
          </w:p>
        </w:tc>
        <w:tc>
          <w:tcPr>
            <w:tcW w:w="1393" w:type="dxa"/>
          </w:tcPr>
          <w:p w14:paraId="774DB228" w14:textId="25A8C9FC" w:rsidR="00F75144" w:rsidRPr="009E712E" w:rsidRDefault="00F75144" w:rsidP="00F75144">
            <w:pPr>
              <w:jc w:val="center"/>
              <w:rPr>
                <w:color w:val="000000" w:themeColor="text1"/>
              </w:rPr>
            </w:pPr>
            <w:r w:rsidRPr="007F1E41">
              <w:t>[0.0000]</w:t>
            </w:r>
          </w:p>
        </w:tc>
        <w:tc>
          <w:tcPr>
            <w:tcW w:w="1393" w:type="dxa"/>
          </w:tcPr>
          <w:p w14:paraId="7AB8B16C" w14:textId="20A6F074" w:rsidR="00F75144" w:rsidRPr="009E712E" w:rsidRDefault="00F75144" w:rsidP="00F75144">
            <w:pPr>
              <w:jc w:val="center"/>
              <w:rPr>
                <w:color w:val="000000" w:themeColor="text1"/>
              </w:rPr>
            </w:pPr>
            <w:r w:rsidRPr="007F1E41">
              <w:t>47.56200</w:t>
            </w:r>
          </w:p>
        </w:tc>
        <w:tc>
          <w:tcPr>
            <w:tcW w:w="1394" w:type="dxa"/>
          </w:tcPr>
          <w:p w14:paraId="1A7B770B" w14:textId="637A5621" w:rsidR="00F75144" w:rsidRPr="009E712E" w:rsidRDefault="00F75144" w:rsidP="00F75144">
            <w:pPr>
              <w:jc w:val="center"/>
              <w:rPr>
                <w:color w:val="000000" w:themeColor="text1"/>
              </w:rPr>
            </w:pPr>
            <w:r w:rsidRPr="007F1E41">
              <w:t>[0.0000]</w:t>
            </w:r>
          </w:p>
        </w:tc>
      </w:tr>
    </w:tbl>
    <w:p w14:paraId="4F6D088E" w14:textId="372ABF20" w:rsidR="009E712E" w:rsidRDefault="009E712E" w:rsidP="009E712E">
      <w:pPr>
        <w:jc w:val="center"/>
        <w:rPr>
          <w:color w:val="000000" w:themeColor="text1"/>
          <w:szCs w:val="24"/>
        </w:rPr>
      </w:pPr>
    </w:p>
    <w:p w14:paraId="24EE0515" w14:textId="77777777" w:rsidR="009E712E" w:rsidRPr="009E712E" w:rsidRDefault="009E712E" w:rsidP="009E712E">
      <w:pPr>
        <w:pStyle w:val="MyTables"/>
        <w:jc w:val="center"/>
        <w:rPr>
          <w:rFonts w:cs="Times New Roman"/>
          <w:szCs w:val="24"/>
        </w:rPr>
      </w:pPr>
      <w:bookmarkStart w:id="8" w:name="_Toc79604530"/>
    </w:p>
    <w:p w14:paraId="5A45B3C5" w14:textId="62E29D6D" w:rsidR="009E712E" w:rsidRPr="00B66698" w:rsidRDefault="009E712E" w:rsidP="007E2ADA">
      <w:pPr>
        <w:pStyle w:val="MyTables"/>
        <w:jc w:val="center"/>
        <w:rPr>
          <w:rFonts w:cs="Times New Roman"/>
          <w:szCs w:val="24"/>
        </w:rPr>
      </w:pPr>
      <w:r w:rsidRPr="006A47C9">
        <w:rPr>
          <w:rFonts w:cs="Times New Roman"/>
          <w:szCs w:val="24"/>
        </w:rPr>
        <w:t xml:space="preserve">Table </w:t>
      </w:r>
      <w:bookmarkEnd w:id="8"/>
      <w:r w:rsidRPr="00F75144">
        <w:rPr>
          <w:rFonts w:cs="Times New Roman"/>
          <w:szCs w:val="24"/>
        </w:rPr>
        <w:t>11</w:t>
      </w:r>
      <w:r w:rsidR="00D117C7" w:rsidRPr="00F75144">
        <w:rPr>
          <w:rFonts w:cs="Times New Roman"/>
          <w:szCs w:val="24"/>
        </w:rPr>
        <w:t>:</w:t>
      </w:r>
      <w:r w:rsidR="00193477" w:rsidRPr="00F75144">
        <w:rPr>
          <w:rFonts w:cs="Times New Roman"/>
          <w:szCs w:val="24"/>
        </w:rPr>
        <w:t xml:space="preserve"> JC test results for </w:t>
      </w:r>
      <w:r w:rsidR="00D44038" w:rsidRPr="00F75144">
        <w:rPr>
          <w:rFonts w:cs="Times New Roman"/>
          <w:szCs w:val="24"/>
        </w:rPr>
        <w:t xml:space="preserve">GHGpc </w:t>
      </w:r>
      <w:r w:rsidR="00193477" w:rsidRPr="00F75144">
        <w:rPr>
          <w:rFonts w:cs="Times New Roman"/>
          <w:szCs w:val="24"/>
        </w:rPr>
        <w:t>and IEF with unrestricted constant and trend</w:t>
      </w:r>
    </w:p>
    <w:tbl>
      <w:tblPr>
        <w:tblStyle w:val="TableGrid"/>
        <w:tblW w:w="7803" w:type="dxa"/>
        <w:jc w:val="center"/>
        <w:tblBorders>
          <w:insideV w:val="none" w:sz="0" w:space="0" w:color="auto"/>
        </w:tblBorders>
        <w:tblLayout w:type="fixed"/>
        <w:tblLook w:val="04A0" w:firstRow="1" w:lastRow="0" w:firstColumn="1" w:lastColumn="0" w:noHBand="0" w:noVBand="1"/>
      </w:tblPr>
      <w:tblGrid>
        <w:gridCol w:w="805"/>
        <w:gridCol w:w="1399"/>
        <w:gridCol w:w="1400"/>
        <w:gridCol w:w="1399"/>
        <w:gridCol w:w="1400"/>
        <w:gridCol w:w="1400"/>
      </w:tblGrid>
      <w:tr w:rsidR="009E712E" w:rsidRPr="009E712E" w14:paraId="2A945354" w14:textId="77777777" w:rsidTr="0066160D">
        <w:trPr>
          <w:trHeight w:val="431"/>
          <w:jc w:val="center"/>
        </w:trPr>
        <w:tc>
          <w:tcPr>
            <w:tcW w:w="805" w:type="dxa"/>
            <w:vAlign w:val="center"/>
          </w:tcPr>
          <w:p w14:paraId="27BD66F8" w14:textId="77777777" w:rsidR="009E712E" w:rsidRPr="009E712E" w:rsidRDefault="009E712E" w:rsidP="009E712E">
            <w:pPr>
              <w:jc w:val="center"/>
              <w:rPr>
                <w:color w:val="000000" w:themeColor="text1"/>
              </w:rPr>
            </w:pPr>
            <w:r w:rsidRPr="009E712E">
              <w:rPr>
                <w:color w:val="000000" w:themeColor="text1"/>
              </w:rPr>
              <w:t>Rank</w:t>
            </w:r>
          </w:p>
        </w:tc>
        <w:tc>
          <w:tcPr>
            <w:tcW w:w="1399" w:type="dxa"/>
            <w:vAlign w:val="center"/>
          </w:tcPr>
          <w:p w14:paraId="28241049" w14:textId="77777777" w:rsidR="009E712E" w:rsidRPr="009E712E" w:rsidRDefault="009E712E" w:rsidP="009E712E">
            <w:pPr>
              <w:jc w:val="center"/>
              <w:rPr>
                <w:color w:val="000000" w:themeColor="text1"/>
              </w:rPr>
            </w:pPr>
            <w:r w:rsidRPr="009E712E">
              <w:rPr>
                <w:color w:val="000000" w:themeColor="text1"/>
              </w:rPr>
              <w:t>Eigenvalue</w:t>
            </w:r>
          </w:p>
        </w:tc>
        <w:tc>
          <w:tcPr>
            <w:tcW w:w="1400" w:type="dxa"/>
            <w:vAlign w:val="center"/>
          </w:tcPr>
          <w:p w14:paraId="0A919258" w14:textId="77777777" w:rsidR="009E712E" w:rsidRPr="009E712E" w:rsidRDefault="009E712E" w:rsidP="009E712E">
            <w:pPr>
              <w:jc w:val="center"/>
              <w:rPr>
                <w:color w:val="000000" w:themeColor="text1"/>
              </w:rPr>
            </w:pPr>
            <w:r w:rsidRPr="009E712E">
              <w:rPr>
                <w:color w:val="000000" w:themeColor="text1"/>
              </w:rPr>
              <w:t>Trace Test</w:t>
            </w:r>
          </w:p>
        </w:tc>
        <w:tc>
          <w:tcPr>
            <w:tcW w:w="1399" w:type="dxa"/>
            <w:vAlign w:val="center"/>
          </w:tcPr>
          <w:p w14:paraId="0DA7FAEF" w14:textId="77777777" w:rsidR="009E712E" w:rsidRPr="009E712E" w:rsidRDefault="009E712E" w:rsidP="009E712E">
            <w:pPr>
              <w:jc w:val="center"/>
              <w:rPr>
                <w:color w:val="000000" w:themeColor="text1"/>
              </w:rPr>
            </w:pPr>
            <w:r w:rsidRPr="009E712E">
              <w:rPr>
                <w:color w:val="000000" w:themeColor="text1"/>
              </w:rPr>
              <w:t>p-value (Trace)</w:t>
            </w:r>
          </w:p>
        </w:tc>
        <w:tc>
          <w:tcPr>
            <w:tcW w:w="1400" w:type="dxa"/>
            <w:vAlign w:val="center"/>
          </w:tcPr>
          <w:p w14:paraId="005268D0" w14:textId="77777777" w:rsidR="009E712E" w:rsidRPr="009E712E" w:rsidRDefault="009E712E" w:rsidP="009E712E">
            <w:pPr>
              <w:jc w:val="center"/>
              <w:rPr>
                <w:color w:val="000000" w:themeColor="text1"/>
              </w:rPr>
            </w:pPr>
            <w:r w:rsidRPr="009E712E">
              <w:rPr>
                <w:color w:val="000000" w:themeColor="text1"/>
              </w:rPr>
              <w:t>Lmax Test</w:t>
            </w:r>
          </w:p>
        </w:tc>
        <w:tc>
          <w:tcPr>
            <w:tcW w:w="1400" w:type="dxa"/>
            <w:vAlign w:val="center"/>
          </w:tcPr>
          <w:p w14:paraId="748B99B3" w14:textId="77777777" w:rsidR="009E712E" w:rsidRPr="009E712E" w:rsidRDefault="009E712E" w:rsidP="009E712E">
            <w:pPr>
              <w:jc w:val="center"/>
              <w:rPr>
                <w:color w:val="000000" w:themeColor="text1"/>
              </w:rPr>
            </w:pPr>
            <w:r w:rsidRPr="009E712E">
              <w:rPr>
                <w:color w:val="000000" w:themeColor="text1"/>
              </w:rPr>
              <w:t>p-value (Lmax)</w:t>
            </w:r>
          </w:p>
        </w:tc>
      </w:tr>
      <w:tr w:rsidR="00F75144" w:rsidRPr="009E712E" w14:paraId="3641975B" w14:textId="77777777" w:rsidTr="0066160D">
        <w:trPr>
          <w:jc w:val="center"/>
        </w:trPr>
        <w:tc>
          <w:tcPr>
            <w:tcW w:w="805" w:type="dxa"/>
          </w:tcPr>
          <w:p w14:paraId="174D8394" w14:textId="185725B9" w:rsidR="00F75144" w:rsidRPr="009E712E" w:rsidRDefault="00F75144" w:rsidP="00F75144">
            <w:pPr>
              <w:jc w:val="center"/>
              <w:rPr>
                <w:color w:val="000000" w:themeColor="text1"/>
              </w:rPr>
            </w:pPr>
            <w:r w:rsidRPr="002A79EA">
              <w:t>0</w:t>
            </w:r>
          </w:p>
        </w:tc>
        <w:tc>
          <w:tcPr>
            <w:tcW w:w="1399" w:type="dxa"/>
          </w:tcPr>
          <w:p w14:paraId="13BD71E0" w14:textId="081C82EC" w:rsidR="00F75144" w:rsidRPr="009E712E" w:rsidRDefault="00F75144" w:rsidP="00F75144">
            <w:pPr>
              <w:jc w:val="center"/>
              <w:rPr>
                <w:color w:val="000000" w:themeColor="text1"/>
              </w:rPr>
            </w:pPr>
            <w:r w:rsidRPr="002A79EA">
              <w:t>0.991410</w:t>
            </w:r>
          </w:p>
        </w:tc>
        <w:tc>
          <w:tcPr>
            <w:tcW w:w="1400" w:type="dxa"/>
          </w:tcPr>
          <w:p w14:paraId="65C65F30" w14:textId="04174331" w:rsidR="00F75144" w:rsidRPr="009E712E" w:rsidRDefault="00F75144" w:rsidP="00F75144">
            <w:pPr>
              <w:jc w:val="center"/>
              <w:rPr>
                <w:color w:val="000000" w:themeColor="text1"/>
              </w:rPr>
            </w:pPr>
            <w:r w:rsidRPr="002A79EA">
              <w:t>126.470</w:t>
            </w:r>
          </w:p>
        </w:tc>
        <w:tc>
          <w:tcPr>
            <w:tcW w:w="1399" w:type="dxa"/>
          </w:tcPr>
          <w:p w14:paraId="063E92DA" w14:textId="4CA4B97B" w:rsidR="00F75144" w:rsidRPr="009E712E" w:rsidRDefault="00F75144" w:rsidP="00F75144">
            <w:pPr>
              <w:jc w:val="center"/>
              <w:rPr>
                <w:color w:val="000000" w:themeColor="text1"/>
              </w:rPr>
            </w:pPr>
            <w:r w:rsidRPr="002A79EA">
              <w:t>[0.0000]</w:t>
            </w:r>
          </w:p>
        </w:tc>
        <w:tc>
          <w:tcPr>
            <w:tcW w:w="1400" w:type="dxa"/>
          </w:tcPr>
          <w:p w14:paraId="29946394" w14:textId="6985E174" w:rsidR="00F75144" w:rsidRPr="009E712E" w:rsidRDefault="00F75144" w:rsidP="00F75144">
            <w:pPr>
              <w:jc w:val="center"/>
              <w:rPr>
                <w:color w:val="000000" w:themeColor="text1"/>
              </w:rPr>
            </w:pPr>
            <w:r w:rsidRPr="002A79EA">
              <w:t>85.63100</w:t>
            </w:r>
          </w:p>
        </w:tc>
        <w:tc>
          <w:tcPr>
            <w:tcW w:w="1400" w:type="dxa"/>
          </w:tcPr>
          <w:p w14:paraId="3CBCE8F3" w14:textId="081282D5" w:rsidR="00F75144" w:rsidRPr="009E712E" w:rsidRDefault="00F75144" w:rsidP="00F75144">
            <w:pPr>
              <w:jc w:val="center"/>
              <w:rPr>
                <w:color w:val="000000" w:themeColor="text1"/>
              </w:rPr>
            </w:pPr>
            <w:r w:rsidRPr="002A79EA">
              <w:t>[0.0000]</w:t>
            </w:r>
          </w:p>
        </w:tc>
      </w:tr>
      <w:tr w:rsidR="00F75144" w:rsidRPr="009E712E" w14:paraId="4E03AA39" w14:textId="77777777" w:rsidTr="0066160D">
        <w:trPr>
          <w:jc w:val="center"/>
        </w:trPr>
        <w:tc>
          <w:tcPr>
            <w:tcW w:w="805" w:type="dxa"/>
          </w:tcPr>
          <w:p w14:paraId="0D58592D" w14:textId="1B21FB29" w:rsidR="00F75144" w:rsidRPr="009E712E" w:rsidRDefault="00F75144" w:rsidP="00F75144">
            <w:pPr>
              <w:jc w:val="center"/>
              <w:rPr>
                <w:color w:val="000000" w:themeColor="text1"/>
              </w:rPr>
            </w:pPr>
            <w:r w:rsidRPr="002A79EA">
              <w:t>1</w:t>
            </w:r>
          </w:p>
        </w:tc>
        <w:tc>
          <w:tcPr>
            <w:tcW w:w="1399" w:type="dxa"/>
          </w:tcPr>
          <w:p w14:paraId="1161C208" w14:textId="68004229" w:rsidR="00F75144" w:rsidRPr="009E712E" w:rsidRDefault="00F75144" w:rsidP="00F75144">
            <w:pPr>
              <w:jc w:val="center"/>
              <w:rPr>
                <w:color w:val="000000" w:themeColor="text1"/>
              </w:rPr>
            </w:pPr>
            <w:r w:rsidRPr="002A79EA">
              <w:t>0.896580</w:t>
            </w:r>
          </w:p>
        </w:tc>
        <w:tc>
          <w:tcPr>
            <w:tcW w:w="1400" w:type="dxa"/>
          </w:tcPr>
          <w:p w14:paraId="6E5D6699" w14:textId="5EAD738D" w:rsidR="00F75144" w:rsidRPr="009E712E" w:rsidRDefault="00F75144" w:rsidP="00F75144">
            <w:pPr>
              <w:jc w:val="center"/>
              <w:rPr>
                <w:color w:val="000000" w:themeColor="text1"/>
              </w:rPr>
            </w:pPr>
            <w:r w:rsidRPr="002A79EA">
              <w:t>40.841</w:t>
            </w:r>
          </w:p>
        </w:tc>
        <w:tc>
          <w:tcPr>
            <w:tcW w:w="1399" w:type="dxa"/>
          </w:tcPr>
          <w:p w14:paraId="1035F68B" w14:textId="3315ED9B" w:rsidR="00F75144" w:rsidRPr="009E712E" w:rsidRDefault="00F75144" w:rsidP="00F75144">
            <w:pPr>
              <w:jc w:val="center"/>
              <w:rPr>
                <w:color w:val="000000" w:themeColor="text1"/>
              </w:rPr>
            </w:pPr>
            <w:r w:rsidRPr="002A79EA">
              <w:t>[0.0000]</w:t>
            </w:r>
          </w:p>
        </w:tc>
        <w:tc>
          <w:tcPr>
            <w:tcW w:w="1400" w:type="dxa"/>
          </w:tcPr>
          <w:p w14:paraId="013FE8D3" w14:textId="6FFCEBFE" w:rsidR="00F75144" w:rsidRPr="009E712E" w:rsidRDefault="00F75144" w:rsidP="00F75144">
            <w:pPr>
              <w:jc w:val="center"/>
              <w:rPr>
                <w:color w:val="000000" w:themeColor="text1"/>
              </w:rPr>
            </w:pPr>
            <w:r w:rsidRPr="002A79EA">
              <w:t>40.84100</w:t>
            </w:r>
          </w:p>
        </w:tc>
        <w:tc>
          <w:tcPr>
            <w:tcW w:w="1400" w:type="dxa"/>
          </w:tcPr>
          <w:p w14:paraId="0BD38E38" w14:textId="0C72F4D5" w:rsidR="00F75144" w:rsidRPr="009E712E" w:rsidRDefault="00F75144" w:rsidP="00F75144">
            <w:pPr>
              <w:jc w:val="center"/>
              <w:rPr>
                <w:color w:val="000000" w:themeColor="text1"/>
              </w:rPr>
            </w:pPr>
            <w:r w:rsidRPr="002A79EA">
              <w:t>[0.0000]</w:t>
            </w:r>
          </w:p>
        </w:tc>
      </w:tr>
    </w:tbl>
    <w:p w14:paraId="58062988" w14:textId="77777777" w:rsidR="00D238C4" w:rsidRPr="009E712E" w:rsidRDefault="00D238C4" w:rsidP="009E712E">
      <w:pPr>
        <w:jc w:val="center"/>
        <w:rPr>
          <w:color w:val="000000" w:themeColor="text1"/>
          <w:szCs w:val="24"/>
        </w:rPr>
      </w:pPr>
    </w:p>
    <w:p w14:paraId="1ED60E16" w14:textId="77777777" w:rsidR="00D238C4" w:rsidRPr="009E712E" w:rsidRDefault="00D238C4" w:rsidP="009E712E">
      <w:pPr>
        <w:jc w:val="center"/>
        <w:rPr>
          <w:color w:val="000000" w:themeColor="text1"/>
          <w:szCs w:val="24"/>
        </w:rPr>
      </w:pPr>
    </w:p>
    <w:p w14:paraId="357AEA9F" w14:textId="38EF8BC2" w:rsidR="009E712E" w:rsidRPr="00B66698" w:rsidRDefault="009E712E" w:rsidP="009E712E">
      <w:pPr>
        <w:pStyle w:val="MyTables"/>
        <w:jc w:val="center"/>
        <w:rPr>
          <w:rFonts w:cs="Times New Roman"/>
          <w:szCs w:val="24"/>
        </w:rPr>
      </w:pPr>
      <w:bookmarkStart w:id="9" w:name="_Toc79604562"/>
      <w:r w:rsidRPr="006A47C9">
        <w:rPr>
          <w:rFonts w:cs="Times New Roman"/>
          <w:szCs w:val="24"/>
        </w:rPr>
        <w:lastRenderedPageBreak/>
        <w:t xml:space="preserve">Table </w:t>
      </w:r>
      <w:bookmarkEnd w:id="9"/>
      <w:r w:rsidRPr="006A47C9">
        <w:rPr>
          <w:rFonts w:cs="Times New Roman"/>
          <w:szCs w:val="24"/>
        </w:rPr>
        <w:t>1</w:t>
      </w:r>
      <w:r w:rsidR="006A47C9" w:rsidRPr="006A47C9">
        <w:rPr>
          <w:rFonts w:cs="Times New Roman"/>
          <w:szCs w:val="24"/>
        </w:rPr>
        <w:t>2</w:t>
      </w:r>
      <w:r w:rsidR="00D117C7" w:rsidRPr="006A47C9">
        <w:rPr>
          <w:rFonts w:cs="Times New Roman"/>
          <w:szCs w:val="24"/>
        </w:rPr>
        <w:t>:</w:t>
      </w:r>
      <w:r w:rsidR="00E32146" w:rsidRPr="006A47C9">
        <w:rPr>
          <w:rFonts w:cs="Times New Roman"/>
          <w:szCs w:val="24"/>
        </w:rPr>
        <w:t xml:space="preserve"> Summary</w:t>
      </w:r>
      <w:r w:rsidR="00E32146" w:rsidRPr="00472A16">
        <w:rPr>
          <w:rFonts w:cs="Times New Roman"/>
          <w:szCs w:val="24"/>
        </w:rPr>
        <w:t xml:space="preserve"> of </w:t>
      </w:r>
      <w:r w:rsidR="00356C48" w:rsidRPr="00472A16">
        <w:rPr>
          <w:rFonts w:cs="Times New Roman"/>
          <w:szCs w:val="24"/>
        </w:rPr>
        <w:t xml:space="preserve">JC testing </w:t>
      </w:r>
      <w:r w:rsidR="00356C48">
        <w:rPr>
          <w:rFonts w:cs="Times New Roman"/>
          <w:szCs w:val="24"/>
        </w:rPr>
        <w:t xml:space="preserve">for </w:t>
      </w:r>
      <w:r w:rsidR="00356C48" w:rsidRPr="002B3F18">
        <w:rPr>
          <w:rFonts w:cs="Times New Roman"/>
          <w:szCs w:val="24"/>
        </w:rPr>
        <w:t>GHGpc paired with GDP and GDP-Alternative measures</w:t>
      </w:r>
      <w:r w:rsidR="00E32146" w:rsidRPr="00472A16">
        <w:rPr>
          <w:rFonts w:cs="Times New Roman"/>
          <w:szCs w:val="24"/>
        </w:rPr>
        <w:t xml:space="preserve"> </w:t>
      </w:r>
    </w:p>
    <w:tbl>
      <w:tblPr>
        <w:tblStyle w:val="TableGrid"/>
        <w:tblW w:w="7915" w:type="dxa"/>
        <w:tblBorders>
          <w:insideV w:val="none" w:sz="0" w:space="0" w:color="auto"/>
        </w:tblBorders>
        <w:tblLayout w:type="fixed"/>
        <w:tblLook w:val="04A0" w:firstRow="1" w:lastRow="0" w:firstColumn="1" w:lastColumn="0" w:noHBand="0" w:noVBand="1"/>
      </w:tblPr>
      <w:tblGrid>
        <w:gridCol w:w="1885"/>
        <w:gridCol w:w="3600"/>
        <w:gridCol w:w="2430"/>
      </w:tblGrid>
      <w:tr w:rsidR="00472A16" w:rsidRPr="002B3F18" w14:paraId="28288D07" w14:textId="77777777" w:rsidTr="00AB3100">
        <w:trPr>
          <w:trHeight w:val="431"/>
        </w:trPr>
        <w:tc>
          <w:tcPr>
            <w:tcW w:w="1885" w:type="dxa"/>
            <w:vAlign w:val="center"/>
          </w:tcPr>
          <w:p w14:paraId="0917AC1E" w14:textId="77777777" w:rsidR="00472A16" w:rsidRPr="002B3F18" w:rsidRDefault="00472A16" w:rsidP="002B3F18">
            <w:pPr>
              <w:jc w:val="center"/>
              <w:rPr>
                <w:color w:val="000000" w:themeColor="text1"/>
              </w:rPr>
            </w:pPr>
            <w:r w:rsidRPr="002B3F18">
              <w:rPr>
                <w:color w:val="000000" w:themeColor="text1"/>
              </w:rPr>
              <w:t>Variables</w:t>
            </w:r>
          </w:p>
        </w:tc>
        <w:tc>
          <w:tcPr>
            <w:tcW w:w="3600" w:type="dxa"/>
            <w:vAlign w:val="center"/>
          </w:tcPr>
          <w:p w14:paraId="6C32AB26" w14:textId="77777777" w:rsidR="00472A16" w:rsidRPr="002B3F18" w:rsidRDefault="00472A16" w:rsidP="002B3F18">
            <w:pPr>
              <w:jc w:val="center"/>
              <w:rPr>
                <w:color w:val="000000" w:themeColor="text1"/>
              </w:rPr>
            </w:pPr>
            <w:r w:rsidRPr="002B3F18">
              <w:rPr>
                <w:color w:val="000000" w:themeColor="text1"/>
              </w:rPr>
              <w:t>Scenario</w:t>
            </w:r>
          </w:p>
        </w:tc>
        <w:tc>
          <w:tcPr>
            <w:tcW w:w="2430" w:type="dxa"/>
            <w:vAlign w:val="center"/>
          </w:tcPr>
          <w:p w14:paraId="6EDCD01B" w14:textId="77777777" w:rsidR="00472A16" w:rsidRPr="002B3F18" w:rsidRDefault="00472A16" w:rsidP="002B3F18">
            <w:pPr>
              <w:jc w:val="center"/>
              <w:rPr>
                <w:color w:val="000000" w:themeColor="text1"/>
              </w:rPr>
            </w:pPr>
            <w:r w:rsidRPr="002B3F18">
              <w:rPr>
                <w:color w:val="000000" w:themeColor="text1"/>
              </w:rPr>
              <w:t>Cointegrated?</w:t>
            </w:r>
          </w:p>
        </w:tc>
      </w:tr>
      <w:tr w:rsidR="00472A16" w:rsidRPr="002B3F18" w14:paraId="5FC4F08D" w14:textId="77777777" w:rsidTr="00AB3100">
        <w:tc>
          <w:tcPr>
            <w:tcW w:w="1885" w:type="dxa"/>
            <w:vMerge w:val="restart"/>
            <w:vAlign w:val="center"/>
          </w:tcPr>
          <w:p w14:paraId="36B70AB4" w14:textId="77777777" w:rsidR="00472A16" w:rsidRPr="002B3F18" w:rsidRDefault="00472A16" w:rsidP="002B3F18">
            <w:pPr>
              <w:jc w:val="center"/>
              <w:rPr>
                <w:color w:val="000000" w:themeColor="text1"/>
              </w:rPr>
            </w:pPr>
            <w:r w:rsidRPr="002B3F18">
              <w:rPr>
                <w:color w:val="000000" w:themeColor="text1"/>
              </w:rPr>
              <w:t>GHGpc vs GDPpc</w:t>
            </w:r>
          </w:p>
        </w:tc>
        <w:tc>
          <w:tcPr>
            <w:tcW w:w="3600" w:type="dxa"/>
            <w:vAlign w:val="center"/>
          </w:tcPr>
          <w:p w14:paraId="272267F8" w14:textId="77777777" w:rsidR="00472A16" w:rsidRPr="002B3F18" w:rsidRDefault="00472A16" w:rsidP="002B3F18">
            <w:pPr>
              <w:jc w:val="center"/>
              <w:rPr>
                <w:color w:val="000000" w:themeColor="text1"/>
              </w:rPr>
            </w:pPr>
            <w:r w:rsidRPr="002B3F18">
              <w:rPr>
                <w:color w:val="000000" w:themeColor="text1"/>
              </w:rPr>
              <w:t>No constant</w:t>
            </w:r>
          </w:p>
        </w:tc>
        <w:tc>
          <w:tcPr>
            <w:tcW w:w="2430" w:type="dxa"/>
            <w:vAlign w:val="center"/>
          </w:tcPr>
          <w:p w14:paraId="6DFB60FE" w14:textId="77777777" w:rsidR="00472A16" w:rsidRPr="002B3F18" w:rsidRDefault="00472A16" w:rsidP="002B3F18">
            <w:pPr>
              <w:jc w:val="center"/>
              <w:rPr>
                <w:color w:val="000000" w:themeColor="text1"/>
              </w:rPr>
            </w:pPr>
            <w:r w:rsidRPr="002B3F18">
              <w:rPr>
                <w:color w:val="000000" w:themeColor="text1"/>
              </w:rPr>
              <w:t>No</w:t>
            </w:r>
          </w:p>
        </w:tc>
      </w:tr>
      <w:tr w:rsidR="00472A16" w:rsidRPr="002B3F18" w14:paraId="4FBE8FAB" w14:textId="77777777" w:rsidTr="00AB3100">
        <w:tc>
          <w:tcPr>
            <w:tcW w:w="1885" w:type="dxa"/>
            <w:vMerge/>
            <w:vAlign w:val="center"/>
          </w:tcPr>
          <w:p w14:paraId="214D29DD" w14:textId="77777777" w:rsidR="00472A16" w:rsidRPr="002B3F18" w:rsidRDefault="00472A16" w:rsidP="002B3F18">
            <w:pPr>
              <w:jc w:val="center"/>
              <w:rPr>
                <w:color w:val="000000" w:themeColor="text1"/>
              </w:rPr>
            </w:pPr>
          </w:p>
        </w:tc>
        <w:tc>
          <w:tcPr>
            <w:tcW w:w="3600" w:type="dxa"/>
            <w:vAlign w:val="center"/>
          </w:tcPr>
          <w:p w14:paraId="284BD88E" w14:textId="77777777" w:rsidR="00472A16" w:rsidRPr="002B3F18" w:rsidRDefault="00472A16" w:rsidP="002B3F18">
            <w:pPr>
              <w:jc w:val="center"/>
              <w:rPr>
                <w:color w:val="000000" w:themeColor="text1"/>
              </w:rPr>
            </w:pPr>
            <w:r w:rsidRPr="002B3F18">
              <w:rPr>
                <w:color w:val="000000" w:themeColor="text1"/>
              </w:rPr>
              <w:t xml:space="preserve">Restricted constant </w:t>
            </w:r>
          </w:p>
        </w:tc>
        <w:tc>
          <w:tcPr>
            <w:tcW w:w="2430" w:type="dxa"/>
            <w:vAlign w:val="center"/>
          </w:tcPr>
          <w:p w14:paraId="00BF8E31" w14:textId="77777777" w:rsidR="00472A16" w:rsidRPr="002B3F18" w:rsidRDefault="00472A16" w:rsidP="002B3F18">
            <w:pPr>
              <w:jc w:val="center"/>
              <w:rPr>
                <w:color w:val="000000" w:themeColor="text1"/>
              </w:rPr>
            </w:pPr>
            <w:r w:rsidRPr="002B3F18">
              <w:rPr>
                <w:color w:val="000000" w:themeColor="text1"/>
              </w:rPr>
              <w:t>Yes</w:t>
            </w:r>
          </w:p>
        </w:tc>
      </w:tr>
      <w:tr w:rsidR="00472A16" w:rsidRPr="002B3F18" w14:paraId="34A92039" w14:textId="77777777" w:rsidTr="00AB3100">
        <w:tc>
          <w:tcPr>
            <w:tcW w:w="1885" w:type="dxa"/>
            <w:vMerge/>
            <w:vAlign w:val="center"/>
          </w:tcPr>
          <w:p w14:paraId="5C9A70DB" w14:textId="77777777" w:rsidR="00472A16" w:rsidRPr="002B3F18" w:rsidRDefault="00472A16" w:rsidP="002B3F18">
            <w:pPr>
              <w:jc w:val="center"/>
              <w:rPr>
                <w:color w:val="000000" w:themeColor="text1"/>
              </w:rPr>
            </w:pPr>
          </w:p>
        </w:tc>
        <w:tc>
          <w:tcPr>
            <w:tcW w:w="3600" w:type="dxa"/>
            <w:vAlign w:val="center"/>
          </w:tcPr>
          <w:p w14:paraId="2BE86FC8" w14:textId="77777777" w:rsidR="00472A16" w:rsidRPr="002B3F18" w:rsidRDefault="00472A16" w:rsidP="002B3F18">
            <w:pPr>
              <w:jc w:val="center"/>
              <w:rPr>
                <w:color w:val="000000" w:themeColor="text1"/>
              </w:rPr>
            </w:pPr>
            <w:r w:rsidRPr="002B3F18">
              <w:rPr>
                <w:color w:val="000000" w:themeColor="text1"/>
              </w:rPr>
              <w:t>Unrestricted constant*</w:t>
            </w:r>
          </w:p>
        </w:tc>
        <w:tc>
          <w:tcPr>
            <w:tcW w:w="2430" w:type="dxa"/>
            <w:vAlign w:val="center"/>
          </w:tcPr>
          <w:p w14:paraId="0F15068E" w14:textId="77777777" w:rsidR="00472A16" w:rsidRPr="002B3F18" w:rsidRDefault="00472A16" w:rsidP="002B3F18">
            <w:pPr>
              <w:jc w:val="center"/>
              <w:rPr>
                <w:color w:val="000000" w:themeColor="text1"/>
              </w:rPr>
            </w:pPr>
            <w:r w:rsidRPr="002B3F18">
              <w:rPr>
                <w:color w:val="000000" w:themeColor="text1"/>
              </w:rPr>
              <w:t>Yes</w:t>
            </w:r>
          </w:p>
        </w:tc>
      </w:tr>
      <w:tr w:rsidR="00472A16" w:rsidRPr="002B3F18" w14:paraId="49D0FF38" w14:textId="77777777" w:rsidTr="00AB3100">
        <w:tc>
          <w:tcPr>
            <w:tcW w:w="1885" w:type="dxa"/>
            <w:vMerge/>
            <w:vAlign w:val="center"/>
          </w:tcPr>
          <w:p w14:paraId="5745EBBE" w14:textId="77777777" w:rsidR="00472A16" w:rsidRPr="002B3F18" w:rsidRDefault="00472A16" w:rsidP="002B3F18">
            <w:pPr>
              <w:jc w:val="center"/>
              <w:rPr>
                <w:color w:val="000000" w:themeColor="text1"/>
              </w:rPr>
            </w:pPr>
          </w:p>
        </w:tc>
        <w:tc>
          <w:tcPr>
            <w:tcW w:w="3600" w:type="dxa"/>
            <w:vAlign w:val="center"/>
          </w:tcPr>
          <w:p w14:paraId="3071CB57" w14:textId="77777777" w:rsidR="00472A16" w:rsidRPr="002B3F18" w:rsidRDefault="00472A16" w:rsidP="002B3F18">
            <w:pPr>
              <w:jc w:val="center"/>
              <w:rPr>
                <w:color w:val="000000" w:themeColor="text1"/>
              </w:rPr>
            </w:pPr>
            <w:r w:rsidRPr="002B3F18">
              <w:rPr>
                <w:color w:val="000000" w:themeColor="text1"/>
              </w:rPr>
              <w:t>Restricted trend</w:t>
            </w:r>
          </w:p>
        </w:tc>
        <w:tc>
          <w:tcPr>
            <w:tcW w:w="2430" w:type="dxa"/>
            <w:vAlign w:val="center"/>
          </w:tcPr>
          <w:p w14:paraId="189290FD" w14:textId="77777777" w:rsidR="00472A16" w:rsidRPr="002B3F18" w:rsidRDefault="00472A16" w:rsidP="002B3F18">
            <w:pPr>
              <w:jc w:val="center"/>
              <w:rPr>
                <w:color w:val="000000" w:themeColor="text1"/>
              </w:rPr>
            </w:pPr>
            <w:r w:rsidRPr="002B3F18">
              <w:rPr>
                <w:color w:val="000000" w:themeColor="text1"/>
              </w:rPr>
              <w:t>Yes</w:t>
            </w:r>
          </w:p>
        </w:tc>
      </w:tr>
      <w:tr w:rsidR="00472A16" w:rsidRPr="002B3F18" w14:paraId="42D40B37" w14:textId="77777777" w:rsidTr="00AB3100">
        <w:trPr>
          <w:trHeight w:val="395"/>
        </w:trPr>
        <w:tc>
          <w:tcPr>
            <w:tcW w:w="1885" w:type="dxa"/>
            <w:vMerge/>
            <w:vAlign w:val="center"/>
          </w:tcPr>
          <w:p w14:paraId="71DBE1DB" w14:textId="77777777" w:rsidR="00472A16" w:rsidRPr="002B3F18" w:rsidRDefault="00472A16" w:rsidP="002B3F18">
            <w:pPr>
              <w:jc w:val="center"/>
              <w:rPr>
                <w:color w:val="000000" w:themeColor="text1"/>
              </w:rPr>
            </w:pPr>
          </w:p>
        </w:tc>
        <w:tc>
          <w:tcPr>
            <w:tcW w:w="3600" w:type="dxa"/>
            <w:vAlign w:val="center"/>
          </w:tcPr>
          <w:p w14:paraId="1B747896" w14:textId="77777777" w:rsidR="00472A16" w:rsidRPr="002B3F18" w:rsidRDefault="00472A16" w:rsidP="002B3F18">
            <w:pPr>
              <w:jc w:val="center"/>
              <w:rPr>
                <w:color w:val="000000" w:themeColor="text1"/>
              </w:rPr>
            </w:pPr>
            <w:r w:rsidRPr="002B3F18">
              <w:rPr>
                <w:color w:val="000000" w:themeColor="text1"/>
              </w:rPr>
              <w:t>Unrestricted trend</w:t>
            </w:r>
          </w:p>
        </w:tc>
        <w:tc>
          <w:tcPr>
            <w:tcW w:w="2430" w:type="dxa"/>
            <w:vAlign w:val="center"/>
          </w:tcPr>
          <w:p w14:paraId="5E42C6DE" w14:textId="77777777" w:rsidR="00472A16" w:rsidRPr="002B3F18" w:rsidRDefault="00472A16" w:rsidP="002B3F18">
            <w:pPr>
              <w:jc w:val="center"/>
              <w:rPr>
                <w:color w:val="000000" w:themeColor="text1"/>
              </w:rPr>
            </w:pPr>
            <w:r w:rsidRPr="002B3F18">
              <w:rPr>
                <w:color w:val="000000" w:themeColor="text1"/>
              </w:rPr>
              <w:t>Yes</w:t>
            </w:r>
          </w:p>
        </w:tc>
      </w:tr>
      <w:tr w:rsidR="00472A16" w:rsidRPr="002B3F18" w14:paraId="15EA7E7B" w14:textId="77777777" w:rsidTr="00AB3100">
        <w:tc>
          <w:tcPr>
            <w:tcW w:w="1885" w:type="dxa"/>
            <w:vMerge w:val="restart"/>
            <w:vAlign w:val="center"/>
          </w:tcPr>
          <w:p w14:paraId="5BBF0B47" w14:textId="77777777" w:rsidR="00472A16" w:rsidRPr="002B3F18" w:rsidRDefault="00472A16" w:rsidP="002B3F18">
            <w:pPr>
              <w:jc w:val="center"/>
              <w:rPr>
                <w:color w:val="000000" w:themeColor="text1"/>
              </w:rPr>
            </w:pPr>
            <w:r w:rsidRPr="002B3F18">
              <w:rPr>
                <w:color w:val="000000" w:themeColor="text1"/>
              </w:rPr>
              <w:t>GHGpc vs GNDIpc</w:t>
            </w:r>
          </w:p>
        </w:tc>
        <w:tc>
          <w:tcPr>
            <w:tcW w:w="3600" w:type="dxa"/>
            <w:vAlign w:val="center"/>
          </w:tcPr>
          <w:p w14:paraId="4B209BE0" w14:textId="77777777" w:rsidR="00472A16" w:rsidRPr="002B3F18" w:rsidRDefault="00472A16" w:rsidP="002B3F18">
            <w:pPr>
              <w:jc w:val="center"/>
              <w:rPr>
                <w:color w:val="000000" w:themeColor="text1"/>
              </w:rPr>
            </w:pPr>
            <w:r w:rsidRPr="002B3F18">
              <w:rPr>
                <w:color w:val="000000" w:themeColor="text1"/>
              </w:rPr>
              <w:t>No constant</w:t>
            </w:r>
          </w:p>
        </w:tc>
        <w:tc>
          <w:tcPr>
            <w:tcW w:w="2430" w:type="dxa"/>
            <w:vAlign w:val="center"/>
          </w:tcPr>
          <w:p w14:paraId="3D08CE98" w14:textId="77777777" w:rsidR="00472A16" w:rsidRPr="002B3F18" w:rsidRDefault="00472A16" w:rsidP="002B3F18">
            <w:pPr>
              <w:jc w:val="center"/>
              <w:rPr>
                <w:color w:val="000000" w:themeColor="text1"/>
              </w:rPr>
            </w:pPr>
            <w:r w:rsidRPr="002B3F18">
              <w:rPr>
                <w:color w:val="000000" w:themeColor="text1"/>
              </w:rPr>
              <w:t>No</w:t>
            </w:r>
          </w:p>
        </w:tc>
      </w:tr>
      <w:tr w:rsidR="00472A16" w:rsidRPr="002B3F18" w14:paraId="3C39D47A" w14:textId="77777777" w:rsidTr="00AB3100">
        <w:trPr>
          <w:trHeight w:val="512"/>
        </w:trPr>
        <w:tc>
          <w:tcPr>
            <w:tcW w:w="1885" w:type="dxa"/>
            <w:vMerge/>
            <w:vAlign w:val="center"/>
          </w:tcPr>
          <w:p w14:paraId="6002DF51" w14:textId="77777777" w:rsidR="00472A16" w:rsidRPr="002B3F18" w:rsidRDefault="00472A16" w:rsidP="002B3F18">
            <w:pPr>
              <w:jc w:val="center"/>
              <w:rPr>
                <w:color w:val="000000" w:themeColor="text1"/>
              </w:rPr>
            </w:pPr>
          </w:p>
        </w:tc>
        <w:tc>
          <w:tcPr>
            <w:tcW w:w="3600" w:type="dxa"/>
            <w:vAlign w:val="center"/>
          </w:tcPr>
          <w:p w14:paraId="693E0DD3" w14:textId="77777777" w:rsidR="00472A16" w:rsidRPr="002B3F18" w:rsidRDefault="00472A16" w:rsidP="002B3F18">
            <w:pPr>
              <w:jc w:val="center"/>
              <w:rPr>
                <w:color w:val="000000" w:themeColor="text1"/>
              </w:rPr>
            </w:pPr>
            <w:r w:rsidRPr="002B3F18">
              <w:rPr>
                <w:color w:val="000000" w:themeColor="text1"/>
              </w:rPr>
              <w:t xml:space="preserve">Restricted constant </w:t>
            </w:r>
          </w:p>
        </w:tc>
        <w:tc>
          <w:tcPr>
            <w:tcW w:w="2430" w:type="dxa"/>
            <w:vAlign w:val="center"/>
          </w:tcPr>
          <w:p w14:paraId="0CA54AF8" w14:textId="77777777" w:rsidR="00472A16" w:rsidRPr="002B3F18" w:rsidRDefault="00472A16" w:rsidP="002B3F18">
            <w:pPr>
              <w:jc w:val="center"/>
              <w:rPr>
                <w:color w:val="000000" w:themeColor="text1"/>
              </w:rPr>
            </w:pPr>
            <w:r w:rsidRPr="002B3F18">
              <w:rPr>
                <w:color w:val="000000" w:themeColor="text1"/>
              </w:rPr>
              <w:t>Yes</w:t>
            </w:r>
          </w:p>
        </w:tc>
      </w:tr>
      <w:tr w:rsidR="00472A16" w:rsidRPr="002B3F18" w14:paraId="2C182AD8" w14:textId="77777777" w:rsidTr="00AB3100">
        <w:trPr>
          <w:trHeight w:val="485"/>
        </w:trPr>
        <w:tc>
          <w:tcPr>
            <w:tcW w:w="1885" w:type="dxa"/>
            <w:vMerge/>
            <w:vAlign w:val="center"/>
          </w:tcPr>
          <w:p w14:paraId="119911A2" w14:textId="77777777" w:rsidR="00472A16" w:rsidRPr="002B3F18" w:rsidRDefault="00472A16" w:rsidP="002B3F18">
            <w:pPr>
              <w:jc w:val="center"/>
              <w:rPr>
                <w:color w:val="000000" w:themeColor="text1"/>
              </w:rPr>
            </w:pPr>
          </w:p>
        </w:tc>
        <w:tc>
          <w:tcPr>
            <w:tcW w:w="3600" w:type="dxa"/>
            <w:vAlign w:val="center"/>
          </w:tcPr>
          <w:p w14:paraId="38462801" w14:textId="77777777" w:rsidR="00472A16" w:rsidRPr="002B3F18" w:rsidRDefault="00472A16" w:rsidP="002B3F18">
            <w:pPr>
              <w:jc w:val="center"/>
              <w:rPr>
                <w:color w:val="000000" w:themeColor="text1"/>
              </w:rPr>
            </w:pPr>
            <w:r w:rsidRPr="002B3F18">
              <w:rPr>
                <w:color w:val="000000" w:themeColor="text1"/>
              </w:rPr>
              <w:t>Unrestricted constant*</w:t>
            </w:r>
          </w:p>
        </w:tc>
        <w:tc>
          <w:tcPr>
            <w:tcW w:w="2430" w:type="dxa"/>
            <w:vAlign w:val="center"/>
          </w:tcPr>
          <w:p w14:paraId="76797205" w14:textId="77777777" w:rsidR="00472A16" w:rsidRPr="002B3F18" w:rsidRDefault="00472A16" w:rsidP="002B3F18">
            <w:pPr>
              <w:jc w:val="center"/>
              <w:rPr>
                <w:color w:val="000000" w:themeColor="text1"/>
              </w:rPr>
            </w:pPr>
            <w:r w:rsidRPr="002B3F18">
              <w:rPr>
                <w:color w:val="000000" w:themeColor="text1"/>
              </w:rPr>
              <w:t>Yes</w:t>
            </w:r>
          </w:p>
        </w:tc>
      </w:tr>
      <w:tr w:rsidR="00472A16" w:rsidRPr="002B3F18" w14:paraId="63988151" w14:textId="77777777" w:rsidTr="00AB3100">
        <w:trPr>
          <w:trHeight w:val="458"/>
        </w:trPr>
        <w:tc>
          <w:tcPr>
            <w:tcW w:w="1885" w:type="dxa"/>
            <w:vMerge/>
            <w:vAlign w:val="center"/>
          </w:tcPr>
          <w:p w14:paraId="36307237" w14:textId="77777777" w:rsidR="00472A16" w:rsidRPr="002B3F18" w:rsidRDefault="00472A16" w:rsidP="002B3F18">
            <w:pPr>
              <w:jc w:val="center"/>
              <w:rPr>
                <w:color w:val="000000" w:themeColor="text1"/>
              </w:rPr>
            </w:pPr>
          </w:p>
        </w:tc>
        <w:tc>
          <w:tcPr>
            <w:tcW w:w="3600" w:type="dxa"/>
            <w:vAlign w:val="center"/>
          </w:tcPr>
          <w:p w14:paraId="7B9A8856" w14:textId="77777777" w:rsidR="00472A16" w:rsidRPr="002B3F18" w:rsidRDefault="00472A16" w:rsidP="002B3F18">
            <w:pPr>
              <w:jc w:val="center"/>
              <w:rPr>
                <w:color w:val="000000" w:themeColor="text1"/>
              </w:rPr>
            </w:pPr>
            <w:r w:rsidRPr="002B3F18">
              <w:rPr>
                <w:color w:val="000000" w:themeColor="text1"/>
              </w:rPr>
              <w:t>Restricted trend</w:t>
            </w:r>
          </w:p>
        </w:tc>
        <w:tc>
          <w:tcPr>
            <w:tcW w:w="2430" w:type="dxa"/>
            <w:vAlign w:val="center"/>
          </w:tcPr>
          <w:p w14:paraId="726D3BB5" w14:textId="77777777" w:rsidR="00472A16" w:rsidRPr="002B3F18" w:rsidRDefault="00472A16" w:rsidP="002B3F18">
            <w:pPr>
              <w:jc w:val="center"/>
              <w:rPr>
                <w:color w:val="000000" w:themeColor="text1"/>
              </w:rPr>
            </w:pPr>
            <w:r w:rsidRPr="002B3F18">
              <w:rPr>
                <w:color w:val="000000" w:themeColor="text1"/>
              </w:rPr>
              <w:t>Yes</w:t>
            </w:r>
          </w:p>
        </w:tc>
      </w:tr>
      <w:tr w:rsidR="00472A16" w:rsidRPr="002B3F18" w14:paraId="6F78CAC3" w14:textId="77777777" w:rsidTr="00AB3100">
        <w:trPr>
          <w:trHeight w:val="467"/>
        </w:trPr>
        <w:tc>
          <w:tcPr>
            <w:tcW w:w="1885" w:type="dxa"/>
            <w:vMerge/>
            <w:vAlign w:val="center"/>
          </w:tcPr>
          <w:p w14:paraId="6CA5F649" w14:textId="77777777" w:rsidR="00472A16" w:rsidRPr="002B3F18" w:rsidRDefault="00472A16" w:rsidP="002B3F18">
            <w:pPr>
              <w:jc w:val="center"/>
              <w:rPr>
                <w:color w:val="000000" w:themeColor="text1"/>
              </w:rPr>
            </w:pPr>
          </w:p>
        </w:tc>
        <w:tc>
          <w:tcPr>
            <w:tcW w:w="3600" w:type="dxa"/>
            <w:vAlign w:val="center"/>
          </w:tcPr>
          <w:p w14:paraId="35E64402" w14:textId="77777777" w:rsidR="00472A16" w:rsidRPr="002B3F18" w:rsidRDefault="00472A16" w:rsidP="002B3F18">
            <w:pPr>
              <w:jc w:val="center"/>
              <w:rPr>
                <w:color w:val="000000" w:themeColor="text1"/>
              </w:rPr>
            </w:pPr>
            <w:r w:rsidRPr="002B3F18">
              <w:rPr>
                <w:color w:val="000000" w:themeColor="text1"/>
              </w:rPr>
              <w:t>Unrestricted trend</w:t>
            </w:r>
          </w:p>
        </w:tc>
        <w:tc>
          <w:tcPr>
            <w:tcW w:w="2430" w:type="dxa"/>
            <w:vAlign w:val="center"/>
          </w:tcPr>
          <w:p w14:paraId="5DCBD35F" w14:textId="77777777" w:rsidR="00472A16" w:rsidRPr="002B3F18" w:rsidRDefault="00472A16" w:rsidP="002B3F18">
            <w:pPr>
              <w:jc w:val="center"/>
              <w:rPr>
                <w:color w:val="000000" w:themeColor="text1"/>
              </w:rPr>
            </w:pPr>
            <w:r w:rsidRPr="002B3F18">
              <w:rPr>
                <w:color w:val="000000" w:themeColor="text1"/>
              </w:rPr>
              <w:t>Yes</w:t>
            </w:r>
          </w:p>
        </w:tc>
      </w:tr>
      <w:tr w:rsidR="00472A16" w:rsidRPr="002B3F18" w14:paraId="0F131C1E" w14:textId="77777777" w:rsidTr="00AB3100">
        <w:tc>
          <w:tcPr>
            <w:tcW w:w="1885" w:type="dxa"/>
            <w:vMerge w:val="restart"/>
            <w:vAlign w:val="center"/>
          </w:tcPr>
          <w:p w14:paraId="08078039" w14:textId="77777777" w:rsidR="00472A16" w:rsidRPr="002B3F18" w:rsidRDefault="00472A16" w:rsidP="002B3F18">
            <w:pPr>
              <w:jc w:val="center"/>
              <w:rPr>
                <w:color w:val="000000" w:themeColor="text1"/>
              </w:rPr>
            </w:pPr>
            <w:r w:rsidRPr="002B3F18">
              <w:rPr>
                <w:color w:val="000000" w:themeColor="text1"/>
              </w:rPr>
              <w:t>GHGpc vs HDI</w:t>
            </w:r>
          </w:p>
        </w:tc>
        <w:tc>
          <w:tcPr>
            <w:tcW w:w="3600" w:type="dxa"/>
            <w:vAlign w:val="center"/>
          </w:tcPr>
          <w:p w14:paraId="22CEB50B" w14:textId="77777777" w:rsidR="00472A16" w:rsidRPr="002B3F18" w:rsidRDefault="00472A16" w:rsidP="002B3F18">
            <w:pPr>
              <w:jc w:val="center"/>
              <w:rPr>
                <w:color w:val="000000" w:themeColor="text1"/>
              </w:rPr>
            </w:pPr>
            <w:r w:rsidRPr="002B3F18">
              <w:rPr>
                <w:color w:val="000000" w:themeColor="text1"/>
              </w:rPr>
              <w:t>No constant</w:t>
            </w:r>
          </w:p>
        </w:tc>
        <w:tc>
          <w:tcPr>
            <w:tcW w:w="2430" w:type="dxa"/>
            <w:vAlign w:val="center"/>
          </w:tcPr>
          <w:p w14:paraId="6F043285" w14:textId="77777777" w:rsidR="00472A16" w:rsidRPr="002B3F18" w:rsidRDefault="00472A16" w:rsidP="002B3F18">
            <w:pPr>
              <w:jc w:val="center"/>
              <w:rPr>
                <w:color w:val="000000" w:themeColor="text1"/>
              </w:rPr>
            </w:pPr>
            <w:r w:rsidRPr="002B3F18">
              <w:rPr>
                <w:color w:val="000000" w:themeColor="text1"/>
              </w:rPr>
              <w:t>No</w:t>
            </w:r>
          </w:p>
        </w:tc>
      </w:tr>
      <w:tr w:rsidR="00472A16" w:rsidRPr="002B3F18" w14:paraId="2A6347F0" w14:textId="77777777" w:rsidTr="00AB3100">
        <w:tc>
          <w:tcPr>
            <w:tcW w:w="1885" w:type="dxa"/>
            <w:vMerge/>
            <w:vAlign w:val="center"/>
          </w:tcPr>
          <w:p w14:paraId="6B2A71DA" w14:textId="77777777" w:rsidR="00472A16" w:rsidRPr="002B3F18" w:rsidRDefault="00472A16" w:rsidP="002B3F18">
            <w:pPr>
              <w:jc w:val="center"/>
              <w:rPr>
                <w:color w:val="000000" w:themeColor="text1"/>
              </w:rPr>
            </w:pPr>
          </w:p>
        </w:tc>
        <w:tc>
          <w:tcPr>
            <w:tcW w:w="3600" w:type="dxa"/>
            <w:vAlign w:val="center"/>
          </w:tcPr>
          <w:p w14:paraId="565EB8EC" w14:textId="77777777" w:rsidR="00472A16" w:rsidRPr="002B3F18" w:rsidRDefault="00472A16" w:rsidP="002B3F18">
            <w:pPr>
              <w:jc w:val="center"/>
              <w:rPr>
                <w:color w:val="000000" w:themeColor="text1"/>
              </w:rPr>
            </w:pPr>
            <w:r w:rsidRPr="002B3F18">
              <w:rPr>
                <w:color w:val="000000" w:themeColor="text1"/>
              </w:rPr>
              <w:t xml:space="preserve">Restricted constant </w:t>
            </w:r>
          </w:p>
        </w:tc>
        <w:tc>
          <w:tcPr>
            <w:tcW w:w="2430" w:type="dxa"/>
            <w:vAlign w:val="center"/>
          </w:tcPr>
          <w:p w14:paraId="0AE911FA" w14:textId="77777777" w:rsidR="00472A16" w:rsidRPr="002B3F18" w:rsidRDefault="00472A16" w:rsidP="002B3F18">
            <w:pPr>
              <w:jc w:val="center"/>
              <w:rPr>
                <w:color w:val="000000" w:themeColor="text1"/>
              </w:rPr>
            </w:pPr>
            <w:r w:rsidRPr="002B3F18">
              <w:rPr>
                <w:color w:val="000000" w:themeColor="text1"/>
              </w:rPr>
              <w:t>Yes</w:t>
            </w:r>
          </w:p>
        </w:tc>
      </w:tr>
      <w:tr w:rsidR="00472A16" w:rsidRPr="002B3F18" w14:paraId="1441B11B" w14:textId="77777777" w:rsidTr="00AB3100">
        <w:tc>
          <w:tcPr>
            <w:tcW w:w="1885" w:type="dxa"/>
            <w:vMerge/>
            <w:vAlign w:val="center"/>
          </w:tcPr>
          <w:p w14:paraId="3DCB8ACB" w14:textId="77777777" w:rsidR="00472A16" w:rsidRPr="002B3F18" w:rsidRDefault="00472A16" w:rsidP="002B3F18">
            <w:pPr>
              <w:jc w:val="center"/>
              <w:rPr>
                <w:color w:val="000000" w:themeColor="text1"/>
              </w:rPr>
            </w:pPr>
          </w:p>
        </w:tc>
        <w:tc>
          <w:tcPr>
            <w:tcW w:w="3600" w:type="dxa"/>
            <w:vAlign w:val="center"/>
          </w:tcPr>
          <w:p w14:paraId="449867F6" w14:textId="77777777" w:rsidR="00472A16" w:rsidRPr="002B3F18" w:rsidRDefault="00472A16" w:rsidP="002B3F18">
            <w:pPr>
              <w:jc w:val="center"/>
              <w:rPr>
                <w:color w:val="000000" w:themeColor="text1"/>
              </w:rPr>
            </w:pPr>
            <w:r w:rsidRPr="002B3F18">
              <w:rPr>
                <w:color w:val="000000" w:themeColor="text1"/>
              </w:rPr>
              <w:t>Unrestricted constant</w:t>
            </w:r>
          </w:p>
        </w:tc>
        <w:tc>
          <w:tcPr>
            <w:tcW w:w="2430" w:type="dxa"/>
            <w:vAlign w:val="center"/>
          </w:tcPr>
          <w:p w14:paraId="25D91685" w14:textId="77777777" w:rsidR="00472A16" w:rsidRPr="002B3F18" w:rsidRDefault="00472A16" w:rsidP="002B3F18">
            <w:pPr>
              <w:jc w:val="center"/>
              <w:rPr>
                <w:color w:val="000000" w:themeColor="text1"/>
              </w:rPr>
            </w:pPr>
            <w:r w:rsidRPr="002B3F18">
              <w:rPr>
                <w:color w:val="000000" w:themeColor="text1"/>
              </w:rPr>
              <w:t>No</w:t>
            </w:r>
          </w:p>
        </w:tc>
      </w:tr>
      <w:tr w:rsidR="00472A16" w:rsidRPr="002B3F18" w14:paraId="7334C6AA" w14:textId="77777777" w:rsidTr="00AB3100">
        <w:tc>
          <w:tcPr>
            <w:tcW w:w="1885" w:type="dxa"/>
            <w:vMerge/>
            <w:vAlign w:val="center"/>
          </w:tcPr>
          <w:p w14:paraId="3734028B" w14:textId="77777777" w:rsidR="00472A16" w:rsidRPr="002B3F18" w:rsidRDefault="00472A16" w:rsidP="002B3F18">
            <w:pPr>
              <w:jc w:val="center"/>
              <w:rPr>
                <w:color w:val="000000" w:themeColor="text1"/>
              </w:rPr>
            </w:pPr>
          </w:p>
        </w:tc>
        <w:tc>
          <w:tcPr>
            <w:tcW w:w="3600" w:type="dxa"/>
            <w:vAlign w:val="center"/>
          </w:tcPr>
          <w:p w14:paraId="61526F01" w14:textId="77777777" w:rsidR="00472A16" w:rsidRPr="002B3F18" w:rsidRDefault="00472A16" w:rsidP="002B3F18">
            <w:pPr>
              <w:jc w:val="center"/>
              <w:rPr>
                <w:color w:val="000000" w:themeColor="text1"/>
              </w:rPr>
            </w:pPr>
            <w:r w:rsidRPr="002B3F18">
              <w:rPr>
                <w:color w:val="000000" w:themeColor="text1"/>
              </w:rPr>
              <w:t>Restricted trend</w:t>
            </w:r>
          </w:p>
        </w:tc>
        <w:tc>
          <w:tcPr>
            <w:tcW w:w="2430" w:type="dxa"/>
            <w:vAlign w:val="center"/>
          </w:tcPr>
          <w:p w14:paraId="32795168" w14:textId="77777777" w:rsidR="00472A16" w:rsidRPr="002B3F18" w:rsidRDefault="00472A16" w:rsidP="002B3F18">
            <w:pPr>
              <w:jc w:val="center"/>
              <w:rPr>
                <w:color w:val="000000" w:themeColor="text1"/>
              </w:rPr>
            </w:pPr>
            <w:r w:rsidRPr="002B3F18">
              <w:rPr>
                <w:color w:val="000000" w:themeColor="text1"/>
              </w:rPr>
              <w:t>No</w:t>
            </w:r>
          </w:p>
        </w:tc>
      </w:tr>
      <w:tr w:rsidR="00472A16" w:rsidRPr="002B3F18" w14:paraId="16D05049" w14:textId="77777777" w:rsidTr="00AB3100">
        <w:trPr>
          <w:trHeight w:val="503"/>
        </w:trPr>
        <w:tc>
          <w:tcPr>
            <w:tcW w:w="1885" w:type="dxa"/>
            <w:vMerge/>
            <w:vAlign w:val="center"/>
          </w:tcPr>
          <w:p w14:paraId="4AB65753" w14:textId="77777777" w:rsidR="00472A16" w:rsidRPr="002B3F18" w:rsidRDefault="00472A16" w:rsidP="002B3F18">
            <w:pPr>
              <w:jc w:val="center"/>
              <w:rPr>
                <w:color w:val="000000" w:themeColor="text1"/>
              </w:rPr>
            </w:pPr>
          </w:p>
        </w:tc>
        <w:tc>
          <w:tcPr>
            <w:tcW w:w="3600" w:type="dxa"/>
            <w:vAlign w:val="center"/>
          </w:tcPr>
          <w:p w14:paraId="5040F6D3" w14:textId="77777777" w:rsidR="00472A16" w:rsidRPr="002B3F18" w:rsidRDefault="00472A16" w:rsidP="002B3F18">
            <w:pPr>
              <w:jc w:val="center"/>
              <w:rPr>
                <w:color w:val="000000" w:themeColor="text1"/>
              </w:rPr>
            </w:pPr>
            <w:r w:rsidRPr="002B3F18">
              <w:rPr>
                <w:color w:val="000000" w:themeColor="text1"/>
              </w:rPr>
              <w:t>Unrestricted trend*</w:t>
            </w:r>
          </w:p>
        </w:tc>
        <w:tc>
          <w:tcPr>
            <w:tcW w:w="2430" w:type="dxa"/>
            <w:vAlign w:val="center"/>
          </w:tcPr>
          <w:p w14:paraId="6749D72A" w14:textId="77777777" w:rsidR="00472A16" w:rsidRPr="002B3F18" w:rsidRDefault="00472A16" w:rsidP="002B3F18">
            <w:pPr>
              <w:jc w:val="center"/>
              <w:rPr>
                <w:color w:val="000000" w:themeColor="text1"/>
              </w:rPr>
            </w:pPr>
            <w:r w:rsidRPr="002B3F18">
              <w:rPr>
                <w:color w:val="000000" w:themeColor="text1"/>
              </w:rPr>
              <w:t>Yes</w:t>
            </w:r>
          </w:p>
        </w:tc>
      </w:tr>
      <w:tr w:rsidR="00472A16" w:rsidRPr="002B3F18" w14:paraId="6C416408" w14:textId="77777777" w:rsidTr="00AB3100">
        <w:tc>
          <w:tcPr>
            <w:tcW w:w="1885" w:type="dxa"/>
            <w:vMerge w:val="restart"/>
            <w:vAlign w:val="center"/>
          </w:tcPr>
          <w:p w14:paraId="6BA5B09B" w14:textId="77777777" w:rsidR="00472A16" w:rsidRPr="002B3F18" w:rsidRDefault="00472A16" w:rsidP="002B3F18">
            <w:pPr>
              <w:jc w:val="center"/>
              <w:rPr>
                <w:color w:val="000000" w:themeColor="text1"/>
              </w:rPr>
            </w:pPr>
            <w:r w:rsidRPr="002B3F18">
              <w:rPr>
                <w:color w:val="000000" w:themeColor="text1"/>
              </w:rPr>
              <w:t>GHGpc vs IEF</w:t>
            </w:r>
          </w:p>
        </w:tc>
        <w:tc>
          <w:tcPr>
            <w:tcW w:w="3600" w:type="dxa"/>
            <w:vAlign w:val="center"/>
          </w:tcPr>
          <w:p w14:paraId="4E75256A" w14:textId="77777777" w:rsidR="00472A16" w:rsidRPr="002B3F18" w:rsidRDefault="00472A16" w:rsidP="002B3F18">
            <w:pPr>
              <w:jc w:val="center"/>
              <w:rPr>
                <w:color w:val="000000" w:themeColor="text1"/>
              </w:rPr>
            </w:pPr>
            <w:r w:rsidRPr="002B3F18">
              <w:rPr>
                <w:color w:val="000000" w:themeColor="text1"/>
              </w:rPr>
              <w:t>No constant</w:t>
            </w:r>
          </w:p>
        </w:tc>
        <w:tc>
          <w:tcPr>
            <w:tcW w:w="2430" w:type="dxa"/>
            <w:vAlign w:val="center"/>
          </w:tcPr>
          <w:p w14:paraId="7F293E21" w14:textId="77777777" w:rsidR="00472A16" w:rsidRPr="002B3F18" w:rsidRDefault="00472A16" w:rsidP="002B3F18">
            <w:pPr>
              <w:jc w:val="center"/>
              <w:rPr>
                <w:color w:val="000000" w:themeColor="text1"/>
              </w:rPr>
            </w:pPr>
            <w:r w:rsidRPr="002B3F18">
              <w:rPr>
                <w:color w:val="000000" w:themeColor="text1"/>
              </w:rPr>
              <w:t>Yes</w:t>
            </w:r>
          </w:p>
        </w:tc>
      </w:tr>
      <w:tr w:rsidR="00472A16" w:rsidRPr="002B3F18" w14:paraId="0D9FE1E4" w14:textId="77777777" w:rsidTr="00AB3100">
        <w:tc>
          <w:tcPr>
            <w:tcW w:w="1885" w:type="dxa"/>
            <w:vMerge/>
            <w:vAlign w:val="center"/>
          </w:tcPr>
          <w:p w14:paraId="23A7846A" w14:textId="77777777" w:rsidR="00472A16" w:rsidRPr="002B3F18" w:rsidRDefault="00472A16" w:rsidP="002B3F18">
            <w:pPr>
              <w:jc w:val="center"/>
              <w:rPr>
                <w:color w:val="000000" w:themeColor="text1"/>
              </w:rPr>
            </w:pPr>
          </w:p>
        </w:tc>
        <w:tc>
          <w:tcPr>
            <w:tcW w:w="3600" w:type="dxa"/>
            <w:vAlign w:val="center"/>
          </w:tcPr>
          <w:p w14:paraId="6C8F9392" w14:textId="77777777" w:rsidR="00472A16" w:rsidRPr="002B3F18" w:rsidRDefault="00472A16" w:rsidP="002B3F18">
            <w:pPr>
              <w:jc w:val="center"/>
              <w:rPr>
                <w:color w:val="000000" w:themeColor="text1"/>
              </w:rPr>
            </w:pPr>
            <w:r w:rsidRPr="002B3F18">
              <w:rPr>
                <w:color w:val="000000" w:themeColor="text1"/>
              </w:rPr>
              <w:t xml:space="preserve">Restricted constant </w:t>
            </w:r>
          </w:p>
        </w:tc>
        <w:tc>
          <w:tcPr>
            <w:tcW w:w="2430" w:type="dxa"/>
            <w:vAlign w:val="center"/>
          </w:tcPr>
          <w:p w14:paraId="5B1D49AA" w14:textId="77777777" w:rsidR="00472A16" w:rsidRPr="002B3F18" w:rsidRDefault="00472A16" w:rsidP="002B3F18">
            <w:pPr>
              <w:jc w:val="center"/>
              <w:rPr>
                <w:color w:val="000000" w:themeColor="text1"/>
              </w:rPr>
            </w:pPr>
            <w:r w:rsidRPr="002B3F18">
              <w:rPr>
                <w:color w:val="000000" w:themeColor="text1"/>
              </w:rPr>
              <w:t>Yes</w:t>
            </w:r>
          </w:p>
        </w:tc>
      </w:tr>
      <w:tr w:rsidR="00472A16" w:rsidRPr="002B3F18" w14:paraId="7D82045C" w14:textId="77777777" w:rsidTr="00AB3100">
        <w:tc>
          <w:tcPr>
            <w:tcW w:w="1885" w:type="dxa"/>
            <w:vMerge/>
            <w:vAlign w:val="center"/>
          </w:tcPr>
          <w:p w14:paraId="49A9A738" w14:textId="77777777" w:rsidR="00472A16" w:rsidRPr="002B3F18" w:rsidRDefault="00472A16" w:rsidP="002B3F18">
            <w:pPr>
              <w:jc w:val="center"/>
              <w:rPr>
                <w:color w:val="000000" w:themeColor="text1"/>
              </w:rPr>
            </w:pPr>
          </w:p>
        </w:tc>
        <w:tc>
          <w:tcPr>
            <w:tcW w:w="3600" w:type="dxa"/>
            <w:vAlign w:val="center"/>
          </w:tcPr>
          <w:p w14:paraId="0C80DC73" w14:textId="77777777" w:rsidR="00472A16" w:rsidRPr="002B3F18" w:rsidRDefault="00472A16" w:rsidP="002B3F18">
            <w:pPr>
              <w:jc w:val="center"/>
              <w:rPr>
                <w:color w:val="000000" w:themeColor="text1"/>
              </w:rPr>
            </w:pPr>
            <w:r w:rsidRPr="002B3F18">
              <w:rPr>
                <w:color w:val="000000" w:themeColor="text1"/>
              </w:rPr>
              <w:t>Unrestricted constant</w:t>
            </w:r>
          </w:p>
        </w:tc>
        <w:tc>
          <w:tcPr>
            <w:tcW w:w="2430" w:type="dxa"/>
            <w:vAlign w:val="center"/>
          </w:tcPr>
          <w:p w14:paraId="4695D7BB" w14:textId="77777777" w:rsidR="00472A16" w:rsidRPr="002B3F18" w:rsidRDefault="00472A16" w:rsidP="002B3F18">
            <w:pPr>
              <w:jc w:val="center"/>
              <w:rPr>
                <w:color w:val="000000" w:themeColor="text1"/>
              </w:rPr>
            </w:pPr>
            <w:r w:rsidRPr="002B3F18">
              <w:rPr>
                <w:color w:val="000000" w:themeColor="text1"/>
              </w:rPr>
              <w:t>Yes</w:t>
            </w:r>
          </w:p>
        </w:tc>
      </w:tr>
      <w:tr w:rsidR="00472A16" w:rsidRPr="002B3F18" w14:paraId="5C13174E" w14:textId="77777777" w:rsidTr="00AB3100">
        <w:tc>
          <w:tcPr>
            <w:tcW w:w="1885" w:type="dxa"/>
            <w:vMerge/>
            <w:vAlign w:val="center"/>
          </w:tcPr>
          <w:p w14:paraId="7FEE3F0B" w14:textId="77777777" w:rsidR="00472A16" w:rsidRPr="002B3F18" w:rsidRDefault="00472A16" w:rsidP="002B3F18">
            <w:pPr>
              <w:jc w:val="center"/>
              <w:rPr>
                <w:color w:val="000000" w:themeColor="text1"/>
              </w:rPr>
            </w:pPr>
          </w:p>
        </w:tc>
        <w:tc>
          <w:tcPr>
            <w:tcW w:w="3600" w:type="dxa"/>
            <w:vAlign w:val="center"/>
          </w:tcPr>
          <w:p w14:paraId="71F5927D" w14:textId="77777777" w:rsidR="00472A16" w:rsidRPr="002B3F18" w:rsidRDefault="00472A16" w:rsidP="002B3F18">
            <w:pPr>
              <w:jc w:val="center"/>
              <w:rPr>
                <w:color w:val="000000" w:themeColor="text1"/>
              </w:rPr>
            </w:pPr>
            <w:r w:rsidRPr="002B3F18">
              <w:rPr>
                <w:color w:val="000000" w:themeColor="text1"/>
              </w:rPr>
              <w:t>Restricted trend*</w:t>
            </w:r>
          </w:p>
        </w:tc>
        <w:tc>
          <w:tcPr>
            <w:tcW w:w="2430" w:type="dxa"/>
            <w:vAlign w:val="center"/>
          </w:tcPr>
          <w:p w14:paraId="7501AB3C" w14:textId="77777777" w:rsidR="00472A16" w:rsidRPr="002B3F18" w:rsidRDefault="00472A16" w:rsidP="002B3F18">
            <w:pPr>
              <w:jc w:val="center"/>
              <w:rPr>
                <w:color w:val="000000" w:themeColor="text1"/>
              </w:rPr>
            </w:pPr>
            <w:r w:rsidRPr="002B3F18">
              <w:rPr>
                <w:color w:val="000000" w:themeColor="text1"/>
              </w:rPr>
              <w:t>Yes</w:t>
            </w:r>
          </w:p>
        </w:tc>
      </w:tr>
      <w:tr w:rsidR="00472A16" w:rsidRPr="002B3F18" w14:paraId="28265BDC" w14:textId="77777777" w:rsidTr="00AB3100">
        <w:tc>
          <w:tcPr>
            <w:tcW w:w="1885" w:type="dxa"/>
            <w:vMerge/>
            <w:vAlign w:val="center"/>
          </w:tcPr>
          <w:p w14:paraId="6371E493" w14:textId="77777777" w:rsidR="00472A16" w:rsidRPr="002B3F18" w:rsidRDefault="00472A16" w:rsidP="002B3F18">
            <w:pPr>
              <w:jc w:val="center"/>
              <w:rPr>
                <w:color w:val="000000" w:themeColor="text1"/>
              </w:rPr>
            </w:pPr>
          </w:p>
        </w:tc>
        <w:tc>
          <w:tcPr>
            <w:tcW w:w="3600" w:type="dxa"/>
            <w:vAlign w:val="center"/>
          </w:tcPr>
          <w:p w14:paraId="235AC20E" w14:textId="77777777" w:rsidR="00472A16" w:rsidRPr="002B3F18" w:rsidRDefault="00472A16" w:rsidP="002B3F18">
            <w:pPr>
              <w:jc w:val="center"/>
              <w:rPr>
                <w:color w:val="000000" w:themeColor="text1"/>
              </w:rPr>
            </w:pPr>
            <w:r w:rsidRPr="002B3F18">
              <w:rPr>
                <w:color w:val="000000" w:themeColor="text1"/>
              </w:rPr>
              <w:t>Unrestricted trend</w:t>
            </w:r>
          </w:p>
        </w:tc>
        <w:tc>
          <w:tcPr>
            <w:tcW w:w="2430" w:type="dxa"/>
            <w:vAlign w:val="center"/>
          </w:tcPr>
          <w:p w14:paraId="6BD36714" w14:textId="77777777" w:rsidR="00472A16" w:rsidRPr="002B3F18" w:rsidRDefault="00472A16" w:rsidP="002B3F18">
            <w:pPr>
              <w:jc w:val="center"/>
              <w:rPr>
                <w:color w:val="000000" w:themeColor="text1"/>
              </w:rPr>
            </w:pPr>
            <w:r w:rsidRPr="002B3F18">
              <w:rPr>
                <w:color w:val="000000" w:themeColor="text1"/>
              </w:rPr>
              <w:t>Yes</w:t>
            </w:r>
          </w:p>
        </w:tc>
      </w:tr>
    </w:tbl>
    <w:p w14:paraId="62A2737F" w14:textId="32086CDC" w:rsidR="009E712E" w:rsidRPr="009E712E" w:rsidRDefault="009E712E" w:rsidP="0027327E">
      <w:pPr>
        <w:jc w:val="left"/>
        <w:rPr>
          <w:color w:val="000000" w:themeColor="text1"/>
          <w:szCs w:val="24"/>
        </w:rPr>
      </w:pPr>
      <w:r w:rsidRPr="009E712E">
        <w:rPr>
          <w:i/>
          <w:iCs/>
          <w:color w:val="000000" w:themeColor="text1"/>
          <w:szCs w:val="24"/>
        </w:rPr>
        <w:t>Note:</w:t>
      </w:r>
      <w:r w:rsidRPr="009E712E">
        <w:rPr>
          <w:color w:val="000000" w:themeColor="text1"/>
          <w:szCs w:val="24"/>
        </w:rPr>
        <w:t xml:space="preserve"> (a) The maximum number of cointegrating vectors is given by n-1 where n is the number of variables tested. (b) The “Restricted trend” scenario corresponds to a test with a restricted trend and an unrestricted constant. (c) The “Unrestricted trend” scenario corresponds to a test with an unrestricted trend and an unrestricted constant. </w:t>
      </w:r>
      <w:r w:rsidR="00472A16" w:rsidRPr="00E31A5B">
        <w:rPr>
          <w:color w:val="000000" w:themeColor="text1"/>
        </w:rPr>
        <w:t xml:space="preserve">(d) </w:t>
      </w:r>
      <w:r w:rsidR="00384CF3" w:rsidRPr="00384CF3">
        <w:rPr>
          <w:color w:val="000000" w:themeColor="text1"/>
        </w:rPr>
        <w:t xml:space="preserve">*Reference scenario for the error correction model. The selected reference scenario was confirmed to have satisfied post-ECM model specification tests </w:t>
      </w:r>
      <w:r w:rsidR="00CF0B43">
        <w:rPr>
          <w:color w:val="000000" w:themeColor="text1"/>
        </w:rPr>
        <w:t>(</w:t>
      </w:r>
      <w:r w:rsidR="00384CF3" w:rsidRPr="00384CF3">
        <w:rPr>
          <w:color w:val="000000" w:themeColor="text1"/>
        </w:rPr>
        <w:t xml:space="preserve">discussions </w:t>
      </w:r>
      <w:r w:rsidR="00F30FB0">
        <w:rPr>
          <w:color w:val="000000" w:themeColor="text1"/>
        </w:rPr>
        <w:t xml:space="preserve">are </w:t>
      </w:r>
      <w:r w:rsidR="00384CF3" w:rsidRPr="00384CF3">
        <w:rPr>
          <w:color w:val="000000" w:themeColor="text1"/>
        </w:rPr>
        <w:t>provided in the ECM</w:t>
      </w:r>
      <w:r w:rsidR="00891B09">
        <w:rPr>
          <w:color w:val="000000" w:themeColor="text1"/>
        </w:rPr>
        <w:t xml:space="preserve"> and post-ECM</w:t>
      </w:r>
      <w:r w:rsidR="00384CF3" w:rsidRPr="00384CF3">
        <w:rPr>
          <w:color w:val="000000" w:themeColor="text1"/>
        </w:rPr>
        <w:t xml:space="preserve"> </w:t>
      </w:r>
      <w:r w:rsidR="00F30FB0">
        <w:rPr>
          <w:color w:val="000000" w:themeColor="text1"/>
        </w:rPr>
        <w:t>S</w:t>
      </w:r>
      <w:r w:rsidR="00384CF3" w:rsidRPr="00891B09">
        <w:rPr>
          <w:color w:val="000000" w:themeColor="text1"/>
        </w:rPr>
        <w:t>ection</w:t>
      </w:r>
      <w:r w:rsidR="00891B09" w:rsidRPr="00891B09">
        <w:rPr>
          <w:color w:val="000000" w:themeColor="text1"/>
        </w:rPr>
        <w:t xml:space="preserve"> </w:t>
      </w:r>
      <w:r w:rsidR="00384CF3" w:rsidRPr="00891B09">
        <w:rPr>
          <w:color w:val="000000" w:themeColor="text1"/>
        </w:rPr>
        <w:t>4.</w:t>
      </w:r>
      <w:r w:rsidR="00891B09" w:rsidRPr="00891B09">
        <w:rPr>
          <w:color w:val="000000" w:themeColor="text1"/>
        </w:rPr>
        <w:t>5</w:t>
      </w:r>
      <w:r w:rsidR="00F30FB0">
        <w:rPr>
          <w:color w:val="000000" w:themeColor="text1"/>
        </w:rPr>
        <w:t>)</w:t>
      </w:r>
      <w:r w:rsidR="00384CF3" w:rsidRPr="00891B09">
        <w:rPr>
          <w:color w:val="000000" w:themeColor="text1"/>
        </w:rPr>
        <w:t>.</w:t>
      </w:r>
    </w:p>
    <w:p w14:paraId="0381B986" w14:textId="0896DEDB" w:rsidR="00D238C4" w:rsidRDefault="00D238C4" w:rsidP="009E712E">
      <w:pPr>
        <w:jc w:val="center"/>
        <w:rPr>
          <w:color w:val="000000" w:themeColor="text1"/>
          <w:szCs w:val="24"/>
        </w:rPr>
      </w:pPr>
    </w:p>
    <w:p w14:paraId="1EF02066" w14:textId="77777777" w:rsidR="001B6A59" w:rsidRPr="009E712E" w:rsidRDefault="001B6A59" w:rsidP="009E712E">
      <w:pPr>
        <w:jc w:val="center"/>
        <w:rPr>
          <w:color w:val="000000" w:themeColor="text1"/>
          <w:szCs w:val="24"/>
        </w:rPr>
      </w:pPr>
    </w:p>
    <w:p w14:paraId="63D4669D" w14:textId="0F3CEB89" w:rsidR="009E712E" w:rsidRPr="00B66698" w:rsidRDefault="009E712E" w:rsidP="009E712E">
      <w:pPr>
        <w:pStyle w:val="MyTables"/>
        <w:jc w:val="center"/>
        <w:rPr>
          <w:rFonts w:cs="Times New Roman"/>
          <w:szCs w:val="24"/>
        </w:rPr>
      </w:pPr>
      <w:bookmarkStart w:id="10" w:name="_Toc79604568"/>
      <w:r w:rsidRPr="007265FA">
        <w:rPr>
          <w:rFonts w:cs="Times New Roman"/>
          <w:szCs w:val="24"/>
        </w:rPr>
        <w:t xml:space="preserve">Table </w:t>
      </w:r>
      <w:bookmarkEnd w:id="10"/>
      <w:r w:rsidR="007265FA" w:rsidRPr="007265FA">
        <w:rPr>
          <w:rFonts w:cs="Times New Roman"/>
          <w:szCs w:val="24"/>
        </w:rPr>
        <w:t>13</w:t>
      </w:r>
      <w:r w:rsidR="00D117C7" w:rsidRPr="007265FA">
        <w:rPr>
          <w:rFonts w:cs="Times New Roman"/>
          <w:szCs w:val="24"/>
        </w:rPr>
        <w:t>:</w:t>
      </w:r>
      <w:r w:rsidR="00E32146" w:rsidRPr="007265FA">
        <w:rPr>
          <w:rFonts w:cs="Times New Roman"/>
          <w:szCs w:val="24"/>
        </w:rPr>
        <w:t xml:space="preserve"> </w:t>
      </w:r>
      <w:r w:rsidR="00035805" w:rsidRPr="007265FA">
        <w:rPr>
          <w:rFonts w:cs="Times New Roman"/>
          <w:szCs w:val="24"/>
        </w:rPr>
        <w:t xml:space="preserve">Number of </w:t>
      </w:r>
      <w:r w:rsidR="002B3F18" w:rsidRPr="007265FA">
        <w:rPr>
          <w:rFonts w:cs="Times New Roman"/>
          <w:szCs w:val="24"/>
        </w:rPr>
        <w:t xml:space="preserve">JC testing </w:t>
      </w:r>
      <w:r w:rsidR="00E32146" w:rsidRPr="007265FA">
        <w:rPr>
          <w:rFonts w:cs="Times New Roman"/>
          <w:szCs w:val="24"/>
        </w:rPr>
        <w:t xml:space="preserve">cointegrated scenarios for </w:t>
      </w:r>
      <w:r w:rsidR="002B3F18" w:rsidRPr="007265FA">
        <w:rPr>
          <w:rFonts w:cs="Times New Roman"/>
          <w:szCs w:val="24"/>
        </w:rPr>
        <w:t xml:space="preserve">GHGpc </w:t>
      </w:r>
      <w:r w:rsidR="00E32146" w:rsidRPr="007265FA">
        <w:rPr>
          <w:rFonts w:cs="Times New Roman"/>
          <w:szCs w:val="24"/>
        </w:rPr>
        <w:t>paired</w:t>
      </w:r>
      <w:r w:rsidR="00E32146" w:rsidRPr="002B3F18">
        <w:rPr>
          <w:rFonts w:cs="Times New Roman"/>
          <w:szCs w:val="24"/>
        </w:rPr>
        <w:t xml:space="preserve"> </w:t>
      </w:r>
      <w:r w:rsidR="002B3F18" w:rsidRPr="002B3F18">
        <w:rPr>
          <w:rFonts w:cs="Times New Roman"/>
          <w:szCs w:val="24"/>
        </w:rPr>
        <w:t>with GDP and GDP-Alternative measures</w:t>
      </w:r>
      <w:r w:rsidR="00E32146" w:rsidRPr="002B3F18">
        <w:rPr>
          <w:rFonts w:cs="Times New Roman"/>
          <w:szCs w:val="24"/>
        </w:rPr>
        <w:t xml:space="preserve"> </w:t>
      </w:r>
    </w:p>
    <w:tbl>
      <w:tblPr>
        <w:tblStyle w:val="TableGrid"/>
        <w:tblW w:w="7920" w:type="dxa"/>
        <w:tblInd w:w="-5" w:type="dxa"/>
        <w:tblBorders>
          <w:insideV w:val="none" w:sz="0" w:space="0" w:color="auto"/>
        </w:tblBorders>
        <w:tblLayout w:type="fixed"/>
        <w:tblLook w:val="04A0" w:firstRow="1" w:lastRow="0" w:firstColumn="1" w:lastColumn="0" w:noHBand="0" w:noVBand="1"/>
      </w:tblPr>
      <w:tblGrid>
        <w:gridCol w:w="2610"/>
        <w:gridCol w:w="5310"/>
      </w:tblGrid>
      <w:tr w:rsidR="00651443" w:rsidRPr="002B3F18" w14:paraId="6E7AA2AA" w14:textId="77777777" w:rsidTr="00651443">
        <w:trPr>
          <w:trHeight w:val="431"/>
        </w:trPr>
        <w:tc>
          <w:tcPr>
            <w:tcW w:w="2610" w:type="dxa"/>
            <w:vAlign w:val="center"/>
          </w:tcPr>
          <w:p w14:paraId="3FFC998F" w14:textId="77777777" w:rsidR="00651443" w:rsidRPr="002B3F18" w:rsidRDefault="00651443" w:rsidP="002B3F18">
            <w:pPr>
              <w:jc w:val="center"/>
              <w:rPr>
                <w:color w:val="000000" w:themeColor="text1"/>
              </w:rPr>
            </w:pPr>
            <w:r w:rsidRPr="002B3F18">
              <w:rPr>
                <w:color w:val="000000" w:themeColor="text1"/>
              </w:rPr>
              <w:t>Variables</w:t>
            </w:r>
          </w:p>
        </w:tc>
        <w:tc>
          <w:tcPr>
            <w:tcW w:w="5310" w:type="dxa"/>
            <w:vAlign w:val="center"/>
          </w:tcPr>
          <w:p w14:paraId="589BDD03" w14:textId="77777777" w:rsidR="00651443" w:rsidRPr="002B3F18" w:rsidRDefault="00651443" w:rsidP="002B3F18">
            <w:pPr>
              <w:jc w:val="center"/>
              <w:rPr>
                <w:color w:val="000000" w:themeColor="text1"/>
              </w:rPr>
            </w:pPr>
            <w:r w:rsidRPr="002B3F18">
              <w:rPr>
                <w:color w:val="000000" w:themeColor="text1"/>
              </w:rPr>
              <w:t>Number of Scenarios with Cointegrated Relationships</w:t>
            </w:r>
          </w:p>
        </w:tc>
      </w:tr>
      <w:tr w:rsidR="00651443" w:rsidRPr="002B3F18" w14:paraId="2F8B5BCC" w14:textId="77777777" w:rsidTr="00651443">
        <w:tc>
          <w:tcPr>
            <w:tcW w:w="2610" w:type="dxa"/>
            <w:vAlign w:val="center"/>
          </w:tcPr>
          <w:p w14:paraId="71BF4725" w14:textId="77777777" w:rsidR="00651443" w:rsidRPr="002B3F18" w:rsidRDefault="00651443" w:rsidP="002B3F18">
            <w:pPr>
              <w:jc w:val="center"/>
              <w:rPr>
                <w:color w:val="000000" w:themeColor="text1"/>
              </w:rPr>
            </w:pPr>
            <w:r w:rsidRPr="002B3F18">
              <w:rPr>
                <w:color w:val="000000" w:themeColor="text1"/>
              </w:rPr>
              <w:t>GHGpc vs GDPpc</w:t>
            </w:r>
          </w:p>
        </w:tc>
        <w:tc>
          <w:tcPr>
            <w:tcW w:w="5310" w:type="dxa"/>
            <w:vAlign w:val="center"/>
          </w:tcPr>
          <w:p w14:paraId="52194C27" w14:textId="77777777" w:rsidR="00651443" w:rsidRPr="002B3F18" w:rsidRDefault="00651443" w:rsidP="002B3F18">
            <w:pPr>
              <w:jc w:val="center"/>
              <w:rPr>
                <w:color w:val="000000" w:themeColor="text1"/>
              </w:rPr>
            </w:pPr>
            <w:r w:rsidRPr="002B3F18">
              <w:rPr>
                <w:color w:val="000000" w:themeColor="text1"/>
              </w:rPr>
              <w:t>4</w:t>
            </w:r>
          </w:p>
        </w:tc>
      </w:tr>
      <w:tr w:rsidR="00651443" w:rsidRPr="002B3F18" w14:paraId="5B56F6F2" w14:textId="77777777" w:rsidTr="00651443">
        <w:tc>
          <w:tcPr>
            <w:tcW w:w="2610" w:type="dxa"/>
            <w:vAlign w:val="center"/>
          </w:tcPr>
          <w:p w14:paraId="104D5C9B" w14:textId="77777777" w:rsidR="00651443" w:rsidRPr="002B3F18" w:rsidRDefault="00651443" w:rsidP="002B3F18">
            <w:pPr>
              <w:jc w:val="center"/>
              <w:rPr>
                <w:color w:val="000000" w:themeColor="text1"/>
              </w:rPr>
            </w:pPr>
            <w:r w:rsidRPr="002B3F18">
              <w:rPr>
                <w:color w:val="000000" w:themeColor="text1"/>
              </w:rPr>
              <w:lastRenderedPageBreak/>
              <w:t>GHGpc vs GNDIpc</w:t>
            </w:r>
          </w:p>
        </w:tc>
        <w:tc>
          <w:tcPr>
            <w:tcW w:w="5310" w:type="dxa"/>
            <w:vAlign w:val="center"/>
          </w:tcPr>
          <w:p w14:paraId="02E66255" w14:textId="77777777" w:rsidR="00651443" w:rsidRPr="002B3F18" w:rsidRDefault="00651443" w:rsidP="002B3F18">
            <w:pPr>
              <w:jc w:val="center"/>
              <w:rPr>
                <w:color w:val="000000" w:themeColor="text1"/>
              </w:rPr>
            </w:pPr>
            <w:r w:rsidRPr="002B3F18">
              <w:rPr>
                <w:color w:val="000000" w:themeColor="text1"/>
              </w:rPr>
              <w:t>4</w:t>
            </w:r>
          </w:p>
        </w:tc>
      </w:tr>
      <w:tr w:rsidR="00651443" w:rsidRPr="002B3F18" w14:paraId="1935DB29" w14:textId="77777777" w:rsidTr="00651443">
        <w:tc>
          <w:tcPr>
            <w:tcW w:w="2610" w:type="dxa"/>
            <w:vAlign w:val="center"/>
          </w:tcPr>
          <w:p w14:paraId="324C983B" w14:textId="77777777" w:rsidR="00651443" w:rsidRPr="002B3F18" w:rsidRDefault="00651443" w:rsidP="002B3F18">
            <w:pPr>
              <w:jc w:val="center"/>
              <w:rPr>
                <w:color w:val="000000" w:themeColor="text1"/>
              </w:rPr>
            </w:pPr>
            <w:r w:rsidRPr="002B3F18">
              <w:rPr>
                <w:color w:val="000000" w:themeColor="text1"/>
              </w:rPr>
              <w:t>GHGpc vs HDI</w:t>
            </w:r>
          </w:p>
        </w:tc>
        <w:tc>
          <w:tcPr>
            <w:tcW w:w="5310" w:type="dxa"/>
            <w:vAlign w:val="center"/>
          </w:tcPr>
          <w:p w14:paraId="3F78D2A5" w14:textId="77777777" w:rsidR="00651443" w:rsidRPr="002B3F18" w:rsidRDefault="00651443" w:rsidP="002B3F18">
            <w:pPr>
              <w:jc w:val="center"/>
              <w:rPr>
                <w:color w:val="000000" w:themeColor="text1"/>
              </w:rPr>
            </w:pPr>
            <w:r w:rsidRPr="002B3F18">
              <w:rPr>
                <w:color w:val="000000" w:themeColor="text1"/>
              </w:rPr>
              <w:t>2</w:t>
            </w:r>
          </w:p>
        </w:tc>
      </w:tr>
      <w:tr w:rsidR="00651443" w:rsidRPr="002B3F18" w14:paraId="2B59EB5F" w14:textId="77777777" w:rsidTr="00651443">
        <w:tc>
          <w:tcPr>
            <w:tcW w:w="2610" w:type="dxa"/>
            <w:vAlign w:val="center"/>
          </w:tcPr>
          <w:p w14:paraId="568C6510" w14:textId="77777777" w:rsidR="00651443" w:rsidRPr="002B3F18" w:rsidRDefault="00651443" w:rsidP="002B3F18">
            <w:pPr>
              <w:jc w:val="center"/>
              <w:rPr>
                <w:color w:val="000000" w:themeColor="text1"/>
              </w:rPr>
            </w:pPr>
            <w:r w:rsidRPr="002B3F18">
              <w:rPr>
                <w:color w:val="000000" w:themeColor="text1"/>
              </w:rPr>
              <w:t>GHGpc vs IEF</w:t>
            </w:r>
          </w:p>
        </w:tc>
        <w:tc>
          <w:tcPr>
            <w:tcW w:w="5310" w:type="dxa"/>
            <w:vAlign w:val="center"/>
          </w:tcPr>
          <w:p w14:paraId="630E016F" w14:textId="77777777" w:rsidR="00651443" w:rsidRPr="002B3F18" w:rsidRDefault="00651443" w:rsidP="002B3F18">
            <w:pPr>
              <w:jc w:val="center"/>
              <w:rPr>
                <w:color w:val="000000" w:themeColor="text1"/>
              </w:rPr>
            </w:pPr>
            <w:r w:rsidRPr="002B3F18">
              <w:rPr>
                <w:color w:val="000000" w:themeColor="text1"/>
              </w:rPr>
              <w:t>5</w:t>
            </w:r>
          </w:p>
        </w:tc>
      </w:tr>
    </w:tbl>
    <w:p w14:paraId="3DA54047" w14:textId="44F863DD" w:rsidR="009E712E" w:rsidRDefault="009E712E" w:rsidP="0071405A">
      <w:pPr>
        <w:jc w:val="left"/>
        <w:rPr>
          <w:color w:val="000000" w:themeColor="text1"/>
          <w:szCs w:val="24"/>
        </w:rPr>
      </w:pPr>
      <w:r w:rsidRPr="009E712E">
        <w:rPr>
          <w:i/>
          <w:iCs/>
          <w:color w:val="000000" w:themeColor="text1"/>
          <w:szCs w:val="24"/>
        </w:rPr>
        <w:t>Note:</w:t>
      </w:r>
      <w:r w:rsidRPr="009E712E">
        <w:rPr>
          <w:color w:val="000000" w:themeColor="text1"/>
          <w:szCs w:val="24"/>
        </w:rPr>
        <w:t xml:space="preserve"> This summary table was derived from Table </w:t>
      </w:r>
      <w:r w:rsidRPr="007265FA">
        <w:rPr>
          <w:color w:val="000000" w:themeColor="text1"/>
          <w:szCs w:val="24"/>
        </w:rPr>
        <w:t>1</w:t>
      </w:r>
      <w:r w:rsidR="007265FA" w:rsidRPr="007265FA">
        <w:rPr>
          <w:color w:val="000000" w:themeColor="text1"/>
          <w:szCs w:val="24"/>
        </w:rPr>
        <w:t>2</w:t>
      </w:r>
      <w:r w:rsidR="009E6B4B">
        <w:rPr>
          <w:color w:val="000000" w:themeColor="text1"/>
          <w:szCs w:val="24"/>
        </w:rPr>
        <w:t xml:space="preserve"> above</w:t>
      </w:r>
      <w:r w:rsidRPr="009E712E">
        <w:rPr>
          <w:color w:val="000000" w:themeColor="text1"/>
          <w:szCs w:val="24"/>
        </w:rPr>
        <w:t>.</w:t>
      </w:r>
    </w:p>
    <w:p w14:paraId="0390D4FA" w14:textId="4EE8E7D5" w:rsidR="007A2A28" w:rsidRDefault="007A2A28" w:rsidP="0071405A">
      <w:pPr>
        <w:jc w:val="left"/>
        <w:rPr>
          <w:color w:val="000000" w:themeColor="text1"/>
          <w:szCs w:val="24"/>
        </w:rPr>
      </w:pPr>
    </w:p>
    <w:p w14:paraId="4A13954F" w14:textId="6C53DC7A" w:rsidR="00FE6E57" w:rsidRDefault="00FE6E57" w:rsidP="0071405A">
      <w:pPr>
        <w:jc w:val="left"/>
        <w:rPr>
          <w:b/>
          <w:bCs/>
          <w:color w:val="000000" w:themeColor="text1"/>
          <w:szCs w:val="24"/>
        </w:rPr>
      </w:pPr>
    </w:p>
    <w:p w14:paraId="683E19EC" w14:textId="31CDA10D" w:rsidR="00FE6E57" w:rsidRDefault="00FE6E57" w:rsidP="008E7AC8">
      <w:pPr>
        <w:spacing w:after="120"/>
        <w:jc w:val="center"/>
        <w:rPr>
          <w:rFonts w:eastAsiaTheme="minorHAnsi"/>
          <w:b/>
          <w:bCs/>
          <w:iCs/>
          <w:color w:val="000000" w:themeColor="text1"/>
          <w:szCs w:val="24"/>
          <w:lang w:eastAsia="en-US"/>
        </w:rPr>
      </w:pPr>
      <w:r w:rsidRPr="00FE6E57">
        <w:rPr>
          <w:rFonts w:eastAsiaTheme="minorHAnsi"/>
          <w:b/>
          <w:bCs/>
          <w:iCs/>
          <w:color w:val="000000" w:themeColor="text1"/>
          <w:szCs w:val="24"/>
          <w:lang w:eastAsia="en-US"/>
        </w:rPr>
        <w:t>Table 1</w:t>
      </w:r>
      <w:r>
        <w:rPr>
          <w:rFonts w:eastAsiaTheme="minorHAnsi"/>
          <w:b/>
          <w:bCs/>
          <w:iCs/>
          <w:color w:val="000000" w:themeColor="text1"/>
          <w:szCs w:val="24"/>
          <w:lang w:eastAsia="en-US"/>
        </w:rPr>
        <w:t>4</w:t>
      </w:r>
      <w:r w:rsidRPr="00FE6E57">
        <w:rPr>
          <w:rFonts w:eastAsiaTheme="minorHAnsi"/>
          <w:b/>
          <w:bCs/>
          <w:iCs/>
          <w:color w:val="000000" w:themeColor="text1"/>
          <w:szCs w:val="24"/>
          <w:lang w:eastAsia="en-US"/>
        </w:rPr>
        <w:t>: ECM result for GHGpc and GDPpc</w:t>
      </w:r>
    </w:p>
    <w:tbl>
      <w:tblPr>
        <w:tblStyle w:val="TableGrid"/>
        <w:tblW w:w="8185" w:type="dxa"/>
        <w:jc w:val="center"/>
        <w:tblBorders>
          <w:insideV w:val="none" w:sz="0" w:space="0" w:color="auto"/>
        </w:tblBorders>
        <w:tblLayout w:type="fixed"/>
        <w:tblLook w:val="04A0" w:firstRow="1" w:lastRow="0" w:firstColumn="1" w:lastColumn="0" w:noHBand="0" w:noVBand="1"/>
      </w:tblPr>
      <w:tblGrid>
        <w:gridCol w:w="1705"/>
        <w:gridCol w:w="1620"/>
        <w:gridCol w:w="1440"/>
        <w:gridCol w:w="1080"/>
        <w:gridCol w:w="900"/>
        <w:gridCol w:w="1440"/>
      </w:tblGrid>
      <w:tr w:rsidR="0065115D" w:rsidRPr="00E31A5B" w14:paraId="3066DED5" w14:textId="77777777" w:rsidTr="0065115D">
        <w:trPr>
          <w:trHeight w:val="431"/>
          <w:jc w:val="center"/>
        </w:trPr>
        <w:tc>
          <w:tcPr>
            <w:tcW w:w="1705" w:type="dxa"/>
            <w:vAlign w:val="center"/>
          </w:tcPr>
          <w:p w14:paraId="29438032" w14:textId="77777777" w:rsidR="00FE6E57" w:rsidRPr="004406DC" w:rsidRDefault="00FE6E57" w:rsidP="004406DC">
            <w:pPr>
              <w:jc w:val="center"/>
              <w:rPr>
                <w:color w:val="000000" w:themeColor="text1"/>
              </w:rPr>
            </w:pPr>
            <w:r w:rsidRPr="004406DC">
              <w:rPr>
                <w:color w:val="000000" w:themeColor="text1"/>
              </w:rPr>
              <w:t>Variable</w:t>
            </w:r>
          </w:p>
        </w:tc>
        <w:tc>
          <w:tcPr>
            <w:tcW w:w="1620" w:type="dxa"/>
            <w:vAlign w:val="center"/>
          </w:tcPr>
          <w:p w14:paraId="1D99C8DF" w14:textId="77777777" w:rsidR="00FE6E57" w:rsidRPr="004406DC" w:rsidRDefault="00FE6E57" w:rsidP="004406DC">
            <w:pPr>
              <w:jc w:val="center"/>
              <w:rPr>
                <w:color w:val="000000" w:themeColor="text1"/>
              </w:rPr>
            </w:pPr>
            <w:r w:rsidRPr="004406DC">
              <w:rPr>
                <w:color w:val="000000" w:themeColor="text1"/>
              </w:rPr>
              <w:t>Coefficient</w:t>
            </w:r>
          </w:p>
        </w:tc>
        <w:tc>
          <w:tcPr>
            <w:tcW w:w="1440" w:type="dxa"/>
            <w:vAlign w:val="center"/>
          </w:tcPr>
          <w:p w14:paraId="2FBBCA29" w14:textId="77777777" w:rsidR="00FE6E57" w:rsidRPr="004406DC" w:rsidRDefault="00FE6E57" w:rsidP="004406DC">
            <w:pPr>
              <w:jc w:val="center"/>
              <w:rPr>
                <w:color w:val="000000" w:themeColor="text1"/>
              </w:rPr>
            </w:pPr>
            <w:r w:rsidRPr="004406DC">
              <w:rPr>
                <w:color w:val="000000" w:themeColor="text1"/>
              </w:rPr>
              <w:t>Std. error</w:t>
            </w:r>
          </w:p>
        </w:tc>
        <w:tc>
          <w:tcPr>
            <w:tcW w:w="1080" w:type="dxa"/>
            <w:vAlign w:val="center"/>
          </w:tcPr>
          <w:p w14:paraId="524754BF" w14:textId="77777777" w:rsidR="00FE6E57" w:rsidRPr="004406DC" w:rsidRDefault="00FE6E57" w:rsidP="004406DC">
            <w:pPr>
              <w:jc w:val="center"/>
              <w:rPr>
                <w:color w:val="000000" w:themeColor="text1"/>
              </w:rPr>
            </w:pPr>
            <w:r w:rsidRPr="004406DC">
              <w:rPr>
                <w:color w:val="000000" w:themeColor="text1"/>
              </w:rPr>
              <w:t>t-ratio</w:t>
            </w:r>
          </w:p>
        </w:tc>
        <w:tc>
          <w:tcPr>
            <w:tcW w:w="900" w:type="dxa"/>
            <w:vAlign w:val="center"/>
          </w:tcPr>
          <w:p w14:paraId="158AF2AA" w14:textId="77777777" w:rsidR="00FE6E57" w:rsidRPr="004406DC" w:rsidRDefault="00FE6E57" w:rsidP="004406DC">
            <w:pPr>
              <w:jc w:val="center"/>
              <w:rPr>
                <w:color w:val="000000" w:themeColor="text1"/>
              </w:rPr>
            </w:pPr>
            <w:r w:rsidRPr="004406DC">
              <w:rPr>
                <w:color w:val="000000" w:themeColor="text1"/>
              </w:rPr>
              <w:t>p-value</w:t>
            </w:r>
          </w:p>
        </w:tc>
        <w:tc>
          <w:tcPr>
            <w:tcW w:w="1440" w:type="dxa"/>
            <w:vAlign w:val="center"/>
          </w:tcPr>
          <w:p w14:paraId="0E8C1DFB" w14:textId="77777777" w:rsidR="00FE6E57" w:rsidRPr="004406DC" w:rsidRDefault="00FE6E57" w:rsidP="004406DC">
            <w:pPr>
              <w:jc w:val="center"/>
              <w:rPr>
                <w:color w:val="000000" w:themeColor="text1"/>
              </w:rPr>
            </w:pPr>
            <w:r w:rsidRPr="004406DC">
              <w:rPr>
                <w:color w:val="000000" w:themeColor="text1"/>
              </w:rPr>
              <w:t>Significance level</w:t>
            </w:r>
          </w:p>
        </w:tc>
      </w:tr>
      <w:tr w:rsidR="0065115D" w:rsidRPr="00E31A5B" w14:paraId="3D8679B4" w14:textId="77777777" w:rsidTr="00EF12DD">
        <w:trPr>
          <w:jc w:val="center"/>
        </w:trPr>
        <w:tc>
          <w:tcPr>
            <w:tcW w:w="1705" w:type="dxa"/>
            <w:shd w:val="clear" w:color="auto" w:fill="auto"/>
          </w:tcPr>
          <w:p w14:paraId="757F5124" w14:textId="77777777" w:rsidR="00FE6E57" w:rsidRPr="00EF12DD" w:rsidRDefault="00FE6E57" w:rsidP="004406DC">
            <w:pPr>
              <w:jc w:val="center"/>
              <w:rPr>
                <w:color w:val="000000" w:themeColor="text1"/>
              </w:rPr>
            </w:pPr>
            <w:r w:rsidRPr="00EF12DD">
              <w:rPr>
                <w:color w:val="000000" w:themeColor="text1"/>
              </w:rPr>
              <w:t>d_GDPpc_1</w:t>
            </w:r>
          </w:p>
        </w:tc>
        <w:tc>
          <w:tcPr>
            <w:tcW w:w="1620" w:type="dxa"/>
          </w:tcPr>
          <w:p w14:paraId="3058C206" w14:textId="77777777" w:rsidR="00FE6E57" w:rsidRPr="004406DC" w:rsidRDefault="00FE6E57" w:rsidP="004406DC">
            <w:pPr>
              <w:jc w:val="center"/>
              <w:rPr>
                <w:color w:val="000000" w:themeColor="text1"/>
              </w:rPr>
            </w:pPr>
            <w:r w:rsidRPr="004406DC">
              <w:rPr>
                <w:color w:val="000000" w:themeColor="text1"/>
              </w:rPr>
              <w:t>−4.60906e-05</w:t>
            </w:r>
          </w:p>
        </w:tc>
        <w:tc>
          <w:tcPr>
            <w:tcW w:w="1440" w:type="dxa"/>
          </w:tcPr>
          <w:p w14:paraId="5818220A" w14:textId="77777777" w:rsidR="00FE6E57" w:rsidRPr="004406DC" w:rsidRDefault="00FE6E57" w:rsidP="004406DC">
            <w:pPr>
              <w:jc w:val="center"/>
              <w:rPr>
                <w:color w:val="000000" w:themeColor="text1"/>
              </w:rPr>
            </w:pPr>
            <w:r w:rsidRPr="004406DC">
              <w:rPr>
                <w:color w:val="000000" w:themeColor="text1"/>
              </w:rPr>
              <w:t>5.87100e-05</w:t>
            </w:r>
          </w:p>
        </w:tc>
        <w:tc>
          <w:tcPr>
            <w:tcW w:w="1080" w:type="dxa"/>
          </w:tcPr>
          <w:p w14:paraId="30DECCE0" w14:textId="77777777" w:rsidR="00FE6E57" w:rsidRPr="004406DC" w:rsidRDefault="00FE6E57" w:rsidP="004406DC">
            <w:pPr>
              <w:jc w:val="center"/>
              <w:rPr>
                <w:color w:val="000000" w:themeColor="text1"/>
              </w:rPr>
            </w:pPr>
            <w:r w:rsidRPr="004406DC">
              <w:rPr>
                <w:color w:val="000000" w:themeColor="text1"/>
              </w:rPr>
              <w:t>−0.7851</w:t>
            </w:r>
          </w:p>
        </w:tc>
        <w:tc>
          <w:tcPr>
            <w:tcW w:w="900" w:type="dxa"/>
          </w:tcPr>
          <w:p w14:paraId="6E666EC9" w14:textId="77777777" w:rsidR="00FE6E57" w:rsidRPr="004406DC" w:rsidRDefault="00FE6E57" w:rsidP="004406DC">
            <w:pPr>
              <w:jc w:val="center"/>
              <w:rPr>
                <w:color w:val="000000" w:themeColor="text1"/>
              </w:rPr>
            </w:pPr>
            <w:r w:rsidRPr="004406DC">
              <w:rPr>
                <w:color w:val="000000" w:themeColor="text1"/>
              </w:rPr>
              <w:t>0.4416</w:t>
            </w:r>
          </w:p>
        </w:tc>
        <w:tc>
          <w:tcPr>
            <w:tcW w:w="1440" w:type="dxa"/>
          </w:tcPr>
          <w:p w14:paraId="6AB504CF" w14:textId="77777777" w:rsidR="00FE6E57" w:rsidRPr="004406DC" w:rsidRDefault="00FE6E57" w:rsidP="004406DC">
            <w:pPr>
              <w:jc w:val="center"/>
              <w:rPr>
                <w:color w:val="000000" w:themeColor="text1"/>
              </w:rPr>
            </w:pPr>
          </w:p>
        </w:tc>
      </w:tr>
      <w:tr w:rsidR="0065115D" w:rsidRPr="00E31A5B" w14:paraId="4ACE76EB" w14:textId="77777777" w:rsidTr="00EF12DD">
        <w:trPr>
          <w:jc w:val="center"/>
        </w:trPr>
        <w:tc>
          <w:tcPr>
            <w:tcW w:w="1705" w:type="dxa"/>
            <w:shd w:val="clear" w:color="auto" w:fill="auto"/>
          </w:tcPr>
          <w:p w14:paraId="6AF7B592" w14:textId="77777777" w:rsidR="00FE6E57" w:rsidRPr="00EF12DD" w:rsidRDefault="00FE6E57" w:rsidP="004406DC">
            <w:pPr>
              <w:jc w:val="center"/>
              <w:rPr>
                <w:color w:val="000000" w:themeColor="text1"/>
              </w:rPr>
            </w:pPr>
            <w:r w:rsidRPr="00EF12DD">
              <w:rPr>
                <w:color w:val="000000" w:themeColor="text1"/>
              </w:rPr>
              <w:t>e_GHGGDP_1</w:t>
            </w:r>
          </w:p>
        </w:tc>
        <w:tc>
          <w:tcPr>
            <w:tcW w:w="1620" w:type="dxa"/>
          </w:tcPr>
          <w:p w14:paraId="3BFD914F" w14:textId="77777777" w:rsidR="00FE6E57" w:rsidRPr="004406DC" w:rsidRDefault="00FE6E57" w:rsidP="004406DC">
            <w:pPr>
              <w:jc w:val="center"/>
              <w:rPr>
                <w:color w:val="000000" w:themeColor="text1"/>
              </w:rPr>
            </w:pPr>
            <w:r w:rsidRPr="004406DC">
              <w:rPr>
                <w:color w:val="000000" w:themeColor="text1"/>
              </w:rPr>
              <w:t>−0.313417</w:t>
            </w:r>
          </w:p>
        </w:tc>
        <w:tc>
          <w:tcPr>
            <w:tcW w:w="1440" w:type="dxa"/>
          </w:tcPr>
          <w:p w14:paraId="09BC5380" w14:textId="77777777" w:rsidR="00FE6E57" w:rsidRPr="004406DC" w:rsidRDefault="00FE6E57" w:rsidP="004406DC">
            <w:pPr>
              <w:jc w:val="center"/>
              <w:rPr>
                <w:color w:val="000000" w:themeColor="text1"/>
              </w:rPr>
            </w:pPr>
            <w:r w:rsidRPr="004406DC">
              <w:rPr>
                <w:color w:val="000000" w:themeColor="text1"/>
              </w:rPr>
              <w:t>0.122655</w:t>
            </w:r>
          </w:p>
        </w:tc>
        <w:tc>
          <w:tcPr>
            <w:tcW w:w="1080" w:type="dxa"/>
          </w:tcPr>
          <w:p w14:paraId="18DC1A23" w14:textId="77777777" w:rsidR="00FE6E57" w:rsidRPr="004406DC" w:rsidRDefault="00FE6E57" w:rsidP="004406DC">
            <w:pPr>
              <w:jc w:val="center"/>
              <w:rPr>
                <w:color w:val="000000" w:themeColor="text1"/>
              </w:rPr>
            </w:pPr>
            <w:r w:rsidRPr="004406DC">
              <w:rPr>
                <w:color w:val="000000" w:themeColor="text1"/>
              </w:rPr>
              <w:t>−2.5550</w:t>
            </w:r>
          </w:p>
        </w:tc>
        <w:tc>
          <w:tcPr>
            <w:tcW w:w="900" w:type="dxa"/>
          </w:tcPr>
          <w:p w14:paraId="4EE372E0" w14:textId="77777777" w:rsidR="00FE6E57" w:rsidRPr="004406DC" w:rsidRDefault="00FE6E57" w:rsidP="004406DC">
            <w:pPr>
              <w:jc w:val="center"/>
              <w:rPr>
                <w:color w:val="000000" w:themeColor="text1"/>
              </w:rPr>
            </w:pPr>
            <w:r w:rsidRPr="004406DC">
              <w:rPr>
                <w:color w:val="000000" w:themeColor="text1"/>
              </w:rPr>
              <w:t>0.0189</w:t>
            </w:r>
          </w:p>
        </w:tc>
        <w:tc>
          <w:tcPr>
            <w:tcW w:w="1440" w:type="dxa"/>
          </w:tcPr>
          <w:p w14:paraId="06BAE421" w14:textId="77777777" w:rsidR="00FE6E57" w:rsidRPr="004406DC" w:rsidRDefault="00FE6E57" w:rsidP="004406DC">
            <w:pPr>
              <w:jc w:val="center"/>
              <w:rPr>
                <w:color w:val="000000" w:themeColor="text1"/>
              </w:rPr>
            </w:pPr>
            <w:r w:rsidRPr="004406DC">
              <w:rPr>
                <w:color w:val="000000" w:themeColor="text1"/>
              </w:rPr>
              <w:t>**</w:t>
            </w:r>
          </w:p>
        </w:tc>
      </w:tr>
      <w:tr w:rsidR="0065115D" w:rsidRPr="00E31A5B" w14:paraId="0D6A9D06" w14:textId="77777777" w:rsidTr="00EF12DD">
        <w:trPr>
          <w:jc w:val="center"/>
        </w:trPr>
        <w:tc>
          <w:tcPr>
            <w:tcW w:w="1705" w:type="dxa"/>
            <w:shd w:val="clear" w:color="auto" w:fill="auto"/>
          </w:tcPr>
          <w:p w14:paraId="6DB4E04C" w14:textId="77777777" w:rsidR="00FE6E57" w:rsidRPr="00EF12DD" w:rsidRDefault="00FE6E57" w:rsidP="004406DC">
            <w:pPr>
              <w:jc w:val="center"/>
              <w:rPr>
                <w:color w:val="000000" w:themeColor="text1"/>
              </w:rPr>
            </w:pPr>
            <w:r w:rsidRPr="00EF12DD">
              <w:rPr>
                <w:color w:val="000000" w:themeColor="text1"/>
              </w:rPr>
              <w:t>d_GHGpc_1</w:t>
            </w:r>
          </w:p>
        </w:tc>
        <w:tc>
          <w:tcPr>
            <w:tcW w:w="1620" w:type="dxa"/>
          </w:tcPr>
          <w:p w14:paraId="4F0DB606" w14:textId="77777777" w:rsidR="00FE6E57" w:rsidRPr="004406DC" w:rsidRDefault="00FE6E57" w:rsidP="004406DC">
            <w:pPr>
              <w:jc w:val="center"/>
              <w:rPr>
                <w:color w:val="000000" w:themeColor="text1"/>
              </w:rPr>
            </w:pPr>
            <w:r w:rsidRPr="004406DC">
              <w:rPr>
                <w:color w:val="000000" w:themeColor="text1"/>
              </w:rPr>
              <w:t>0.066600</w:t>
            </w:r>
          </w:p>
        </w:tc>
        <w:tc>
          <w:tcPr>
            <w:tcW w:w="1440" w:type="dxa"/>
          </w:tcPr>
          <w:p w14:paraId="5C0CEC1B" w14:textId="77777777" w:rsidR="00FE6E57" w:rsidRPr="004406DC" w:rsidRDefault="00FE6E57" w:rsidP="004406DC">
            <w:pPr>
              <w:jc w:val="center"/>
              <w:rPr>
                <w:color w:val="000000" w:themeColor="text1"/>
              </w:rPr>
            </w:pPr>
            <w:r w:rsidRPr="004406DC">
              <w:rPr>
                <w:color w:val="000000" w:themeColor="text1"/>
              </w:rPr>
              <w:t>0.195037</w:t>
            </w:r>
          </w:p>
        </w:tc>
        <w:tc>
          <w:tcPr>
            <w:tcW w:w="1080" w:type="dxa"/>
          </w:tcPr>
          <w:p w14:paraId="76CA9F2C" w14:textId="77777777" w:rsidR="00FE6E57" w:rsidRPr="004406DC" w:rsidRDefault="00FE6E57" w:rsidP="004406DC">
            <w:pPr>
              <w:jc w:val="center"/>
              <w:rPr>
                <w:color w:val="000000" w:themeColor="text1"/>
              </w:rPr>
            </w:pPr>
            <w:r w:rsidRPr="004406DC">
              <w:rPr>
                <w:color w:val="000000" w:themeColor="text1"/>
              </w:rPr>
              <w:t>0.3415</w:t>
            </w:r>
          </w:p>
        </w:tc>
        <w:tc>
          <w:tcPr>
            <w:tcW w:w="900" w:type="dxa"/>
          </w:tcPr>
          <w:p w14:paraId="5649533E" w14:textId="77777777" w:rsidR="00FE6E57" w:rsidRPr="004406DC" w:rsidRDefault="00FE6E57" w:rsidP="004406DC">
            <w:pPr>
              <w:jc w:val="center"/>
              <w:rPr>
                <w:color w:val="000000" w:themeColor="text1"/>
              </w:rPr>
            </w:pPr>
            <w:r w:rsidRPr="004406DC">
              <w:rPr>
                <w:color w:val="000000" w:themeColor="text1"/>
              </w:rPr>
              <w:t>0.7363</w:t>
            </w:r>
          </w:p>
        </w:tc>
        <w:tc>
          <w:tcPr>
            <w:tcW w:w="1440" w:type="dxa"/>
          </w:tcPr>
          <w:p w14:paraId="560B5FE4" w14:textId="77777777" w:rsidR="00FE6E57" w:rsidRPr="004406DC" w:rsidRDefault="00FE6E57" w:rsidP="004406DC">
            <w:pPr>
              <w:jc w:val="center"/>
              <w:rPr>
                <w:color w:val="000000" w:themeColor="text1"/>
              </w:rPr>
            </w:pPr>
          </w:p>
        </w:tc>
      </w:tr>
    </w:tbl>
    <w:p w14:paraId="16C4D579" w14:textId="0CF2EEB4" w:rsidR="00DB6EF9" w:rsidRPr="009E712E" w:rsidRDefault="00FE6E57" w:rsidP="000973EA">
      <w:pPr>
        <w:jc w:val="left"/>
        <w:rPr>
          <w:color w:val="000000" w:themeColor="text1"/>
          <w:szCs w:val="24"/>
        </w:rPr>
      </w:pPr>
      <w:r w:rsidRPr="00FE6E57">
        <w:rPr>
          <w:rFonts w:eastAsiaTheme="minorHAnsi"/>
          <w:iCs/>
          <w:color w:val="000000" w:themeColor="text1"/>
          <w:szCs w:val="24"/>
          <w:lang w:eastAsia="en-US"/>
        </w:rPr>
        <w:t xml:space="preserve">Note: </w:t>
      </w:r>
      <w:r w:rsidR="00C5303A">
        <w:rPr>
          <w:rFonts w:eastAsiaTheme="minorHAnsi"/>
          <w:iCs/>
          <w:color w:val="000000" w:themeColor="text1"/>
          <w:szCs w:val="24"/>
          <w:lang w:eastAsia="en-US"/>
        </w:rPr>
        <w:t xml:space="preserve">(a) d_GDPpc_1 is the lagged difference term of the independent variable. </w:t>
      </w:r>
      <w:r w:rsidRPr="00FE6E57">
        <w:rPr>
          <w:rFonts w:eastAsiaTheme="minorHAnsi"/>
          <w:iCs/>
          <w:color w:val="000000" w:themeColor="text1"/>
          <w:szCs w:val="24"/>
          <w:lang w:eastAsia="en-US"/>
        </w:rPr>
        <w:t>(</w:t>
      </w:r>
      <w:r w:rsidR="00C5303A">
        <w:rPr>
          <w:rFonts w:eastAsiaTheme="minorHAnsi"/>
          <w:iCs/>
          <w:color w:val="000000" w:themeColor="text1"/>
          <w:szCs w:val="24"/>
          <w:lang w:eastAsia="en-US"/>
        </w:rPr>
        <w:t>b</w:t>
      </w:r>
      <w:r w:rsidRPr="00FE6E57">
        <w:rPr>
          <w:rFonts w:eastAsiaTheme="minorHAnsi"/>
          <w:iCs/>
          <w:color w:val="000000" w:themeColor="text1"/>
          <w:szCs w:val="24"/>
          <w:lang w:eastAsia="en-US"/>
        </w:rPr>
        <w:t xml:space="preserve">) </w:t>
      </w:r>
      <w:r w:rsidR="00F30FB0">
        <w:rPr>
          <w:rFonts w:eastAsiaTheme="minorHAnsi"/>
          <w:iCs/>
          <w:color w:val="000000" w:themeColor="text1"/>
          <w:szCs w:val="24"/>
          <w:lang w:eastAsia="en-US"/>
        </w:rPr>
        <w:t>e_GHGGDP_1</w:t>
      </w:r>
      <w:r w:rsidRPr="00FE6E57">
        <w:rPr>
          <w:rFonts w:eastAsiaTheme="minorHAnsi"/>
          <w:iCs/>
          <w:color w:val="000000" w:themeColor="text1"/>
          <w:szCs w:val="24"/>
          <w:lang w:eastAsia="en-US"/>
        </w:rPr>
        <w:t xml:space="preserve"> is the lagged residual of the ECM.</w:t>
      </w:r>
      <w:r w:rsidR="00C5303A">
        <w:rPr>
          <w:rFonts w:eastAsiaTheme="minorHAnsi"/>
          <w:iCs/>
          <w:color w:val="000000" w:themeColor="text1"/>
          <w:szCs w:val="24"/>
          <w:lang w:eastAsia="en-US"/>
        </w:rPr>
        <w:t xml:space="preserve"> (c) d_GHGpc_1 is the lagged difference term of the dependent variable. </w:t>
      </w:r>
      <w:r w:rsidRPr="00FE6E57">
        <w:rPr>
          <w:rFonts w:eastAsiaTheme="minorHAnsi"/>
          <w:iCs/>
          <w:color w:val="000000" w:themeColor="text1"/>
          <w:szCs w:val="24"/>
          <w:lang w:eastAsia="en-US"/>
        </w:rPr>
        <w:t>(</w:t>
      </w:r>
      <w:r w:rsidR="00C5303A">
        <w:rPr>
          <w:rFonts w:eastAsiaTheme="minorHAnsi"/>
          <w:iCs/>
          <w:color w:val="000000" w:themeColor="text1"/>
          <w:szCs w:val="24"/>
          <w:lang w:eastAsia="en-US"/>
        </w:rPr>
        <w:t>d</w:t>
      </w:r>
      <w:r w:rsidRPr="00FE6E57">
        <w:rPr>
          <w:rFonts w:eastAsiaTheme="minorHAnsi"/>
          <w:iCs/>
          <w:color w:val="000000" w:themeColor="text1"/>
          <w:szCs w:val="24"/>
          <w:lang w:eastAsia="en-US"/>
        </w:rPr>
        <w:t>) Std. error is the standard error. (</w:t>
      </w:r>
      <w:r w:rsidR="00C5303A">
        <w:rPr>
          <w:rFonts w:eastAsiaTheme="minorHAnsi"/>
          <w:iCs/>
          <w:color w:val="000000" w:themeColor="text1"/>
          <w:szCs w:val="24"/>
          <w:lang w:eastAsia="en-US"/>
        </w:rPr>
        <w:t>e</w:t>
      </w:r>
      <w:r w:rsidRPr="00FE6E57">
        <w:rPr>
          <w:rFonts w:eastAsiaTheme="minorHAnsi"/>
          <w:iCs/>
          <w:color w:val="000000" w:themeColor="text1"/>
          <w:szCs w:val="24"/>
          <w:lang w:eastAsia="en-US"/>
        </w:rPr>
        <w:t>) *</w:t>
      </w:r>
      <w:r w:rsidR="00F30FB0">
        <w:rPr>
          <w:rFonts w:eastAsiaTheme="minorHAnsi"/>
          <w:iCs/>
          <w:color w:val="000000" w:themeColor="text1"/>
          <w:szCs w:val="24"/>
          <w:lang w:eastAsia="en-US"/>
        </w:rPr>
        <w:t>*</w:t>
      </w:r>
      <w:r w:rsidRPr="00FE6E57">
        <w:rPr>
          <w:rFonts w:eastAsiaTheme="minorHAnsi"/>
          <w:iCs/>
          <w:color w:val="000000" w:themeColor="text1"/>
          <w:szCs w:val="24"/>
          <w:lang w:eastAsia="en-US"/>
        </w:rPr>
        <w:t xml:space="preserve"> denotes significance at the 5% level. </w:t>
      </w:r>
      <w:r w:rsidR="000973EA">
        <w:rPr>
          <w:rFonts w:eastAsiaTheme="minorHAnsi"/>
          <w:iCs/>
          <w:color w:val="000000" w:themeColor="text1"/>
          <w:szCs w:val="24"/>
          <w:lang w:eastAsia="en-US"/>
        </w:rPr>
        <w:t xml:space="preserve">Notes (a), (b), and (c) </w:t>
      </w:r>
      <w:r w:rsidR="000973EA" w:rsidRPr="00FE6E57">
        <w:rPr>
          <w:rFonts w:eastAsiaTheme="minorHAnsi"/>
          <w:iCs/>
          <w:color w:val="000000" w:themeColor="text1"/>
          <w:szCs w:val="24"/>
          <w:lang w:eastAsia="en-US"/>
        </w:rPr>
        <w:t>appl</w:t>
      </w:r>
      <w:r w:rsidR="000973EA">
        <w:rPr>
          <w:rFonts w:eastAsiaTheme="minorHAnsi"/>
          <w:iCs/>
          <w:color w:val="000000" w:themeColor="text1"/>
          <w:szCs w:val="24"/>
          <w:lang w:eastAsia="en-US"/>
        </w:rPr>
        <w:t>y</w:t>
      </w:r>
      <w:r w:rsidR="000973EA" w:rsidRPr="00FE6E57">
        <w:rPr>
          <w:rFonts w:eastAsiaTheme="minorHAnsi"/>
          <w:iCs/>
          <w:color w:val="000000" w:themeColor="text1"/>
          <w:szCs w:val="24"/>
          <w:lang w:eastAsia="en-US"/>
        </w:rPr>
        <w:t xml:space="preserve"> to all the other ECM result</w:t>
      </w:r>
      <w:r w:rsidR="000973EA">
        <w:rPr>
          <w:rFonts w:eastAsiaTheme="minorHAnsi"/>
          <w:iCs/>
          <w:color w:val="000000" w:themeColor="text1"/>
          <w:szCs w:val="24"/>
          <w:lang w:eastAsia="en-US"/>
        </w:rPr>
        <w:t>s</w:t>
      </w:r>
      <w:r w:rsidR="00EF12DD">
        <w:rPr>
          <w:rFonts w:eastAsiaTheme="minorHAnsi"/>
          <w:iCs/>
          <w:color w:val="000000" w:themeColor="text1"/>
          <w:szCs w:val="24"/>
          <w:lang w:eastAsia="en-US"/>
        </w:rPr>
        <w:t xml:space="preserve"> in </w:t>
      </w:r>
      <w:r w:rsidR="000973EA">
        <w:rPr>
          <w:rFonts w:eastAsiaTheme="minorHAnsi"/>
          <w:iCs/>
          <w:color w:val="000000" w:themeColor="text1"/>
          <w:szCs w:val="24"/>
          <w:lang w:eastAsia="en-US"/>
        </w:rPr>
        <w:t>T</w:t>
      </w:r>
      <w:r w:rsidR="000973EA" w:rsidRPr="00FE6E57">
        <w:rPr>
          <w:rFonts w:eastAsiaTheme="minorHAnsi"/>
          <w:iCs/>
          <w:color w:val="000000" w:themeColor="text1"/>
          <w:szCs w:val="24"/>
          <w:lang w:eastAsia="en-US"/>
        </w:rPr>
        <w:t>ables</w:t>
      </w:r>
      <w:r w:rsidR="000973EA">
        <w:rPr>
          <w:rFonts w:eastAsiaTheme="minorHAnsi"/>
          <w:iCs/>
          <w:color w:val="000000" w:themeColor="text1"/>
          <w:szCs w:val="24"/>
          <w:lang w:eastAsia="en-US"/>
        </w:rPr>
        <w:t xml:space="preserve"> 15 </w:t>
      </w:r>
      <w:r w:rsidR="00EF12DD">
        <w:rPr>
          <w:rFonts w:eastAsiaTheme="minorHAnsi"/>
          <w:iCs/>
          <w:color w:val="000000" w:themeColor="text1"/>
          <w:szCs w:val="24"/>
          <w:lang w:eastAsia="en-US"/>
        </w:rPr>
        <w:t>to</w:t>
      </w:r>
      <w:r w:rsidR="000973EA">
        <w:rPr>
          <w:rFonts w:eastAsiaTheme="minorHAnsi"/>
          <w:iCs/>
          <w:color w:val="000000" w:themeColor="text1"/>
          <w:szCs w:val="24"/>
          <w:lang w:eastAsia="en-US"/>
        </w:rPr>
        <w:t xml:space="preserve"> 17</w:t>
      </w:r>
      <w:r w:rsidR="000973EA" w:rsidRPr="00FE6E57">
        <w:rPr>
          <w:rFonts w:eastAsiaTheme="minorHAnsi"/>
          <w:iCs/>
          <w:color w:val="000000" w:themeColor="text1"/>
          <w:szCs w:val="24"/>
          <w:lang w:eastAsia="en-US"/>
        </w:rPr>
        <w:t>.</w:t>
      </w:r>
    </w:p>
    <w:p w14:paraId="46907883" w14:textId="7AC54D5F" w:rsidR="009E712E" w:rsidRDefault="009E712E" w:rsidP="00DC62C8">
      <w:pPr>
        <w:pStyle w:val="Figure"/>
        <w:spacing w:before="0" w:after="0"/>
        <w:rPr>
          <w:b w:val="0"/>
          <w:bCs w:val="0"/>
        </w:rPr>
      </w:pPr>
    </w:p>
    <w:p w14:paraId="7E362A3F" w14:textId="77777777" w:rsidR="00074276" w:rsidRDefault="00074276" w:rsidP="00DC62C8">
      <w:pPr>
        <w:pStyle w:val="Figure"/>
        <w:spacing w:before="0" w:after="0"/>
        <w:rPr>
          <w:b w:val="0"/>
          <w:bCs w:val="0"/>
        </w:rPr>
      </w:pPr>
    </w:p>
    <w:p w14:paraId="5B9EBF8F" w14:textId="55718803" w:rsidR="008E7AC8" w:rsidRDefault="008E7AC8" w:rsidP="00673795">
      <w:pPr>
        <w:spacing w:after="120"/>
        <w:jc w:val="center"/>
        <w:rPr>
          <w:rFonts w:eastAsiaTheme="minorHAnsi"/>
          <w:b/>
          <w:bCs/>
          <w:iCs/>
          <w:color w:val="000000" w:themeColor="text1"/>
          <w:szCs w:val="24"/>
          <w:lang w:eastAsia="en-US"/>
        </w:rPr>
      </w:pPr>
      <w:r w:rsidRPr="00FE6E57">
        <w:rPr>
          <w:rFonts w:eastAsiaTheme="minorHAnsi"/>
          <w:b/>
          <w:bCs/>
          <w:iCs/>
          <w:color w:val="000000" w:themeColor="text1"/>
          <w:szCs w:val="24"/>
          <w:lang w:eastAsia="en-US"/>
        </w:rPr>
        <w:t>Table 1</w:t>
      </w:r>
      <w:r>
        <w:rPr>
          <w:rFonts w:eastAsiaTheme="minorHAnsi"/>
          <w:b/>
          <w:bCs/>
          <w:iCs/>
          <w:color w:val="000000" w:themeColor="text1"/>
          <w:szCs w:val="24"/>
          <w:lang w:eastAsia="en-US"/>
        </w:rPr>
        <w:t>5</w:t>
      </w:r>
      <w:r w:rsidRPr="00FE6E57">
        <w:rPr>
          <w:rFonts w:eastAsiaTheme="minorHAnsi"/>
          <w:b/>
          <w:bCs/>
          <w:iCs/>
          <w:color w:val="000000" w:themeColor="text1"/>
          <w:szCs w:val="24"/>
          <w:lang w:eastAsia="en-US"/>
        </w:rPr>
        <w:t xml:space="preserve">: </w:t>
      </w:r>
      <w:r w:rsidR="002868F0" w:rsidRPr="002868F0">
        <w:rPr>
          <w:rFonts w:eastAsiaTheme="minorHAnsi"/>
          <w:b/>
          <w:bCs/>
          <w:iCs/>
          <w:color w:val="000000" w:themeColor="text1"/>
          <w:szCs w:val="24"/>
          <w:lang w:eastAsia="en-US"/>
        </w:rPr>
        <w:t>ECM result for GHGpc and GNDIpc</w:t>
      </w:r>
    </w:p>
    <w:tbl>
      <w:tblPr>
        <w:tblStyle w:val="TableGrid"/>
        <w:tblW w:w="8185" w:type="dxa"/>
        <w:jc w:val="center"/>
        <w:tblBorders>
          <w:insideV w:val="none" w:sz="0" w:space="0" w:color="auto"/>
        </w:tblBorders>
        <w:tblLayout w:type="fixed"/>
        <w:tblLook w:val="04A0" w:firstRow="1" w:lastRow="0" w:firstColumn="1" w:lastColumn="0" w:noHBand="0" w:noVBand="1"/>
      </w:tblPr>
      <w:tblGrid>
        <w:gridCol w:w="1885"/>
        <w:gridCol w:w="1620"/>
        <w:gridCol w:w="1170"/>
        <w:gridCol w:w="1080"/>
        <w:gridCol w:w="990"/>
        <w:gridCol w:w="1440"/>
      </w:tblGrid>
      <w:tr w:rsidR="002868F0" w:rsidRPr="00E31A5B" w14:paraId="07C4FE91" w14:textId="77777777" w:rsidTr="00EF3F8E">
        <w:trPr>
          <w:trHeight w:val="431"/>
          <w:jc w:val="center"/>
        </w:trPr>
        <w:tc>
          <w:tcPr>
            <w:tcW w:w="1885" w:type="dxa"/>
            <w:vAlign w:val="center"/>
          </w:tcPr>
          <w:p w14:paraId="09AD5135" w14:textId="77777777" w:rsidR="002868F0" w:rsidRPr="004406DC" w:rsidRDefault="002868F0" w:rsidP="004406DC">
            <w:pPr>
              <w:jc w:val="center"/>
              <w:rPr>
                <w:color w:val="000000" w:themeColor="text1"/>
              </w:rPr>
            </w:pPr>
            <w:r w:rsidRPr="004406DC">
              <w:rPr>
                <w:color w:val="000000" w:themeColor="text1"/>
              </w:rPr>
              <w:t>Variable</w:t>
            </w:r>
          </w:p>
        </w:tc>
        <w:tc>
          <w:tcPr>
            <w:tcW w:w="1620" w:type="dxa"/>
            <w:vAlign w:val="center"/>
          </w:tcPr>
          <w:p w14:paraId="59111B2B" w14:textId="77777777" w:rsidR="002868F0" w:rsidRPr="004406DC" w:rsidRDefault="002868F0" w:rsidP="004406DC">
            <w:pPr>
              <w:jc w:val="center"/>
              <w:rPr>
                <w:color w:val="000000" w:themeColor="text1"/>
              </w:rPr>
            </w:pPr>
            <w:r w:rsidRPr="004406DC">
              <w:rPr>
                <w:color w:val="000000" w:themeColor="text1"/>
              </w:rPr>
              <w:t>Coefficient</w:t>
            </w:r>
          </w:p>
        </w:tc>
        <w:tc>
          <w:tcPr>
            <w:tcW w:w="1170" w:type="dxa"/>
            <w:vAlign w:val="center"/>
          </w:tcPr>
          <w:p w14:paraId="004C3451" w14:textId="77777777" w:rsidR="002868F0" w:rsidRPr="004406DC" w:rsidRDefault="002868F0" w:rsidP="004406DC">
            <w:pPr>
              <w:jc w:val="center"/>
              <w:rPr>
                <w:color w:val="000000" w:themeColor="text1"/>
              </w:rPr>
            </w:pPr>
            <w:r w:rsidRPr="004406DC">
              <w:rPr>
                <w:color w:val="000000" w:themeColor="text1"/>
              </w:rPr>
              <w:t>Std. error</w:t>
            </w:r>
          </w:p>
        </w:tc>
        <w:tc>
          <w:tcPr>
            <w:tcW w:w="1080" w:type="dxa"/>
            <w:vAlign w:val="center"/>
          </w:tcPr>
          <w:p w14:paraId="067FA5ED" w14:textId="77777777" w:rsidR="002868F0" w:rsidRPr="004406DC" w:rsidRDefault="002868F0" w:rsidP="004406DC">
            <w:pPr>
              <w:jc w:val="center"/>
              <w:rPr>
                <w:color w:val="000000" w:themeColor="text1"/>
              </w:rPr>
            </w:pPr>
            <w:r w:rsidRPr="004406DC">
              <w:rPr>
                <w:color w:val="000000" w:themeColor="text1"/>
              </w:rPr>
              <w:t>t-ratio</w:t>
            </w:r>
          </w:p>
        </w:tc>
        <w:tc>
          <w:tcPr>
            <w:tcW w:w="990" w:type="dxa"/>
            <w:vAlign w:val="center"/>
          </w:tcPr>
          <w:p w14:paraId="6A0D25CD" w14:textId="77777777" w:rsidR="002868F0" w:rsidRPr="004406DC" w:rsidRDefault="002868F0" w:rsidP="004406DC">
            <w:pPr>
              <w:jc w:val="center"/>
              <w:rPr>
                <w:color w:val="000000" w:themeColor="text1"/>
              </w:rPr>
            </w:pPr>
            <w:r w:rsidRPr="004406DC">
              <w:rPr>
                <w:color w:val="000000" w:themeColor="text1"/>
              </w:rPr>
              <w:t>p-value</w:t>
            </w:r>
          </w:p>
        </w:tc>
        <w:tc>
          <w:tcPr>
            <w:tcW w:w="1440" w:type="dxa"/>
            <w:vAlign w:val="center"/>
          </w:tcPr>
          <w:p w14:paraId="1570143C" w14:textId="77777777" w:rsidR="002868F0" w:rsidRPr="004406DC" w:rsidRDefault="002868F0" w:rsidP="004406DC">
            <w:pPr>
              <w:jc w:val="center"/>
              <w:rPr>
                <w:color w:val="000000" w:themeColor="text1"/>
              </w:rPr>
            </w:pPr>
            <w:r w:rsidRPr="004406DC">
              <w:rPr>
                <w:color w:val="000000" w:themeColor="text1"/>
              </w:rPr>
              <w:t>Significance level</w:t>
            </w:r>
          </w:p>
        </w:tc>
      </w:tr>
      <w:tr w:rsidR="002868F0" w:rsidRPr="00E31A5B" w14:paraId="7960A89C" w14:textId="77777777" w:rsidTr="00EF3F8E">
        <w:trPr>
          <w:jc w:val="center"/>
        </w:trPr>
        <w:tc>
          <w:tcPr>
            <w:tcW w:w="1885" w:type="dxa"/>
          </w:tcPr>
          <w:p w14:paraId="2B66C011" w14:textId="77777777" w:rsidR="002868F0" w:rsidRPr="004406DC" w:rsidRDefault="002868F0" w:rsidP="004406DC">
            <w:pPr>
              <w:jc w:val="center"/>
              <w:rPr>
                <w:color w:val="000000" w:themeColor="text1"/>
                <w:highlight w:val="yellow"/>
              </w:rPr>
            </w:pPr>
            <w:r w:rsidRPr="004406DC">
              <w:rPr>
                <w:color w:val="000000" w:themeColor="text1"/>
              </w:rPr>
              <w:t>d_GNDIpc_1</w:t>
            </w:r>
          </w:p>
        </w:tc>
        <w:tc>
          <w:tcPr>
            <w:tcW w:w="1620" w:type="dxa"/>
          </w:tcPr>
          <w:p w14:paraId="1FE31947" w14:textId="77777777" w:rsidR="002868F0" w:rsidRPr="004406DC" w:rsidRDefault="002868F0" w:rsidP="004406DC">
            <w:pPr>
              <w:jc w:val="center"/>
              <w:rPr>
                <w:color w:val="000000" w:themeColor="text1"/>
                <w:highlight w:val="yellow"/>
              </w:rPr>
            </w:pPr>
            <w:r w:rsidRPr="004406DC">
              <w:rPr>
                <w:color w:val="000000" w:themeColor="text1"/>
              </w:rPr>
              <w:t>−4.97610e-05</w:t>
            </w:r>
          </w:p>
        </w:tc>
        <w:tc>
          <w:tcPr>
            <w:tcW w:w="1170" w:type="dxa"/>
          </w:tcPr>
          <w:p w14:paraId="664D8F1C" w14:textId="77777777" w:rsidR="002868F0" w:rsidRPr="004406DC" w:rsidRDefault="002868F0" w:rsidP="004406DC">
            <w:pPr>
              <w:jc w:val="center"/>
              <w:rPr>
                <w:color w:val="000000" w:themeColor="text1"/>
                <w:highlight w:val="yellow"/>
              </w:rPr>
            </w:pPr>
            <w:r w:rsidRPr="004406DC">
              <w:rPr>
                <w:color w:val="000000" w:themeColor="text1"/>
              </w:rPr>
              <w:t>0.000057</w:t>
            </w:r>
          </w:p>
        </w:tc>
        <w:tc>
          <w:tcPr>
            <w:tcW w:w="1080" w:type="dxa"/>
          </w:tcPr>
          <w:p w14:paraId="4878089A" w14:textId="77777777" w:rsidR="002868F0" w:rsidRPr="004406DC" w:rsidRDefault="002868F0" w:rsidP="004406DC">
            <w:pPr>
              <w:jc w:val="center"/>
              <w:rPr>
                <w:color w:val="000000" w:themeColor="text1"/>
                <w:highlight w:val="yellow"/>
              </w:rPr>
            </w:pPr>
            <w:r w:rsidRPr="004406DC">
              <w:rPr>
                <w:color w:val="000000" w:themeColor="text1"/>
              </w:rPr>
              <w:t>−0.8688</w:t>
            </w:r>
          </w:p>
        </w:tc>
        <w:tc>
          <w:tcPr>
            <w:tcW w:w="990" w:type="dxa"/>
          </w:tcPr>
          <w:p w14:paraId="3FEED735" w14:textId="77777777" w:rsidR="002868F0" w:rsidRPr="004406DC" w:rsidRDefault="002868F0" w:rsidP="004406DC">
            <w:pPr>
              <w:jc w:val="center"/>
              <w:rPr>
                <w:color w:val="000000" w:themeColor="text1"/>
                <w:highlight w:val="yellow"/>
              </w:rPr>
            </w:pPr>
            <w:r w:rsidRPr="004406DC">
              <w:rPr>
                <w:color w:val="000000" w:themeColor="text1"/>
              </w:rPr>
              <w:t>0.3952</w:t>
            </w:r>
          </w:p>
        </w:tc>
        <w:tc>
          <w:tcPr>
            <w:tcW w:w="1440" w:type="dxa"/>
          </w:tcPr>
          <w:p w14:paraId="48C2EF3C" w14:textId="77777777" w:rsidR="002868F0" w:rsidRPr="004406DC" w:rsidRDefault="002868F0" w:rsidP="004406DC">
            <w:pPr>
              <w:jc w:val="center"/>
              <w:rPr>
                <w:color w:val="000000" w:themeColor="text1"/>
                <w:highlight w:val="yellow"/>
              </w:rPr>
            </w:pPr>
          </w:p>
        </w:tc>
      </w:tr>
      <w:tr w:rsidR="002868F0" w:rsidRPr="00E31A5B" w14:paraId="6DC57FD5" w14:textId="77777777" w:rsidTr="00EF3F8E">
        <w:trPr>
          <w:jc w:val="center"/>
        </w:trPr>
        <w:tc>
          <w:tcPr>
            <w:tcW w:w="1885" w:type="dxa"/>
          </w:tcPr>
          <w:p w14:paraId="0C316462" w14:textId="77777777" w:rsidR="002868F0" w:rsidRPr="004406DC" w:rsidRDefault="002868F0" w:rsidP="004406DC">
            <w:pPr>
              <w:jc w:val="center"/>
              <w:rPr>
                <w:color w:val="000000" w:themeColor="text1"/>
                <w:highlight w:val="yellow"/>
              </w:rPr>
            </w:pPr>
            <w:r w:rsidRPr="004406DC">
              <w:rPr>
                <w:color w:val="000000" w:themeColor="text1"/>
              </w:rPr>
              <w:t>e_GHGGNDI_1</w:t>
            </w:r>
          </w:p>
        </w:tc>
        <w:tc>
          <w:tcPr>
            <w:tcW w:w="1620" w:type="dxa"/>
          </w:tcPr>
          <w:p w14:paraId="5DE4B2E1" w14:textId="77777777" w:rsidR="002868F0" w:rsidRPr="004406DC" w:rsidRDefault="002868F0" w:rsidP="004406DC">
            <w:pPr>
              <w:jc w:val="center"/>
              <w:rPr>
                <w:color w:val="000000" w:themeColor="text1"/>
                <w:highlight w:val="yellow"/>
              </w:rPr>
            </w:pPr>
            <w:r w:rsidRPr="004406DC">
              <w:rPr>
                <w:color w:val="000000" w:themeColor="text1"/>
              </w:rPr>
              <w:t>−0.309349</w:t>
            </w:r>
          </w:p>
        </w:tc>
        <w:tc>
          <w:tcPr>
            <w:tcW w:w="1170" w:type="dxa"/>
          </w:tcPr>
          <w:p w14:paraId="29AF532E" w14:textId="77777777" w:rsidR="002868F0" w:rsidRPr="004406DC" w:rsidRDefault="002868F0" w:rsidP="004406DC">
            <w:pPr>
              <w:jc w:val="center"/>
              <w:rPr>
                <w:color w:val="000000" w:themeColor="text1"/>
                <w:highlight w:val="yellow"/>
              </w:rPr>
            </w:pPr>
            <w:r w:rsidRPr="004406DC">
              <w:rPr>
                <w:color w:val="000000" w:themeColor="text1"/>
              </w:rPr>
              <w:t>0.120827</w:t>
            </w:r>
          </w:p>
        </w:tc>
        <w:tc>
          <w:tcPr>
            <w:tcW w:w="1080" w:type="dxa"/>
          </w:tcPr>
          <w:p w14:paraId="4616E5B3" w14:textId="77777777" w:rsidR="002868F0" w:rsidRPr="004406DC" w:rsidRDefault="002868F0" w:rsidP="004406DC">
            <w:pPr>
              <w:jc w:val="center"/>
              <w:rPr>
                <w:color w:val="000000" w:themeColor="text1"/>
                <w:highlight w:val="yellow"/>
              </w:rPr>
            </w:pPr>
            <w:r w:rsidRPr="004406DC">
              <w:rPr>
                <w:color w:val="000000" w:themeColor="text1"/>
              </w:rPr>
              <w:t>−2.5600</w:t>
            </w:r>
          </w:p>
        </w:tc>
        <w:tc>
          <w:tcPr>
            <w:tcW w:w="990" w:type="dxa"/>
          </w:tcPr>
          <w:p w14:paraId="7776E3A2" w14:textId="77777777" w:rsidR="002868F0" w:rsidRPr="004406DC" w:rsidRDefault="002868F0" w:rsidP="004406DC">
            <w:pPr>
              <w:jc w:val="center"/>
              <w:rPr>
                <w:color w:val="000000" w:themeColor="text1"/>
                <w:highlight w:val="yellow"/>
              </w:rPr>
            </w:pPr>
            <w:r w:rsidRPr="004406DC">
              <w:rPr>
                <w:color w:val="000000" w:themeColor="text1"/>
              </w:rPr>
              <w:t>0.0187</w:t>
            </w:r>
          </w:p>
        </w:tc>
        <w:tc>
          <w:tcPr>
            <w:tcW w:w="1440" w:type="dxa"/>
          </w:tcPr>
          <w:p w14:paraId="2707B55D" w14:textId="77777777" w:rsidR="002868F0" w:rsidRPr="004406DC" w:rsidRDefault="002868F0" w:rsidP="004406DC">
            <w:pPr>
              <w:jc w:val="center"/>
              <w:rPr>
                <w:color w:val="000000" w:themeColor="text1"/>
                <w:highlight w:val="yellow"/>
              </w:rPr>
            </w:pPr>
            <w:r w:rsidRPr="004406DC">
              <w:rPr>
                <w:color w:val="000000" w:themeColor="text1"/>
              </w:rPr>
              <w:t>**</w:t>
            </w:r>
          </w:p>
        </w:tc>
      </w:tr>
      <w:tr w:rsidR="002868F0" w:rsidRPr="00E31A5B" w14:paraId="18E72D6B" w14:textId="77777777" w:rsidTr="00EF3F8E">
        <w:trPr>
          <w:jc w:val="center"/>
        </w:trPr>
        <w:tc>
          <w:tcPr>
            <w:tcW w:w="1885" w:type="dxa"/>
          </w:tcPr>
          <w:p w14:paraId="4CC6006B" w14:textId="77777777" w:rsidR="002868F0" w:rsidRPr="004406DC" w:rsidRDefault="002868F0" w:rsidP="004406DC">
            <w:pPr>
              <w:jc w:val="center"/>
              <w:rPr>
                <w:color w:val="000000" w:themeColor="text1"/>
                <w:highlight w:val="yellow"/>
              </w:rPr>
            </w:pPr>
            <w:r w:rsidRPr="004406DC">
              <w:rPr>
                <w:color w:val="000000" w:themeColor="text1"/>
              </w:rPr>
              <w:t>d_GHGpc_1</w:t>
            </w:r>
          </w:p>
        </w:tc>
        <w:tc>
          <w:tcPr>
            <w:tcW w:w="1620" w:type="dxa"/>
          </w:tcPr>
          <w:p w14:paraId="630AF464" w14:textId="77777777" w:rsidR="002868F0" w:rsidRPr="004406DC" w:rsidRDefault="002868F0" w:rsidP="004406DC">
            <w:pPr>
              <w:jc w:val="center"/>
              <w:rPr>
                <w:color w:val="000000" w:themeColor="text1"/>
                <w:highlight w:val="yellow"/>
              </w:rPr>
            </w:pPr>
            <w:r w:rsidRPr="004406DC">
              <w:rPr>
                <w:color w:val="000000" w:themeColor="text1"/>
              </w:rPr>
              <w:t>0.068052</w:t>
            </w:r>
          </w:p>
        </w:tc>
        <w:tc>
          <w:tcPr>
            <w:tcW w:w="1170" w:type="dxa"/>
          </w:tcPr>
          <w:p w14:paraId="364E9345" w14:textId="77777777" w:rsidR="002868F0" w:rsidRPr="004406DC" w:rsidRDefault="002868F0" w:rsidP="004406DC">
            <w:pPr>
              <w:jc w:val="center"/>
              <w:rPr>
                <w:color w:val="000000" w:themeColor="text1"/>
                <w:highlight w:val="yellow"/>
              </w:rPr>
            </w:pPr>
            <w:r w:rsidRPr="004406DC">
              <w:rPr>
                <w:color w:val="000000" w:themeColor="text1"/>
              </w:rPr>
              <w:t>0.194071</w:t>
            </w:r>
          </w:p>
        </w:tc>
        <w:tc>
          <w:tcPr>
            <w:tcW w:w="1080" w:type="dxa"/>
          </w:tcPr>
          <w:p w14:paraId="7F7489F7" w14:textId="77777777" w:rsidR="002868F0" w:rsidRPr="004406DC" w:rsidRDefault="002868F0" w:rsidP="004406DC">
            <w:pPr>
              <w:jc w:val="center"/>
              <w:rPr>
                <w:color w:val="000000" w:themeColor="text1"/>
                <w:highlight w:val="yellow"/>
              </w:rPr>
            </w:pPr>
            <w:r w:rsidRPr="004406DC">
              <w:rPr>
                <w:color w:val="000000" w:themeColor="text1"/>
              </w:rPr>
              <w:t>0.3507</w:t>
            </w:r>
          </w:p>
        </w:tc>
        <w:tc>
          <w:tcPr>
            <w:tcW w:w="990" w:type="dxa"/>
          </w:tcPr>
          <w:p w14:paraId="34DDC902" w14:textId="77777777" w:rsidR="002868F0" w:rsidRPr="004406DC" w:rsidRDefault="002868F0" w:rsidP="004406DC">
            <w:pPr>
              <w:jc w:val="center"/>
              <w:rPr>
                <w:color w:val="000000" w:themeColor="text1"/>
                <w:highlight w:val="yellow"/>
              </w:rPr>
            </w:pPr>
            <w:r w:rsidRPr="004406DC">
              <w:rPr>
                <w:color w:val="000000" w:themeColor="text1"/>
              </w:rPr>
              <w:t>0.7295</w:t>
            </w:r>
          </w:p>
        </w:tc>
        <w:tc>
          <w:tcPr>
            <w:tcW w:w="1440" w:type="dxa"/>
          </w:tcPr>
          <w:p w14:paraId="3B752A5E" w14:textId="77777777" w:rsidR="002868F0" w:rsidRPr="004406DC" w:rsidRDefault="002868F0" w:rsidP="004406DC">
            <w:pPr>
              <w:jc w:val="center"/>
              <w:rPr>
                <w:color w:val="000000" w:themeColor="text1"/>
                <w:highlight w:val="yellow"/>
              </w:rPr>
            </w:pPr>
          </w:p>
        </w:tc>
      </w:tr>
    </w:tbl>
    <w:p w14:paraId="6451C75D" w14:textId="305A2EB3" w:rsidR="008E7AC8" w:rsidRDefault="008E7AC8" w:rsidP="008E7AC8">
      <w:pPr>
        <w:jc w:val="left"/>
        <w:rPr>
          <w:rFonts w:eastAsiaTheme="minorHAnsi"/>
          <w:b/>
          <w:bCs/>
          <w:iCs/>
          <w:color w:val="000000" w:themeColor="text1"/>
          <w:szCs w:val="24"/>
          <w:lang w:eastAsia="en-US"/>
        </w:rPr>
      </w:pPr>
    </w:p>
    <w:p w14:paraId="0EBE62CB" w14:textId="38E0D073" w:rsidR="008E7AC8" w:rsidRDefault="008E7AC8" w:rsidP="008E7AC8">
      <w:pPr>
        <w:jc w:val="left"/>
        <w:rPr>
          <w:rFonts w:eastAsiaTheme="minorHAnsi"/>
          <w:b/>
          <w:bCs/>
          <w:iCs/>
          <w:color w:val="000000" w:themeColor="text1"/>
          <w:szCs w:val="24"/>
          <w:lang w:eastAsia="en-US"/>
        </w:rPr>
      </w:pPr>
    </w:p>
    <w:p w14:paraId="323DD690" w14:textId="32115EE0" w:rsidR="008E7AC8" w:rsidRDefault="008E7AC8" w:rsidP="00673795">
      <w:pPr>
        <w:spacing w:after="120"/>
        <w:jc w:val="center"/>
        <w:rPr>
          <w:rFonts w:eastAsiaTheme="minorHAnsi"/>
          <w:b/>
          <w:bCs/>
          <w:iCs/>
          <w:color w:val="000000" w:themeColor="text1"/>
          <w:szCs w:val="24"/>
          <w:lang w:eastAsia="en-US"/>
        </w:rPr>
      </w:pPr>
      <w:r w:rsidRPr="00FE6E57">
        <w:rPr>
          <w:rFonts w:eastAsiaTheme="minorHAnsi"/>
          <w:b/>
          <w:bCs/>
          <w:iCs/>
          <w:color w:val="000000" w:themeColor="text1"/>
          <w:szCs w:val="24"/>
          <w:lang w:eastAsia="en-US"/>
        </w:rPr>
        <w:t>Table 1</w:t>
      </w:r>
      <w:r>
        <w:rPr>
          <w:rFonts w:eastAsiaTheme="minorHAnsi"/>
          <w:b/>
          <w:bCs/>
          <w:iCs/>
          <w:color w:val="000000" w:themeColor="text1"/>
          <w:szCs w:val="24"/>
          <w:lang w:eastAsia="en-US"/>
        </w:rPr>
        <w:t>6</w:t>
      </w:r>
      <w:r w:rsidRPr="00FE6E57">
        <w:rPr>
          <w:rFonts w:eastAsiaTheme="minorHAnsi"/>
          <w:b/>
          <w:bCs/>
          <w:iCs/>
          <w:color w:val="000000" w:themeColor="text1"/>
          <w:szCs w:val="24"/>
          <w:lang w:eastAsia="en-US"/>
        </w:rPr>
        <w:t xml:space="preserve">: </w:t>
      </w:r>
      <w:r w:rsidR="002868F0" w:rsidRPr="002868F0">
        <w:rPr>
          <w:rFonts w:eastAsiaTheme="minorHAnsi"/>
          <w:b/>
          <w:bCs/>
          <w:iCs/>
          <w:color w:val="000000" w:themeColor="text1"/>
          <w:szCs w:val="24"/>
          <w:lang w:eastAsia="en-US"/>
        </w:rPr>
        <w:t>ECM result for GHGpc and HDI</w:t>
      </w:r>
    </w:p>
    <w:tbl>
      <w:tblPr>
        <w:tblStyle w:val="TableGrid"/>
        <w:tblW w:w="8185" w:type="dxa"/>
        <w:jc w:val="center"/>
        <w:tblBorders>
          <w:insideV w:val="none" w:sz="0" w:space="0" w:color="auto"/>
        </w:tblBorders>
        <w:tblLayout w:type="fixed"/>
        <w:tblLook w:val="04A0" w:firstRow="1" w:lastRow="0" w:firstColumn="1" w:lastColumn="0" w:noHBand="0" w:noVBand="1"/>
      </w:tblPr>
      <w:tblGrid>
        <w:gridCol w:w="1705"/>
        <w:gridCol w:w="1440"/>
        <w:gridCol w:w="1260"/>
        <w:gridCol w:w="1051"/>
        <w:gridCol w:w="1289"/>
        <w:gridCol w:w="1440"/>
      </w:tblGrid>
      <w:tr w:rsidR="002868F0" w:rsidRPr="00E31A5B" w14:paraId="310B652E" w14:textId="77777777" w:rsidTr="00EF3F8E">
        <w:trPr>
          <w:trHeight w:val="431"/>
          <w:jc w:val="center"/>
        </w:trPr>
        <w:tc>
          <w:tcPr>
            <w:tcW w:w="1705" w:type="dxa"/>
            <w:vAlign w:val="center"/>
          </w:tcPr>
          <w:p w14:paraId="2B4959BD" w14:textId="77777777" w:rsidR="002868F0" w:rsidRPr="004406DC" w:rsidRDefault="002868F0" w:rsidP="004406DC">
            <w:pPr>
              <w:jc w:val="center"/>
              <w:rPr>
                <w:color w:val="000000" w:themeColor="text1"/>
              </w:rPr>
            </w:pPr>
            <w:r w:rsidRPr="004406DC">
              <w:rPr>
                <w:color w:val="000000" w:themeColor="text1"/>
              </w:rPr>
              <w:t>Variable</w:t>
            </w:r>
          </w:p>
        </w:tc>
        <w:tc>
          <w:tcPr>
            <w:tcW w:w="1440" w:type="dxa"/>
            <w:vAlign w:val="center"/>
          </w:tcPr>
          <w:p w14:paraId="38046421" w14:textId="77777777" w:rsidR="002868F0" w:rsidRPr="004406DC" w:rsidRDefault="002868F0" w:rsidP="004406DC">
            <w:pPr>
              <w:jc w:val="center"/>
              <w:rPr>
                <w:color w:val="000000" w:themeColor="text1"/>
              </w:rPr>
            </w:pPr>
            <w:r w:rsidRPr="004406DC">
              <w:rPr>
                <w:color w:val="000000" w:themeColor="text1"/>
              </w:rPr>
              <w:t>Coefficient</w:t>
            </w:r>
          </w:p>
        </w:tc>
        <w:tc>
          <w:tcPr>
            <w:tcW w:w="1260" w:type="dxa"/>
            <w:vAlign w:val="center"/>
          </w:tcPr>
          <w:p w14:paraId="1B820FDF" w14:textId="77777777" w:rsidR="002868F0" w:rsidRPr="004406DC" w:rsidRDefault="002868F0" w:rsidP="004406DC">
            <w:pPr>
              <w:jc w:val="center"/>
              <w:rPr>
                <w:color w:val="000000" w:themeColor="text1"/>
              </w:rPr>
            </w:pPr>
            <w:r w:rsidRPr="004406DC">
              <w:rPr>
                <w:color w:val="000000" w:themeColor="text1"/>
              </w:rPr>
              <w:t>Std. error</w:t>
            </w:r>
          </w:p>
        </w:tc>
        <w:tc>
          <w:tcPr>
            <w:tcW w:w="1051" w:type="dxa"/>
            <w:vAlign w:val="center"/>
          </w:tcPr>
          <w:p w14:paraId="67A7953B" w14:textId="77777777" w:rsidR="002868F0" w:rsidRPr="004406DC" w:rsidRDefault="002868F0" w:rsidP="004406DC">
            <w:pPr>
              <w:jc w:val="center"/>
              <w:rPr>
                <w:color w:val="000000" w:themeColor="text1"/>
              </w:rPr>
            </w:pPr>
            <w:r w:rsidRPr="004406DC">
              <w:rPr>
                <w:color w:val="000000" w:themeColor="text1"/>
              </w:rPr>
              <w:t>t-ratio</w:t>
            </w:r>
          </w:p>
        </w:tc>
        <w:tc>
          <w:tcPr>
            <w:tcW w:w="1289" w:type="dxa"/>
            <w:vAlign w:val="center"/>
          </w:tcPr>
          <w:p w14:paraId="2314F39E" w14:textId="77777777" w:rsidR="002868F0" w:rsidRPr="004406DC" w:rsidRDefault="002868F0" w:rsidP="004406DC">
            <w:pPr>
              <w:jc w:val="center"/>
              <w:rPr>
                <w:color w:val="000000" w:themeColor="text1"/>
              </w:rPr>
            </w:pPr>
            <w:r w:rsidRPr="004406DC">
              <w:rPr>
                <w:color w:val="000000" w:themeColor="text1"/>
              </w:rPr>
              <w:t>p-value</w:t>
            </w:r>
          </w:p>
        </w:tc>
        <w:tc>
          <w:tcPr>
            <w:tcW w:w="1440" w:type="dxa"/>
            <w:vAlign w:val="center"/>
          </w:tcPr>
          <w:p w14:paraId="75D2BF8C" w14:textId="77777777" w:rsidR="002868F0" w:rsidRPr="004406DC" w:rsidRDefault="002868F0" w:rsidP="004406DC">
            <w:pPr>
              <w:jc w:val="center"/>
              <w:rPr>
                <w:color w:val="000000" w:themeColor="text1"/>
              </w:rPr>
            </w:pPr>
            <w:r w:rsidRPr="004406DC">
              <w:rPr>
                <w:color w:val="000000" w:themeColor="text1"/>
              </w:rPr>
              <w:t>Significance level</w:t>
            </w:r>
          </w:p>
        </w:tc>
      </w:tr>
      <w:tr w:rsidR="002868F0" w:rsidRPr="00E31A5B" w14:paraId="4AE080B9" w14:textId="77777777" w:rsidTr="00EF3F8E">
        <w:trPr>
          <w:jc w:val="center"/>
        </w:trPr>
        <w:tc>
          <w:tcPr>
            <w:tcW w:w="1705" w:type="dxa"/>
          </w:tcPr>
          <w:p w14:paraId="1D35715A" w14:textId="77777777" w:rsidR="002868F0" w:rsidRPr="004406DC" w:rsidRDefault="002868F0" w:rsidP="004406DC">
            <w:pPr>
              <w:jc w:val="center"/>
              <w:rPr>
                <w:color w:val="000000" w:themeColor="text1"/>
              </w:rPr>
            </w:pPr>
            <w:r w:rsidRPr="004406DC">
              <w:rPr>
                <w:color w:val="000000" w:themeColor="text1"/>
              </w:rPr>
              <w:t>d_HDI_1</w:t>
            </w:r>
          </w:p>
        </w:tc>
        <w:tc>
          <w:tcPr>
            <w:tcW w:w="1440" w:type="dxa"/>
          </w:tcPr>
          <w:p w14:paraId="264A42CB" w14:textId="77777777" w:rsidR="002868F0" w:rsidRPr="004406DC" w:rsidRDefault="002868F0" w:rsidP="004406DC">
            <w:pPr>
              <w:jc w:val="center"/>
              <w:rPr>
                <w:color w:val="000000" w:themeColor="text1"/>
              </w:rPr>
            </w:pPr>
            <w:r w:rsidRPr="004406DC">
              <w:rPr>
                <w:color w:val="000000" w:themeColor="text1"/>
              </w:rPr>
              <w:t>14.4628000</w:t>
            </w:r>
          </w:p>
        </w:tc>
        <w:tc>
          <w:tcPr>
            <w:tcW w:w="1260" w:type="dxa"/>
          </w:tcPr>
          <w:p w14:paraId="09F128F6" w14:textId="77777777" w:rsidR="002868F0" w:rsidRPr="004406DC" w:rsidRDefault="002868F0" w:rsidP="004406DC">
            <w:pPr>
              <w:jc w:val="center"/>
              <w:rPr>
                <w:color w:val="000000" w:themeColor="text1"/>
              </w:rPr>
            </w:pPr>
            <w:r w:rsidRPr="004406DC">
              <w:rPr>
                <w:color w:val="000000" w:themeColor="text1"/>
              </w:rPr>
              <w:t>30.350300</w:t>
            </w:r>
          </w:p>
        </w:tc>
        <w:tc>
          <w:tcPr>
            <w:tcW w:w="1051" w:type="dxa"/>
          </w:tcPr>
          <w:p w14:paraId="03BD1639" w14:textId="77777777" w:rsidR="002868F0" w:rsidRPr="004406DC" w:rsidRDefault="002868F0" w:rsidP="004406DC">
            <w:pPr>
              <w:jc w:val="center"/>
              <w:rPr>
                <w:color w:val="000000" w:themeColor="text1"/>
              </w:rPr>
            </w:pPr>
            <w:r w:rsidRPr="004406DC">
              <w:rPr>
                <w:color w:val="000000" w:themeColor="text1"/>
              </w:rPr>
              <w:t>0.47650</w:t>
            </w:r>
          </w:p>
        </w:tc>
        <w:tc>
          <w:tcPr>
            <w:tcW w:w="1289" w:type="dxa"/>
          </w:tcPr>
          <w:p w14:paraId="080A4CAC" w14:textId="77777777" w:rsidR="002868F0" w:rsidRPr="004406DC" w:rsidRDefault="002868F0" w:rsidP="004406DC">
            <w:pPr>
              <w:jc w:val="center"/>
              <w:rPr>
                <w:color w:val="000000" w:themeColor="text1"/>
              </w:rPr>
            </w:pPr>
            <w:r w:rsidRPr="004406DC">
              <w:rPr>
                <w:color w:val="000000" w:themeColor="text1"/>
              </w:rPr>
              <w:t>0.638900</w:t>
            </w:r>
          </w:p>
        </w:tc>
        <w:tc>
          <w:tcPr>
            <w:tcW w:w="1440" w:type="dxa"/>
          </w:tcPr>
          <w:p w14:paraId="0E2C0C4C" w14:textId="77777777" w:rsidR="002868F0" w:rsidRPr="004406DC" w:rsidRDefault="002868F0" w:rsidP="004406DC">
            <w:pPr>
              <w:jc w:val="center"/>
              <w:rPr>
                <w:color w:val="000000" w:themeColor="text1"/>
              </w:rPr>
            </w:pPr>
          </w:p>
        </w:tc>
      </w:tr>
      <w:tr w:rsidR="002868F0" w:rsidRPr="00E31A5B" w14:paraId="30025837" w14:textId="77777777" w:rsidTr="00EF3F8E">
        <w:trPr>
          <w:jc w:val="center"/>
        </w:trPr>
        <w:tc>
          <w:tcPr>
            <w:tcW w:w="1705" w:type="dxa"/>
          </w:tcPr>
          <w:p w14:paraId="21B70D21" w14:textId="77777777" w:rsidR="002868F0" w:rsidRPr="004406DC" w:rsidRDefault="002868F0" w:rsidP="004406DC">
            <w:pPr>
              <w:jc w:val="center"/>
              <w:rPr>
                <w:color w:val="000000" w:themeColor="text1"/>
              </w:rPr>
            </w:pPr>
            <w:r w:rsidRPr="004406DC">
              <w:rPr>
                <w:color w:val="000000" w:themeColor="text1"/>
              </w:rPr>
              <w:t>e_GHGHDI_1</w:t>
            </w:r>
          </w:p>
        </w:tc>
        <w:tc>
          <w:tcPr>
            <w:tcW w:w="1440" w:type="dxa"/>
          </w:tcPr>
          <w:p w14:paraId="067F6F40" w14:textId="77777777" w:rsidR="002868F0" w:rsidRPr="004406DC" w:rsidRDefault="002868F0" w:rsidP="004406DC">
            <w:pPr>
              <w:jc w:val="center"/>
              <w:rPr>
                <w:color w:val="000000" w:themeColor="text1"/>
              </w:rPr>
            </w:pPr>
            <w:r w:rsidRPr="004406DC">
              <w:rPr>
                <w:color w:val="000000" w:themeColor="text1"/>
              </w:rPr>
              <w:t>−0.363472</w:t>
            </w:r>
          </w:p>
        </w:tc>
        <w:tc>
          <w:tcPr>
            <w:tcW w:w="1260" w:type="dxa"/>
          </w:tcPr>
          <w:p w14:paraId="61DBAFEE" w14:textId="77777777" w:rsidR="002868F0" w:rsidRPr="004406DC" w:rsidRDefault="002868F0" w:rsidP="004406DC">
            <w:pPr>
              <w:jc w:val="center"/>
              <w:rPr>
                <w:color w:val="000000" w:themeColor="text1"/>
              </w:rPr>
            </w:pPr>
            <w:r w:rsidRPr="004406DC">
              <w:rPr>
                <w:color w:val="000000" w:themeColor="text1"/>
              </w:rPr>
              <w:t>0.130298</w:t>
            </w:r>
          </w:p>
        </w:tc>
        <w:tc>
          <w:tcPr>
            <w:tcW w:w="1051" w:type="dxa"/>
          </w:tcPr>
          <w:p w14:paraId="43F93AD1" w14:textId="77777777" w:rsidR="002868F0" w:rsidRPr="004406DC" w:rsidRDefault="002868F0" w:rsidP="004406DC">
            <w:pPr>
              <w:jc w:val="center"/>
              <w:rPr>
                <w:color w:val="000000" w:themeColor="text1"/>
              </w:rPr>
            </w:pPr>
            <w:r w:rsidRPr="004406DC">
              <w:rPr>
                <w:color w:val="000000" w:themeColor="text1"/>
              </w:rPr>
              <w:t>−2.7900</w:t>
            </w:r>
          </w:p>
        </w:tc>
        <w:tc>
          <w:tcPr>
            <w:tcW w:w="1289" w:type="dxa"/>
          </w:tcPr>
          <w:p w14:paraId="4B523958" w14:textId="77777777" w:rsidR="002868F0" w:rsidRPr="004406DC" w:rsidRDefault="002868F0" w:rsidP="004406DC">
            <w:pPr>
              <w:jc w:val="center"/>
              <w:rPr>
                <w:color w:val="000000" w:themeColor="text1"/>
              </w:rPr>
            </w:pPr>
            <w:r w:rsidRPr="004406DC">
              <w:rPr>
                <w:color w:val="000000" w:themeColor="text1"/>
              </w:rPr>
              <w:t>0.011300</w:t>
            </w:r>
          </w:p>
        </w:tc>
        <w:tc>
          <w:tcPr>
            <w:tcW w:w="1440" w:type="dxa"/>
          </w:tcPr>
          <w:p w14:paraId="2C6EC182" w14:textId="77777777" w:rsidR="002868F0" w:rsidRPr="004406DC" w:rsidRDefault="002868F0" w:rsidP="004406DC">
            <w:pPr>
              <w:jc w:val="center"/>
              <w:rPr>
                <w:color w:val="000000" w:themeColor="text1"/>
              </w:rPr>
            </w:pPr>
            <w:r w:rsidRPr="004406DC">
              <w:rPr>
                <w:color w:val="000000" w:themeColor="text1"/>
              </w:rPr>
              <w:t>**</w:t>
            </w:r>
          </w:p>
        </w:tc>
      </w:tr>
      <w:tr w:rsidR="002868F0" w:rsidRPr="00E31A5B" w14:paraId="24B6BD55" w14:textId="77777777" w:rsidTr="00EF3F8E">
        <w:trPr>
          <w:jc w:val="center"/>
        </w:trPr>
        <w:tc>
          <w:tcPr>
            <w:tcW w:w="1705" w:type="dxa"/>
          </w:tcPr>
          <w:p w14:paraId="64FF1477" w14:textId="77777777" w:rsidR="002868F0" w:rsidRPr="004406DC" w:rsidRDefault="002868F0" w:rsidP="004406DC">
            <w:pPr>
              <w:jc w:val="center"/>
              <w:rPr>
                <w:color w:val="000000" w:themeColor="text1"/>
              </w:rPr>
            </w:pPr>
            <w:r w:rsidRPr="004406DC">
              <w:rPr>
                <w:color w:val="000000" w:themeColor="text1"/>
              </w:rPr>
              <w:t>d_GHGpc_1</w:t>
            </w:r>
          </w:p>
        </w:tc>
        <w:tc>
          <w:tcPr>
            <w:tcW w:w="1440" w:type="dxa"/>
          </w:tcPr>
          <w:p w14:paraId="28C0F4F2" w14:textId="77777777" w:rsidR="002868F0" w:rsidRPr="004406DC" w:rsidRDefault="002868F0" w:rsidP="004406DC">
            <w:pPr>
              <w:jc w:val="center"/>
              <w:rPr>
                <w:color w:val="000000" w:themeColor="text1"/>
              </w:rPr>
            </w:pPr>
            <w:r w:rsidRPr="004406DC">
              <w:rPr>
                <w:color w:val="000000" w:themeColor="text1"/>
              </w:rPr>
              <w:t>0.029391</w:t>
            </w:r>
          </w:p>
        </w:tc>
        <w:tc>
          <w:tcPr>
            <w:tcW w:w="1260" w:type="dxa"/>
          </w:tcPr>
          <w:p w14:paraId="0D81A7FB" w14:textId="77777777" w:rsidR="002868F0" w:rsidRPr="004406DC" w:rsidRDefault="002868F0" w:rsidP="004406DC">
            <w:pPr>
              <w:jc w:val="center"/>
              <w:rPr>
                <w:color w:val="000000" w:themeColor="text1"/>
              </w:rPr>
            </w:pPr>
            <w:r w:rsidRPr="004406DC">
              <w:rPr>
                <w:color w:val="000000" w:themeColor="text1"/>
              </w:rPr>
              <w:t>0.166620</w:t>
            </w:r>
          </w:p>
        </w:tc>
        <w:tc>
          <w:tcPr>
            <w:tcW w:w="1051" w:type="dxa"/>
          </w:tcPr>
          <w:p w14:paraId="42160746" w14:textId="77777777" w:rsidR="002868F0" w:rsidRPr="004406DC" w:rsidRDefault="002868F0" w:rsidP="004406DC">
            <w:pPr>
              <w:jc w:val="center"/>
              <w:rPr>
                <w:color w:val="000000" w:themeColor="text1"/>
              </w:rPr>
            </w:pPr>
            <w:r w:rsidRPr="004406DC">
              <w:rPr>
                <w:color w:val="000000" w:themeColor="text1"/>
              </w:rPr>
              <w:t>0.1764</w:t>
            </w:r>
          </w:p>
        </w:tc>
        <w:tc>
          <w:tcPr>
            <w:tcW w:w="1289" w:type="dxa"/>
          </w:tcPr>
          <w:p w14:paraId="6221E005" w14:textId="77777777" w:rsidR="002868F0" w:rsidRPr="004406DC" w:rsidRDefault="002868F0" w:rsidP="004406DC">
            <w:pPr>
              <w:jc w:val="center"/>
              <w:rPr>
                <w:color w:val="000000" w:themeColor="text1"/>
              </w:rPr>
            </w:pPr>
            <w:r w:rsidRPr="004406DC">
              <w:rPr>
                <w:color w:val="000000" w:themeColor="text1"/>
              </w:rPr>
              <w:t>0.861800</w:t>
            </w:r>
          </w:p>
        </w:tc>
        <w:tc>
          <w:tcPr>
            <w:tcW w:w="1440" w:type="dxa"/>
          </w:tcPr>
          <w:p w14:paraId="489C069E" w14:textId="77777777" w:rsidR="002868F0" w:rsidRPr="004406DC" w:rsidRDefault="002868F0" w:rsidP="004406DC">
            <w:pPr>
              <w:jc w:val="center"/>
              <w:rPr>
                <w:color w:val="000000" w:themeColor="text1"/>
              </w:rPr>
            </w:pPr>
          </w:p>
        </w:tc>
      </w:tr>
    </w:tbl>
    <w:p w14:paraId="57A98092" w14:textId="1CB641A0" w:rsidR="008E7AC8" w:rsidRDefault="008E7AC8" w:rsidP="008E7AC8">
      <w:pPr>
        <w:jc w:val="left"/>
        <w:rPr>
          <w:rFonts w:eastAsiaTheme="minorHAnsi"/>
          <w:b/>
          <w:bCs/>
          <w:iCs/>
          <w:color w:val="000000" w:themeColor="text1"/>
          <w:szCs w:val="24"/>
          <w:lang w:eastAsia="en-US"/>
        </w:rPr>
      </w:pPr>
    </w:p>
    <w:p w14:paraId="00035C3F" w14:textId="77777777" w:rsidR="008E7AC8" w:rsidRDefault="008E7AC8" w:rsidP="008E7AC8">
      <w:pPr>
        <w:jc w:val="left"/>
        <w:rPr>
          <w:rFonts w:eastAsiaTheme="minorHAnsi"/>
          <w:b/>
          <w:bCs/>
          <w:iCs/>
          <w:color w:val="000000" w:themeColor="text1"/>
          <w:szCs w:val="24"/>
          <w:lang w:eastAsia="en-US"/>
        </w:rPr>
      </w:pPr>
    </w:p>
    <w:p w14:paraId="095D112E" w14:textId="3A19C245" w:rsidR="008E7AC8" w:rsidRDefault="008E7AC8" w:rsidP="00673795">
      <w:pPr>
        <w:spacing w:after="120"/>
        <w:jc w:val="center"/>
        <w:rPr>
          <w:rFonts w:eastAsiaTheme="minorHAnsi"/>
          <w:b/>
          <w:bCs/>
          <w:iCs/>
          <w:color w:val="000000" w:themeColor="text1"/>
          <w:szCs w:val="24"/>
          <w:lang w:eastAsia="en-US"/>
        </w:rPr>
      </w:pPr>
      <w:r w:rsidRPr="00FE6E57">
        <w:rPr>
          <w:rFonts w:eastAsiaTheme="minorHAnsi"/>
          <w:b/>
          <w:bCs/>
          <w:iCs/>
          <w:color w:val="000000" w:themeColor="text1"/>
          <w:szCs w:val="24"/>
          <w:lang w:eastAsia="en-US"/>
        </w:rPr>
        <w:t>Table 1</w:t>
      </w:r>
      <w:r>
        <w:rPr>
          <w:rFonts w:eastAsiaTheme="minorHAnsi"/>
          <w:b/>
          <w:bCs/>
          <w:iCs/>
          <w:color w:val="000000" w:themeColor="text1"/>
          <w:szCs w:val="24"/>
          <w:lang w:eastAsia="en-US"/>
        </w:rPr>
        <w:t>7</w:t>
      </w:r>
      <w:r w:rsidRPr="00FE6E57">
        <w:rPr>
          <w:rFonts w:eastAsiaTheme="minorHAnsi"/>
          <w:b/>
          <w:bCs/>
          <w:iCs/>
          <w:color w:val="000000" w:themeColor="text1"/>
          <w:szCs w:val="24"/>
          <w:lang w:eastAsia="en-US"/>
        </w:rPr>
        <w:t xml:space="preserve">: </w:t>
      </w:r>
      <w:r w:rsidR="002868F0" w:rsidRPr="002868F0">
        <w:rPr>
          <w:rFonts w:eastAsiaTheme="minorHAnsi"/>
          <w:b/>
          <w:bCs/>
          <w:iCs/>
          <w:color w:val="000000" w:themeColor="text1"/>
          <w:szCs w:val="24"/>
          <w:lang w:eastAsia="en-US"/>
        </w:rPr>
        <w:t>ECM result for GHGpc and IEF</w:t>
      </w:r>
    </w:p>
    <w:tbl>
      <w:tblPr>
        <w:tblStyle w:val="TableGrid"/>
        <w:tblW w:w="8185" w:type="dxa"/>
        <w:jc w:val="center"/>
        <w:tblBorders>
          <w:insideV w:val="none" w:sz="0" w:space="0" w:color="auto"/>
        </w:tblBorders>
        <w:tblLayout w:type="fixed"/>
        <w:tblLook w:val="04A0" w:firstRow="1" w:lastRow="0" w:firstColumn="1" w:lastColumn="0" w:noHBand="0" w:noVBand="1"/>
      </w:tblPr>
      <w:tblGrid>
        <w:gridCol w:w="1615"/>
        <w:gridCol w:w="1350"/>
        <w:gridCol w:w="1127"/>
        <w:gridCol w:w="1364"/>
        <w:gridCol w:w="1289"/>
        <w:gridCol w:w="1440"/>
      </w:tblGrid>
      <w:tr w:rsidR="002868F0" w:rsidRPr="00E31A5B" w14:paraId="1807FAFC" w14:textId="77777777" w:rsidTr="00EF3F8E">
        <w:trPr>
          <w:trHeight w:val="431"/>
          <w:jc w:val="center"/>
        </w:trPr>
        <w:tc>
          <w:tcPr>
            <w:tcW w:w="1615" w:type="dxa"/>
            <w:vAlign w:val="center"/>
          </w:tcPr>
          <w:p w14:paraId="7F2BC3BE" w14:textId="77777777" w:rsidR="002868F0" w:rsidRPr="004406DC" w:rsidRDefault="002868F0" w:rsidP="004406DC">
            <w:pPr>
              <w:jc w:val="center"/>
              <w:rPr>
                <w:color w:val="000000" w:themeColor="text1"/>
              </w:rPr>
            </w:pPr>
            <w:r w:rsidRPr="004406DC">
              <w:rPr>
                <w:color w:val="000000" w:themeColor="text1"/>
              </w:rPr>
              <w:t>Variable</w:t>
            </w:r>
          </w:p>
        </w:tc>
        <w:tc>
          <w:tcPr>
            <w:tcW w:w="1350" w:type="dxa"/>
            <w:vAlign w:val="center"/>
          </w:tcPr>
          <w:p w14:paraId="4D015F83" w14:textId="77777777" w:rsidR="002868F0" w:rsidRPr="004406DC" w:rsidRDefault="002868F0" w:rsidP="004406DC">
            <w:pPr>
              <w:jc w:val="center"/>
              <w:rPr>
                <w:color w:val="000000" w:themeColor="text1"/>
              </w:rPr>
            </w:pPr>
            <w:r w:rsidRPr="004406DC">
              <w:rPr>
                <w:color w:val="000000" w:themeColor="text1"/>
              </w:rPr>
              <w:t>Coefficient</w:t>
            </w:r>
          </w:p>
        </w:tc>
        <w:tc>
          <w:tcPr>
            <w:tcW w:w="1127" w:type="dxa"/>
            <w:vAlign w:val="center"/>
          </w:tcPr>
          <w:p w14:paraId="48B9F86F" w14:textId="77777777" w:rsidR="002868F0" w:rsidRPr="004406DC" w:rsidRDefault="002868F0" w:rsidP="004406DC">
            <w:pPr>
              <w:jc w:val="center"/>
              <w:rPr>
                <w:color w:val="000000" w:themeColor="text1"/>
              </w:rPr>
            </w:pPr>
            <w:r w:rsidRPr="004406DC">
              <w:rPr>
                <w:color w:val="000000" w:themeColor="text1"/>
              </w:rPr>
              <w:t>Std. error</w:t>
            </w:r>
          </w:p>
        </w:tc>
        <w:tc>
          <w:tcPr>
            <w:tcW w:w="1364" w:type="dxa"/>
            <w:vAlign w:val="center"/>
          </w:tcPr>
          <w:p w14:paraId="217C9DFB" w14:textId="77777777" w:rsidR="002868F0" w:rsidRPr="004406DC" w:rsidRDefault="002868F0" w:rsidP="004406DC">
            <w:pPr>
              <w:jc w:val="center"/>
              <w:rPr>
                <w:color w:val="000000" w:themeColor="text1"/>
              </w:rPr>
            </w:pPr>
            <w:r w:rsidRPr="004406DC">
              <w:rPr>
                <w:color w:val="000000" w:themeColor="text1"/>
              </w:rPr>
              <w:t>t-ratio</w:t>
            </w:r>
          </w:p>
        </w:tc>
        <w:tc>
          <w:tcPr>
            <w:tcW w:w="1289" w:type="dxa"/>
            <w:vAlign w:val="center"/>
          </w:tcPr>
          <w:p w14:paraId="44C56FFD" w14:textId="77777777" w:rsidR="002868F0" w:rsidRPr="004406DC" w:rsidRDefault="002868F0" w:rsidP="004406DC">
            <w:pPr>
              <w:jc w:val="center"/>
              <w:rPr>
                <w:color w:val="000000" w:themeColor="text1"/>
              </w:rPr>
            </w:pPr>
            <w:r w:rsidRPr="004406DC">
              <w:rPr>
                <w:color w:val="000000" w:themeColor="text1"/>
              </w:rPr>
              <w:t>p-value</w:t>
            </w:r>
          </w:p>
        </w:tc>
        <w:tc>
          <w:tcPr>
            <w:tcW w:w="1440" w:type="dxa"/>
            <w:vAlign w:val="center"/>
          </w:tcPr>
          <w:p w14:paraId="65661386" w14:textId="77777777" w:rsidR="002868F0" w:rsidRPr="004406DC" w:rsidRDefault="002868F0" w:rsidP="004406DC">
            <w:pPr>
              <w:jc w:val="center"/>
              <w:rPr>
                <w:color w:val="000000" w:themeColor="text1"/>
              </w:rPr>
            </w:pPr>
            <w:r w:rsidRPr="004406DC">
              <w:rPr>
                <w:color w:val="000000" w:themeColor="text1"/>
              </w:rPr>
              <w:t>Significance level</w:t>
            </w:r>
          </w:p>
        </w:tc>
      </w:tr>
      <w:tr w:rsidR="002868F0" w:rsidRPr="00E31A5B" w14:paraId="679679DE" w14:textId="77777777" w:rsidTr="00EF3F8E">
        <w:trPr>
          <w:jc w:val="center"/>
        </w:trPr>
        <w:tc>
          <w:tcPr>
            <w:tcW w:w="1615" w:type="dxa"/>
          </w:tcPr>
          <w:p w14:paraId="05346054" w14:textId="77777777" w:rsidR="002868F0" w:rsidRPr="004406DC" w:rsidRDefault="002868F0" w:rsidP="004406DC">
            <w:pPr>
              <w:jc w:val="center"/>
              <w:rPr>
                <w:color w:val="000000" w:themeColor="text1"/>
                <w:highlight w:val="yellow"/>
              </w:rPr>
            </w:pPr>
            <w:r w:rsidRPr="004406DC">
              <w:rPr>
                <w:color w:val="000000" w:themeColor="text1"/>
              </w:rPr>
              <w:t>d_IEF_1</w:t>
            </w:r>
          </w:p>
        </w:tc>
        <w:tc>
          <w:tcPr>
            <w:tcW w:w="1350" w:type="dxa"/>
          </w:tcPr>
          <w:p w14:paraId="456034A2" w14:textId="77777777" w:rsidR="002868F0" w:rsidRPr="004406DC" w:rsidRDefault="002868F0" w:rsidP="004406DC">
            <w:pPr>
              <w:jc w:val="center"/>
              <w:rPr>
                <w:color w:val="000000" w:themeColor="text1"/>
                <w:highlight w:val="yellow"/>
              </w:rPr>
            </w:pPr>
            <w:r w:rsidRPr="004406DC">
              <w:rPr>
                <w:color w:val="000000" w:themeColor="text1"/>
              </w:rPr>
              <w:t>0.1012850</w:t>
            </w:r>
          </w:p>
        </w:tc>
        <w:tc>
          <w:tcPr>
            <w:tcW w:w="1127" w:type="dxa"/>
          </w:tcPr>
          <w:p w14:paraId="16CFF495" w14:textId="77777777" w:rsidR="002868F0" w:rsidRPr="004406DC" w:rsidRDefault="002868F0" w:rsidP="004406DC">
            <w:pPr>
              <w:jc w:val="center"/>
              <w:rPr>
                <w:color w:val="000000" w:themeColor="text1"/>
                <w:highlight w:val="yellow"/>
              </w:rPr>
            </w:pPr>
            <w:r w:rsidRPr="004406DC">
              <w:rPr>
                <w:color w:val="000000" w:themeColor="text1"/>
              </w:rPr>
              <w:t>0.102661</w:t>
            </w:r>
          </w:p>
        </w:tc>
        <w:tc>
          <w:tcPr>
            <w:tcW w:w="1364" w:type="dxa"/>
          </w:tcPr>
          <w:p w14:paraId="42E6C7C7" w14:textId="77777777" w:rsidR="002868F0" w:rsidRPr="004406DC" w:rsidRDefault="002868F0" w:rsidP="004406DC">
            <w:pPr>
              <w:jc w:val="center"/>
              <w:rPr>
                <w:color w:val="000000" w:themeColor="text1"/>
                <w:highlight w:val="yellow"/>
              </w:rPr>
            </w:pPr>
            <w:r w:rsidRPr="004406DC">
              <w:rPr>
                <w:color w:val="000000" w:themeColor="text1"/>
              </w:rPr>
              <w:t>0.98660</w:t>
            </w:r>
          </w:p>
        </w:tc>
        <w:tc>
          <w:tcPr>
            <w:tcW w:w="1289" w:type="dxa"/>
          </w:tcPr>
          <w:p w14:paraId="2A8AFA5B" w14:textId="77777777" w:rsidR="002868F0" w:rsidRPr="004406DC" w:rsidRDefault="002868F0" w:rsidP="004406DC">
            <w:pPr>
              <w:jc w:val="center"/>
              <w:rPr>
                <w:color w:val="000000" w:themeColor="text1"/>
                <w:highlight w:val="yellow"/>
              </w:rPr>
            </w:pPr>
            <w:r w:rsidRPr="004406DC">
              <w:rPr>
                <w:color w:val="000000" w:themeColor="text1"/>
              </w:rPr>
              <w:t>0.335600</w:t>
            </w:r>
          </w:p>
        </w:tc>
        <w:tc>
          <w:tcPr>
            <w:tcW w:w="1440" w:type="dxa"/>
          </w:tcPr>
          <w:p w14:paraId="30B33F77" w14:textId="77777777" w:rsidR="002868F0" w:rsidRPr="004406DC" w:rsidRDefault="002868F0" w:rsidP="004406DC">
            <w:pPr>
              <w:jc w:val="center"/>
              <w:rPr>
                <w:color w:val="000000" w:themeColor="text1"/>
                <w:highlight w:val="yellow"/>
              </w:rPr>
            </w:pPr>
          </w:p>
        </w:tc>
      </w:tr>
      <w:tr w:rsidR="002868F0" w:rsidRPr="00E31A5B" w14:paraId="069688B9" w14:textId="77777777" w:rsidTr="00EF3F8E">
        <w:trPr>
          <w:jc w:val="center"/>
        </w:trPr>
        <w:tc>
          <w:tcPr>
            <w:tcW w:w="1615" w:type="dxa"/>
          </w:tcPr>
          <w:p w14:paraId="12CE17FC" w14:textId="77777777" w:rsidR="002868F0" w:rsidRPr="004406DC" w:rsidRDefault="002868F0" w:rsidP="004406DC">
            <w:pPr>
              <w:jc w:val="center"/>
              <w:rPr>
                <w:color w:val="000000" w:themeColor="text1"/>
                <w:highlight w:val="yellow"/>
              </w:rPr>
            </w:pPr>
            <w:r w:rsidRPr="004406DC">
              <w:rPr>
                <w:color w:val="000000" w:themeColor="text1"/>
              </w:rPr>
              <w:t>e_GHGIEF_1</w:t>
            </w:r>
          </w:p>
        </w:tc>
        <w:tc>
          <w:tcPr>
            <w:tcW w:w="1350" w:type="dxa"/>
          </w:tcPr>
          <w:p w14:paraId="077AEC54" w14:textId="77777777" w:rsidR="002868F0" w:rsidRPr="004406DC" w:rsidRDefault="002868F0" w:rsidP="004406DC">
            <w:pPr>
              <w:jc w:val="center"/>
              <w:rPr>
                <w:color w:val="000000" w:themeColor="text1"/>
                <w:highlight w:val="yellow"/>
              </w:rPr>
            </w:pPr>
            <w:r w:rsidRPr="004406DC">
              <w:rPr>
                <w:color w:val="000000" w:themeColor="text1"/>
              </w:rPr>
              <w:t>−0.310630</w:t>
            </w:r>
          </w:p>
        </w:tc>
        <w:tc>
          <w:tcPr>
            <w:tcW w:w="1127" w:type="dxa"/>
          </w:tcPr>
          <w:p w14:paraId="11C8F476" w14:textId="77777777" w:rsidR="002868F0" w:rsidRPr="004406DC" w:rsidRDefault="002868F0" w:rsidP="004406DC">
            <w:pPr>
              <w:jc w:val="center"/>
              <w:rPr>
                <w:color w:val="000000" w:themeColor="text1"/>
                <w:highlight w:val="yellow"/>
              </w:rPr>
            </w:pPr>
            <w:r w:rsidRPr="004406DC">
              <w:rPr>
                <w:color w:val="000000" w:themeColor="text1"/>
              </w:rPr>
              <w:t>0.128120</w:t>
            </w:r>
          </w:p>
        </w:tc>
        <w:tc>
          <w:tcPr>
            <w:tcW w:w="1364" w:type="dxa"/>
          </w:tcPr>
          <w:p w14:paraId="65571135" w14:textId="77777777" w:rsidR="002868F0" w:rsidRPr="004406DC" w:rsidRDefault="002868F0" w:rsidP="004406DC">
            <w:pPr>
              <w:jc w:val="center"/>
              <w:rPr>
                <w:color w:val="000000" w:themeColor="text1"/>
                <w:highlight w:val="yellow"/>
              </w:rPr>
            </w:pPr>
            <w:r w:rsidRPr="004406DC">
              <w:rPr>
                <w:color w:val="000000" w:themeColor="text1"/>
              </w:rPr>
              <w:t>−2.4250</w:t>
            </w:r>
          </w:p>
        </w:tc>
        <w:tc>
          <w:tcPr>
            <w:tcW w:w="1289" w:type="dxa"/>
          </w:tcPr>
          <w:p w14:paraId="583BFCE3" w14:textId="77777777" w:rsidR="002868F0" w:rsidRPr="004406DC" w:rsidRDefault="002868F0" w:rsidP="004406DC">
            <w:pPr>
              <w:jc w:val="center"/>
              <w:rPr>
                <w:color w:val="000000" w:themeColor="text1"/>
                <w:highlight w:val="yellow"/>
              </w:rPr>
            </w:pPr>
            <w:r w:rsidRPr="004406DC">
              <w:rPr>
                <w:color w:val="000000" w:themeColor="text1"/>
              </w:rPr>
              <w:t>0.024900</w:t>
            </w:r>
          </w:p>
        </w:tc>
        <w:tc>
          <w:tcPr>
            <w:tcW w:w="1440" w:type="dxa"/>
          </w:tcPr>
          <w:p w14:paraId="10617A1E" w14:textId="77777777" w:rsidR="002868F0" w:rsidRPr="004406DC" w:rsidRDefault="002868F0" w:rsidP="004406DC">
            <w:pPr>
              <w:jc w:val="center"/>
              <w:rPr>
                <w:color w:val="000000" w:themeColor="text1"/>
                <w:highlight w:val="yellow"/>
              </w:rPr>
            </w:pPr>
            <w:r w:rsidRPr="004406DC">
              <w:rPr>
                <w:color w:val="000000" w:themeColor="text1"/>
              </w:rPr>
              <w:t>**</w:t>
            </w:r>
          </w:p>
        </w:tc>
      </w:tr>
      <w:tr w:rsidR="002868F0" w:rsidRPr="00E31A5B" w14:paraId="68AFD6D2" w14:textId="77777777" w:rsidTr="00EF3F8E">
        <w:trPr>
          <w:jc w:val="center"/>
        </w:trPr>
        <w:tc>
          <w:tcPr>
            <w:tcW w:w="1615" w:type="dxa"/>
          </w:tcPr>
          <w:p w14:paraId="5807E10B" w14:textId="77777777" w:rsidR="002868F0" w:rsidRPr="004406DC" w:rsidRDefault="002868F0" w:rsidP="004406DC">
            <w:pPr>
              <w:jc w:val="center"/>
              <w:rPr>
                <w:color w:val="000000" w:themeColor="text1"/>
                <w:highlight w:val="yellow"/>
              </w:rPr>
            </w:pPr>
            <w:r w:rsidRPr="004406DC">
              <w:rPr>
                <w:color w:val="000000" w:themeColor="text1"/>
              </w:rPr>
              <w:t>d_GHGpc_1</w:t>
            </w:r>
          </w:p>
        </w:tc>
        <w:tc>
          <w:tcPr>
            <w:tcW w:w="1350" w:type="dxa"/>
          </w:tcPr>
          <w:p w14:paraId="415159E8" w14:textId="77777777" w:rsidR="002868F0" w:rsidRPr="004406DC" w:rsidRDefault="002868F0" w:rsidP="004406DC">
            <w:pPr>
              <w:jc w:val="center"/>
              <w:rPr>
                <w:color w:val="000000" w:themeColor="text1"/>
                <w:highlight w:val="yellow"/>
              </w:rPr>
            </w:pPr>
            <w:r w:rsidRPr="004406DC">
              <w:rPr>
                <w:color w:val="000000" w:themeColor="text1"/>
              </w:rPr>
              <w:t>0.010290</w:t>
            </w:r>
          </w:p>
        </w:tc>
        <w:tc>
          <w:tcPr>
            <w:tcW w:w="1127" w:type="dxa"/>
          </w:tcPr>
          <w:p w14:paraId="68F2FD3C" w14:textId="77777777" w:rsidR="002868F0" w:rsidRPr="004406DC" w:rsidRDefault="002868F0" w:rsidP="004406DC">
            <w:pPr>
              <w:jc w:val="center"/>
              <w:rPr>
                <w:color w:val="000000" w:themeColor="text1"/>
                <w:highlight w:val="yellow"/>
              </w:rPr>
            </w:pPr>
            <w:r w:rsidRPr="004406DC">
              <w:rPr>
                <w:color w:val="000000" w:themeColor="text1"/>
              </w:rPr>
              <w:t>0.147446</w:t>
            </w:r>
          </w:p>
        </w:tc>
        <w:tc>
          <w:tcPr>
            <w:tcW w:w="1364" w:type="dxa"/>
          </w:tcPr>
          <w:p w14:paraId="4CE9CC79" w14:textId="77777777" w:rsidR="002868F0" w:rsidRPr="004406DC" w:rsidRDefault="002868F0" w:rsidP="004406DC">
            <w:pPr>
              <w:jc w:val="center"/>
              <w:rPr>
                <w:color w:val="000000" w:themeColor="text1"/>
                <w:highlight w:val="yellow"/>
              </w:rPr>
            </w:pPr>
            <w:r w:rsidRPr="004406DC">
              <w:rPr>
                <w:color w:val="000000" w:themeColor="text1"/>
              </w:rPr>
              <w:t>0.0698</w:t>
            </w:r>
          </w:p>
        </w:tc>
        <w:tc>
          <w:tcPr>
            <w:tcW w:w="1289" w:type="dxa"/>
          </w:tcPr>
          <w:p w14:paraId="40562A74" w14:textId="77777777" w:rsidR="002868F0" w:rsidRPr="004406DC" w:rsidRDefault="002868F0" w:rsidP="004406DC">
            <w:pPr>
              <w:jc w:val="center"/>
              <w:rPr>
                <w:color w:val="000000" w:themeColor="text1"/>
                <w:highlight w:val="yellow"/>
              </w:rPr>
            </w:pPr>
            <w:r w:rsidRPr="004406DC">
              <w:rPr>
                <w:color w:val="000000" w:themeColor="text1"/>
              </w:rPr>
              <w:t>0.945100</w:t>
            </w:r>
          </w:p>
        </w:tc>
        <w:tc>
          <w:tcPr>
            <w:tcW w:w="1440" w:type="dxa"/>
          </w:tcPr>
          <w:p w14:paraId="44A77E94" w14:textId="77777777" w:rsidR="002868F0" w:rsidRPr="004406DC" w:rsidRDefault="002868F0" w:rsidP="004406DC">
            <w:pPr>
              <w:jc w:val="center"/>
              <w:rPr>
                <w:color w:val="000000" w:themeColor="text1"/>
                <w:highlight w:val="yellow"/>
              </w:rPr>
            </w:pPr>
          </w:p>
        </w:tc>
      </w:tr>
    </w:tbl>
    <w:p w14:paraId="423B405F" w14:textId="24756695" w:rsidR="008E7AC8" w:rsidRDefault="008E7AC8" w:rsidP="008E7AC8">
      <w:pPr>
        <w:jc w:val="left"/>
        <w:rPr>
          <w:rFonts w:eastAsiaTheme="minorHAnsi"/>
          <w:b/>
          <w:bCs/>
          <w:iCs/>
          <w:color w:val="000000" w:themeColor="text1"/>
          <w:szCs w:val="24"/>
          <w:lang w:eastAsia="en-US"/>
        </w:rPr>
      </w:pPr>
    </w:p>
    <w:p w14:paraId="46ED3047" w14:textId="77777777" w:rsidR="00074276" w:rsidRDefault="00074276" w:rsidP="008E7AC8">
      <w:pPr>
        <w:jc w:val="left"/>
        <w:rPr>
          <w:rFonts w:eastAsiaTheme="minorHAnsi"/>
          <w:b/>
          <w:bCs/>
          <w:iCs/>
          <w:color w:val="000000" w:themeColor="text1"/>
          <w:szCs w:val="24"/>
          <w:lang w:eastAsia="en-US"/>
        </w:rPr>
      </w:pPr>
    </w:p>
    <w:p w14:paraId="5268D465" w14:textId="077112E4" w:rsidR="008E7AC8" w:rsidRDefault="008E7AC8" w:rsidP="00673795">
      <w:pPr>
        <w:spacing w:after="120"/>
        <w:jc w:val="center"/>
        <w:rPr>
          <w:rFonts w:eastAsiaTheme="minorHAnsi"/>
          <w:b/>
          <w:bCs/>
          <w:iCs/>
          <w:color w:val="000000" w:themeColor="text1"/>
          <w:szCs w:val="24"/>
          <w:lang w:eastAsia="en-US"/>
        </w:rPr>
      </w:pPr>
      <w:r w:rsidRPr="00FE6E57">
        <w:rPr>
          <w:rFonts w:eastAsiaTheme="minorHAnsi"/>
          <w:b/>
          <w:bCs/>
          <w:iCs/>
          <w:color w:val="000000" w:themeColor="text1"/>
          <w:szCs w:val="24"/>
          <w:lang w:eastAsia="en-US"/>
        </w:rPr>
        <w:t>Table 1</w:t>
      </w:r>
      <w:r>
        <w:rPr>
          <w:rFonts w:eastAsiaTheme="minorHAnsi"/>
          <w:b/>
          <w:bCs/>
          <w:iCs/>
          <w:color w:val="000000" w:themeColor="text1"/>
          <w:szCs w:val="24"/>
          <w:lang w:eastAsia="en-US"/>
        </w:rPr>
        <w:t>8</w:t>
      </w:r>
      <w:r w:rsidRPr="00FE6E57">
        <w:rPr>
          <w:rFonts w:eastAsiaTheme="minorHAnsi"/>
          <w:b/>
          <w:bCs/>
          <w:iCs/>
          <w:color w:val="000000" w:themeColor="text1"/>
          <w:szCs w:val="24"/>
          <w:lang w:eastAsia="en-US"/>
        </w:rPr>
        <w:t xml:space="preserve">: </w:t>
      </w:r>
      <w:r w:rsidR="002868F0" w:rsidRPr="002868F0">
        <w:rPr>
          <w:rFonts w:eastAsiaTheme="minorHAnsi"/>
          <w:b/>
          <w:bCs/>
          <w:iCs/>
          <w:color w:val="000000" w:themeColor="text1"/>
          <w:szCs w:val="24"/>
          <w:lang w:eastAsia="en-US"/>
        </w:rPr>
        <w:t>ECM post-model specification test results</w:t>
      </w:r>
    </w:p>
    <w:tbl>
      <w:tblPr>
        <w:tblStyle w:val="TableGrid"/>
        <w:tblW w:w="9360" w:type="dxa"/>
        <w:jc w:val="center"/>
        <w:tblBorders>
          <w:insideV w:val="none" w:sz="0" w:space="0" w:color="auto"/>
        </w:tblBorders>
        <w:tblLayout w:type="fixed"/>
        <w:tblLook w:val="04A0" w:firstRow="1" w:lastRow="0" w:firstColumn="1" w:lastColumn="0" w:noHBand="0" w:noVBand="1"/>
      </w:tblPr>
      <w:tblGrid>
        <w:gridCol w:w="1530"/>
        <w:gridCol w:w="1530"/>
        <w:gridCol w:w="1350"/>
        <w:gridCol w:w="1170"/>
        <w:gridCol w:w="1260"/>
        <w:gridCol w:w="1170"/>
        <w:gridCol w:w="1350"/>
      </w:tblGrid>
      <w:tr w:rsidR="00EF48BB" w:rsidRPr="006028B8" w14:paraId="035EF79D" w14:textId="77777777" w:rsidTr="00EF3F8E">
        <w:trPr>
          <w:trHeight w:val="431"/>
          <w:jc w:val="center"/>
        </w:trPr>
        <w:tc>
          <w:tcPr>
            <w:tcW w:w="1530" w:type="dxa"/>
            <w:vAlign w:val="center"/>
          </w:tcPr>
          <w:p w14:paraId="40D3BD62" w14:textId="77777777" w:rsidR="002868F0" w:rsidRPr="004406DC" w:rsidRDefault="002868F0" w:rsidP="004406DC">
            <w:pPr>
              <w:jc w:val="center"/>
              <w:rPr>
                <w:color w:val="000000" w:themeColor="text1"/>
              </w:rPr>
            </w:pPr>
            <w:r w:rsidRPr="004406DC">
              <w:rPr>
                <w:color w:val="000000" w:themeColor="text1"/>
              </w:rPr>
              <w:t>Test:</w:t>
            </w:r>
          </w:p>
        </w:tc>
        <w:tc>
          <w:tcPr>
            <w:tcW w:w="1530" w:type="dxa"/>
            <w:vAlign w:val="center"/>
          </w:tcPr>
          <w:p w14:paraId="16152BC6" w14:textId="5EBC2A48" w:rsidR="002868F0" w:rsidRPr="004406DC" w:rsidRDefault="002868F0" w:rsidP="004406DC">
            <w:pPr>
              <w:jc w:val="center"/>
              <w:rPr>
                <w:color w:val="000000" w:themeColor="text1"/>
              </w:rPr>
            </w:pPr>
            <w:r w:rsidRPr="004406DC">
              <w:rPr>
                <w:color w:val="000000" w:themeColor="text1"/>
              </w:rPr>
              <w:t>Ramsey’s RESET</w:t>
            </w:r>
          </w:p>
        </w:tc>
        <w:tc>
          <w:tcPr>
            <w:tcW w:w="1350" w:type="dxa"/>
            <w:vAlign w:val="center"/>
          </w:tcPr>
          <w:p w14:paraId="453D163C" w14:textId="77777777" w:rsidR="002868F0" w:rsidRPr="004406DC" w:rsidRDefault="002868F0" w:rsidP="004406DC">
            <w:pPr>
              <w:jc w:val="center"/>
              <w:rPr>
                <w:color w:val="000000" w:themeColor="text1"/>
              </w:rPr>
            </w:pPr>
            <w:r w:rsidRPr="004406DC">
              <w:rPr>
                <w:color w:val="000000" w:themeColor="text1"/>
              </w:rPr>
              <w:t>White’s</w:t>
            </w:r>
          </w:p>
        </w:tc>
        <w:tc>
          <w:tcPr>
            <w:tcW w:w="1170" w:type="dxa"/>
            <w:vAlign w:val="center"/>
          </w:tcPr>
          <w:p w14:paraId="538AC454" w14:textId="77777777" w:rsidR="002868F0" w:rsidRPr="004406DC" w:rsidRDefault="002868F0" w:rsidP="004406DC">
            <w:pPr>
              <w:jc w:val="center"/>
              <w:rPr>
                <w:color w:val="000000" w:themeColor="text1"/>
              </w:rPr>
            </w:pPr>
            <w:r w:rsidRPr="004406DC">
              <w:rPr>
                <w:color w:val="000000" w:themeColor="text1"/>
              </w:rPr>
              <w:t>ARCH</w:t>
            </w:r>
          </w:p>
        </w:tc>
        <w:tc>
          <w:tcPr>
            <w:tcW w:w="1260" w:type="dxa"/>
            <w:vAlign w:val="center"/>
          </w:tcPr>
          <w:p w14:paraId="0D9A9DC4" w14:textId="77777777" w:rsidR="002868F0" w:rsidRPr="004406DC" w:rsidRDefault="002868F0" w:rsidP="004406DC">
            <w:pPr>
              <w:jc w:val="center"/>
              <w:rPr>
                <w:color w:val="000000" w:themeColor="text1"/>
              </w:rPr>
            </w:pPr>
            <w:r w:rsidRPr="004406DC">
              <w:rPr>
                <w:color w:val="000000" w:themeColor="text1"/>
              </w:rPr>
              <w:t>Normality</w:t>
            </w:r>
          </w:p>
        </w:tc>
        <w:tc>
          <w:tcPr>
            <w:tcW w:w="1170" w:type="dxa"/>
            <w:vAlign w:val="center"/>
          </w:tcPr>
          <w:p w14:paraId="7FA3141C" w14:textId="1C26C65B" w:rsidR="002868F0" w:rsidRPr="004406DC" w:rsidRDefault="00F231BD" w:rsidP="004406DC">
            <w:pPr>
              <w:jc w:val="center"/>
              <w:rPr>
                <w:color w:val="000000" w:themeColor="text1"/>
              </w:rPr>
            </w:pPr>
            <w:r>
              <w:rPr>
                <w:color w:val="000000" w:themeColor="text1"/>
              </w:rPr>
              <w:t>Autoc</w:t>
            </w:r>
            <w:r w:rsidR="002868F0" w:rsidRPr="004406DC">
              <w:rPr>
                <w:color w:val="000000" w:themeColor="text1"/>
              </w:rPr>
              <w:t>orrelation</w:t>
            </w:r>
          </w:p>
        </w:tc>
        <w:tc>
          <w:tcPr>
            <w:tcW w:w="1350" w:type="dxa"/>
            <w:vAlign w:val="center"/>
          </w:tcPr>
          <w:p w14:paraId="2E4760F2" w14:textId="77777777" w:rsidR="002868F0" w:rsidRPr="004406DC" w:rsidRDefault="002868F0" w:rsidP="004406DC">
            <w:pPr>
              <w:jc w:val="center"/>
              <w:rPr>
                <w:color w:val="000000" w:themeColor="text1"/>
              </w:rPr>
            </w:pPr>
            <w:r w:rsidRPr="004406DC">
              <w:rPr>
                <w:color w:val="000000" w:themeColor="text1"/>
              </w:rPr>
              <w:t>CUSUM</w:t>
            </w:r>
          </w:p>
        </w:tc>
      </w:tr>
      <w:tr w:rsidR="00F231BD" w:rsidRPr="006028B8" w14:paraId="71672E7F" w14:textId="77777777" w:rsidTr="00EF3F8E">
        <w:trPr>
          <w:jc w:val="center"/>
        </w:trPr>
        <w:tc>
          <w:tcPr>
            <w:tcW w:w="1530" w:type="dxa"/>
            <w:shd w:val="clear" w:color="auto" w:fill="auto"/>
            <w:vAlign w:val="center"/>
          </w:tcPr>
          <w:p w14:paraId="4C6C9B96" w14:textId="3F5347E0" w:rsidR="00F231BD" w:rsidRPr="00F34E40" w:rsidRDefault="00F231BD" w:rsidP="004406DC">
            <w:pPr>
              <w:jc w:val="center"/>
              <w:rPr>
                <w:i/>
                <w:iCs/>
                <w:color w:val="000000" w:themeColor="text1"/>
              </w:rPr>
            </w:pPr>
            <w:r w:rsidRPr="00F34E40">
              <w:rPr>
                <w:i/>
                <w:iCs/>
                <w:color w:val="000000" w:themeColor="text1"/>
              </w:rPr>
              <w:t>Test Objective</w:t>
            </w:r>
          </w:p>
        </w:tc>
        <w:tc>
          <w:tcPr>
            <w:tcW w:w="1530" w:type="dxa"/>
            <w:vAlign w:val="center"/>
          </w:tcPr>
          <w:p w14:paraId="7D99A8F3" w14:textId="0090446E" w:rsidR="00F231BD" w:rsidRPr="00F34E40" w:rsidRDefault="00F231BD" w:rsidP="004406DC">
            <w:pPr>
              <w:jc w:val="center"/>
              <w:rPr>
                <w:i/>
                <w:iCs/>
                <w:color w:val="000000" w:themeColor="text1"/>
              </w:rPr>
            </w:pPr>
            <w:r w:rsidRPr="00F34E40">
              <w:rPr>
                <w:i/>
                <w:iCs/>
                <w:color w:val="000000" w:themeColor="text1"/>
              </w:rPr>
              <w:t>Model specification</w:t>
            </w:r>
          </w:p>
        </w:tc>
        <w:tc>
          <w:tcPr>
            <w:tcW w:w="1350" w:type="dxa"/>
            <w:vAlign w:val="center"/>
          </w:tcPr>
          <w:p w14:paraId="33BAB35D" w14:textId="1C761A4B" w:rsidR="00F231BD" w:rsidRPr="00F34E40" w:rsidRDefault="00F231BD" w:rsidP="00F231BD">
            <w:pPr>
              <w:jc w:val="center"/>
              <w:rPr>
                <w:i/>
                <w:iCs/>
                <w:color w:val="000000" w:themeColor="text1"/>
              </w:rPr>
            </w:pPr>
            <w:r w:rsidRPr="00F34E40">
              <w:rPr>
                <w:i/>
                <w:iCs/>
                <w:color w:val="000000" w:themeColor="text1"/>
              </w:rPr>
              <w:t>Hetero-</w:t>
            </w:r>
          </w:p>
          <w:p w14:paraId="0AF35BDB" w14:textId="1C7FB461" w:rsidR="00F231BD" w:rsidRPr="00F34E40" w:rsidRDefault="00F231BD" w:rsidP="00F231BD">
            <w:pPr>
              <w:jc w:val="center"/>
              <w:rPr>
                <w:i/>
                <w:iCs/>
                <w:color w:val="000000" w:themeColor="text1"/>
              </w:rPr>
            </w:pPr>
            <w:proofErr w:type="spellStart"/>
            <w:r w:rsidRPr="00F34E40">
              <w:rPr>
                <w:i/>
                <w:iCs/>
                <w:color w:val="000000" w:themeColor="text1"/>
              </w:rPr>
              <w:t>skedasticity</w:t>
            </w:r>
            <w:proofErr w:type="spellEnd"/>
          </w:p>
        </w:tc>
        <w:tc>
          <w:tcPr>
            <w:tcW w:w="1170" w:type="dxa"/>
            <w:vAlign w:val="center"/>
          </w:tcPr>
          <w:p w14:paraId="3517917D" w14:textId="430AC638" w:rsidR="00F231BD" w:rsidRPr="00F34E40" w:rsidRDefault="00F231BD" w:rsidP="004406DC">
            <w:pPr>
              <w:jc w:val="center"/>
              <w:rPr>
                <w:i/>
                <w:iCs/>
                <w:color w:val="000000" w:themeColor="text1"/>
              </w:rPr>
            </w:pPr>
            <w:r w:rsidRPr="00F34E40">
              <w:rPr>
                <w:i/>
                <w:iCs/>
                <w:color w:val="000000" w:themeColor="text1"/>
              </w:rPr>
              <w:t>ARCH effect</w:t>
            </w:r>
          </w:p>
        </w:tc>
        <w:tc>
          <w:tcPr>
            <w:tcW w:w="1260" w:type="dxa"/>
            <w:vAlign w:val="center"/>
          </w:tcPr>
          <w:p w14:paraId="64353356" w14:textId="4A484D14" w:rsidR="00F231BD" w:rsidRPr="00F34E40" w:rsidRDefault="00F231BD" w:rsidP="004406DC">
            <w:pPr>
              <w:jc w:val="center"/>
              <w:rPr>
                <w:i/>
                <w:iCs/>
                <w:color w:val="000000" w:themeColor="text1"/>
              </w:rPr>
            </w:pPr>
            <w:r w:rsidRPr="00F34E40">
              <w:rPr>
                <w:i/>
                <w:iCs/>
                <w:color w:val="000000" w:themeColor="text1"/>
              </w:rPr>
              <w:t>Normality of the residual</w:t>
            </w:r>
          </w:p>
        </w:tc>
        <w:tc>
          <w:tcPr>
            <w:tcW w:w="1170" w:type="dxa"/>
            <w:vAlign w:val="center"/>
          </w:tcPr>
          <w:p w14:paraId="67FF5CA8" w14:textId="01F4EFB0" w:rsidR="00F231BD" w:rsidRPr="00F34E40" w:rsidRDefault="00F231BD" w:rsidP="004406DC">
            <w:pPr>
              <w:jc w:val="center"/>
              <w:rPr>
                <w:i/>
                <w:iCs/>
                <w:color w:val="000000" w:themeColor="text1"/>
              </w:rPr>
            </w:pPr>
            <w:r w:rsidRPr="00F34E40">
              <w:rPr>
                <w:i/>
                <w:iCs/>
                <w:color w:val="000000" w:themeColor="text1"/>
              </w:rPr>
              <w:t>Serial Correlation</w:t>
            </w:r>
          </w:p>
        </w:tc>
        <w:tc>
          <w:tcPr>
            <w:tcW w:w="1350" w:type="dxa"/>
            <w:vAlign w:val="center"/>
          </w:tcPr>
          <w:p w14:paraId="4A9280E2" w14:textId="68373E7A" w:rsidR="00F231BD" w:rsidRPr="00F34E40" w:rsidRDefault="00F231BD" w:rsidP="004406DC">
            <w:pPr>
              <w:jc w:val="center"/>
              <w:rPr>
                <w:i/>
                <w:iCs/>
                <w:color w:val="000000" w:themeColor="text1"/>
              </w:rPr>
            </w:pPr>
            <w:r w:rsidRPr="00F34E40">
              <w:rPr>
                <w:i/>
                <w:iCs/>
                <w:color w:val="000000" w:themeColor="text1"/>
              </w:rPr>
              <w:t>Parameter stability</w:t>
            </w:r>
          </w:p>
        </w:tc>
      </w:tr>
      <w:tr w:rsidR="00EF48BB" w:rsidRPr="006028B8" w14:paraId="69E31515" w14:textId="77777777" w:rsidTr="00EF3F8E">
        <w:trPr>
          <w:jc w:val="center"/>
        </w:trPr>
        <w:tc>
          <w:tcPr>
            <w:tcW w:w="1530" w:type="dxa"/>
            <w:shd w:val="clear" w:color="auto" w:fill="auto"/>
            <w:vAlign w:val="center"/>
          </w:tcPr>
          <w:p w14:paraId="6D4DF163" w14:textId="77777777" w:rsidR="002868F0" w:rsidRPr="00F34E40" w:rsidRDefault="002868F0" w:rsidP="004406DC">
            <w:pPr>
              <w:jc w:val="center"/>
              <w:rPr>
                <w:i/>
                <w:iCs/>
                <w:color w:val="000000" w:themeColor="text1"/>
                <w:highlight w:val="yellow"/>
              </w:rPr>
            </w:pPr>
            <w:r w:rsidRPr="00F34E40">
              <w:rPr>
                <w:i/>
                <w:iCs/>
                <w:color w:val="000000" w:themeColor="text1"/>
              </w:rPr>
              <w:t>Null Hypothesis:</w:t>
            </w:r>
          </w:p>
        </w:tc>
        <w:tc>
          <w:tcPr>
            <w:tcW w:w="1530" w:type="dxa"/>
            <w:vAlign w:val="center"/>
          </w:tcPr>
          <w:p w14:paraId="62325B5F" w14:textId="77777777" w:rsidR="002868F0" w:rsidRPr="00F34E40" w:rsidRDefault="002868F0" w:rsidP="004406DC">
            <w:pPr>
              <w:jc w:val="center"/>
              <w:rPr>
                <w:i/>
                <w:iCs/>
                <w:color w:val="000000" w:themeColor="text1"/>
                <w:highlight w:val="yellow"/>
              </w:rPr>
            </w:pPr>
            <w:r w:rsidRPr="00F34E40">
              <w:rPr>
                <w:i/>
                <w:iCs/>
                <w:color w:val="000000" w:themeColor="text1"/>
              </w:rPr>
              <w:t>The model specification is adequate</w:t>
            </w:r>
          </w:p>
        </w:tc>
        <w:tc>
          <w:tcPr>
            <w:tcW w:w="1350" w:type="dxa"/>
            <w:vAlign w:val="center"/>
          </w:tcPr>
          <w:p w14:paraId="40E847D1" w14:textId="77777777" w:rsidR="002868F0" w:rsidRPr="00F34E40" w:rsidRDefault="002868F0" w:rsidP="004406DC">
            <w:pPr>
              <w:jc w:val="center"/>
              <w:rPr>
                <w:i/>
                <w:iCs/>
                <w:color w:val="000000" w:themeColor="text1"/>
              </w:rPr>
            </w:pPr>
            <w:r w:rsidRPr="00F34E40">
              <w:rPr>
                <w:i/>
                <w:iCs/>
                <w:color w:val="000000" w:themeColor="text1"/>
              </w:rPr>
              <w:t>Homo-</w:t>
            </w:r>
          </w:p>
          <w:p w14:paraId="2A1803E1" w14:textId="77777777" w:rsidR="002868F0" w:rsidRPr="00F34E40" w:rsidRDefault="002868F0" w:rsidP="004406DC">
            <w:pPr>
              <w:jc w:val="center"/>
              <w:rPr>
                <w:i/>
                <w:iCs/>
                <w:color w:val="000000" w:themeColor="text1"/>
                <w:highlight w:val="yellow"/>
              </w:rPr>
            </w:pPr>
            <w:proofErr w:type="spellStart"/>
            <w:r w:rsidRPr="00F34E40">
              <w:rPr>
                <w:i/>
                <w:iCs/>
                <w:color w:val="000000" w:themeColor="text1"/>
              </w:rPr>
              <w:t>skedasticity</w:t>
            </w:r>
            <w:proofErr w:type="spellEnd"/>
            <w:r w:rsidRPr="00F34E40">
              <w:rPr>
                <w:i/>
                <w:iCs/>
                <w:color w:val="000000" w:themeColor="text1"/>
              </w:rPr>
              <w:t xml:space="preserve"> </w:t>
            </w:r>
          </w:p>
        </w:tc>
        <w:tc>
          <w:tcPr>
            <w:tcW w:w="1170" w:type="dxa"/>
            <w:vAlign w:val="center"/>
          </w:tcPr>
          <w:p w14:paraId="7659983D" w14:textId="77777777" w:rsidR="002868F0" w:rsidRPr="00F34E40" w:rsidRDefault="002868F0" w:rsidP="004406DC">
            <w:pPr>
              <w:jc w:val="center"/>
              <w:rPr>
                <w:i/>
                <w:iCs/>
                <w:color w:val="000000" w:themeColor="text1"/>
                <w:highlight w:val="yellow"/>
              </w:rPr>
            </w:pPr>
            <w:r w:rsidRPr="00F34E40">
              <w:rPr>
                <w:i/>
                <w:iCs/>
                <w:color w:val="000000" w:themeColor="text1"/>
              </w:rPr>
              <w:t>No ARCH</w:t>
            </w:r>
          </w:p>
        </w:tc>
        <w:tc>
          <w:tcPr>
            <w:tcW w:w="1260" w:type="dxa"/>
            <w:vAlign w:val="center"/>
          </w:tcPr>
          <w:p w14:paraId="663263A1" w14:textId="77777777" w:rsidR="002868F0" w:rsidRPr="00F34E40" w:rsidRDefault="002868F0" w:rsidP="004406DC">
            <w:pPr>
              <w:jc w:val="center"/>
              <w:rPr>
                <w:i/>
                <w:iCs/>
                <w:color w:val="000000" w:themeColor="text1"/>
              </w:rPr>
            </w:pPr>
            <w:proofErr w:type="gramStart"/>
            <w:r w:rsidRPr="00F34E40">
              <w:rPr>
                <w:i/>
                <w:iCs/>
                <w:color w:val="000000" w:themeColor="text1"/>
              </w:rPr>
              <w:t>Normally-distributed</w:t>
            </w:r>
            <w:proofErr w:type="gramEnd"/>
            <w:r w:rsidRPr="00F34E40">
              <w:rPr>
                <w:i/>
                <w:iCs/>
                <w:color w:val="000000" w:themeColor="text1"/>
              </w:rPr>
              <w:t xml:space="preserve"> error</w:t>
            </w:r>
          </w:p>
        </w:tc>
        <w:tc>
          <w:tcPr>
            <w:tcW w:w="1170" w:type="dxa"/>
            <w:vAlign w:val="center"/>
          </w:tcPr>
          <w:p w14:paraId="362500EA" w14:textId="77777777" w:rsidR="002868F0" w:rsidRPr="00F34E40" w:rsidRDefault="002868F0" w:rsidP="004406DC">
            <w:pPr>
              <w:jc w:val="center"/>
              <w:rPr>
                <w:i/>
                <w:iCs/>
                <w:color w:val="000000" w:themeColor="text1"/>
              </w:rPr>
            </w:pPr>
            <w:r w:rsidRPr="00F34E40">
              <w:rPr>
                <w:i/>
                <w:iCs/>
                <w:color w:val="000000" w:themeColor="text1"/>
              </w:rPr>
              <w:t>No serial correlation</w:t>
            </w:r>
          </w:p>
        </w:tc>
        <w:tc>
          <w:tcPr>
            <w:tcW w:w="1350" w:type="dxa"/>
            <w:vAlign w:val="center"/>
          </w:tcPr>
          <w:p w14:paraId="44A0DA4A" w14:textId="77777777" w:rsidR="002868F0" w:rsidRPr="00F34E40" w:rsidRDefault="002868F0" w:rsidP="004406DC">
            <w:pPr>
              <w:jc w:val="center"/>
              <w:rPr>
                <w:i/>
                <w:iCs/>
                <w:color w:val="000000" w:themeColor="text1"/>
              </w:rPr>
            </w:pPr>
            <w:r w:rsidRPr="00F34E40">
              <w:rPr>
                <w:i/>
                <w:iCs/>
                <w:color w:val="000000" w:themeColor="text1"/>
              </w:rPr>
              <w:t>No change in the parameters</w:t>
            </w:r>
          </w:p>
        </w:tc>
      </w:tr>
      <w:tr w:rsidR="00F34E40" w:rsidRPr="006028B8" w14:paraId="154619BD" w14:textId="77777777" w:rsidTr="00EF3F8E">
        <w:trPr>
          <w:jc w:val="center"/>
        </w:trPr>
        <w:tc>
          <w:tcPr>
            <w:tcW w:w="1530" w:type="dxa"/>
            <w:vAlign w:val="center"/>
          </w:tcPr>
          <w:p w14:paraId="72523F6B" w14:textId="29F84A34" w:rsidR="00F34E40" w:rsidRPr="00F34E40" w:rsidRDefault="00F34E40" w:rsidP="00F231BD">
            <w:pPr>
              <w:jc w:val="center"/>
              <w:rPr>
                <w:i/>
                <w:iCs/>
                <w:color w:val="000000" w:themeColor="text1"/>
              </w:rPr>
            </w:pPr>
            <w:r w:rsidRPr="00F34E40">
              <w:rPr>
                <w:i/>
                <w:iCs/>
                <w:color w:val="000000" w:themeColor="text1"/>
              </w:rPr>
              <w:t>Test statistic</w:t>
            </w:r>
          </w:p>
        </w:tc>
        <w:tc>
          <w:tcPr>
            <w:tcW w:w="1530" w:type="dxa"/>
            <w:vAlign w:val="center"/>
          </w:tcPr>
          <w:p w14:paraId="5857E315" w14:textId="35437BA4" w:rsidR="00F34E40" w:rsidRPr="00F34E40" w:rsidRDefault="00F34E40" w:rsidP="004406DC">
            <w:pPr>
              <w:jc w:val="center"/>
              <w:rPr>
                <w:i/>
                <w:iCs/>
                <w:color w:val="000000" w:themeColor="text1"/>
              </w:rPr>
            </w:pPr>
            <w:r w:rsidRPr="00F34E40">
              <w:rPr>
                <w:i/>
                <w:iCs/>
                <w:color w:val="000000" w:themeColor="text1"/>
              </w:rPr>
              <w:t>F</w:t>
            </w:r>
          </w:p>
        </w:tc>
        <w:tc>
          <w:tcPr>
            <w:tcW w:w="1350" w:type="dxa"/>
            <w:vAlign w:val="center"/>
          </w:tcPr>
          <w:p w14:paraId="3EAF8D19" w14:textId="6E212CE1" w:rsidR="00F34E40" w:rsidRPr="00F34E40" w:rsidRDefault="00F34E40" w:rsidP="004406DC">
            <w:pPr>
              <w:jc w:val="center"/>
              <w:rPr>
                <w:i/>
                <w:iCs/>
                <w:color w:val="000000" w:themeColor="text1"/>
              </w:rPr>
            </w:pPr>
            <w:r w:rsidRPr="00F34E40">
              <w:rPr>
                <w:i/>
                <w:iCs/>
                <w:color w:val="000000" w:themeColor="text1"/>
              </w:rPr>
              <w:t>LM</w:t>
            </w:r>
          </w:p>
        </w:tc>
        <w:tc>
          <w:tcPr>
            <w:tcW w:w="1170" w:type="dxa"/>
            <w:vAlign w:val="center"/>
          </w:tcPr>
          <w:p w14:paraId="6FC4C435" w14:textId="2F90E7B4" w:rsidR="00F34E40" w:rsidRPr="00F34E40" w:rsidRDefault="00F34E40" w:rsidP="004406DC">
            <w:pPr>
              <w:jc w:val="center"/>
              <w:rPr>
                <w:i/>
                <w:iCs/>
                <w:color w:val="000000" w:themeColor="text1"/>
              </w:rPr>
            </w:pPr>
            <w:r w:rsidRPr="00F34E40">
              <w:rPr>
                <w:i/>
                <w:iCs/>
                <w:color w:val="000000" w:themeColor="text1"/>
              </w:rPr>
              <w:t>LM</w:t>
            </w:r>
          </w:p>
        </w:tc>
        <w:tc>
          <w:tcPr>
            <w:tcW w:w="1260" w:type="dxa"/>
            <w:vAlign w:val="center"/>
          </w:tcPr>
          <w:p w14:paraId="6AA81412" w14:textId="3E92B6D6" w:rsidR="00F34E40" w:rsidRPr="00F34E40" w:rsidRDefault="00F34E40" w:rsidP="004406DC">
            <w:pPr>
              <w:jc w:val="center"/>
              <w:rPr>
                <w:i/>
                <w:iCs/>
                <w:color w:val="000000" w:themeColor="text1"/>
              </w:rPr>
            </w:pPr>
            <w:r w:rsidRPr="00F34E40">
              <w:rPr>
                <w:i/>
                <w:iCs/>
                <w:color w:val="000000" w:themeColor="text1"/>
              </w:rPr>
              <w:t>Chi-Square</w:t>
            </w:r>
          </w:p>
        </w:tc>
        <w:tc>
          <w:tcPr>
            <w:tcW w:w="1170" w:type="dxa"/>
            <w:vAlign w:val="center"/>
          </w:tcPr>
          <w:p w14:paraId="4D16E941" w14:textId="6AAF2F4E" w:rsidR="00F34E40" w:rsidRPr="00F34E40" w:rsidRDefault="00F34E40" w:rsidP="004406DC">
            <w:pPr>
              <w:jc w:val="center"/>
              <w:rPr>
                <w:i/>
                <w:iCs/>
                <w:color w:val="000000" w:themeColor="text1"/>
              </w:rPr>
            </w:pPr>
            <w:r w:rsidRPr="00F34E40">
              <w:rPr>
                <w:i/>
                <w:iCs/>
                <w:color w:val="000000" w:themeColor="text1"/>
              </w:rPr>
              <w:t>LMF</w:t>
            </w:r>
          </w:p>
        </w:tc>
        <w:tc>
          <w:tcPr>
            <w:tcW w:w="1350" w:type="dxa"/>
            <w:vAlign w:val="center"/>
          </w:tcPr>
          <w:p w14:paraId="02FF3FFA" w14:textId="0484CFA1" w:rsidR="00F34E40" w:rsidRPr="00F34E40" w:rsidRDefault="00F34E40" w:rsidP="004406DC">
            <w:pPr>
              <w:jc w:val="center"/>
              <w:rPr>
                <w:i/>
                <w:iCs/>
                <w:color w:val="000000" w:themeColor="text1"/>
              </w:rPr>
            </w:pPr>
            <w:r w:rsidRPr="00F34E40">
              <w:rPr>
                <w:i/>
                <w:iCs/>
                <w:color w:val="000000" w:themeColor="text1"/>
              </w:rPr>
              <w:t>Harvey-Collier t</w:t>
            </w:r>
          </w:p>
        </w:tc>
      </w:tr>
      <w:tr w:rsidR="00EF48BB" w:rsidRPr="006028B8" w14:paraId="7A13C27B" w14:textId="77777777" w:rsidTr="00EF3F8E">
        <w:trPr>
          <w:jc w:val="center"/>
        </w:trPr>
        <w:tc>
          <w:tcPr>
            <w:tcW w:w="1530" w:type="dxa"/>
            <w:vAlign w:val="center"/>
          </w:tcPr>
          <w:p w14:paraId="47ACBC6B" w14:textId="1FB93BC6" w:rsidR="002868F0" w:rsidRPr="004406DC" w:rsidRDefault="002868F0" w:rsidP="00F231BD">
            <w:pPr>
              <w:jc w:val="center"/>
              <w:rPr>
                <w:color w:val="000000" w:themeColor="text1"/>
              </w:rPr>
            </w:pPr>
            <w:r w:rsidRPr="004406DC">
              <w:rPr>
                <w:color w:val="000000" w:themeColor="text1"/>
              </w:rPr>
              <w:t>GHGpc - GDPpc</w:t>
            </w:r>
          </w:p>
          <w:p w14:paraId="48C51D07" w14:textId="77777777" w:rsidR="002868F0" w:rsidRPr="004406DC" w:rsidRDefault="002868F0" w:rsidP="00F231BD">
            <w:pPr>
              <w:jc w:val="center"/>
              <w:rPr>
                <w:color w:val="000000" w:themeColor="text1"/>
              </w:rPr>
            </w:pPr>
            <w:r w:rsidRPr="004406DC">
              <w:rPr>
                <w:color w:val="000000" w:themeColor="text1"/>
              </w:rPr>
              <w:t>p-values:</w:t>
            </w:r>
          </w:p>
        </w:tc>
        <w:tc>
          <w:tcPr>
            <w:tcW w:w="1530" w:type="dxa"/>
            <w:vAlign w:val="center"/>
          </w:tcPr>
          <w:p w14:paraId="4CF76C4F" w14:textId="77777777" w:rsidR="002868F0" w:rsidRPr="004406DC" w:rsidRDefault="002868F0" w:rsidP="004406DC">
            <w:pPr>
              <w:jc w:val="center"/>
              <w:rPr>
                <w:color w:val="000000" w:themeColor="text1"/>
              </w:rPr>
            </w:pPr>
            <w:r w:rsidRPr="004406DC">
              <w:rPr>
                <w:color w:val="000000" w:themeColor="text1"/>
              </w:rPr>
              <w:t>0.951177</w:t>
            </w:r>
          </w:p>
        </w:tc>
        <w:tc>
          <w:tcPr>
            <w:tcW w:w="1350" w:type="dxa"/>
            <w:vAlign w:val="center"/>
          </w:tcPr>
          <w:p w14:paraId="4B02F993" w14:textId="77777777" w:rsidR="002868F0" w:rsidRPr="004406DC" w:rsidRDefault="002868F0" w:rsidP="004406DC">
            <w:pPr>
              <w:jc w:val="center"/>
              <w:rPr>
                <w:color w:val="000000" w:themeColor="text1"/>
              </w:rPr>
            </w:pPr>
            <w:r w:rsidRPr="004406DC">
              <w:rPr>
                <w:color w:val="000000" w:themeColor="text1"/>
              </w:rPr>
              <w:t>0.309151</w:t>
            </w:r>
          </w:p>
        </w:tc>
        <w:tc>
          <w:tcPr>
            <w:tcW w:w="1170" w:type="dxa"/>
            <w:vAlign w:val="center"/>
          </w:tcPr>
          <w:p w14:paraId="4C2D654D" w14:textId="77777777" w:rsidR="002868F0" w:rsidRPr="004406DC" w:rsidRDefault="002868F0" w:rsidP="004406DC">
            <w:pPr>
              <w:jc w:val="center"/>
              <w:rPr>
                <w:color w:val="000000" w:themeColor="text1"/>
              </w:rPr>
            </w:pPr>
            <w:r w:rsidRPr="004406DC">
              <w:rPr>
                <w:color w:val="000000" w:themeColor="text1"/>
              </w:rPr>
              <w:t>0.466839</w:t>
            </w:r>
          </w:p>
        </w:tc>
        <w:tc>
          <w:tcPr>
            <w:tcW w:w="1260" w:type="dxa"/>
            <w:vAlign w:val="center"/>
          </w:tcPr>
          <w:p w14:paraId="04942034" w14:textId="77777777" w:rsidR="002868F0" w:rsidRPr="004406DC" w:rsidRDefault="002868F0" w:rsidP="004406DC">
            <w:pPr>
              <w:jc w:val="center"/>
              <w:rPr>
                <w:color w:val="000000" w:themeColor="text1"/>
              </w:rPr>
            </w:pPr>
            <w:r w:rsidRPr="004406DC">
              <w:rPr>
                <w:color w:val="000000" w:themeColor="text1"/>
              </w:rPr>
              <w:t>0.378046</w:t>
            </w:r>
          </w:p>
        </w:tc>
        <w:tc>
          <w:tcPr>
            <w:tcW w:w="1170" w:type="dxa"/>
            <w:vAlign w:val="center"/>
          </w:tcPr>
          <w:p w14:paraId="41A42D94" w14:textId="77777777" w:rsidR="002868F0" w:rsidRPr="004406DC" w:rsidRDefault="002868F0" w:rsidP="004406DC">
            <w:pPr>
              <w:jc w:val="center"/>
              <w:rPr>
                <w:color w:val="000000" w:themeColor="text1"/>
              </w:rPr>
            </w:pPr>
            <w:r w:rsidRPr="004406DC">
              <w:rPr>
                <w:color w:val="000000" w:themeColor="text1"/>
              </w:rPr>
              <w:t>0.985154</w:t>
            </w:r>
          </w:p>
        </w:tc>
        <w:tc>
          <w:tcPr>
            <w:tcW w:w="1350" w:type="dxa"/>
            <w:vAlign w:val="center"/>
          </w:tcPr>
          <w:p w14:paraId="52755391" w14:textId="77777777" w:rsidR="002868F0" w:rsidRPr="004406DC" w:rsidRDefault="002868F0" w:rsidP="004406DC">
            <w:pPr>
              <w:jc w:val="center"/>
              <w:rPr>
                <w:color w:val="000000" w:themeColor="text1"/>
              </w:rPr>
            </w:pPr>
            <w:r w:rsidRPr="004406DC">
              <w:rPr>
                <w:color w:val="000000" w:themeColor="text1"/>
              </w:rPr>
              <w:t>0.502591</w:t>
            </w:r>
          </w:p>
        </w:tc>
      </w:tr>
      <w:tr w:rsidR="00EF48BB" w:rsidRPr="006028B8" w14:paraId="68B1F901" w14:textId="77777777" w:rsidTr="00EF3F8E">
        <w:trPr>
          <w:jc w:val="center"/>
        </w:trPr>
        <w:tc>
          <w:tcPr>
            <w:tcW w:w="1530" w:type="dxa"/>
            <w:vAlign w:val="center"/>
          </w:tcPr>
          <w:p w14:paraId="6318DC99" w14:textId="77777777" w:rsidR="002868F0" w:rsidRPr="004406DC" w:rsidRDefault="002868F0" w:rsidP="00F231BD">
            <w:pPr>
              <w:jc w:val="center"/>
              <w:rPr>
                <w:color w:val="000000" w:themeColor="text1"/>
              </w:rPr>
            </w:pPr>
            <w:r w:rsidRPr="004406DC">
              <w:rPr>
                <w:color w:val="000000" w:themeColor="text1"/>
              </w:rPr>
              <w:t>GHGpc - GNDIpc</w:t>
            </w:r>
          </w:p>
          <w:p w14:paraId="4BD3B36C" w14:textId="77777777" w:rsidR="002868F0" w:rsidRPr="004406DC" w:rsidRDefault="002868F0" w:rsidP="00F231BD">
            <w:pPr>
              <w:jc w:val="center"/>
              <w:rPr>
                <w:color w:val="000000" w:themeColor="text1"/>
              </w:rPr>
            </w:pPr>
            <w:r w:rsidRPr="004406DC">
              <w:rPr>
                <w:color w:val="000000" w:themeColor="text1"/>
              </w:rPr>
              <w:t>p-values:</w:t>
            </w:r>
          </w:p>
        </w:tc>
        <w:tc>
          <w:tcPr>
            <w:tcW w:w="1530" w:type="dxa"/>
            <w:vAlign w:val="center"/>
          </w:tcPr>
          <w:p w14:paraId="139707E9" w14:textId="77777777" w:rsidR="002868F0" w:rsidRPr="004406DC" w:rsidRDefault="002868F0" w:rsidP="004406DC">
            <w:pPr>
              <w:jc w:val="center"/>
              <w:rPr>
                <w:color w:val="000000" w:themeColor="text1"/>
              </w:rPr>
            </w:pPr>
            <w:r w:rsidRPr="004406DC">
              <w:rPr>
                <w:color w:val="000000" w:themeColor="text1"/>
              </w:rPr>
              <w:t>0.949111</w:t>
            </w:r>
          </w:p>
        </w:tc>
        <w:tc>
          <w:tcPr>
            <w:tcW w:w="1350" w:type="dxa"/>
            <w:vAlign w:val="center"/>
          </w:tcPr>
          <w:p w14:paraId="241728AC" w14:textId="77777777" w:rsidR="002868F0" w:rsidRPr="004406DC" w:rsidRDefault="002868F0" w:rsidP="004406DC">
            <w:pPr>
              <w:jc w:val="center"/>
              <w:rPr>
                <w:color w:val="000000" w:themeColor="text1"/>
              </w:rPr>
            </w:pPr>
            <w:r w:rsidRPr="004406DC">
              <w:rPr>
                <w:color w:val="000000" w:themeColor="text1"/>
              </w:rPr>
              <w:t>0.29963</w:t>
            </w:r>
          </w:p>
        </w:tc>
        <w:tc>
          <w:tcPr>
            <w:tcW w:w="1170" w:type="dxa"/>
            <w:vAlign w:val="center"/>
          </w:tcPr>
          <w:p w14:paraId="27801CB6" w14:textId="77777777" w:rsidR="002868F0" w:rsidRPr="004406DC" w:rsidRDefault="002868F0" w:rsidP="004406DC">
            <w:pPr>
              <w:jc w:val="center"/>
              <w:rPr>
                <w:color w:val="000000" w:themeColor="text1"/>
              </w:rPr>
            </w:pPr>
            <w:r w:rsidRPr="004406DC">
              <w:rPr>
                <w:color w:val="000000" w:themeColor="text1"/>
              </w:rPr>
              <w:t>0.455164</w:t>
            </w:r>
          </w:p>
        </w:tc>
        <w:tc>
          <w:tcPr>
            <w:tcW w:w="1260" w:type="dxa"/>
            <w:vAlign w:val="center"/>
          </w:tcPr>
          <w:p w14:paraId="78DA3DDE" w14:textId="77777777" w:rsidR="002868F0" w:rsidRPr="004406DC" w:rsidRDefault="002868F0" w:rsidP="004406DC">
            <w:pPr>
              <w:jc w:val="center"/>
              <w:rPr>
                <w:color w:val="000000" w:themeColor="text1"/>
              </w:rPr>
            </w:pPr>
            <w:r w:rsidRPr="004406DC">
              <w:rPr>
                <w:color w:val="000000" w:themeColor="text1"/>
              </w:rPr>
              <w:t>0.378388</w:t>
            </w:r>
          </w:p>
        </w:tc>
        <w:tc>
          <w:tcPr>
            <w:tcW w:w="1170" w:type="dxa"/>
            <w:vAlign w:val="center"/>
          </w:tcPr>
          <w:p w14:paraId="67845FFD" w14:textId="77777777" w:rsidR="002868F0" w:rsidRPr="004406DC" w:rsidRDefault="002868F0" w:rsidP="004406DC">
            <w:pPr>
              <w:jc w:val="center"/>
              <w:rPr>
                <w:color w:val="000000" w:themeColor="text1"/>
              </w:rPr>
            </w:pPr>
            <w:r w:rsidRPr="004406DC">
              <w:rPr>
                <w:color w:val="000000" w:themeColor="text1"/>
              </w:rPr>
              <w:t>0.954621</w:t>
            </w:r>
          </w:p>
        </w:tc>
        <w:tc>
          <w:tcPr>
            <w:tcW w:w="1350" w:type="dxa"/>
            <w:vAlign w:val="center"/>
          </w:tcPr>
          <w:p w14:paraId="5C634DF1" w14:textId="77777777" w:rsidR="002868F0" w:rsidRPr="004406DC" w:rsidRDefault="002868F0" w:rsidP="004406DC">
            <w:pPr>
              <w:jc w:val="center"/>
              <w:rPr>
                <w:color w:val="000000" w:themeColor="text1"/>
              </w:rPr>
            </w:pPr>
            <w:r w:rsidRPr="004406DC">
              <w:rPr>
                <w:color w:val="000000" w:themeColor="text1"/>
              </w:rPr>
              <w:t>0.573016</w:t>
            </w:r>
          </w:p>
        </w:tc>
      </w:tr>
      <w:tr w:rsidR="00EF48BB" w:rsidRPr="006028B8" w14:paraId="72C4F02C" w14:textId="77777777" w:rsidTr="00EF3F8E">
        <w:trPr>
          <w:jc w:val="center"/>
        </w:trPr>
        <w:tc>
          <w:tcPr>
            <w:tcW w:w="1530" w:type="dxa"/>
            <w:vAlign w:val="center"/>
          </w:tcPr>
          <w:p w14:paraId="0EAA8F21" w14:textId="77777777" w:rsidR="002868F0" w:rsidRPr="004406DC" w:rsidRDefault="002868F0" w:rsidP="00F231BD">
            <w:pPr>
              <w:jc w:val="center"/>
              <w:rPr>
                <w:color w:val="000000" w:themeColor="text1"/>
              </w:rPr>
            </w:pPr>
            <w:r w:rsidRPr="004406DC">
              <w:rPr>
                <w:color w:val="000000" w:themeColor="text1"/>
              </w:rPr>
              <w:t>GHGpc - HDI</w:t>
            </w:r>
          </w:p>
          <w:p w14:paraId="4041B0D1" w14:textId="77777777" w:rsidR="002868F0" w:rsidRPr="004406DC" w:rsidRDefault="002868F0" w:rsidP="00F231BD">
            <w:pPr>
              <w:jc w:val="center"/>
              <w:rPr>
                <w:color w:val="000000" w:themeColor="text1"/>
              </w:rPr>
            </w:pPr>
            <w:r w:rsidRPr="004406DC">
              <w:rPr>
                <w:color w:val="000000" w:themeColor="text1"/>
              </w:rPr>
              <w:t>p-values:</w:t>
            </w:r>
          </w:p>
        </w:tc>
        <w:tc>
          <w:tcPr>
            <w:tcW w:w="1530" w:type="dxa"/>
            <w:vAlign w:val="center"/>
          </w:tcPr>
          <w:p w14:paraId="332914DF" w14:textId="77777777" w:rsidR="002868F0" w:rsidRPr="004406DC" w:rsidRDefault="002868F0" w:rsidP="004406DC">
            <w:pPr>
              <w:jc w:val="center"/>
              <w:rPr>
                <w:color w:val="000000" w:themeColor="text1"/>
              </w:rPr>
            </w:pPr>
            <w:r w:rsidRPr="004406DC">
              <w:rPr>
                <w:color w:val="000000" w:themeColor="text1"/>
              </w:rPr>
              <w:t>0.972166</w:t>
            </w:r>
          </w:p>
        </w:tc>
        <w:tc>
          <w:tcPr>
            <w:tcW w:w="1350" w:type="dxa"/>
            <w:vAlign w:val="center"/>
          </w:tcPr>
          <w:p w14:paraId="4A128BC6" w14:textId="77777777" w:rsidR="002868F0" w:rsidRPr="004406DC" w:rsidRDefault="002868F0" w:rsidP="004406DC">
            <w:pPr>
              <w:jc w:val="center"/>
              <w:rPr>
                <w:color w:val="000000" w:themeColor="text1"/>
              </w:rPr>
            </w:pPr>
            <w:r w:rsidRPr="004406DC">
              <w:rPr>
                <w:color w:val="000000" w:themeColor="text1"/>
              </w:rPr>
              <w:t>0.0663593</w:t>
            </w:r>
          </w:p>
        </w:tc>
        <w:tc>
          <w:tcPr>
            <w:tcW w:w="1170" w:type="dxa"/>
            <w:vAlign w:val="center"/>
          </w:tcPr>
          <w:p w14:paraId="4488FFD3" w14:textId="77777777" w:rsidR="002868F0" w:rsidRPr="004406DC" w:rsidRDefault="002868F0" w:rsidP="004406DC">
            <w:pPr>
              <w:jc w:val="center"/>
              <w:rPr>
                <w:color w:val="000000" w:themeColor="text1"/>
              </w:rPr>
            </w:pPr>
            <w:r w:rsidRPr="004406DC">
              <w:rPr>
                <w:color w:val="000000" w:themeColor="text1"/>
              </w:rPr>
              <w:t>0.442531</w:t>
            </w:r>
          </w:p>
        </w:tc>
        <w:tc>
          <w:tcPr>
            <w:tcW w:w="1260" w:type="dxa"/>
            <w:vAlign w:val="center"/>
          </w:tcPr>
          <w:p w14:paraId="56CB13C6" w14:textId="77777777" w:rsidR="002868F0" w:rsidRPr="004406DC" w:rsidRDefault="002868F0" w:rsidP="004406DC">
            <w:pPr>
              <w:jc w:val="center"/>
              <w:rPr>
                <w:color w:val="000000" w:themeColor="text1"/>
              </w:rPr>
            </w:pPr>
            <w:r w:rsidRPr="004406DC">
              <w:rPr>
                <w:color w:val="000000" w:themeColor="text1"/>
              </w:rPr>
              <w:t>0.210868</w:t>
            </w:r>
          </w:p>
        </w:tc>
        <w:tc>
          <w:tcPr>
            <w:tcW w:w="1170" w:type="dxa"/>
            <w:vAlign w:val="center"/>
          </w:tcPr>
          <w:p w14:paraId="47C26FC4" w14:textId="77777777" w:rsidR="002868F0" w:rsidRPr="004406DC" w:rsidRDefault="002868F0" w:rsidP="004406DC">
            <w:pPr>
              <w:jc w:val="center"/>
              <w:rPr>
                <w:color w:val="000000" w:themeColor="text1"/>
              </w:rPr>
            </w:pPr>
            <w:r w:rsidRPr="004406DC">
              <w:rPr>
                <w:color w:val="000000" w:themeColor="text1"/>
              </w:rPr>
              <w:t>0.934991</w:t>
            </w:r>
          </w:p>
        </w:tc>
        <w:tc>
          <w:tcPr>
            <w:tcW w:w="1350" w:type="dxa"/>
            <w:vAlign w:val="center"/>
          </w:tcPr>
          <w:p w14:paraId="09468E12" w14:textId="77777777" w:rsidR="002868F0" w:rsidRPr="004406DC" w:rsidRDefault="002868F0" w:rsidP="004406DC">
            <w:pPr>
              <w:jc w:val="center"/>
              <w:rPr>
                <w:color w:val="000000" w:themeColor="text1"/>
              </w:rPr>
            </w:pPr>
            <w:r w:rsidRPr="004406DC">
              <w:rPr>
                <w:color w:val="000000" w:themeColor="text1"/>
              </w:rPr>
              <w:t>0.106696</w:t>
            </w:r>
          </w:p>
        </w:tc>
      </w:tr>
      <w:tr w:rsidR="00EF48BB" w:rsidRPr="006028B8" w14:paraId="207A484B" w14:textId="77777777" w:rsidTr="00EF3F8E">
        <w:trPr>
          <w:jc w:val="center"/>
        </w:trPr>
        <w:tc>
          <w:tcPr>
            <w:tcW w:w="1530" w:type="dxa"/>
            <w:vAlign w:val="center"/>
          </w:tcPr>
          <w:p w14:paraId="2D7F05F8" w14:textId="77777777" w:rsidR="002868F0" w:rsidRPr="004406DC" w:rsidRDefault="002868F0" w:rsidP="00F231BD">
            <w:pPr>
              <w:jc w:val="center"/>
              <w:rPr>
                <w:color w:val="000000" w:themeColor="text1"/>
              </w:rPr>
            </w:pPr>
            <w:r w:rsidRPr="004406DC">
              <w:rPr>
                <w:color w:val="000000" w:themeColor="text1"/>
              </w:rPr>
              <w:t>GHGpc - IEF</w:t>
            </w:r>
          </w:p>
          <w:p w14:paraId="7D14B562" w14:textId="77777777" w:rsidR="002868F0" w:rsidRPr="004406DC" w:rsidRDefault="002868F0" w:rsidP="00F231BD">
            <w:pPr>
              <w:jc w:val="center"/>
              <w:rPr>
                <w:color w:val="000000" w:themeColor="text1"/>
              </w:rPr>
            </w:pPr>
            <w:r w:rsidRPr="004406DC">
              <w:rPr>
                <w:color w:val="000000" w:themeColor="text1"/>
              </w:rPr>
              <w:t>p-values:</w:t>
            </w:r>
          </w:p>
        </w:tc>
        <w:tc>
          <w:tcPr>
            <w:tcW w:w="1530" w:type="dxa"/>
            <w:vAlign w:val="center"/>
          </w:tcPr>
          <w:p w14:paraId="1E7F7CF2" w14:textId="77777777" w:rsidR="002868F0" w:rsidRPr="004406DC" w:rsidRDefault="002868F0" w:rsidP="004406DC">
            <w:pPr>
              <w:jc w:val="center"/>
              <w:rPr>
                <w:color w:val="000000" w:themeColor="text1"/>
              </w:rPr>
            </w:pPr>
            <w:r w:rsidRPr="004406DC">
              <w:rPr>
                <w:color w:val="000000" w:themeColor="text1"/>
              </w:rPr>
              <w:t>0.816864</w:t>
            </w:r>
          </w:p>
        </w:tc>
        <w:tc>
          <w:tcPr>
            <w:tcW w:w="1350" w:type="dxa"/>
            <w:vAlign w:val="center"/>
          </w:tcPr>
          <w:p w14:paraId="1BE90BA2" w14:textId="77777777" w:rsidR="002868F0" w:rsidRPr="004406DC" w:rsidRDefault="002868F0" w:rsidP="004406DC">
            <w:pPr>
              <w:jc w:val="center"/>
              <w:rPr>
                <w:color w:val="000000" w:themeColor="text1"/>
              </w:rPr>
            </w:pPr>
            <w:r w:rsidRPr="004406DC">
              <w:rPr>
                <w:color w:val="000000" w:themeColor="text1"/>
              </w:rPr>
              <w:t>0.264265</w:t>
            </w:r>
          </w:p>
        </w:tc>
        <w:tc>
          <w:tcPr>
            <w:tcW w:w="1170" w:type="dxa"/>
            <w:vAlign w:val="center"/>
          </w:tcPr>
          <w:p w14:paraId="567016C6" w14:textId="77777777" w:rsidR="002868F0" w:rsidRPr="004406DC" w:rsidRDefault="002868F0" w:rsidP="004406DC">
            <w:pPr>
              <w:jc w:val="center"/>
              <w:rPr>
                <w:color w:val="000000" w:themeColor="text1"/>
              </w:rPr>
            </w:pPr>
            <w:r w:rsidRPr="004406DC">
              <w:rPr>
                <w:color w:val="000000" w:themeColor="text1"/>
              </w:rPr>
              <w:t>0.650143</w:t>
            </w:r>
          </w:p>
        </w:tc>
        <w:tc>
          <w:tcPr>
            <w:tcW w:w="1260" w:type="dxa"/>
            <w:vAlign w:val="center"/>
          </w:tcPr>
          <w:p w14:paraId="25268A5D" w14:textId="77777777" w:rsidR="002868F0" w:rsidRPr="004406DC" w:rsidRDefault="002868F0" w:rsidP="004406DC">
            <w:pPr>
              <w:jc w:val="center"/>
              <w:rPr>
                <w:color w:val="000000" w:themeColor="text1"/>
              </w:rPr>
            </w:pPr>
            <w:r w:rsidRPr="004406DC">
              <w:rPr>
                <w:color w:val="000000" w:themeColor="text1"/>
              </w:rPr>
              <w:t>0.110059</w:t>
            </w:r>
          </w:p>
        </w:tc>
        <w:tc>
          <w:tcPr>
            <w:tcW w:w="1170" w:type="dxa"/>
            <w:vAlign w:val="center"/>
          </w:tcPr>
          <w:p w14:paraId="5296E2DB" w14:textId="77777777" w:rsidR="002868F0" w:rsidRPr="004406DC" w:rsidRDefault="002868F0" w:rsidP="004406DC">
            <w:pPr>
              <w:jc w:val="center"/>
              <w:rPr>
                <w:color w:val="000000" w:themeColor="text1"/>
              </w:rPr>
            </w:pPr>
            <w:r w:rsidRPr="004406DC">
              <w:rPr>
                <w:color w:val="000000" w:themeColor="text1"/>
              </w:rPr>
              <w:t>0.567875</w:t>
            </w:r>
          </w:p>
        </w:tc>
        <w:tc>
          <w:tcPr>
            <w:tcW w:w="1350" w:type="dxa"/>
            <w:vAlign w:val="center"/>
          </w:tcPr>
          <w:p w14:paraId="0189D9EF" w14:textId="77777777" w:rsidR="002868F0" w:rsidRPr="004406DC" w:rsidRDefault="002868F0" w:rsidP="004406DC">
            <w:pPr>
              <w:jc w:val="center"/>
              <w:rPr>
                <w:color w:val="000000" w:themeColor="text1"/>
              </w:rPr>
            </w:pPr>
            <w:r w:rsidRPr="004406DC">
              <w:rPr>
                <w:color w:val="000000" w:themeColor="text1"/>
              </w:rPr>
              <w:t>0.253095</w:t>
            </w:r>
          </w:p>
        </w:tc>
      </w:tr>
    </w:tbl>
    <w:p w14:paraId="78BE0392" w14:textId="051C58F0" w:rsidR="008E7AC8" w:rsidRPr="002868F0" w:rsidRDefault="002868F0" w:rsidP="00EF3F8E">
      <w:pPr>
        <w:jc w:val="left"/>
        <w:rPr>
          <w:rFonts w:eastAsiaTheme="minorHAnsi"/>
          <w:iCs/>
          <w:color w:val="000000" w:themeColor="text1"/>
          <w:szCs w:val="24"/>
          <w:lang w:eastAsia="en-US"/>
        </w:rPr>
      </w:pPr>
      <w:r w:rsidRPr="002868F0">
        <w:rPr>
          <w:rFonts w:eastAsiaTheme="minorHAnsi"/>
          <w:iCs/>
          <w:color w:val="000000" w:themeColor="text1"/>
          <w:szCs w:val="24"/>
          <w:lang w:eastAsia="en-US"/>
        </w:rPr>
        <w:t xml:space="preserve">Note: </w:t>
      </w:r>
      <w:r w:rsidR="00F34E40" w:rsidRPr="00F34E40">
        <w:rPr>
          <w:rFonts w:eastAsiaTheme="minorHAnsi"/>
          <w:iCs/>
          <w:color w:val="000000" w:themeColor="text1"/>
          <w:szCs w:val="24"/>
          <w:lang w:eastAsia="en-US"/>
        </w:rPr>
        <w:t xml:space="preserve">(a) LM is the Lagrange multiplier test </w:t>
      </w:r>
      <w:r w:rsidR="00A377FA">
        <w:rPr>
          <w:rFonts w:eastAsiaTheme="minorHAnsi"/>
          <w:iCs/>
          <w:color w:val="000000" w:themeColor="text1"/>
          <w:szCs w:val="24"/>
          <w:lang w:eastAsia="en-US"/>
        </w:rPr>
        <w:fldChar w:fldCharType="begin"/>
      </w:r>
      <w:r w:rsidR="00A377FA">
        <w:rPr>
          <w:rFonts w:eastAsiaTheme="minorHAnsi"/>
          <w:iCs/>
          <w:color w:val="000000" w:themeColor="text1"/>
          <w:szCs w:val="24"/>
          <w:lang w:eastAsia="en-US"/>
        </w:rPr>
        <w:instrText xml:space="preserve"> ADDIN ZOTERO_ITEM CSL_CITATION {"citationID":"WDw4Y6nf","properties":{"formattedCitation":"(Bertsekas, 2014)","plainCitation":"(Bertsekas, 2014)","noteIndex":0},"citationItems":[{"id":27,"uris":["http://zotero.org/users/5016855/items/9ZU6G25A"],"itemData":{"id":27,"type":"book","abstract":"Computer Science and Applied Mathematics: Constrained Optimization and Lagrange Multiplier Methods focuses on the advancements in the applications of the Lagrange multiplier methods for constrained minimization.The publication first offers information on the method of multipliers for equality constrained problems and the method of multipliers for inequality constrained and nondifferentiable optimization problems. Discussions focus on approximation procedures for nondifferentiable and ill-conditioned optimization problems; asymptotically exact minimization in the methods of multipliers; duality framework for the method of multipliers; and the quadratic penalty function method. The text then examines exact penalty methods, including nondifferentiable exact penalty functions; linearization algorithms based on nondifferentiable exact penalty functions; differentiable exact penalty functions; and local and global convergence of Lagrangian methods. The book ponders on the nonquadratic penalty functions of convex programming. Topics include large scale separable integer programming problems and the exponential method of multipliers; classes of penalty functions and corresponding methods of multipliers; and convergence analysis of multiplier methods. The text is a valuable reference for mathematicians and researchers interested in the Lagrange multiplier methods.","ISBN":"978-1-4832-6047-1","language":"en","note":"Google-Books-ID: j6LiBQAAQBAJ","number-of-pages":"412","publisher":"Academic Press","source":"Google Books","title":"Constrained Optimization and Lagrange Multiplier Methods","author":[{"family":"Bertsekas","given":"Dimitri P."}],"accessed":{"date-parts":[["2021",8,11]]},"issued":{"date-parts":[["2014",5,10]]}}}],"schema":"https://github.com/citation-style-language/schema/raw/master/csl-citation.json"} </w:instrText>
      </w:r>
      <w:r w:rsidR="00A377FA">
        <w:rPr>
          <w:rFonts w:eastAsiaTheme="minorHAnsi"/>
          <w:iCs/>
          <w:color w:val="000000" w:themeColor="text1"/>
          <w:szCs w:val="24"/>
          <w:lang w:eastAsia="en-US"/>
        </w:rPr>
        <w:fldChar w:fldCharType="separate"/>
      </w:r>
      <w:r w:rsidR="00A377FA" w:rsidRPr="00A377FA">
        <w:t>(Bertsekas, 2014)</w:t>
      </w:r>
      <w:r w:rsidR="00A377FA">
        <w:rPr>
          <w:rFonts w:eastAsiaTheme="minorHAnsi"/>
          <w:iCs/>
          <w:color w:val="000000" w:themeColor="text1"/>
          <w:szCs w:val="24"/>
          <w:lang w:eastAsia="en-US"/>
        </w:rPr>
        <w:fldChar w:fldCharType="end"/>
      </w:r>
      <w:r w:rsidR="00F34E40" w:rsidRPr="00F34E40">
        <w:rPr>
          <w:rFonts w:eastAsiaTheme="minorHAnsi"/>
          <w:iCs/>
          <w:color w:val="000000" w:themeColor="text1"/>
          <w:szCs w:val="24"/>
          <w:lang w:eastAsia="en-US"/>
        </w:rPr>
        <w:t xml:space="preserve">. (b) LMF is an F-approximation to the likelihood-ratio form of the LM test </w:t>
      </w:r>
      <w:r w:rsidR="00A377FA">
        <w:rPr>
          <w:rFonts w:eastAsiaTheme="minorHAnsi"/>
          <w:iCs/>
          <w:color w:val="000000" w:themeColor="text1"/>
          <w:szCs w:val="24"/>
          <w:lang w:eastAsia="en-US"/>
        </w:rPr>
        <w:fldChar w:fldCharType="begin"/>
      </w:r>
      <w:r w:rsidR="00A377FA">
        <w:rPr>
          <w:rFonts w:eastAsiaTheme="minorHAnsi"/>
          <w:iCs/>
          <w:color w:val="000000" w:themeColor="text1"/>
          <w:szCs w:val="24"/>
          <w:lang w:eastAsia="en-US"/>
        </w:rPr>
        <w:instrText xml:space="preserve"> ADDIN ZOTERO_ITEM CSL_CITATION {"citationID":"M5oWltBI","properties":{"formattedCitation":"(Doornik, 1996)","plainCitation":"(Doornik, 1996)","noteIndex":0},"citationItems":[{"id":68,"uris":["http://zotero.org/users/5016855/items/C8Z47VPQ"],"itemData":{"id":68,"type":"paper-conference","abstract":"This paper investigates tests for serial correlation and heteroscedasticity which can be applied to VARs and simultaneous equations models. An F -type test for vector error autocorrelation is considered. The test is conceptually simple and reduces to the familiar single equation test in a one-equation model. A wide range of Monte Carlo experiments is set up to investigate size and power, and compare the test to the standard chi-squared and multivariate portmanteau tests. The non-centrality of the chi-squared test gives asymptotic power similar to that found in the simulations.","event-place":"Tokyo","event-title":"Econometrics Society 7th World Congress","language":"en","page":"23","publisher-place":"Tokyo","source":"Zotero","title":"Testing Vector Error Autocorrelation and Heteroscedasticity","URL":"https://www.doornik.com/research/vectest.pdf","author":[{"family":"Doornik","given":"Jurgen A"}],"accessed":{"date-parts":[["2021",8,5]]},"issued":{"date-parts":[["1996"]]}}}],"schema":"https://github.com/citation-style-language/schema/raw/master/csl-citation.json"} </w:instrText>
      </w:r>
      <w:r w:rsidR="00A377FA">
        <w:rPr>
          <w:rFonts w:eastAsiaTheme="minorHAnsi"/>
          <w:iCs/>
          <w:color w:val="000000" w:themeColor="text1"/>
          <w:szCs w:val="24"/>
          <w:lang w:eastAsia="en-US"/>
        </w:rPr>
        <w:fldChar w:fldCharType="separate"/>
      </w:r>
      <w:r w:rsidR="00A377FA" w:rsidRPr="00A377FA">
        <w:t>(Doornik, 1996)</w:t>
      </w:r>
      <w:r w:rsidR="00A377FA">
        <w:rPr>
          <w:rFonts w:eastAsiaTheme="minorHAnsi"/>
          <w:iCs/>
          <w:color w:val="000000" w:themeColor="text1"/>
          <w:szCs w:val="24"/>
          <w:lang w:eastAsia="en-US"/>
        </w:rPr>
        <w:fldChar w:fldCharType="end"/>
      </w:r>
      <w:r w:rsidR="00F34E40" w:rsidRPr="00F34E40">
        <w:rPr>
          <w:rFonts w:eastAsiaTheme="minorHAnsi"/>
          <w:iCs/>
          <w:color w:val="000000" w:themeColor="text1"/>
          <w:szCs w:val="24"/>
          <w:lang w:eastAsia="en-US"/>
        </w:rPr>
        <w:t xml:space="preserve">. </w:t>
      </w:r>
      <w:r w:rsidR="00655688">
        <w:rPr>
          <w:rFonts w:eastAsiaTheme="minorHAnsi"/>
          <w:iCs/>
          <w:color w:val="000000" w:themeColor="text1"/>
          <w:szCs w:val="24"/>
          <w:lang w:eastAsia="en-US"/>
        </w:rPr>
        <w:t xml:space="preserve">(c) ARCH is </w:t>
      </w:r>
      <w:r w:rsidR="00655688" w:rsidRPr="00655688">
        <w:rPr>
          <w:rFonts w:eastAsiaTheme="minorHAnsi"/>
          <w:iCs/>
          <w:color w:val="000000" w:themeColor="text1"/>
          <w:szCs w:val="24"/>
          <w:lang w:eastAsia="en-US"/>
        </w:rPr>
        <w:t>Auto-Regressive Conditional Heteroskedasticity</w:t>
      </w:r>
      <w:r w:rsidR="00655688">
        <w:rPr>
          <w:rFonts w:eastAsiaTheme="minorHAnsi"/>
          <w:iCs/>
          <w:color w:val="000000" w:themeColor="text1"/>
          <w:szCs w:val="24"/>
          <w:lang w:eastAsia="en-US"/>
        </w:rPr>
        <w:t xml:space="preserve"> </w:t>
      </w:r>
      <w:r w:rsidR="00A377FA">
        <w:rPr>
          <w:rFonts w:eastAsiaTheme="minorHAnsi"/>
          <w:iCs/>
          <w:color w:val="000000" w:themeColor="text1"/>
          <w:szCs w:val="24"/>
          <w:lang w:eastAsia="en-US"/>
        </w:rPr>
        <w:fldChar w:fldCharType="begin"/>
      </w:r>
      <w:r w:rsidR="00E46882">
        <w:rPr>
          <w:rFonts w:eastAsiaTheme="minorHAnsi"/>
          <w:iCs/>
          <w:color w:val="000000" w:themeColor="text1"/>
          <w:szCs w:val="24"/>
          <w:lang w:eastAsia="en-US"/>
        </w:rPr>
        <w:instrText xml:space="preserve"> ADDIN ZOTERO_ITEM CSL_CITATION {"citationID":"QIJzwZEY","properties":{"formattedCitation":"(Andrews &amp; Guggenberger, 2014; Aue et al., 2017; Nkoro &amp; Uko, 2013)","plainCitation":"(Andrews &amp; Guggenberger, 2014; Aue et al., 2017; Nkoro &amp; Uko, 2013)","noteIndex":0},"citationItems":[{"id":18,"uris":["http://zotero.org/users/5016855/items/GDUVUYBG"],"itemData":{"id":18,"type":"article-journal","abstract":"This paper introduces a new confidence interval (CI) for the autoregressive parameter (AR) in an AR(1) model that allows for conditional heteroskedasticity of a general form and AR parameters that are less than or equal to unity. The CI is a modification of Mikusheva's (2007a) modification of Stock's (1991) CI that employs the least squares estimator and a heteroskedasticity-robust variance estimator. The CI is shown to have correct asymptotic size and to be asymptotically similar (in a uniform sense). It does not require any tuning parameters. No existing procedures have these properties. Monte Carlo simulations show that the CI performs well in finite samples in terms of coverage probability and average length, for innovations with and without conditional heteroskedasticity.","container-title":"The Review of Economics and Statistics","DOI":"10.1162/REST_a_00369","ISSN":"0034-6535","issue":"2","journalAbbreviation":"The Review of Economics and Statistics","page":"376-381","source":"Silverchair","title":"A Conditional-Heteroskedasticity-Robust Confidence Interval for the Autoregressive Parameter","volume":"96","author":[{"family":"Andrews","given":"Donald W. K."},{"family":"Guggenberger","given":"Patrik"}],"issued":{"date-parts":[["2014"]]}}},{"id":19,"uris":["http://zotero.org/users/5016855/items/KADT458G"],"itemData":{"id":19,"type":"article-journal","abstract":"Heteroskedasticity is a common feature of financial time series and is commonly addressed in the model building process through the use of autoregressive conditional heteroskedastic and generalized autoregressive conditional heteroskedastic (GARCH) processes. More recently, multivariate variants of these processes have been the focus of research with attention given to methods seeking an efficient and economic estimation of a large number of model parameters. Because of the need for estimation of many parameters, however, these models may not be suitable for modelling now prevalent high-frequency volatility data. One potentially useful way to bypass these issues is to take a functional approach. In this article, theory is developed for a new functional version of the GARCH process, termed fGARCH. The main results are concerned with the structure of the fGARCH(1,1) process, providing criteria for the existence of strictly stationary solutions both in the space of square-integrable and continuous functions. An estimation procedure is introduced, and its consistency and asymptotic normality are verified. A small empirical study highlights potential applications to intraday volatility estimation.","container-title":"Journal of Time Series Analysis","DOI":"10.1111/jtsa.12192","ISSN":"1467-9892","issue":"1","language":"en","note":"_eprint: https://onlinelibrary.wiley.com/doi/pdf/10.1111/jtsa.12192","page":"3-21","source":"Wiley Online Library","title":"Functional Generalized Autoregressive Conditional Heteroskedasticity","volume":"38","author":[{"family":"Aue","given":"Alexander"},{"family":"Horváth","given":"Lajos"},{"family":"F. Pellatt","given":"Daniel"}],"issued":{"date-parts":[["2017"]]}}},{"id":17,"uris":["http://zotero.org/users/5016855/items/3WN5EZR9"],"itemData":{"id":17,"type":"article-journal","abstract":"The study examines the impact of domestic macroeconomic variables on the Nigeria¡¯s stock market returns, using Generalized Autoregressive Conditional Heteroskedasticity (GARCH) model and annual data (1985-2009). We investigate the ability of these variables to predict the level of the stock market returns, using GARCH-M model. The results reveal that, out of the six macroeconomic variables employed, inflation, government expenditure, index of manufacturing output and, interest rate, exert strong significant influence on stock returns. Inflation and government expenditure have a positive significant impact, while index of manufacturing output and, interest rate have a negative significant impact. On the other hand, money supply and foreign exchange rate exert no significant influence on stock returns in Nigeria. The study observed that, there is volatility clustering in Nigerian stock market. Volatility of Nigeria¡¯s stock market returns was influenced by past volatility more than the economic news from the previous period. The time-varying volatility of the Nigeria¡¯s stock market returns is moderately persistent. In other words, a shock to the Nigeria¡¯s stock market volatility will last moderately long. Financial regulators, policy makers and investors need to take these macroeconomic variables into account when formulating economic and financial policies and, structuring of portfolio and diversification.","container-title":"International Journal of Financial Research","issue":"4","language":"en","note":"publisher: International Journal of Financial Research, Sciedu Press","page":"38-51","source":"ideas.repec.org","title":"A Generalized Autoregressive Conditional Heteroskedasticity Model of the Impact of Macroeconomic Factors on Stock Returns: Empirical Evidence from the Nigerian Stock Market","title-short":"A Generalized Autoregressive Conditional Heteroskedasticity Model of the Impact of Macroeconomic Factors on Stock Returns","volume":"4","author":[{"family":"Nkoro","given":"Emeka"},{"family":"Uko","given":"Aham Kelvin"}],"issued":{"date-parts":[["2013"]]}}}],"schema":"https://github.com/citation-style-language/schema/raw/master/csl-citation.json"} </w:instrText>
      </w:r>
      <w:r w:rsidR="00A377FA">
        <w:rPr>
          <w:rFonts w:eastAsiaTheme="minorHAnsi"/>
          <w:iCs/>
          <w:color w:val="000000" w:themeColor="text1"/>
          <w:szCs w:val="24"/>
          <w:lang w:eastAsia="en-US"/>
        </w:rPr>
        <w:fldChar w:fldCharType="separate"/>
      </w:r>
      <w:r w:rsidR="00E46882" w:rsidRPr="00E46882">
        <w:t xml:space="preserve">(Andrews &amp; Guggenberger, 2014; Aue et al., 2017; </w:t>
      </w:r>
      <w:r w:rsidR="00E46882">
        <w:t xml:space="preserve">and </w:t>
      </w:r>
      <w:r w:rsidR="00E46882" w:rsidRPr="00E46882">
        <w:t>Nkoro &amp; Uko, 2013)</w:t>
      </w:r>
      <w:r w:rsidR="00A377FA">
        <w:rPr>
          <w:rFonts w:eastAsiaTheme="minorHAnsi"/>
          <w:iCs/>
          <w:color w:val="000000" w:themeColor="text1"/>
          <w:szCs w:val="24"/>
          <w:lang w:eastAsia="en-US"/>
        </w:rPr>
        <w:fldChar w:fldCharType="end"/>
      </w:r>
      <w:r w:rsidR="00655688" w:rsidRPr="00655688">
        <w:rPr>
          <w:rFonts w:eastAsiaTheme="minorHAnsi"/>
          <w:iCs/>
          <w:color w:val="000000" w:themeColor="text1"/>
          <w:szCs w:val="24"/>
          <w:lang w:eastAsia="en-US"/>
        </w:rPr>
        <w:t>.</w:t>
      </w:r>
      <w:r w:rsidR="00655688">
        <w:rPr>
          <w:rFonts w:eastAsiaTheme="minorHAnsi"/>
          <w:iCs/>
          <w:color w:val="000000" w:themeColor="text1"/>
          <w:szCs w:val="24"/>
          <w:lang w:eastAsia="en-US"/>
        </w:rPr>
        <w:t xml:space="preserve"> </w:t>
      </w:r>
      <w:r w:rsidRPr="002868F0">
        <w:rPr>
          <w:rFonts w:eastAsiaTheme="minorHAnsi"/>
          <w:iCs/>
          <w:color w:val="000000" w:themeColor="text1"/>
          <w:szCs w:val="24"/>
          <w:lang w:eastAsia="en-US"/>
        </w:rPr>
        <w:t>(</w:t>
      </w:r>
      <w:r w:rsidR="00655688">
        <w:rPr>
          <w:rFonts w:eastAsiaTheme="minorHAnsi"/>
          <w:iCs/>
          <w:color w:val="000000" w:themeColor="text1"/>
          <w:szCs w:val="24"/>
          <w:lang w:eastAsia="en-US"/>
        </w:rPr>
        <w:t>d</w:t>
      </w:r>
      <w:r w:rsidRPr="002868F0">
        <w:rPr>
          <w:rFonts w:eastAsiaTheme="minorHAnsi"/>
          <w:iCs/>
          <w:color w:val="000000" w:themeColor="text1"/>
          <w:szCs w:val="24"/>
          <w:lang w:eastAsia="en-US"/>
        </w:rPr>
        <w:t xml:space="preserve">) Ramsey’s RESET test was run </w:t>
      </w:r>
      <w:r w:rsidR="00C17BC8">
        <w:rPr>
          <w:rFonts w:eastAsiaTheme="minorHAnsi"/>
          <w:iCs/>
          <w:color w:val="000000" w:themeColor="text1"/>
          <w:szCs w:val="24"/>
          <w:lang w:eastAsia="en-US"/>
        </w:rPr>
        <w:t>after</w:t>
      </w:r>
      <w:r w:rsidRPr="002868F0">
        <w:rPr>
          <w:rFonts w:eastAsiaTheme="minorHAnsi"/>
          <w:iCs/>
          <w:color w:val="000000" w:themeColor="text1"/>
          <w:szCs w:val="24"/>
          <w:lang w:eastAsia="en-US"/>
        </w:rPr>
        <w:t xml:space="preserve"> </w:t>
      </w:r>
      <w:r w:rsidR="00E46882">
        <w:rPr>
          <w:rFonts w:eastAsiaTheme="minorHAnsi"/>
          <w:iCs/>
          <w:color w:val="000000" w:themeColor="text1"/>
          <w:szCs w:val="24"/>
          <w:lang w:eastAsia="en-US"/>
        </w:rPr>
        <w:fldChar w:fldCharType="begin"/>
      </w:r>
      <w:r w:rsidR="00E46882">
        <w:rPr>
          <w:rFonts w:eastAsiaTheme="minorHAnsi"/>
          <w:iCs/>
          <w:color w:val="000000" w:themeColor="text1"/>
          <w:szCs w:val="24"/>
          <w:lang w:eastAsia="en-US"/>
        </w:rPr>
        <w:instrText xml:space="preserve"> ADDIN ZOTERO_ITEM CSL_CITATION {"citationID":"lFHzJghg","properties":{"formattedCitation":"(Babatunde et al., 2014; Eree\\uc0\\u351{} &amp; Demi\\uc0\\u775{}rel, 2012; Volkova &amp; Plankina, 2013)","plainCitation":"(Babatunde et al., 2014; Ereeş &amp; Demi̇rel, 2012; Volkova &amp; Plankina, 2013)","noteIndex":0},"citationItems":[{"id":26,"uris":["http://zotero.org/users/5016855/items/VDKIRXH5"],"itemData":{"id":26,"type":"article-journal","abstract":"When a model is created which correctly leaves out one or more important\nvariables, one rarely know which test has the highest power for detecting the associated\nspecification error. This research adopts the use of bootstrapping experiment. The models\ninvestigated consist of three omitted variables which have a coefficient that varies from 0.1\nthrough 1 and 2. A bootstrap simulation approach was used to generate data for each of the\nmodels at different sample sizes (n) 20, 30, 50, and 80 respectively, each with 100\nreplications(r). For the models considered, the experiment reveals that the Ramsey\nRegression Equation Specification Error Test (RESET test) is more efficient than that of\nDurbin-Watson test in detecting the error of omitted variable in specification error.","container-title":"Copyright © 2014 by Modern Scientific Press Company, Florida, USA International Journal of Modern Mathematical Sciences,","ISSN":"2166-286X","issue":"3","language":"en","note":"number: 3\npublisher: Modern Scientific Press Company","page":"144-151","source":"eprints.covenantuniversity.edu.ng","title":"On the Performance of RESET and Durbin Watson Tests in Detecting Specification Error","volume":"11","author":[{"family":"Babatunde","given":"O. S."},{"family":"Oguntunde","given":"P. E."},{"family":"Ogunmola","given":"A. O."},{"family":"Balogun","given":"O. S."}],"issued":{"date-parts":[["2014"]]}}},{"id":4,"uris":["http://zotero.org/users/5016855/items/MPKD63FZ"],"itemData":{"id":4,"type":"article-journal","abstract":"In this paper, it is aimed to investigate the omitted variable bias, its importance, reasons, and consequences and to research the methods for dealing with omitted variable bias and RESET test which is a method for detecting omitted variable(s). A simulation was performed and three types of populations which varied depending on the correlations between the variables were generated and random samples were drawn from these populations. When correlations were changed and the number of omitted variables was increased, the effects of omitted variable bias were investigated. Moreover, by increasing the sample size, it was investigated whether the effects of omitted variable bias were changed depending on sample size","container-title":"Anadolu University Journal of Science and Technology B - Theoretical Sciences","ISSN":"2146-0272","issue":"1","language":"en","note":"number: 1","page":"1-19","source":"dergipark.org.tr","title":"Omitted Variables Bias and Detection with RESET test in Regression Analysis","volume":"2","author":[{"family":"Ereeş","given":"Suay"},{"family":"Demi̇rel","given":"Neslihan"}],"issued":{"date-parts":[["2012"]]}}},{"id":25,"uris":["http://zotero.org/users/5016855/items/J4WVA7S5"],"itemData":{"id":25,"type":"paper-conference","abstract":"RESET tests the significance of a regression of the residuals on a linear function\nvectors, which are obtained from the least-squares estimates of the depended variable. The specification errors considered are omitted variables, incorrect functional\nform. The effects on the Ramsey RESET statistics distribution of residuals of model\nspecifications are considered. However, this test is designed with the assumption of Gaussian distribution of the random component of the model, which often disturbs in practice. Computer modelling methods provide an opportunity to study the influence\nof disturbance of this assumption on the properties of the distribution statistics.","container-title":"Proceedings of the International Workshop","event-place":"Novosibirsk","event-title":"Applied Methods of Statistical Analysis. Applications in Survival Analysis, Reliability and Quality Control.","language":"en","publisher-place":"Novosibirsk","title":"The Research of Distribution of the Ramsey RESET-Test Statistic","URL":"https://amsa.conf.nstu.ru/amsa2013/AMSA2013_proceedings.pdf#page=265","author":[{"family":"Volkova","given":"V. M."},{"family":"Plankina","given":"V. L."}],"accessed":{"date-parts":[["2021",8,11]]},"issued":{"date-parts":[["2013"]]}}}],"schema":"https://github.com/citation-style-language/schema/raw/master/csl-citation.json"} </w:instrText>
      </w:r>
      <w:r w:rsidR="00E46882">
        <w:rPr>
          <w:rFonts w:eastAsiaTheme="minorHAnsi"/>
          <w:iCs/>
          <w:color w:val="000000" w:themeColor="text1"/>
          <w:szCs w:val="24"/>
          <w:lang w:eastAsia="en-US"/>
        </w:rPr>
        <w:fldChar w:fldCharType="separate"/>
      </w:r>
      <w:r w:rsidR="00E46882" w:rsidRPr="00E46882">
        <w:rPr>
          <w:szCs w:val="24"/>
        </w:rPr>
        <w:t>Babatunde et al.</w:t>
      </w:r>
      <w:r w:rsidR="00C17BC8">
        <w:rPr>
          <w:szCs w:val="24"/>
        </w:rPr>
        <w:t xml:space="preserve"> (</w:t>
      </w:r>
      <w:r w:rsidR="00E46882" w:rsidRPr="00E46882">
        <w:rPr>
          <w:szCs w:val="24"/>
        </w:rPr>
        <w:t>2014</w:t>
      </w:r>
      <w:r w:rsidR="00C17BC8">
        <w:rPr>
          <w:szCs w:val="24"/>
        </w:rPr>
        <w:t>),</w:t>
      </w:r>
      <w:r w:rsidR="00E46882" w:rsidRPr="00E46882">
        <w:rPr>
          <w:szCs w:val="24"/>
        </w:rPr>
        <w:t xml:space="preserve"> Ereeş &amp; Demi̇rel</w:t>
      </w:r>
      <w:r w:rsidR="00C17BC8">
        <w:rPr>
          <w:szCs w:val="24"/>
        </w:rPr>
        <w:t xml:space="preserve"> (</w:t>
      </w:r>
      <w:r w:rsidR="00E46882" w:rsidRPr="00E46882">
        <w:rPr>
          <w:szCs w:val="24"/>
        </w:rPr>
        <w:t>2012</w:t>
      </w:r>
      <w:r w:rsidR="00C17BC8">
        <w:rPr>
          <w:szCs w:val="24"/>
        </w:rPr>
        <w:t>),</w:t>
      </w:r>
      <w:r w:rsidR="00E46882" w:rsidRPr="00E46882">
        <w:rPr>
          <w:szCs w:val="24"/>
        </w:rPr>
        <w:t xml:space="preserve"> </w:t>
      </w:r>
      <w:r w:rsidR="00E46882">
        <w:rPr>
          <w:szCs w:val="24"/>
        </w:rPr>
        <w:t xml:space="preserve">and </w:t>
      </w:r>
      <w:r w:rsidR="00E46882" w:rsidRPr="00E46882">
        <w:rPr>
          <w:szCs w:val="24"/>
        </w:rPr>
        <w:t>Volkova &amp; Plankina</w:t>
      </w:r>
      <w:r w:rsidR="00C17BC8">
        <w:rPr>
          <w:szCs w:val="24"/>
        </w:rPr>
        <w:t xml:space="preserve"> (</w:t>
      </w:r>
      <w:r w:rsidR="00E46882" w:rsidRPr="00E46882">
        <w:rPr>
          <w:szCs w:val="24"/>
        </w:rPr>
        <w:t>2013</w:t>
      </w:r>
      <w:r w:rsidR="00E46882">
        <w:rPr>
          <w:rFonts w:eastAsiaTheme="minorHAnsi"/>
          <w:iCs/>
          <w:color w:val="000000" w:themeColor="text1"/>
          <w:szCs w:val="24"/>
          <w:lang w:eastAsia="en-US"/>
        </w:rPr>
        <w:fldChar w:fldCharType="end"/>
      </w:r>
      <w:r w:rsidR="00C17BC8">
        <w:rPr>
          <w:rFonts w:eastAsiaTheme="minorHAnsi"/>
          <w:iCs/>
          <w:color w:val="000000" w:themeColor="text1"/>
          <w:szCs w:val="24"/>
          <w:lang w:eastAsia="en-US"/>
        </w:rPr>
        <w:t>)</w:t>
      </w:r>
      <w:r w:rsidR="00655688">
        <w:rPr>
          <w:rFonts w:eastAsiaTheme="minorHAnsi"/>
          <w:iCs/>
          <w:color w:val="000000" w:themeColor="text1"/>
          <w:szCs w:val="24"/>
          <w:lang w:eastAsia="en-US"/>
        </w:rPr>
        <w:t xml:space="preserve">. (e) White’s heteroskedasticity test was performed after </w:t>
      </w:r>
      <w:r w:rsidR="00237FA5">
        <w:rPr>
          <w:rFonts w:eastAsiaTheme="minorHAnsi"/>
          <w:iCs/>
          <w:color w:val="000000" w:themeColor="text1"/>
          <w:szCs w:val="24"/>
          <w:lang w:eastAsia="en-US"/>
        </w:rPr>
        <w:fldChar w:fldCharType="begin"/>
      </w:r>
      <w:r w:rsidR="00237FA5">
        <w:rPr>
          <w:rFonts w:eastAsiaTheme="minorHAnsi"/>
          <w:iCs/>
          <w:color w:val="000000" w:themeColor="text1"/>
          <w:szCs w:val="24"/>
          <w:lang w:eastAsia="en-US"/>
        </w:rPr>
        <w:instrText xml:space="preserve"> ADDIN ZOTERO_ITEM CSL_CITATION {"citationID":"yZRdw6Rp","properties":{"formattedCitation":"(Astivia &amp; Zumbo, 2019; Baum &amp; Lewbel, 2019; MacKinnon, 2013)","plainCitation":"(Astivia &amp; Zumbo, 2019; Baum &amp; Lewbel, 2019; MacKinnon, 2013)","noteIndex":0},"citationItems":[{"id":22,"uris":["http://zotero.org/users/5016855/items/ULQW4WH3"],"itemData":{"id":22,"type":"article-journal","container-title":"Practical Assessment, Research, and Evaluation","DOI":"https://doi.org/10.7275/q5xr-fr95","ISSN":"1531-7714","issue":"1","title":"Heteroskedasticity in Multiple Regression Analysis: What it is, How to Detect it and How to Solve it with Applications in R and SPSS","title-short":"Heteroskedasticity in Multiple Regression Analysis","URL":"https://scholarworks.umass.edu/pare/vol24/iss1/1","volume":"24","author":[{"family":"Astivia","given":"Oscar"},{"family":"Zumbo","given":"Bruno"}],"accessed":{"date-parts":[["2021",8,11]]},"issued":{"date-parts":[["2019"]]}}},{"id":21,"uris":["http://zotero.org/users/5016855/items/WL4PJ9QR"],"itemData":{"id":21,"type":"article-journal","abstract":"Lewbel (2012, Journal of Business and Economic Statistics 30: 67–80) provides a heteroskedasticity-based estimator for linear regression models containing an endogenous regressor when no external instruments or other such information is available. The estimator is implemented in the command ivreg2h by Baum and Schaffer (2012, Statistical Software Components S457555, Department of Economics, Boston College). In this article, we give advice and instructions to researchers who want to use this estimator.","container-title":"The Stata Journal","DOI":"10.1177/1536867X19893614","ISSN":"1536-867X","issue":"4","journalAbbreviation":"The Stata Journal","language":"en","note":"publisher: SAGE Publications","page":"757-767","source":"SAGE Journals","title":"Advice on using heteroskedasticity-based identification","volume":"19","author":[{"family":"Baum","given":"Christopher F."},{"family":"Lewbel","given":"Arthur"}],"issued":{"date-parts":[["2019",12,1]]}}},{"id":23,"uris":["http://zotero.org/users/5016855/items/QAEC4SN9"],"itemData":{"id":23,"type":"chapter","abstract":"White (Econometrica, 48:817–838, 1980) marked the beginning of a new era for inference in econometrics. It introduced the revolutionary idea of inference that is robust to heteroskedasticity of unknown form, an idea that was very soon extended to other forms of robust inference and also led to many new estimation methods. This paper discusses the development of heteroskedasticity-robust inference since 1980. There have been two principal lines of investigation. One approach has been to modify White’s original estimator to improve its finite-sample properties, and the other has been to use bootstrap methods. The relation between these two approaches, and some ways in which they may be combined, are discussed. Finally, a simulation experiment compares various methods and shows how far heteroskedasticity-robust inference has come in just over 30 years.","container-title":"Recent Advances and Future Directions in Causality, Prediction, and Specification Analysis: Essays in Honor of Halbert L. White Jr","event-place":"New York, NY","ISBN":"978-1-4614-1653-1","language":"en","note":"DOI: 10.1007/978-1-4614-1653-1_17","page":"437-461","publisher":"Springer","publisher-place":"New York, NY","source":"Springer Link","title":"Thirty Years of Heteroskedasticity-Robust Inference","URL":"https://doi.org/10.1007/978-1-4614-1653-1_17","author":[{"family":"MacKinnon","given":"James G."}],"editor":[{"family":"Chen","given":"Xiaohong"},{"family":"Swanson","given":"Norman R."}],"accessed":{"date-parts":[["2021",8,11]]},"issued":{"date-parts":[["2013"]]}}}],"schema":"https://github.com/citation-style-language/schema/raw/master/csl-citation.json"} </w:instrText>
      </w:r>
      <w:r w:rsidR="00237FA5">
        <w:rPr>
          <w:rFonts w:eastAsiaTheme="minorHAnsi"/>
          <w:iCs/>
          <w:color w:val="000000" w:themeColor="text1"/>
          <w:szCs w:val="24"/>
          <w:lang w:eastAsia="en-US"/>
        </w:rPr>
        <w:fldChar w:fldCharType="separate"/>
      </w:r>
      <w:r w:rsidR="00237FA5" w:rsidRPr="00237FA5">
        <w:t>Astivia &amp; Zumbo</w:t>
      </w:r>
      <w:r w:rsidR="00C17BC8">
        <w:t xml:space="preserve"> (</w:t>
      </w:r>
      <w:r w:rsidR="00237FA5" w:rsidRPr="00237FA5">
        <w:t>2019</w:t>
      </w:r>
      <w:r w:rsidR="00C17BC8">
        <w:t>),</w:t>
      </w:r>
      <w:r w:rsidR="00237FA5" w:rsidRPr="00237FA5">
        <w:t xml:space="preserve"> Baum &amp; Lewbel</w:t>
      </w:r>
      <w:r w:rsidR="00C17BC8">
        <w:t xml:space="preserve"> (</w:t>
      </w:r>
      <w:r w:rsidR="00237FA5" w:rsidRPr="00237FA5">
        <w:t>2019</w:t>
      </w:r>
      <w:r w:rsidR="00C17BC8">
        <w:t>),</w:t>
      </w:r>
      <w:r w:rsidR="00237FA5" w:rsidRPr="00237FA5">
        <w:t xml:space="preserve"> </w:t>
      </w:r>
      <w:r w:rsidR="00237FA5">
        <w:t xml:space="preserve">and </w:t>
      </w:r>
      <w:r w:rsidR="00237FA5" w:rsidRPr="00237FA5">
        <w:t xml:space="preserve">MacKinnon </w:t>
      </w:r>
      <w:r w:rsidR="00C17BC8">
        <w:t>(</w:t>
      </w:r>
      <w:r w:rsidR="00237FA5" w:rsidRPr="00237FA5">
        <w:t>2013)</w:t>
      </w:r>
      <w:r w:rsidR="00237FA5">
        <w:rPr>
          <w:rFonts w:eastAsiaTheme="minorHAnsi"/>
          <w:iCs/>
          <w:color w:val="000000" w:themeColor="text1"/>
          <w:szCs w:val="24"/>
          <w:lang w:eastAsia="en-US"/>
        </w:rPr>
        <w:fldChar w:fldCharType="end"/>
      </w:r>
      <w:r w:rsidR="00655688" w:rsidRPr="00655688">
        <w:rPr>
          <w:rFonts w:eastAsiaTheme="minorHAnsi"/>
          <w:iCs/>
          <w:color w:val="000000" w:themeColor="text1"/>
          <w:szCs w:val="24"/>
          <w:lang w:eastAsia="en-US"/>
        </w:rPr>
        <w:t xml:space="preserve">. </w:t>
      </w:r>
      <w:r w:rsidR="00655688">
        <w:rPr>
          <w:rFonts w:eastAsiaTheme="minorHAnsi"/>
          <w:iCs/>
          <w:color w:val="000000" w:themeColor="text1"/>
          <w:szCs w:val="24"/>
          <w:lang w:eastAsia="en-US"/>
        </w:rPr>
        <w:t xml:space="preserve">(f) Normality tests were conducted after </w:t>
      </w:r>
      <w:r w:rsidR="00237FA5">
        <w:rPr>
          <w:rFonts w:eastAsiaTheme="minorHAnsi"/>
          <w:iCs/>
          <w:color w:val="000000" w:themeColor="text1"/>
          <w:szCs w:val="24"/>
          <w:lang w:eastAsia="en-US"/>
        </w:rPr>
        <w:fldChar w:fldCharType="begin"/>
      </w:r>
      <w:r w:rsidR="00237FA5">
        <w:rPr>
          <w:rFonts w:eastAsiaTheme="minorHAnsi"/>
          <w:iCs/>
          <w:color w:val="000000" w:themeColor="text1"/>
          <w:szCs w:val="24"/>
          <w:lang w:eastAsia="en-US"/>
        </w:rPr>
        <w:instrText xml:space="preserve"> ADDIN ZOTERO_ITEM CSL_CITATION {"citationID":"oRhhlPUs","properties":{"formattedCitation":"(Ghasemi &amp; Zahediasl, 2012; Mishra et al., 2019)","plainCitation":"(Ghasemi &amp; Zahediasl, 2012; Mishra et al., 2019)","noteIndex":0},"citationItems":[{"id":15,"uris":["http://zotero.org/users/5016855/items/HVWPGHSN"],"itemData":{"id":15,"type":"article-journal","abstract":"Statistical errors are common in scientific literature and about 50% of the published articles have at least one error. The assumption of normality needs to be checked for many statistical procedures, namely parametric tests, because their validity depends on it. The aim of this commentary is to overview checking for normality in statistical analysis using SPSS.","container-title":"International Journal of Endocrinology and Metabolism","DOI":"10.5812/ijem.3505","ISSN":"1726-913X","issue":"2","journalAbbreviation":"Int J Endocrinol Metab","note":"PMID: 23843808\nPMCID: PMC3693611","page":"486-489","source":"PubMed Central","title":"Normality Tests for Statistical Analysis: A Guide for Non-Statisticians","title-short":"Normality Tests for Statistical Analysis","volume":"10","author":[{"family":"Ghasemi","given":"Asghar"},{"family":"Zahediasl","given":"Saleh"}],"issued":{"date-parts":[["2012"]]}}},{"id":16,"uris":["http://zotero.org/users/5016855/items/VPUHNSMW"],"itemData":{"id":16,"type":"article-journal","abstract":"Descriptive statistics are an important part of biomedical research which is used to describe the basic features of the data in the study. They provide simple summaries about the sample and the measures. Measures of the central tendency and dispersion are used to describe the quantitative data. For the continuous data, test of the normality is an important step for deciding the measures of central tendency and statistical methods for data analysis. When our data follow normal distribution, parametric tests otherwise nonparametric methods are used to compare the groups. There are different methods used to test the normality of data, including numerical and visual methods, and each method has its own advantages and disadvantages. In the present study, we have discussed the summary measures and methods used to test the normality of the data.","container-title":"Annals of Cardiac Anaesthesia","DOI":"10.4103/aca.ACA_157_18","ISSN":"0971-9784","issue":"1","journalAbbreviation":"Ann Card Anaesth","note":"PMID: 30648682\nPMCID: PMC6350423","page":"67-72","source":"PubMed Central","title":"Descriptive Statistics and Normality Tests for Statistical Data","volume":"22","author":[{"family":"Mishra","given":"Prabhaker"},{"family":"Pandey","given":"Chandra M"},{"family":"Singh","given":"Uttam"},{"family":"Gupta","given":"Anshul"},{"family":"Sahu","given":"Chinmoy"},{"family":"Keshri","given":"Amit"}],"issued":{"date-parts":[["2019"]]}}}],"schema":"https://github.com/citation-style-language/schema/raw/master/csl-citation.json"} </w:instrText>
      </w:r>
      <w:r w:rsidR="00237FA5">
        <w:rPr>
          <w:rFonts w:eastAsiaTheme="minorHAnsi"/>
          <w:iCs/>
          <w:color w:val="000000" w:themeColor="text1"/>
          <w:szCs w:val="24"/>
          <w:lang w:eastAsia="en-US"/>
        </w:rPr>
        <w:fldChar w:fldCharType="separate"/>
      </w:r>
      <w:r w:rsidR="00237FA5" w:rsidRPr="00237FA5">
        <w:t>Ghasemi &amp; Zahediasl</w:t>
      </w:r>
      <w:r w:rsidR="00C17BC8">
        <w:t xml:space="preserve"> (</w:t>
      </w:r>
      <w:r w:rsidR="00237FA5" w:rsidRPr="00237FA5">
        <w:t>2012</w:t>
      </w:r>
      <w:r w:rsidR="00C17BC8">
        <w:t>)</w:t>
      </w:r>
      <w:r w:rsidR="00237FA5">
        <w:t xml:space="preserve"> and </w:t>
      </w:r>
      <w:r w:rsidR="00237FA5" w:rsidRPr="00237FA5">
        <w:t>Mishra et al.</w:t>
      </w:r>
      <w:r w:rsidR="00C17BC8">
        <w:t xml:space="preserve"> (</w:t>
      </w:r>
      <w:r w:rsidR="00237FA5" w:rsidRPr="00237FA5">
        <w:t>2019</w:t>
      </w:r>
      <w:r w:rsidR="00237FA5">
        <w:rPr>
          <w:rFonts w:eastAsiaTheme="minorHAnsi"/>
          <w:iCs/>
          <w:color w:val="000000" w:themeColor="text1"/>
          <w:szCs w:val="24"/>
          <w:lang w:eastAsia="en-US"/>
        </w:rPr>
        <w:fldChar w:fldCharType="end"/>
      </w:r>
      <w:r w:rsidR="00C17BC8">
        <w:rPr>
          <w:rFonts w:eastAsiaTheme="minorHAnsi"/>
          <w:iCs/>
          <w:color w:val="000000" w:themeColor="text1"/>
          <w:szCs w:val="24"/>
          <w:lang w:eastAsia="en-US"/>
        </w:rPr>
        <w:t>)</w:t>
      </w:r>
      <w:r w:rsidR="00655688" w:rsidRPr="00655688">
        <w:rPr>
          <w:rFonts w:eastAsiaTheme="minorHAnsi"/>
          <w:iCs/>
          <w:color w:val="000000" w:themeColor="text1"/>
          <w:szCs w:val="24"/>
          <w:lang w:eastAsia="en-US"/>
        </w:rPr>
        <w:t>.</w:t>
      </w:r>
      <w:r w:rsidR="00655688">
        <w:rPr>
          <w:rFonts w:eastAsiaTheme="minorHAnsi"/>
          <w:iCs/>
          <w:color w:val="000000" w:themeColor="text1"/>
          <w:szCs w:val="24"/>
          <w:lang w:eastAsia="en-US"/>
        </w:rPr>
        <w:t xml:space="preserve"> </w:t>
      </w:r>
      <w:r w:rsidRPr="002868F0">
        <w:rPr>
          <w:rFonts w:eastAsiaTheme="minorHAnsi"/>
          <w:iCs/>
          <w:color w:val="000000" w:themeColor="text1"/>
          <w:szCs w:val="24"/>
          <w:lang w:eastAsia="en-US"/>
        </w:rPr>
        <w:t>(</w:t>
      </w:r>
      <w:r w:rsidR="00655688">
        <w:rPr>
          <w:rFonts w:eastAsiaTheme="minorHAnsi"/>
          <w:iCs/>
          <w:color w:val="000000" w:themeColor="text1"/>
          <w:szCs w:val="24"/>
          <w:lang w:eastAsia="en-US"/>
        </w:rPr>
        <w:t>g</w:t>
      </w:r>
      <w:r w:rsidRPr="002868F0">
        <w:rPr>
          <w:rFonts w:eastAsiaTheme="minorHAnsi"/>
          <w:iCs/>
          <w:color w:val="000000" w:themeColor="text1"/>
          <w:szCs w:val="24"/>
          <w:lang w:eastAsia="en-US"/>
        </w:rPr>
        <w:t>) Consistent autocorrelation test results were obtained for the LM</w:t>
      </w:r>
      <w:r w:rsidR="00F34E40">
        <w:rPr>
          <w:rFonts w:eastAsiaTheme="minorHAnsi"/>
          <w:iCs/>
          <w:color w:val="000000" w:themeColor="text1"/>
          <w:szCs w:val="24"/>
          <w:lang w:eastAsia="en-US"/>
        </w:rPr>
        <w:t>F</w:t>
      </w:r>
      <w:r w:rsidRPr="002868F0">
        <w:rPr>
          <w:rFonts w:eastAsiaTheme="minorHAnsi"/>
          <w:iCs/>
          <w:color w:val="000000" w:themeColor="text1"/>
          <w:szCs w:val="24"/>
          <w:lang w:eastAsia="en-US"/>
        </w:rPr>
        <w:t xml:space="preserve"> test statistic, the alternative TR^2 statistic, and the </w:t>
      </w:r>
      <w:proofErr w:type="spellStart"/>
      <w:r w:rsidRPr="002868F0">
        <w:rPr>
          <w:rFonts w:eastAsiaTheme="minorHAnsi"/>
          <w:iCs/>
          <w:color w:val="000000" w:themeColor="text1"/>
          <w:szCs w:val="24"/>
          <w:lang w:eastAsia="en-US"/>
        </w:rPr>
        <w:t>Ljung</w:t>
      </w:r>
      <w:proofErr w:type="spellEnd"/>
      <w:r w:rsidRPr="002868F0">
        <w:rPr>
          <w:rFonts w:eastAsiaTheme="minorHAnsi"/>
          <w:iCs/>
          <w:color w:val="000000" w:themeColor="text1"/>
          <w:szCs w:val="24"/>
          <w:lang w:eastAsia="en-US"/>
        </w:rPr>
        <w:t>-Box Q</w:t>
      </w:r>
      <w:r w:rsidR="00D50943">
        <w:rPr>
          <w:rFonts w:eastAsiaTheme="minorHAnsi"/>
          <w:iCs/>
          <w:color w:val="000000" w:themeColor="text1"/>
          <w:szCs w:val="24"/>
          <w:lang w:eastAsia="en-US"/>
        </w:rPr>
        <w:t xml:space="preserve"> </w:t>
      </w:r>
      <w:r w:rsidRPr="002868F0">
        <w:rPr>
          <w:rFonts w:eastAsiaTheme="minorHAnsi"/>
          <w:iCs/>
          <w:color w:val="000000" w:themeColor="text1"/>
          <w:szCs w:val="24"/>
          <w:lang w:eastAsia="en-US"/>
        </w:rPr>
        <w:t>statistic</w:t>
      </w:r>
      <w:r w:rsidR="00655688">
        <w:rPr>
          <w:rFonts w:eastAsiaTheme="minorHAnsi"/>
          <w:iCs/>
          <w:color w:val="000000" w:themeColor="text1"/>
          <w:szCs w:val="24"/>
          <w:lang w:eastAsia="en-US"/>
        </w:rPr>
        <w:t xml:space="preserve"> </w:t>
      </w:r>
      <w:r w:rsidR="00237FA5">
        <w:rPr>
          <w:rFonts w:eastAsiaTheme="minorHAnsi"/>
          <w:iCs/>
          <w:color w:val="000000" w:themeColor="text1"/>
          <w:szCs w:val="24"/>
          <w:lang w:eastAsia="en-US"/>
        </w:rPr>
        <w:fldChar w:fldCharType="begin"/>
      </w:r>
      <w:r w:rsidR="005107C6">
        <w:rPr>
          <w:rFonts w:eastAsiaTheme="minorHAnsi"/>
          <w:iCs/>
          <w:color w:val="000000" w:themeColor="text1"/>
          <w:szCs w:val="24"/>
          <w:lang w:eastAsia="en-US"/>
        </w:rPr>
        <w:instrText xml:space="preserve"> ADDIN ZOTERO_ITEM CSL_CITATION {"citationID":"zRDRaQ6q","properties":{"formattedCitation":"(Gen\\uc0\\u231{}ay &amp; Signori, 2015; Sun, 2013)","plainCitation":"(Gençay &amp; Signori, 2015; Sun, 2013)","noteIndex":0},"citationItems":[{"id":13,"uris":["http://zotero.org/users/5016855/items/CCIU7FP2"],"itemData":{"id":13,"type":"article-journal","abstract":"This paper introduces a new family of portmanteau tests for serial correlation. Using the wavelet transform, we decompose the variance of the underlying process into the variance of its low frequency and of its high frequency components and we design a variance ratio test of no serial correlation in the presence of dependence. Such decomposition can be carried out iteratively, each wavelet filter leading to a rich family of tests whose joint limiting null distribution is a multivariate normal. We illustrate the size and power properties of the proposed tests through Monte Carlo simulations.","container-title":"Journal of Econometrics","DOI":"10.1016/j.jeconom.2014.08.002","ISSN":"0304-4076","issue":"1","journalAbbreviation":"Journal of Econometrics","language":"en","page":"62-80","source":"ScienceDirect","title":"Multi-scale tests for serial correlation","volume":"184","author":[{"family":"Gençay","given":"Ramazan"},{"family":"Signori","given":"Daniele"}],"issued":{"date-parts":[["2015"]]}}},{"id":14,"uris":["http://zotero.org/users/5016855/items/TJJ6I4P4"],"itemData":{"id":14,"type":"article-journal","abstract":"The paper develops a new heteroskedasticity and autocorrelation robust test in a time series setting. The test is based on a series long‐run variance matrix estimator that involves projecting the time series of interest onto a set of orthonormal bases and using the sample variance of the projection coefficients as the long‐run variance estimator. When the number of orthonormal bases K is fixed, a finite‐sample‐corrected Wald statistic converges to a standard F distribution. When K grows with the sample size, the usual uncorrected Wald statistic converges to a chi‐square distribution. We show that critical values from the F distribution are second‐order correct under the conventional increasing smoothing asymptotics. Simulations show that the F approximation is more accurate than the chi‐square approximation in finite samples.","container-title":"The Econometrics Journal","DOI":"10.1111/j.1368-423X.2012.00390.x","ISSN":"1368-4221","issue":"1","journalAbbreviation":"The Econometrics Journal","page":"1-26","source":"Silverchair","title":"A heteroskedasticity and autocorrelation robust F test using an orthonormal series variance estimator","volume":"16","author":[{"family":"Sun","given":"Yixiao"}],"issued":{"date-parts":[["2013"]]}}}],"schema":"https://github.com/citation-style-language/schema/raw/master/csl-citation.json"} </w:instrText>
      </w:r>
      <w:r w:rsidR="00237FA5">
        <w:rPr>
          <w:rFonts w:eastAsiaTheme="minorHAnsi"/>
          <w:iCs/>
          <w:color w:val="000000" w:themeColor="text1"/>
          <w:szCs w:val="24"/>
          <w:lang w:eastAsia="en-US"/>
        </w:rPr>
        <w:fldChar w:fldCharType="separate"/>
      </w:r>
      <w:r w:rsidR="005107C6" w:rsidRPr="005107C6">
        <w:rPr>
          <w:szCs w:val="24"/>
        </w:rPr>
        <w:t>(Gençay &amp; Signori, 2015</w:t>
      </w:r>
      <w:r w:rsidR="005107C6">
        <w:rPr>
          <w:szCs w:val="24"/>
        </w:rPr>
        <w:t xml:space="preserve"> and</w:t>
      </w:r>
      <w:r w:rsidR="005107C6" w:rsidRPr="005107C6">
        <w:rPr>
          <w:szCs w:val="24"/>
        </w:rPr>
        <w:t xml:space="preserve"> Sun, 2013)</w:t>
      </w:r>
      <w:r w:rsidR="00237FA5">
        <w:rPr>
          <w:rFonts w:eastAsiaTheme="minorHAnsi"/>
          <w:iCs/>
          <w:color w:val="000000" w:themeColor="text1"/>
          <w:szCs w:val="24"/>
          <w:lang w:eastAsia="en-US"/>
        </w:rPr>
        <w:fldChar w:fldCharType="end"/>
      </w:r>
      <w:r w:rsidRPr="002868F0">
        <w:rPr>
          <w:rFonts w:eastAsiaTheme="minorHAnsi"/>
          <w:iCs/>
          <w:color w:val="000000" w:themeColor="text1"/>
          <w:szCs w:val="24"/>
          <w:lang w:eastAsia="en-US"/>
        </w:rPr>
        <w:t>. The reference test statistic reported in the table is the LMF</w:t>
      </w:r>
      <w:r w:rsidR="00655688">
        <w:rPr>
          <w:rFonts w:eastAsiaTheme="minorHAnsi"/>
          <w:iCs/>
          <w:color w:val="000000" w:themeColor="text1"/>
          <w:szCs w:val="24"/>
          <w:lang w:eastAsia="en-US"/>
        </w:rPr>
        <w:t xml:space="preserve"> (h)</w:t>
      </w:r>
      <w:r w:rsidR="00655688" w:rsidRPr="00655688">
        <w:t xml:space="preserve"> </w:t>
      </w:r>
      <w:r w:rsidR="00655688">
        <w:t xml:space="preserve">CUSUM refers to </w:t>
      </w:r>
      <w:r w:rsidR="0032513D">
        <w:t>Cumulative</w:t>
      </w:r>
      <w:r w:rsidR="00655688">
        <w:t xml:space="preserve"> Sum, after </w:t>
      </w:r>
      <w:r w:rsidR="005107C6">
        <w:rPr>
          <w:rFonts w:eastAsiaTheme="minorHAnsi"/>
          <w:iCs/>
          <w:color w:val="000000" w:themeColor="text1"/>
          <w:szCs w:val="24"/>
          <w:lang w:eastAsia="en-US"/>
        </w:rPr>
        <w:fldChar w:fldCharType="begin"/>
      </w:r>
      <w:r w:rsidR="005107C6">
        <w:rPr>
          <w:rFonts w:eastAsiaTheme="minorHAnsi"/>
          <w:iCs/>
          <w:color w:val="000000" w:themeColor="text1"/>
          <w:szCs w:val="24"/>
          <w:lang w:eastAsia="en-US"/>
        </w:rPr>
        <w:instrText xml:space="preserve"> ADDIN ZOTERO_ITEM CSL_CITATION {"citationID":"R4W1r2dR","properties":{"formattedCitation":"(Alimi, 2014; Lee, 2020; Nchor &amp; Adamec, 2016; Tala\\uc0\\u351{} et al., 2013)","plainCitation":"(Alimi, 2014; Lee, 2020; Nchor &amp; Adamec, 2016; Talaş et al., 2013)","noteIndex":0},"citationItems":[{"id":9,"uris":["http://zotero.org/users/5016855/items/KQL9B633"],"itemData":{"id":9,"type":"article-journal","abstract":"This paper investigated the relationship between expected inflation and nominal interest rates in Nigeria and the extent to which the Fisher effect hypothesis holds, for the period 1970-2012. We attempted to advance the field by testing the traditional closed-economy Fisher hypothesis and an augmented Fisher hypothesis by incorporating the foreign interest rate and nominal effective exchange rate variable in the context of a small open developing economy, such as, Nigeria. We applied ARDL bound testing, vector error correction (VECM) and stability of the functions was also tested by CUSUM and CUSUMSQ. We found that full Fisher hypothesis does not hold but there is a Fisher effect in the case of Nigeria over the period under study. In the context of an open economy, the study showed that aside expected inflation, the international variables - foreign interest and nominal effective exchange rates - contain information that predict the nominal interest rate and it also suggested a feed-back mechanism between nominal interest rate and foreign interest rate. Finally, CUSUM test confirms the long-run relationships between the variables and also shows the stability of the coefficients.","container-title":"Asian Journal of Economic Modelling","issue":"2","language":"en","page":"103-114","source":"Zotero","title":"ARDL Bounds Testing Approach to Cointegration: A Re-Examination of Augmented Fisher Hypothesis in an Open Economy","volume":"2","author":[{"family":"Alimi","given":"R Santos"}],"issued":{"date-parts":[["2014"]]}}},{"id":12,"uris":["http://zotero.org/users/5016855/items/S3MD95DY"],"itemData":{"id":12,"type":"article-journal","abstract":"This study aims to refine the residual cumulative sum (CUSUM) test for location-scale time series and to develop the location and scale-based CUSUM (LSCUSUM) test. This test clarifies the role of residuals in the CUSUM test well. In addition, it provides a much more convenient method for analysing time series models with more complicated structure and copious parameters when compared with the conventional estimate- and score vector-based CUSUM tests. The test comprises the two CUSUM test statistics featuring the location and scale parts, which are asymptotically independent and converge to the supremum of a Brownian bridge. The LSCUSUM test is applied to the vector AR, scalar ARMA, and infinite order AR models to demonstrate the merit of the method. In particular, special attention is paid to the vector AR model owing to its importance in applications. We show its validity through Monte Carlo simulations and conduct real data analysis for illustration.","container-title":"Journal of Statistical Computation and Simulation","DOI":"10.1080/00949655.2020.1775833","ISSN":"0094-9655","issue":"13","note":"publisher: Taylor &amp; Francis\n_eprint: https://doi.org/10.1080/00949655.2020.1775833","page":"2309-2328","source":"Taylor and Francis+NEJM","title":"Location and scale-based CUSUM test with application to autoregressive models","volume":"90","author":[{"family":"Lee","given":"Sangyeol"}],"issued":{"date-parts":[["2020"]]}}},{"id":11,"uris":["http://zotero.org/users/5016855/items/QWDPXLDY"],"itemData":{"id":11,"type":"article-journal","abstract":"The study examined the demand for broad money and its stability in Ghana. Johansen's cointegration approach reveals that the variables were non stationary and cointegrated, therefore, an error correction model, ECM was used to determine the factors that influence real money aggregate in Ghana from 1990 to 2014. The study estimated the results using two set of variables for real demand for money: M1 and M2+. This was done given the assumption that the demand for money was equal to the supply of money. The results show that, GDP affects the level of demand for money in the long run while the interest rate affects it in the short run. The error correction term in each of the cases shows that, 18% of deviations in the real demand for money is corrected annually. The CUSUM tests of parameter stability showed that, the money demand function was stable over the period and the Chow test indicated that there were no structural breaks.","collection-title":"19th International Conference Enterprise and Competitive Environment 2016","container-title":"Procedia - Social and Behavioral Sciences","DOI":"10.1016/j.sbspro.2016.05.501","ISSN":"1877-0428","journalAbbreviation":"Procedia - Social and Behavioral Sciences","language":"en","page":"288-293","source":"ScienceDirect","title":"Investigating the Stability of Money Demand in Ghana","volume":"220","author":[{"family":"Nchor","given":"Dennis"},{"family":"Adamec","given":"Václav"}],"issued":{"date-parts":[["2016",5,31]]}}},{"id":10,"uris":["http://zotero.org/users/5016855/items/WPMPKGZV"],"itemData":{"id":10,"type":"article-journal","abstract":"The effects of policies are represented by the parameters of the concerning estimated model. As Lucas critique suggests unless the parameters change with respect to policies, the existing policies will be valid in the long-run. However, policy change can be observed at an unknown point and slowly in particular time period, then these policies will not be associated with structural change. In this study, model stability of money demand constituted by monthly time series concerning the periods of 2001:5-2011:3 in Turkey was tested by recursive CUSUM and MOSUM tests. The results of CUSUM and MOSUM tests demonstrated a single-continuous break and two discrete breaks. In this period, slow structural breaks in the model were thought to be caused by the inflation targeting policies, restricted money supply and short-term interest policies of the government.","container-title":"Research in World Economy","DOI":"10.5430/rwe.v4n2p36","issue":"2","language":"en","note":"Access at: http://citeseerx.ist.psu.edu/viewdoc/download?doi=10.1.1.862.3992&amp;rep=rep1&amp;type=pdf","source":"CiteSeer","title":"Model Stability Test of Money Demand by Monthly Time Series Using CUSUM and MOSUM Tests: Evidence from Turkey","title-short":"Model Stability Test of Money Demand by Monthly Time Series Using CUSUM and MOSUM Tests","URL":"https://www.sciedu.ca/journal/index.php/rwe/article/view/2998","volume":"4","author":[{"family":"Talaş","given":"Emrah"},{"family":"Kaplan","given":"Fatih"},{"family":"Çelik","given":"Ali Kemal"}],"accessed":{"date-parts":[["2021",8,11]]},"issued":{"date-parts":[["2013"]]}}}],"schema":"https://github.com/citation-style-language/schema/raw/master/csl-citation.json"} </w:instrText>
      </w:r>
      <w:r w:rsidR="005107C6">
        <w:rPr>
          <w:rFonts w:eastAsiaTheme="minorHAnsi"/>
          <w:iCs/>
          <w:color w:val="000000" w:themeColor="text1"/>
          <w:szCs w:val="24"/>
          <w:lang w:eastAsia="en-US"/>
        </w:rPr>
        <w:fldChar w:fldCharType="separate"/>
      </w:r>
      <w:r w:rsidR="005107C6" w:rsidRPr="005107C6">
        <w:rPr>
          <w:szCs w:val="24"/>
        </w:rPr>
        <w:t>Alimi</w:t>
      </w:r>
      <w:r w:rsidR="00F30FB0">
        <w:rPr>
          <w:szCs w:val="24"/>
        </w:rPr>
        <w:t xml:space="preserve"> (</w:t>
      </w:r>
      <w:r w:rsidR="005107C6" w:rsidRPr="005107C6">
        <w:rPr>
          <w:szCs w:val="24"/>
        </w:rPr>
        <w:t>2014</w:t>
      </w:r>
      <w:r w:rsidR="00F30FB0">
        <w:rPr>
          <w:szCs w:val="24"/>
        </w:rPr>
        <w:t>),</w:t>
      </w:r>
      <w:r w:rsidR="005107C6" w:rsidRPr="005107C6">
        <w:rPr>
          <w:szCs w:val="24"/>
        </w:rPr>
        <w:t xml:space="preserve"> Lee</w:t>
      </w:r>
      <w:r w:rsidR="00F30FB0">
        <w:rPr>
          <w:szCs w:val="24"/>
        </w:rPr>
        <w:t xml:space="preserve"> (</w:t>
      </w:r>
      <w:r w:rsidR="005107C6" w:rsidRPr="005107C6">
        <w:rPr>
          <w:szCs w:val="24"/>
        </w:rPr>
        <w:t>2020</w:t>
      </w:r>
      <w:r w:rsidR="00F30FB0">
        <w:rPr>
          <w:szCs w:val="24"/>
        </w:rPr>
        <w:t>),</w:t>
      </w:r>
      <w:r w:rsidR="005107C6" w:rsidRPr="005107C6">
        <w:rPr>
          <w:szCs w:val="24"/>
        </w:rPr>
        <w:t xml:space="preserve"> Nchor &amp; Adamec</w:t>
      </w:r>
      <w:r w:rsidR="00F30FB0">
        <w:rPr>
          <w:szCs w:val="24"/>
        </w:rPr>
        <w:t xml:space="preserve"> (</w:t>
      </w:r>
      <w:r w:rsidR="005107C6" w:rsidRPr="005107C6">
        <w:rPr>
          <w:szCs w:val="24"/>
        </w:rPr>
        <w:t>2016</w:t>
      </w:r>
      <w:r w:rsidR="00F30FB0">
        <w:rPr>
          <w:szCs w:val="24"/>
        </w:rPr>
        <w:t xml:space="preserve">), </w:t>
      </w:r>
      <w:r w:rsidR="0032513D">
        <w:rPr>
          <w:szCs w:val="24"/>
        </w:rPr>
        <w:t>and</w:t>
      </w:r>
      <w:r w:rsidR="005107C6" w:rsidRPr="005107C6">
        <w:rPr>
          <w:szCs w:val="24"/>
        </w:rPr>
        <w:t xml:space="preserve"> Talaş et al.</w:t>
      </w:r>
      <w:r w:rsidR="00F30FB0">
        <w:rPr>
          <w:szCs w:val="24"/>
        </w:rPr>
        <w:t xml:space="preserve"> (</w:t>
      </w:r>
      <w:r w:rsidR="005107C6" w:rsidRPr="005107C6">
        <w:rPr>
          <w:szCs w:val="24"/>
        </w:rPr>
        <w:t>2013)</w:t>
      </w:r>
      <w:r w:rsidR="005107C6">
        <w:rPr>
          <w:rFonts w:eastAsiaTheme="minorHAnsi"/>
          <w:iCs/>
          <w:color w:val="000000" w:themeColor="text1"/>
          <w:szCs w:val="24"/>
          <w:lang w:eastAsia="en-US"/>
        </w:rPr>
        <w:fldChar w:fldCharType="end"/>
      </w:r>
      <w:r w:rsidR="00655688" w:rsidRPr="00655688">
        <w:rPr>
          <w:rFonts w:eastAsiaTheme="minorHAnsi"/>
          <w:iCs/>
          <w:color w:val="000000" w:themeColor="text1"/>
          <w:szCs w:val="24"/>
          <w:lang w:eastAsia="en-US"/>
        </w:rPr>
        <w:t>.</w:t>
      </w:r>
    </w:p>
    <w:p w14:paraId="74C348F6" w14:textId="29FD320E" w:rsidR="008E7AC8" w:rsidRDefault="008E7AC8" w:rsidP="008E7AC8">
      <w:pPr>
        <w:jc w:val="left"/>
        <w:rPr>
          <w:rFonts w:eastAsiaTheme="minorHAnsi"/>
          <w:b/>
          <w:bCs/>
          <w:iCs/>
          <w:color w:val="000000" w:themeColor="text1"/>
          <w:szCs w:val="24"/>
          <w:lang w:eastAsia="en-US"/>
        </w:rPr>
      </w:pPr>
    </w:p>
    <w:p w14:paraId="3FE8ED1A" w14:textId="06328D04" w:rsidR="00E204C9" w:rsidRPr="008A301D" w:rsidRDefault="00E204C9" w:rsidP="00A261B1">
      <w:pPr>
        <w:jc w:val="center"/>
        <w:rPr>
          <w:color w:val="000000"/>
          <w:szCs w:val="24"/>
        </w:rPr>
      </w:pPr>
      <w:r>
        <w:rPr>
          <w:noProof/>
        </w:rPr>
        <w:lastRenderedPageBreak/>
        <w:drawing>
          <wp:inline distT="0" distB="0" distL="0" distR="0" wp14:anchorId="5C589164" wp14:editId="173CD738">
            <wp:extent cx="5054600" cy="2734310"/>
            <wp:effectExtent l="0" t="0" r="0" b="8890"/>
            <wp:docPr id="7" name="Picture 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with medium confidence"/>
                    <pic:cNvPicPr/>
                  </pic:nvPicPr>
                  <pic:blipFill>
                    <a:blip r:embed="rId16"/>
                    <a:stretch>
                      <a:fillRect/>
                    </a:stretch>
                  </pic:blipFill>
                  <pic:spPr>
                    <a:xfrm>
                      <a:off x="0" y="0"/>
                      <a:ext cx="5054600" cy="2734310"/>
                    </a:xfrm>
                    <a:prstGeom prst="rect">
                      <a:avLst/>
                    </a:prstGeom>
                  </pic:spPr>
                </pic:pic>
              </a:graphicData>
            </a:graphic>
          </wp:inline>
        </w:drawing>
      </w:r>
    </w:p>
    <w:p w14:paraId="026CD691" w14:textId="1077D5E2" w:rsidR="00A261B1" w:rsidRDefault="00A261B1" w:rsidP="00A261B1">
      <w:pPr>
        <w:pStyle w:val="Figure"/>
        <w:spacing w:after="0"/>
      </w:pPr>
      <w:r w:rsidRPr="00183750">
        <w:t xml:space="preserve">Figure </w:t>
      </w:r>
      <w:r>
        <w:t>8</w:t>
      </w:r>
      <w:r w:rsidRPr="00183750">
        <w:t>:</w:t>
      </w:r>
      <w:r>
        <w:t xml:space="preserve"> </w:t>
      </w:r>
      <w:r w:rsidRPr="00A261B1">
        <w:t>CUSUM test for ECM parameter stability</w:t>
      </w:r>
      <w:r>
        <w:t xml:space="preserve"> - </w:t>
      </w:r>
      <w:r w:rsidRPr="00A261B1">
        <w:t>Results for GHGpc versus the growth measures</w:t>
      </w:r>
      <w:r>
        <w:t xml:space="preserve"> </w:t>
      </w:r>
    </w:p>
    <w:p w14:paraId="717613A2" w14:textId="77777777" w:rsidR="00902C1F" w:rsidRDefault="00902C1F" w:rsidP="008E7AC8">
      <w:pPr>
        <w:jc w:val="left"/>
        <w:rPr>
          <w:rFonts w:eastAsiaTheme="minorHAnsi"/>
          <w:b/>
          <w:bCs/>
          <w:iCs/>
          <w:color w:val="000000" w:themeColor="text1"/>
          <w:szCs w:val="24"/>
          <w:lang w:eastAsia="en-US"/>
        </w:rPr>
      </w:pPr>
    </w:p>
    <w:p w14:paraId="65FE2DED" w14:textId="0B52E09F" w:rsidR="002868F0" w:rsidRDefault="002868F0" w:rsidP="00673795">
      <w:pPr>
        <w:spacing w:after="120"/>
        <w:jc w:val="center"/>
        <w:rPr>
          <w:rFonts w:eastAsiaTheme="minorHAnsi"/>
          <w:b/>
          <w:bCs/>
          <w:iCs/>
          <w:color w:val="000000" w:themeColor="text1"/>
          <w:szCs w:val="24"/>
          <w:lang w:eastAsia="en-US"/>
        </w:rPr>
      </w:pPr>
      <w:r w:rsidRPr="00FE6E57">
        <w:rPr>
          <w:rFonts w:eastAsiaTheme="minorHAnsi"/>
          <w:b/>
          <w:bCs/>
          <w:iCs/>
          <w:color w:val="000000" w:themeColor="text1"/>
          <w:szCs w:val="24"/>
          <w:lang w:eastAsia="en-US"/>
        </w:rPr>
        <w:t>Table 1</w:t>
      </w:r>
      <w:r>
        <w:rPr>
          <w:rFonts w:eastAsiaTheme="minorHAnsi"/>
          <w:b/>
          <w:bCs/>
          <w:iCs/>
          <w:color w:val="000000" w:themeColor="text1"/>
          <w:szCs w:val="24"/>
          <w:lang w:eastAsia="en-US"/>
        </w:rPr>
        <w:t>9</w:t>
      </w:r>
      <w:r w:rsidRPr="00FE6E57">
        <w:rPr>
          <w:rFonts w:eastAsiaTheme="minorHAnsi"/>
          <w:b/>
          <w:bCs/>
          <w:iCs/>
          <w:color w:val="000000" w:themeColor="text1"/>
          <w:szCs w:val="24"/>
          <w:lang w:eastAsia="en-US"/>
        </w:rPr>
        <w:t xml:space="preserve">: </w:t>
      </w:r>
      <w:r w:rsidRPr="002868F0">
        <w:rPr>
          <w:rFonts w:eastAsiaTheme="minorHAnsi"/>
          <w:b/>
          <w:bCs/>
          <w:iCs/>
          <w:color w:val="000000" w:themeColor="text1"/>
          <w:szCs w:val="24"/>
          <w:lang w:eastAsia="en-US"/>
        </w:rPr>
        <w:t>Summary assessment of weak exogeneity in GHG per capita from the ECMs</w:t>
      </w:r>
    </w:p>
    <w:tbl>
      <w:tblPr>
        <w:tblStyle w:val="TableGrid"/>
        <w:tblW w:w="7645" w:type="dxa"/>
        <w:jc w:val="center"/>
        <w:tblBorders>
          <w:insideV w:val="none" w:sz="0" w:space="0" w:color="auto"/>
        </w:tblBorders>
        <w:tblLayout w:type="fixed"/>
        <w:tblLook w:val="04A0" w:firstRow="1" w:lastRow="0" w:firstColumn="1" w:lastColumn="0" w:noHBand="0" w:noVBand="1"/>
      </w:tblPr>
      <w:tblGrid>
        <w:gridCol w:w="3685"/>
        <w:gridCol w:w="3960"/>
      </w:tblGrid>
      <w:tr w:rsidR="00C2792B" w:rsidRPr="00E31A5B" w14:paraId="7D0CD934" w14:textId="77777777" w:rsidTr="008C1CE4">
        <w:trPr>
          <w:trHeight w:val="431"/>
          <w:jc w:val="center"/>
        </w:trPr>
        <w:tc>
          <w:tcPr>
            <w:tcW w:w="3685" w:type="dxa"/>
            <w:vAlign w:val="center"/>
          </w:tcPr>
          <w:p w14:paraId="5EA9A8D2" w14:textId="77777777" w:rsidR="00C2792B" w:rsidRPr="004406DC" w:rsidRDefault="00C2792B" w:rsidP="004406DC">
            <w:pPr>
              <w:jc w:val="center"/>
              <w:rPr>
                <w:color w:val="000000" w:themeColor="text1"/>
              </w:rPr>
            </w:pPr>
            <w:r w:rsidRPr="004406DC">
              <w:rPr>
                <w:color w:val="000000" w:themeColor="text1"/>
              </w:rPr>
              <w:t>Cointegrating Scenario</w:t>
            </w:r>
          </w:p>
        </w:tc>
        <w:tc>
          <w:tcPr>
            <w:tcW w:w="3960" w:type="dxa"/>
            <w:vAlign w:val="center"/>
          </w:tcPr>
          <w:p w14:paraId="2DBE6A9D" w14:textId="77777777" w:rsidR="00C2792B" w:rsidRPr="004406DC" w:rsidRDefault="00C2792B" w:rsidP="004406DC">
            <w:pPr>
              <w:jc w:val="center"/>
              <w:rPr>
                <w:color w:val="000000" w:themeColor="text1"/>
              </w:rPr>
            </w:pPr>
            <w:r w:rsidRPr="004406DC">
              <w:rPr>
                <w:color w:val="000000" w:themeColor="text1"/>
              </w:rPr>
              <w:t>GHGpc is weakly exogenous?</w:t>
            </w:r>
          </w:p>
        </w:tc>
      </w:tr>
      <w:tr w:rsidR="00C2792B" w:rsidRPr="00E31A5B" w14:paraId="2DDB1FC4" w14:textId="77777777" w:rsidTr="008C1CE4">
        <w:trPr>
          <w:jc w:val="center"/>
        </w:trPr>
        <w:tc>
          <w:tcPr>
            <w:tcW w:w="3685" w:type="dxa"/>
            <w:vAlign w:val="center"/>
          </w:tcPr>
          <w:p w14:paraId="70F5ADBA" w14:textId="77777777" w:rsidR="00C2792B" w:rsidRPr="004406DC" w:rsidRDefault="00C2792B" w:rsidP="004406DC">
            <w:pPr>
              <w:jc w:val="center"/>
              <w:rPr>
                <w:color w:val="000000" w:themeColor="text1"/>
              </w:rPr>
            </w:pPr>
            <w:r w:rsidRPr="004406DC">
              <w:rPr>
                <w:color w:val="000000" w:themeColor="text1"/>
              </w:rPr>
              <w:t>GHGpc vs GDPpc</w:t>
            </w:r>
          </w:p>
        </w:tc>
        <w:tc>
          <w:tcPr>
            <w:tcW w:w="3960" w:type="dxa"/>
            <w:vAlign w:val="center"/>
          </w:tcPr>
          <w:p w14:paraId="1C16B2EE" w14:textId="77777777" w:rsidR="00C2792B" w:rsidRPr="004406DC" w:rsidRDefault="00C2792B" w:rsidP="004406DC">
            <w:pPr>
              <w:jc w:val="center"/>
              <w:rPr>
                <w:color w:val="000000" w:themeColor="text1"/>
              </w:rPr>
            </w:pPr>
            <w:r w:rsidRPr="004406DC">
              <w:rPr>
                <w:color w:val="000000" w:themeColor="text1"/>
              </w:rPr>
              <w:t>No</w:t>
            </w:r>
          </w:p>
        </w:tc>
      </w:tr>
      <w:tr w:rsidR="00C2792B" w:rsidRPr="00E31A5B" w14:paraId="3D4383C5" w14:textId="77777777" w:rsidTr="008C1CE4">
        <w:trPr>
          <w:jc w:val="center"/>
        </w:trPr>
        <w:tc>
          <w:tcPr>
            <w:tcW w:w="3685" w:type="dxa"/>
            <w:vAlign w:val="center"/>
          </w:tcPr>
          <w:p w14:paraId="4A5E6ABC" w14:textId="77777777" w:rsidR="00C2792B" w:rsidRPr="004406DC" w:rsidRDefault="00C2792B" w:rsidP="004406DC">
            <w:pPr>
              <w:jc w:val="center"/>
              <w:rPr>
                <w:color w:val="000000" w:themeColor="text1"/>
              </w:rPr>
            </w:pPr>
            <w:r w:rsidRPr="004406DC">
              <w:rPr>
                <w:color w:val="000000" w:themeColor="text1"/>
              </w:rPr>
              <w:t>GHGpc vs GNDIpc</w:t>
            </w:r>
          </w:p>
        </w:tc>
        <w:tc>
          <w:tcPr>
            <w:tcW w:w="3960" w:type="dxa"/>
            <w:vAlign w:val="center"/>
          </w:tcPr>
          <w:p w14:paraId="2331818B" w14:textId="77777777" w:rsidR="00C2792B" w:rsidRPr="004406DC" w:rsidRDefault="00C2792B" w:rsidP="004406DC">
            <w:pPr>
              <w:jc w:val="center"/>
              <w:rPr>
                <w:color w:val="000000" w:themeColor="text1"/>
              </w:rPr>
            </w:pPr>
            <w:r w:rsidRPr="004406DC">
              <w:rPr>
                <w:color w:val="000000" w:themeColor="text1"/>
              </w:rPr>
              <w:t>No</w:t>
            </w:r>
          </w:p>
        </w:tc>
      </w:tr>
      <w:tr w:rsidR="00C2792B" w:rsidRPr="00E31A5B" w14:paraId="60207FCC" w14:textId="77777777" w:rsidTr="008C1CE4">
        <w:trPr>
          <w:jc w:val="center"/>
        </w:trPr>
        <w:tc>
          <w:tcPr>
            <w:tcW w:w="3685" w:type="dxa"/>
            <w:vAlign w:val="center"/>
          </w:tcPr>
          <w:p w14:paraId="6222E0F9" w14:textId="77777777" w:rsidR="00C2792B" w:rsidRPr="004406DC" w:rsidRDefault="00C2792B" w:rsidP="004406DC">
            <w:pPr>
              <w:jc w:val="center"/>
              <w:rPr>
                <w:color w:val="000000" w:themeColor="text1"/>
              </w:rPr>
            </w:pPr>
            <w:r w:rsidRPr="004406DC">
              <w:rPr>
                <w:color w:val="000000" w:themeColor="text1"/>
              </w:rPr>
              <w:t>GHGpc vs HDI</w:t>
            </w:r>
          </w:p>
        </w:tc>
        <w:tc>
          <w:tcPr>
            <w:tcW w:w="3960" w:type="dxa"/>
            <w:vAlign w:val="center"/>
          </w:tcPr>
          <w:p w14:paraId="6F1DAA70" w14:textId="77777777" w:rsidR="00C2792B" w:rsidRPr="004406DC" w:rsidRDefault="00C2792B" w:rsidP="004406DC">
            <w:pPr>
              <w:jc w:val="center"/>
              <w:rPr>
                <w:color w:val="000000" w:themeColor="text1"/>
              </w:rPr>
            </w:pPr>
            <w:r w:rsidRPr="004406DC">
              <w:rPr>
                <w:color w:val="000000" w:themeColor="text1"/>
              </w:rPr>
              <w:t>No</w:t>
            </w:r>
          </w:p>
        </w:tc>
      </w:tr>
      <w:tr w:rsidR="00C2792B" w:rsidRPr="00E31A5B" w14:paraId="78B5048E" w14:textId="77777777" w:rsidTr="008C1CE4">
        <w:trPr>
          <w:jc w:val="center"/>
        </w:trPr>
        <w:tc>
          <w:tcPr>
            <w:tcW w:w="3685" w:type="dxa"/>
            <w:vAlign w:val="center"/>
          </w:tcPr>
          <w:p w14:paraId="0F973C6F" w14:textId="77777777" w:rsidR="00C2792B" w:rsidRPr="004406DC" w:rsidRDefault="00C2792B" w:rsidP="004406DC">
            <w:pPr>
              <w:jc w:val="center"/>
              <w:rPr>
                <w:color w:val="000000" w:themeColor="text1"/>
              </w:rPr>
            </w:pPr>
            <w:r w:rsidRPr="004406DC">
              <w:rPr>
                <w:color w:val="000000" w:themeColor="text1"/>
              </w:rPr>
              <w:t>GHGpc vs IEF</w:t>
            </w:r>
          </w:p>
        </w:tc>
        <w:tc>
          <w:tcPr>
            <w:tcW w:w="3960" w:type="dxa"/>
            <w:vAlign w:val="center"/>
          </w:tcPr>
          <w:p w14:paraId="37F6234D" w14:textId="77777777" w:rsidR="00C2792B" w:rsidRPr="004406DC" w:rsidRDefault="00C2792B" w:rsidP="004406DC">
            <w:pPr>
              <w:jc w:val="center"/>
              <w:rPr>
                <w:color w:val="000000" w:themeColor="text1"/>
              </w:rPr>
            </w:pPr>
            <w:r w:rsidRPr="004406DC">
              <w:rPr>
                <w:color w:val="000000" w:themeColor="text1"/>
              </w:rPr>
              <w:t>No</w:t>
            </w:r>
          </w:p>
        </w:tc>
      </w:tr>
    </w:tbl>
    <w:p w14:paraId="057FE72B" w14:textId="77777777" w:rsidR="00C2792B" w:rsidRDefault="00C2792B" w:rsidP="002868F0">
      <w:pPr>
        <w:jc w:val="left"/>
        <w:rPr>
          <w:rFonts w:eastAsiaTheme="minorHAnsi"/>
          <w:b/>
          <w:bCs/>
          <w:iCs/>
          <w:color w:val="000000" w:themeColor="text1"/>
          <w:szCs w:val="24"/>
          <w:lang w:eastAsia="en-US"/>
        </w:rPr>
      </w:pPr>
    </w:p>
    <w:p w14:paraId="3B4AD5D1" w14:textId="5F45A82E" w:rsidR="00C2792B" w:rsidRDefault="00C2792B" w:rsidP="008E7AC8">
      <w:pPr>
        <w:jc w:val="left"/>
        <w:rPr>
          <w:rFonts w:eastAsiaTheme="minorHAnsi"/>
          <w:b/>
          <w:bCs/>
          <w:iCs/>
          <w:color w:val="000000" w:themeColor="text1"/>
          <w:szCs w:val="24"/>
          <w:lang w:eastAsia="en-US"/>
        </w:rPr>
      </w:pPr>
    </w:p>
    <w:p w14:paraId="21058DD6" w14:textId="77777777" w:rsidR="003E1254" w:rsidRPr="00743C5F" w:rsidRDefault="003E1254" w:rsidP="00127A4C">
      <w:pPr>
        <w:pStyle w:val="HeadingNumbering2"/>
        <w:ind w:left="720"/>
        <w:jc w:val="left"/>
      </w:pPr>
      <w:r w:rsidRPr="00743C5F">
        <w:t>Time Series Plots</w:t>
      </w:r>
    </w:p>
    <w:p w14:paraId="09B6DD1E" w14:textId="42C6EFE0" w:rsidR="000D70E5" w:rsidRDefault="00655688" w:rsidP="00743C5F">
      <w:pPr>
        <w:rPr>
          <w:szCs w:val="24"/>
        </w:rPr>
      </w:pPr>
      <w:r w:rsidRPr="00655688">
        <w:rPr>
          <w:szCs w:val="24"/>
        </w:rPr>
        <w:t xml:space="preserve">Over the 1995 - 2019 time series period, </w:t>
      </w:r>
      <w:r w:rsidR="000D70E5">
        <w:rPr>
          <w:szCs w:val="24"/>
        </w:rPr>
        <w:t xml:space="preserve">the </w:t>
      </w:r>
      <w:r w:rsidRPr="00655688">
        <w:rPr>
          <w:szCs w:val="24"/>
        </w:rPr>
        <w:t xml:space="preserve">GHGpc </w:t>
      </w:r>
      <w:r w:rsidR="000D70E5">
        <w:rPr>
          <w:szCs w:val="24"/>
        </w:rPr>
        <w:t xml:space="preserve">level </w:t>
      </w:r>
      <w:r w:rsidRPr="00655688">
        <w:rPr>
          <w:szCs w:val="24"/>
        </w:rPr>
        <w:t xml:space="preserve">shows </w:t>
      </w:r>
      <w:r w:rsidR="000D70E5">
        <w:rPr>
          <w:szCs w:val="24"/>
        </w:rPr>
        <w:t>multiple peaks,</w:t>
      </w:r>
      <w:r w:rsidRPr="00655688">
        <w:rPr>
          <w:szCs w:val="24"/>
        </w:rPr>
        <w:t xml:space="preserve"> with the </w:t>
      </w:r>
      <w:r w:rsidR="000D70E5">
        <w:rPr>
          <w:szCs w:val="24"/>
        </w:rPr>
        <w:t>maximum</w:t>
      </w:r>
      <w:r w:rsidRPr="00655688">
        <w:rPr>
          <w:szCs w:val="24"/>
        </w:rPr>
        <w:t xml:space="preserve"> GHGpc of 23.5 </w:t>
      </w:r>
      <w:proofErr w:type="spellStart"/>
      <w:r w:rsidR="000D67A5">
        <w:rPr>
          <w:szCs w:val="24"/>
        </w:rPr>
        <w:t>tonnes</w:t>
      </w:r>
      <w:proofErr w:type="spellEnd"/>
      <w:r w:rsidR="000D67A5">
        <w:rPr>
          <w:szCs w:val="24"/>
        </w:rPr>
        <w:t xml:space="preserve"> </w:t>
      </w:r>
      <w:r w:rsidR="00F63DFB">
        <w:rPr>
          <w:szCs w:val="24"/>
        </w:rPr>
        <w:t>CO</w:t>
      </w:r>
      <w:r w:rsidR="00F63DFB" w:rsidRPr="00F63DFB">
        <w:rPr>
          <w:szCs w:val="24"/>
          <w:vertAlign w:val="subscript"/>
        </w:rPr>
        <w:t>2</w:t>
      </w:r>
      <w:r w:rsidR="00F63DFB">
        <w:rPr>
          <w:szCs w:val="24"/>
        </w:rPr>
        <w:t>e</w:t>
      </w:r>
      <w:r w:rsidR="000D67A5">
        <w:rPr>
          <w:szCs w:val="24"/>
        </w:rPr>
        <w:t xml:space="preserve"> (</w:t>
      </w:r>
      <w:r w:rsidRPr="00655688">
        <w:rPr>
          <w:szCs w:val="24"/>
        </w:rPr>
        <w:t>tCO</w:t>
      </w:r>
      <w:r w:rsidRPr="000D67A5">
        <w:rPr>
          <w:szCs w:val="24"/>
          <w:vertAlign w:val="subscript"/>
        </w:rPr>
        <w:t>2</w:t>
      </w:r>
      <w:r w:rsidRPr="00655688">
        <w:rPr>
          <w:szCs w:val="24"/>
        </w:rPr>
        <w:t>e</w:t>
      </w:r>
      <w:r w:rsidR="000D67A5">
        <w:rPr>
          <w:szCs w:val="24"/>
        </w:rPr>
        <w:t>)</w:t>
      </w:r>
      <w:r w:rsidRPr="00655688">
        <w:rPr>
          <w:szCs w:val="24"/>
        </w:rPr>
        <w:t xml:space="preserve"> in 2004 marking the turning point in the overall GHG trend</w:t>
      </w:r>
      <w:r w:rsidR="000D70E5">
        <w:rPr>
          <w:szCs w:val="24"/>
        </w:rPr>
        <w:t xml:space="preserve"> (Figure 6A). This</w:t>
      </w:r>
      <w:r w:rsidRPr="00655688">
        <w:rPr>
          <w:szCs w:val="24"/>
        </w:rPr>
        <w:t xml:space="preserve"> signif</w:t>
      </w:r>
      <w:r w:rsidR="000D70E5">
        <w:rPr>
          <w:szCs w:val="24"/>
        </w:rPr>
        <w:t>ies</w:t>
      </w:r>
      <w:r w:rsidRPr="00655688">
        <w:rPr>
          <w:szCs w:val="24"/>
        </w:rPr>
        <w:t xml:space="preserve"> a reversal from environmental degradation to </w:t>
      </w:r>
      <w:r w:rsidR="000D70E5">
        <w:rPr>
          <w:szCs w:val="24"/>
        </w:rPr>
        <w:t>relative</w:t>
      </w:r>
      <w:r w:rsidRPr="00655688">
        <w:rPr>
          <w:szCs w:val="24"/>
        </w:rPr>
        <w:t xml:space="preserve"> improvement in </w:t>
      </w:r>
      <w:r w:rsidR="000D70E5">
        <w:rPr>
          <w:szCs w:val="24"/>
        </w:rPr>
        <w:t xml:space="preserve">the </w:t>
      </w:r>
      <w:r w:rsidRPr="00655688">
        <w:rPr>
          <w:szCs w:val="24"/>
        </w:rPr>
        <w:t>environmental performance</w:t>
      </w:r>
      <w:r w:rsidR="000D70E5">
        <w:rPr>
          <w:szCs w:val="24"/>
        </w:rPr>
        <w:t>, particularly over the last ten years of the period studied</w:t>
      </w:r>
      <w:r w:rsidRPr="00655688">
        <w:rPr>
          <w:szCs w:val="24"/>
        </w:rPr>
        <w:t>.</w:t>
      </w:r>
      <w:r w:rsidR="000D70E5">
        <w:rPr>
          <w:szCs w:val="24"/>
        </w:rPr>
        <w:t xml:space="preserve"> Also, in the last ten years of the study period, GHGpc growth level revolved around the equilibrium (i.e., zero) but showed greater deviations between 1995 and 2009, after which the relative improvement in environmental performance commenced (Figure 6B).</w:t>
      </w:r>
    </w:p>
    <w:p w14:paraId="0406F218" w14:textId="05C526D0" w:rsidR="000D70E5" w:rsidRDefault="000D70E5" w:rsidP="000D70E5">
      <w:pPr>
        <w:rPr>
          <w:szCs w:val="24"/>
        </w:rPr>
      </w:pPr>
      <w:r>
        <w:rPr>
          <w:szCs w:val="24"/>
        </w:rPr>
        <w:t>The paired time series plot of GHGpc and IEF (Figure 7D) shows the best indication of potential co-movement between GHGpc and the GDP-</w:t>
      </w:r>
      <w:r w:rsidR="00B120F5">
        <w:rPr>
          <w:szCs w:val="24"/>
        </w:rPr>
        <w:t>a</w:t>
      </w:r>
      <w:r>
        <w:rPr>
          <w:szCs w:val="24"/>
        </w:rPr>
        <w:t>lternative measures (Figures 7A to 7D). JC tests were, therefore, performed to either rule-in or rule-out the existence of cointegration between GHGpc and the growth measures. M</w:t>
      </w:r>
      <w:r w:rsidRPr="000D70E5">
        <w:rPr>
          <w:szCs w:val="24"/>
        </w:rPr>
        <w:t xml:space="preserve">ultiple </w:t>
      </w:r>
      <w:r w:rsidRPr="000D70E5">
        <w:rPr>
          <w:szCs w:val="24"/>
        </w:rPr>
        <w:lastRenderedPageBreak/>
        <w:t>scenarios (e.g., “constant”, “constant and trend”, etc.)</w:t>
      </w:r>
      <w:r>
        <w:rPr>
          <w:szCs w:val="24"/>
        </w:rPr>
        <w:t xml:space="preserve"> were tested to assess the impact of the</w:t>
      </w:r>
      <w:r w:rsidRPr="000D70E5">
        <w:rPr>
          <w:szCs w:val="24"/>
        </w:rPr>
        <w:t xml:space="preserve"> </w:t>
      </w:r>
      <w:r>
        <w:rPr>
          <w:szCs w:val="24"/>
        </w:rPr>
        <w:t xml:space="preserve">observed visual </w:t>
      </w:r>
      <w:r w:rsidRPr="000D70E5">
        <w:rPr>
          <w:szCs w:val="24"/>
        </w:rPr>
        <w:t xml:space="preserve">variations in the </w:t>
      </w:r>
      <w:r>
        <w:rPr>
          <w:szCs w:val="24"/>
        </w:rPr>
        <w:t xml:space="preserve">paired </w:t>
      </w:r>
      <w:r w:rsidRPr="000D70E5">
        <w:rPr>
          <w:szCs w:val="24"/>
        </w:rPr>
        <w:t>time series trends</w:t>
      </w:r>
      <w:r>
        <w:rPr>
          <w:szCs w:val="24"/>
        </w:rPr>
        <w:t xml:space="preserve"> on the potential for cointegration between GHGpc and the growth measures.</w:t>
      </w:r>
    </w:p>
    <w:p w14:paraId="6E62C584" w14:textId="77777777" w:rsidR="003E1254" w:rsidRDefault="003E1254" w:rsidP="000D70E5">
      <w:pPr>
        <w:rPr>
          <w:b/>
          <w:bCs/>
          <w:color w:val="000000" w:themeColor="text1"/>
          <w:szCs w:val="24"/>
        </w:rPr>
      </w:pPr>
    </w:p>
    <w:p w14:paraId="5E403D21" w14:textId="77777777" w:rsidR="003E1254" w:rsidRPr="00743C5F" w:rsidRDefault="003E1254" w:rsidP="00127A4C">
      <w:pPr>
        <w:pStyle w:val="HeadingNumbering2"/>
        <w:ind w:left="720"/>
      </w:pPr>
      <w:r w:rsidRPr="00743C5F">
        <w:t>Descriptive Statistics</w:t>
      </w:r>
    </w:p>
    <w:p w14:paraId="5AC0315D" w14:textId="7B830290" w:rsidR="00743C5F" w:rsidRDefault="005A398A" w:rsidP="0098470F">
      <w:pPr>
        <w:rPr>
          <w:color w:val="000000" w:themeColor="text1"/>
          <w:szCs w:val="24"/>
        </w:rPr>
      </w:pPr>
      <w:r w:rsidRPr="005A398A">
        <w:rPr>
          <w:color w:val="000000" w:themeColor="text1"/>
          <w:szCs w:val="24"/>
        </w:rPr>
        <w:t>Canada’s per capita mean and median GHG emissions were similar</w:t>
      </w:r>
      <w:r>
        <w:rPr>
          <w:color w:val="000000" w:themeColor="text1"/>
          <w:szCs w:val="24"/>
        </w:rPr>
        <w:t xml:space="preserve"> between 1995 and 2019</w:t>
      </w:r>
      <w:r w:rsidRPr="005A398A">
        <w:rPr>
          <w:color w:val="000000" w:themeColor="text1"/>
          <w:szCs w:val="24"/>
        </w:rPr>
        <w:t>, being 21.4 tCO</w:t>
      </w:r>
      <w:r w:rsidRPr="00B120F5">
        <w:rPr>
          <w:color w:val="000000" w:themeColor="text1"/>
          <w:szCs w:val="24"/>
          <w:vertAlign w:val="subscript"/>
        </w:rPr>
        <w:t>2</w:t>
      </w:r>
      <w:r w:rsidRPr="005A398A">
        <w:rPr>
          <w:color w:val="000000" w:themeColor="text1"/>
          <w:szCs w:val="24"/>
        </w:rPr>
        <w:t>e and 21.5 tCO</w:t>
      </w:r>
      <w:r w:rsidRPr="00B120F5">
        <w:rPr>
          <w:color w:val="000000" w:themeColor="text1"/>
          <w:szCs w:val="24"/>
          <w:vertAlign w:val="subscript"/>
        </w:rPr>
        <w:t>2</w:t>
      </w:r>
      <w:r w:rsidRPr="005A398A">
        <w:rPr>
          <w:color w:val="000000" w:themeColor="text1"/>
          <w:szCs w:val="24"/>
        </w:rPr>
        <w:t xml:space="preserve">e respectively (Figure </w:t>
      </w:r>
      <w:r w:rsidR="0098470F">
        <w:rPr>
          <w:color w:val="000000" w:themeColor="text1"/>
          <w:szCs w:val="24"/>
        </w:rPr>
        <w:t>6</w:t>
      </w:r>
      <w:r w:rsidRPr="005A398A">
        <w:rPr>
          <w:color w:val="000000" w:themeColor="text1"/>
          <w:szCs w:val="24"/>
        </w:rPr>
        <w:t>A and Table 1).</w:t>
      </w:r>
      <w:r w:rsidR="0098470F" w:rsidRPr="0098470F">
        <w:t xml:space="preserve"> </w:t>
      </w:r>
      <w:r w:rsidR="0098470F">
        <w:rPr>
          <w:color w:val="000000" w:themeColor="text1"/>
          <w:szCs w:val="24"/>
        </w:rPr>
        <w:t xml:space="preserve">The GHGpc </w:t>
      </w:r>
      <w:r w:rsidR="0098470F" w:rsidRPr="0098470F">
        <w:rPr>
          <w:color w:val="000000" w:themeColor="text1"/>
          <w:szCs w:val="24"/>
        </w:rPr>
        <w:t xml:space="preserve">time series </w:t>
      </w:r>
      <w:r w:rsidR="0098470F">
        <w:rPr>
          <w:color w:val="000000" w:themeColor="text1"/>
          <w:szCs w:val="24"/>
        </w:rPr>
        <w:t>is positive</w:t>
      </w:r>
      <w:r w:rsidR="00B120F5">
        <w:rPr>
          <w:color w:val="000000" w:themeColor="text1"/>
          <w:szCs w:val="24"/>
        </w:rPr>
        <w:t xml:space="preserve">, </w:t>
      </w:r>
      <w:proofErr w:type="gramStart"/>
      <w:r w:rsidR="0098470F" w:rsidRPr="0098470F">
        <w:rPr>
          <w:color w:val="000000" w:themeColor="text1"/>
          <w:szCs w:val="24"/>
        </w:rPr>
        <w:t>fairly</w:t>
      </w:r>
      <w:r w:rsidR="0098470F">
        <w:rPr>
          <w:color w:val="000000" w:themeColor="text1"/>
          <w:szCs w:val="24"/>
        </w:rPr>
        <w:t xml:space="preserve"> </w:t>
      </w:r>
      <w:r w:rsidR="0098470F" w:rsidRPr="0098470F">
        <w:rPr>
          <w:color w:val="000000" w:themeColor="text1"/>
          <w:szCs w:val="24"/>
        </w:rPr>
        <w:t>symmetrical</w:t>
      </w:r>
      <w:proofErr w:type="gramEnd"/>
      <w:r w:rsidR="00B120F5">
        <w:rPr>
          <w:color w:val="000000" w:themeColor="text1"/>
          <w:szCs w:val="24"/>
        </w:rPr>
        <w:t>,</w:t>
      </w:r>
      <w:r w:rsidR="0098470F">
        <w:rPr>
          <w:color w:val="000000" w:themeColor="text1"/>
          <w:szCs w:val="24"/>
        </w:rPr>
        <w:t xml:space="preserve"> and platykurtic</w:t>
      </w:r>
      <w:r w:rsidR="0098470F" w:rsidRPr="0098470F">
        <w:rPr>
          <w:color w:val="000000" w:themeColor="text1"/>
          <w:szCs w:val="24"/>
        </w:rPr>
        <w:t xml:space="preserve">. </w:t>
      </w:r>
    </w:p>
    <w:p w14:paraId="08FC7919" w14:textId="77777777" w:rsidR="003E1254" w:rsidRDefault="003E1254" w:rsidP="000D70E5">
      <w:pPr>
        <w:rPr>
          <w:szCs w:val="24"/>
        </w:rPr>
      </w:pPr>
    </w:p>
    <w:p w14:paraId="62D2F78B" w14:textId="77777777" w:rsidR="003E1254" w:rsidRPr="00743C5F" w:rsidRDefault="003E1254" w:rsidP="00127A4C">
      <w:pPr>
        <w:pStyle w:val="HeadingNumbering2"/>
        <w:ind w:left="720"/>
      </w:pPr>
      <w:bookmarkStart w:id="11" w:name="_Toc85149365"/>
      <w:r w:rsidRPr="00743C5F">
        <w:t>Stationarity</w:t>
      </w:r>
      <w:bookmarkEnd w:id="11"/>
    </w:p>
    <w:p w14:paraId="74188247" w14:textId="4F7E7C0F" w:rsidR="00317FEA" w:rsidRDefault="00B12B21" w:rsidP="00317FEA">
      <w:pPr>
        <w:rPr>
          <w:color w:val="000000" w:themeColor="text1"/>
          <w:szCs w:val="24"/>
        </w:rPr>
      </w:pPr>
      <w:r>
        <w:rPr>
          <w:color w:val="000000" w:themeColor="text1"/>
          <w:szCs w:val="24"/>
        </w:rPr>
        <w:t xml:space="preserve">Non-stationarity is the null hypothesis of the ADF unit root test. </w:t>
      </w:r>
      <w:r w:rsidR="00317FEA" w:rsidRPr="00317FEA">
        <w:rPr>
          <w:color w:val="000000" w:themeColor="text1"/>
          <w:szCs w:val="24"/>
        </w:rPr>
        <w:t xml:space="preserve">The ADF test results reported in Table </w:t>
      </w:r>
      <w:r w:rsidR="00317FEA">
        <w:rPr>
          <w:color w:val="000000" w:themeColor="text1"/>
          <w:szCs w:val="24"/>
        </w:rPr>
        <w:t>2 indicates</w:t>
      </w:r>
      <w:r w:rsidR="00317FEA" w:rsidRPr="00317FEA">
        <w:rPr>
          <w:color w:val="000000" w:themeColor="text1"/>
          <w:szCs w:val="24"/>
        </w:rPr>
        <w:t xml:space="preserve"> that </w:t>
      </w:r>
      <w:r w:rsidR="00317FEA">
        <w:rPr>
          <w:color w:val="000000" w:themeColor="text1"/>
          <w:szCs w:val="24"/>
        </w:rPr>
        <w:t xml:space="preserve">over the time series period studied, GHGpc </w:t>
      </w:r>
      <w:r w:rsidR="00AF2429">
        <w:rPr>
          <w:color w:val="000000" w:themeColor="text1"/>
          <w:szCs w:val="24"/>
        </w:rPr>
        <w:t>is</w:t>
      </w:r>
      <w:r w:rsidR="00317FEA" w:rsidRPr="00317FEA">
        <w:rPr>
          <w:color w:val="000000" w:themeColor="text1"/>
          <w:szCs w:val="24"/>
        </w:rPr>
        <w:t xml:space="preserve"> integrated of order 1, i.e., </w:t>
      </w:r>
      <w:proofErr w:type="gramStart"/>
      <w:r w:rsidR="00317FEA" w:rsidRPr="00317FEA">
        <w:rPr>
          <w:color w:val="000000" w:themeColor="text1"/>
          <w:szCs w:val="24"/>
        </w:rPr>
        <w:t>I(</w:t>
      </w:r>
      <w:proofErr w:type="gramEnd"/>
      <w:r w:rsidR="00317FEA" w:rsidRPr="00317FEA">
        <w:rPr>
          <w:color w:val="000000" w:themeColor="text1"/>
          <w:szCs w:val="24"/>
        </w:rPr>
        <w:t xml:space="preserve">1), </w:t>
      </w:r>
      <w:r w:rsidR="00AF2429">
        <w:rPr>
          <w:color w:val="000000" w:themeColor="text1"/>
          <w:szCs w:val="24"/>
        </w:rPr>
        <w:t xml:space="preserve">in the “constant only” scenario. </w:t>
      </w:r>
      <w:r w:rsidR="00317FEA" w:rsidRPr="00317FEA">
        <w:rPr>
          <w:color w:val="000000" w:themeColor="text1"/>
          <w:szCs w:val="24"/>
        </w:rPr>
        <w:t xml:space="preserve">The confirmation of the </w:t>
      </w:r>
      <w:proofErr w:type="gramStart"/>
      <w:r w:rsidR="00317FEA" w:rsidRPr="00317FEA">
        <w:rPr>
          <w:color w:val="000000" w:themeColor="text1"/>
          <w:szCs w:val="24"/>
        </w:rPr>
        <w:t>I(</w:t>
      </w:r>
      <w:proofErr w:type="gramEnd"/>
      <w:r w:rsidR="00317FEA" w:rsidRPr="00317FEA">
        <w:rPr>
          <w:color w:val="000000" w:themeColor="text1"/>
          <w:szCs w:val="24"/>
        </w:rPr>
        <w:t>1) status allowed for cointegration</w:t>
      </w:r>
      <w:r w:rsidR="00AF2429">
        <w:rPr>
          <w:color w:val="000000" w:themeColor="text1"/>
          <w:szCs w:val="24"/>
        </w:rPr>
        <w:t xml:space="preserve"> </w:t>
      </w:r>
      <w:r w:rsidR="00317FEA" w:rsidRPr="00317FEA">
        <w:rPr>
          <w:color w:val="000000" w:themeColor="text1"/>
          <w:szCs w:val="24"/>
        </w:rPr>
        <w:t>test</w:t>
      </w:r>
      <w:r>
        <w:rPr>
          <w:color w:val="000000" w:themeColor="text1"/>
          <w:szCs w:val="24"/>
        </w:rPr>
        <w:t>ing</w:t>
      </w:r>
      <w:r w:rsidR="00317FEA" w:rsidRPr="00317FEA">
        <w:rPr>
          <w:color w:val="000000" w:themeColor="text1"/>
          <w:szCs w:val="24"/>
        </w:rPr>
        <w:t xml:space="preserve"> to be performed between </w:t>
      </w:r>
      <w:r w:rsidR="00AF2429">
        <w:rPr>
          <w:color w:val="000000" w:themeColor="text1"/>
          <w:szCs w:val="24"/>
        </w:rPr>
        <w:t xml:space="preserve">GHGpc </w:t>
      </w:r>
      <w:r w:rsidR="00317FEA" w:rsidRPr="00317FEA">
        <w:rPr>
          <w:color w:val="000000" w:themeColor="text1"/>
          <w:szCs w:val="24"/>
        </w:rPr>
        <w:t xml:space="preserve">paired </w:t>
      </w:r>
      <w:r w:rsidR="00AF2429">
        <w:rPr>
          <w:color w:val="000000" w:themeColor="text1"/>
          <w:szCs w:val="24"/>
        </w:rPr>
        <w:t xml:space="preserve">with the </w:t>
      </w:r>
      <w:r w:rsidR="00317FEA" w:rsidRPr="00317FEA">
        <w:rPr>
          <w:color w:val="000000" w:themeColor="text1"/>
          <w:szCs w:val="24"/>
        </w:rPr>
        <w:t xml:space="preserve">growth </w:t>
      </w:r>
      <w:r w:rsidR="00AF2429">
        <w:rPr>
          <w:color w:val="000000" w:themeColor="text1"/>
          <w:szCs w:val="24"/>
        </w:rPr>
        <w:t>measures</w:t>
      </w:r>
      <w:r w:rsidR="00317FEA" w:rsidRPr="00317FEA">
        <w:rPr>
          <w:color w:val="000000" w:themeColor="text1"/>
          <w:szCs w:val="24"/>
        </w:rPr>
        <w:t>.</w:t>
      </w:r>
    </w:p>
    <w:p w14:paraId="1AE85283" w14:textId="77777777" w:rsidR="003E1254" w:rsidRDefault="003E1254" w:rsidP="003E1254">
      <w:pPr>
        <w:ind w:firstLine="720"/>
        <w:rPr>
          <w:color w:val="000000" w:themeColor="text1"/>
          <w:szCs w:val="24"/>
        </w:rPr>
      </w:pPr>
    </w:p>
    <w:p w14:paraId="1B75C863" w14:textId="77777777" w:rsidR="003E1254" w:rsidRPr="00743C5F" w:rsidRDefault="003E1254" w:rsidP="00127A4C">
      <w:pPr>
        <w:pStyle w:val="HeadingNumbering2"/>
        <w:ind w:left="720"/>
      </w:pPr>
      <w:bookmarkStart w:id="12" w:name="_Toc85149366"/>
      <w:r w:rsidRPr="00743C5F">
        <w:t>Cointegration</w:t>
      </w:r>
      <w:bookmarkEnd w:id="12"/>
      <w:r w:rsidRPr="00743C5F">
        <w:t xml:space="preserve"> </w:t>
      </w:r>
    </w:p>
    <w:p w14:paraId="376187E3" w14:textId="5DEC7D29" w:rsidR="00B12B21" w:rsidRDefault="00B12B21" w:rsidP="00B12B21">
      <w:pPr>
        <w:rPr>
          <w:color w:val="000000" w:themeColor="text1"/>
          <w:szCs w:val="24"/>
        </w:rPr>
      </w:pPr>
      <w:r>
        <w:rPr>
          <w:color w:val="000000" w:themeColor="text1"/>
          <w:szCs w:val="24"/>
        </w:rPr>
        <w:t>B</w:t>
      </w:r>
      <w:r w:rsidRPr="00B12B21">
        <w:rPr>
          <w:color w:val="000000" w:themeColor="text1"/>
          <w:szCs w:val="24"/>
        </w:rPr>
        <w:t>ased on the AIC</w:t>
      </w:r>
      <w:r>
        <w:rPr>
          <w:color w:val="000000" w:themeColor="text1"/>
          <w:szCs w:val="24"/>
        </w:rPr>
        <w:t>,</w:t>
      </w:r>
      <w:r w:rsidRPr="00B12B21">
        <w:rPr>
          <w:color w:val="000000" w:themeColor="text1"/>
          <w:szCs w:val="24"/>
        </w:rPr>
        <w:t xml:space="preserve"> </w:t>
      </w:r>
      <w:r>
        <w:rPr>
          <w:color w:val="000000" w:themeColor="text1"/>
          <w:szCs w:val="24"/>
        </w:rPr>
        <w:t>t</w:t>
      </w:r>
      <w:r w:rsidRPr="00B12B21">
        <w:rPr>
          <w:color w:val="000000" w:themeColor="text1"/>
          <w:szCs w:val="24"/>
        </w:rPr>
        <w:t xml:space="preserve">he optimal lag length for cointegration testing </w:t>
      </w:r>
      <w:r>
        <w:rPr>
          <w:color w:val="000000" w:themeColor="text1"/>
          <w:szCs w:val="24"/>
        </w:rPr>
        <w:t>was</w:t>
      </w:r>
      <w:r w:rsidRPr="00B12B21">
        <w:rPr>
          <w:color w:val="000000" w:themeColor="text1"/>
          <w:szCs w:val="24"/>
        </w:rPr>
        <w:t xml:space="preserve"> 7</w:t>
      </w:r>
      <w:r>
        <w:rPr>
          <w:color w:val="000000" w:themeColor="text1"/>
          <w:szCs w:val="24"/>
        </w:rPr>
        <w:t xml:space="preserve"> (Table 3). The existence of a unit root is the null hypothesis of the JC test, determined using the p-value of the error term of the cointegrating regression of the unit root test. The null hypothesis is rejected for p-value &lt; 0.05, implying that cointegration exists between the parameters being evaluated. </w:t>
      </w:r>
    </w:p>
    <w:p w14:paraId="1D2479DE" w14:textId="216E0FB7" w:rsidR="00B12B21" w:rsidRPr="00B12B21" w:rsidRDefault="00891B09" w:rsidP="00B12B21">
      <w:pPr>
        <w:rPr>
          <w:color w:val="000000" w:themeColor="text1"/>
          <w:szCs w:val="24"/>
        </w:rPr>
      </w:pPr>
      <w:r>
        <w:rPr>
          <w:color w:val="000000" w:themeColor="text1"/>
          <w:szCs w:val="24"/>
        </w:rPr>
        <w:t>Cointegrating vectors were found to be dependent on the scenario evaluated. For example, a</w:t>
      </w:r>
      <w:r w:rsidR="00B12B21">
        <w:rPr>
          <w:color w:val="000000" w:themeColor="text1"/>
          <w:szCs w:val="24"/>
        </w:rPr>
        <w:t>s shown in Tables</w:t>
      </w:r>
      <w:r w:rsidR="00984351">
        <w:rPr>
          <w:color w:val="000000" w:themeColor="text1"/>
          <w:szCs w:val="24"/>
        </w:rPr>
        <w:t xml:space="preserve"> 4 </w:t>
      </w:r>
      <w:r w:rsidR="00B12B21">
        <w:rPr>
          <w:color w:val="000000" w:themeColor="text1"/>
          <w:szCs w:val="24"/>
        </w:rPr>
        <w:t>to</w:t>
      </w:r>
      <w:r w:rsidR="006A3364">
        <w:rPr>
          <w:color w:val="000000" w:themeColor="text1"/>
          <w:szCs w:val="24"/>
        </w:rPr>
        <w:t xml:space="preserve"> 7 and</w:t>
      </w:r>
      <w:r w:rsidR="00B12B21">
        <w:rPr>
          <w:color w:val="000000" w:themeColor="text1"/>
          <w:szCs w:val="24"/>
        </w:rPr>
        <w:t xml:space="preserve"> </w:t>
      </w:r>
      <w:r w:rsidR="006A3364">
        <w:rPr>
          <w:color w:val="000000" w:themeColor="text1"/>
          <w:szCs w:val="24"/>
        </w:rPr>
        <w:t xml:space="preserve">9 to </w:t>
      </w:r>
      <w:r w:rsidR="00B12B21">
        <w:rPr>
          <w:color w:val="000000" w:themeColor="text1"/>
          <w:szCs w:val="24"/>
        </w:rPr>
        <w:t xml:space="preserve">11, </w:t>
      </w:r>
      <w:r>
        <w:rPr>
          <w:color w:val="000000" w:themeColor="text1"/>
          <w:szCs w:val="24"/>
        </w:rPr>
        <w:t>the cointegration</w:t>
      </w:r>
      <w:r w:rsidR="00B12B21">
        <w:rPr>
          <w:color w:val="000000" w:themeColor="text1"/>
          <w:szCs w:val="24"/>
        </w:rPr>
        <w:t xml:space="preserve"> criterion is satisfied at rank 1 for GHGpc and the growth measures in the “unrestricted constant” and the “unrestricted constant and trend” scenarios. A cointegrating equation exists at rank 0 between GHGpc and HDI in the “unrestricted constant scenario</w:t>
      </w:r>
      <w:r w:rsidR="006A3364">
        <w:rPr>
          <w:color w:val="000000" w:themeColor="text1"/>
          <w:szCs w:val="24"/>
        </w:rPr>
        <w:t xml:space="preserve"> (Table 8)</w:t>
      </w:r>
      <w:r w:rsidR="00B12B21">
        <w:rPr>
          <w:color w:val="000000" w:themeColor="text1"/>
          <w:szCs w:val="24"/>
        </w:rPr>
        <w:t xml:space="preserve">. For all the scenarios tested (Table 12), a minimum of two cointegrating relationships (and up to a maximum of five) were found between GHGpc and </w:t>
      </w:r>
      <w:r>
        <w:rPr>
          <w:color w:val="000000" w:themeColor="text1"/>
          <w:szCs w:val="24"/>
        </w:rPr>
        <w:t xml:space="preserve">each of </w:t>
      </w:r>
      <w:r w:rsidR="00B12B21">
        <w:rPr>
          <w:color w:val="000000" w:themeColor="text1"/>
          <w:szCs w:val="24"/>
        </w:rPr>
        <w:t xml:space="preserve">the growth measures (Table 13). This confirms that GHGpc has co-movement with GDPpc and </w:t>
      </w:r>
      <w:r w:rsidR="00E204C9">
        <w:rPr>
          <w:color w:val="000000" w:themeColor="text1"/>
          <w:szCs w:val="24"/>
        </w:rPr>
        <w:t>shows</w:t>
      </w:r>
      <w:r w:rsidR="00905C6C">
        <w:rPr>
          <w:color w:val="000000" w:themeColor="text1"/>
          <w:szCs w:val="24"/>
        </w:rPr>
        <w:t xml:space="preserve"> </w:t>
      </w:r>
      <w:r w:rsidR="00B12B21">
        <w:rPr>
          <w:color w:val="000000" w:themeColor="text1"/>
          <w:szCs w:val="24"/>
        </w:rPr>
        <w:t xml:space="preserve">for the first time in the literature that Canada’s GHGpc is cointegrated with GNDIpc, HDI, and IEF.      </w:t>
      </w:r>
    </w:p>
    <w:p w14:paraId="01C35834" w14:textId="50B9CC3C" w:rsidR="00352FC1" w:rsidRDefault="00352FC1" w:rsidP="00B12B21">
      <w:pPr>
        <w:rPr>
          <w:color w:val="000000" w:themeColor="text1"/>
          <w:szCs w:val="24"/>
        </w:rPr>
      </w:pPr>
    </w:p>
    <w:p w14:paraId="3BA34401" w14:textId="02F786AB" w:rsidR="00352FC1" w:rsidRPr="00743C5F" w:rsidRDefault="00352FC1" w:rsidP="00127A4C">
      <w:pPr>
        <w:pStyle w:val="HeadingNumbering2"/>
        <w:ind w:left="720"/>
      </w:pPr>
      <w:r>
        <w:t>Ordinary Least Squares Error Correction Model</w:t>
      </w:r>
      <w:r w:rsidR="002D7742">
        <w:t xml:space="preserve"> and Tests for </w:t>
      </w:r>
      <w:r w:rsidR="000251CE">
        <w:t xml:space="preserve">Post-Error Correction Model Specification </w:t>
      </w:r>
      <w:r w:rsidR="002D7742">
        <w:t xml:space="preserve">and Exogeneity </w:t>
      </w:r>
      <w:r w:rsidR="000251CE">
        <w:t xml:space="preserve">  </w:t>
      </w:r>
      <w:r>
        <w:t xml:space="preserve"> </w:t>
      </w:r>
    </w:p>
    <w:p w14:paraId="1A690250" w14:textId="149261F8" w:rsidR="00FC0E99" w:rsidRPr="00FC0E99" w:rsidRDefault="00FC0E99" w:rsidP="00FC0E99">
      <w:pPr>
        <w:rPr>
          <w:color w:val="000000" w:themeColor="text1"/>
          <w:szCs w:val="24"/>
        </w:rPr>
      </w:pPr>
      <w:r w:rsidRPr="00FC0E99">
        <w:rPr>
          <w:color w:val="000000" w:themeColor="text1"/>
          <w:szCs w:val="24"/>
        </w:rPr>
        <w:t xml:space="preserve">The results from the ECM specification tests show that for all the </w:t>
      </w:r>
      <w:r>
        <w:rPr>
          <w:color w:val="000000" w:themeColor="text1"/>
          <w:szCs w:val="24"/>
        </w:rPr>
        <w:t xml:space="preserve">selected </w:t>
      </w:r>
      <w:r w:rsidRPr="00FC0E99">
        <w:rPr>
          <w:color w:val="000000" w:themeColor="text1"/>
          <w:szCs w:val="24"/>
        </w:rPr>
        <w:t>paired “GHGpc – growth indicator” scenarios</w:t>
      </w:r>
      <w:r>
        <w:rPr>
          <w:color w:val="000000" w:themeColor="text1"/>
          <w:szCs w:val="24"/>
        </w:rPr>
        <w:t xml:space="preserve"> (</w:t>
      </w:r>
      <w:r w:rsidR="002D7742">
        <w:rPr>
          <w:color w:val="000000" w:themeColor="text1"/>
          <w:szCs w:val="24"/>
        </w:rPr>
        <w:t xml:space="preserve">i.e., the reference scenarios marked with an </w:t>
      </w:r>
      <w:proofErr w:type="spellStart"/>
      <w:r w:rsidR="002D7742">
        <w:rPr>
          <w:color w:val="000000" w:themeColor="text1"/>
          <w:szCs w:val="24"/>
        </w:rPr>
        <w:t>asterix</w:t>
      </w:r>
      <w:proofErr w:type="spellEnd"/>
      <w:r w:rsidR="002D7742">
        <w:rPr>
          <w:color w:val="000000" w:themeColor="text1"/>
          <w:szCs w:val="24"/>
        </w:rPr>
        <w:t xml:space="preserve"> “*” in </w:t>
      </w:r>
      <w:r>
        <w:rPr>
          <w:color w:val="000000" w:themeColor="text1"/>
          <w:szCs w:val="24"/>
        </w:rPr>
        <w:t>Table 12)</w:t>
      </w:r>
      <w:r w:rsidRPr="00FC0E99">
        <w:rPr>
          <w:color w:val="000000" w:themeColor="text1"/>
          <w:szCs w:val="24"/>
        </w:rPr>
        <w:t xml:space="preserve">, </w:t>
      </w:r>
      <w:r>
        <w:rPr>
          <w:color w:val="000000" w:themeColor="text1"/>
          <w:szCs w:val="24"/>
        </w:rPr>
        <w:t>we failed</w:t>
      </w:r>
      <w:r w:rsidRPr="00FC0E99">
        <w:rPr>
          <w:color w:val="000000" w:themeColor="text1"/>
          <w:szCs w:val="24"/>
        </w:rPr>
        <w:t xml:space="preserve"> to reject the null hypothesis for all the post-model specification tests (Table </w:t>
      </w:r>
      <w:r>
        <w:rPr>
          <w:color w:val="000000" w:themeColor="text1"/>
          <w:szCs w:val="24"/>
        </w:rPr>
        <w:t>18</w:t>
      </w:r>
      <w:r w:rsidRPr="00FC0E99">
        <w:rPr>
          <w:color w:val="000000" w:themeColor="text1"/>
          <w:szCs w:val="24"/>
        </w:rPr>
        <w:t xml:space="preserve">). This indicates that for all the </w:t>
      </w:r>
      <w:r>
        <w:rPr>
          <w:color w:val="000000" w:themeColor="text1"/>
          <w:szCs w:val="24"/>
        </w:rPr>
        <w:t xml:space="preserve">reported </w:t>
      </w:r>
      <w:r w:rsidRPr="00FC0E99">
        <w:rPr>
          <w:color w:val="000000" w:themeColor="text1"/>
          <w:szCs w:val="24"/>
        </w:rPr>
        <w:t>ECMs</w:t>
      </w:r>
      <w:r>
        <w:rPr>
          <w:color w:val="000000" w:themeColor="text1"/>
          <w:szCs w:val="24"/>
        </w:rPr>
        <w:t xml:space="preserve"> (Tables 14 to 17)</w:t>
      </w:r>
      <w:r w:rsidRPr="00FC0E99">
        <w:rPr>
          <w:color w:val="000000" w:themeColor="text1"/>
          <w:szCs w:val="24"/>
        </w:rPr>
        <w:t xml:space="preserve">: </w:t>
      </w:r>
    </w:p>
    <w:p w14:paraId="498A7BB2" w14:textId="6551B7B0" w:rsidR="00FC0E99" w:rsidRPr="00FC0E99" w:rsidRDefault="00FC0E99" w:rsidP="00FC0E99">
      <w:pPr>
        <w:pStyle w:val="ListParagraph"/>
        <w:numPr>
          <w:ilvl w:val="0"/>
          <w:numId w:val="28"/>
        </w:numPr>
        <w:rPr>
          <w:rFonts w:ascii="Times New Roman" w:hAnsi="Times New Roman" w:cs="Times New Roman"/>
          <w:color w:val="000000" w:themeColor="text1"/>
          <w:sz w:val="24"/>
          <w:szCs w:val="24"/>
        </w:rPr>
      </w:pPr>
      <w:r w:rsidRPr="00FC0E99">
        <w:rPr>
          <w:rFonts w:ascii="Times New Roman" w:hAnsi="Times New Roman" w:cs="Times New Roman"/>
          <w:color w:val="000000" w:themeColor="text1"/>
          <w:sz w:val="24"/>
          <w:szCs w:val="24"/>
        </w:rPr>
        <w:t>The ECM specification is adequate.</w:t>
      </w:r>
    </w:p>
    <w:p w14:paraId="60B84430" w14:textId="3B71DC2A" w:rsidR="00FC0E99" w:rsidRPr="00FC0E99" w:rsidRDefault="00FC0E99" w:rsidP="00FC0E99">
      <w:pPr>
        <w:pStyle w:val="ListParagraph"/>
        <w:numPr>
          <w:ilvl w:val="0"/>
          <w:numId w:val="28"/>
        </w:numPr>
        <w:rPr>
          <w:rFonts w:ascii="Times New Roman" w:hAnsi="Times New Roman" w:cs="Times New Roman"/>
          <w:color w:val="000000" w:themeColor="text1"/>
          <w:sz w:val="24"/>
          <w:szCs w:val="24"/>
        </w:rPr>
      </w:pPr>
      <w:r w:rsidRPr="00FC0E99">
        <w:rPr>
          <w:rFonts w:ascii="Times New Roman" w:hAnsi="Times New Roman" w:cs="Times New Roman"/>
          <w:color w:val="000000" w:themeColor="text1"/>
          <w:sz w:val="24"/>
          <w:szCs w:val="24"/>
        </w:rPr>
        <w:t>Heteroskedasticity and ARCH are not present.</w:t>
      </w:r>
    </w:p>
    <w:p w14:paraId="181CCE31" w14:textId="58204D63" w:rsidR="00FC0E99" w:rsidRPr="00FC0E99" w:rsidRDefault="00FC0E99" w:rsidP="00FC0E99">
      <w:pPr>
        <w:pStyle w:val="ListParagraph"/>
        <w:numPr>
          <w:ilvl w:val="0"/>
          <w:numId w:val="28"/>
        </w:numPr>
        <w:rPr>
          <w:rFonts w:ascii="Times New Roman" w:hAnsi="Times New Roman" w:cs="Times New Roman"/>
          <w:color w:val="000000" w:themeColor="text1"/>
          <w:sz w:val="24"/>
          <w:szCs w:val="24"/>
        </w:rPr>
      </w:pPr>
      <w:r w:rsidRPr="00FC0E99">
        <w:rPr>
          <w:rFonts w:ascii="Times New Roman" w:hAnsi="Times New Roman" w:cs="Times New Roman"/>
          <w:color w:val="000000" w:themeColor="text1"/>
          <w:sz w:val="24"/>
          <w:szCs w:val="24"/>
        </w:rPr>
        <w:t>The ECM error is normally distributed</w:t>
      </w:r>
    </w:p>
    <w:p w14:paraId="241EDEBB" w14:textId="2A77A576" w:rsidR="00FC0E99" w:rsidRPr="00FC0E99" w:rsidRDefault="00FC0E99" w:rsidP="00FC0E99">
      <w:pPr>
        <w:pStyle w:val="ListParagraph"/>
        <w:numPr>
          <w:ilvl w:val="0"/>
          <w:numId w:val="28"/>
        </w:numPr>
        <w:rPr>
          <w:rFonts w:ascii="Times New Roman" w:hAnsi="Times New Roman" w:cs="Times New Roman"/>
          <w:color w:val="000000" w:themeColor="text1"/>
          <w:sz w:val="24"/>
          <w:szCs w:val="24"/>
        </w:rPr>
      </w:pPr>
      <w:r w:rsidRPr="00FC0E99">
        <w:rPr>
          <w:rFonts w:ascii="Times New Roman" w:hAnsi="Times New Roman" w:cs="Times New Roman"/>
          <w:color w:val="000000" w:themeColor="text1"/>
          <w:sz w:val="24"/>
          <w:szCs w:val="24"/>
        </w:rPr>
        <w:lastRenderedPageBreak/>
        <w:t xml:space="preserve">There is no autocorrelation, and </w:t>
      </w:r>
    </w:p>
    <w:p w14:paraId="3BAB6AEC" w14:textId="45E21F7A" w:rsidR="00FC0E99" w:rsidRPr="00FC0E99" w:rsidRDefault="00FC0E99" w:rsidP="002D7742">
      <w:pPr>
        <w:pStyle w:val="ListParagraph"/>
        <w:numPr>
          <w:ilvl w:val="0"/>
          <w:numId w:val="28"/>
        </w:numPr>
        <w:spacing w:after="0"/>
        <w:rPr>
          <w:rFonts w:ascii="Times New Roman" w:hAnsi="Times New Roman" w:cs="Times New Roman"/>
          <w:color w:val="000000" w:themeColor="text1"/>
          <w:sz w:val="24"/>
          <w:szCs w:val="24"/>
        </w:rPr>
      </w:pPr>
      <w:r w:rsidRPr="00FC0E99">
        <w:rPr>
          <w:rFonts w:ascii="Times New Roman" w:hAnsi="Times New Roman" w:cs="Times New Roman"/>
          <w:color w:val="000000" w:themeColor="text1"/>
          <w:sz w:val="24"/>
          <w:szCs w:val="24"/>
        </w:rPr>
        <w:t>There were no changes in the parameters. Hence, the ECMs were within the required upper and lower model limits (Figure 8).</w:t>
      </w:r>
    </w:p>
    <w:p w14:paraId="64FC8E42" w14:textId="3F173872" w:rsidR="001D1051" w:rsidRPr="002D7742" w:rsidRDefault="002D7742" w:rsidP="00352FC1">
      <w:pPr>
        <w:rPr>
          <w:color w:val="000000" w:themeColor="text1"/>
          <w:szCs w:val="24"/>
        </w:rPr>
      </w:pPr>
      <w:r w:rsidRPr="002D7742">
        <w:rPr>
          <w:color w:val="000000" w:themeColor="text1"/>
          <w:szCs w:val="24"/>
        </w:rPr>
        <w:t>The</w:t>
      </w:r>
      <w:r>
        <w:rPr>
          <w:color w:val="000000" w:themeColor="text1"/>
          <w:szCs w:val="24"/>
        </w:rPr>
        <w:t xml:space="preserve"> ECM results, therefore, provide the equations for representing the long run equilibrium relationship that exists between GHGpc and the growth measures (i.e., GDPpc, GNDIpc, HDI, and IEF), following the prior indicated confirmation of cointegration between the variables from JC testing. </w:t>
      </w:r>
    </w:p>
    <w:p w14:paraId="7451E7C4" w14:textId="5580DA40" w:rsidR="002D7742" w:rsidRPr="002D7742" w:rsidRDefault="002D7742" w:rsidP="002D7742">
      <w:pPr>
        <w:rPr>
          <w:color w:val="000000" w:themeColor="text1"/>
          <w:szCs w:val="24"/>
        </w:rPr>
      </w:pPr>
      <w:r w:rsidRPr="002D7742">
        <w:rPr>
          <w:color w:val="000000" w:themeColor="text1"/>
          <w:szCs w:val="24"/>
        </w:rPr>
        <w:t xml:space="preserve">To determine whether GHGpc (the dependent variable) acts as an autonomous driving force in the GHG-growth nexus </w:t>
      </w:r>
      <w:r w:rsidR="00290B07">
        <w:rPr>
          <w:color w:val="000000" w:themeColor="text1"/>
          <w:szCs w:val="24"/>
        </w:rPr>
        <w:t xml:space="preserve">(for the evaluated growth measures) </w:t>
      </w:r>
      <w:r w:rsidRPr="002D7742">
        <w:rPr>
          <w:color w:val="000000" w:themeColor="text1"/>
          <w:szCs w:val="24"/>
        </w:rPr>
        <w:t xml:space="preserve">or moves to restore the equilibrium with changes in the long-run equilibrium, the null hypothesis for the cointegrating relationship is that GHGpc is weakly exogenous. The p-values of the lagged residual from the ECM (Tables </w:t>
      </w:r>
      <w:r w:rsidR="00290B07">
        <w:rPr>
          <w:color w:val="000000" w:themeColor="text1"/>
          <w:szCs w:val="24"/>
        </w:rPr>
        <w:t>14</w:t>
      </w:r>
      <w:r w:rsidRPr="002D7742">
        <w:rPr>
          <w:color w:val="000000" w:themeColor="text1"/>
          <w:szCs w:val="24"/>
        </w:rPr>
        <w:t xml:space="preserve"> </w:t>
      </w:r>
      <w:r w:rsidR="00290B07">
        <w:rPr>
          <w:color w:val="000000" w:themeColor="text1"/>
          <w:szCs w:val="24"/>
        </w:rPr>
        <w:t>to</w:t>
      </w:r>
      <w:r w:rsidRPr="002D7742">
        <w:rPr>
          <w:color w:val="000000" w:themeColor="text1"/>
          <w:szCs w:val="24"/>
        </w:rPr>
        <w:t xml:space="preserve"> 1</w:t>
      </w:r>
      <w:r w:rsidR="00290B07">
        <w:rPr>
          <w:color w:val="000000" w:themeColor="text1"/>
          <w:szCs w:val="24"/>
        </w:rPr>
        <w:t>7</w:t>
      </w:r>
      <w:r w:rsidRPr="002D7742">
        <w:rPr>
          <w:color w:val="000000" w:themeColor="text1"/>
          <w:szCs w:val="24"/>
        </w:rPr>
        <w:t xml:space="preserve">) were used to determine whether to “reject” or “fail to reject” the null hypothesis </w:t>
      </w:r>
      <w:r w:rsidR="005107C6">
        <w:rPr>
          <w:color w:val="000000" w:themeColor="text1"/>
          <w:szCs w:val="24"/>
        </w:rPr>
        <w:fldChar w:fldCharType="begin"/>
      </w:r>
      <w:r w:rsidR="005107C6">
        <w:rPr>
          <w:color w:val="000000" w:themeColor="text1"/>
          <w:szCs w:val="24"/>
        </w:rPr>
        <w:instrText xml:space="preserve"> ADDIN ZOTERO_ITEM CSL_CITATION {"citationID":"ir8tf8Ot","properties":{"formattedCitation":"(Urbain, 2012)","plainCitation":"(Urbain, 2012)","noteIndex":0},"citationItems":[{"id":28,"uris":["http://zotero.org/users/5016855/items/URM4GFIQ"],"itemData":{"id":28,"type":"book","abstract":"In the recent years, the study of cointegrated time series and the use of error correction models have become extremely popular in the econometric literature. This book provides an analysis of the notion of (weak) exogeneity, which is necessary to sustain valid inference in sub-systems, inthe framework of error correction models (ECMs). In many practical situations, the applied econometrician wants to introduce \"structure\" on his/her model in order to get economically meaningful coefficients. For thispurpose, ECMs in structural form provide an appealing framework, allowing the researcher to introduce (theoretically motivated) identification restrictions on the long run relationships. In this case, the validity of the inference will depend on a number of conditions which are investigated here. In particular,we point out that orthogonality tests, often used to test for weak exogeneity or for general misspecification, behave poorly in finite samples and are often not very useful in cointegrated systems.","ISBN":"978-3-642-95706-2","language":"en","note":"Google-Books-ID: PmXwCAAAQBAJ","number-of-pages":"201","publisher":"Springer Science &amp; Business Media","source":"Google Books","title":"Exogeneity in Error Correction Models","author":[{"family":"Urbain","given":"Jean-Pierre"}],"accessed":{"date-parts":[["2021",8,11]]},"issued":{"date-parts":[["2012",12,6]]}}}],"schema":"https://github.com/citation-style-language/schema/raw/master/csl-citation.json"} </w:instrText>
      </w:r>
      <w:r w:rsidR="005107C6">
        <w:rPr>
          <w:color w:val="000000" w:themeColor="text1"/>
          <w:szCs w:val="24"/>
        </w:rPr>
        <w:fldChar w:fldCharType="separate"/>
      </w:r>
      <w:r w:rsidR="005107C6" w:rsidRPr="005107C6">
        <w:t>(Urbain, 2012)</w:t>
      </w:r>
      <w:r w:rsidR="005107C6">
        <w:rPr>
          <w:color w:val="000000" w:themeColor="text1"/>
          <w:szCs w:val="24"/>
        </w:rPr>
        <w:fldChar w:fldCharType="end"/>
      </w:r>
      <w:r w:rsidRPr="002D7742">
        <w:rPr>
          <w:color w:val="000000" w:themeColor="text1"/>
          <w:szCs w:val="24"/>
        </w:rPr>
        <w:t xml:space="preserve">. The null hypothesis was rejected for p-values &lt; 0.05 implying </w:t>
      </w:r>
      <w:r w:rsidR="00290B07">
        <w:rPr>
          <w:color w:val="000000" w:themeColor="text1"/>
          <w:szCs w:val="24"/>
        </w:rPr>
        <w:t xml:space="preserve">that </w:t>
      </w:r>
      <w:r w:rsidRPr="002D7742">
        <w:rPr>
          <w:color w:val="000000" w:themeColor="text1"/>
          <w:szCs w:val="24"/>
        </w:rPr>
        <w:t>for these instances</w:t>
      </w:r>
      <w:r w:rsidR="00290B07">
        <w:rPr>
          <w:color w:val="000000" w:themeColor="text1"/>
          <w:szCs w:val="24"/>
        </w:rPr>
        <w:t>,</w:t>
      </w:r>
      <w:r w:rsidRPr="002D7742">
        <w:rPr>
          <w:color w:val="000000" w:themeColor="text1"/>
          <w:szCs w:val="24"/>
        </w:rPr>
        <w:t xml:space="preserve"> GHGpc is not weakly exogenous. </w:t>
      </w:r>
    </w:p>
    <w:p w14:paraId="0C839C6F" w14:textId="48398D7A" w:rsidR="002D7742" w:rsidRPr="002D7742" w:rsidRDefault="002D7742" w:rsidP="002D7742">
      <w:pPr>
        <w:rPr>
          <w:color w:val="000000" w:themeColor="text1"/>
          <w:szCs w:val="24"/>
        </w:rPr>
      </w:pPr>
      <w:r w:rsidRPr="002D7742">
        <w:rPr>
          <w:color w:val="000000" w:themeColor="text1"/>
          <w:szCs w:val="24"/>
        </w:rPr>
        <w:t xml:space="preserve">The results from this research show that for </w:t>
      </w:r>
      <w:r w:rsidR="00290B07">
        <w:rPr>
          <w:color w:val="000000" w:themeColor="text1"/>
          <w:szCs w:val="24"/>
        </w:rPr>
        <w:t xml:space="preserve">each of </w:t>
      </w:r>
      <w:r w:rsidRPr="002D7742">
        <w:rPr>
          <w:color w:val="000000" w:themeColor="text1"/>
          <w:szCs w:val="24"/>
        </w:rPr>
        <w:t>the paired variables</w:t>
      </w:r>
      <w:r w:rsidR="00290B07">
        <w:rPr>
          <w:color w:val="000000" w:themeColor="text1"/>
          <w:szCs w:val="24"/>
        </w:rPr>
        <w:t xml:space="preserve"> of GHGpc and the growth measures</w:t>
      </w:r>
      <w:r w:rsidRPr="002D7742">
        <w:rPr>
          <w:color w:val="000000" w:themeColor="text1"/>
          <w:szCs w:val="24"/>
        </w:rPr>
        <w:t>, GHGpc is not exogenous in the cointegrat</w:t>
      </w:r>
      <w:r w:rsidR="00290B07">
        <w:rPr>
          <w:color w:val="000000" w:themeColor="text1"/>
          <w:szCs w:val="24"/>
        </w:rPr>
        <w:t>ing</w:t>
      </w:r>
      <w:r w:rsidRPr="002D7742">
        <w:rPr>
          <w:color w:val="000000" w:themeColor="text1"/>
          <w:szCs w:val="24"/>
        </w:rPr>
        <w:t xml:space="preserve"> relationship and</w:t>
      </w:r>
      <w:r w:rsidR="00E204C9">
        <w:rPr>
          <w:color w:val="000000" w:themeColor="text1"/>
          <w:szCs w:val="24"/>
        </w:rPr>
        <w:t>, therefore,</w:t>
      </w:r>
      <w:r w:rsidRPr="002D7742">
        <w:rPr>
          <w:color w:val="000000" w:themeColor="text1"/>
          <w:szCs w:val="24"/>
        </w:rPr>
        <w:t xml:space="preserve"> adjusts (i.e., mean-reverts) to restore the </w:t>
      </w:r>
      <w:r w:rsidR="00290B07">
        <w:rPr>
          <w:color w:val="000000" w:themeColor="text1"/>
          <w:szCs w:val="24"/>
        </w:rPr>
        <w:t>long run</w:t>
      </w:r>
      <w:r w:rsidRPr="002D7742">
        <w:rPr>
          <w:color w:val="000000" w:themeColor="text1"/>
          <w:szCs w:val="24"/>
        </w:rPr>
        <w:t xml:space="preserve"> relationship between GHGpc and </w:t>
      </w:r>
      <w:r w:rsidR="00290B07">
        <w:rPr>
          <w:color w:val="000000" w:themeColor="text1"/>
          <w:szCs w:val="24"/>
        </w:rPr>
        <w:t xml:space="preserve">each of </w:t>
      </w:r>
      <w:r w:rsidRPr="002D7742">
        <w:rPr>
          <w:color w:val="000000" w:themeColor="text1"/>
          <w:szCs w:val="24"/>
        </w:rPr>
        <w:t xml:space="preserve">the growth </w:t>
      </w:r>
      <w:r w:rsidR="00290B07">
        <w:rPr>
          <w:color w:val="000000" w:themeColor="text1"/>
          <w:szCs w:val="24"/>
        </w:rPr>
        <w:t>measures.</w:t>
      </w:r>
    </w:p>
    <w:p w14:paraId="074C9D38" w14:textId="77777777" w:rsidR="00D238C4" w:rsidRPr="00DC62C8" w:rsidRDefault="00D238C4" w:rsidP="001D1051">
      <w:pPr>
        <w:pStyle w:val="Figure"/>
        <w:spacing w:before="0" w:after="0"/>
        <w:jc w:val="left"/>
        <w:rPr>
          <w:b w:val="0"/>
          <w:bCs w:val="0"/>
        </w:rPr>
      </w:pPr>
    </w:p>
    <w:p w14:paraId="2A7C4661" w14:textId="0F2BF6A6" w:rsidR="00EB3EAB" w:rsidRPr="007E5AD5" w:rsidRDefault="00743C5F" w:rsidP="00EB3EAB">
      <w:pPr>
        <w:pStyle w:val="HeadingNumbering1"/>
        <w:numPr>
          <w:ilvl w:val="0"/>
          <w:numId w:val="12"/>
        </w:numPr>
        <w:ind w:left="360"/>
      </w:pPr>
      <w:r>
        <w:t>Summary and Conclusion</w:t>
      </w:r>
    </w:p>
    <w:p w14:paraId="673C4D21" w14:textId="0B7311F0" w:rsidR="00290B07" w:rsidRDefault="00FE5973" w:rsidP="00EB3EAB">
      <w:pPr>
        <w:rPr>
          <w:szCs w:val="24"/>
        </w:rPr>
      </w:pPr>
      <w:r>
        <w:rPr>
          <w:szCs w:val="24"/>
        </w:rPr>
        <w:t xml:space="preserve">This paper </w:t>
      </w:r>
      <w:r w:rsidRPr="00FE5973">
        <w:rPr>
          <w:szCs w:val="24"/>
        </w:rPr>
        <w:t>demonstrat</w:t>
      </w:r>
      <w:r>
        <w:rPr>
          <w:szCs w:val="24"/>
        </w:rPr>
        <w:t>es</w:t>
      </w:r>
      <w:r w:rsidRPr="00FE5973">
        <w:rPr>
          <w:szCs w:val="24"/>
        </w:rPr>
        <w:t xml:space="preserve"> </w:t>
      </w:r>
      <w:r w:rsidR="00290B07">
        <w:rPr>
          <w:szCs w:val="24"/>
        </w:rPr>
        <w:t xml:space="preserve">for the first time in the literature </w:t>
      </w:r>
      <w:r w:rsidRPr="00FE5973">
        <w:rPr>
          <w:szCs w:val="24"/>
        </w:rPr>
        <w:t xml:space="preserve">that Canada’s </w:t>
      </w:r>
      <w:r w:rsidR="00E51C99">
        <w:rPr>
          <w:szCs w:val="24"/>
        </w:rPr>
        <w:t xml:space="preserve">national-level </w:t>
      </w:r>
      <w:r w:rsidRPr="00FE5973">
        <w:rPr>
          <w:szCs w:val="24"/>
        </w:rPr>
        <w:t xml:space="preserve">per capita GHG emission has a long-run relationship </w:t>
      </w:r>
      <w:r w:rsidR="00E51C99">
        <w:rPr>
          <w:szCs w:val="24"/>
        </w:rPr>
        <w:t xml:space="preserve">with </w:t>
      </w:r>
      <w:r>
        <w:rPr>
          <w:szCs w:val="24"/>
        </w:rPr>
        <w:t xml:space="preserve">the </w:t>
      </w:r>
      <w:r w:rsidRPr="00FE5973">
        <w:rPr>
          <w:szCs w:val="24"/>
        </w:rPr>
        <w:t>GDP-alternative indicators</w:t>
      </w:r>
      <w:r w:rsidR="00290B07">
        <w:rPr>
          <w:szCs w:val="24"/>
        </w:rPr>
        <w:t>, namely</w:t>
      </w:r>
      <w:r>
        <w:rPr>
          <w:szCs w:val="24"/>
        </w:rPr>
        <w:t xml:space="preserve"> </w:t>
      </w:r>
      <w:r w:rsidR="00290B07">
        <w:rPr>
          <w:szCs w:val="24"/>
        </w:rPr>
        <w:t xml:space="preserve">per capita </w:t>
      </w:r>
      <w:r>
        <w:rPr>
          <w:szCs w:val="24"/>
        </w:rPr>
        <w:t>gross national disposable income</w:t>
      </w:r>
      <w:r w:rsidR="00290B07">
        <w:rPr>
          <w:szCs w:val="24"/>
        </w:rPr>
        <w:t xml:space="preserve"> (GNDIpc)</w:t>
      </w:r>
      <w:r>
        <w:rPr>
          <w:szCs w:val="24"/>
        </w:rPr>
        <w:t>, human development index</w:t>
      </w:r>
      <w:r w:rsidR="00290B07">
        <w:rPr>
          <w:szCs w:val="24"/>
        </w:rPr>
        <w:t xml:space="preserve"> (HDI)</w:t>
      </w:r>
      <w:r>
        <w:rPr>
          <w:szCs w:val="24"/>
        </w:rPr>
        <w:t>, and the index of economic freedom</w:t>
      </w:r>
      <w:r w:rsidR="00290B07">
        <w:rPr>
          <w:szCs w:val="24"/>
        </w:rPr>
        <w:t xml:space="preserve"> (IEF)</w:t>
      </w:r>
      <w:r w:rsidRPr="00FE5973">
        <w:rPr>
          <w:szCs w:val="24"/>
        </w:rPr>
        <w:t>.</w:t>
      </w:r>
      <w:r w:rsidR="008D6F2D">
        <w:rPr>
          <w:szCs w:val="24"/>
        </w:rPr>
        <w:t xml:space="preserve"> </w:t>
      </w:r>
      <w:r w:rsidR="00290B07">
        <w:rPr>
          <w:szCs w:val="24"/>
        </w:rPr>
        <w:t>GHGpc was also confirmed to be cointegrated with per capita GDP. It was observed</w:t>
      </w:r>
      <w:r w:rsidR="00E51C99">
        <w:rPr>
          <w:szCs w:val="24"/>
        </w:rPr>
        <w:t>, however,</w:t>
      </w:r>
      <w:r w:rsidR="00290B07">
        <w:rPr>
          <w:szCs w:val="24"/>
        </w:rPr>
        <w:t xml:space="preserve"> that the greatest number of cointegrating relationships (at most five) were found between GHGpc and IEF.</w:t>
      </w:r>
    </w:p>
    <w:p w14:paraId="52E3250A" w14:textId="3D94D204" w:rsidR="009E3297" w:rsidRDefault="009E3297" w:rsidP="00EB3EAB">
      <w:pPr>
        <w:rPr>
          <w:szCs w:val="24"/>
        </w:rPr>
      </w:pPr>
      <w:r w:rsidRPr="009E3297">
        <w:rPr>
          <w:szCs w:val="24"/>
        </w:rPr>
        <w:t>This paper contributes to both the Canadian and the global body of knowledge on how GDP-</w:t>
      </w:r>
      <w:r w:rsidR="00290B07">
        <w:rPr>
          <w:szCs w:val="24"/>
        </w:rPr>
        <w:t>a</w:t>
      </w:r>
      <w:r w:rsidRPr="009E3297">
        <w:rPr>
          <w:szCs w:val="24"/>
        </w:rPr>
        <w:t xml:space="preserve">lternative measures can be used to gain </w:t>
      </w:r>
      <w:r w:rsidR="00290B07">
        <w:rPr>
          <w:szCs w:val="24"/>
        </w:rPr>
        <w:t>complementary</w:t>
      </w:r>
      <w:r w:rsidRPr="009E3297">
        <w:rPr>
          <w:szCs w:val="24"/>
        </w:rPr>
        <w:t xml:space="preserve"> insight </w:t>
      </w:r>
      <w:r w:rsidR="00E51C99">
        <w:rPr>
          <w:szCs w:val="24"/>
        </w:rPr>
        <w:t>into</w:t>
      </w:r>
      <w:r w:rsidRPr="009E3297">
        <w:rPr>
          <w:szCs w:val="24"/>
        </w:rPr>
        <w:t xml:space="preserve"> the potential dynamics between </w:t>
      </w:r>
      <w:r w:rsidR="00885BA0" w:rsidRPr="009E3297">
        <w:rPr>
          <w:szCs w:val="24"/>
        </w:rPr>
        <w:t>economic growth</w:t>
      </w:r>
      <w:r w:rsidR="00885BA0" w:rsidRPr="009E3297">
        <w:rPr>
          <w:szCs w:val="24"/>
        </w:rPr>
        <w:t xml:space="preserve"> </w:t>
      </w:r>
      <w:r w:rsidR="00885BA0">
        <w:rPr>
          <w:szCs w:val="24"/>
        </w:rPr>
        <w:t xml:space="preserve">and </w:t>
      </w:r>
      <w:r w:rsidRPr="009E3297">
        <w:rPr>
          <w:szCs w:val="24"/>
        </w:rPr>
        <w:t>environment</w:t>
      </w:r>
      <w:r w:rsidR="00E204C9">
        <w:rPr>
          <w:szCs w:val="24"/>
        </w:rPr>
        <w:t>al performance</w:t>
      </w:r>
      <w:r w:rsidRPr="009E3297">
        <w:rPr>
          <w:szCs w:val="24"/>
        </w:rPr>
        <w:t>.</w:t>
      </w:r>
      <w:r>
        <w:rPr>
          <w:szCs w:val="24"/>
        </w:rPr>
        <w:t xml:space="preserve"> The observations </w:t>
      </w:r>
      <w:r w:rsidR="00FE5973">
        <w:rPr>
          <w:szCs w:val="24"/>
        </w:rPr>
        <w:t xml:space="preserve">provide a context that should </w:t>
      </w:r>
      <w:r w:rsidR="00290B07">
        <w:rPr>
          <w:szCs w:val="24"/>
        </w:rPr>
        <w:t>extend</w:t>
      </w:r>
      <w:r w:rsidR="00FE5973">
        <w:rPr>
          <w:szCs w:val="24"/>
        </w:rPr>
        <w:t xml:space="preserve"> previous studies in the quest to understand Canada’s environment-growth nexus</w:t>
      </w:r>
      <w:r w:rsidR="00290B07">
        <w:rPr>
          <w:szCs w:val="24"/>
        </w:rPr>
        <w:t xml:space="preserve"> more holistically</w:t>
      </w:r>
      <w:r w:rsidR="00FE5973">
        <w:rPr>
          <w:szCs w:val="24"/>
        </w:rPr>
        <w:t xml:space="preserve">. </w:t>
      </w:r>
    </w:p>
    <w:p w14:paraId="2BFF14BC" w14:textId="515FD741" w:rsidR="00EB3EAB" w:rsidRDefault="002F7542" w:rsidP="00EB3EAB">
      <w:pPr>
        <w:rPr>
          <w:szCs w:val="24"/>
        </w:rPr>
      </w:pPr>
      <w:r w:rsidRPr="00060D8E">
        <w:rPr>
          <w:szCs w:val="24"/>
        </w:rPr>
        <w:t xml:space="preserve">The findings of the research should </w:t>
      </w:r>
      <w:r w:rsidR="00E51C99">
        <w:rPr>
          <w:szCs w:val="24"/>
        </w:rPr>
        <w:t xml:space="preserve">also </w:t>
      </w:r>
      <w:r w:rsidRPr="00060D8E">
        <w:rPr>
          <w:szCs w:val="24"/>
        </w:rPr>
        <w:t xml:space="preserve">facilitate a broader assessment of the potential implication of the overall economic wellbeing of a nation on its environmental quality. This consideration can inform strategic environmental and economic policy development and implementation </w:t>
      </w:r>
      <w:r w:rsidR="00E51C99">
        <w:rPr>
          <w:szCs w:val="24"/>
        </w:rPr>
        <w:t xml:space="preserve">at the national level </w:t>
      </w:r>
      <w:r w:rsidRPr="00060D8E">
        <w:rPr>
          <w:szCs w:val="24"/>
        </w:rPr>
        <w:t>in Canada and</w:t>
      </w:r>
      <w:r w:rsidR="00290B07">
        <w:rPr>
          <w:szCs w:val="24"/>
        </w:rPr>
        <w:t>,</w:t>
      </w:r>
      <w:r w:rsidRPr="00060D8E">
        <w:rPr>
          <w:szCs w:val="24"/>
        </w:rPr>
        <w:t xml:space="preserve"> </w:t>
      </w:r>
      <w:r w:rsidR="00290B07">
        <w:rPr>
          <w:szCs w:val="24"/>
        </w:rPr>
        <w:t xml:space="preserve">by extension, </w:t>
      </w:r>
      <w:r w:rsidRPr="00060D8E">
        <w:rPr>
          <w:szCs w:val="24"/>
        </w:rPr>
        <w:t xml:space="preserve">other </w:t>
      </w:r>
      <w:r w:rsidR="009E3297">
        <w:rPr>
          <w:szCs w:val="24"/>
        </w:rPr>
        <w:t>nations</w:t>
      </w:r>
      <w:r w:rsidRPr="00060D8E">
        <w:rPr>
          <w:szCs w:val="24"/>
        </w:rPr>
        <w:t>.</w:t>
      </w:r>
    </w:p>
    <w:p w14:paraId="73CB3C0C" w14:textId="77777777" w:rsidR="00EB3EAB" w:rsidRPr="007E5AD5" w:rsidRDefault="00EB3EAB" w:rsidP="00EB3EAB">
      <w:pPr>
        <w:rPr>
          <w:color w:val="000000"/>
          <w:szCs w:val="24"/>
        </w:rPr>
      </w:pPr>
    </w:p>
    <w:p w14:paraId="56CB8AB3" w14:textId="2A6163C5" w:rsidR="00EB3EAB" w:rsidRPr="007E5AD5" w:rsidRDefault="00EB3EAB" w:rsidP="00EB3EAB">
      <w:r w:rsidRPr="007E5AD5">
        <w:rPr>
          <w:b/>
          <w:sz w:val="26"/>
          <w:szCs w:val="26"/>
        </w:rPr>
        <w:t>ACKNOWLEDGEMENTS.</w:t>
      </w:r>
      <w:r w:rsidRPr="007E5AD5">
        <w:t xml:space="preserve"> </w:t>
      </w:r>
      <w:r w:rsidR="00D22135">
        <w:t>We would like to thank the Journal Executive Editor Voula Papageorgopoulou and the anonymous reviewers</w:t>
      </w:r>
      <w:r w:rsidR="00E90059">
        <w:t xml:space="preserve"> for their guidance and feedback, respectively.</w:t>
      </w:r>
    </w:p>
    <w:p w14:paraId="5994D60F" w14:textId="77777777" w:rsidR="00EB3EAB" w:rsidRDefault="00EB3EAB" w:rsidP="00EB3EAB">
      <w:pPr>
        <w:rPr>
          <w:color w:val="000000"/>
          <w:szCs w:val="24"/>
        </w:rPr>
      </w:pPr>
    </w:p>
    <w:p w14:paraId="3DE4DFE8" w14:textId="77777777" w:rsidR="00EB3EAB" w:rsidRPr="007E5AD5" w:rsidRDefault="00EB3EAB" w:rsidP="00EB3EAB">
      <w:pPr>
        <w:rPr>
          <w:color w:val="000000"/>
          <w:szCs w:val="24"/>
        </w:rPr>
      </w:pPr>
    </w:p>
    <w:p w14:paraId="106E94AF" w14:textId="77777777" w:rsidR="00EB3EAB" w:rsidRPr="007D2811" w:rsidRDefault="00EB3EAB" w:rsidP="00EB3EAB">
      <w:pPr>
        <w:pStyle w:val="Referencestitle0"/>
      </w:pPr>
      <w:r w:rsidRPr="007D2811">
        <w:t>References</w:t>
      </w:r>
    </w:p>
    <w:p w14:paraId="697B7B8F" w14:textId="77777777" w:rsidR="005107C6" w:rsidRDefault="00420BB5" w:rsidP="00621714">
      <w:pPr>
        <w:pStyle w:val="ReferencesText"/>
        <w:numPr>
          <w:ilvl w:val="0"/>
          <w:numId w:val="30"/>
        </w:numPr>
        <w:ind w:left="360"/>
        <w:jc w:val="left"/>
      </w:pPr>
      <w:r w:rsidRPr="00621714">
        <w:fldChar w:fldCharType="begin"/>
      </w:r>
      <w:r w:rsidRPr="00621714">
        <w:instrText xml:space="preserve"> ADDIN ZOTERO_BIBL {"uncited":[],"omitted":[],"custom":[]} CSL_BIBLIOGRAPHY </w:instrText>
      </w:r>
      <w:r w:rsidRPr="00621714">
        <w:fldChar w:fldCharType="separate"/>
      </w:r>
      <w:r w:rsidR="005107C6">
        <w:t xml:space="preserve">Abbasi, F., &amp; Riaz, K. (2016). CO2 emissions and financial development in an emerging economy: An augmented VAR approach. </w:t>
      </w:r>
      <w:r w:rsidR="005107C6" w:rsidRPr="00621714">
        <w:t>Energy Policy</w:t>
      </w:r>
      <w:r w:rsidR="005107C6">
        <w:t xml:space="preserve">, </w:t>
      </w:r>
      <w:r w:rsidR="005107C6" w:rsidRPr="00621714">
        <w:t>90</w:t>
      </w:r>
      <w:r w:rsidR="005107C6">
        <w:t>, 102–114. https://doi.org/10.1016/j.enpol.2015.12.017</w:t>
      </w:r>
    </w:p>
    <w:p w14:paraId="41401F66" w14:textId="77777777" w:rsidR="005107C6" w:rsidRDefault="005107C6" w:rsidP="00621714">
      <w:pPr>
        <w:pStyle w:val="ReferencesText"/>
        <w:numPr>
          <w:ilvl w:val="0"/>
          <w:numId w:val="30"/>
        </w:numPr>
        <w:ind w:left="360"/>
        <w:jc w:val="left"/>
      </w:pPr>
      <w:r>
        <w:t xml:space="preserve">Alimi, R. S. (2014). ARDL Bounds Testing Approach to Cointegration: A Re-Examination of Augmented Fisher Hypothesis in an Open Economy. </w:t>
      </w:r>
      <w:r w:rsidRPr="00621714">
        <w:t>Asian Journal of Economic Modelling</w:t>
      </w:r>
      <w:r>
        <w:t xml:space="preserve">, </w:t>
      </w:r>
      <w:r w:rsidRPr="00621714">
        <w:t>2</w:t>
      </w:r>
      <w:r>
        <w:t>(2), 103–114.</w:t>
      </w:r>
    </w:p>
    <w:p w14:paraId="54016EF6" w14:textId="77777777" w:rsidR="005107C6" w:rsidRDefault="005107C6" w:rsidP="00621714">
      <w:pPr>
        <w:pStyle w:val="ReferencesText"/>
        <w:numPr>
          <w:ilvl w:val="0"/>
          <w:numId w:val="30"/>
        </w:numPr>
        <w:ind w:left="360"/>
        <w:jc w:val="left"/>
      </w:pPr>
      <w:r>
        <w:t xml:space="preserve">Al-mulali, U., &amp; Binti Che Sab, C. N. (2012). The impact of energy consumption and CO2 emission on the economic and financial development in 19 selected countries. </w:t>
      </w:r>
      <w:r w:rsidRPr="00621714">
        <w:t>Renewable and Sustainable Energy Reviews</w:t>
      </w:r>
      <w:r>
        <w:t xml:space="preserve">, </w:t>
      </w:r>
      <w:r w:rsidRPr="00621714">
        <w:t>16</w:t>
      </w:r>
      <w:r>
        <w:t>(7), 4365–4369. https://doi.org/10.1016/j.rser.2012.05.017</w:t>
      </w:r>
    </w:p>
    <w:p w14:paraId="560AA437" w14:textId="77777777" w:rsidR="005107C6" w:rsidRDefault="005107C6" w:rsidP="00621714">
      <w:pPr>
        <w:pStyle w:val="ReferencesText"/>
        <w:numPr>
          <w:ilvl w:val="0"/>
          <w:numId w:val="30"/>
        </w:numPr>
        <w:ind w:left="360"/>
        <w:jc w:val="left"/>
      </w:pPr>
      <w:r>
        <w:t xml:space="preserve">Andrews, D. W. K., &amp; Guggenberger, P. (2014). A Conditional-Heteroskedasticity-Robust Confidence Interval for the Autoregressive Parameter. </w:t>
      </w:r>
      <w:r w:rsidRPr="00621714">
        <w:t>The Review of Economics and Statistics</w:t>
      </w:r>
      <w:r>
        <w:t xml:space="preserve">, </w:t>
      </w:r>
      <w:r w:rsidRPr="00621714">
        <w:t>96</w:t>
      </w:r>
      <w:r>
        <w:t>(2), 376–381. https://doi.org/10.1162/REST_a_00369</w:t>
      </w:r>
    </w:p>
    <w:p w14:paraId="714AAB71" w14:textId="77777777" w:rsidR="005107C6" w:rsidRDefault="005107C6" w:rsidP="00621714">
      <w:pPr>
        <w:pStyle w:val="ReferencesText"/>
        <w:numPr>
          <w:ilvl w:val="0"/>
          <w:numId w:val="30"/>
        </w:numPr>
        <w:ind w:left="360"/>
        <w:jc w:val="left"/>
      </w:pPr>
      <w:r>
        <w:t xml:space="preserve">Apergis, N., &amp; Payne, J. E. (2014). Renewable energy, output, CO2 emissions, and fossil fuel prices in Central America: Evidence from a nonlinear panel smooth transition vector error correction model. </w:t>
      </w:r>
      <w:r w:rsidRPr="00621714">
        <w:t>Energy Economics</w:t>
      </w:r>
      <w:r>
        <w:t xml:space="preserve">, </w:t>
      </w:r>
      <w:r w:rsidRPr="00621714">
        <w:t>42</w:t>
      </w:r>
      <w:r>
        <w:t>, 226–232. https://doi.org/10.1016/j.eneco.2014.01.003</w:t>
      </w:r>
    </w:p>
    <w:p w14:paraId="58A0099B" w14:textId="77777777" w:rsidR="005107C6" w:rsidRDefault="005107C6" w:rsidP="00621714">
      <w:pPr>
        <w:pStyle w:val="ReferencesText"/>
        <w:numPr>
          <w:ilvl w:val="0"/>
          <w:numId w:val="30"/>
        </w:numPr>
        <w:ind w:left="360"/>
        <w:jc w:val="left"/>
      </w:pPr>
      <w:r>
        <w:t xml:space="preserve">Astivia, O., &amp; Zumbo, B. (2019). Heteroskedasticity in Multiple Regression Analysis: What it is, How to Detect it and How to Solve it with Applications in R and SPSS. </w:t>
      </w:r>
      <w:r w:rsidRPr="00621714">
        <w:t>Practical Assessment, Research, and Evaluation</w:t>
      </w:r>
      <w:r>
        <w:t xml:space="preserve">, </w:t>
      </w:r>
      <w:r w:rsidRPr="00621714">
        <w:t>24</w:t>
      </w:r>
      <w:r>
        <w:t>(1). https://doi.org/10.7275/q5xr-fr95</w:t>
      </w:r>
    </w:p>
    <w:p w14:paraId="0E9D6D62" w14:textId="77777777" w:rsidR="005107C6" w:rsidRDefault="005107C6" w:rsidP="00621714">
      <w:pPr>
        <w:pStyle w:val="ReferencesText"/>
        <w:numPr>
          <w:ilvl w:val="0"/>
          <w:numId w:val="30"/>
        </w:numPr>
        <w:ind w:left="360"/>
        <w:jc w:val="left"/>
      </w:pPr>
      <w:r>
        <w:t xml:space="preserve">Aue, A., Horváth, L., &amp; F. Pellatt, D. (2017). Functional Generalized Autoregressive Conditional Heteroskedasticity. </w:t>
      </w:r>
      <w:r w:rsidRPr="00621714">
        <w:t>Journal of Time Series Analysis</w:t>
      </w:r>
      <w:r>
        <w:t xml:space="preserve">, </w:t>
      </w:r>
      <w:r w:rsidRPr="00621714">
        <w:t>38</w:t>
      </w:r>
      <w:r>
        <w:t>(1), 3–21. https://doi.org/10.1111/jtsa.12192</w:t>
      </w:r>
    </w:p>
    <w:p w14:paraId="4879F58F" w14:textId="77777777" w:rsidR="005107C6" w:rsidRDefault="005107C6" w:rsidP="00621714">
      <w:pPr>
        <w:pStyle w:val="ReferencesText"/>
        <w:numPr>
          <w:ilvl w:val="0"/>
          <w:numId w:val="30"/>
        </w:numPr>
        <w:ind w:left="360"/>
        <w:jc w:val="left"/>
      </w:pPr>
      <w:r>
        <w:t xml:space="preserve">Babatunde, O. S., Oguntunde, P. E., Ogunmola, A. O., &amp; Balogun, O. S. (2014). On the Performance of RESET and Durbin Watson Tests in Detecting Specification Error. </w:t>
      </w:r>
      <w:r w:rsidRPr="00621714">
        <w:t>Copyright © 2014 by Modern Scientific Press Company, Florida, USA International Journal of Modern Mathematical Sciences,</w:t>
      </w:r>
      <w:r>
        <w:t xml:space="preserve"> </w:t>
      </w:r>
      <w:r w:rsidRPr="00621714">
        <w:t>11</w:t>
      </w:r>
      <w:r>
        <w:t>(3), Article 3.</w:t>
      </w:r>
    </w:p>
    <w:p w14:paraId="09CE4831" w14:textId="77777777" w:rsidR="005107C6" w:rsidRDefault="005107C6" w:rsidP="00621714">
      <w:pPr>
        <w:pStyle w:val="ReferencesText"/>
        <w:numPr>
          <w:ilvl w:val="0"/>
          <w:numId w:val="30"/>
        </w:numPr>
        <w:ind w:left="360"/>
        <w:jc w:val="left"/>
      </w:pPr>
      <w:r>
        <w:t xml:space="preserve">Baum, C. F., &amp; Lewbel, A. (2019). Advice on using heteroskedasticity-based identification. </w:t>
      </w:r>
      <w:r w:rsidRPr="00621714">
        <w:t>The Stata Journal</w:t>
      </w:r>
      <w:r>
        <w:t xml:space="preserve">, </w:t>
      </w:r>
      <w:r w:rsidRPr="00621714">
        <w:t>19</w:t>
      </w:r>
      <w:r>
        <w:t>(4), 757–767. https://doi.org/10.1177/1536867X19893614</w:t>
      </w:r>
    </w:p>
    <w:p w14:paraId="49B44017" w14:textId="77777777" w:rsidR="005107C6" w:rsidRDefault="005107C6" w:rsidP="00621714">
      <w:pPr>
        <w:pStyle w:val="ReferencesText"/>
        <w:numPr>
          <w:ilvl w:val="0"/>
          <w:numId w:val="30"/>
        </w:numPr>
        <w:ind w:left="360"/>
        <w:jc w:val="left"/>
      </w:pPr>
      <w:r>
        <w:t xml:space="preserve">Bekhet, H. A., Matar, A., &amp; Yasmin, T. (2017). CO2 emissions, energy consumption, economic growth, and financial development in GCC countries: Dynamic simultaneous equation models. </w:t>
      </w:r>
      <w:r w:rsidRPr="00621714">
        <w:t>Renewable and Sustainable Energy Reviews</w:t>
      </w:r>
      <w:r>
        <w:t xml:space="preserve">, </w:t>
      </w:r>
      <w:r w:rsidRPr="00621714">
        <w:t>70</w:t>
      </w:r>
      <w:r>
        <w:t>, 117–132. https://doi.org/10.1016/j.rser.2016.11.089</w:t>
      </w:r>
    </w:p>
    <w:p w14:paraId="230B865A" w14:textId="77777777" w:rsidR="005107C6" w:rsidRDefault="005107C6" w:rsidP="00621714">
      <w:pPr>
        <w:pStyle w:val="ReferencesText"/>
        <w:numPr>
          <w:ilvl w:val="0"/>
          <w:numId w:val="30"/>
        </w:numPr>
        <w:ind w:left="360"/>
        <w:jc w:val="left"/>
      </w:pPr>
      <w:r>
        <w:t xml:space="preserve">Bekun, F. V., Alola, A. A., &amp; Sarkodie, S. A. (2019). Toward a sustainable environment: Nexus between CO2 emissions, resource rent, renewable and nonrenewable energy in 16-EU countries. </w:t>
      </w:r>
      <w:r w:rsidRPr="00621714">
        <w:t>Science of The Total Environment</w:t>
      </w:r>
      <w:r>
        <w:t xml:space="preserve">, </w:t>
      </w:r>
      <w:r w:rsidRPr="00621714">
        <w:t>657</w:t>
      </w:r>
      <w:r>
        <w:t>, 1023–1029. https://doi.org/10.1016/j.scitotenv.2018.12.104</w:t>
      </w:r>
    </w:p>
    <w:p w14:paraId="0C2DF5ED" w14:textId="77777777" w:rsidR="005107C6" w:rsidRDefault="005107C6" w:rsidP="00621714">
      <w:pPr>
        <w:pStyle w:val="ReferencesText"/>
        <w:numPr>
          <w:ilvl w:val="0"/>
          <w:numId w:val="30"/>
        </w:numPr>
        <w:ind w:left="360"/>
        <w:jc w:val="left"/>
      </w:pPr>
      <w:r>
        <w:lastRenderedPageBreak/>
        <w:t xml:space="preserve">Ben Jebli, M., Ben Youssef, S., &amp; Ozturk, I. (2016). Testing environmental Kuznets curve hypothesis: The role of renewable and non-renewable energy consumption and trade in OECD countries. </w:t>
      </w:r>
      <w:r w:rsidRPr="00621714">
        <w:t>Ecological Indicators</w:t>
      </w:r>
      <w:r>
        <w:t xml:space="preserve">, </w:t>
      </w:r>
      <w:r w:rsidRPr="00621714">
        <w:t>60</w:t>
      </w:r>
      <w:r>
        <w:t>, 824–831. https://doi.org/10.1016/j.ecolind.2015.08.031</w:t>
      </w:r>
    </w:p>
    <w:p w14:paraId="5A4046A9" w14:textId="77777777" w:rsidR="005107C6" w:rsidRDefault="005107C6" w:rsidP="00621714">
      <w:pPr>
        <w:pStyle w:val="ReferencesText"/>
        <w:numPr>
          <w:ilvl w:val="0"/>
          <w:numId w:val="30"/>
        </w:numPr>
        <w:ind w:left="360"/>
        <w:jc w:val="left"/>
      </w:pPr>
      <w:r>
        <w:t xml:space="preserve">Bertsekas, D. P. (2014). </w:t>
      </w:r>
      <w:r w:rsidRPr="00621714">
        <w:t>Constrained Optimization and Lagrange Multiplier Methods</w:t>
      </w:r>
      <w:r>
        <w:t>. Academic Press.</w:t>
      </w:r>
    </w:p>
    <w:p w14:paraId="6EE398C2" w14:textId="77777777" w:rsidR="005107C6" w:rsidRDefault="005107C6" w:rsidP="00621714">
      <w:pPr>
        <w:pStyle w:val="ReferencesText"/>
        <w:numPr>
          <w:ilvl w:val="0"/>
          <w:numId w:val="30"/>
        </w:numPr>
        <w:ind w:left="360"/>
        <w:jc w:val="left"/>
      </w:pPr>
      <w:r>
        <w:t xml:space="preserve">Blair. (2021, January 16). The GHG intensity of the Canadian oil industry – what the scientific research actually says. </w:t>
      </w:r>
      <w:r w:rsidRPr="00621714">
        <w:t>A Chemist in Langley</w:t>
      </w:r>
      <w:r>
        <w:t>. https://achemistinlangley.net/2021/01/15/the-ghg-intensity-of-the-canadian-oil-industry-what-the-scientific-research-actually-says/</w:t>
      </w:r>
    </w:p>
    <w:p w14:paraId="2C6842BD" w14:textId="77777777" w:rsidR="005107C6" w:rsidRDefault="005107C6" w:rsidP="00621714">
      <w:pPr>
        <w:pStyle w:val="ReferencesText"/>
        <w:numPr>
          <w:ilvl w:val="0"/>
          <w:numId w:val="30"/>
        </w:numPr>
        <w:ind w:left="360"/>
        <w:jc w:val="left"/>
      </w:pPr>
      <w:r>
        <w:t xml:space="preserve">Blindheim, B. (2015). A missing link? The case of Norway and Sweden: Does increased renewable energy production impact domestic greenhouse gas emissions? </w:t>
      </w:r>
      <w:r w:rsidRPr="00621714">
        <w:t>Energy Policy</w:t>
      </w:r>
      <w:r>
        <w:t xml:space="preserve">, </w:t>
      </w:r>
      <w:r w:rsidRPr="00621714">
        <w:t>77</w:t>
      </w:r>
      <w:r>
        <w:t>, 207–215. https://doi.org/10.1016/j.enpol.2014.10.019</w:t>
      </w:r>
    </w:p>
    <w:p w14:paraId="36D514AB" w14:textId="77777777" w:rsidR="005107C6" w:rsidRDefault="005107C6" w:rsidP="00621714">
      <w:pPr>
        <w:pStyle w:val="ReferencesText"/>
        <w:numPr>
          <w:ilvl w:val="0"/>
          <w:numId w:val="30"/>
        </w:numPr>
        <w:ind w:left="360"/>
        <w:jc w:val="left"/>
      </w:pPr>
      <w:r>
        <w:t xml:space="preserve">Camarero, M., Forte, A., Garcia-Donato, G., Mendoza, Y., &amp; Ordoñez, J. (2015). Variable selection in the analysis of energy consumption–growth nexus. </w:t>
      </w:r>
      <w:r w:rsidRPr="00621714">
        <w:t>Energy Economics</w:t>
      </w:r>
      <w:r>
        <w:t xml:space="preserve">, </w:t>
      </w:r>
      <w:r w:rsidRPr="00621714">
        <w:t>52</w:t>
      </w:r>
      <w:r>
        <w:t>, 207–216. https://doi.org/10.1016/j.eneco.2015.10.012</w:t>
      </w:r>
    </w:p>
    <w:p w14:paraId="2786ACF4" w14:textId="77777777" w:rsidR="005107C6" w:rsidRDefault="005107C6" w:rsidP="00621714">
      <w:pPr>
        <w:pStyle w:val="ReferencesText"/>
        <w:numPr>
          <w:ilvl w:val="0"/>
          <w:numId w:val="30"/>
        </w:numPr>
        <w:ind w:left="360"/>
        <w:jc w:val="left"/>
      </w:pPr>
      <w:r>
        <w:t xml:space="preserve">Cobb, C., Halstead, T., &amp; Rowe, J. (1995). </w:t>
      </w:r>
      <w:r w:rsidRPr="00621714">
        <w:t>The Genuine Progress Indicator: Summary of data and methodology</w:t>
      </w:r>
      <w:r>
        <w:t>. Redefining Progress. https://books.google.com/books/about/The_Genuine_Progress_Indicator.html?id=-YDaPQAACAAJ</w:t>
      </w:r>
    </w:p>
    <w:p w14:paraId="74A5D565" w14:textId="77777777" w:rsidR="005107C6" w:rsidRDefault="005107C6" w:rsidP="00621714">
      <w:pPr>
        <w:pStyle w:val="ReferencesText"/>
        <w:numPr>
          <w:ilvl w:val="0"/>
          <w:numId w:val="30"/>
        </w:numPr>
        <w:ind w:left="360"/>
        <w:jc w:val="left"/>
      </w:pPr>
      <w:r>
        <w:t xml:space="preserve">Destek, M. A., Shahbaz, M., Okumus, I., Hammoudeh, S., &amp; Sinha, A. (2020). The relationship between economic growth and carbon emissions in G-7 countries: Evidence from time-varying parameters with a long history. </w:t>
      </w:r>
      <w:r w:rsidRPr="00621714">
        <w:t>Environmental Science and Pollution Research</w:t>
      </w:r>
      <w:r>
        <w:t xml:space="preserve">, </w:t>
      </w:r>
      <w:r w:rsidRPr="00621714">
        <w:t>27</w:t>
      </w:r>
      <w:r>
        <w:t>(23), 29100–29117. https://doi.org/10.1007/s11356-020-09189-y</w:t>
      </w:r>
    </w:p>
    <w:p w14:paraId="18F86BD8" w14:textId="77777777" w:rsidR="005107C6" w:rsidRDefault="005107C6" w:rsidP="00621714">
      <w:pPr>
        <w:pStyle w:val="ReferencesText"/>
        <w:numPr>
          <w:ilvl w:val="0"/>
          <w:numId w:val="30"/>
        </w:numPr>
        <w:ind w:left="360"/>
        <w:jc w:val="left"/>
      </w:pPr>
      <w:r>
        <w:t xml:space="preserve">Dogan, E. (2016). Analyzing the linkage between renewable and non-renewable energy consumption and economic growth by considering structural break in time-series data. </w:t>
      </w:r>
      <w:r w:rsidRPr="00621714">
        <w:t>Renewable Energy</w:t>
      </w:r>
      <w:r>
        <w:t xml:space="preserve">, </w:t>
      </w:r>
      <w:r w:rsidRPr="00621714">
        <w:t>99</w:t>
      </w:r>
      <w:r>
        <w:t>, 1126–1136. https://doi.org/10.1016/j.renene.2016.07.078</w:t>
      </w:r>
    </w:p>
    <w:p w14:paraId="0D4E0388" w14:textId="77777777" w:rsidR="005107C6" w:rsidRDefault="005107C6" w:rsidP="00621714">
      <w:pPr>
        <w:pStyle w:val="ReferencesText"/>
        <w:numPr>
          <w:ilvl w:val="0"/>
          <w:numId w:val="30"/>
        </w:numPr>
        <w:ind w:left="360"/>
        <w:jc w:val="left"/>
      </w:pPr>
      <w:r>
        <w:t xml:space="preserve">Doluweera, G., Vypovska, A., Datta, A., &amp; Iwuoha, S. (2018). </w:t>
      </w:r>
      <w:r w:rsidRPr="00621714">
        <w:t>Impacts of Carbon Management Policies on Canadian Electricity Prices</w:t>
      </w:r>
      <w:r>
        <w:t xml:space="preserve"> (No. 171). Canadian Energy Research Institute. https://ceri.ca/studies/impacts-of-carbon-management-policies-on-canadian-electricity-prices</w:t>
      </w:r>
    </w:p>
    <w:p w14:paraId="04EA2584" w14:textId="77777777" w:rsidR="005107C6" w:rsidRDefault="005107C6" w:rsidP="00621714">
      <w:pPr>
        <w:pStyle w:val="ReferencesText"/>
        <w:numPr>
          <w:ilvl w:val="0"/>
          <w:numId w:val="30"/>
        </w:numPr>
        <w:ind w:left="360"/>
        <w:jc w:val="left"/>
      </w:pPr>
      <w:r>
        <w:t xml:space="preserve">Doornik, J. A. (1996). </w:t>
      </w:r>
      <w:r w:rsidRPr="00621714">
        <w:t>Testing Vector Error Autocorrelation and Heteroscedasticity</w:t>
      </w:r>
      <w:r>
        <w:t>. 23. https://www.doornik.com/research/vectest.pdf</w:t>
      </w:r>
    </w:p>
    <w:p w14:paraId="25ADF9C5" w14:textId="77777777" w:rsidR="005107C6" w:rsidRDefault="005107C6" w:rsidP="00621714">
      <w:pPr>
        <w:pStyle w:val="ReferencesText"/>
        <w:numPr>
          <w:ilvl w:val="0"/>
          <w:numId w:val="30"/>
        </w:numPr>
        <w:ind w:left="360"/>
        <w:jc w:val="left"/>
      </w:pPr>
      <w:r>
        <w:t xml:space="preserve">Enns, P. K., Kelly, N. J., Masaki, T., &amp; Wohlfarth, P. C. (2016). Don’t jettison the general error correction model just yet: A practical guide to avoiding spurious regression with the GECM. </w:t>
      </w:r>
      <w:r w:rsidRPr="00621714">
        <w:t>Research &amp; Politics</w:t>
      </w:r>
      <w:r>
        <w:t xml:space="preserve">, </w:t>
      </w:r>
      <w:r w:rsidRPr="00621714">
        <w:t>3</w:t>
      </w:r>
      <w:r>
        <w:t>(2), 2053168016643345. https://doi.org/10.1177/2053168016643345</w:t>
      </w:r>
    </w:p>
    <w:p w14:paraId="1E53B29D" w14:textId="77777777" w:rsidR="005107C6" w:rsidRDefault="005107C6" w:rsidP="00621714">
      <w:pPr>
        <w:pStyle w:val="ReferencesText"/>
        <w:numPr>
          <w:ilvl w:val="0"/>
          <w:numId w:val="30"/>
        </w:numPr>
        <w:ind w:left="360"/>
        <w:jc w:val="left"/>
      </w:pPr>
      <w:r>
        <w:t xml:space="preserve">Ereeş, S., &amp; Demi̇rel, N. (2012). Omitted Variables Bias and Detection with RESET test in Regression Analysis. </w:t>
      </w:r>
      <w:r w:rsidRPr="00621714">
        <w:t>Anadolu University Journal of Science and Technology B - Theoretical Sciences</w:t>
      </w:r>
      <w:r>
        <w:t xml:space="preserve">, </w:t>
      </w:r>
      <w:r w:rsidRPr="00621714">
        <w:t>2</w:t>
      </w:r>
      <w:r>
        <w:t>(1), Article 1.</w:t>
      </w:r>
    </w:p>
    <w:p w14:paraId="0BF805C8" w14:textId="77777777" w:rsidR="005107C6" w:rsidRDefault="005107C6" w:rsidP="00621714">
      <w:pPr>
        <w:pStyle w:val="ReferencesText"/>
        <w:numPr>
          <w:ilvl w:val="0"/>
          <w:numId w:val="30"/>
        </w:numPr>
        <w:ind w:left="360"/>
        <w:jc w:val="left"/>
      </w:pPr>
      <w:r>
        <w:lastRenderedPageBreak/>
        <w:t xml:space="preserve">Falkner, R. (2016). The Paris Agreement and the new logic of international climate politics. </w:t>
      </w:r>
      <w:r w:rsidRPr="00621714">
        <w:t>International Affairs</w:t>
      </w:r>
      <w:r>
        <w:t xml:space="preserve">, </w:t>
      </w:r>
      <w:r w:rsidRPr="00621714">
        <w:t>92</w:t>
      </w:r>
      <w:r>
        <w:t>(5), 1107–1125. https://doi.org/10.1111/1468-2346.12708</w:t>
      </w:r>
    </w:p>
    <w:p w14:paraId="45028DD7" w14:textId="77777777" w:rsidR="005107C6" w:rsidRDefault="005107C6" w:rsidP="00621714">
      <w:pPr>
        <w:pStyle w:val="ReferencesText"/>
        <w:numPr>
          <w:ilvl w:val="0"/>
          <w:numId w:val="30"/>
        </w:numPr>
        <w:ind w:left="360"/>
        <w:jc w:val="left"/>
      </w:pPr>
      <w:r>
        <w:t xml:space="preserve">Farhani, S., &amp; Shahbaz, M. (2014). What role of renewable and non-renewable electricity consumption and output is needed to initially mitigate CO2 emissions in MENA region? </w:t>
      </w:r>
      <w:r w:rsidRPr="00621714">
        <w:t>Renewable and Sustainable Energy Reviews</w:t>
      </w:r>
      <w:r>
        <w:t xml:space="preserve">, </w:t>
      </w:r>
      <w:r w:rsidRPr="00621714">
        <w:t>40</w:t>
      </w:r>
      <w:r>
        <w:t>, 80–90. https://doi.org/10.1016/j.rser.2014.07.170</w:t>
      </w:r>
    </w:p>
    <w:p w14:paraId="0E085630" w14:textId="77777777" w:rsidR="005107C6" w:rsidRDefault="005107C6" w:rsidP="00621714">
      <w:pPr>
        <w:pStyle w:val="ReferencesText"/>
        <w:numPr>
          <w:ilvl w:val="0"/>
          <w:numId w:val="30"/>
        </w:numPr>
        <w:ind w:left="360"/>
        <w:jc w:val="left"/>
      </w:pPr>
      <w:r>
        <w:t xml:space="preserve">Gao, Y., Gao, X., &amp; Zhang, X. (2017). The 2°C Global Temperature Target and the Evolution of the Long-Term Goal of Addressing Climate Change—From the United Nations Framework Convention on Climate Change to the Paris Agreement. </w:t>
      </w:r>
      <w:r w:rsidRPr="00621714">
        <w:t>Engineering</w:t>
      </w:r>
      <w:r>
        <w:t xml:space="preserve">, </w:t>
      </w:r>
      <w:r w:rsidRPr="00621714">
        <w:t>3</w:t>
      </w:r>
      <w:r>
        <w:t>(2), 272–278. https://doi.org/10.1016/J.ENG.2017.01.022</w:t>
      </w:r>
    </w:p>
    <w:p w14:paraId="70DF242F" w14:textId="77777777" w:rsidR="005107C6" w:rsidRDefault="005107C6" w:rsidP="00621714">
      <w:pPr>
        <w:pStyle w:val="ReferencesText"/>
        <w:numPr>
          <w:ilvl w:val="0"/>
          <w:numId w:val="30"/>
        </w:numPr>
        <w:ind w:left="360"/>
        <w:jc w:val="left"/>
      </w:pPr>
      <w:r>
        <w:t xml:space="preserve">Ge, M., &amp; Friedrich, J. (2020). </w:t>
      </w:r>
      <w:r w:rsidRPr="00621714">
        <w:t>4 Charts Explain Greenhouse Gas Emissions by Countries and Sectors</w:t>
      </w:r>
      <w:r>
        <w:t>. World Resources Institute. https://www.wri.org/blog/2020/02/greenhouse-gas-emissions-by-country-sector</w:t>
      </w:r>
    </w:p>
    <w:p w14:paraId="3B7C1A7B" w14:textId="77777777" w:rsidR="005107C6" w:rsidRDefault="005107C6" w:rsidP="00621714">
      <w:pPr>
        <w:pStyle w:val="ReferencesText"/>
        <w:numPr>
          <w:ilvl w:val="0"/>
          <w:numId w:val="30"/>
        </w:numPr>
        <w:ind w:left="360"/>
        <w:jc w:val="left"/>
      </w:pPr>
      <w:r>
        <w:t xml:space="preserve">Gençay, R., &amp; Signori, D. (2015). Multi-scale tests for serial correlation. </w:t>
      </w:r>
      <w:r w:rsidRPr="00621714">
        <w:t>Journal of Econometrics</w:t>
      </w:r>
      <w:r>
        <w:t xml:space="preserve">, </w:t>
      </w:r>
      <w:r w:rsidRPr="00621714">
        <w:t>184</w:t>
      </w:r>
      <w:r>
        <w:t>(1), 62–80. https://doi.org/10.1016/j.jeconom.2014.08.002</w:t>
      </w:r>
    </w:p>
    <w:p w14:paraId="2310C0D2" w14:textId="77777777" w:rsidR="005107C6" w:rsidRDefault="005107C6" w:rsidP="00621714">
      <w:pPr>
        <w:pStyle w:val="ReferencesText"/>
        <w:numPr>
          <w:ilvl w:val="0"/>
          <w:numId w:val="30"/>
        </w:numPr>
        <w:ind w:left="360"/>
        <w:jc w:val="left"/>
      </w:pPr>
      <w:r>
        <w:t xml:space="preserve">Ghasemi, A., &amp; Zahediasl, S. (2012). Normality Tests for Statistical Analysis: A Guide for Non-Statisticians. </w:t>
      </w:r>
      <w:r w:rsidRPr="00621714">
        <w:t>International Journal of Endocrinology and Metabolism</w:t>
      </w:r>
      <w:r>
        <w:t xml:space="preserve">, </w:t>
      </w:r>
      <w:r w:rsidRPr="00621714">
        <w:t>10</w:t>
      </w:r>
      <w:r>
        <w:t>(2), 486–489. https://doi.org/10.5812/ijem.3505</w:t>
      </w:r>
    </w:p>
    <w:p w14:paraId="54C1ED7D" w14:textId="77777777" w:rsidR="005107C6" w:rsidRDefault="005107C6" w:rsidP="00621714">
      <w:pPr>
        <w:pStyle w:val="ReferencesText"/>
        <w:numPr>
          <w:ilvl w:val="0"/>
          <w:numId w:val="30"/>
        </w:numPr>
        <w:ind w:left="360"/>
        <w:jc w:val="left"/>
      </w:pPr>
      <w:r>
        <w:t xml:space="preserve">Government of Canada. (2020a). </w:t>
      </w:r>
      <w:r w:rsidRPr="00621714">
        <w:t>GHG Emissions—Common Reporting Format (CRF) Tables</w:t>
      </w:r>
      <w:r>
        <w:t>. United Nations. https://unfccc.int/documents/224828</w:t>
      </w:r>
    </w:p>
    <w:p w14:paraId="2EC0ACE7" w14:textId="77777777" w:rsidR="005107C6" w:rsidRDefault="005107C6" w:rsidP="00621714">
      <w:pPr>
        <w:pStyle w:val="ReferencesText"/>
        <w:numPr>
          <w:ilvl w:val="0"/>
          <w:numId w:val="30"/>
        </w:numPr>
        <w:ind w:left="360"/>
        <w:jc w:val="left"/>
      </w:pPr>
      <w:r>
        <w:t xml:space="preserve">Government of Canada. (2020b). </w:t>
      </w:r>
      <w:r w:rsidRPr="00621714">
        <w:t>Greenhouse gas sources and sinks: Executive summary</w:t>
      </w:r>
      <w:r>
        <w:t xml:space="preserve"> (p. 15) [Program results]. Environment and Climate Change, Government of Canada. https://www.canada.ca/en/environment-climate-change/services/climate-change/greenhouse-gas-emissions/sources-sinks-executive-summary-2020.html</w:t>
      </w:r>
    </w:p>
    <w:p w14:paraId="30B5E140" w14:textId="77777777" w:rsidR="005107C6" w:rsidRDefault="005107C6" w:rsidP="00621714">
      <w:pPr>
        <w:pStyle w:val="ReferencesText"/>
        <w:numPr>
          <w:ilvl w:val="0"/>
          <w:numId w:val="30"/>
        </w:numPr>
        <w:ind w:left="360"/>
        <w:jc w:val="left"/>
      </w:pPr>
      <w:r>
        <w:t xml:space="preserve">Government of Canada. (2020c). </w:t>
      </w:r>
      <w:r w:rsidRPr="00621714">
        <w:t>Canada Gazette, Part 1, Volume 154, Number 51: Clean Fuel Regulations</w:t>
      </w:r>
      <w:r>
        <w:t>. Public Works and Government Services, Government of Canada. http://gazette.gc.ca/rp-pr/p1/2020/2020-12-19/html/reg2-eng.html</w:t>
      </w:r>
    </w:p>
    <w:p w14:paraId="4C8F2B17" w14:textId="77777777" w:rsidR="005107C6" w:rsidRDefault="005107C6" w:rsidP="00621714">
      <w:pPr>
        <w:pStyle w:val="ReferencesText"/>
        <w:numPr>
          <w:ilvl w:val="0"/>
          <w:numId w:val="30"/>
        </w:numPr>
        <w:ind w:left="360"/>
        <w:jc w:val="left"/>
      </w:pPr>
      <w:r>
        <w:t xml:space="preserve">Grubb, M., Vrolijk, C., &amp; Brack, D. (2018). </w:t>
      </w:r>
      <w:r w:rsidRPr="00621714">
        <w:t>Kyoto Protocol (1999): A Guide and Assessment</w:t>
      </w:r>
      <w:r>
        <w:t>. Routledge.</w:t>
      </w:r>
    </w:p>
    <w:p w14:paraId="2B74FF34" w14:textId="77777777" w:rsidR="005107C6" w:rsidRDefault="005107C6" w:rsidP="00621714">
      <w:pPr>
        <w:pStyle w:val="ReferencesText"/>
        <w:numPr>
          <w:ilvl w:val="0"/>
          <w:numId w:val="30"/>
        </w:numPr>
        <w:ind w:left="360"/>
        <w:jc w:val="left"/>
      </w:pPr>
      <w:r>
        <w:t xml:space="preserve">Guo, L. ling, Qu, Y., &amp; Tseng, M.-L. (2017). The interaction effects of environmental regulation and technological innovation on regional green growth performance. </w:t>
      </w:r>
      <w:r w:rsidRPr="00621714">
        <w:t>Journal of Cleaner Production</w:t>
      </w:r>
      <w:r>
        <w:t xml:space="preserve">, </w:t>
      </w:r>
      <w:r w:rsidRPr="00621714">
        <w:t>162</w:t>
      </w:r>
      <w:r>
        <w:t>, 894–902. https://doi.org/10.1016/j.jclepro.2017.05.210</w:t>
      </w:r>
    </w:p>
    <w:p w14:paraId="426F2C4E" w14:textId="77777777" w:rsidR="005107C6" w:rsidRDefault="005107C6" w:rsidP="00621714">
      <w:pPr>
        <w:pStyle w:val="ReferencesText"/>
        <w:numPr>
          <w:ilvl w:val="0"/>
          <w:numId w:val="30"/>
        </w:numPr>
        <w:ind w:left="360"/>
        <w:jc w:val="left"/>
      </w:pPr>
      <w:r>
        <w:t xml:space="preserve">Horowitz, C. A. (2016). Paris Agreement. </w:t>
      </w:r>
      <w:r w:rsidRPr="00621714">
        <w:t>International Legal Materials</w:t>
      </w:r>
      <w:r>
        <w:t xml:space="preserve">, </w:t>
      </w:r>
      <w:r w:rsidRPr="00621714">
        <w:t>55</w:t>
      </w:r>
      <w:r>
        <w:t>(4), 740–755.</w:t>
      </w:r>
    </w:p>
    <w:p w14:paraId="3E0391F0" w14:textId="77777777" w:rsidR="005107C6" w:rsidRDefault="005107C6" w:rsidP="00621714">
      <w:pPr>
        <w:pStyle w:val="ReferencesText"/>
        <w:numPr>
          <w:ilvl w:val="0"/>
          <w:numId w:val="30"/>
        </w:numPr>
        <w:ind w:left="360"/>
        <w:jc w:val="left"/>
      </w:pPr>
      <w:r>
        <w:lastRenderedPageBreak/>
        <w:t xml:space="preserve">Hosseini, H., Romaniuk, A., &amp; Millington, D. (2019). </w:t>
      </w:r>
      <w:r w:rsidRPr="00621714">
        <w:t>Economic and Emissions Impacts of Fuel Decarbonization</w:t>
      </w:r>
      <w:r>
        <w:t xml:space="preserve"> (No. 179). Canadian Energy Research Institute. https://ceri.ca/assets/files/Study_179_Full_Report.pdf</w:t>
      </w:r>
    </w:p>
    <w:p w14:paraId="2A0289B8" w14:textId="77777777" w:rsidR="005107C6" w:rsidRDefault="005107C6" w:rsidP="00621714">
      <w:pPr>
        <w:pStyle w:val="ReferencesText"/>
        <w:numPr>
          <w:ilvl w:val="0"/>
          <w:numId w:val="30"/>
        </w:numPr>
        <w:ind w:left="360"/>
        <w:jc w:val="left"/>
      </w:pPr>
      <w:r>
        <w:t xml:space="preserve">Howarth, R. W., Santoro, R., &amp; Ingraffea, A. (2011). Methane and the greenhouse-gas footprint of natural gas from shale formations. </w:t>
      </w:r>
      <w:r w:rsidRPr="00621714">
        <w:t>Climatic Change</w:t>
      </w:r>
      <w:r>
        <w:t xml:space="preserve">, </w:t>
      </w:r>
      <w:r w:rsidRPr="00621714">
        <w:t>106</w:t>
      </w:r>
      <w:r>
        <w:t>(4), 679. https://doi.org/10.1007/s10584-011-0061-5</w:t>
      </w:r>
    </w:p>
    <w:p w14:paraId="3E6A100A" w14:textId="77777777" w:rsidR="005107C6" w:rsidRDefault="005107C6" w:rsidP="00621714">
      <w:pPr>
        <w:pStyle w:val="ReferencesText"/>
        <w:numPr>
          <w:ilvl w:val="0"/>
          <w:numId w:val="30"/>
        </w:numPr>
        <w:ind w:left="360"/>
        <w:jc w:val="left"/>
      </w:pPr>
      <w:r>
        <w:t xml:space="preserve">Hoyle, A. (2020). </w:t>
      </w:r>
      <w:r w:rsidRPr="00621714">
        <w:t>Modelling the effect of Canada’s clean fuel standard on greenhouse gas emissions</w:t>
      </w:r>
      <w:r>
        <w:t xml:space="preserve"> [Masters Thesis (Unpublished), Simon Fraser University]. https://summit.sfu.ca/item/20518</w:t>
      </w:r>
    </w:p>
    <w:p w14:paraId="05F63251" w14:textId="77777777" w:rsidR="005107C6" w:rsidRDefault="005107C6" w:rsidP="00621714">
      <w:pPr>
        <w:pStyle w:val="ReferencesText"/>
        <w:numPr>
          <w:ilvl w:val="0"/>
          <w:numId w:val="30"/>
        </w:numPr>
        <w:ind w:left="360"/>
        <w:jc w:val="left"/>
      </w:pPr>
      <w:r>
        <w:t xml:space="preserve">Huisingh, D., Zhang, Z., Moore, J. C., Qiao, Q., &amp; Li, Q. (2015). Recent advances in carbon emissions reduction: Policies, technologies, monitoring, assessment and modeling. </w:t>
      </w:r>
      <w:r w:rsidRPr="00621714">
        <w:t>Journal of Cleaner Production</w:t>
      </w:r>
      <w:r>
        <w:t xml:space="preserve">, </w:t>
      </w:r>
      <w:r w:rsidRPr="00621714">
        <w:t>103</w:t>
      </w:r>
      <w:r>
        <w:t>, 1–12. https://doi.org/10.1016/j.jclepro.2015.04.098</w:t>
      </w:r>
    </w:p>
    <w:p w14:paraId="50F5095E" w14:textId="77777777" w:rsidR="005107C6" w:rsidRDefault="005107C6" w:rsidP="00621714">
      <w:pPr>
        <w:pStyle w:val="ReferencesText"/>
        <w:numPr>
          <w:ilvl w:val="0"/>
          <w:numId w:val="30"/>
        </w:numPr>
        <w:ind w:left="360"/>
        <w:jc w:val="left"/>
      </w:pPr>
      <w:r>
        <w:t xml:space="preserve">IMF. (2011, July 19). </w:t>
      </w:r>
      <w:r w:rsidRPr="00621714">
        <w:t>Beyond GDP - Measuring Progress in a Changing World</w:t>
      </w:r>
      <w:r>
        <w:t xml:space="preserve"> [Text]. Collaboration in Research and Methodology for Official Statistics (CROS) - European Commission. https://ec.europa.eu/eurostat/cros/content/38-beyond-gdp_en</w:t>
      </w:r>
    </w:p>
    <w:p w14:paraId="637540F9" w14:textId="77777777" w:rsidR="005107C6" w:rsidRDefault="005107C6" w:rsidP="00621714">
      <w:pPr>
        <w:pStyle w:val="ReferencesText"/>
        <w:numPr>
          <w:ilvl w:val="0"/>
          <w:numId w:val="30"/>
        </w:numPr>
        <w:ind w:left="360"/>
        <w:jc w:val="left"/>
      </w:pPr>
      <w:r>
        <w:t xml:space="preserve">Ivkovic, A. F. (2016). Limitations of the Gdp as a Measure of Progress and Well-Being. </w:t>
      </w:r>
      <w:r w:rsidRPr="00621714">
        <w:t>Ekonomski Vjesnik</w:t>
      </w:r>
      <w:r>
        <w:t xml:space="preserve">, </w:t>
      </w:r>
      <w:r w:rsidRPr="00621714">
        <w:t>29</w:t>
      </w:r>
      <w:r>
        <w:t>(1), 257–272.</w:t>
      </w:r>
    </w:p>
    <w:p w14:paraId="244A8AE4" w14:textId="77777777" w:rsidR="005107C6" w:rsidRDefault="005107C6" w:rsidP="00621714">
      <w:pPr>
        <w:pStyle w:val="ReferencesText"/>
        <w:numPr>
          <w:ilvl w:val="0"/>
          <w:numId w:val="30"/>
        </w:numPr>
        <w:ind w:left="360"/>
        <w:jc w:val="left"/>
      </w:pPr>
      <w:r>
        <w:t xml:space="preserve">Iwata, H., &amp; Okada, K. (2014). Greenhouse gas emissions and the role of the Kyoto Protocol. </w:t>
      </w:r>
      <w:r w:rsidRPr="00621714">
        <w:t>Environmental Economics and Policy Studies</w:t>
      </w:r>
      <w:r>
        <w:t xml:space="preserve">, </w:t>
      </w:r>
      <w:r w:rsidRPr="00621714">
        <w:t>16</w:t>
      </w:r>
      <w:r>
        <w:t>(4), 325–342. https://doi.org/10.1007/s10018-012-0047-1</w:t>
      </w:r>
    </w:p>
    <w:p w14:paraId="5ABF1F06" w14:textId="77777777" w:rsidR="005107C6" w:rsidRDefault="005107C6" w:rsidP="00621714">
      <w:pPr>
        <w:pStyle w:val="ReferencesText"/>
        <w:numPr>
          <w:ilvl w:val="0"/>
          <w:numId w:val="30"/>
        </w:numPr>
        <w:ind w:left="360"/>
        <w:jc w:val="left"/>
      </w:pPr>
      <w:r>
        <w:t xml:space="preserve">Iwuoha, S. (2018). Carbon Policies and Potential Leakage: A Bridge-to-Cross in Canada’s Journey to a Lower Carbon Economy. </w:t>
      </w:r>
      <w:r w:rsidRPr="00621714">
        <w:t>Geopolitics of Energy</w:t>
      </w:r>
      <w:r>
        <w:t xml:space="preserve">, </w:t>
      </w:r>
      <w:r w:rsidRPr="00621714">
        <w:t>40</w:t>
      </w:r>
      <w:r>
        <w:t>(1), 9–16.</w:t>
      </w:r>
    </w:p>
    <w:p w14:paraId="71160CFB" w14:textId="77777777" w:rsidR="005107C6" w:rsidRDefault="005107C6" w:rsidP="00621714">
      <w:pPr>
        <w:pStyle w:val="ReferencesText"/>
        <w:numPr>
          <w:ilvl w:val="0"/>
          <w:numId w:val="30"/>
        </w:numPr>
        <w:ind w:left="360"/>
        <w:jc w:val="left"/>
      </w:pPr>
      <w:r>
        <w:t xml:space="preserve">Iwuoha, S., &amp; Onochie, J. I. (2022). Time Series Characteristics of Canada’s Beyond GDP Indicators. </w:t>
      </w:r>
      <w:r w:rsidRPr="00621714">
        <w:t>Advances in Management and Applied Economics</w:t>
      </w:r>
      <w:r>
        <w:t>, 79–94. https://doi.org/10.47260/amae/1256</w:t>
      </w:r>
    </w:p>
    <w:p w14:paraId="75FCF749" w14:textId="77777777" w:rsidR="005107C6" w:rsidRDefault="005107C6" w:rsidP="00621714">
      <w:pPr>
        <w:pStyle w:val="ReferencesText"/>
        <w:numPr>
          <w:ilvl w:val="0"/>
          <w:numId w:val="30"/>
        </w:numPr>
        <w:ind w:left="360"/>
        <w:jc w:val="left"/>
      </w:pPr>
      <w:r>
        <w:t xml:space="preserve">Jayanthakumaran, K., &amp; Liu, Y. (2012). Openness and the Environmental Kuznets Curve: Evidence from China. </w:t>
      </w:r>
      <w:r w:rsidRPr="00621714">
        <w:t>Economic Modelling</w:t>
      </w:r>
      <w:r>
        <w:t xml:space="preserve">, </w:t>
      </w:r>
      <w:r w:rsidRPr="00621714">
        <w:t>29</w:t>
      </w:r>
      <w:r>
        <w:t>(3), 566–576. https://doi.org/10.1016/j.econmod.2011.12.011</w:t>
      </w:r>
    </w:p>
    <w:p w14:paraId="04A7A056" w14:textId="77777777" w:rsidR="005107C6" w:rsidRDefault="005107C6" w:rsidP="00621714">
      <w:pPr>
        <w:pStyle w:val="ReferencesText"/>
        <w:numPr>
          <w:ilvl w:val="0"/>
          <w:numId w:val="30"/>
        </w:numPr>
        <w:ind w:left="360"/>
        <w:jc w:val="left"/>
      </w:pPr>
      <w:r>
        <w:t xml:space="preserve">Jordaan, S. M., Romo-Rabago, E., McLeary, R., Reidy, L., Nazari, J., &amp; Herremans, I. M. (2017). The role of energy technology innovation in reducing greenhouse gas emissions: A case study of Canada. </w:t>
      </w:r>
      <w:r w:rsidRPr="00621714">
        <w:t>Renewable and Sustainable Energy Reviews</w:t>
      </w:r>
      <w:r>
        <w:t xml:space="preserve">, </w:t>
      </w:r>
      <w:r w:rsidRPr="00621714">
        <w:t>78</w:t>
      </w:r>
      <w:r>
        <w:t>, 1397–1409. https://doi.org/10.1016/j.rser.2017.05.162</w:t>
      </w:r>
    </w:p>
    <w:p w14:paraId="2DBEBD9D" w14:textId="77777777" w:rsidR="005107C6" w:rsidRDefault="005107C6" w:rsidP="00621714">
      <w:pPr>
        <w:pStyle w:val="ReferencesText"/>
        <w:numPr>
          <w:ilvl w:val="0"/>
          <w:numId w:val="30"/>
        </w:numPr>
        <w:ind w:left="360"/>
        <w:jc w:val="left"/>
      </w:pPr>
      <w:r>
        <w:t xml:space="preserve">Kimmerer, R. W. (2020). </w:t>
      </w:r>
      <w:r w:rsidRPr="00621714">
        <w:t>Centering First Nations Concepts of Wellbeing: Toward a GDP-Alternative Index in British Columbia</w:t>
      </w:r>
      <w:r>
        <w:t xml:space="preserve"> (p. 72). British Columbia Assembly of First Nations. https://www.bcafn.ca/sites/default/files/docs/reports-presentations/BC%20AFN%20FINAL%20PRINT%202020-11-23.pdf</w:t>
      </w:r>
    </w:p>
    <w:p w14:paraId="097CF69F" w14:textId="77777777" w:rsidR="005107C6" w:rsidRDefault="005107C6" w:rsidP="00621714">
      <w:pPr>
        <w:pStyle w:val="ReferencesText"/>
        <w:numPr>
          <w:ilvl w:val="0"/>
          <w:numId w:val="30"/>
        </w:numPr>
        <w:ind w:left="360"/>
        <w:jc w:val="left"/>
      </w:pPr>
      <w:r>
        <w:t xml:space="preserve">Kneese, A. V., Ayres, R. U., &amp; d’Arge, R. C. (2015). </w:t>
      </w:r>
      <w:r w:rsidRPr="00621714">
        <w:t>Economics and the Environment: A Materials Balance Approach</w:t>
      </w:r>
      <w:r>
        <w:t>. Routledge.</w:t>
      </w:r>
    </w:p>
    <w:p w14:paraId="1A0DE949" w14:textId="77777777" w:rsidR="005107C6" w:rsidRDefault="005107C6" w:rsidP="00621714">
      <w:pPr>
        <w:pStyle w:val="ReferencesText"/>
        <w:numPr>
          <w:ilvl w:val="0"/>
          <w:numId w:val="30"/>
        </w:numPr>
        <w:ind w:left="360"/>
        <w:jc w:val="left"/>
      </w:pPr>
      <w:r>
        <w:lastRenderedPageBreak/>
        <w:t xml:space="preserve">Lee, S. (2020). Location and scale-based CUSUM test with application to autoregressive models. </w:t>
      </w:r>
      <w:r w:rsidRPr="00621714">
        <w:t>Journal of Statistical Computation and Simulation</w:t>
      </w:r>
      <w:r>
        <w:t xml:space="preserve">, </w:t>
      </w:r>
      <w:r w:rsidRPr="00621714">
        <w:t>90</w:t>
      </w:r>
      <w:r>
        <w:t>(13), 2309–2328. https://doi.org/10.1080/00949655.2020.1775833</w:t>
      </w:r>
    </w:p>
    <w:p w14:paraId="22BB5FDA" w14:textId="77777777" w:rsidR="005107C6" w:rsidRDefault="005107C6" w:rsidP="00621714">
      <w:pPr>
        <w:pStyle w:val="ReferencesText"/>
        <w:numPr>
          <w:ilvl w:val="0"/>
          <w:numId w:val="30"/>
        </w:numPr>
        <w:ind w:left="360"/>
        <w:jc w:val="left"/>
      </w:pPr>
      <w:r>
        <w:t xml:space="preserve">Maaloul, A. (2018). The effect of greenhouse gas emissions on cost of debt: Evidence from Canadian firms. </w:t>
      </w:r>
      <w:r w:rsidRPr="00621714">
        <w:t>Corporate Social Responsibility and Environmental Management</w:t>
      </w:r>
      <w:r>
        <w:t xml:space="preserve">, </w:t>
      </w:r>
      <w:r w:rsidRPr="00621714">
        <w:t>25</w:t>
      </w:r>
      <w:r>
        <w:t>(6), 1407–1415. https://doi.org/10.1002/csr.1662</w:t>
      </w:r>
    </w:p>
    <w:p w14:paraId="0958E8DE" w14:textId="77777777" w:rsidR="005107C6" w:rsidRDefault="005107C6" w:rsidP="00621714">
      <w:pPr>
        <w:pStyle w:val="ReferencesText"/>
        <w:numPr>
          <w:ilvl w:val="0"/>
          <w:numId w:val="30"/>
        </w:numPr>
        <w:ind w:left="360"/>
        <w:jc w:val="left"/>
      </w:pPr>
      <w:r>
        <w:t xml:space="preserve">Maamoun, N. (2019). The Kyoto protocol: Empirical evidence of a hidden success. </w:t>
      </w:r>
      <w:r w:rsidRPr="00621714">
        <w:t>Journal of Environmental Economics and Management</w:t>
      </w:r>
      <w:r>
        <w:t xml:space="preserve">, </w:t>
      </w:r>
      <w:r w:rsidRPr="00621714">
        <w:t>95</w:t>
      </w:r>
      <w:r>
        <w:t>, 227–256. https://doi.org/10.1016/j.jeem.2019.04.001</w:t>
      </w:r>
    </w:p>
    <w:p w14:paraId="32EA48BE" w14:textId="77777777" w:rsidR="005107C6" w:rsidRDefault="005107C6" w:rsidP="00621714">
      <w:pPr>
        <w:pStyle w:val="ReferencesText"/>
        <w:numPr>
          <w:ilvl w:val="0"/>
          <w:numId w:val="30"/>
        </w:numPr>
        <w:ind w:left="360"/>
        <w:jc w:val="left"/>
      </w:pPr>
      <w:r>
        <w:t xml:space="preserve">MacKinnon, J. G. (2013). Thirty Years of Heteroskedasticity-Robust Inference. In X. Chen &amp; N. R. Swanson (Eds.), </w:t>
      </w:r>
      <w:r w:rsidRPr="00621714">
        <w:t>Recent Advances and Future Directions in Causality, Prediction, and Specification Analysis: Essays in Honor of Halbert L. White Jr</w:t>
      </w:r>
      <w:r>
        <w:t xml:space="preserve"> (pp. 437–461). Springer. https://doi.org/10.1007/978-1-4614-1653-1_17</w:t>
      </w:r>
    </w:p>
    <w:p w14:paraId="60F56E6C" w14:textId="77777777" w:rsidR="005107C6" w:rsidRDefault="005107C6" w:rsidP="00621714">
      <w:pPr>
        <w:pStyle w:val="ReferencesText"/>
        <w:numPr>
          <w:ilvl w:val="0"/>
          <w:numId w:val="30"/>
        </w:numPr>
        <w:ind w:left="360"/>
        <w:jc w:val="left"/>
      </w:pPr>
      <w:r>
        <w:t xml:space="preserve">Masnadi, M. S., El-Houjeiri, H. M., Schunack, D., Li, Y., Englander, J. G., Badahdah, A., Monfort, J.-C., Anderson, J. E., Wallington, T. J., Bergerson, J. A., Gordon, D., Koomey, J., Przesmitzki, S., Azevedo, I. L., Bi, X. T., Duffy, J. E., Heath, G. A., Keoleian, G. A., McGlade, C., … Brandt, A. R. (2018). Global carbon intensity of crude oil production. </w:t>
      </w:r>
      <w:r w:rsidRPr="00621714">
        <w:t>Science</w:t>
      </w:r>
      <w:r>
        <w:t xml:space="preserve">, </w:t>
      </w:r>
      <w:r w:rsidRPr="00621714">
        <w:t>361</w:t>
      </w:r>
      <w:r>
        <w:t>(6405), 851–853. https://doi.org/10.1126/science.aar6859</w:t>
      </w:r>
    </w:p>
    <w:p w14:paraId="429A176D" w14:textId="77777777" w:rsidR="005107C6" w:rsidRDefault="005107C6" w:rsidP="00621714">
      <w:pPr>
        <w:pStyle w:val="ReferencesText"/>
        <w:numPr>
          <w:ilvl w:val="0"/>
          <w:numId w:val="30"/>
        </w:numPr>
        <w:ind w:left="360"/>
        <w:jc w:val="left"/>
      </w:pPr>
      <w:r>
        <w:t xml:space="preserve">McGregor, S. L. T. (2003). </w:t>
      </w:r>
      <w:r w:rsidRPr="00621714">
        <w:t>Economic Indicators and Alternatives to the GDP</w:t>
      </w:r>
      <w:r>
        <w:t>. McGregor Consulting. http://www.consultmcgregor.com/documents/resources/GDP_and_GPI.pdf</w:t>
      </w:r>
    </w:p>
    <w:p w14:paraId="2C81838B" w14:textId="77777777" w:rsidR="005107C6" w:rsidRDefault="005107C6" w:rsidP="00621714">
      <w:pPr>
        <w:pStyle w:val="ReferencesText"/>
        <w:numPr>
          <w:ilvl w:val="0"/>
          <w:numId w:val="30"/>
        </w:numPr>
        <w:ind w:left="360"/>
        <w:jc w:val="left"/>
      </w:pPr>
      <w:r>
        <w:t xml:space="preserve">Millington, D., Hossain, N. A. K. M., Vypovska, A., Goddard, K., &amp; Sanin, M. (2020). </w:t>
      </w:r>
      <w:r w:rsidRPr="00621714">
        <w:t>The Economic Effectiveness of Different Carbon Pricing Options to Reduce Carbon Dioxide Emissions</w:t>
      </w:r>
      <w:r>
        <w:t xml:space="preserve"> (No. 189). Canadian Energy Research Institute. https://ceri.ca/assets/files/Study_189_Full_Report.pdf</w:t>
      </w:r>
    </w:p>
    <w:p w14:paraId="7FA04841" w14:textId="77777777" w:rsidR="005107C6" w:rsidRDefault="005107C6" w:rsidP="00621714">
      <w:pPr>
        <w:pStyle w:val="ReferencesText"/>
        <w:numPr>
          <w:ilvl w:val="0"/>
          <w:numId w:val="30"/>
        </w:numPr>
        <w:ind w:left="360"/>
        <w:jc w:val="left"/>
      </w:pPr>
      <w:r>
        <w:t xml:space="preserve">Mishra, P., Pandey, C. M., Singh, U., Gupta, A., Sahu, C., &amp; Keshri, A. (2019). Descriptive Statistics and Normality Tests for Statistical Data. </w:t>
      </w:r>
      <w:r w:rsidRPr="00621714">
        <w:t>Annals of Cardiac Anaesthesia</w:t>
      </w:r>
      <w:r>
        <w:t xml:space="preserve">, </w:t>
      </w:r>
      <w:r w:rsidRPr="00621714">
        <w:t>22</w:t>
      </w:r>
      <w:r>
        <w:t>(1), 67–72. https://doi.org/10.4103/aca.ACA_157_18</w:t>
      </w:r>
    </w:p>
    <w:p w14:paraId="4300E0DF" w14:textId="77777777" w:rsidR="005107C6" w:rsidRDefault="005107C6" w:rsidP="00621714">
      <w:pPr>
        <w:pStyle w:val="ReferencesText"/>
        <w:numPr>
          <w:ilvl w:val="0"/>
          <w:numId w:val="30"/>
        </w:numPr>
        <w:ind w:left="360"/>
        <w:jc w:val="left"/>
      </w:pPr>
      <w:r>
        <w:t xml:space="preserve">Nchor, D., &amp; Adamec, V. (2016). Investigating the Stability of Money Demand in Ghana. </w:t>
      </w:r>
      <w:r w:rsidRPr="00621714">
        <w:t>Procedia - Social and Behavioral Sciences</w:t>
      </w:r>
      <w:r>
        <w:t xml:space="preserve">, </w:t>
      </w:r>
      <w:r w:rsidRPr="00621714">
        <w:t>220</w:t>
      </w:r>
      <w:r>
        <w:t>, 288–293. https://doi.org/10.1016/j.sbspro.2016.05.501</w:t>
      </w:r>
    </w:p>
    <w:p w14:paraId="13BF9D36" w14:textId="77777777" w:rsidR="005107C6" w:rsidRDefault="005107C6" w:rsidP="00621714">
      <w:pPr>
        <w:pStyle w:val="ReferencesText"/>
        <w:numPr>
          <w:ilvl w:val="0"/>
          <w:numId w:val="30"/>
        </w:numPr>
        <w:ind w:left="360"/>
        <w:jc w:val="left"/>
      </w:pPr>
      <w:r>
        <w:t xml:space="preserve">Nkoro, E., &amp; Uko, A. K. (2013). A Generalized Autoregressive Conditional Heteroskedasticity Model of the Impact of Macroeconomic Factors on Stock Returns: Empirical Evidence from the Nigerian Stock Market. </w:t>
      </w:r>
      <w:r w:rsidRPr="00621714">
        <w:t>International Journal of Financial Research</w:t>
      </w:r>
      <w:r>
        <w:t xml:space="preserve">, </w:t>
      </w:r>
      <w:r w:rsidRPr="00621714">
        <w:t>4</w:t>
      </w:r>
      <w:r>
        <w:t>(4), 38–51.</w:t>
      </w:r>
    </w:p>
    <w:p w14:paraId="38FEDE0F" w14:textId="77777777" w:rsidR="005107C6" w:rsidRDefault="005107C6" w:rsidP="00621714">
      <w:pPr>
        <w:pStyle w:val="ReferencesText"/>
        <w:numPr>
          <w:ilvl w:val="0"/>
          <w:numId w:val="30"/>
        </w:numPr>
        <w:ind w:left="360"/>
        <w:jc w:val="left"/>
      </w:pPr>
      <w:r>
        <w:t xml:space="preserve">Obergassel, W., Mersmann, F., Ott, H. E., &amp; Wang-Helmreich, H. (2015). Phoenix from the ashes: An analysis of the Paris Agreement to the United Nations Framework Convention on Climate Change – Part I. </w:t>
      </w:r>
      <w:r w:rsidRPr="00621714">
        <w:t>Environmental Law</w:t>
      </w:r>
      <w:r>
        <w:t xml:space="preserve">, </w:t>
      </w:r>
      <w:r w:rsidRPr="00621714">
        <w:t>27</w:t>
      </w:r>
      <w:r>
        <w:t>, 243–262.</w:t>
      </w:r>
    </w:p>
    <w:p w14:paraId="2499BD31" w14:textId="77777777" w:rsidR="005107C6" w:rsidRDefault="005107C6" w:rsidP="00621714">
      <w:pPr>
        <w:pStyle w:val="ReferencesText"/>
        <w:numPr>
          <w:ilvl w:val="0"/>
          <w:numId w:val="30"/>
        </w:numPr>
        <w:ind w:left="360"/>
        <w:jc w:val="left"/>
      </w:pPr>
      <w:r>
        <w:lastRenderedPageBreak/>
        <w:t xml:space="preserve">Okumuş, İ., &amp; Bozkurt, C. (2020). The Effects of Economic Growth on Environment for Different Income Group Countries. </w:t>
      </w:r>
      <w:r w:rsidRPr="00621714">
        <w:t>Gaziantep University Journal of Social Sciences</w:t>
      </w:r>
      <w:r>
        <w:t xml:space="preserve">, </w:t>
      </w:r>
      <w:r w:rsidRPr="00621714">
        <w:t>19</w:t>
      </w:r>
      <w:r>
        <w:t>, 238–255. https://doi.org/10.21547/jss.593962</w:t>
      </w:r>
    </w:p>
    <w:p w14:paraId="38FBCF2D" w14:textId="77777777" w:rsidR="005107C6" w:rsidRDefault="005107C6" w:rsidP="00621714">
      <w:pPr>
        <w:pStyle w:val="ReferencesText"/>
        <w:numPr>
          <w:ilvl w:val="0"/>
          <w:numId w:val="30"/>
        </w:numPr>
        <w:ind w:left="360"/>
        <w:jc w:val="left"/>
      </w:pPr>
      <w:r>
        <w:t xml:space="preserve">Rani, N., &amp; Mandal, A. (2020, August 6). </w:t>
      </w:r>
      <w:r w:rsidRPr="00621714">
        <w:t>All Inclusive Economic Development: The GDP alternative offers a better measure of progress | Policy Circle</w:t>
      </w:r>
      <w:r>
        <w:t xml:space="preserve"> [Article]. Policy Circle. https://www.policycircle.org/economy/all-inclusive-economic-development-why-this-gdp-alternative-is-a-better-measure-of-progress/</w:t>
      </w:r>
    </w:p>
    <w:p w14:paraId="2F47CB0A" w14:textId="77777777" w:rsidR="005107C6" w:rsidRDefault="005107C6" w:rsidP="00621714">
      <w:pPr>
        <w:pStyle w:val="ReferencesText"/>
        <w:numPr>
          <w:ilvl w:val="0"/>
          <w:numId w:val="30"/>
        </w:numPr>
        <w:ind w:left="360"/>
        <w:jc w:val="left"/>
      </w:pPr>
      <w:r>
        <w:t xml:space="preserve">Ritchie, H., &amp; Roser, M. (2017). </w:t>
      </w:r>
      <w:r w:rsidRPr="00621714">
        <w:t>CO₂ and Greenhouse Gas Emissions: Canada</w:t>
      </w:r>
      <w:r>
        <w:t>. Our World in Data. https://ourworldindata.org/co2/country/canada</w:t>
      </w:r>
    </w:p>
    <w:p w14:paraId="7045025E" w14:textId="77777777" w:rsidR="005107C6" w:rsidRDefault="005107C6" w:rsidP="00621714">
      <w:pPr>
        <w:pStyle w:val="ReferencesText"/>
        <w:numPr>
          <w:ilvl w:val="0"/>
          <w:numId w:val="30"/>
        </w:numPr>
        <w:ind w:left="360"/>
        <w:jc w:val="left"/>
      </w:pPr>
      <w:r>
        <w:t xml:space="preserve">Schandl, H., Hatfield-Dodds, S., Wiedmann, T., Geschke, A., Cai, Y., West, J., Newth, D., Baynes, T., Lenzen, M., &amp; Owen, A. (2016). Decoupling global environmental pressure and economic growth: Scenarios for energy use, materials use and carbon emissions. </w:t>
      </w:r>
      <w:r w:rsidRPr="00621714">
        <w:t>Journal of Cleaner Production</w:t>
      </w:r>
      <w:r>
        <w:t xml:space="preserve">, </w:t>
      </w:r>
      <w:r w:rsidRPr="00621714">
        <w:t>132</w:t>
      </w:r>
      <w:r>
        <w:t>, 45–56. https://doi.org/10.1016/j.jclepro.2015.06.100</w:t>
      </w:r>
    </w:p>
    <w:p w14:paraId="2278B1C8" w14:textId="77777777" w:rsidR="005107C6" w:rsidRDefault="005107C6" w:rsidP="00621714">
      <w:pPr>
        <w:pStyle w:val="ReferencesText"/>
        <w:numPr>
          <w:ilvl w:val="0"/>
          <w:numId w:val="30"/>
        </w:numPr>
        <w:ind w:left="360"/>
        <w:jc w:val="left"/>
      </w:pPr>
      <w:r>
        <w:t xml:space="preserve">Seto, K. C., Davis, S. J., Mitchell, R. B., Stokes, E. C., Unruh, G., &amp; Ürge-Vorsatz, D. (2016). Carbon Lock-In: Types, Causes, and Policy Implications. </w:t>
      </w:r>
      <w:r w:rsidRPr="00621714">
        <w:t>Annual Review of Environment and Resources</w:t>
      </w:r>
      <w:r>
        <w:t xml:space="preserve">, </w:t>
      </w:r>
      <w:r w:rsidRPr="00621714">
        <w:t>41</w:t>
      </w:r>
      <w:r>
        <w:t>(1), 425–452. https://doi.org/10.1146/annurev-environ-110615-085934</w:t>
      </w:r>
    </w:p>
    <w:p w14:paraId="0B491336" w14:textId="77777777" w:rsidR="005107C6" w:rsidRDefault="005107C6" w:rsidP="00621714">
      <w:pPr>
        <w:pStyle w:val="ReferencesText"/>
        <w:numPr>
          <w:ilvl w:val="0"/>
          <w:numId w:val="30"/>
        </w:numPr>
        <w:ind w:left="360"/>
        <w:jc w:val="left"/>
      </w:pPr>
      <w:r>
        <w:t xml:space="preserve">Shahbaz, M., Solarin, S. A., Mahmood, H., &amp; Arouri, M. (2013). Does financial development reduce CO2 emissions in Malaysian economy? A time series analysis. </w:t>
      </w:r>
      <w:r w:rsidRPr="00621714">
        <w:t>Economic Modelling</w:t>
      </w:r>
      <w:r>
        <w:t xml:space="preserve">, </w:t>
      </w:r>
      <w:r w:rsidRPr="00621714">
        <w:t>35</w:t>
      </w:r>
      <w:r>
        <w:t>, 145–152. https://doi.org/10.1016/j.econmod.2013.06.037</w:t>
      </w:r>
    </w:p>
    <w:p w14:paraId="0D72B205" w14:textId="77777777" w:rsidR="005107C6" w:rsidRDefault="005107C6" w:rsidP="00621714">
      <w:pPr>
        <w:pStyle w:val="ReferencesText"/>
        <w:numPr>
          <w:ilvl w:val="0"/>
          <w:numId w:val="30"/>
        </w:numPr>
        <w:ind w:left="360"/>
        <w:jc w:val="left"/>
      </w:pPr>
      <w:r>
        <w:t xml:space="preserve">Singhania, M., &amp; Saini, N. (2021). Demystifying pollution haven hypothesis: Role of FDI. </w:t>
      </w:r>
      <w:r w:rsidRPr="00621714">
        <w:t>Journal of Business Research</w:t>
      </w:r>
      <w:r>
        <w:t xml:space="preserve">, </w:t>
      </w:r>
      <w:r w:rsidRPr="00621714">
        <w:t>123</w:t>
      </w:r>
      <w:r>
        <w:t>, 516–528. https://doi.org/10.1016/j.jbusres.2020.10.007</w:t>
      </w:r>
    </w:p>
    <w:p w14:paraId="04243486" w14:textId="77777777" w:rsidR="005107C6" w:rsidRDefault="005107C6" w:rsidP="00621714">
      <w:pPr>
        <w:pStyle w:val="ReferencesText"/>
        <w:numPr>
          <w:ilvl w:val="0"/>
          <w:numId w:val="30"/>
        </w:numPr>
        <w:ind w:left="360"/>
        <w:jc w:val="left"/>
      </w:pPr>
      <w:r>
        <w:t xml:space="preserve">Sun, Y. (2013). A heteroskedasticity and autocorrelation robust F test using an orthonormal series variance estimator. </w:t>
      </w:r>
      <w:r w:rsidRPr="00621714">
        <w:t>The Econometrics Journal</w:t>
      </w:r>
      <w:r>
        <w:t xml:space="preserve">, </w:t>
      </w:r>
      <w:r w:rsidRPr="00621714">
        <w:t>16</w:t>
      </w:r>
      <w:r>
        <w:t>(1), 1–26. https://doi.org/10.1111/j.1368-423X.2012.00390.x</w:t>
      </w:r>
    </w:p>
    <w:p w14:paraId="7BFFAFD3" w14:textId="77777777" w:rsidR="005107C6" w:rsidRDefault="005107C6" w:rsidP="00621714">
      <w:pPr>
        <w:pStyle w:val="ReferencesText"/>
        <w:numPr>
          <w:ilvl w:val="0"/>
          <w:numId w:val="30"/>
        </w:numPr>
        <w:ind w:left="360"/>
        <w:jc w:val="left"/>
      </w:pPr>
      <w:r>
        <w:t xml:space="preserve">Talaş, E., Kaplan, F., &amp; Çelik, A. K. (2013). Model Stability Test of Money Demand by Monthly Time Series Using CUSUM and MOSUM Tests: Evidence from Turkey. </w:t>
      </w:r>
      <w:r w:rsidRPr="00621714">
        <w:t>Research in World Economy</w:t>
      </w:r>
      <w:r>
        <w:t xml:space="preserve">, </w:t>
      </w:r>
      <w:r w:rsidRPr="00621714">
        <w:t>4</w:t>
      </w:r>
      <w:r>
        <w:t>(2). https://doi.org/10.5430/rwe.v4n2p36</w:t>
      </w:r>
    </w:p>
    <w:p w14:paraId="1B0925DE" w14:textId="77777777" w:rsidR="005107C6" w:rsidRDefault="005107C6" w:rsidP="00621714">
      <w:pPr>
        <w:pStyle w:val="ReferencesText"/>
        <w:numPr>
          <w:ilvl w:val="0"/>
          <w:numId w:val="30"/>
        </w:numPr>
        <w:ind w:left="360"/>
        <w:jc w:val="left"/>
      </w:pPr>
      <w:r>
        <w:t xml:space="preserve">Tan, S., Yang, J., Yan, J., Lee, C., Hashim, H., &amp; Chen, B. (2017). A holistic low carbon city indicator framework for sustainable development. </w:t>
      </w:r>
      <w:r w:rsidRPr="00621714">
        <w:t>Applied Energy</w:t>
      </w:r>
      <w:r>
        <w:t xml:space="preserve">, </w:t>
      </w:r>
      <w:r w:rsidRPr="00621714">
        <w:t>185</w:t>
      </w:r>
      <w:r>
        <w:t>, 1919–1930. https://doi.org/10.1016/j.apenergy.2016.03.041</w:t>
      </w:r>
    </w:p>
    <w:p w14:paraId="48FE84FF" w14:textId="77777777" w:rsidR="005107C6" w:rsidRDefault="005107C6" w:rsidP="00621714">
      <w:pPr>
        <w:pStyle w:val="ReferencesText"/>
        <w:numPr>
          <w:ilvl w:val="0"/>
          <w:numId w:val="30"/>
        </w:numPr>
        <w:ind w:left="360"/>
        <w:jc w:val="left"/>
      </w:pPr>
      <w:r>
        <w:t xml:space="preserve">Umeozor, E., Iwuoha, S., &amp; Vypovska, A. (2019). </w:t>
      </w:r>
      <w:r w:rsidRPr="00621714">
        <w:t>Supply Costs and Emission Profiles of Petrochemical Products in Selected Hubs</w:t>
      </w:r>
      <w:r>
        <w:t xml:space="preserve"> (No. 181). https://ceri.ca/assets/files/Study_181_Full_Report.pdf</w:t>
      </w:r>
    </w:p>
    <w:p w14:paraId="6741122F" w14:textId="77777777" w:rsidR="005107C6" w:rsidRDefault="005107C6" w:rsidP="00621714">
      <w:pPr>
        <w:pStyle w:val="ReferencesText"/>
        <w:numPr>
          <w:ilvl w:val="0"/>
          <w:numId w:val="30"/>
        </w:numPr>
        <w:ind w:left="360"/>
        <w:jc w:val="left"/>
      </w:pPr>
      <w:r>
        <w:t xml:space="preserve">Urbain, J.-P. (2012). </w:t>
      </w:r>
      <w:r w:rsidRPr="00621714">
        <w:t>Exogeneity in Error Correction Models</w:t>
      </w:r>
      <w:r>
        <w:t>. Springer Science &amp; Business Media.</w:t>
      </w:r>
    </w:p>
    <w:p w14:paraId="46639653" w14:textId="77777777" w:rsidR="005107C6" w:rsidRDefault="005107C6" w:rsidP="00621714">
      <w:pPr>
        <w:pStyle w:val="ReferencesText"/>
        <w:numPr>
          <w:ilvl w:val="0"/>
          <w:numId w:val="30"/>
        </w:numPr>
        <w:ind w:left="360"/>
        <w:jc w:val="left"/>
      </w:pPr>
      <w:r>
        <w:t xml:space="preserve">US EPA. (2016, January 12). </w:t>
      </w:r>
      <w:r w:rsidRPr="00621714">
        <w:t>Global Greenhouse Gas Emissions Data</w:t>
      </w:r>
      <w:r>
        <w:t xml:space="preserve"> [Overviews and Factsheets]. United States Environmental Protection Agency. https://www.epa.gov/ghgemissions/global-greenhouse-gas-emissions-data</w:t>
      </w:r>
    </w:p>
    <w:p w14:paraId="758AD4A7" w14:textId="77777777" w:rsidR="005107C6" w:rsidRDefault="005107C6" w:rsidP="00621714">
      <w:pPr>
        <w:pStyle w:val="ReferencesText"/>
        <w:numPr>
          <w:ilvl w:val="0"/>
          <w:numId w:val="30"/>
        </w:numPr>
        <w:ind w:left="360"/>
        <w:jc w:val="left"/>
      </w:pPr>
      <w:r>
        <w:lastRenderedPageBreak/>
        <w:t xml:space="preserve">Victor, D. G. (2011). </w:t>
      </w:r>
      <w:r w:rsidRPr="00621714">
        <w:t>The Collapse of the Kyoto Protocol and the Struggle to Slow Global Warming</w:t>
      </w:r>
      <w:r>
        <w:t>. Princeton University Press.</w:t>
      </w:r>
    </w:p>
    <w:p w14:paraId="6A0CF716" w14:textId="77777777" w:rsidR="005107C6" w:rsidRDefault="005107C6" w:rsidP="00621714">
      <w:pPr>
        <w:pStyle w:val="ReferencesText"/>
        <w:numPr>
          <w:ilvl w:val="0"/>
          <w:numId w:val="30"/>
        </w:numPr>
        <w:ind w:left="360"/>
        <w:jc w:val="left"/>
      </w:pPr>
      <w:r>
        <w:t xml:space="preserve">Victor, P. A. (2017). </w:t>
      </w:r>
      <w:r w:rsidRPr="00621714">
        <w:t>Pollution: Economy and Environment</w:t>
      </w:r>
      <w:r>
        <w:t xml:space="preserve"> (Vol. 18). Routledge, Taylor Francis Group.</w:t>
      </w:r>
    </w:p>
    <w:p w14:paraId="0E7000E7" w14:textId="77777777" w:rsidR="005107C6" w:rsidRDefault="005107C6" w:rsidP="00621714">
      <w:pPr>
        <w:pStyle w:val="ReferencesText"/>
        <w:numPr>
          <w:ilvl w:val="0"/>
          <w:numId w:val="30"/>
        </w:numPr>
        <w:ind w:left="360"/>
        <w:jc w:val="left"/>
      </w:pPr>
      <w:r>
        <w:t xml:space="preserve">Victor, P. A., &amp; Dolter, B. (2017). </w:t>
      </w:r>
      <w:r w:rsidRPr="00621714">
        <w:t>Handbook on Growth and Sustainability</w:t>
      </w:r>
      <w:r>
        <w:t>. Edward Elgar Publishing.</w:t>
      </w:r>
    </w:p>
    <w:p w14:paraId="79DF65B2" w14:textId="77777777" w:rsidR="005107C6" w:rsidRDefault="005107C6" w:rsidP="00621714">
      <w:pPr>
        <w:pStyle w:val="ReferencesText"/>
        <w:numPr>
          <w:ilvl w:val="0"/>
          <w:numId w:val="30"/>
        </w:numPr>
        <w:ind w:left="360"/>
        <w:jc w:val="left"/>
      </w:pPr>
      <w:r>
        <w:t xml:space="preserve">Volkova, V. M., &amp; Plankina, V. L. (2013). The Research of Distribution of the Ramsey RESET-Test Statistic. </w:t>
      </w:r>
      <w:r w:rsidRPr="00621714">
        <w:t>Proceedings of the International Workshop</w:t>
      </w:r>
      <w:r>
        <w:t>. Applied Methods of Statistical Analysis. Applications in Survival Analysis, Reliability and Quality Control., Novosibirsk. https://amsa.conf.nstu.ru/amsa2013/AMSA2013_proceedings.pdf#page=265</w:t>
      </w:r>
    </w:p>
    <w:p w14:paraId="0A4D5E52" w14:textId="77777777" w:rsidR="005107C6" w:rsidRDefault="005107C6" w:rsidP="00621714">
      <w:pPr>
        <w:pStyle w:val="ReferencesText"/>
        <w:numPr>
          <w:ilvl w:val="0"/>
          <w:numId w:val="30"/>
        </w:numPr>
        <w:ind w:left="360"/>
        <w:jc w:val="left"/>
      </w:pPr>
      <w:r>
        <w:t xml:space="preserve">Whitby, A. (WFC), Seaford, C., &amp; Berry, C. (2014). </w:t>
      </w:r>
      <w:r w:rsidRPr="00621714">
        <w:t>BRAINPOol Project: Beyond GDP - From Measurement to Politics and Policy Deliverable</w:t>
      </w:r>
      <w:r>
        <w:t xml:space="preserve"> (Project Report D5.2; p. 68). European Union. https://neweconomics.org/uploads/images/2018/01/BRAINPOoL-Project-Final-Report.pdf</w:t>
      </w:r>
    </w:p>
    <w:p w14:paraId="55281E9E" w14:textId="77777777" w:rsidR="005107C6" w:rsidRDefault="005107C6" w:rsidP="00621714">
      <w:pPr>
        <w:pStyle w:val="ReferencesText"/>
        <w:numPr>
          <w:ilvl w:val="0"/>
          <w:numId w:val="30"/>
        </w:numPr>
        <w:ind w:left="360"/>
        <w:jc w:val="left"/>
      </w:pPr>
      <w:r>
        <w:t xml:space="preserve">Whittenberg, L. (2021). </w:t>
      </w:r>
      <w:r w:rsidRPr="00621714">
        <w:t>Methane: The other important greenhouse gas</w:t>
      </w:r>
      <w:r>
        <w:t>. Environmental Defense Fund. https://www.edf.org/climate/methane-other-important-greenhouse-gas</w:t>
      </w:r>
    </w:p>
    <w:p w14:paraId="7F2B8164" w14:textId="77777777" w:rsidR="005107C6" w:rsidRDefault="005107C6" w:rsidP="00621714">
      <w:pPr>
        <w:pStyle w:val="ReferencesText"/>
        <w:numPr>
          <w:ilvl w:val="0"/>
          <w:numId w:val="30"/>
        </w:numPr>
        <w:ind w:left="360"/>
        <w:jc w:val="left"/>
      </w:pPr>
      <w:r>
        <w:t xml:space="preserve">Yang, Y., Brammer, J. G., Wright, D. G., Scott, J. A., Serrano, C., &amp; Bridgwater, A. V. (2017). Combined heat and power from the intermediate pyrolysis of biomass materials: Performance, economics and environmental impact. </w:t>
      </w:r>
      <w:r w:rsidRPr="00621714">
        <w:t>Applied Energy</w:t>
      </w:r>
      <w:r>
        <w:t xml:space="preserve">, </w:t>
      </w:r>
      <w:r w:rsidRPr="00621714">
        <w:t>191</w:t>
      </w:r>
      <w:r>
        <w:t>, 639–652. https://doi.org/10.1016/j.apenergy.2017.02.004</w:t>
      </w:r>
    </w:p>
    <w:p w14:paraId="2DFCF207" w14:textId="1BD82C35" w:rsidR="00A947A2" w:rsidRPr="00A947A2" w:rsidRDefault="00420BB5" w:rsidP="00621714">
      <w:pPr>
        <w:pStyle w:val="ReferencesText"/>
        <w:tabs>
          <w:tab w:val="num" w:pos="480"/>
        </w:tabs>
        <w:ind w:left="360" w:hanging="480"/>
        <w:jc w:val="left"/>
      </w:pPr>
      <w:r w:rsidRPr="00621714">
        <w:fldChar w:fldCharType="end"/>
      </w:r>
    </w:p>
    <w:sectPr w:rsidR="00A947A2" w:rsidRPr="00A947A2" w:rsidSect="000375F9">
      <w:headerReference w:type="even" r:id="rId17"/>
      <w:headerReference w:type="default" r:id="rId18"/>
      <w:headerReference w:type="first" r:id="rId19"/>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249A9" w14:textId="77777777" w:rsidR="00E66053" w:rsidRDefault="00E66053">
      <w:r>
        <w:separator/>
      </w:r>
    </w:p>
  </w:endnote>
  <w:endnote w:type="continuationSeparator" w:id="0">
    <w:p w14:paraId="1462AF62" w14:textId="77777777" w:rsidR="00E66053" w:rsidRDefault="00E66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PMingLiU">
    <w:altName w:val="Microsoft JhengHei"/>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DFKai-SB">
    <w:altName w:val="Microsoft JhengHei Light"/>
    <w:charset w:val="88"/>
    <w:family w:val="script"/>
    <w:pitch w:val="fixed"/>
    <w:sig w:usb0="00000000" w:usb1="080E0000"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D70C0" w14:textId="77777777" w:rsidR="00E66053" w:rsidRDefault="00E66053">
      <w:r>
        <w:separator/>
      </w:r>
    </w:p>
  </w:footnote>
  <w:footnote w:type="continuationSeparator" w:id="0">
    <w:p w14:paraId="7D4FC938" w14:textId="77777777" w:rsidR="00E66053" w:rsidRDefault="00E66053">
      <w:r>
        <w:continuationSeparator/>
      </w:r>
    </w:p>
  </w:footnote>
  <w:footnote w:id="1">
    <w:p w14:paraId="445146EF" w14:textId="66FE25F2" w:rsidR="00A947A2" w:rsidRPr="009625FC" w:rsidRDefault="00A947A2" w:rsidP="009625FC">
      <w:pPr>
        <w:pStyle w:val="FootnoteText"/>
        <w:tabs>
          <w:tab w:val="left" w:pos="4665"/>
        </w:tabs>
      </w:pPr>
      <w:r w:rsidRPr="009625FC">
        <w:rPr>
          <w:rStyle w:val="FootnoteReference"/>
        </w:rPr>
        <w:footnoteRef/>
      </w:r>
      <w:r w:rsidRPr="009625FC">
        <w:t xml:space="preserve"> </w:t>
      </w:r>
      <w:r w:rsidR="004A3378">
        <w:t>International School of Management, Paris, France</w:t>
      </w:r>
      <w:r w:rsidRPr="009625FC">
        <w:t>. e-mail:</w:t>
      </w:r>
      <w:r w:rsidR="004A3378">
        <w:t xml:space="preserve"> iwuohasochi@yahoo.com</w:t>
      </w:r>
      <w:r w:rsidR="009625FC">
        <w:tab/>
      </w:r>
    </w:p>
  </w:footnote>
  <w:footnote w:id="2">
    <w:p w14:paraId="7D1B05C7" w14:textId="1D943DC6" w:rsidR="00A947A2" w:rsidRPr="009625FC" w:rsidRDefault="00A947A2" w:rsidP="00A947A2">
      <w:pPr>
        <w:pStyle w:val="FootnoteText"/>
      </w:pPr>
      <w:r w:rsidRPr="009625FC">
        <w:rPr>
          <w:rStyle w:val="FootnoteReference"/>
        </w:rPr>
        <w:footnoteRef/>
      </w:r>
      <w:r w:rsidRPr="009625FC">
        <w:t xml:space="preserve"> </w:t>
      </w:r>
      <w:r w:rsidR="004A3378" w:rsidRPr="004A3378">
        <w:t xml:space="preserve">Zicklin School of Business, Baruch College, </w:t>
      </w:r>
      <w:r w:rsidR="004A3378">
        <w:t>City University of New York</w:t>
      </w:r>
      <w:r w:rsidR="004A3378" w:rsidRPr="004A3378">
        <w:t>, United States</w:t>
      </w:r>
      <w:r w:rsidRPr="009625FC">
        <w:t>. e-mail:</w:t>
      </w:r>
      <w:r w:rsidR="004A3378">
        <w:t xml:space="preserve"> joseph.onochie@baruch.cuny.edu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E1D55" w14:textId="609E92E4" w:rsidR="00347F24" w:rsidRDefault="00347F24" w:rsidP="004A218D">
    <w:pPr>
      <w:pStyle w:val="Header"/>
      <w:framePr w:wrap="around" w:vAnchor="text" w:hAnchor="margin" w:xAlign="right" w:y="1"/>
      <w:ind w:right="360" w:firstLine="360"/>
      <w:rPr>
        <w:rStyle w:val="PageNumber"/>
      </w:rPr>
    </w:pPr>
  </w:p>
  <w:p w14:paraId="6A08299B" w14:textId="51790E92" w:rsidR="00347F24" w:rsidRPr="00C15591" w:rsidRDefault="009A60C2" w:rsidP="00347F24">
    <w:pPr>
      <w:pStyle w:val="Header"/>
      <w:ind w:right="360"/>
      <w:rPr>
        <w:i/>
        <w:sz w:val="22"/>
        <w:szCs w:val="22"/>
      </w:rPr>
    </w:pPr>
    <w:r>
      <w:fldChar w:fldCharType="begin"/>
    </w:r>
    <w:r>
      <w:instrText xml:space="preserve"> PAGE   \* MERGEFORMAT </w:instrText>
    </w:r>
    <w:r>
      <w:fldChar w:fldCharType="separate"/>
    </w:r>
    <w:r>
      <w:rPr>
        <w:noProof/>
      </w:rPr>
      <w:t>1</w:t>
    </w:r>
    <w:r>
      <w:rPr>
        <w:noProof/>
      </w:rPr>
      <w:fldChar w:fldCharType="end"/>
    </w:r>
    <w:r w:rsidR="004A218D">
      <w:t xml:space="preserve">                              </w:t>
    </w:r>
    <w:r w:rsidR="00BC17E3">
      <w:tab/>
    </w:r>
    <w:proofErr w:type="gramStart"/>
    <w:r w:rsidR="00BC17E3">
      <w:tab/>
      <w:t xml:space="preserve">  </w:t>
    </w:r>
    <w:r w:rsidR="00BC17E3" w:rsidRPr="006351DD">
      <w:rPr>
        <w:i/>
        <w:iCs/>
        <w:sz w:val="22"/>
        <w:szCs w:val="22"/>
      </w:rPr>
      <w:t>I</w:t>
    </w:r>
    <w:r w:rsidR="00BC17E3">
      <w:rPr>
        <w:i/>
        <w:sz w:val="22"/>
        <w:szCs w:val="22"/>
      </w:rPr>
      <w:t>wuoha</w:t>
    </w:r>
    <w:proofErr w:type="gramEnd"/>
    <w:r w:rsidR="00BC17E3" w:rsidRPr="00C15591">
      <w:rPr>
        <w:i/>
        <w:sz w:val="22"/>
        <w:szCs w:val="22"/>
      </w:rPr>
      <w:t xml:space="preserve"> and </w:t>
    </w:r>
    <w:r w:rsidR="00BC17E3">
      <w:rPr>
        <w:i/>
        <w:sz w:val="22"/>
        <w:szCs w:val="22"/>
      </w:rPr>
      <w:t>Onochie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EF4F6" w14:textId="77777777" w:rsidR="00347F24" w:rsidRDefault="00347F24" w:rsidP="00C15591">
    <w:pPr>
      <w:pStyle w:val="Header"/>
      <w:framePr w:wrap="around" w:vAnchor="text" w:hAnchor="page" w:x="9421" w:y="-48"/>
      <w:ind w:right="360"/>
      <w:rPr>
        <w:rStyle w:val="PageNumber"/>
      </w:rPr>
    </w:pPr>
  </w:p>
  <w:p w14:paraId="69548A42" w14:textId="223BCE46" w:rsidR="00E342F5" w:rsidRPr="00C15591" w:rsidRDefault="00E342F5" w:rsidP="00E342F5">
    <w:pPr>
      <w:pStyle w:val="Header"/>
      <w:ind w:right="360"/>
      <w:rPr>
        <w:i/>
        <w:sz w:val="22"/>
        <w:szCs w:val="22"/>
      </w:rPr>
    </w:pPr>
    <w:r>
      <w:fldChar w:fldCharType="begin"/>
    </w:r>
    <w:r>
      <w:instrText xml:space="preserve"> PAGE   \* MERGEFORMAT </w:instrText>
    </w:r>
    <w:r>
      <w:fldChar w:fldCharType="separate"/>
    </w:r>
    <w:r>
      <w:t>8</w:t>
    </w:r>
    <w:r>
      <w:rPr>
        <w:noProof/>
      </w:rPr>
      <w:fldChar w:fldCharType="end"/>
    </w:r>
    <w:r>
      <w:t xml:space="preserve">                              </w:t>
    </w:r>
    <w:r>
      <w:tab/>
      <w:t xml:space="preserve"> </w:t>
    </w:r>
    <w:r w:rsidR="00C74DEE">
      <w:tab/>
    </w:r>
    <w:bookmarkStart w:id="13" w:name="_Hlk116224102"/>
    <w:r w:rsidRPr="006351DD">
      <w:rPr>
        <w:i/>
        <w:iCs/>
        <w:sz w:val="22"/>
        <w:szCs w:val="22"/>
      </w:rPr>
      <w:t>I</w:t>
    </w:r>
    <w:r>
      <w:rPr>
        <w:i/>
        <w:sz w:val="22"/>
        <w:szCs w:val="22"/>
      </w:rPr>
      <w:t>wuoha</w:t>
    </w:r>
    <w:r w:rsidRPr="00C15591">
      <w:rPr>
        <w:i/>
        <w:sz w:val="22"/>
        <w:szCs w:val="22"/>
      </w:rPr>
      <w:t xml:space="preserve"> and </w:t>
    </w:r>
    <w:r>
      <w:rPr>
        <w:i/>
        <w:sz w:val="22"/>
        <w:szCs w:val="22"/>
      </w:rPr>
      <w:t>Onochie</w:t>
    </w:r>
    <w:bookmarkEnd w:id="13"/>
  </w:p>
  <w:p w14:paraId="73A8489F" w14:textId="21BCF6CB" w:rsidR="00347F24" w:rsidRPr="00C15591" w:rsidRDefault="00347F24" w:rsidP="00E342F5">
    <w:pPr>
      <w:pStyle w:val="Header"/>
      <w:ind w:right="360"/>
      <w:rPr>
        <w: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BAE03" w14:textId="7C761A20" w:rsidR="00BC1A01" w:rsidRDefault="00BC1A01" w:rsidP="00BC1A01">
    <w:pPr>
      <w:pStyle w:val="BodyText"/>
      <w:spacing w:line="240" w:lineRule="auto"/>
      <w:jc w:val="both"/>
      <w:rPr>
        <w:rFonts w:ascii="Times New Roman" w:eastAsia="MS Mincho" w:hAnsi="Times New Roman"/>
        <w:b w:val="0"/>
        <w:i/>
        <w:color w:val="000000"/>
        <w:sz w:val="24"/>
        <w:szCs w:val="36"/>
        <w:lang w:eastAsia="ja-JP"/>
      </w:rPr>
    </w:pPr>
    <w:r w:rsidRPr="007C434A">
      <w:rPr>
        <w:rFonts w:ascii="Times New Roman" w:eastAsia="MS Mincho" w:hAnsi="Times New Roman"/>
        <w:b w:val="0"/>
        <w:i/>
        <w:color w:val="000000"/>
        <w:sz w:val="24"/>
        <w:szCs w:val="36"/>
        <w:lang w:eastAsia="ja-JP"/>
      </w:rPr>
      <w:t>A</w:t>
    </w:r>
    <w:r>
      <w:rPr>
        <w:rFonts w:ascii="Times New Roman" w:eastAsia="MS Mincho" w:hAnsi="Times New Roman"/>
        <w:b w:val="0"/>
        <w:i/>
        <w:color w:val="000000"/>
        <w:sz w:val="24"/>
        <w:szCs w:val="36"/>
        <w:lang w:eastAsia="ja-JP"/>
      </w:rPr>
      <w:t xml:space="preserve">dvances in Management </w:t>
    </w:r>
    <w:r w:rsidRPr="007C434A">
      <w:rPr>
        <w:rFonts w:ascii="Times New Roman" w:eastAsia="MS Mincho" w:hAnsi="Times New Roman"/>
        <w:b w:val="0"/>
        <w:i/>
        <w:color w:val="000000"/>
        <w:sz w:val="24"/>
        <w:szCs w:val="36"/>
        <w:lang w:eastAsia="ja-JP"/>
      </w:rPr>
      <w:t>&amp;</w:t>
    </w:r>
    <w:r>
      <w:rPr>
        <w:rFonts w:ascii="Times New Roman" w:eastAsia="MS Mincho" w:hAnsi="Times New Roman"/>
        <w:b w:val="0"/>
        <w:i/>
        <w:color w:val="000000"/>
        <w:sz w:val="24"/>
        <w:szCs w:val="36"/>
        <w:lang w:eastAsia="ja-JP"/>
      </w:rPr>
      <w:t xml:space="preserve"> Applied Economics</w:t>
    </w:r>
    <w:r w:rsidRPr="007C434A">
      <w:rPr>
        <w:rFonts w:ascii="Times New Roman" w:eastAsia="MS Mincho" w:hAnsi="Times New Roman"/>
        <w:b w:val="0"/>
        <w:i/>
        <w:color w:val="000000"/>
        <w:sz w:val="24"/>
        <w:szCs w:val="36"/>
        <w:lang w:eastAsia="ja-JP"/>
      </w:rPr>
      <w:t xml:space="preserve">, </w:t>
    </w:r>
    <w:r w:rsidR="00A947A2">
      <w:rPr>
        <w:rFonts w:ascii="Times New Roman" w:eastAsia="MS Mincho" w:hAnsi="Times New Roman"/>
        <w:b w:val="0"/>
        <w:i/>
        <w:color w:val="000000"/>
        <w:sz w:val="24"/>
        <w:szCs w:val="36"/>
        <w:lang w:eastAsia="ja-JP"/>
      </w:rPr>
      <w:t>V</w:t>
    </w:r>
    <w:r w:rsidRPr="007C434A">
      <w:rPr>
        <w:rFonts w:ascii="Times New Roman" w:eastAsia="MS Mincho" w:hAnsi="Times New Roman"/>
        <w:b w:val="0"/>
        <w:i/>
        <w:color w:val="000000"/>
        <w:sz w:val="24"/>
        <w:szCs w:val="36"/>
        <w:lang w:eastAsia="ja-JP"/>
      </w:rPr>
      <w:t xml:space="preserve">ol. x, </w:t>
    </w:r>
    <w:r w:rsidR="00A947A2">
      <w:rPr>
        <w:rFonts w:ascii="Times New Roman" w:eastAsia="MS Mincho" w:hAnsi="Times New Roman"/>
        <w:b w:val="0"/>
        <w:i/>
        <w:color w:val="000000"/>
        <w:sz w:val="24"/>
        <w:szCs w:val="36"/>
        <w:lang w:eastAsia="ja-JP"/>
      </w:rPr>
      <w:t>N</w:t>
    </w:r>
    <w:r w:rsidRPr="007C434A">
      <w:rPr>
        <w:rFonts w:ascii="Times New Roman" w:eastAsia="MS Mincho" w:hAnsi="Times New Roman"/>
        <w:b w:val="0"/>
        <w:i/>
        <w:color w:val="000000"/>
        <w:sz w:val="24"/>
        <w:szCs w:val="36"/>
        <w:lang w:eastAsia="ja-JP"/>
      </w:rPr>
      <w:t>o. xx, 20</w:t>
    </w:r>
    <w:r w:rsidR="00A947A2">
      <w:rPr>
        <w:rFonts w:ascii="Times New Roman" w:eastAsia="MS Mincho" w:hAnsi="Times New Roman"/>
        <w:b w:val="0"/>
        <w:i/>
        <w:color w:val="000000"/>
        <w:sz w:val="24"/>
        <w:szCs w:val="36"/>
        <w:lang w:eastAsia="ja-JP"/>
      </w:rPr>
      <w:t>2</w:t>
    </w:r>
    <w:r w:rsidR="00625A35">
      <w:rPr>
        <w:rFonts w:ascii="Times New Roman" w:eastAsia="MS Mincho" w:hAnsi="Times New Roman"/>
        <w:b w:val="0"/>
        <w:i/>
        <w:color w:val="000000"/>
        <w:sz w:val="24"/>
        <w:szCs w:val="36"/>
        <w:lang w:eastAsia="ja-JP"/>
      </w:rPr>
      <w:t>2</w:t>
    </w:r>
    <w:r w:rsidRPr="007C434A">
      <w:rPr>
        <w:rFonts w:ascii="Times New Roman" w:eastAsia="MS Mincho" w:hAnsi="Times New Roman"/>
        <w:b w:val="0"/>
        <w:i/>
        <w:color w:val="000000"/>
        <w:sz w:val="24"/>
        <w:szCs w:val="36"/>
        <w:lang w:eastAsia="ja-JP"/>
      </w:rPr>
      <w:t>, xxx-xxx</w:t>
    </w:r>
    <w:r w:rsidRPr="00003779">
      <w:rPr>
        <w:rFonts w:ascii="Times New Roman" w:eastAsia="MS Mincho" w:hAnsi="Times New Roman"/>
        <w:b w:val="0"/>
        <w:i/>
        <w:color w:val="000000"/>
        <w:sz w:val="24"/>
        <w:szCs w:val="36"/>
        <w:lang w:eastAsia="ja-JP"/>
      </w:rPr>
      <w:t xml:space="preserve"> </w:t>
    </w:r>
  </w:p>
  <w:p w14:paraId="644F7B0F" w14:textId="32876E91" w:rsidR="00BC1A01" w:rsidRDefault="00BC1A01" w:rsidP="00BC1A01">
    <w:pPr>
      <w:pStyle w:val="BodyText"/>
      <w:spacing w:line="240" w:lineRule="auto"/>
      <w:jc w:val="left"/>
      <w:rPr>
        <w:rFonts w:ascii="Times New Roman" w:eastAsia="MS Mincho" w:hAnsi="Times New Roman"/>
        <w:b w:val="0"/>
        <w:i/>
        <w:color w:val="000000"/>
        <w:sz w:val="24"/>
        <w:szCs w:val="36"/>
        <w:lang w:eastAsia="ja-JP"/>
      </w:rPr>
    </w:pPr>
    <w:r w:rsidRPr="007C434A">
      <w:rPr>
        <w:rFonts w:ascii="Times New Roman" w:eastAsia="MS Mincho" w:hAnsi="Times New Roman"/>
        <w:b w:val="0"/>
        <w:i/>
        <w:color w:val="000000"/>
        <w:sz w:val="24"/>
        <w:szCs w:val="36"/>
        <w:lang w:eastAsia="ja-JP"/>
      </w:rPr>
      <w:t xml:space="preserve">ISSN: </w:t>
    </w:r>
    <w:proofErr w:type="spellStart"/>
    <w:r w:rsidR="00F92D70">
      <w:rPr>
        <w:rFonts w:ascii="Times New Roman" w:eastAsia="MS Mincho" w:hAnsi="Times New Roman"/>
        <w:b w:val="0"/>
        <w:i/>
        <w:color w:val="000000"/>
        <w:sz w:val="24"/>
        <w:szCs w:val="36"/>
        <w:lang w:eastAsia="ja-JP"/>
      </w:rPr>
      <w:t>xxxx</w:t>
    </w:r>
    <w:r w:rsidRPr="007C434A">
      <w:rPr>
        <w:rFonts w:ascii="Times New Roman" w:eastAsia="MS Mincho" w:hAnsi="Times New Roman"/>
        <w:b w:val="0"/>
        <w:i/>
        <w:color w:val="000000"/>
        <w:sz w:val="24"/>
        <w:szCs w:val="36"/>
        <w:lang w:eastAsia="ja-JP"/>
      </w:rPr>
      <w:t>-</w:t>
    </w:r>
    <w:r w:rsidR="00F92D70">
      <w:rPr>
        <w:rFonts w:ascii="Times New Roman" w:eastAsia="MS Mincho" w:hAnsi="Times New Roman"/>
        <w:b w:val="0"/>
        <w:i/>
        <w:color w:val="000000"/>
        <w:sz w:val="24"/>
        <w:szCs w:val="36"/>
        <w:lang w:eastAsia="ja-JP"/>
      </w:rPr>
      <w:t>xxxx</w:t>
    </w:r>
    <w:proofErr w:type="spellEnd"/>
    <w:r w:rsidRPr="007C434A">
      <w:rPr>
        <w:rFonts w:ascii="Times New Roman" w:eastAsia="MS Mincho" w:hAnsi="Times New Roman"/>
        <w:b w:val="0"/>
        <w:i/>
        <w:color w:val="000000"/>
        <w:sz w:val="24"/>
        <w:szCs w:val="36"/>
        <w:lang w:eastAsia="ja-JP"/>
      </w:rPr>
      <w:t xml:space="preserve"> (print version), </w:t>
    </w:r>
    <w:proofErr w:type="spellStart"/>
    <w:r w:rsidR="00F92D70">
      <w:rPr>
        <w:rFonts w:ascii="Times New Roman" w:eastAsia="MS Mincho" w:hAnsi="Times New Roman"/>
        <w:b w:val="0"/>
        <w:i/>
        <w:color w:val="000000"/>
        <w:sz w:val="24"/>
        <w:szCs w:val="36"/>
        <w:lang w:eastAsia="ja-JP"/>
      </w:rPr>
      <w:t>xxxx</w:t>
    </w:r>
    <w:r w:rsidRPr="007C434A">
      <w:rPr>
        <w:rFonts w:ascii="Times New Roman" w:eastAsia="MS Mincho" w:hAnsi="Times New Roman"/>
        <w:b w:val="0"/>
        <w:i/>
        <w:color w:val="000000"/>
        <w:sz w:val="24"/>
        <w:szCs w:val="36"/>
        <w:lang w:eastAsia="ja-JP"/>
      </w:rPr>
      <w:t>-</w:t>
    </w:r>
    <w:r w:rsidR="00F92D70">
      <w:rPr>
        <w:rFonts w:ascii="Times New Roman" w:eastAsia="MS Mincho" w:hAnsi="Times New Roman"/>
        <w:b w:val="0"/>
        <w:i/>
        <w:color w:val="000000"/>
        <w:sz w:val="24"/>
        <w:szCs w:val="36"/>
        <w:lang w:eastAsia="ja-JP"/>
      </w:rPr>
      <w:t>xxxx</w:t>
    </w:r>
    <w:proofErr w:type="spellEnd"/>
    <w:r w:rsidR="00F92D70">
      <w:rPr>
        <w:rFonts w:ascii="Times New Roman" w:eastAsia="MS Mincho" w:hAnsi="Times New Roman"/>
        <w:b w:val="0"/>
        <w:i/>
        <w:color w:val="000000"/>
        <w:sz w:val="24"/>
        <w:szCs w:val="36"/>
        <w:lang w:eastAsia="ja-JP"/>
      </w:rPr>
      <w:t xml:space="preserve"> </w:t>
    </w:r>
    <w:r w:rsidRPr="007C434A">
      <w:rPr>
        <w:rFonts w:ascii="Times New Roman" w:eastAsia="MS Mincho" w:hAnsi="Times New Roman"/>
        <w:b w:val="0"/>
        <w:i/>
        <w:color w:val="000000"/>
        <w:sz w:val="24"/>
        <w:szCs w:val="36"/>
        <w:lang w:eastAsia="ja-JP"/>
      </w:rPr>
      <w:t>(online)</w:t>
    </w:r>
  </w:p>
  <w:p w14:paraId="457B0889" w14:textId="6C80D53C" w:rsidR="00D92C36" w:rsidRDefault="00D92C36" w:rsidP="00BC1A01">
    <w:pPr>
      <w:pStyle w:val="BodyText"/>
      <w:spacing w:line="240" w:lineRule="auto"/>
      <w:jc w:val="left"/>
      <w:rPr>
        <w:rFonts w:ascii="Times New Roman" w:eastAsia="MS Mincho" w:hAnsi="Times New Roman"/>
        <w:b w:val="0"/>
        <w:i/>
        <w:color w:val="000000"/>
        <w:sz w:val="24"/>
        <w:szCs w:val="36"/>
        <w:lang w:eastAsia="ja-JP"/>
      </w:rPr>
    </w:pPr>
    <w:r w:rsidRPr="00D92C36">
      <w:rPr>
        <w:rFonts w:ascii="Times New Roman" w:eastAsia="MS Mincho" w:hAnsi="Times New Roman"/>
        <w:b w:val="0"/>
        <w:i/>
        <w:color w:val="000000"/>
        <w:sz w:val="24"/>
        <w:szCs w:val="36"/>
        <w:lang w:eastAsia="ja-JP"/>
      </w:rPr>
      <w:t>https://doi.org/</w:t>
    </w:r>
    <w:r w:rsidR="00F92D70">
      <w:rPr>
        <w:rFonts w:ascii="Times New Roman" w:eastAsia="MS Mincho" w:hAnsi="Times New Roman"/>
        <w:b w:val="0"/>
        <w:i/>
        <w:color w:val="000000"/>
        <w:sz w:val="24"/>
        <w:szCs w:val="36"/>
        <w:lang w:eastAsia="ja-JP"/>
      </w:rPr>
      <w:t>xx</w:t>
    </w:r>
    <w:r w:rsidRPr="00D92C36">
      <w:rPr>
        <w:rFonts w:ascii="Times New Roman" w:eastAsia="MS Mincho" w:hAnsi="Times New Roman"/>
        <w:b w:val="0"/>
        <w:i/>
        <w:color w:val="000000"/>
        <w:sz w:val="24"/>
        <w:szCs w:val="36"/>
        <w:lang w:eastAsia="ja-JP"/>
      </w:rPr>
      <w:t>.</w:t>
    </w:r>
    <w:r w:rsidR="00F92D70">
      <w:rPr>
        <w:rFonts w:ascii="Times New Roman" w:eastAsia="MS Mincho" w:hAnsi="Times New Roman"/>
        <w:b w:val="0"/>
        <w:i/>
        <w:color w:val="000000"/>
        <w:sz w:val="24"/>
        <w:szCs w:val="36"/>
        <w:lang w:eastAsia="ja-JP"/>
      </w:rPr>
      <w:t>xxxxx</w:t>
    </w:r>
    <w:r w:rsidRPr="00D92C36">
      <w:rPr>
        <w:rFonts w:ascii="Times New Roman" w:eastAsia="MS Mincho" w:hAnsi="Times New Roman"/>
        <w:b w:val="0"/>
        <w:i/>
        <w:color w:val="000000"/>
        <w:sz w:val="24"/>
        <w:szCs w:val="36"/>
        <w:lang w:eastAsia="ja-JP"/>
      </w:rPr>
      <w:t>/amae/</w:t>
    </w:r>
  </w:p>
  <w:p w14:paraId="5830E3B6" w14:textId="77777777" w:rsidR="00BC1A01" w:rsidRPr="00291DF6" w:rsidRDefault="00BC1A01" w:rsidP="00BC1A01">
    <w:pPr>
      <w:pStyle w:val="BodyText"/>
      <w:spacing w:line="240" w:lineRule="auto"/>
      <w:jc w:val="left"/>
      <w:rPr>
        <w:rFonts w:ascii="Times New Roman" w:eastAsia="MS Mincho" w:hAnsi="Times New Roman"/>
        <w:b w:val="0"/>
        <w:i/>
        <w:color w:val="000000"/>
        <w:sz w:val="24"/>
        <w:szCs w:val="24"/>
        <w:lang w:eastAsia="ja-JP"/>
      </w:rPr>
    </w:pPr>
    <w:r w:rsidRPr="00291DF6">
      <w:rPr>
        <w:b w:val="0"/>
        <w:i/>
        <w:sz w:val="24"/>
        <w:szCs w:val="24"/>
        <w:lang w:eastAsia="ja-JP"/>
      </w:rPr>
      <w:t>Scientific Press International Limited</w:t>
    </w:r>
  </w:p>
  <w:p w14:paraId="3355483D" w14:textId="5E6EA804" w:rsidR="007024DA" w:rsidRPr="008F5BB1" w:rsidRDefault="007024DA" w:rsidP="008F5B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402B5F"/>
    <w:multiLevelType w:val="hybridMultilevel"/>
    <w:tmpl w:val="0AEAF7B6"/>
    <w:lvl w:ilvl="0" w:tplc="8820A64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0431B82"/>
    <w:multiLevelType w:val="hybridMultilevel"/>
    <w:tmpl w:val="EA16DB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1C0667"/>
    <w:multiLevelType w:val="multilevel"/>
    <w:tmpl w:val="BCC8FC1A"/>
    <w:lvl w:ilvl="0">
      <w:start w:val="1"/>
      <w:numFmt w:val="decimal"/>
      <w:pStyle w:val="HeadingNumbering1"/>
      <w:lvlText w:val="%1."/>
      <w:lvlJc w:val="left"/>
      <w:pPr>
        <w:ind w:left="720" w:hanging="360"/>
      </w:pPr>
      <w:rPr>
        <w:rFonts w:hint="default"/>
      </w:rPr>
    </w:lvl>
    <w:lvl w:ilvl="1">
      <w:start w:val="1"/>
      <w:numFmt w:val="decimal"/>
      <w:pStyle w:val="HeadingNumbering2"/>
      <w:isLgl/>
      <w:lvlText w:val="%1.%2"/>
      <w:lvlJc w:val="left"/>
      <w:pPr>
        <w:ind w:left="1440" w:hanging="720"/>
      </w:pPr>
      <w:rPr>
        <w:rFonts w:hint="default"/>
      </w:rPr>
    </w:lvl>
    <w:lvl w:ilvl="2">
      <w:start w:val="1"/>
      <w:numFmt w:val="decimal"/>
      <w:pStyle w:val="HeadingNumbering3"/>
      <w:isLgl/>
      <w:lvlText w:val="%1.%2.%3"/>
      <w:lvlJc w:val="left"/>
      <w:pPr>
        <w:ind w:left="1712"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14FC493B"/>
    <w:multiLevelType w:val="hybridMultilevel"/>
    <w:tmpl w:val="41E6A3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15:restartNumberingAfterBreak="0">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8" w15:restartNumberingAfterBreak="0">
    <w:nsid w:val="28254045"/>
    <w:multiLevelType w:val="hybridMultilevel"/>
    <w:tmpl w:val="7B222DDA"/>
    <w:lvl w:ilvl="0" w:tplc="8040A9E0">
      <w:start w:val="1"/>
      <w:numFmt w:val="low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297FBC"/>
    <w:multiLevelType w:val="hybridMultilevel"/>
    <w:tmpl w:val="37EA688E"/>
    <w:lvl w:ilvl="0" w:tplc="1E7E4C2C">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29945D7"/>
    <w:multiLevelType w:val="hybridMultilevel"/>
    <w:tmpl w:val="38184D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13" w15:restartNumberingAfterBreak="0">
    <w:nsid w:val="40890F67"/>
    <w:multiLevelType w:val="singleLevel"/>
    <w:tmpl w:val="1E7E4C2C"/>
    <w:lvl w:ilvl="0">
      <w:start w:val="1"/>
      <w:numFmt w:val="decimal"/>
      <w:lvlText w:val="[%1]"/>
      <w:lvlJc w:val="left"/>
      <w:pPr>
        <w:tabs>
          <w:tab w:val="num" w:pos="480"/>
        </w:tabs>
        <w:ind w:left="480" w:hanging="480"/>
      </w:pPr>
      <w:rPr>
        <w:rFonts w:hint="eastAsia"/>
      </w:rPr>
    </w:lvl>
  </w:abstractNum>
  <w:abstractNum w:abstractNumId="14" w15:restartNumberingAfterBreak="0">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16" w15:restartNumberingAfterBreak="0">
    <w:nsid w:val="7E670836"/>
    <w:multiLevelType w:val="hybridMultilevel"/>
    <w:tmpl w:val="5BC02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16cid:durableId="2030914256">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16cid:durableId="618683901">
    <w:abstractNumId w:val="15"/>
  </w:num>
  <w:num w:numId="3" w16cid:durableId="1356809085">
    <w:abstractNumId w:val="12"/>
  </w:num>
  <w:num w:numId="4" w16cid:durableId="1010061110">
    <w:abstractNumId w:val="13"/>
  </w:num>
  <w:num w:numId="5" w16cid:durableId="585966199">
    <w:abstractNumId w:val="7"/>
  </w:num>
  <w:num w:numId="6" w16cid:durableId="1221133388">
    <w:abstractNumId w:val="14"/>
  </w:num>
  <w:num w:numId="7" w16cid:durableId="1821727984">
    <w:abstractNumId w:val="5"/>
  </w:num>
  <w:num w:numId="8" w16cid:durableId="643000900">
    <w:abstractNumId w:val="17"/>
  </w:num>
  <w:num w:numId="9" w16cid:durableId="2073968719">
    <w:abstractNumId w:val="10"/>
  </w:num>
  <w:num w:numId="10" w16cid:durableId="1291742377">
    <w:abstractNumId w:val="6"/>
  </w:num>
  <w:num w:numId="11" w16cid:durableId="161435289">
    <w:abstractNumId w:val="13"/>
    <w:lvlOverride w:ilvl="0">
      <w:startOverride w:val="1"/>
    </w:lvlOverride>
  </w:num>
  <w:num w:numId="12" w16cid:durableId="1078480034">
    <w:abstractNumId w:val="3"/>
  </w:num>
  <w:num w:numId="13" w16cid:durableId="957489361">
    <w:abstractNumId w:val="3"/>
  </w:num>
  <w:num w:numId="14" w16cid:durableId="1714191631">
    <w:abstractNumId w:val="1"/>
  </w:num>
  <w:num w:numId="15" w16cid:durableId="323510730">
    <w:abstractNumId w:val="16"/>
  </w:num>
  <w:num w:numId="16" w16cid:durableId="1627616575">
    <w:abstractNumId w:val="2"/>
  </w:num>
  <w:num w:numId="17" w16cid:durableId="734276504">
    <w:abstractNumId w:val="3"/>
  </w:num>
  <w:num w:numId="18" w16cid:durableId="1136408003">
    <w:abstractNumId w:val="3"/>
  </w:num>
  <w:num w:numId="19" w16cid:durableId="1288924423">
    <w:abstractNumId w:val="3"/>
  </w:num>
  <w:num w:numId="20" w16cid:durableId="728842289">
    <w:abstractNumId w:val="3"/>
  </w:num>
  <w:num w:numId="21" w16cid:durableId="1670791606">
    <w:abstractNumId w:val="3"/>
  </w:num>
  <w:num w:numId="22" w16cid:durableId="1969044040">
    <w:abstractNumId w:val="3"/>
  </w:num>
  <w:num w:numId="23" w16cid:durableId="1022049554">
    <w:abstractNumId w:val="11"/>
  </w:num>
  <w:num w:numId="24" w16cid:durableId="683943327">
    <w:abstractNumId w:val="13"/>
  </w:num>
  <w:num w:numId="25" w16cid:durableId="112095305">
    <w:abstractNumId w:val="13"/>
  </w:num>
  <w:num w:numId="26" w16cid:durableId="4209521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982867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33459619">
    <w:abstractNumId w:val="4"/>
  </w:num>
  <w:num w:numId="29" w16cid:durableId="674460374">
    <w:abstractNumId w:val="8"/>
  </w:num>
  <w:num w:numId="30" w16cid:durableId="9143162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embedSystemFonts/>
  <w:mirrorMargins/>
  <w:bordersDoNotSurroundHeader/>
  <w:bordersDoNotSurroundFooter/>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evenAndOddHeaders/>
  <w:displayHorizontalDrawingGridEvery w:val="0"/>
  <w:displayVerticalDrawingGridEvery w:val="2"/>
  <w:characterSpacingControl w:val="compressPunctuation"/>
  <w:noLineBreaksAfter w:lang="zh-TW" w:val="([{‘“‵〈《「『【〔〝︵︷︹︻︽︿﹁﹃﹙﹛﹝（｛"/>
  <w:noLineBreaksBefore w:lang="zh-TW" w:va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c0MzA0NjMyMzK3NLBQ0lEKTi0uzszPAykwrwUAWI82kywAAAA="/>
  </w:docVars>
  <w:rsids>
    <w:rsidRoot w:val="00671586"/>
    <w:rsid w:val="0000260F"/>
    <w:rsid w:val="00003779"/>
    <w:rsid w:val="0000610A"/>
    <w:rsid w:val="0001616D"/>
    <w:rsid w:val="00024360"/>
    <w:rsid w:val="00024679"/>
    <w:rsid w:val="000251CE"/>
    <w:rsid w:val="00026CEA"/>
    <w:rsid w:val="0002713A"/>
    <w:rsid w:val="00032750"/>
    <w:rsid w:val="00034661"/>
    <w:rsid w:val="00035805"/>
    <w:rsid w:val="00036C85"/>
    <w:rsid w:val="000375F9"/>
    <w:rsid w:val="00037D84"/>
    <w:rsid w:val="00042D69"/>
    <w:rsid w:val="000449C7"/>
    <w:rsid w:val="00044E49"/>
    <w:rsid w:val="00046A7A"/>
    <w:rsid w:val="00047F33"/>
    <w:rsid w:val="00050501"/>
    <w:rsid w:val="0005694E"/>
    <w:rsid w:val="000570C7"/>
    <w:rsid w:val="000574E9"/>
    <w:rsid w:val="00060D8E"/>
    <w:rsid w:val="00074276"/>
    <w:rsid w:val="000758C9"/>
    <w:rsid w:val="000762DD"/>
    <w:rsid w:val="00076985"/>
    <w:rsid w:val="00082D3E"/>
    <w:rsid w:val="000839C9"/>
    <w:rsid w:val="00085C4B"/>
    <w:rsid w:val="0009615C"/>
    <w:rsid w:val="00096CFE"/>
    <w:rsid w:val="000970B6"/>
    <w:rsid w:val="000973EA"/>
    <w:rsid w:val="000A4DFB"/>
    <w:rsid w:val="000A771E"/>
    <w:rsid w:val="000B24F1"/>
    <w:rsid w:val="000B4AC2"/>
    <w:rsid w:val="000B5AE5"/>
    <w:rsid w:val="000C173A"/>
    <w:rsid w:val="000C3872"/>
    <w:rsid w:val="000D3CA5"/>
    <w:rsid w:val="000D67A5"/>
    <w:rsid w:val="000D70E5"/>
    <w:rsid w:val="000E3B45"/>
    <w:rsid w:val="000E47E9"/>
    <w:rsid w:val="00115B3E"/>
    <w:rsid w:val="00120545"/>
    <w:rsid w:val="00125EF9"/>
    <w:rsid w:val="00127A4C"/>
    <w:rsid w:val="0014647A"/>
    <w:rsid w:val="00154D01"/>
    <w:rsid w:val="001610A0"/>
    <w:rsid w:val="00161252"/>
    <w:rsid w:val="001637F6"/>
    <w:rsid w:val="0016402B"/>
    <w:rsid w:val="00175103"/>
    <w:rsid w:val="00176B54"/>
    <w:rsid w:val="001801A6"/>
    <w:rsid w:val="00180210"/>
    <w:rsid w:val="00183750"/>
    <w:rsid w:val="00184675"/>
    <w:rsid w:val="00185FDF"/>
    <w:rsid w:val="00193477"/>
    <w:rsid w:val="0019514D"/>
    <w:rsid w:val="00196651"/>
    <w:rsid w:val="001A4BA3"/>
    <w:rsid w:val="001A54F7"/>
    <w:rsid w:val="001A5FBA"/>
    <w:rsid w:val="001B25C5"/>
    <w:rsid w:val="001B276F"/>
    <w:rsid w:val="001B4006"/>
    <w:rsid w:val="001B6A59"/>
    <w:rsid w:val="001C36F5"/>
    <w:rsid w:val="001D1051"/>
    <w:rsid w:val="001D3A2C"/>
    <w:rsid w:val="001E1AC3"/>
    <w:rsid w:val="001E34E1"/>
    <w:rsid w:val="001E3E76"/>
    <w:rsid w:val="002018FC"/>
    <w:rsid w:val="00204225"/>
    <w:rsid w:val="00212E8A"/>
    <w:rsid w:val="00222CEC"/>
    <w:rsid w:val="00224EC9"/>
    <w:rsid w:val="00225F70"/>
    <w:rsid w:val="0023169A"/>
    <w:rsid w:val="00234CDB"/>
    <w:rsid w:val="00237FA5"/>
    <w:rsid w:val="002421FB"/>
    <w:rsid w:val="00256303"/>
    <w:rsid w:val="0027327E"/>
    <w:rsid w:val="002868F0"/>
    <w:rsid w:val="00290B07"/>
    <w:rsid w:val="00291478"/>
    <w:rsid w:val="002A04DA"/>
    <w:rsid w:val="002A0CC3"/>
    <w:rsid w:val="002A0D6F"/>
    <w:rsid w:val="002A5F0E"/>
    <w:rsid w:val="002B04FE"/>
    <w:rsid w:val="002B3F18"/>
    <w:rsid w:val="002B54AF"/>
    <w:rsid w:val="002B78B5"/>
    <w:rsid w:val="002C17B6"/>
    <w:rsid w:val="002C23B5"/>
    <w:rsid w:val="002D6EC9"/>
    <w:rsid w:val="002D7742"/>
    <w:rsid w:val="002E218C"/>
    <w:rsid w:val="002E316F"/>
    <w:rsid w:val="002E3702"/>
    <w:rsid w:val="002E3749"/>
    <w:rsid w:val="002F1F9D"/>
    <w:rsid w:val="002F6EF8"/>
    <w:rsid w:val="002F7542"/>
    <w:rsid w:val="00303353"/>
    <w:rsid w:val="003075C4"/>
    <w:rsid w:val="00310E1C"/>
    <w:rsid w:val="00312149"/>
    <w:rsid w:val="00317FEA"/>
    <w:rsid w:val="00322DA7"/>
    <w:rsid w:val="0032513D"/>
    <w:rsid w:val="003268C0"/>
    <w:rsid w:val="00331478"/>
    <w:rsid w:val="00335410"/>
    <w:rsid w:val="00337329"/>
    <w:rsid w:val="00337697"/>
    <w:rsid w:val="003378F8"/>
    <w:rsid w:val="003405C4"/>
    <w:rsid w:val="0034355E"/>
    <w:rsid w:val="00347F24"/>
    <w:rsid w:val="00352FC1"/>
    <w:rsid w:val="00356C48"/>
    <w:rsid w:val="003626E6"/>
    <w:rsid w:val="00362728"/>
    <w:rsid w:val="00365640"/>
    <w:rsid w:val="00372638"/>
    <w:rsid w:val="00373F2F"/>
    <w:rsid w:val="003747A7"/>
    <w:rsid w:val="003760E0"/>
    <w:rsid w:val="00376A59"/>
    <w:rsid w:val="00383DF7"/>
    <w:rsid w:val="00384CF3"/>
    <w:rsid w:val="003866CE"/>
    <w:rsid w:val="003905A6"/>
    <w:rsid w:val="003920A7"/>
    <w:rsid w:val="003928F2"/>
    <w:rsid w:val="00395A7B"/>
    <w:rsid w:val="00395B5C"/>
    <w:rsid w:val="003A281F"/>
    <w:rsid w:val="003A3824"/>
    <w:rsid w:val="003A3D8F"/>
    <w:rsid w:val="003B1155"/>
    <w:rsid w:val="003B66B9"/>
    <w:rsid w:val="003D3BD5"/>
    <w:rsid w:val="003E1254"/>
    <w:rsid w:val="003E4FD1"/>
    <w:rsid w:val="003E59D5"/>
    <w:rsid w:val="003F3ED0"/>
    <w:rsid w:val="003F591B"/>
    <w:rsid w:val="004007BF"/>
    <w:rsid w:val="004009AC"/>
    <w:rsid w:val="00401D81"/>
    <w:rsid w:val="0040618D"/>
    <w:rsid w:val="00407CE8"/>
    <w:rsid w:val="00411AF5"/>
    <w:rsid w:val="00411BFE"/>
    <w:rsid w:val="00412D8C"/>
    <w:rsid w:val="00415105"/>
    <w:rsid w:val="00420BB5"/>
    <w:rsid w:val="0042302C"/>
    <w:rsid w:val="00425D81"/>
    <w:rsid w:val="0042676E"/>
    <w:rsid w:val="004406DC"/>
    <w:rsid w:val="00443CCB"/>
    <w:rsid w:val="00452284"/>
    <w:rsid w:val="00461CE5"/>
    <w:rsid w:val="00471FEC"/>
    <w:rsid w:val="00472A16"/>
    <w:rsid w:val="00474E09"/>
    <w:rsid w:val="00485C92"/>
    <w:rsid w:val="0048722E"/>
    <w:rsid w:val="004879B5"/>
    <w:rsid w:val="004979CF"/>
    <w:rsid w:val="004A218D"/>
    <w:rsid w:val="004A3378"/>
    <w:rsid w:val="004B371C"/>
    <w:rsid w:val="004B63AB"/>
    <w:rsid w:val="004C5FEE"/>
    <w:rsid w:val="004C7BCA"/>
    <w:rsid w:val="004C7D31"/>
    <w:rsid w:val="004D3881"/>
    <w:rsid w:val="004D3C14"/>
    <w:rsid w:val="004F3B0E"/>
    <w:rsid w:val="004F47E4"/>
    <w:rsid w:val="00505297"/>
    <w:rsid w:val="005107C6"/>
    <w:rsid w:val="005141B4"/>
    <w:rsid w:val="00522019"/>
    <w:rsid w:val="005234B3"/>
    <w:rsid w:val="005235F5"/>
    <w:rsid w:val="00524589"/>
    <w:rsid w:val="0053314D"/>
    <w:rsid w:val="00543F7B"/>
    <w:rsid w:val="00552B86"/>
    <w:rsid w:val="00554C3C"/>
    <w:rsid w:val="00560555"/>
    <w:rsid w:val="0056424E"/>
    <w:rsid w:val="005666ED"/>
    <w:rsid w:val="00570A74"/>
    <w:rsid w:val="00572A99"/>
    <w:rsid w:val="0057377A"/>
    <w:rsid w:val="00583C12"/>
    <w:rsid w:val="0058563E"/>
    <w:rsid w:val="00585BD2"/>
    <w:rsid w:val="00587B19"/>
    <w:rsid w:val="00590A0E"/>
    <w:rsid w:val="00592501"/>
    <w:rsid w:val="00595964"/>
    <w:rsid w:val="00596183"/>
    <w:rsid w:val="005976D3"/>
    <w:rsid w:val="005A076E"/>
    <w:rsid w:val="005A398A"/>
    <w:rsid w:val="005A7592"/>
    <w:rsid w:val="005B1714"/>
    <w:rsid w:val="005C278F"/>
    <w:rsid w:val="005D3F3E"/>
    <w:rsid w:val="005D6579"/>
    <w:rsid w:val="005E4629"/>
    <w:rsid w:val="005E7929"/>
    <w:rsid w:val="005E7BC2"/>
    <w:rsid w:val="005F1DC4"/>
    <w:rsid w:val="005F5C76"/>
    <w:rsid w:val="005F5EDB"/>
    <w:rsid w:val="006028B8"/>
    <w:rsid w:val="006125FC"/>
    <w:rsid w:val="006143C8"/>
    <w:rsid w:val="00614B8C"/>
    <w:rsid w:val="00614BB9"/>
    <w:rsid w:val="00616212"/>
    <w:rsid w:val="00621714"/>
    <w:rsid w:val="00622F68"/>
    <w:rsid w:val="006256D0"/>
    <w:rsid w:val="00625A35"/>
    <w:rsid w:val="006351DD"/>
    <w:rsid w:val="006419D4"/>
    <w:rsid w:val="00641F7D"/>
    <w:rsid w:val="00642C03"/>
    <w:rsid w:val="00642C58"/>
    <w:rsid w:val="00647E1E"/>
    <w:rsid w:val="00650B4E"/>
    <w:rsid w:val="0065115D"/>
    <w:rsid w:val="00651443"/>
    <w:rsid w:val="00655688"/>
    <w:rsid w:val="0065713C"/>
    <w:rsid w:val="0066160D"/>
    <w:rsid w:val="006616B8"/>
    <w:rsid w:val="00662512"/>
    <w:rsid w:val="00663D32"/>
    <w:rsid w:val="00671586"/>
    <w:rsid w:val="00673795"/>
    <w:rsid w:val="00674EA3"/>
    <w:rsid w:val="00674F87"/>
    <w:rsid w:val="00675F48"/>
    <w:rsid w:val="00680A73"/>
    <w:rsid w:val="00680B18"/>
    <w:rsid w:val="006906EE"/>
    <w:rsid w:val="006947A8"/>
    <w:rsid w:val="00695818"/>
    <w:rsid w:val="00696E8C"/>
    <w:rsid w:val="006A3364"/>
    <w:rsid w:val="006A4676"/>
    <w:rsid w:val="006A47C9"/>
    <w:rsid w:val="006B4454"/>
    <w:rsid w:val="006B5D5E"/>
    <w:rsid w:val="006C164D"/>
    <w:rsid w:val="006C478E"/>
    <w:rsid w:val="006C55B9"/>
    <w:rsid w:val="006C6745"/>
    <w:rsid w:val="006D5DE9"/>
    <w:rsid w:val="006E0870"/>
    <w:rsid w:val="006E73B4"/>
    <w:rsid w:val="006E7D8D"/>
    <w:rsid w:val="006F57E2"/>
    <w:rsid w:val="007024DA"/>
    <w:rsid w:val="00705336"/>
    <w:rsid w:val="00707DAB"/>
    <w:rsid w:val="00710B1F"/>
    <w:rsid w:val="0071405A"/>
    <w:rsid w:val="00723E5A"/>
    <w:rsid w:val="007265FA"/>
    <w:rsid w:val="00727351"/>
    <w:rsid w:val="007307E5"/>
    <w:rsid w:val="00735E85"/>
    <w:rsid w:val="00743C5F"/>
    <w:rsid w:val="00744A7E"/>
    <w:rsid w:val="00745359"/>
    <w:rsid w:val="00765AB5"/>
    <w:rsid w:val="0077016D"/>
    <w:rsid w:val="00774A5B"/>
    <w:rsid w:val="007824A3"/>
    <w:rsid w:val="0078479F"/>
    <w:rsid w:val="00785ACF"/>
    <w:rsid w:val="00786FD9"/>
    <w:rsid w:val="00794017"/>
    <w:rsid w:val="0079488C"/>
    <w:rsid w:val="00797A03"/>
    <w:rsid w:val="00797ACF"/>
    <w:rsid w:val="007A2A28"/>
    <w:rsid w:val="007A5E57"/>
    <w:rsid w:val="007A6083"/>
    <w:rsid w:val="007A6C14"/>
    <w:rsid w:val="007B1214"/>
    <w:rsid w:val="007B5F0C"/>
    <w:rsid w:val="007B7A49"/>
    <w:rsid w:val="007B7CF0"/>
    <w:rsid w:val="007C434A"/>
    <w:rsid w:val="007C6A56"/>
    <w:rsid w:val="007C6CC8"/>
    <w:rsid w:val="007C74D3"/>
    <w:rsid w:val="007D6ED2"/>
    <w:rsid w:val="007E0FC9"/>
    <w:rsid w:val="007E2ADA"/>
    <w:rsid w:val="007E3666"/>
    <w:rsid w:val="007F09A2"/>
    <w:rsid w:val="007F7431"/>
    <w:rsid w:val="007F7643"/>
    <w:rsid w:val="00801B7A"/>
    <w:rsid w:val="00802101"/>
    <w:rsid w:val="00802466"/>
    <w:rsid w:val="0080318C"/>
    <w:rsid w:val="00810A8E"/>
    <w:rsid w:val="00811B7A"/>
    <w:rsid w:val="00812F83"/>
    <w:rsid w:val="00823E32"/>
    <w:rsid w:val="00827E9C"/>
    <w:rsid w:val="008317BF"/>
    <w:rsid w:val="00836268"/>
    <w:rsid w:val="00844608"/>
    <w:rsid w:val="00847543"/>
    <w:rsid w:val="008550C3"/>
    <w:rsid w:val="008656E4"/>
    <w:rsid w:val="00866E55"/>
    <w:rsid w:val="0087386B"/>
    <w:rsid w:val="00881C04"/>
    <w:rsid w:val="00882AD0"/>
    <w:rsid w:val="00884246"/>
    <w:rsid w:val="00885BA0"/>
    <w:rsid w:val="00887320"/>
    <w:rsid w:val="008878A0"/>
    <w:rsid w:val="00891B09"/>
    <w:rsid w:val="00891E51"/>
    <w:rsid w:val="0089665B"/>
    <w:rsid w:val="008A301D"/>
    <w:rsid w:val="008A4276"/>
    <w:rsid w:val="008A6C70"/>
    <w:rsid w:val="008C034E"/>
    <w:rsid w:val="008C1CE4"/>
    <w:rsid w:val="008C661C"/>
    <w:rsid w:val="008D0267"/>
    <w:rsid w:val="008D4D63"/>
    <w:rsid w:val="008D6F2D"/>
    <w:rsid w:val="008E0527"/>
    <w:rsid w:val="008E7AC8"/>
    <w:rsid w:val="008F2A27"/>
    <w:rsid w:val="008F2E87"/>
    <w:rsid w:val="008F4D1C"/>
    <w:rsid w:val="008F5BB1"/>
    <w:rsid w:val="008F5E37"/>
    <w:rsid w:val="008F5E99"/>
    <w:rsid w:val="008F7CF5"/>
    <w:rsid w:val="00902C1F"/>
    <w:rsid w:val="00905C6C"/>
    <w:rsid w:val="00907C44"/>
    <w:rsid w:val="009135FB"/>
    <w:rsid w:val="009215FA"/>
    <w:rsid w:val="0092165E"/>
    <w:rsid w:val="00922B85"/>
    <w:rsid w:val="00924E0E"/>
    <w:rsid w:val="00931423"/>
    <w:rsid w:val="00934770"/>
    <w:rsid w:val="00934E09"/>
    <w:rsid w:val="009470DB"/>
    <w:rsid w:val="009558CD"/>
    <w:rsid w:val="00960A8C"/>
    <w:rsid w:val="009625FC"/>
    <w:rsid w:val="00964102"/>
    <w:rsid w:val="0096576D"/>
    <w:rsid w:val="00966AA9"/>
    <w:rsid w:val="00972012"/>
    <w:rsid w:val="00972D64"/>
    <w:rsid w:val="00973579"/>
    <w:rsid w:val="00984351"/>
    <w:rsid w:val="0098470F"/>
    <w:rsid w:val="0098578A"/>
    <w:rsid w:val="00986DD1"/>
    <w:rsid w:val="00990B7A"/>
    <w:rsid w:val="00995B36"/>
    <w:rsid w:val="009A1C0D"/>
    <w:rsid w:val="009A60C2"/>
    <w:rsid w:val="009A6DA1"/>
    <w:rsid w:val="009B68EE"/>
    <w:rsid w:val="009C1BE5"/>
    <w:rsid w:val="009C6C50"/>
    <w:rsid w:val="009D449F"/>
    <w:rsid w:val="009D7625"/>
    <w:rsid w:val="009D7D09"/>
    <w:rsid w:val="009E3297"/>
    <w:rsid w:val="009E6B1B"/>
    <w:rsid w:val="009E6B4B"/>
    <w:rsid w:val="009E712E"/>
    <w:rsid w:val="009F30B1"/>
    <w:rsid w:val="009F55FD"/>
    <w:rsid w:val="00A013CB"/>
    <w:rsid w:val="00A01F33"/>
    <w:rsid w:val="00A1275F"/>
    <w:rsid w:val="00A13D1A"/>
    <w:rsid w:val="00A14D1D"/>
    <w:rsid w:val="00A21D2F"/>
    <w:rsid w:val="00A261B1"/>
    <w:rsid w:val="00A26408"/>
    <w:rsid w:val="00A26495"/>
    <w:rsid w:val="00A27FE9"/>
    <w:rsid w:val="00A31F3C"/>
    <w:rsid w:val="00A377FA"/>
    <w:rsid w:val="00A413D2"/>
    <w:rsid w:val="00A46CEF"/>
    <w:rsid w:val="00A55703"/>
    <w:rsid w:val="00A60983"/>
    <w:rsid w:val="00A64FB9"/>
    <w:rsid w:val="00A72A07"/>
    <w:rsid w:val="00A747E5"/>
    <w:rsid w:val="00A805EA"/>
    <w:rsid w:val="00A92C39"/>
    <w:rsid w:val="00A947A2"/>
    <w:rsid w:val="00A95D65"/>
    <w:rsid w:val="00AA1475"/>
    <w:rsid w:val="00AA3116"/>
    <w:rsid w:val="00AA7573"/>
    <w:rsid w:val="00AA77DB"/>
    <w:rsid w:val="00AB2E20"/>
    <w:rsid w:val="00AB7CCB"/>
    <w:rsid w:val="00AC419E"/>
    <w:rsid w:val="00AD169E"/>
    <w:rsid w:val="00AE6447"/>
    <w:rsid w:val="00AF1F7B"/>
    <w:rsid w:val="00AF2429"/>
    <w:rsid w:val="00B01321"/>
    <w:rsid w:val="00B1132F"/>
    <w:rsid w:val="00B11C18"/>
    <w:rsid w:val="00B120F5"/>
    <w:rsid w:val="00B12B21"/>
    <w:rsid w:val="00B13D19"/>
    <w:rsid w:val="00B21615"/>
    <w:rsid w:val="00B3002D"/>
    <w:rsid w:val="00B36B9B"/>
    <w:rsid w:val="00B3782E"/>
    <w:rsid w:val="00B415A9"/>
    <w:rsid w:val="00B4436C"/>
    <w:rsid w:val="00B457D4"/>
    <w:rsid w:val="00B531A5"/>
    <w:rsid w:val="00B5335B"/>
    <w:rsid w:val="00B56AC3"/>
    <w:rsid w:val="00B579C8"/>
    <w:rsid w:val="00B62BFE"/>
    <w:rsid w:val="00B6449F"/>
    <w:rsid w:val="00B66698"/>
    <w:rsid w:val="00B7097D"/>
    <w:rsid w:val="00B72A85"/>
    <w:rsid w:val="00B75C0D"/>
    <w:rsid w:val="00B76577"/>
    <w:rsid w:val="00B8295B"/>
    <w:rsid w:val="00B833A2"/>
    <w:rsid w:val="00B85B16"/>
    <w:rsid w:val="00B93E0D"/>
    <w:rsid w:val="00B94382"/>
    <w:rsid w:val="00BA38D9"/>
    <w:rsid w:val="00BA5AD8"/>
    <w:rsid w:val="00BA7AC6"/>
    <w:rsid w:val="00BB3080"/>
    <w:rsid w:val="00BB3756"/>
    <w:rsid w:val="00BC006F"/>
    <w:rsid w:val="00BC17E3"/>
    <w:rsid w:val="00BC1A01"/>
    <w:rsid w:val="00BD018E"/>
    <w:rsid w:val="00BD0793"/>
    <w:rsid w:val="00BE30FC"/>
    <w:rsid w:val="00BF002E"/>
    <w:rsid w:val="00BF0389"/>
    <w:rsid w:val="00BF6D84"/>
    <w:rsid w:val="00C01826"/>
    <w:rsid w:val="00C15591"/>
    <w:rsid w:val="00C17BC8"/>
    <w:rsid w:val="00C206E3"/>
    <w:rsid w:val="00C2792B"/>
    <w:rsid w:val="00C3007B"/>
    <w:rsid w:val="00C40901"/>
    <w:rsid w:val="00C45279"/>
    <w:rsid w:val="00C470C7"/>
    <w:rsid w:val="00C502BD"/>
    <w:rsid w:val="00C5303A"/>
    <w:rsid w:val="00C623C5"/>
    <w:rsid w:val="00C6565A"/>
    <w:rsid w:val="00C67EAF"/>
    <w:rsid w:val="00C74DEE"/>
    <w:rsid w:val="00C95C31"/>
    <w:rsid w:val="00C96D13"/>
    <w:rsid w:val="00C97096"/>
    <w:rsid w:val="00CB04C7"/>
    <w:rsid w:val="00CB3B60"/>
    <w:rsid w:val="00CC0390"/>
    <w:rsid w:val="00CC47C9"/>
    <w:rsid w:val="00CD366C"/>
    <w:rsid w:val="00CE0D16"/>
    <w:rsid w:val="00CE6B5B"/>
    <w:rsid w:val="00CF0B43"/>
    <w:rsid w:val="00CF1B9E"/>
    <w:rsid w:val="00D02ADF"/>
    <w:rsid w:val="00D04744"/>
    <w:rsid w:val="00D0771C"/>
    <w:rsid w:val="00D117C7"/>
    <w:rsid w:val="00D12FF6"/>
    <w:rsid w:val="00D13853"/>
    <w:rsid w:val="00D1571E"/>
    <w:rsid w:val="00D22135"/>
    <w:rsid w:val="00D238C4"/>
    <w:rsid w:val="00D27E5C"/>
    <w:rsid w:val="00D334E6"/>
    <w:rsid w:val="00D364C9"/>
    <w:rsid w:val="00D4164C"/>
    <w:rsid w:val="00D44038"/>
    <w:rsid w:val="00D50943"/>
    <w:rsid w:val="00D565A4"/>
    <w:rsid w:val="00D615C7"/>
    <w:rsid w:val="00D631C7"/>
    <w:rsid w:val="00D6487E"/>
    <w:rsid w:val="00D64E9E"/>
    <w:rsid w:val="00D742AF"/>
    <w:rsid w:val="00D810E4"/>
    <w:rsid w:val="00D862BC"/>
    <w:rsid w:val="00D92C36"/>
    <w:rsid w:val="00D94FD7"/>
    <w:rsid w:val="00DB6EF9"/>
    <w:rsid w:val="00DC5734"/>
    <w:rsid w:val="00DC62C8"/>
    <w:rsid w:val="00DD0455"/>
    <w:rsid w:val="00DE0130"/>
    <w:rsid w:val="00DE65EA"/>
    <w:rsid w:val="00DF3DDE"/>
    <w:rsid w:val="00DF6045"/>
    <w:rsid w:val="00DF7AA8"/>
    <w:rsid w:val="00E067AF"/>
    <w:rsid w:val="00E11337"/>
    <w:rsid w:val="00E176FF"/>
    <w:rsid w:val="00E204C9"/>
    <w:rsid w:val="00E21794"/>
    <w:rsid w:val="00E21C38"/>
    <w:rsid w:val="00E23F7A"/>
    <w:rsid w:val="00E25B8E"/>
    <w:rsid w:val="00E26151"/>
    <w:rsid w:val="00E32146"/>
    <w:rsid w:val="00E342F5"/>
    <w:rsid w:val="00E41E84"/>
    <w:rsid w:val="00E43E31"/>
    <w:rsid w:val="00E44672"/>
    <w:rsid w:val="00E46882"/>
    <w:rsid w:val="00E509ED"/>
    <w:rsid w:val="00E51C99"/>
    <w:rsid w:val="00E53F3A"/>
    <w:rsid w:val="00E66053"/>
    <w:rsid w:val="00E74776"/>
    <w:rsid w:val="00E7696B"/>
    <w:rsid w:val="00E82EE4"/>
    <w:rsid w:val="00E90059"/>
    <w:rsid w:val="00EA6D5C"/>
    <w:rsid w:val="00EA735E"/>
    <w:rsid w:val="00EB3EAB"/>
    <w:rsid w:val="00EB3F98"/>
    <w:rsid w:val="00EB5E6E"/>
    <w:rsid w:val="00EB7301"/>
    <w:rsid w:val="00EC083A"/>
    <w:rsid w:val="00EC14FD"/>
    <w:rsid w:val="00EC7524"/>
    <w:rsid w:val="00ED0670"/>
    <w:rsid w:val="00ED0DCC"/>
    <w:rsid w:val="00ED4E10"/>
    <w:rsid w:val="00EE4599"/>
    <w:rsid w:val="00EF12DD"/>
    <w:rsid w:val="00EF1A9C"/>
    <w:rsid w:val="00EF2E31"/>
    <w:rsid w:val="00EF368E"/>
    <w:rsid w:val="00EF3F8E"/>
    <w:rsid w:val="00EF48BB"/>
    <w:rsid w:val="00F0206E"/>
    <w:rsid w:val="00F03418"/>
    <w:rsid w:val="00F03E58"/>
    <w:rsid w:val="00F05772"/>
    <w:rsid w:val="00F10150"/>
    <w:rsid w:val="00F15D87"/>
    <w:rsid w:val="00F162D0"/>
    <w:rsid w:val="00F209BF"/>
    <w:rsid w:val="00F20EB6"/>
    <w:rsid w:val="00F231BD"/>
    <w:rsid w:val="00F23C41"/>
    <w:rsid w:val="00F240EF"/>
    <w:rsid w:val="00F30FB0"/>
    <w:rsid w:val="00F31973"/>
    <w:rsid w:val="00F34330"/>
    <w:rsid w:val="00F3456B"/>
    <w:rsid w:val="00F34E40"/>
    <w:rsid w:val="00F377FE"/>
    <w:rsid w:val="00F4037A"/>
    <w:rsid w:val="00F43E70"/>
    <w:rsid w:val="00F52343"/>
    <w:rsid w:val="00F537F4"/>
    <w:rsid w:val="00F56877"/>
    <w:rsid w:val="00F63DFB"/>
    <w:rsid w:val="00F75144"/>
    <w:rsid w:val="00F771A7"/>
    <w:rsid w:val="00F77D80"/>
    <w:rsid w:val="00F905B8"/>
    <w:rsid w:val="00F92D70"/>
    <w:rsid w:val="00F94DAD"/>
    <w:rsid w:val="00F97F14"/>
    <w:rsid w:val="00FB52AC"/>
    <w:rsid w:val="00FC0E99"/>
    <w:rsid w:val="00FC1D81"/>
    <w:rsid w:val="00FC364C"/>
    <w:rsid w:val="00FC43C6"/>
    <w:rsid w:val="00FC4CF1"/>
    <w:rsid w:val="00FD3311"/>
    <w:rsid w:val="00FE5973"/>
    <w:rsid w:val="00FE6E57"/>
    <w:rsid w:val="00FF1C7A"/>
    <w:rsid w:val="00FF4F04"/>
    <w:rsid w:val="00FF73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B03167"/>
  <w15:chartTrackingRefBased/>
  <w15:docId w15:val="{E17FF7B5-1B25-4770-B8D1-2626DA213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caption" w:uiPriority="35"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Text"/>
    <w:qFormat/>
    <w:rsid w:val="00DF3DDE"/>
    <w:pPr>
      <w:widowControl w:val="0"/>
      <w:adjustRightInd w:val="0"/>
      <w:jc w:val="both"/>
      <w:textAlignment w:val="baseline"/>
    </w:pPr>
    <w:rPr>
      <w:sz w:val="24"/>
      <w:lang w:val="en-US" w:eastAsia="zh-TW"/>
    </w:rPr>
  </w:style>
  <w:style w:type="paragraph" w:styleId="Heading1">
    <w:name w:val="heading 1"/>
    <w:basedOn w:val="Normal"/>
    <w:next w:val="Normal"/>
    <w:autoRedefine/>
    <w:rsid w:val="00F03418"/>
    <w:pPr>
      <w:keepNext/>
      <w:tabs>
        <w:tab w:val="left" w:pos="360"/>
      </w:tabs>
      <w:ind w:right="45"/>
      <w:outlineLvl w:val="0"/>
    </w:pPr>
    <w:rPr>
      <w:bCs/>
      <w:color w:val="000000"/>
      <w:szCs w:val="24"/>
    </w:rPr>
  </w:style>
  <w:style w:type="paragraph" w:styleId="Heading2">
    <w:name w:val="heading 2"/>
    <w:basedOn w:val="Normal"/>
    <w:next w:val="Normal"/>
    <w:pPr>
      <w:numPr>
        <w:numId w:val="2"/>
      </w:numPr>
      <w:tabs>
        <w:tab w:val="clear" w:pos="360"/>
        <w:tab w:val="left" w:pos="454"/>
      </w:tabs>
      <w:jc w:val="left"/>
      <w:outlineLvl w:val="1"/>
    </w:pPr>
    <w:rPr>
      <w:rFonts w:eastAsia="MingLiU"/>
      <w:b/>
    </w:rPr>
  </w:style>
  <w:style w:type="paragraph" w:styleId="Heading3">
    <w:name w:val="heading 3"/>
    <w:basedOn w:val="Normal"/>
    <w:next w:val="NormalIndent"/>
    <w:pPr>
      <w:keepNext/>
      <w:outlineLvl w:val="2"/>
    </w:pPr>
    <w:rPr>
      <w:b/>
    </w:rPr>
  </w:style>
  <w:style w:type="paragraph" w:styleId="Heading4">
    <w:name w:val="heading 4"/>
    <w:basedOn w:val="Normal"/>
    <w:next w:val="NormalIndent"/>
    <w:pPr>
      <w:numPr>
        <w:numId w:val="3"/>
      </w:numPr>
      <w:ind w:left="397" w:hanging="397"/>
      <w:jc w:val="left"/>
      <w:outlineLvl w:val="3"/>
    </w:pPr>
    <w:rPr>
      <w:rFonts w:eastAsia="MingLiU"/>
      <w:b/>
    </w:rPr>
  </w:style>
  <w:style w:type="paragraph" w:styleId="Heading5">
    <w:name w:val="heading 5"/>
    <w:basedOn w:val="Normal"/>
    <w:next w:val="NormalIndent"/>
    <w:pPr>
      <w:keepNext/>
      <w:widowControl/>
      <w:autoSpaceDE w:val="0"/>
      <w:autoSpaceDN w:val="0"/>
      <w:jc w:val="center"/>
      <w:textAlignment w:val="bottom"/>
      <w:outlineLvl w:val="4"/>
    </w:pPr>
    <w:rPr>
      <w:b/>
    </w:rPr>
  </w:style>
  <w:style w:type="paragraph" w:styleId="Heading6">
    <w:name w:val="heading 6"/>
    <w:basedOn w:val="Normal"/>
    <w:next w:val="NormalIndent"/>
    <w:pPr>
      <w:keepNext/>
      <w:spacing w:before="120"/>
      <w:ind w:left="851" w:right="45"/>
      <w:jc w:val="center"/>
      <w:outlineLvl w:val="5"/>
    </w:pPr>
    <w:rPr>
      <w:b/>
    </w:rPr>
  </w:style>
  <w:style w:type="paragraph" w:styleId="Heading7">
    <w:name w:val="heading 7"/>
    <w:basedOn w:val="Normal"/>
    <w:next w:val="Normal"/>
    <w:pPr>
      <w:keepNext/>
      <w:outlineLvl w:val="6"/>
    </w:pPr>
    <w:rPr>
      <w:b/>
      <w:color w:val="FF0000"/>
    </w:rPr>
  </w:style>
  <w:style w:type="paragraph" w:styleId="Heading8">
    <w:name w:val="heading 8"/>
    <w:basedOn w:val="Normal"/>
    <w:next w:val="Normal"/>
    <w:pPr>
      <w:keepNext/>
      <w:ind w:firstLine="480"/>
      <w:jc w:val="center"/>
      <w:outlineLvl w:val="7"/>
    </w:pPr>
    <w:rPr>
      <w:i/>
      <w:iCs/>
    </w:rPr>
  </w:style>
  <w:style w:type="paragraph" w:styleId="Heading9">
    <w:name w:val="heading 9"/>
    <w:basedOn w:val="Normal"/>
    <w:next w:val="Normal"/>
    <w:pPr>
      <w:keepNext/>
      <w:snapToGrid w:val="0"/>
      <w:jc w:val="center"/>
      <w:outlineLvl w:val="8"/>
    </w:pPr>
    <w:rPr>
      <w:i/>
      <w:color w:val="FF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spacing w:line="480" w:lineRule="atLeast"/>
      <w:ind w:left="475"/>
      <w:jc w:val="left"/>
    </w:pPr>
    <w:rPr>
      <w:rFonts w:ascii="MingLiU" w:eastAsia="MingLiU"/>
    </w:rPr>
  </w:style>
  <w:style w:type="paragraph" w:styleId="BodyTextIndent">
    <w:name w:val="Body Text Indent"/>
    <w:basedOn w:val="Normal"/>
    <w:pPr>
      <w:widowControl/>
      <w:autoSpaceDE w:val="0"/>
      <w:autoSpaceDN w:val="0"/>
      <w:spacing w:line="480" w:lineRule="auto"/>
      <w:ind w:firstLine="540"/>
      <w:textAlignment w:val="bottom"/>
    </w:pPr>
    <w:rPr>
      <w:rFonts w:eastAsia="MingLiU"/>
    </w:rPr>
  </w:style>
  <w:style w:type="paragraph" w:styleId="BodyTextIndent2">
    <w:name w:val="Body Text Indent 2"/>
    <w:basedOn w:val="Normal"/>
    <w:pPr>
      <w:widowControl/>
      <w:autoSpaceDE w:val="0"/>
      <w:autoSpaceDN w:val="0"/>
      <w:spacing w:line="480" w:lineRule="auto"/>
      <w:ind w:firstLine="540"/>
      <w:textAlignment w:val="bottom"/>
    </w:pPr>
    <w:rPr>
      <w:rFonts w:eastAsia="MingLiU"/>
      <w:color w:val="FF0000"/>
    </w:rPr>
  </w:style>
  <w:style w:type="paragraph" w:customStyle="1" w:styleId="Print-FromToSubjectDate">
    <w:name w:val="Print- From: To: Subject: Date:"/>
    <w:basedOn w:val="Normal"/>
    <w:pPr>
      <w:pBdr>
        <w:left w:val="single" w:sz="18" w:space="1" w:color="auto"/>
      </w:pBdr>
    </w:pPr>
  </w:style>
  <w:style w:type="paragraph" w:customStyle="1" w:styleId="Print-ReverseHeader">
    <w:name w:val="Print- Reverse Header"/>
    <w:basedOn w:val="Normal"/>
    <w:next w:val="Print-FromToSubjectDate"/>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pPr>
      <w:pBdr>
        <w:left w:val="single" w:sz="18" w:space="1" w:color="auto"/>
      </w:pBdr>
      <w:shd w:val="pct10" w:color="auto" w:fill="auto"/>
    </w:pPr>
    <w:rPr>
      <w:b/>
      <w:noProof/>
    </w:rPr>
  </w:style>
  <w:style w:type="paragraph" w:customStyle="1" w:styleId="ReplyForwardToFromDate">
    <w:name w:val="Reply/Forward To: From: Date:"/>
    <w:basedOn w:val="Normal"/>
    <w:pPr>
      <w:pBdr>
        <w:left w:val="single" w:sz="18" w:space="1" w:color="auto"/>
      </w:pBdr>
    </w:pPr>
  </w:style>
  <w:style w:type="paragraph" w:styleId="Caption">
    <w:name w:val="caption"/>
    <w:aliases w:val="Table"/>
    <w:basedOn w:val="Normal"/>
    <w:next w:val="Normal"/>
    <w:uiPriority w:val="35"/>
    <w:qFormat/>
    <w:pPr>
      <w:spacing w:before="120" w:after="120"/>
    </w:pPr>
  </w:style>
  <w:style w:type="paragraph" w:styleId="Footer">
    <w:name w:val="footer"/>
    <w:basedOn w:val="Normal"/>
    <w:pPr>
      <w:tabs>
        <w:tab w:val="center" w:pos="4153"/>
        <w:tab w:val="right" w:pos="8306"/>
      </w:tabs>
      <w:spacing w:line="480" w:lineRule="atLeast"/>
    </w:pPr>
    <w:rPr>
      <w:rFonts w:ascii="MingLiU" w:eastAsia="MingLiU"/>
      <w:sz w:val="20"/>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Arial" w:hAnsi="Arial"/>
    </w:rPr>
  </w:style>
  <w:style w:type="paragraph" w:styleId="BodyTextIndent3">
    <w:name w:val="Body Text Indent 3"/>
    <w:basedOn w:val="Normal"/>
    <w:pPr>
      <w:ind w:firstLine="426"/>
    </w:pPr>
  </w:style>
  <w:style w:type="paragraph" w:styleId="BodyText">
    <w:name w:val="Body Text"/>
    <w:basedOn w:val="Normal"/>
    <w:link w:val="BodyTextChar"/>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pPr>
      <w:spacing w:before="480" w:line="360" w:lineRule="atLeast"/>
      <w:jc w:val="left"/>
    </w:pPr>
    <w:rPr>
      <w:b/>
      <w:i/>
    </w:rPr>
  </w:style>
  <w:style w:type="paragraph" w:styleId="BodyText3">
    <w:name w:val="Body Text 3"/>
    <w:basedOn w:val="Normal"/>
    <w:pPr>
      <w:widowControl/>
      <w:autoSpaceDE w:val="0"/>
      <w:autoSpaceDN w:val="0"/>
      <w:ind w:rightChars="-64" w:right="-154"/>
      <w:textAlignment w:val="bottom"/>
    </w:pPr>
  </w:style>
  <w:style w:type="character" w:styleId="Hyperlink">
    <w:name w:val="Hyperlink"/>
    <w:rPr>
      <w:color w:val="0000FF"/>
      <w:u w:val="single"/>
    </w:rPr>
  </w:style>
  <w:style w:type="character" w:styleId="FollowedHyperlink">
    <w:name w:val="FollowedHyperlink"/>
    <w:rPr>
      <w:color w:val="800080"/>
      <w:u w:val="single"/>
    </w:rPr>
  </w:style>
  <w:style w:type="paragraph" w:styleId="FootnoteText">
    <w:name w:val="footnote text"/>
    <w:basedOn w:val="Normal"/>
    <w:link w:val="FootnoteTextChar"/>
    <w:semiHidden/>
    <w:pPr>
      <w:snapToGrid w:val="0"/>
      <w:jc w:val="left"/>
    </w:pPr>
    <w:rPr>
      <w:sz w:val="20"/>
    </w:rPr>
  </w:style>
  <w:style w:type="character" w:styleId="FootnoteReference">
    <w:name w:val="footnote reference"/>
    <w:semiHidden/>
    <w:rPr>
      <w:vertAlign w:val="superscript"/>
    </w:rPr>
  </w:style>
  <w:style w:type="paragraph" w:styleId="BlockText">
    <w:name w:val="Block Text"/>
    <w:basedOn w:val="Normal"/>
    <w:pPr>
      <w:ind w:left="312" w:right="28" w:hangingChars="130" w:hanging="312"/>
    </w:pPr>
    <w:rPr>
      <w:b/>
      <w:color w:val="003366"/>
    </w:rPr>
  </w:style>
  <w:style w:type="character" w:styleId="Strong">
    <w:name w:val="Strong"/>
    <w:rPr>
      <w:b/>
      <w:bCs/>
    </w:rPr>
  </w:style>
  <w:style w:type="paragraph" w:styleId="Header">
    <w:name w:val="header"/>
    <w:basedOn w:val="Normal"/>
    <w:pPr>
      <w:tabs>
        <w:tab w:val="center" w:pos="4536"/>
        <w:tab w:val="right" w:pos="9072"/>
      </w:tabs>
    </w:pPr>
  </w:style>
  <w:style w:type="paragraph" w:customStyle="1" w:styleId="Titleofpaper-line1">
    <w:name w:val="Title of paper-line 1"/>
    <w:basedOn w:val="BodyText"/>
    <w:link w:val="Titleofpaper-line1Char"/>
    <w:qFormat/>
    <w:rsid w:val="008F5E37"/>
    <w:pPr>
      <w:spacing w:line="240" w:lineRule="auto"/>
    </w:pPr>
    <w:rPr>
      <w:rFonts w:ascii="Times New Roman" w:hAnsi="Times New Roman"/>
      <w:color w:val="000000"/>
      <w:sz w:val="36"/>
      <w:szCs w:val="36"/>
      <w:lang w:val="bg-BG"/>
    </w:rPr>
  </w:style>
  <w:style w:type="paragraph" w:customStyle="1" w:styleId="Titleofpaper-line2">
    <w:name w:val="Title of paper-line 2"/>
    <w:basedOn w:val="BodyText"/>
    <w:link w:val="Titleofpaper-line2Char"/>
    <w:qFormat/>
    <w:rsid w:val="008F5E37"/>
    <w:pPr>
      <w:spacing w:line="240" w:lineRule="auto"/>
    </w:pPr>
    <w:rPr>
      <w:rFonts w:ascii="Times New Roman" w:hAnsi="Times New Roman"/>
      <w:color w:val="000000"/>
      <w:sz w:val="36"/>
      <w:szCs w:val="36"/>
    </w:rPr>
  </w:style>
  <w:style w:type="character" w:customStyle="1" w:styleId="BodyTextChar">
    <w:name w:val="Body Text Char"/>
    <w:link w:val="BodyText"/>
    <w:rsid w:val="008F5E37"/>
    <w:rPr>
      <w:rFonts w:ascii="Tms Rmn" w:hAnsi="Tms Rmn"/>
      <w:b/>
      <w:sz w:val="32"/>
      <w:lang w:val="en-US" w:eastAsia="zh-TW"/>
    </w:rPr>
  </w:style>
  <w:style w:type="character" w:customStyle="1" w:styleId="Titleofpaper-line1Char">
    <w:name w:val="Title of paper-line 1 Char"/>
    <w:link w:val="Titleofpaper-line1"/>
    <w:rsid w:val="008F5E37"/>
    <w:rPr>
      <w:rFonts w:ascii="Tms Rmn" w:hAnsi="Tms Rmn"/>
      <w:b/>
      <w:color w:val="000000"/>
      <w:sz w:val="36"/>
      <w:szCs w:val="36"/>
      <w:lang w:val="bg-BG" w:eastAsia="zh-TW"/>
    </w:rPr>
  </w:style>
  <w:style w:type="paragraph" w:customStyle="1" w:styleId="Authorsnames">
    <w:name w:val="Authors names"/>
    <w:basedOn w:val="Normal"/>
    <w:link w:val="AuthorsnamesChar"/>
    <w:rsid w:val="008F5E37"/>
    <w:pPr>
      <w:widowControl/>
      <w:autoSpaceDE w:val="0"/>
      <w:autoSpaceDN w:val="0"/>
      <w:jc w:val="center"/>
      <w:textAlignment w:val="bottom"/>
    </w:pPr>
    <w:rPr>
      <w:b/>
      <w:color w:val="000000"/>
      <w:szCs w:val="24"/>
    </w:rPr>
  </w:style>
  <w:style w:type="character" w:customStyle="1" w:styleId="Titleofpaper-line2Char">
    <w:name w:val="Title of paper-line 2 Char"/>
    <w:link w:val="Titleofpaper-line2"/>
    <w:rsid w:val="008F5E37"/>
    <w:rPr>
      <w:rFonts w:ascii="Tms Rmn" w:hAnsi="Tms Rmn"/>
      <w:b/>
      <w:color w:val="000000"/>
      <w:sz w:val="36"/>
      <w:szCs w:val="36"/>
      <w:lang w:val="en-US" w:eastAsia="zh-TW"/>
    </w:rPr>
  </w:style>
  <w:style w:type="paragraph" w:customStyle="1" w:styleId="Abstract">
    <w:name w:val="Abstract"/>
    <w:basedOn w:val="Normal"/>
    <w:link w:val="AbstractChar"/>
    <w:qFormat/>
    <w:rsid w:val="008F5E37"/>
    <w:pPr>
      <w:widowControl/>
      <w:autoSpaceDE w:val="0"/>
      <w:autoSpaceDN w:val="0"/>
      <w:jc w:val="center"/>
      <w:textAlignment w:val="bottom"/>
    </w:pPr>
    <w:rPr>
      <w:b/>
      <w:color w:val="000000"/>
      <w:sz w:val="26"/>
      <w:szCs w:val="26"/>
    </w:rPr>
  </w:style>
  <w:style w:type="character" w:customStyle="1" w:styleId="AuthorsnamesChar">
    <w:name w:val="Authors names Char"/>
    <w:link w:val="Authorsnames"/>
    <w:rsid w:val="008F5E37"/>
    <w:rPr>
      <w:b/>
      <w:color w:val="000000"/>
      <w:sz w:val="24"/>
      <w:szCs w:val="24"/>
      <w:lang w:val="en-US" w:eastAsia="zh-TW"/>
    </w:rPr>
  </w:style>
  <w:style w:type="paragraph" w:customStyle="1" w:styleId="Abstracttext">
    <w:name w:val="Abstract text"/>
    <w:basedOn w:val="Normal"/>
    <w:link w:val="AbstracttextChar"/>
    <w:qFormat/>
    <w:rsid w:val="008F5E37"/>
    <w:rPr>
      <w:color w:val="000000"/>
      <w:szCs w:val="24"/>
    </w:rPr>
  </w:style>
  <w:style w:type="character" w:customStyle="1" w:styleId="AbstractChar">
    <w:name w:val="Abstract Char"/>
    <w:link w:val="Abstract"/>
    <w:rsid w:val="008F5E37"/>
    <w:rPr>
      <w:b/>
      <w:color w:val="000000"/>
      <w:sz w:val="26"/>
      <w:szCs w:val="26"/>
      <w:lang w:val="en-US" w:eastAsia="zh-TW"/>
    </w:rPr>
  </w:style>
  <w:style w:type="paragraph" w:customStyle="1" w:styleId="HeadingNumbering1">
    <w:name w:val="Heading Numbering 1"/>
    <w:basedOn w:val="Normal"/>
    <w:link w:val="HeadingNumbering1Char"/>
    <w:qFormat/>
    <w:rsid w:val="003F3ED0"/>
    <w:pPr>
      <w:numPr>
        <w:numId w:val="13"/>
      </w:numPr>
      <w:spacing w:line="276" w:lineRule="auto"/>
      <w:ind w:left="360"/>
    </w:pPr>
    <w:rPr>
      <w:b/>
      <w:sz w:val="30"/>
      <w:szCs w:val="30"/>
    </w:rPr>
  </w:style>
  <w:style w:type="character" w:customStyle="1" w:styleId="AbstracttextChar">
    <w:name w:val="Abstract text Char"/>
    <w:link w:val="Abstracttext"/>
    <w:rsid w:val="008F5E37"/>
    <w:rPr>
      <w:color w:val="000000"/>
      <w:sz w:val="24"/>
      <w:szCs w:val="24"/>
      <w:lang w:val="en-US" w:eastAsia="zh-TW"/>
    </w:rPr>
  </w:style>
  <w:style w:type="paragraph" w:customStyle="1" w:styleId="HeadingNumbering2">
    <w:name w:val="Heading Numbering 2"/>
    <w:basedOn w:val="HeadingNumbering1"/>
    <w:qFormat/>
    <w:rsid w:val="008878A0"/>
    <w:pPr>
      <w:numPr>
        <w:ilvl w:val="1"/>
      </w:numPr>
    </w:pPr>
    <w:rPr>
      <w:sz w:val="24"/>
    </w:rPr>
  </w:style>
  <w:style w:type="character" w:customStyle="1" w:styleId="HeadingNumbering1Char">
    <w:name w:val="Heading Numbering 1 Char"/>
    <w:link w:val="HeadingNumbering1"/>
    <w:rsid w:val="003F3ED0"/>
    <w:rPr>
      <w:b/>
      <w:sz w:val="30"/>
      <w:szCs w:val="30"/>
      <w:lang w:val="en-US" w:eastAsia="zh-TW"/>
    </w:rPr>
  </w:style>
  <w:style w:type="paragraph" w:customStyle="1" w:styleId="HeadingNumbering3">
    <w:name w:val="Heading Numbering 3"/>
    <w:basedOn w:val="HeadingNumbering1"/>
    <w:qFormat/>
    <w:rsid w:val="008878A0"/>
    <w:pPr>
      <w:numPr>
        <w:ilvl w:val="2"/>
      </w:numPr>
      <w:ind w:left="720"/>
    </w:pPr>
    <w:rPr>
      <w:sz w:val="24"/>
    </w:rPr>
  </w:style>
  <w:style w:type="paragraph" w:customStyle="1" w:styleId="References">
    <w:name w:val="References"/>
    <w:basedOn w:val="Normal"/>
    <w:link w:val="ReferencesChar"/>
    <w:rsid w:val="00BC006F"/>
    <w:pPr>
      <w:widowControl/>
      <w:autoSpaceDE w:val="0"/>
      <w:autoSpaceDN w:val="0"/>
      <w:spacing w:line="480" w:lineRule="auto"/>
      <w:textAlignment w:val="bottom"/>
    </w:pPr>
    <w:rPr>
      <w:color w:val="000000"/>
      <w:szCs w:val="30"/>
    </w:rPr>
  </w:style>
  <w:style w:type="paragraph" w:customStyle="1" w:styleId="ReferencesTitle">
    <w:name w:val="References Title"/>
    <w:basedOn w:val="References"/>
    <w:link w:val="ReferencesTitleChar"/>
    <w:rsid w:val="00471FEC"/>
    <w:pPr>
      <w:spacing w:line="240" w:lineRule="auto"/>
    </w:pPr>
    <w:rPr>
      <w:b/>
    </w:rPr>
  </w:style>
  <w:style w:type="paragraph" w:customStyle="1" w:styleId="ReferencesText">
    <w:name w:val="References Text"/>
    <w:basedOn w:val="Normal"/>
    <w:qFormat/>
    <w:rsid w:val="00BC006F"/>
    <w:pPr>
      <w:widowControl/>
      <w:autoSpaceDE w:val="0"/>
      <w:autoSpaceDN w:val="0"/>
      <w:textAlignment w:val="bottom"/>
    </w:pPr>
    <w:rPr>
      <w:rFonts w:eastAsia="DFKai-SB"/>
      <w:color w:val="000000"/>
      <w:szCs w:val="24"/>
    </w:rPr>
  </w:style>
  <w:style w:type="paragraph" w:customStyle="1" w:styleId="Referencestitle0">
    <w:name w:val="References title"/>
    <w:basedOn w:val="ReferencesTitle"/>
    <w:link w:val="ReferencestitleChar0"/>
    <w:qFormat/>
    <w:rsid w:val="007F7431"/>
    <w:pPr>
      <w:spacing w:line="276" w:lineRule="auto"/>
    </w:pPr>
    <w:rPr>
      <w:sz w:val="30"/>
    </w:rPr>
  </w:style>
  <w:style w:type="paragraph" w:customStyle="1" w:styleId="Authors">
    <w:name w:val="Authors"/>
    <w:basedOn w:val="Authorsnames"/>
    <w:link w:val="AuthorsChar"/>
    <w:qFormat/>
    <w:rsid w:val="00707DAB"/>
    <w:rPr>
      <w:szCs w:val="18"/>
    </w:rPr>
  </w:style>
  <w:style w:type="character" w:customStyle="1" w:styleId="ReferencesChar">
    <w:name w:val="References Char"/>
    <w:link w:val="References"/>
    <w:rsid w:val="007E0FC9"/>
    <w:rPr>
      <w:color w:val="000000"/>
      <w:sz w:val="24"/>
      <w:szCs w:val="30"/>
      <w:lang w:val="en-US" w:eastAsia="zh-TW"/>
    </w:rPr>
  </w:style>
  <w:style w:type="character" w:customStyle="1" w:styleId="ReferencesTitleChar">
    <w:name w:val="References Title Char"/>
    <w:link w:val="ReferencesTitle"/>
    <w:rsid w:val="007E0FC9"/>
    <w:rPr>
      <w:b/>
      <w:color w:val="000000"/>
      <w:sz w:val="24"/>
      <w:szCs w:val="30"/>
      <w:lang w:val="en-US" w:eastAsia="zh-TW"/>
    </w:rPr>
  </w:style>
  <w:style w:type="character" w:customStyle="1" w:styleId="ReferencestitleChar0">
    <w:name w:val="References title Char"/>
    <w:basedOn w:val="ReferencesTitleChar"/>
    <w:link w:val="Referencestitle0"/>
    <w:rsid w:val="007F7431"/>
    <w:rPr>
      <w:b/>
      <w:color w:val="000000"/>
      <w:sz w:val="30"/>
      <w:szCs w:val="30"/>
      <w:lang w:val="en-US" w:eastAsia="zh-TW"/>
    </w:rPr>
  </w:style>
  <w:style w:type="character" w:customStyle="1" w:styleId="AuthorsChar">
    <w:name w:val="Authors Char"/>
    <w:link w:val="Authors"/>
    <w:rsid w:val="00707DAB"/>
    <w:rPr>
      <w:b/>
      <w:color w:val="000000"/>
      <w:sz w:val="24"/>
      <w:szCs w:val="18"/>
      <w:lang w:val="en-US" w:eastAsia="zh-TW"/>
    </w:rPr>
  </w:style>
  <w:style w:type="paragraph" w:customStyle="1" w:styleId="Scienpress">
    <w:name w:val="Scienpress"/>
    <w:basedOn w:val="BodyText"/>
    <w:link w:val="ScienpressChar"/>
    <w:qFormat/>
    <w:rsid w:val="00585BD2"/>
    <w:pPr>
      <w:spacing w:line="240" w:lineRule="auto"/>
      <w:jc w:val="both"/>
    </w:pPr>
    <w:rPr>
      <w:rFonts w:ascii="Times New Roman" w:eastAsia="MS Mincho" w:hAnsi="Times New Roman"/>
      <w:b w:val="0"/>
      <w:i/>
      <w:color w:val="000000"/>
      <w:sz w:val="24"/>
      <w:szCs w:val="24"/>
      <w:lang w:eastAsia="ja-JP"/>
    </w:rPr>
  </w:style>
  <w:style w:type="paragraph" w:customStyle="1" w:styleId="Detailsforauthors">
    <w:name w:val="Details for authors"/>
    <w:basedOn w:val="FootnoteText"/>
    <w:link w:val="DetailsforauthorsChar"/>
    <w:qFormat/>
    <w:rsid w:val="00024360"/>
  </w:style>
  <w:style w:type="character" w:customStyle="1" w:styleId="ScienpressChar">
    <w:name w:val="Scienpress Char"/>
    <w:basedOn w:val="BodyTextChar"/>
    <w:link w:val="Scienpress"/>
    <w:rsid w:val="00585BD2"/>
    <w:rPr>
      <w:rFonts w:ascii="Tms Rmn" w:eastAsia="MS Mincho" w:hAnsi="Tms Rmn"/>
      <w:b w:val="0"/>
      <w:i/>
      <w:color w:val="000000"/>
      <w:sz w:val="24"/>
      <w:szCs w:val="24"/>
      <w:lang w:val="en-US" w:eastAsia="ja-JP"/>
    </w:rPr>
  </w:style>
  <w:style w:type="character" w:customStyle="1" w:styleId="FootnoteTextChar">
    <w:name w:val="Footnote Text Char"/>
    <w:basedOn w:val="DefaultParagraphFont"/>
    <w:link w:val="FootnoteText"/>
    <w:semiHidden/>
    <w:rsid w:val="00024360"/>
    <w:rPr>
      <w:lang w:val="en-US" w:eastAsia="zh-TW"/>
    </w:rPr>
  </w:style>
  <w:style w:type="character" w:customStyle="1" w:styleId="DetailsforauthorsChar">
    <w:name w:val="Details for authors Char"/>
    <w:basedOn w:val="FootnoteTextChar"/>
    <w:link w:val="Detailsforauthors"/>
    <w:rsid w:val="00024360"/>
    <w:rPr>
      <w:lang w:val="en-US" w:eastAsia="zh-TW"/>
    </w:rPr>
  </w:style>
  <w:style w:type="paragraph" w:customStyle="1" w:styleId="TablesHeading">
    <w:name w:val="Tables Heading"/>
    <w:basedOn w:val="Normal"/>
    <w:link w:val="TablesHeadingChar"/>
    <w:rsid w:val="00474E09"/>
    <w:pPr>
      <w:spacing w:after="120"/>
      <w:jc w:val="center"/>
    </w:pPr>
    <w:rPr>
      <w:b/>
      <w:sz w:val="22"/>
    </w:rPr>
  </w:style>
  <w:style w:type="paragraph" w:customStyle="1" w:styleId="Tabletext">
    <w:name w:val="Table text"/>
    <w:basedOn w:val="Normal"/>
    <w:link w:val="TabletextChar"/>
    <w:qFormat/>
    <w:rsid w:val="009C6C50"/>
    <w:pPr>
      <w:widowControl/>
      <w:adjustRightInd/>
      <w:spacing w:after="120"/>
      <w:jc w:val="center"/>
      <w:textAlignment w:val="auto"/>
    </w:pPr>
    <w:rPr>
      <w:rFonts w:eastAsia="Times New Roman"/>
      <w:bCs/>
      <w:szCs w:val="24"/>
      <w:lang w:val="en-NZ" w:eastAsia="el-GR"/>
    </w:rPr>
  </w:style>
  <w:style w:type="character" w:customStyle="1" w:styleId="TablesHeadingChar">
    <w:name w:val="Tables Heading Char"/>
    <w:basedOn w:val="DefaultParagraphFont"/>
    <w:link w:val="TablesHeading"/>
    <w:rsid w:val="00474E09"/>
    <w:rPr>
      <w:b/>
      <w:sz w:val="22"/>
      <w:lang w:val="en-US" w:eastAsia="zh-TW"/>
    </w:rPr>
  </w:style>
  <w:style w:type="paragraph" w:customStyle="1" w:styleId="Figure">
    <w:name w:val="Figure"/>
    <w:basedOn w:val="Caption"/>
    <w:link w:val="FigureChar"/>
    <w:qFormat/>
    <w:rsid w:val="00183750"/>
    <w:pPr>
      <w:jc w:val="center"/>
    </w:pPr>
    <w:rPr>
      <w:b/>
      <w:bCs/>
    </w:rPr>
  </w:style>
  <w:style w:type="character" w:customStyle="1" w:styleId="TabletextChar">
    <w:name w:val="Table text Char"/>
    <w:basedOn w:val="DefaultParagraphFont"/>
    <w:link w:val="Tabletext"/>
    <w:rsid w:val="009C6C50"/>
    <w:rPr>
      <w:rFonts w:eastAsia="Times New Roman"/>
      <w:bCs/>
      <w:sz w:val="24"/>
      <w:szCs w:val="24"/>
      <w:lang w:val="en-NZ" w:eastAsia="el-GR"/>
    </w:rPr>
  </w:style>
  <w:style w:type="character" w:customStyle="1" w:styleId="FigureChar">
    <w:name w:val="Figure Char"/>
    <w:basedOn w:val="DefaultParagraphFont"/>
    <w:link w:val="Figure"/>
    <w:rsid w:val="00183750"/>
    <w:rPr>
      <w:b/>
      <w:bCs/>
      <w:sz w:val="24"/>
      <w:lang w:val="en-US" w:eastAsia="zh-TW"/>
    </w:rPr>
  </w:style>
  <w:style w:type="paragraph" w:customStyle="1" w:styleId="Tabletitle">
    <w:name w:val="Table title"/>
    <w:basedOn w:val="TablesHeading"/>
    <w:link w:val="TabletitleChar"/>
    <w:qFormat/>
    <w:rsid w:val="00D1571E"/>
  </w:style>
  <w:style w:type="character" w:customStyle="1" w:styleId="TabletitleChar">
    <w:name w:val="Table title Char"/>
    <w:basedOn w:val="TablesHeadingChar"/>
    <w:link w:val="Tabletitle"/>
    <w:rsid w:val="00D1571E"/>
    <w:rPr>
      <w:b/>
      <w:sz w:val="22"/>
      <w:lang w:val="en-US" w:eastAsia="zh-TW"/>
    </w:rPr>
  </w:style>
  <w:style w:type="character" w:customStyle="1" w:styleId="TextoArticuloCar">
    <w:name w:val="TextoArticulo Car"/>
    <w:link w:val="TextoArticulo"/>
    <w:locked/>
    <w:rsid w:val="00583C12"/>
    <w:rPr>
      <w:rFonts w:ascii="Verdana" w:eastAsia="Times New Roman" w:hAnsi="Verdana"/>
      <w:lang w:val="es-ES" w:eastAsia="es-ES"/>
    </w:rPr>
  </w:style>
  <w:style w:type="paragraph" w:customStyle="1" w:styleId="TextoArticulo">
    <w:name w:val="TextoArticulo"/>
    <w:basedOn w:val="Normal"/>
    <w:link w:val="TextoArticuloCar"/>
    <w:rsid w:val="00583C12"/>
    <w:pPr>
      <w:widowControl/>
      <w:adjustRightInd/>
      <w:spacing w:after="240" w:line="360" w:lineRule="auto"/>
      <w:ind w:right="45"/>
      <w:textAlignment w:val="auto"/>
    </w:pPr>
    <w:rPr>
      <w:rFonts w:ascii="Verdana" w:eastAsia="Times New Roman" w:hAnsi="Verdana"/>
      <w:sz w:val="20"/>
      <w:lang w:val="es-ES" w:eastAsia="es-ES"/>
    </w:rPr>
  </w:style>
  <w:style w:type="paragraph" w:styleId="Bibliography">
    <w:name w:val="Bibliography"/>
    <w:basedOn w:val="Normal"/>
    <w:next w:val="Normal"/>
    <w:uiPriority w:val="37"/>
    <w:unhideWhenUsed/>
    <w:rsid w:val="00583C12"/>
    <w:pPr>
      <w:widowControl/>
      <w:adjustRightInd/>
      <w:spacing w:line="480" w:lineRule="auto"/>
      <w:ind w:left="720" w:hanging="720"/>
      <w:jc w:val="left"/>
      <w:textAlignment w:val="auto"/>
    </w:pPr>
    <w:rPr>
      <w:rFonts w:asciiTheme="minorHAnsi" w:eastAsiaTheme="minorHAnsi" w:hAnsiTheme="minorHAnsi" w:cstheme="minorBidi"/>
      <w:sz w:val="22"/>
      <w:szCs w:val="22"/>
      <w:lang w:val="es-MX" w:eastAsia="en-US"/>
    </w:rPr>
  </w:style>
  <w:style w:type="paragraph" w:styleId="ListParagraph">
    <w:name w:val="List Paragraph"/>
    <w:basedOn w:val="Normal"/>
    <w:uiPriority w:val="34"/>
    <w:qFormat/>
    <w:rsid w:val="00A46CEF"/>
    <w:pPr>
      <w:widowControl/>
      <w:adjustRightInd/>
      <w:spacing w:after="160" w:line="259" w:lineRule="auto"/>
      <w:ind w:left="720"/>
      <w:contextualSpacing/>
      <w:jc w:val="left"/>
      <w:textAlignment w:val="auto"/>
    </w:pPr>
    <w:rPr>
      <w:rFonts w:asciiTheme="minorHAnsi" w:eastAsiaTheme="minorHAnsi" w:hAnsiTheme="minorHAnsi" w:cstheme="minorBidi"/>
      <w:sz w:val="22"/>
      <w:szCs w:val="22"/>
      <w:lang w:eastAsia="en-US"/>
    </w:rPr>
  </w:style>
  <w:style w:type="table" w:styleId="TableGrid">
    <w:name w:val="Table Grid"/>
    <w:basedOn w:val="TableNormal"/>
    <w:uiPriority w:val="59"/>
    <w:rsid w:val="00A46CEF"/>
    <w:rPr>
      <w:rFonts w:eastAsiaTheme="minorHAns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Tables">
    <w:name w:val="My Tables"/>
    <w:basedOn w:val="Caption"/>
    <w:next w:val="Caption"/>
    <w:qFormat/>
    <w:rsid w:val="009E712E"/>
    <w:pPr>
      <w:keepNext/>
      <w:widowControl/>
      <w:adjustRightInd/>
      <w:spacing w:before="0"/>
      <w:jc w:val="left"/>
      <w:textAlignment w:val="auto"/>
    </w:pPr>
    <w:rPr>
      <w:rFonts w:eastAsiaTheme="minorHAnsi" w:cstheme="minorBidi"/>
      <w:b/>
      <w:bCs/>
      <w:iCs/>
      <w:color w:val="000000" w:themeColor="text1"/>
      <w:szCs w:val="18"/>
      <w:lang w:eastAsia="en-US"/>
    </w:rPr>
  </w:style>
  <w:style w:type="paragraph" w:customStyle="1" w:styleId="Tables">
    <w:name w:val="Tables"/>
    <w:basedOn w:val="Normal"/>
    <w:link w:val="TablesChar"/>
    <w:qFormat/>
    <w:rsid w:val="00420BB5"/>
    <w:pPr>
      <w:widowControl/>
      <w:adjustRightInd/>
      <w:spacing w:line="360" w:lineRule="auto"/>
      <w:textAlignment w:val="auto"/>
    </w:pPr>
    <w:rPr>
      <w:rFonts w:eastAsiaTheme="minorHAnsi"/>
      <w:b/>
      <w:bCs/>
      <w:szCs w:val="24"/>
      <w:lang w:eastAsia="en-US"/>
    </w:rPr>
  </w:style>
  <w:style w:type="character" w:customStyle="1" w:styleId="TablesChar">
    <w:name w:val="Tables Char"/>
    <w:basedOn w:val="DefaultParagraphFont"/>
    <w:link w:val="Tables"/>
    <w:rsid w:val="00420BB5"/>
    <w:rPr>
      <w:rFonts w:eastAsiaTheme="minorHAnsi"/>
      <w:b/>
      <w:bCs/>
      <w:sz w:val="24"/>
      <w:szCs w:val="24"/>
      <w:lang w:val="en-US" w:eastAsia="en-US"/>
    </w:rPr>
  </w:style>
  <w:style w:type="character" w:styleId="CommentReference">
    <w:name w:val="annotation reference"/>
    <w:basedOn w:val="DefaultParagraphFont"/>
    <w:rsid w:val="00A21D2F"/>
    <w:rPr>
      <w:sz w:val="16"/>
      <w:szCs w:val="16"/>
    </w:rPr>
  </w:style>
  <w:style w:type="paragraph" w:styleId="CommentText">
    <w:name w:val="annotation text"/>
    <w:basedOn w:val="Normal"/>
    <w:link w:val="CommentTextChar"/>
    <w:rsid w:val="00A21D2F"/>
    <w:rPr>
      <w:sz w:val="20"/>
    </w:rPr>
  </w:style>
  <w:style w:type="character" w:customStyle="1" w:styleId="CommentTextChar">
    <w:name w:val="Comment Text Char"/>
    <w:basedOn w:val="DefaultParagraphFont"/>
    <w:link w:val="CommentText"/>
    <w:rsid w:val="00A21D2F"/>
    <w:rPr>
      <w:lang w:val="en-US" w:eastAsia="zh-TW"/>
    </w:rPr>
  </w:style>
  <w:style w:type="paragraph" w:styleId="CommentSubject">
    <w:name w:val="annotation subject"/>
    <w:basedOn w:val="CommentText"/>
    <w:next w:val="CommentText"/>
    <w:link w:val="CommentSubjectChar"/>
    <w:rsid w:val="00A21D2F"/>
    <w:rPr>
      <w:b/>
      <w:bCs/>
    </w:rPr>
  </w:style>
  <w:style w:type="character" w:customStyle="1" w:styleId="CommentSubjectChar">
    <w:name w:val="Comment Subject Char"/>
    <w:basedOn w:val="CommentTextChar"/>
    <w:link w:val="CommentSubject"/>
    <w:rsid w:val="00A21D2F"/>
    <w:rPr>
      <w:b/>
      <w:bCs/>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797411">
      <w:bodyDiv w:val="1"/>
      <w:marLeft w:val="0"/>
      <w:marRight w:val="0"/>
      <w:marTop w:val="0"/>
      <w:marBottom w:val="0"/>
      <w:divBdr>
        <w:top w:val="none" w:sz="0" w:space="0" w:color="auto"/>
        <w:left w:val="none" w:sz="0" w:space="0" w:color="auto"/>
        <w:bottom w:val="none" w:sz="0" w:space="0" w:color="auto"/>
        <w:right w:val="none" w:sz="0" w:space="0" w:color="auto"/>
      </w:divBdr>
    </w:div>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chart" Target="charts/chart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Sochi\Documents\Documents\Library\Sochi\ISM%20DBA\DBA%20Dissertation\07_Data\Emissions\Our%20World%20in%20Data\20201209_owid-co2%20and%20GHG%20emissions_global-dataset_SImodif.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CO2 per Capita</c:v>
          </c:tx>
          <c:spPr>
            <a:ln w="22225" cap="rnd">
              <a:solidFill>
                <a:schemeClr val="accent2"/>
              </a:solidFill>
            </a:ln>
            <a:effectLst>
              <a:glow rad="139700">
                <a:schemeClr val="accent2">
                  <a:satMod val="175000"/>
                  <a:alpha val="14000"/>
                </a:schemeClr>
              </a:glow>
            </a:effectLst>
          </c:spPr>
          <c:marker>
            <c:symbol val="none"/>
          </c:marker>
          <c:cat>
            <c:numRef>
              <c:f>Sheet1!$C$3976:$C$4002</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Sheet1!$J$3976:$J$4002</c:f>
              <c:numCache>
                <c:formatCode>General</c:formatCode>
                <c:ptCount val="27"/>
                <c:pt idx="0">
                  <c:v>16.792999999999999</c:v>
                </c:pt>
                <c:pt idx="1">
                  <c:v>16.225999999999999</c:v>
                </c:pt>
                <c:pt idx="2">
                  <c:v>16.536000000000001</c:v>
                </c:pt>
                <c:pt idx="3">
                  <c:v>16.344000000000001</c:v>
                </c:pt>
                <c:pt idx="4">
                  <c:v>16.689</c:v>
                </c:pt>
                <c:pt idx="5">
                  <c:v>16.946999999999999</c:v>
                </c:pt>
                <c:pt idx="6">
                  <c:v>17.302</c:v>
                </c:pt>
                <c:pt idx="7">
                  <c:v>17.632999999999999</c:v>
                </c:pt>
                <c:pt idx="8">
                  <c:v>17.757000000000001</c:v>
                </c:pt>
                <c:pt idx="9">
                  <c:v>18.114999999999998</c:v>
                </c:pt>
                <c:pt idx="10">
                  <c:v>18.684000000000001</c:v>
                </c:pt>
                <c:pt idx="11">
                  <c:v>18.271999999999998</c:v>
                </c:pt>
                <c:pt idx="12">
                  <c:v>18.3</c:v>
                </c:pt>
                <c:pt idx="13">
                  <c:v>18.658000000000001</c:v>
                </c:pt>
                <c:pt idx="14">
                  <c:v>18.434000000000001</c:v>
                </c:pt>
                <c:pt idx="15">
                  <c:v>17.934999999999999</c:v>
                </c:pt>
                <c:pt idx="16">
                  <c:v>17.542999999999999</c:v>
                </c:pt>
                <c:pt idx="17">
                  <c:v>18.059999999999999</c:v>
                </c:pt>
                <c:pt idx="18">
                  <c:v>17.260999999999999</c:v>
                </c:pt>
                <c:pt idx="19">
                  <c:v>16.093</c:v>
                </c:pt>
                <c:pt idx="20">
                  <c:v>16.294</c:v>
                </c:pt>
                <c:pt idx="21">
                  <c:v>16.407</c:v>
                </c:pt>
                <c:pt idx="22">
                  <c:v>16.327000000000002</c:v>
                </c:pt>
                <c:pt idx="23">
                  <c:v>16.356999999999999</c:v>
                </c:pt>
                <c:pt idx="24">
                  <c:v>16.189</c:v>
                </c:pt>
                <c:pt idx="25">
                  <c:v>16.009</c:v>
                </c:pt>
                <c:pt idx="26">
                  <c:v>15.504</c:v>
                </c:pt>
              </c:numCache>
            </c:numRef>
          </c:val>
          <c:smooth val="0"/>
          <c:extLst>
            <c:ext xmlns:c16="http://schemas.microsoft.com/office/drawing/2014/chart" uri="{C3380CC4-5D6E-409C-BE32-E72D297353CC}">
              <c16:uniqueId val="{00000000-ABB2-459C-B311-F81F78677406}"/>
            </c:ext>
          </c:extLst>
        </c:ser>
        <c:ser>
          <c:idx val="0"/>
          <c:order val="1"/>
          <c:tx>
            <c:v>GHG per Capita (CO2e)</c:v>
          </c:tx>
          <c:spPr>
            <a:ln w="22225" cap="rnd">
              <a:solidFill>
                <a:schemeClr val="accent1"/>
              </a:solidFill>
            </a:ln>
            <a:effectLst>
              <a:glow rad="139700">
                <a:schemeClr val="accent1">
                  <a:satMod val="175000"/>
                  <a:alpha val="14000"/>
                </a:schemeClr>
              </a:glow>
            </a:effectLst>
          </c:spPr>
          <c:marker>
            <c:symbol val="none"/>
          </c:marker>
          <c:cat>
            <c:numRef>
              <c:f>Sheet1!$C$3976:$C$4002</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Sheet1!$AC$3976:$AC$4002</c:f>
              <c:numCache>
                <c:formatCode>General</c:formatCode>
                <c:ptCount val="27"/>
                <c:pt idx="0">
                  <c:v>24.07</c:v>
                </c:pt>
                <c:pt idx="1">
                  <c:v>23.588999999999999</c:v>
                </c:pt>
                <c:pt idx="2">
                  <c:v>23.869</c:v>
                </c:pt>
                <c:pt idx="3">
                  <c:v>23.545999999999999</c:v>
                </c:pt>
                <c:pt idx="4">
                  <c:v>24.001000000000001</c:v>
                </c:pt>
                <c:pt idx="5">
                  <c:v>24.306999999999999</c:v>
                </c:pt>
                <c:pt idx="6">
                  <c:v>23.872</c:v>
                </c:pt>
                <c:pt idx="7">
                  <c:v>23.568000000000001</c:v>
                </c:pt>
                <c:pt idx="8">
                  <c:v>26.960999999999999</c:v>
                </c:pt>
                <c:pt idx="9">
                  <c:v>24.561</c:v>
                </c:pt>
                <c:pt idx="10">
                  <c:v>23.908000000000001</c:v>
                </c:pt>
                <c:pt idx="11">
                  <c:v>29.242999999999999</c:v>
                </c:pt>
                <c:pt idx="12">
                  <c:v>31.483000000000001</c:v>
                </c:pt>
                <c:pt idx="13">
                  <c:v>31.808</c:v>
                </c:pt>
                <c:pt idx="14">
                  <c:v>30.207000000000001</c:v>
                </c:pt>
                <c:pt idx="15">
                  <c:v>30.210999999999999</c:v>
                </c:pt>
                <c:pt idx="16">
                  <c:v>27.111000000000001</c:v>
                </c:pt>
                <c:pt idx="17">
                  <c:v>27.157</c:v>
                </c:pt>
                <c:pt idx="18">
                  <c:v>26.335000000000001</c:v>
                </c:pt>
                <c:pt idx="19">
                  <c:v>23.733000000000001</c:v>
                </c:pt>
                <c:pt idx="20">
                  <c:v>25.896999999999998</c:v>
                </c:pt>
                <c:pt idx="21">
                  <c:v>21.91</c:v>
                </c:pt>
                <c:pt idx="22">
                  <c:v>22.672000000000001</c:v>
                </c:pt>
                <c:pt idx="23">
                  <c:v>24.289000000000001</c:v>
                </c:pt>
                <c:pt idx="24">
                  <c:v>22.975000000000001</c:v>
                </c:pt>
                <c:pt idx="25">
                  <c:v>23.92</c:v>
                </c:pt>
                <c:pt idx="26">
                  <c:v>21.419</c:v>
                </c:pt>
              </c:numCache>
            </c:numRef>
          </c:val>
          <c:smooth val="0"/>
          <c:extLst>
            <c:ext xmlns:c16="http://schemas.microsoft.com/office/drawing/2014/chart" uri="{C3380CC4-5D6E-409C-BE32-E72D297353CC}">
              <c16:uniqueId val="{00000001-ABB2-459C-B311-F81F78677406}"/>
            </c:ext>
          </c:extLst>
        </c:ser>
        <c:ser>
          <c:idx val="2"/>
          <c:order val="2"/>
          <c:tx>
            <c:v>Methane per Capita (CO2e)</c:v>
          </c:tx>
          <c:spPr>
            <a:ln w="22225" cap="rnd">
              <a:solidFill>
                <a:schemeClr val="accent3"/>
              </a:solidFill>
            </a:ln>
            <a:effectLst>
              <a:glow rad="139700">
                <a:schemeClr val="accent3">
                  <a:satMod val="175000"/>
                  <a:alpha val="14000"/>
                </a:schemeClr>
              </a:glow>
            </a:effectLst>
          </c:spPr>
          <c:marker>
            <c:symbol val="none"/>
          </c:marker>
          <c:cat>
            <c:numRef>
              <c:f>Sheet1!$C$3976:$C$4002</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Sheet1!$AE$3976:$AE$4002</c:f>
              <c:numCache>
                <c:formatCode>General</c:formatCode>
                <c:ptCount val="27"/>
                <c:pt idx="0">
                  <c:v>3.806</c:v>
                </c:pt>
                <c:pt idx="1">
                  <c:v>3.8079999999999998</c:v>
                </c:pt>
                <c:pt idx="2">
                  <c:v>3.9060000000000001</c:v>
                </c:pt>
                <c:pt idx="3">
                  <c:v>3.9529999999999998</c:v>
                </c:pt>
                <c:pt idx="4">
                  <c:v>4</c:v>
                </c:pt>
                <c:pt idx="5">
                  <c:v>4.09</c:v>
                </c:pt>
                <c:pt idx="6">
                  <c:v>3.9590000000000001</c:v>
                </c:pt>
                <c:pt idx="7">
                  <c:v>3.8029999999999999</c:v>
                </c:pt>
                <c:pt idx="8">
                  <c:v>4.7</c:v>
                </c:pt>
                <c:pt idx="9">
                  <c:v>4.0140000000000002</c:v>
                </c:pt>
                <c:pt idx="10">
                  <c:v>3.6720000000000002</c:v>
                </c:pt>
                <c:pt idx="11">
                  <c:v>3.4980000000000002</c:v>
                </c:pt>
                <c:pt idx="12">
                  <c:v>4.0620000000000003</c:v>
                </c:pt>
                <c:pt idx="13">
                  <c:v>3.9319999999999999</c:v>
                </c:pt>
                <c:pt idx="14">
                  <c:v>3.6459999999999999</c:v>
                </c:pt>
                <c:pt idx="15">
                  <c:v>3.5369999999999999</c:v>
                </c:pt>
                <c:pt idx="16">
                  <c:v>3.6789999999999998</c:v>
                </c:pt>
                <c:pt idx="17">
                  <c:v>3.3980000000000001</c:v>
                </c:pt>
                <c:pt idx="18">
                  <c:v>3.3</c:v>
                </c:pt>
                <c:pt idx="19">
                  <c:v>2.8380000000000001</c:v>
                </c:pt>
                <c:pt idx="20">
                  <c:v>3.3050000000000002</c:v>
                </c:pt>
                <c:pt idx="21">
                  <c:v>2.9950000000000001</c:v>
                </c:pt>
                <c:pt idx="22">
                  <c:v>3.2309999999999999</c:v>
                </c:pt>
                <c:pt idx="23">
                  <c:v>3.6749999999999998</c:v>
                </c:pt>
                <c:pt idx="24">
                  <c:v>3.3919999999999999</c:v>
                </c:pt>
                <c:pt idx="25">
                  <c:v>3.6669999999999998</c:v>
                </c:pt>
                <c:pt idx="26">
                  <c:v>2.903</c:v>
                </c:pt>
              </c:numCache>
            </c:numRef>
          </c:val>
          <c:smooth val="0"/>
          <c:extLst>
            <c:ext xmlns:c16="http://schemas.microsoft.com/office/drawing/2014/chart" uri="{C3380CC4-5D6E-409C-BE32-E72D297353CC}">
              <c16:uniqueId val="{00000002-ABB2-459C-B311-F81F78677406}"/>
            </c:ext>
          </c:extLst>
        </c:ser>
        <c:ser>
          <c:idx val="3"/>
          <c:order val="3"/>
          <c:tx>
            <c:v>Nitrous Oxide per Capita (CO2e)</c:v>
          </c:tx>
          <c:spPr>
            <a:ln w="22225" cap="rnd">
              <a:solidFill>
                <a:schemeClr val="accent4"/>
              </a:solidFill>
            </a:ln>
            <a:effectLst>
              <a:glow rad="139700">
                <a:schemeClr val="accent4">
                  <a:satMod val="175000"/>
                  <a:alpha val="14000"/>
                </a:schemeClr>
              </a:glow>
            </a:effectLst>
          </c:spPr>
          <c:marker>
            <c:symbol val="none"/>
          </c:marker>
          <c:cat>
            <c:numRef>
              <c:f>Sheet1!$C$3976:$C$4002</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Sheet1!$AG$3976:$AG$4002</c:f>
              <c:numCache>
                <c:formatCode>General</c:formatCode>
                <c:ptCount val="27"/>
                <c:pt idx="0">
                  <c:v>1.7010000000000001</c:v>
                </c:pt>
                <c:pt idx="1">
                  <c:v>1.667</c:v>
                </c:pt>
                <c:pt idx="2">
                  <c:v>1.6659999999999999</c:v>
                </c:pt>
                <c:pt idx="3">
                  <c:v>1.639</c:v>
                </c:pt>
                <c:pt idx="4">
                  <c:v>1.7</c:v>
                </c:pt>
                <c:pt idx="5">
                  <c:v>1.734</c:v>
                </c:pt>
                <c:pt idx="6">
                  <c:v>1.7589999999999999</c:v>
                </c:pt>
                <c:pt idx="7">
                  <c:v>1.627</c:v>
                </c:pt>
                <c:pt idx="8">
                  <c:v>1.694</c:v>
                </c:pt>
                <c:pt idx="9">
                  <c:v>1.448</c:v>
                </c:pt>
                <c:pt idx="10">
                  <c:v>1.3280000000000001</c:v>
                </c:pt>
                <c:pt idx="11">
                  <c:v>1.278</c:v>
                </c:pt>
                <c:pt idx="12">
                  <c:v>1.476</c:v>
                </c:pt>
                <c:pt idx="13">
                  <c:v>1.4390000000000001</c:v>
                </c:pt>
                <c:pt idx="14">
                  <c:v>1.4259999999999999</c:v>
                </c:pt>
                <c:pt idx="15">
                  <c:v>1.4319999999999999</c:v>
                </c:pt>
                <c:pt idx="16">
                  <c:v>1.339</c:v>
                </c:pt>
                <c:pt idx="17">
                  <c:v>1.3859999999999999</c:v>
                </c:pt>
                <c:pt idx="18">
                  <c:v>1.357</c:v>
                </c:pt>
                <c:pt idx="19">
                  <c:v>1.1919999999999999</c:v>
                </c:pt>
                <c:pt idx="20">
                  <c:v>1.3129999999999999</c:v>
                </c:pt>
                <c:pt idx="21">
                  <c:v>1.331</c:v>
                </c:pt>
                <c:pt idx="22">
                  <c:v>1.385</c:v>
                </c:pt>
                <c:pt idx="23">
                  <c:v>1.4410000000000001</c:v>
                </c:pt>
                <c:pt idx="24">
                  <c:v>1.3260000000000001</c:v>
                </c:pt>
                <c:pt idx="25">
                  <c:v>1.45</c:v>
                </c:pt>
                <c:pt idx="26">
                  <c:v>1.2190000000000001</c:v>
                </c:pt>
              </c:numCache>
            </c:numRef>
          </c:val>
          <c:smooth val="0"/>
          <c:extLst>
            <c:ext xmlns:c16="http://schemas.microsoft.com/office/drawing/2014/chart" uri="{C3380CC4-5D6E-409C-BE32-E72D297353CC}">
              <c16:uniqueId val="{00000003-ABB2-459C-B311-F81F78677406}"/>
            </c:ext>
          </c:extLst>
        </c:ser>
        <c:dLbls>
          <c:showLegendKey val="0"/>
          <c:showVal val="0"/>
          <c:showCatName val="0"/>
          <c:showSerName val="0"/>
          <c:showPercent val="0"/>
          <c:showBubbleSize val="0"/>
        </c:dLbls>
        <c:smooth val="0"/>
        <c:axId val="1397917328"/>
        <c:axId val="1517886176"/>
      </c:lineChart>
      <c:catAx>
        <c:axId val="1397917328"/>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lt1">
                    <a:lumMod val="75000"/>
                  </a:schemeClr>
                </a:solidFill>
                <a:latin typeface="+mn-lt"/>
                <a:ea typeface="+mn-ea"/>
                <a:cs typeface="+mn-cs"/>
              </a:defRPr>
            </a:pPr>
            <a:endParaRPr lang="en-US"/>
          </a:p>
        </c:txPr>
        <c:crossAx val="1517886176"/>
        <c:crosses val="autoZero"/>
        <c:auto val="1"/>
        <c:lblAlgn val="ctr"/>
        <c:lblOffset val="100"/>
        <c:noMultiLvlLbl val="0"/>
      </c:catAx>
      <c:valAx>
        <c:axId val="1517886176"/>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chemeClr val="lt1">
                        <a:lumMod val="75000"/>
                      </a:schemeClr>
                    </a:solidFill>
                    <a:latin typeface="+mn-lt"/>
                    <a:ea typeface="+mn-ea"/>
                    <a:cs typeface="+mn-cs"/>
                  </a:defRPr>
                </a:pPr>
                <a:r>
                  <a:rPr lang="en-US" sz="1000"/>
                  <a:t>Emissions (Tonnes)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lt1">
                    <a:lumMod val="75000"/>
                  </a:schemeClr>
                </a:solidFill>
                <a:latin typeface="+mn-lt"/>
                <a:ea typeface="+mn-ea"/>
                <a:cs typeface="+mn-cs"/>
              </a:defRPr>
            </a:pPr>
            <a:endParaRPr lang="en-US"/>
          </a:p>
        </c:txPr>
        <c:crossAx val="13979173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Ala06</b:Tag>
    <b:SourceType>Book</b:SourceType>
    <b:Guid>{1D87B3E4-59A8-4B7E-9543-6D95195EB9A0}</b:Guid>
    <b:Title>Elaboración, análisis e interpretación de encuestas, cuestionarios y escalas de opinión</b:Title>
    <b:Year>2006</b:Year>
    <b:Author>
      <b:Author>
        <b:NameList>
          <b:Person>
            <b:Last>Alaminos</b:Last>
            <b:First>A.</b:First>
          </b:Person>
          <b:Person>
            <b:Last>Castejón</b:Last>
            <b:First>J.</b:First>
          </b:Person>
        </b:NameList>
      </b:Author>
    </b:Author>
    <b:City>Alicante, España</b:City>
    <b:Publisher>Editorial Marfil, S.A.</b:Publisher>
    <b:RefOrder>1</b:RefOrder>
  </b:Source>
  <b:Source>
    <b:Tag>And88</b:Tag>
    <b:SourceType>JournalArticle</b:SourceType>
    <b:Guid>{1C1FAB4B-09BB-4E67-817C-9668076817C7}</b:Guid>
    <b:Title>Structural equation modeling in practice: a review and recommended two-step approach</b:Title>
    <b:Year>1988</b:Year>
    <b:JournalName>Psychological Bulletin</b:JournalName>
    <b:Pages>411-423</b:Pages>
    <b:Author>
      <b:Author>
        <b:NameList>
          <b:Person>
            <b:Last>Anderson</b:Last>
            <b:First>J.</b:First>
          </b:Person>
          <b:Person>
            <b:Last>Gerbing</b:Last>
            <b:First>D.</b:First>
          </b:Person>
        </b:NameList>
      </b:Author>
    </b:Author>
    <b:Issue>13</b:Issue>
    <b:RefOrder>2</b:RefOrder>
  </b:Source>
  <b:Source>
    <b:Tag>Ant08</b:Tag>
    <b:SourceType>JournalArticle</b:SourceType>
    <b:Guid>{EA9318FE-DE15-4D40-85E4-273947E0A1C4}</b:Guid>
    <b:Title>Reducing ongoing product design decision-making bias</b:Title>
    <b:JournalName>Journal of Product Innovation Management</b:JournalName>
    <b:Year>2008</b:Year>
    <b:Pages>528-545</b:Pages>
    <b:Author>
      <b:Author>
        <b:NameList>
          <b:Person>
            <b:Last>Antioco</b:Last>
            <b:First>M.</b:First>
          </b:Person>
          <b:Person>
            <b:Last>Moenaert</b:Last>
            <b:First>R.</b:First>
          </b:Person>
          <b:Person>
            <b:Last>Lindgreen</b:Last>
            <b:First>A.</b:First>
          </b:Person>
        </b:NameList>
      </b:Author>
    </b:Author>
    <b:Volume>25</b:Volume>
    <b:Issue>6</b:Issue>
    <b:RefOrder>3</b:RefOrder>
  </b:Source>
  <b:Source>
    <b:Tag>Arr04</b:Tag>
    <b:SourceType>JournalArticle</b:SourceType>
    <b:Guid>{11905836-EE91-4077-9C2C-A9B210A32029}</b:Guid>
    <b:Title>Diseño y validación de cuestionarios</b:Title>
    <b:Year>2004</b:Year>
    <b:Pages>23-29</b:Pages>
    <b:InternetSiteTitle>Matronas Profesión</b:InternetSiteTitle>
    <b:URL>http://ebevidencia.com/wp-content/uploads/2014/07/validacion_cuestionarios.pdf</b:URL>
    <b:Author>
      <b:Author>
        <b:NameList>
          <b:Person>
            <b:Last>Arribas</b:Last>
            <b:First>M.</b:First>
          </b:Person>
        </b:NameList>
      </b:Author>
    </b:Author>
    <b:Volume>5</b:Volume>
    <b:Issue>17</b:Issue>
    <b:RefOrder>4</b:RefOrder>
  </b:Source>
  <b:Source>
    <b:Tag>Bag88</b:Tag>
    <b:SourceType>JournalArticle</b:SourceType>
    <b:Guid>{558A5C7B-FB93-441F-B4A2-5278C29D0820}</b:Guid>
    <b:Title>On the evaluation of structural equation models</b:Title>
    <b:JournalName>Journal of the Academy of Marketing Science</b:JournalName>
    <b:Year>1988</b:Year>
    <b:Pages>74-94</b:Pages>
    <b:Author>
      <b:Author>
        <b:NameList>
          <b:Person>
            <b:Last>Bagozzi</b:Last>
            <b:First>R.</b:First>
          </b:Person>
          <b:Person>
            <b:Last>Yi</b:Last>
            <b:First>Y.</b:First>
          </b:Person>
        </b:NameList>
      </b:Author>
    </b:Author>
    <b:Volume>16</b:Volume>
    <b:Issue>1</b:Issue>
    <b:RefOrder>5</b:RefOrder>
  </b:Source>
  <b:Source>
    <b:Tag>Bar09</b:Tag>
    <b:SourceType>JournalArticle</b:SourceType>
    <b:Guid>{91D7B67F-90FC-44AF-8DBD-375EAAEA9993}</b:Guid>
    <b:Title>Towards a multidisciplinary definition of innovation</b:Title>
    <b:JournalName>Management Decision</b:JournalName>
    <b:Year>2009</b:Year>
    <b:Pages>1323-1339</b:Pages>
    <b:Author>
      <b:Author>
        <b:NameList>
          <b:Person>
            <b:Last>Baregheh</b:Last>
            <b:First>A.</b:First>
          </b:Person>
          <b:Person>
            <b:Last>Rowley</b:Last>
            <b:First>J.</b:First>
          </b:Person>
          <b:Person>
            <b:Last>Sambrook</b:Last>
            <b:First>S.</b:First>
          </b:Person>
        </b:NameList>
      </b:Author>
    </b:Author>
    <b:Volume>47</b:Volume>
    <b:Issue>8</b:Issue>
    <b:RefOrder>6</b:RefOrder>
  </b:Source>
  <b:Source>
    <b:Tag>Ben05</b:Tag>
    <b:SourceType>Book</b:SourceType>
    <b:Guid>{85BDDBAA-59B0-4E87-BAA4-26DB3DF6223C}</b:Guid>
    <b:Title>EQS 6 structural equations program manual</b:Title>
    <b:Year>2005</b:Year>
    <b:City>Encino, USA</b:City>
    <b:Publisher>Multivariate Software</b:Publisher>
    <b:Author>
      <b:Author>
        <b:NameList>
          <b:Person>
            <b:Last>Bentler</b:Last>
            <b:First>P.</b:First>
          </b:Person>
        </b:NameList>
      </b:Author>
    </b:Author>
    <b:RefOrder>7</b:RefOrder>
  </b:Source>
  <b:Source>
    <b:Tag>Bha10</b:Tag>
    <b:SourceType>JournalArticle</b:SourceType>
    <b:Guid>{BD454A01-22D7-4891-9549-B801E371B55D}</b:Guid>
    <b:Title>Managing innovation: understanding how continuity and change are interlinked</b:Title>
    <b:Year>2010</b:Year>
    <b:JournalName>Global Journal of Flexible Systems Management</b:JournalName>
    <b:Pages>63-74</b:Pages>
    <b:Author>
      <b:Author>
        <b:NameList>
          <b:Person>
            <b:Last>Bhat</b:Last>
            <b:First>J.</b:First>
          </b:Person>
        </b:NameList>
      </b:Author>
    </b:Author>
    <b:Volume>11</b:Volume>
    <b:Issue>1 y 2</b:Issue>
    <b:RefOrder>8</b:RefOrder>
  </b:Source>
  <b:Source>
    <b:Tag>Boy04</b:Tag>
    <b:SourceType>JournalArticle</b:SourceType>
    <b:Guid>{3684410E-118B-4C5C-A2A5-7A0B073AA26E}</b:Guid>
    <b:Title>Introduction to the special issue on service strategy and technology application</b:Title>
    <b:JournalName>Production and Operations Management</b:JournalName>
    <b:Year>2004</b:Year>
    <b:Pages>201-204</b:Pages>
    <b:Author>
      <b:Author>
        <b:NameList>
          <b:Person>
            <b:Last>Boyer</b:Last>
            <b:First>K.</b:First>
          </b:Person>
          <b:Person>
            <b:Last>Metters</b:Last>
            <b:First>R.</b:First>
          </b:Person>
        </b:NameList>
      </b:Author>
    </b:Author>
    <b:Volume>13</b:Volume>
    <b:Issue>3</b:Issue>
    <b:RefOrder>9</b:RefOrder>
  </b:Source>
  <b:Source>
    <b:Tag>Bra08</b:Tag>
    <b:SourceType>JournalArticle</b:SourceType>
    <b:Guid>{BEF42913-75BE-455A-9077-39852F4B35C7}</b:Guid>
    <b:Title>Knowledge, innovation and institutions: global and local dimensions of the ICT cluster in Waterloo, Canada</b:Title>
    <b:JournalName>Regional Studies</b:JournalName>
    <b:Year>2008</b:Year>
    <b:Pages>101-116</b:Pages>
    <b:Author>
      <b:Author>
        <b:NameList>
          <b:Person>
            <b:Last>Bramwell</b:Last>
            <b:First>A.</b:First>
          </b:Person>
          <b:Person>
            <b:Last>Nelles</b:Last>
            <b:First>J.</b:First>
          </b:Person>
          <b:Person>
            <b:Last>Wolfe</b:Last>
            <b:First>D.</b:First>
          </b:Person>
        </b:NameList>
      </b:Author>
    </b:Author>
    <b:Volume>42</b:Volume>
    <b:Issue>1</b:Issue>
    <b:RefOrder>10</b:RefOrder>
  </b:Source>
  <b:Source>
    <b:Tag>Bro06</b:Tag>
    <b:SourceType>Book</b:SourceType>
    <b:Guid>{B3AAE4DA-E88B-4753-B0FC-16C8F3232DFE}</b:Guid>
    <b:Title>Confirmatory factor analysis for applied research</b:Title>
    <b:Year>2006</b:Year>
    <b:City>New York, USA</b:City>
    <b:Publisher>The Guilford Press</b:Publisher>
    <b:Author>
      <b:Author>
        <b:NameList>
          <b:Person>
            <b:Last>Brown</b:Last>
            <b:First>T.</b:First>
          </b:Person>
        </b:NameList>
      </b:Author>
    </b:Author>
    <b:RefOrder>11</b:RefOrder>
  </b:Source>
  <b:Source>
    <b:Tag>Bur04</b:Tag>
    <b:SourceType>Book</b:SourceType>
    <b:Guid>{6D48A6FC-1A00-443C-99B2-A8618031FDF7}</b:Guid>
    <b:Title>Strategic management of technology and innovation</b:Title>
    <b:Year>2004</b:Year>
    <b:City>Nueva York</b:City>
    <b:Publisher>McGraw-Hill</b:Publisher>
    <b:Author>
      <b:Author>
        <b:NameList>
          <b:Person>
            <b:Last>Burgelman</b:Last>
            <b:First>R.</b:First>
          </b:Person>
          <b:Person>
            <b:Last>Maidique</b:Last>
            <b:First>M.</b:First>
          </b:Person>
          <b:Person>
            <b:Last>Wheelwright</b:Last>
            <b:First>S.</b:First>
          </b:Person>
        </b:NameList>
      </b:Author>
    </b:Author>
    <b:RefOrder>12</b:RefOrder>
  </b:Source>
  <b:Source>
    <b:Tag>Byr06</b:Tag>
    <b:SourceType>Book</b:SourceType>
    <b:Guid>{090FFA4C-D127-453E-86F0-2E06EE5735A0}</b:Guid>
    <b:Title>Structural equation modeling with EQS, basic concepts, applications, and programming</b:Title>
    <b:Year>2006</b:Year>
    <b:City>London, UK</b:City>
    <b:Publisher>LEA Publishers</b:Publisher>
    <b:Author>
      <b:Author>
        <b:NameList>
          <b:Person>
            <b:Last>Byrne</b:Last>
            <b:First>B.</b:First>
          </b:Person>
        </b:NameList>
      </b:Author>
    </b:Author>
    <b:Edition>2</b:Edition>
    <b:RefOrder>13</b:RefOrder>
  </b:Source>
  <b:Source>
    <b:Tag>Can05</b:Tag>
    <b:SourceType>Book</b:SourceType>
    <b:Guid>{93AE2E9A-A58B-4097-804C-E2F45BAFBEE5}</b:Guid>
    <b:Title>Innovation and competitiveness</b:Title>
    <b:Year>2005</b:Year>
    <b:City>Nueva York</b:City>
    <b:Publisher>Oxford University Press</b:Publisher>
    <b:Author>
      <b:Author>
        <b:NameList>
          <b:Person>
            <b:Last>Cantwell</b:Last>
            <b:First>J.</b:First>
          </b:Person>
        </b:NameList>
      </b:Author>
    </b:Author>
    <b:RefOrder>14</b:RefOrder>
  </b:Source>
  <b:Source>
    <b:Tag>Car14</b:Tag>
    <b:SourceType>JournalArticle</b:SourceType>
    <b:Guid>{A1978C1D-4F33-4B3F-8AAB-52CE0BD3A8AC}</b:Guid>
    <b:Title>Linking innovation, productivity, and competitiveness: implications for policy and practice</b:Title>
    <b:Year>2014</b:Year>
    <b:JournalName>Journal of Technology Transfer</b:JournalName>
    <b:Pages>199-218</b:Pages>
    <b:Author>
      <b:Author>
        <b:NameList>
          <b:Person>
            <b:Last>Carayannis</b:Last>
            <b:First>E.</b:First>
          </b:Person>
          <b:Person>
            <b:Last>Grigoroudis</b:Last>
            <b:First>E.</b:First>
          </b:Person>
        </b:NameList>
      </b:Author>
    </b:Author>
    <b:Volume>39</b:Volume>
    <b:Issue>SN</b:Issue>
    <b:RefOrder>15</b:RefOrder>
  </b:Source>
  <b:Source>
    <b:Tag>Che13</b:Tag>
    <b:SourceType>JournalArticle</b:SourceType>
    <b:Guid>{A0B3306A-1DC9-46D6-80D4-89F364C5B01D}</b:Guid>
    <b:Title>A theory of innovation resource synergy</b:Title>
    <b:JournalName>Innovation: management, policy and practice</b:JournalName>
    <b:Year>2013</b:Year>
    <b:Pages>368-392</b:Pages>
    <b:Author>
      <b:Author>
        <b:NameList>
          <b:Person>
            <b:Last>Chen</b:Last>
            <b:First>J.K.</b:First>
          </b:Person>
          <b:Person>
            <b:Last>Chen</b:Last>
            <b:First>I.S.</b:First>
          </b:Person>
        </b:NameList>
      </b:Author>
    </b:Author>
    <b:Volume>15</b:Volume>
    <b:Issue>3</b:Issue>
    <b:RefOrder>16</b:RefOrder>
  </b:Source>
  <b:Source>
    <b:Tag>Cho12</b:Tag>
    <b:SourceType>JournalArticle</b:SourceType>
    <b:Guid>{8BD60B85-A6B7-4538-BE5A-6C1CB98F2019}</b:Guid>
    <b:Title>The moderating effect of innovation protection mechanisms on the competitiveness of service firms</b:Title>
    <b:JournalName>Springer-Verlag</b:JournalName>
    <b:Year>2012</b:Year>
    <b:Pages>369-386</b:Pages>
    <b:Author>
      <b:Author>
        <b:NameList>
          <b:Person>
            <b:Last>Cho</b:Last>
            <b:First>I.</b:First>
          </b:Person>
          <b:Person>
            <b:Last>Park</b:Last>
            <b:First>H.</b:First>
          </b:Person>
          <b:Person>
            <b:Last>Kichul</b:Last>
            <b:First>J.</b:First>
          </b:Person>
        </b:NameList>
      </b:Author>
    </b:Author>
    <b:Volume>6</b:Volume>
    <b:RefOrder>17</b:RefOrder>
  </b:Source>
  <b:Source>
    <b:Tag>Col15</b:Tag>
    <b:SourceType>JournalArticle</b:SourceType>
    <b:Guid>{691183B6-BD0D-4FBE-9A4F-12BB4EED34AF}</b:Guid>
    <b:Title>National factor effects on firm competitiveness and innovation</b:Title>
    <b:JournalName>Competitiveness Review</b:JournalName>
    <b:Year>2015</b:Year>
    <b:Pages>392-409</b:Pages>
    <b:Author>
      <b:Author>
        <b:NameList>
          <b:Person>
            <b:Last>Collins</b:Last>
            <b:First>J.</b:First>
          </b:Person>
          <b:Person>
            <b:Last>Troilo</b:Last>
            <b:First>M.</b:First>
          </b:Person>
        </b:NameList>
      </b:Author>
    </b:Author>
    <b:Volume>25</b:Volume>
    <b:Issue>4</b:Issue>
    <b:RefOrder>18</b:RefOrder>
  </b:Source>
  <b:Source>
    <b:Tag>Com15</b:Tag>
    <b:SourceType>JournalArticle</b:SourceType>
    <b:Guid>{50CBB273-6F1A-40F4-86A5-0B855A1B85BB}</b:Guid>
    <b:Title>How early implementations influence later adoptions of innovation: social positioning and skill reproduction in the difussion of robotic surgery</b:Title>
    <b:JournalName>Academy of Management Journal</b:JournalName>
    <b:Year>2015</b:Year>
    <b:Pages>242-278</b:Pages>
    <b:Author>
      <b:Author>
        <b:NameList>
          <b:Person>
            <b:Last>Compagni</b:Last>
            <b:First>A.</b:First>
          </b:Person>
          <b:Person>
            <b:Last>Mele</b:Last>
            <b:First>V.</b:First>
          </b:Person>
          <b:Person>
            <b:Last>Ravasi</b:Last>
            <b:First>D.</b:First>
          </b:Person>
        </b:NameList>
      </b:Author>
    </b:Author>
    <b:Volume>58</b:Volume>
    <b:Issue>1</b:Issue>
    <b:RefOrder>19</b:RefOrder>
  </b:Source>
  <b:Source>
    <b:Tag>Cos14</b:Tag>
    <b:SourceType>JournalArticle</b:SourceType>
    <b:Guid>{A4271A44-AD75-4D52-A98C-8B573254A0ED}</b:Guid>
    <b:Title>Critical elements for produc innovation at Portuguese innovative SMEs: an intellectual capital perspective</b:Title>
    <b:JournalName>Knowledge Management Research &amp; Practice</b:JournalName>
    <b:Year>2014</b:Year>
    <b:Pages>322-338</b:Pages>
    <b:Author>
      <b:Author>
        <b:NameList>
          <b:Person>
            <b:Last>Costa</b:Last>
            <b:First>R.</b:First>
          </b:Person>
          <b:Person>
            <b:Last>Fernández-Jardon</b:Last>
            <b:First>C.</b:First>
          </b:Person>
          <b:Person>
            <b:Last>Figueroa</b:Last>
            <b:First>P.</b:First>
          </b:Person>
        </b:NameList>
      </b:Author>
    </b:Author>
    <b:Volume>12</b:Volume>
    <b:RefOrder>20</b:RefOrder>
  </b:Source>
  <b:Source>
    <b:Tag>deB01</b:Tag>
    <b:SourceType>JournalArticle</b:SourceType>
    <b:Guid>{795E5CE8-97FC-4892-9A70-EC0083AC6ECE}</b:Guid>
    <b:Title>Innovative versus incremental new business services: different keys for achieving success</b:Title>
    <b:JournalName>Journal of Product Innovation Management</b:JournalName>
    <b:Year>2001</b:Year>
    <b:Pages>169-187</b:Pages>
    <b:Author>
      <b:Author>
        <b:NameList>
          <b:Person>
            <b:Last>de Brentani</b:Last>
            <b:First>U.</b:First>
          </b:Person>
        </b:NameList>
      </b:Author>
    </b:Author>
    <b:Volume>18</b:Volume>
    <b:Issue>3</b:Issue>
    <b:RefOrder>21</b:RefOrder>
  </b:Source>
  <b:Source>
    <b:Tag>Dog08</b:Tag>
    <b:SourceType>JournalArticle</b:SourceType>
    <b:Guid>{75EBDD95-F2AB-49D2-ACF5-10F7623344C6}</b:Guid>
    <b:Title>The evolving nature of Taiwan´s national innovation system: the case of biotechnology innovation networks</b:Title>
    <b:JournalName>Research Policy</b:JournalName>
    <b:Year>2008</b:Year>
    <b:Pages>430-445</b:Pages>
    <b:Author>
      <b:Author>
        <b:NameList>
          <b:Person>
            <b:Last>Dogson</b:Last>
            <b:First>M.</b:First>
          </b:Person>
          <b:Person>
            <b:Last>Mathews</b:Last>
            <b:First>J.</b:First>
          </b:Person>
          <b:Person>
            <b:Last>Kastelle</b:Last>
            <b:First>T.</b:First>
          </b:Person>
          <b:Person>
            <b:Last>Hu</b:Last>
            <b:First>M.</b:First>
          </b:Person>
        </b:NameList>
      </b:Author>
    </b:Author>
    <b:Volume>37</b:Volume>
    <b:Issue>3</b:Issue>
    <b:RefOrder>22</b:RefOrder>
  </b:Source>
  <b:Source>
    <b:Tag>Dru95</b:Tag>
    <b:SourceType>Book</b:SourceType>
    <b:Guid>{280ADAB3-3450-4641-A79C-4943F81A1A17}</b:Guid>
    <b:Title>Innovation and entrepreneurship</b:Title>
    <b:Year>1995</b:Year>
    <b:City>Nueva York</b:City>
    <b:Publisher>Harper Collins</b:Publisher>
    <b:Author>
      <b:Author>
        <b:NameList>
          <b:Person>
            <b:Last>Drucker</b:Last>
            <b:First>P.</b:First>
          </b:Person>
        </b:NameList>
      </b:Author>
    </b:Author>
    <b:RefOrder>23</b:RefOrder>
  </b:Source>
  <b:Source>
    <b:Tag>The14</b:Tag>
    <b:SourceType>JournalArticle</b:SourceType>
    <b:Guid>{AA144A21-C7B0-4E1D-A646-168F293D8344}</b:Guid>
    <b:Title>The impact of a creativity-supporting work environment on a firm´s product innovation performance</b:Title>
    <b:Year>2014</b:Year>
    <b:JournalName>Production Innovation Management</b:JournalName>
    <b:Pages>1254-1267</b:Pages>
    <b:Volume>31</b:Volume>
    <b:Issue>6</b:Issue>
    <b:Author>
      <b:Author>
        <b:NameList>
          <b:Person>
            <b:Last>Dul</b:Last>
            <b:First>J.</b:First>
          </b:Person>
          <b:Person>
            <b:Last>Ceylan</b:Last>
            <b:First>C.</b:First>
          </b:Person>
        </b:NameList>
      </b:Author>
    </b:Author>
    <b:RefOrder>24</b:RefOrder>
  </b:Source>
  <b:Source>
    <b:Tag>Dur16</b:Tag>
    <b:SourceType>JournalArticle</b:SourceType>
    <b:Guid>{91369A05-DEE1-495C-B135-8ADE9DA08409}</b:Guid>
    <b:Title>Doing more with less: innovation input and output in family firms</b:Title>
    <b:JournalName>Academy of Management Journal</b:JournalName>
    <b:Year>2016</b:Year>
    <b:Pages>1224-1264</b:Pages>
    <b:Author>
      <b:Author>
        <b:NameList>
          <b:Person>
            <b:Last>Duran</b:Last>
            <b:First>P.</b:First>
          </b:Person>
          <b:Person>
            <b:Last>Kammerlander</b:Last>
            <b:First>N.</b:First>
          </b:Person>
          <b:Person>
            <b:Last>van Essen</b:Last>
            <b:First>M.</b:First>
          </b:Person>
          <b:Person>
            <b:Last>Zellweger</b:Last>
            <b:First>T.</b:First>
          </b:Person>
        </b:NameList>
      </b:Author>
    </b:Author>
    <b:Volume>59</b:Volume>
    <b:Issue>4</b:Issue>
    <b:RefOrder>25</b:RefOrder>
  </b:Source>
  <b:Source>
    <b:Tag>Flo15</b:Tag>
    <b:SourceType>JournalArticle</b:SourceType>
    <b:Guid>{34B7AE54-7428-4414-A6B2-83C64041F506}</b:Guid>
    <b:Title>Rural competitiveness through innovation in Romania: opportunities and risks</b:Title>
    <b:JournalName>. Agricultural Management property of Banat University of Agricultural Sciences &amp; Veterinary Medicine Timisoara</b:JournalName>
    <b:Year>2015</b:Year>
    <b:Pages>186-193</b:Pages>
    <b:Author>
      <b:Author>
        <b:NameList>
          <b:Person>
            <b:Last>Florian</b:Last>
            <b:First>V.</b:First>
          </b:Person>
          <b:Person>
            <b:Last>Tudor</b:Last>
            <b:First>M.</b:First>
          </b:Person>
        </b:NameList>
      </b:Author>
    </b:Author>
    <b:Volume>XVII</b:Volume>
    <b:Issue>2</b:Issue>
    <b:RefOrder>26</b:RefOrder>
  </b:Source>
  <b:Source>
    <b:Tag>For81</b:Tag>
    <b:SourceType>JournalArticle</b:SourceType>
    <b:Guid>{3B9B0564-5E63-4090-ACC8-5B057E8891B0}</b:Guid>
    <b:Title>Evaluating structural equation models with unobservable variablesand measurement error</b:Title>
    <b:JournalName>Journal of Marketing Research</b:JournalName>
    <b:Year>1981</b:Year>
    <b:Pages>39-50</b:Pages>
    <b:Author>
      <b:Author>
        <b:NameList>
          <b:Person>
            <b:Last>Fornell</b:Last>
            <b:First>C.</b:First>
          </b:Person>
          <b:Person>
            <b:Last>Larcker</b:Last>
            <b:First>D.</b:First>
          </b:Person>
        </b:NameList>
      </b:Author>
    </b:Author>
    <b:Volume>18</b:Volume>
    <b:RefOrder>27</b:RefOrder>
  </b:Source>
  <b:Source>
    <b:Tag>Gaj14</b:Tag>
    <b:SourceType>JournalArticle</b:SourceType>
    <b:Guid>{A8A869F3-C528-40DC-8755-AA292367CB3D}</b:Guid>
    <b:Title>Deconstructing dynamic capabilities: the role of cognitive and organizational routines in the innovation process</b:Title>
    <b:JournalName>Construction Management and Economics</b:JournalName>
    <b:Year>2014</b:Year>
    <b:Pages>246-261</b:Pages>
    <b:Author>
      <b:Author>
        <b:NameList>
          <b:Person>
            <b:Last>Gajendran</b:Last>
            <b:First>T.</b:First>
          </b:Person>
          <b:Person>
            <b:Last>Brewer</b:Last>
            <b:First>G.</b:First>
          </b:Person>
          <b:Person>
            <b:Last>Gudergan</b:Last>
            <b:First>S.</b:First>
          </b:Person>
          <b:Person>
            <b:Last>Sankaran</b:Last>
            <b:First>S.</b:First>
          </b:Person>
        </b:NameList>
      </b:Author>
    </b:Author>
    <b:Volume>32</b:Volume>
    <b:Issue>3</b:Issue>
    <b:RefOrder>28</b:RefOrder>
  </b:Source>
  <b:Source>
    <b:Tag>Gal97</b:Tag>
    <b:SourceType>JournalArticle</b:SourceType>
    <b:Guid>{58C9D69E-2B44-41A7-BF13-86F318CE63CD}</b:Guid>
    <b:Title>Innovation in services</b:Title>
    <b:JournalName>Research Policy</b:JournalName>
    <b:Year>1997</b:Year>
    <b:Pages>537-556</b:Pages>
    <b:Author>
      <b:Author>
        <b:NameList>
          <b:Person>
            <b:Last>Gallouj</b:Last>
            <b:First>F.</b:First>
          </b:Person>
          <b:Person>
            <b:Last>Weinstein</b:Last>
            <b:First>O.</b:First>
          </b:Person>
        </b:NameList>
      </b:Author>
    </b:Author>
    <b:Volume>26</b:Volume>
    <b:RefOrder>29</b:RefOrder>
  </b:Source>
  <b:Source>
    <b:Tag>Gre12</b:Tag>
    <b:SourceType>JournalArticle</b:SourceType>
    <b:Guid>{995CC2EA-6307-4D54-A6F6-9A83C670E248}</b:Guid>
    <b:Title>Trade marks and performance in services and manufacturing firms: evidence of schumpeterian competition through innovation</b:Title>
    <b:JournalName>The Australian Economic Review</b:JournalName>
    <b:Year>2012</b:Year>
    <b:Pages>50-76</b:Pages>
    <b:Author>
      <b:Author>
        <b:NameList>
          <b:Person>
            <b:Last>Greenhalgh</b:Last>
            <b:First>C.</b:First>
          </b:Person>
          <b:Person>
            <b:Last>Rogers</b:Last>
            <b:First>M.</b:First>
          </b:Person>
        </b:NameList>
      </b:Author>
    </b:Author>
    <b:Volume>45</b:Volume>
    <b:Issue>1</b:Issue>
    <b:RefOrder>30</b:RefOrder>
  </b:Source>
  <b:Source>
    <b:Tag>Hen12</b:Tag>
    <b:SourceType>JournalArticle</b:SourceType>
    <b:Guid>{586431BE-E9FA-4DC9-99A5-F6AEC4AF0A75}</b:Guid>
    <b:Title>Resource dedication and new product performance: a resource-based view</b:Title>
    <b:JournalName>Product Development and Management Association</b:JournalName>
    <b:Year>2012</b:Year>
    <b:Pages>193-204</b:Pages>
    <b:Author>
      <b:Author>
        <b:NameList>
          <b:Person>
            <b:Last>Henard</b:Last>
            <b:First>D.</b:First>
          </b:Person>
          <b:Person>
            <b:Last>McFayden</b:Last>
            <b:First>M.</b:First>
          </b:Person>
        </b:NameList>
      </b:Author>
    </b:Author>
    <b:Volume>29</b:Volume>
    <b:Issue>2</b:Issue>
    <b:RefOrder>31</b:RefOrder>
  </b:Source>
  <b:Source>
    <b:Tag>Hil07</b:Tag>
    <b:SourceType>JournalArticle</b:SourceType>
    <b:Guid>{4E20D172-55E8-48EE-82B4-E86B15C6E305}</b:Guid>
    <b:Title>Strategic profiling: A visual representation of internal strategic fit in service organisations</b:Title>
    <b:JournalName>International Journal of Operations &amp; Production Management</b:JournalName>
    <b:Year>2007</b:Year>
    <b:Pages>1333-1361</b:Pages>
    <b:Author>
      <b:Author>
        <b:NameList>
          <b:Person>
            <b:Last>Hill</b:Last>
            <b:First>A.</b:First>
          </b:Person>
          <b:Person>
            <b:Last>Brown</b:Last>
            <b:First>S.</b:First>
          </b:Person>
        </b:NameList>
      </b:Author>
    </b:Author>
    <b:Volume>27</b:Volume>
    <b:RefOrder>32</b:RefOrder>
  </b:Source>
  <b:Source>
    <b:Tag>Hon15</b:Tag>
    <b:SourceType>JournalArticle</b:SourceType>
    <b:Guid>{5E86D1B3-69B3-4252-B58F-E4A675BB1B84}</b:Guid>
    <b:Title>Product-service system and firm performance: the mediating role of product and process technological innovation</b:Title>
    <b:JournalName>Emerging Markets Finance &amp; Trade</b:JournalName>
    <b:Year>2015</b:Year>
    <b:Pages>975-984</b:Pages>
    <b:Author>
      <b:Author>
        <b:NameList>
          <b:Person>
            <b:Last>Hong</b:Last>
            <b:First>Y.</b:First>
          </b:Person>
          <b:Person>
            <b:Last>Kim</b:Last>
            <b:First>Y.</b:First>
          </b:Person>
          <b:Person>
            <b:Last>Cin</b:Last>
            <b:First>B.</b:First>
          </b:Person>
        </b:NameList>
      </b:Author>
    </b:Author>
    <b:Volume>51</b:Volume>
    <b:RefOrder>33</b:RefOrder>
  </b:Source>
  <b:Source>
    <b:Tag>Hun13</b:Tag>
    <b:SourceType>JournalArticle</b:SourceType>
    <b:Guid>{888C6E5E-5BF3-4E87-AD14-F753E5E3418E}</b:Guid>
    <b:Title>The impact of open innovation on firm performance: The moderating effects of internal R&amp;D and environmental turbulence</b:Title>
    <b:JournalName>Technovation</b:JournalName>
    <b:Year>2013</b:Year>
    <b:Pages>368-80</b:Pages>
    <b:Author>
      <b:Author>
        <b:NameList>
          <b:Person>
            <b:Last>Hung</b:Last>
            <b:First>K.</b:First>
          </b:Person>
          <b:Person>
            <b:Last>Chou</b:Last>
            <b:First>C.</b:First>
          </b:Person>
        </b:NameList>
      </b:Author>
    </b:Author>
    <b:Volume>33</b:Volume>
    <b:Issue>10-11</b:Issue>
    <b:RefOrder>34</b:RefOrder>
  </b:Source>
  <b:Source>
    <b:Tag>Kar15</b:Tag>
    <b:SourceType>JournalArticle</b:SourceType>
    <b:Guid>{E9669BFF-19B8-48A2-96A6-DC2536D694AC}</b:Guid>
    <b:Title>The influence of HR practices on business strategy and firm performance: the case of banking industry in Iran</b:Title>
    <b:JournalName>IUP Journal of Management Research property of IUP Publications</b:JournalName>
    <b:Year>2015</b:Year>
    <b:Pages>30-53</b:Pages>
    <b:Author>
      <b:Author>
        <b:NameList>
          <b:Person>
            <b:Last>Karami</b:Last>
            <b:First>A.</b:First>
          </b:Person>
          <b:Person>
            <b:Last>Sahebalzamani</b:Last>
            <b:First>S.</b:First>
          </b:Person>
          <b:Person>
            <b:Last>Sarabi</b:Last>
            <b:First>B.</b:First>
          </b:Person>
        </b:NameList>
      </b:Author>
    </b:Author>
    <b:Volume>XIV</b:Volume>
    <b:Issue>1</b:Issue>
    <b:RefOrder>35</b:RefOrder>
  </b:Source>
  <b:Source>
    <b:Tag>Kum14</b:Tag>
    <b:SourceType>JournalArticle</b:SourceType>
    <b:Guid>{C0D4EB2A-A0B8-4CFF-98DB-C2E6E494C200}</b:Guid>
    <b:Title>Understanding cultural differences in innovation: a conceptual framework and future research directions</b:Title>
    <b:JournalName>Journal of International Marketing, American Marketing Association</b:JournalName>
    <b:Year>2014</b:Year>
    <b:Pages>1-29</b:Pages>
    <b:Author>
      <b:Author>
        <b:NameList>
          <b:Person>
            <b:Last>Kumar</b:Last>
            <b:First>V.</b:First>
          </b:Person>
        </b:NameList>
      </b:Author>
    </b:Author>
    <b:Volume>22</b:Volume>
    <b:Issue>3</b:Issue>
    <b:RefOrder>36</b:RefOrder>
  </b:Source>
  <b:Source>
    <b:Tag>Kuz14</b:Tag>
    <b:SourceType>JournalArticle</b:SourceType>
    <b:Guid>{CC8ADDB2-9B09-4061-B7ED-B4F51E84BFE5}</b:Guid>
    <b:Title>Competition, innovation and strategy</b:Title>
    <b:JournalName>Problems of Economic Transition</b:JournalName>
    <b:Year>2014</b:Year>
    <b:Pages>3-36</b:Pages>
    <b:Author>
      <b:Author>
        <b:NameList>
          <b:Person>
            <b:Last>Kuznetsova</b:Last>
            <b:First>T.</b:First>
          </b:Person>
          <b:Person>
            <b:Last>Roud</b:Last>
            <b:First>V.</b:First>
          </b:Person>
        </b:NameList>
      </b:Author>
    </b:Author>
    <b:Volume>57</b:Volume>
    <b:Issue>2</b:Issue>
    <b:RefOrder>37</b:RefOrder>
  </b:Source>
  <b:Source>
    <b:Tag>Kve15</b:Tag>
    <b:SourceType>JournalArticle</b:SourceType>
    <b:Guid>{62A3D43A-3E55-48E6-AFA6-168BB5FFA38C}</b:Guid>
    <b:Title>Technological innovations in the context of contemporary challenges: sustainability and competitiveness</b:Title>
    <b:JournalName>Public Administration property of Lithuanian Public Administration Training Association</b:JournalName>
    <b:Year>2015</b:Year>
    <b:Pages>121-127</b:Pages>
    <b:Author>
      <b:Author>
        <b:NameList>
          <b:Person>
            <b:Last>Kvedariene</b:Last>
            <b:First>A.</b:First>
          </b:Person>
        </b:NameList>
      </b:Author>
    </b:Author>
    <b:Volume>3-4</b:Volume>
    <b:Issue>47-48</b:Issue>
    <b:RefOrder>38</b:RefOrder>
  </b:Source>
  <b:Source>
    <b:Tag>Lem17</b:Tag>
    <b:SourceType>InternetSite</b:SourceType>
    <b:Guid>{8B84E82F-8AA9-44F9-BE04-F983C46A5AF5}</b:Guid>
    <b:Title>Cómo elaborar una encuesta o cuestionario de investigación de mercados</b:Title>
    <b:Year>2017</b:Year>
    <b:InternetSiteTitle>Gestion.org</b:InternetSiteTitle>
    <b:Month>Mayo</b:Month>
    <b:Day>21</b:Day>
    <b:URL>https://www.gestion.org/marketing/investigacion-mercados/31823/como-elaborar-una-encuesta-o-cuestionario-de-investigacion-de-mercados/</b:URL>
    <b:Author>
      <b:Author>
        <b:NameList>
          <b:Person>
            <b:Last>Lema</b:Last>
            <b:First>S.</b:First>
          </b:Person>
        </b:NameList>
      </b:Author>
    </b:Author>
    <b:RefOrder>39</b:RefOrder>
  </b:Source>
  <b:Source>
    <b:Tag>Lew14</b:Tag>
    <b:SourceType>JournalArticle</b:SourceType>
    <b:Guid>{7CFADD8B-D67F-40AC-91DA-E017948ED10E}</b:Guid>
    <b:Title>Innovation barriers and international competitiveness of enterprises from Polish food processing industry. Research results.</b:Title>
    <b:Year>2014</b:Year>
    <b:JournalName>Acta Scientiarum Polonorum</b:JournalName>
    <b:Pages>103-113</b:Pages>
    <b:Author>
      <b:Author>
        <b:NameList>
          <b:Person>
            <b:Last>Lewandowska</b:Last>
            <b:First>M.</b:First>
          </b:Person>
        </b:NameList>
      </b:Author>
    </b:Author>
    <b:Volume>13</b:Volume>
    <b:Issue>4</b:Issue>
    <b:RefOrder>40</b:RefOrder>
  </b:Source>
  <b:Source>
    <b:Tag>Mar11</b:Tag>
    <b:SourceType>JournalArticle</b:SourceType>
    <b:Guid>{ED9BFDAE-00A5-430F-97F8-EF1C22ED5164}</b:Guid>
    <b:Title>Innovation and competitiveness in SMEs: the local experience in San Luis Potosí</b:Title>
    <b:JournalName>Journal of Marketing and Management</b:JournalName>
    <b:Year>2011</b:Year>
    <b:Pages>74-92</b:Pages>
    <b:Author>
      <b:Author>
        <b:NameList>
          <b:Person>
            <b:Last>Martínez</b:Last>
            <b:First>M.</b:First>
          </b:Person>
          <b:Person>
            <b:Last>Palos</b:Last>
            <b:First>G.</b:First>
          </b:Person>
          <b:Person>
            <b:Last>León</b:Last>
            <b:First>B.</b:First>
          </b:Person>
          <b:Person>
            <b:Last>Ramos</b:Last>
            <b:First>R.</b:First>
          </b:Person>
        </b:NameList>
      </b:Author>
    </b:Author>
    <b:Volume>4</b:Volume>
    <b:Issue>1</b:Issue>
    <b:RefOrder>41</b:RefOrder>
  </b:Source>
  <b:Source>
    <b:Tag>McD12</b:Tag>
    <b:SourceType>JournalArticle</b:SourceType>
    <b:Guid>{D9675FA7-55C0-43F8-A396-F0EC2E564E37}</b:Guid>
    <b:Title>Service innovation and performance in SMEs</b:Title>
    <b:JournalName>International Journal of Operations &amp; Production Management</b:JournalName>
    <b:Year>2012</b:Year>
    <b:Pages>216-237</b:Pages>
    <b:Author>
      <b:Author>
        <b:NameList>
          <b:Person>
            <b:Last>McDermott</b:Last>
            <b:First>C.</b:First>
          </b:Person>
          <b:Person>
            <b:Last>Prajogo</b:Last>
            <b:First>D.</b:First>
          </b:Person>
        </b:NameList>
      </b:Author>
    </b:Author>
    <b:Volume>32</b:Volume>
    <b:Issue>2</b:Issue>
    <b:RefOrder>42</b:RefOrder>
  </b:Source>
  <b:Source>
    <b:Tag>Moe10</b:Tag>
    <b:SourceType>JournalArticle</b:SourceType>
    <b:Guid>{498AC6FB-2BC1-4047-8259-2C3E7844AD26}</b:Guid>
    <b:Title>Strategic innovation decisions: what you foresee is not what you get</b:Title>
    <b:JournalName>Journal of Product Innovation Management</b:JournalName>
    <b:Year>2010</b:Year>
    <b:Pages>840-855</b:Pages>
    <b:Author>
      <b:Author>
        <b:NameList>
          <b:Person>
            <b:Last>Moenaert</b:Last>
            <b:First>R.</b:First>
          </b:Person>
          <b:Person>
            <b:Last>Robben</b:Last>
            <b:First>H.</b:First>
          </b:Person>
          <b:Person>
            <b:Last>Antioco</b:Last>
            <b:First>M.</b:First>
          </b:Person>
          <b:Person>
            <b:Last>De Schamphelaere</b:Last>
            <b:First>V.</b:First>
          </b:Person>
          <b:Person>
            <b:Last>Roks</b:Last>
            <b:First>E.</b:First>
          </b:Person>
        </b:NameList>
      </b:Author>
    </b:Author>
    <b:Volume>27</b:Volume>
    <b:RefOrder>43</b:RefOrder>
  </b:Source>
  <b:Source>
    <b:Tag>Naj14</b:Tag>
    <b:SourceType>JournalArticle</b:SourceType>
    <b:Guid>{047975FF-FD98-4936-9AF5-82194476D280}</b:Guid>
    <b:Title>Collaborative networks as a soruce of innovation and sustainable competitiveness for small and medium food processing enterprises in Indonesia</b:Title>
    <b:JournalName>International Journal of Business and Management</b:JournalName>
    <b:Year>2014</b:Year>
    <b:Pages>147-159</b:Pages>
    <b:Author>
      <b:Author>
        <b:NameList>
          <b:Person>
            <b:Last>Najib</b:Last>
            <b:First>M.</b:First>
          </b:Person>
          <b:Person>
            <b:Last>Ratna</b:Last>
            <b:First>F.</b:First>
          </b:Person>
          <b:Person>
            <b:Last>Widyastuti</b:Last>
            <b:First>H.</b:First>
          </b:Person>
        </b:NameList>
      </b:Author>
    </b:Author>
    <b:Volume>9</b:Volume>
    <b:Issue>9</b:Issue>
    <b:RefOrder>44</b:RefOrder>
  </b:Source>
  <b:Source>
    <b:Tag>OMa08</b:Tag>
    <b:SourceType>JournalArticle</b:SourceType>
    <b:Guid>{625B45AC-A543-4CDD-B7FA-402D10BCCB4B}</b:Guid>
    <b:Title>Transactions sector, innovation and competitiveness</b:Title>
    <b:Year>2008</b:Year>
    <b:JournalName>Australian Journal of Regional Studies</b:JournalName>
    <b:Pages>335-356</b:Pages>
    <b:Author>
      <b:Author>
        <b:NameList>
          <b:Person>
            <b:Last>O´Malley</b:Last>
            <b:First>D.</b:First>
          </b:Person>
        </b:NameList>
      </b:Author>
    </b:Author>
    <b:Volume>14</b:Volume>
    <b:Issue>3</b:Issue>
    <b:RefOrder>45</b:RefOrder>
  </b:Source>
  <b:Source>
    <b:Tag>Psy94</b:Tag>
    <b:SourceType>Book</b:SourceType>
    <b:Guid>{3DA379E9-B394-40F3-AC50-2408EFB8D23C}</b:Guid>
    <b:Title>Psychometric theory</b:Title>
    <b:Year>1994</b:Year>
    <b:City>New York, USA</b:City>
    <b:Publisher>McGraw-Hill</b:Publisher>
    <b:Edition>3</b:Edition>
    <b:Author>
      <b:Author>
        <b:NameList>
          <b:Person>
            <b:Last>Nunnally</b:Last>
            <b:First>J.</b:First>
          </b:Person>
          <b:Person>
            <b:Last>Bernstein</b:Last>
            <b:First>I.</b:First>
          </b:Person>
        </b:NameList>
      </b:Author>
    </b:Author>
    <b:RefOrder>46</b:RefOrder>
  </b:Source>
  <b:Source>
    <b:Tag>Par13</b:Tag>
    <b:SourceType>JournalArticle</b:SourceType>
    <b:Guid>{14FF6F77-223E-4285-9985-203F2408422D}</b:Guid>
    <b:Title>Competitiveness through innovation at national and european level under the circumstances of the economic and financial crisis</b:Title>
    <b:JournalName>Knowledge Horizons - Economics</b:JournalName>
    <b:Year>2013</b:Year>
    <b:Pages>112-114</b:Pages>
    <b:Author>
      <b:Author>
        <b:NameList>
          <b:Person>
            <b:Last>Paraian</b:Last>
            <b:First>E.</b:First>
          </b:Person>
        </b:NameList>
      </b:Author>
    </b:Author>
    <b:Volume>5</b:Volume>
    <b:Issue>3</b:Issue>
    <b:RefOrder>47</b:RefOrder>
  </b:Source>
  <b:Source>
    <b:Tag>Pat14</b:Tag>
    <b:SourceType>JournalArticle</b:SourceType>
    <b:Guid>{8DB26B21-2210-406A-8E83-6B3420FECABD}</b:Guid>
    <b:Title>Structural power equality between family and non-family TMT members and the performance of family firms</b:Title>
    <b:JournalName>Academy of Management Journal property of Academy of Management</b:JournalName>
    <b:Year>2014</b:Year>
    <b:Pages>1624-1649</b:Pages>
    <b:Author>
      <b:Author>
        <b:NameList>
          <b:Person>
            <b:Last>Patel</b:Last>
            <b:First>P.C.</b:First>
          </b:Person>
          <b:Person>
            <b:Last>Cooper</b:Last>
            <b:First>D.</b:First>
          </b:Person>
        </b:NameList>
      </b:Author>
    </b:Author>
    <b:Volume>57</b:Volume>
    <b:Issue>6</b:Issue>
    <b:RefOrder>48</b:RefOrder>
  </b:Source>
  <b:Source>
    <b:Tag>Pel10</b:Tag>
    <b:SourceType>JournalArticle</b:SourceType>
    <b:Guid>{BC9640B2-1A35-4605-8641-E154F11D719D}</b:Guid>
    <b:Title>Innovation and competitiveness in construction companies</b:Title>
    <b:JournalName>Journal of Management Research</b:JournalName>
    <b:Year>2010</b:Year>
    <b:Pages>103-115</b:Pages>
    <b:Author>
      <b:Author>
        <b:NameList>
          <b:Person>
            <b:Last>Pellicer</b:Last>
            <b:First>E.</b:First>
          </b:Person>
          <b:Person>
            <b:Last>Yepes</b:Last>
            <b:First>V.</b:First>
          </b:Person>
          <b:Person>
            <b:Last>Rojas</b:Last>
            <b:First>R.</b:First>
          </b:Person>
        </b:NameList>
      </b:Author>
    </b:Author>
    <b:Volume>10</b:Volume>
    <b:Issue>2</b:Issue>
    <b:RefOrder>49</b:RefOrder>
  </b:Source>
  <b:Source>
    <b:Tag>Por90</b:Tag>
    <b:SourceType>Book</b:SourceType>
    <b:Guid>{5FF8600C-953E-4C23-B93A-FF7B5D2B5095}</b:Guid>
    <b:Title>The Competitive Advantage of Nations.</b:Title>
    <b:Year>1990</b:Year>
    <b:City>New York</b:City>
    <b:Publisher>Macmillan Press</b:Publisher>
    <b:Author>
      <b:Author>
        <b:NameList>
          <b:Person>
            <b:Last>Porter</b:Last>
            <b:First>M.</b:First>
          </b:Person>
        </b:NameList>
      </b:Author>
    </b:Author>
    <b:RefOrder>50</b:RefOrder>
  </b:Source>
  <b:Source>
    <b:Tag>Por04</b:Tag>
    <b:SourceType>Book</b:SourceType>
    <b:Guid>{9D0A7FCA-A9AD-45B5-ABB2-545D0DEAD7BF}</b:Guid>
    <b:Title>Ranking national innovative capacity: findings from the national innovative capacity index</b:Title>
    <b:Year>2004</b:Year>
    <b:City>New York</b:City>
    <b:Publisher>Oxford University Press</b:Publisher>
    <b:Author>
      <b:Author>
        <b:NameList>
          <b:Person>
            <b:Last>Porter</b:Last>
            <b:First>M.</b:First>
          </b:Person>
          <b:Person>
            <b:Last>Stern</b:Last>
            <b:First>S.</b:First>
          </b:Person>
        </b:NameList>
      </b:Author>
    </b:Author>
    <b:RefOrder>51</b:RefOrder>
  </b:Source>
  <b:Source>
    <b:Tag>Ram12</b:Tag>
    <b:SourceType>JournalArticle</b:SourceType>
    <b:Guid>{00123363-66D5-4FA6-A1FC-7B0DB2BF33B2}</b:Guid>
    <b:Title>Service innovation in banks of sustainability</b:Title>
    <b:Year>2012</b:Year>
    <b:JournalName>International Journal of Management &amp; Business Studies</b:JournalName>
    <b:Pages>80-83</b:Pages>
    <b:Author>
      <b:Author>
        <b:NameList>
          <b:Person>
            <b:Last>Ramakrishna</b:Last>
            <b:First>Y.</b:First>
          </b:Person>
        </b:NameList>
      </b:Author>
    </b:Author>
    <b:Volume>2</b:Volume>
    <b:Issue>2</b:Issue>
    <b:RefOrder>52</b:RefOrder>
  </b:Source>
  <b:Source>
    <b:Tag>Rez15</b:Tag>
    <b:SourceType>JournalArticle</b:SourceType>
    <b:Guid>{EFBA3EFB-17BC-4306-BB2D-BD3BCF8F0543}</b:Guid>
    <b:Title>Identification of service innovation dimensions in service organizations</b:Title>
    <b:JournalName>International Journal of Management, Accounting and Economics</b:JournalName>
    <b:Year>2015</b:Year>
    <b:Pages>737-747</b:Pages>
    <b:Author>
      <b:Author>
        <b:NameList>
          <b:Person>
            <b:Last>Reza</b:Last>
            <b:First>M.</b:First>
          </b:Person>
          <b:Person>
            <b:Last>Rezvani</b:Last>
            <b:First>M.</b:First>
          </b:Person>
          <b:Person>
            <b:Last>Afshar</b:Last>
            <b:First>M.</b:First>
          </b:Person>
        </b:NameList>
      </b:Author>
    </b:Author>
    <b:Volume>2</b:Volume>
    <b:Issue>7</b:Issue>
    <b:RefOrder>53</b:RefOrder>
  </b:Source>
  <b:Source>
    <b:Tag>Rub12</b:Tag>
    <b:SourceType>JournalArticle</b:SourceType>
    <b:Guid>{636318A7-5F2D-4113-B936-DE93315AFA42}</b:Guid>
    <b:Title>Technological and design innovation effects in regional new product rollouts: a european illustration</b:Title>
    <b:JournalName>Production Innovation Management</b:JournalName>
    <b:Year>2012</b:Year>
    <b:Pages>1047-1060</b:Pages>
    <b:Author>
      <b:Author>
        <b:NameList>
          <b:Person>
            <b:Last>Rubera</b:Last>
            <b:First>G.</b:First>
          </b:Person>
          <b:Person>
            <b:Last>Griffith</b:Last>
            <b:First>D.</b:First>
          </b:Person>
          <b:Person>
            <b:Last>Yalcinkaya</b:Last>
            <b:First>G.</b:First>
          </b:Person>
        </b:NameList>
      </b:Author>
    </b:Author>
    <b:Volume>29</b:Volume>
    <b:Issue>6</b:Issue>
    <b:RefOrder>54</b:RefOrder>
  </b:Source>
  <b:Source>
    <b:Tag>Rui13</b:Tag>
    <b:SourceType>JournalArticle</b:SourceType>
    <b:Guid>{00A87D9D-8648-4365-B4ED-1B9D0984AC14}</b:Guid>
    <b:Title>Determinants of proactive innovative behaviour in new services: empirical investigation of service versus manufacturing firms</b:Title>
    <b:JournalName>The Service Industries Journal</b:JournalName>
    <b:Year>2013</b:Year>
    <b:Pages>977-1002</b:Pages>
    <b:Author>
      <b:Author>
        <b:NameList>
          <b:Person>
            <b:Last>Ruiz</b:Last>
            <b:First>A.</b:First>
          </b:Person>
          <b:Person>
            <b:Last>García-Morales</b:Last>
            <b:First>V.</b:First>
          </b:Person>
          <b:Person>
            <b:Last>Llorens</b:Last>
            <b:First>F.</b:First>
          </b:Person>
        </b:NameList>
      </b:Author>
    </b:Author>
    <b:Volume>33</b:Volume>
    <b:Issue>11</b:Issue>
    <b:RefOrder>55</b:RefOrder>
  </b:Source>
  <b:Source>
    <b:Tag>Rui10</b:Tag>
    <b:SourceType>JournalArticle</b:SourceType>
    <b:Guid>{C5DDE8F8-629E-4A38-8C26-03FA5CFA0B68}</b:Guid>
    <b:Title>Modelos de ecuaciones estructurales</b:Title>
    <b:JournalName>Papeles del Psicólogo</b:JournalName>
    <b:Year>2010</b:Year>
    <b:Pages>34-45</b:Pages>
    <b:Author>
      <b:Author>
        <b:NameList>
          <b:Person>
            <b:Last>Ruiz</b:Last>
            <b:First>M.</b:First>
          </b:Person>
          <b:Person>
            <b:Last>Pardo</b:Last>
            <b:First>A.</b:First>
          </b:Person>
          <b:Person>
            <b:Last>San Martin</b:Last>
            <b:First>R.</b:First>
          </b:Person>
        </b:NameList>
      </b:Author>
    </b:Author>
    <b:Volume>31</b:Volume>
    <b:Issue>1</b:Issue>
    <b:RefOrder>56</b:RefOrder>
  </b:Source>
  <b:Source>
    <b:Tag>Sán12</b:Tag>
    <b:SourceType>JournalArticle</b:SourceType>
    <b:Guid>{A812A5F6-167F-4F09-BCEC-B9BD74C0C772}</b:Guid>
    <b:Title>The effects of intelectual capital and innovation on competitiveness: an analysis of the restaurant industry in Guadalajara, Mexico</b:Title>
    <b:JournalName>Advances in Competitiveness Research</b:JournalName>
    <b:Year>2012</b:Year>
    <b:Pages>32-46</b:Pages>
    <b:Author>
      <b:Author>
        <b:NameList>
          <b:Person>
            <b:Last>Sánchez</b:Last>
            <b:First>J.</b:First>
          </b:Person>
          <b:Person>
            <b:Last>González</b:Last>
            <b:First>E.</b:First>
          </b:Person>
          <b:Person>
            <b:Last>Gutiérrez</b:Last>
            <b:First>A.</b:First>
          </b:Person>
          <b:Person>
            <b:Last>García</b:Last>
            <b:First>E.</b:First>
          </b:Person>
        </b:NameList>
      </b:Author>
    </b:Author>
    <b:Volume>30</b:Volume>
    <b:Issue>3 y 4</b:Issue>
    <b:RefOrder>57</b:RefOrder>
  </b:Source>
  <b:Source>
    <b:Tag>Sch341</b:Tag>
    <b:SourceType>Book</b:SourceType>
    <b:Guid>{00220DFE-B23C-4E17-9B62-1EBA744B5B0C}</b:Guid>
    <b:Title>The theory of economic development</b:Title>
    <b:Year>1934</b:Year>
    <b:City>New York</b:City>
    <b:Publisher>Oxford University Press</b:Publisher>
    <b:Author>
      <b:Author>
        <b:NameList>
          <b:Person>
            <b:Last>Schumpeter</b:Last>
            <b:First>J.</b:First>
          </b:Person>
        </b:NameList>
      </b:Author>
    </b:Author>
    <b:RefOrder>58</b:RefOrder>
  </b:Source>
  <b:Source>
    <b:Tag>Sin15</b:Tag>
    <b:SourceType>JournalArticle</b:SourceType>
    <b:Guid>{0F50FA09-C7C7-44D8-AA96-4E22B980E249}</b:Guid>
    <b:Title>Organizational path constitution in technological innovation: evidence from rural telehealth</b:Title>
    <b:Year>2015</b:Year>
    <b:JournalName>MIS Quarterly</b:JournalName>
    <b:Pages>643-665</b:Pages>
    <b:Author>
      <b:Author>
        <b:NameList>
          <b:Person>
            <b:Last>Singh</b:Last>
            <b:First>R.</b:First>
          </b:Person>
          <b:Person>
            <b:Last>Mathiassen</b:Last>
            <b:First>L.</b:First>
          </b:Person>
          <b:Person>
            <b:Last>Mishra</b:Last>
            <b:First>A.</b:First>
          </b:Person>
        </b:NameList>
      </b:Author>
    </b:Author>
    <b:Volume>39</b:Volume>
    <b:Issue>3</b:Issue>
    <b:RefOrder>59</b:RefOrder>
  </b:Source>
  <b:Source>
    <b:Tag>Sor03</b:Tag>
    <b:SourceType>JournalArticle</b:SourceType>
    <b:Guid>{549F1FE2-9E75-4034-81B3-15C25141113A}</b:Guid>
    <b:Title>Sources and financial consequences of radical innovation: insights from pharmaceuticals</b:Title>
    <b:JournalName>Journal of Marketing</b:JournalName>
    <b:Year>2003</b:Year>
    <b:Pages>82-102</b:Pages>
    <b:Author>
      <b:Author>
        <b:NameList>
          <b:Person>
            <b:Last>Sorescu</b:Last>
            <b:First>A.</b:First>
          </b:Person>
          <b:Person>
            <b:Last>Chandy</b:Last>
            <b:First>R.</b:First>
          </b:Person>
          <b:Person>
            <b:Last>Prabhu</b:Last>
            <b:First>J.</b:First>
          </b:Person>
        </b:NameList>
      </b:Author>
    </b:Author>
    <b:Volume>67</b:Volume>
    <b:Issue>4</b:Issue>
    <b:RefOrder>60</b:RefOrder>
  </b:Source>
  <b:Source>
    <b:Tag>Sta94</b:Tag>
    <b:SourceType>JournalArticle</b:SourceType>
    <b:Guid>{18211790-2FB3-42F3-87F2-F2905C39FB3C}</b:Guid>
    <b:Title>Towards a simple, visual representation of fit in service organisations: The contribution of the service template</b:Title>
    <b:JournalName>International Journal of Operations and Production Management</b:JournalName>
    <b:Year>1994</b:Year>
    <b:Pages>76-85</b:Pages>
    <b:Author>
      <b:Author>
        <b:NameList>
          <b:Person>
            <b:Last>Staughton</b:Last>
            <b:First>R.</b:First>
          </b:Person>
          <b:Person>
            <b:Last>Williams</b:Last>
            <b:First>C.</b:First>
          </b:Person>
        </b:NameList>
      </b:Author>
    </b:Author>
    <b:Volume>14</b:Volume>
    <b:Issue>5</b:Issue>
    <b:RefOrder>61</b:RefOrder>
  </b:Source>
  <b:Source>
    <b:Tag>Exe09</b:Tag>
    <b:SourceType>JournalArticle</b:SourceType>
    <b:Guid>{786AF4E3-3C69-4CA2-BA71-6BBB52C22EF4}</b:Guid>
    <b:Title>Execution excellence</b:Title>
    <b:JournalName>Global Journal of Flexible Systems</b:JournalName>
    <b:Year>2009</b:Year>
    <b:Volume>10</b:Volume>
    <b:Issue>2:iii</b:Issue>
    <b:Author>
      <b:Author>
        <b:NameList>
          <b:Person>
            <b:Last>Sushil</b:Last>
          </b:Person>
        </b:NameList>
      </b:Author>
    </b:Author>
    <b:RefOrder>62</b:RefOrder>
  </b:Source>
  <b:Source>
    <b:Tag>Tar13</b:Tag>
    <b:SourceType>JournalArticle</b:SourceType>
    <b:Guid>{DEFCB1FA-962C-4E65-A6F2-189BFB319FA6}</b:Guid>
    <b:Title>Strategic analysis of innovation - based competitiveness in the global economy</b:Title>
    <b:JournalName>Montenegrin Journal of Economics</b:JournalName>
    <b:Year>2013</b:Year>
    <b:Pages>127-133</b:Pages>
    <b:Author>
      <b:Author>
        <b:NameList>
          <b:Person>
            <b:Last>Taranenko</b:Last>
            <b:First>I.</b:First>
          </b:Person>
        </b:NameList>
      </b:Author>
    </b:Author>
    <b:Volume>9</b:Volume>
    <b:Issue>1</b:Issue>
    <b:RefOrder>63</b:RefOrder>
  </b:Source>
  <b:Source>
    <b:Tag>Tor90</b:Tag>
    <b:SourceType>Book</b:SourceType>
    <b:Guid>{3558EDE4-CE57-4EBB-B3BE-BEB638054DF6}</b:Guid>
    <b:Title>The processes of technological innovation</b:Title>
    <b:Year>1990</b:Year>
    <b:City>Lexington, MA</b:City>
    <b:Publisher>Lexington Books</b:Publisher>
    <b:Author>
      <b:Author>
        <b:NameList>
          <b:Person>
            <b:Last>Tornatzky</b:Last>
            <b:First>L.</b:First>
          </b:Person>
          <b:Person>
            <b:Last>Fleischer</b:Last>
            <b:First>M.</b:First>
          </b:Person>
        </b:NameList>
      </b:Author>
    </b:Author>
    <b:RefOrder>64</b:RefOrder>
  </b:Source>
  <b:Source>
    <b:Tag>Var15</b:Tag>
    <b:SourceType>JournalArticle</b:SourceType>
    <b:Guid>{5C04C88F-AA52-4C5E-8CCC-1B4A885F3040}</b:Guid>
    <b:Title>Innovation capacity as a factor that affects the competitiveness of software industry Jalisco</b:Title>
    <b:Year>2015</b:Year>
    <b:JournalName>Global Journal of Enterprise Information System</b:JournalName>
    <b:Pages>25-38</b:Pages>
    <b:Author>
      <b:Author>
        <b:NameList>
          <b:Person>
            <b:Last>Vargas-Hernández</b:Last>
            <b:First>J.</b:First>
          </b:Person>
          <b:Person>
            <b:Last>Vargas-González</b:Last>
            <b:First>O.</b:First>
          </b:Person>
        </b:NameList>
      </b:Author>
    </b:Author>
    <b:Volume>7</b:Volume>
    <b:Issue>2</b:Issue>
    <b:RefOrder>65</b:RefOrder>
  </b:Source>
  <b:Source>
    <b:Tag>Ven90</b:Tag>
    <b:SourceType>JournalArticle</b:SourceType>
    <b:Guid>{E1196BBA-372A-418E-9DF5-002C1A485D88}</b:Guid>
    <b:Title>Environment-strategy coalignment: An empirical test of its performance implications</b:Title>
    <b:JournalName>Strategic Management Journal</b:JournalName>
    <b:Year>1990</b:Year>
    <b:Pages>1-23</b:Pages>
    <b:Author>
      <b:Author>
        <b:NameList>
          <b:Person>
            <b:Last>Venkatraman</b:Last>
            <b:First>N.</b:First>
          </b:Person>
          <b:Person>
            <b:Last>Prescott</b:Last>
            <b:First>J.</b:First>
          </b:Person>
        </b:NameList>
      </b:Author>
    </b:Author>
    <b:Volume>11</b:Volume>
    <b:RefOrder>66</b:RefOrder>
  </b:Source>
  <b:Source>
    <b:Tag>Vos92</b:Tag>
    <b:SourceType>JournalArticle</b:SourceType>
    <b:Guid>{EDCF6319-3664-4843-9F38-0C5C58325CBE}</b:Guid>
    <b:Title>Measurement of innovation and design performance in services</b:Title>
    <b:JournalName>Design Management Journal</b:JournalName>
    <b:Year>1992</b:Year>
    <b:Pages>40-6</b:Pages>
    <b:Author>
      <b:Author>
        <b:NameList>
          <b:Person>
            <b:Last>Voss</b:Last>
            <b:First>C.</b:First>
          </b:Person>
          <b:Person>
            <b:Last>Johnston</b:Last>
            <b:First>R.</b:First>
          </b:Person>
          <b:Person>
            <b:Last>Silvestro</b:Last>
            <b:First>R.</b:First>
          </b:Person>
          <b:Person>
            <b:Last>Fitzgerald</b:Last>
            <b:First>L.</b:First>
          </b:Person>
          <b:Person>
            <b:Last>Brignall</b:Last>
            <b:First>T.</b:First>
          </b:Person>
        </b:NameList>
      </b:Author>
    </b:Author>
    <b:Volume>31</b:Volume>
    <b:Issue>1</b:Issue>
    <b:RefOrder>67</b:RefOrder>
  </b:Source>
  <b:Source>
    <b:Tag>Wor15</b:Tag>
    <b:SourceType>InternetSite</b:SourceType>
    <b:Guid>{1332F223-5C99-4F90-8585-3100A0DCBA41}</b:Guid>
    <b:Title>The Global Competitiveness Report 2014 - 2015</b:Title>
    <b:Year>2015</b:Year>
    <b:Month>Diciembre</b:Month>
    <b:Day>6</b:Day>
    <b:URL>http://www.weforum.org/reports/global-competitiveness-report-2014-2015</b:URL>
    <b:Author>
      <b:Author>
        <b:Corporate>World Economic Forum;</b:Corporate>
      </b:Author>
    </b:Author>
    <b:RefOrder>68</b:RefOrder>
  </b:Source>
  <b:Source>
    <b:Tag>Xia13</b:Tag>
    <b:SourceType>JournalArticle</b:SourceType>
    <b:Guid>{20A5AB43-DB94-4AA3-9635-E812880434F1}</b:Guid>
    <b:Title>ICTt innovation in emerging economies: a review of the existing literature and a framework for future research</b:Title>
    <b:Year>2013</b:Year>
    <b:JournalName>Journal of Information Technology</b:JournalName>
    <b:Pages>264-278</b:Pages>
    <b:Author>
      <b:Author>
        <b:NameList>
          <b:Person>
            <b:Last>Xiao</b:Last>
            <b:First>X.</b:First>
          </b:Person>
          <b:Person>
            <b:Last>Starker</b:Last>
            <b:First>S.</b:First>
          </b:Person>
          <b:Person>
            <b:Last>Sarker</b:Last>
            <b:First>S.</b:First>
          </b:Person>
        </b:NameList>
      </b:Author>
    </b:Author>
    <b:Volume>28</b:Volume>
    <b:Issue>4</b:Issue>
    <b:RefOrder>69</b:RefOrder>
  </b:Source>
  <b:Source>
    <b:Tag>Zam14</b:Tag>
    <b:SourceType>JournalArticle</b:SourceType>
    <b:Guid>{7B295C5A-A5C6-4275-86B5-2A3CCB47BE34}</b:Guid>
    <b:Title>Innovation and technology as a factor of countries competitiveness: a multidimensional and multivariate analysis</b:Title>
    <b:JournalName>Global Conference on Business and Finance Proceedings</b:JournalName>
    <b:Year>2014</b:Year>
    <b:Pages>577-584</b:Pages>
    <b:Author>
      <b:Author>
        <b:NameList>
          <b:Person>
            <b:Last>Zamora</b:Last>
            <b:First>A.</b:First>
          </b:Person>
        </b:NameList>
      </b:Author>
    </b:Author>
    <b:Volume>9</b:Volume>
    <b:Issue>1</b:Issue>
    <b:RefOrder>70</b:RefOrder>
  </b:Source>
  <b:Source>
    <b:Tag>Zhu99</b:Tag>
    <b:SourceType>JournalArticle</b:SourceType>
    <b:Guid>{8F0993BB-AAC8-4061-BB62-0DA7B29AEF9E}</b:Guid>
    <b:Title>Innovate or liquidate - are all organisations convinced? A two-phased study into the innovation process</b:Title>
    <b:JournalName>Management Decision</b:JournalName>
    <b:Year>1999</b:Year>
    <b:Pages>57-71</b:Pages>
    <b:Author>
      <b:Author>
        <b:NameList>
          <b:Person>
            <b:Last>Zhuang</b:Last>
            <b:First>L.</b:First>
          </b:Person>
          <b:Person>
            <b:Last>Williamson</b:Last>
            <b:First>D.</b:First>
          </b:Person>
          <b:Person>
            <b:Last>Carter</b:Last>
            <b:First>M.</b:First>
          </b:Person>
        </b:NameList>
      </b:Author>
    </b:Author>
    <b:Volume>37</b:Volume>
    <b:Issue>1</b:Issue>
    <b:RefOrder>71</b:RefOrder>
  </b:Source>
  <b:Source>
    <b:Tag>Lau13</b:Tag>
    <b:SourceType>Book</b:SourceType>
    <b:Guid>{B726E319-B1D9-4846-B6E6-276229EC240C}</b:Guid>
    <b:Title>Mexico Central Region Automotive Cluster: Microeconomics of Competitiveness</b:Title>
    <b:Year>2013</b:Year>
    <b:City>Cambridge, Mass.</b:City>
    <b:Publisher>Student Project, Harvard Business School</b:Publisher>
    <b:Author>
      <b:Author>
        <b:NameList>
          <b:Person>
            <b:Last>Lauridsen</b:Last>
            <b:First>C.</b:First>
          </b:Person>
          <b:Person>
            <b:Last>Lerdo de Tejada</b:Last>
            <b:First>G.</b:First>
          </b:Person>
          <b:Person>
            <b:Last>Petersen</b:Last>
            <b:First>K.</b:First>
          </b:Person>
          <b:Person>
            <b:Last>Puyana</b:Last>
            <b:First>R.</b:First>
          </b:Person>
          <b:Person>
            <b:Last>Rosales</b:Last>
            <b:First>E.</b:First>
          </b:Person>
        </b:NameList>
      </b:Author>
    </b:Author>
    <b:RefOrder>72</b:RefOrder>
  </b:Source>
  <b:Source>
    <b:Tag>Men181</b:Tag>
    <b:SourceType>JournalArticle</b:SourceType>
    <b:Guid>{94B77AED-FF0E-4AA8-8BBE-9246E4F01C3C}</b:Guid>
    <b:Title>Labor congestion in the automotive cluster: the role of wages</b:Title>
    <b:Year>2018</b:Year>
    <b:JournalName>Competitiveness Review: An International Business Journal</b:JournalName>
    <b:Pages>386-407</b:Pages>
    <b:Author>
      <b:Author>
        <b:NameList>
          <b:Person>
            <b:Last>Mendoza-Velazquez</b:Last>
            <b:First>Alfonso</b:First>
          </b:Person>
          <b:Person>
            <b:Last>Santillana</b:Last>
            <b:First>José Antonio</b:First>
          </b:Person>
          <b:Person>
            <b:Last>Zárate-Mirón</b:Last>
            <b:First>Viviana Elizabeth</b:First>
          </b:Person>
          <b:Person>
            <b:Last>Cabanas</b:Last>
            <b:First>Martha</b:First>
          </b:Person>
        </b:NameList>
      </b:Author>
    </b:Author>
    <b:Volume>28</b:Volume>
    <b:Issue>4</b:Issue>
    <b:RefOrder>73</b:RefOrder>
  </b:Source>
  <b:Source>
    <b:Tag>ElF20</b:Tag>
    <b:SourceType>InternetSite</b:SourceType>
    <b:Guid>{ACC93F77-B828-4A10-9802-D36D016D4541}</b:Guid>
    <b:Title>Toyota inaugurará planta en Apaseo el Alto, Guanajuato</b:Title>
    <b:Year>2020</b:Year>
    <b:Month>Febrero</b:Month>
    <b:Day>05</b:Day>
    <b:URL>https://www.elfinanciero.com.mx/bajio/toyota-inaugurara-planta-en-apaseo-el-alto-guanajuato</b:URL>
    <b:Author>
      <b:Author>
        <b:Corporate>El Financiero</b:Corporate>
      </b:Author>
    </b:Author>
    <b:YearAccessed>2020</b:YearAccessed>
    <b:MonthAccessed>Febrero</b:MonthAccessed>
    <b:DayAccessed>12</b:DayAccessed>
    <b:RefOrder>74</b:RefOrder>
  </b:Source>
  <b:Source>
    <b:Tag>Mar173</b:Tag>
    <b:SourceType>JournalArticle</b:SourceType>
    <b:Guid>{5C5C3D7B-F1FC-4341-B7CA-D40D60D56899}</b:Guid>
    <b:Title>Productive Specialization and Relational Analysis: The Automotive Industry in Guanajuato</b:Title>
    <b:Year>2017</b:Year>
    <b:Month>Julio-Diciembre</b:Month>
    <b:JournalName>Frontera Norte</b:JournalName>
    <b:Pages>121-140</b:Pages>
    <b:Author>
      <b:Author>
        <b:NameList>
          <b:Person>
            <b:Last>Martínez-Martínez</b:Last>
            <b:First>Adriana</b:First>
          </b:Person>
          <b:Person>
            <b:Last>Santos-Navarro</b:Last>
            <b:First>Gabriel</b:First>
          </b:Person>
          <b:Person>
            <b:Last>García-Garnica</b:Last>
            <b:First>Alejandro</b:First>
          </b:Person>
        </b:NameList>
      </b:Author>
    </b:Author>
    <b:Volume>29</b:Volume>
    <b:Issue>58</b:Issue>
    <b:RefOrder>75</b:RefOrder>
  </b:Source>
  <b:Source>
    <b:Tag>Tog161</b:Tag>
    <b:SourceType>Book</b:SourceType>
    <b:Guid>{56E67812-5F1B-4EE0-BF9A-5D4E7E3CB852}</b:Guid>
    <b:Title>México Automotive Review 2016</b:Title>
    <b:Year>2016</b:Year>
    <b:City>Mexico</b:City>
    <b:Publisher>Toguna</b:Publisher>
    <b:Author>
      <b:Author>
        <b:NameList>
          <b:Person>
            <b:Last>Toguna</b:Last>
          </b:Person>
        </b:NameList>
      </b:Author>
    </b:Author>
    <b:RefOrder>76</b:RefOrder>
  </b:Source>
  <b:Source>
    <b:Tag>Flo151</b:Tag>
    <b:SourceType>InternetSite</b:SourceType>
    <b:Guid>{13C84F3B-EE96-4CF4-9512-EAF6B58D483C}</b:Guid>
    <b:Title>Crece industria automotriz en Guanajuato cada año, la entidad presenta incrementos del 20 por ciento</b:Title>
    <b:Year>2015</b:Year>
    <b:Author>
      <b:Author>
        <b:NameList>
          <b:Person>
            <b:Last>Flores</b:Last>
            <b:First>F.</b:First>
          </b:Person>
        </b:NameList>
      </b:Author>
    </b:Author>
    <b:URL>https://www.somosindustria.com/articulo/crece-industria-automotriz-en-guanajuato/</b:URL>
    <b:RefOrder>77</b:RefOrder>
  </b:Source>
  <b:Source>
    <b:Tag>Gar02</b:Tag>
    <b:SourceType>BookSection</b:SourceType>
    <b:Guid>{39693B14-BF7A-4ED7-A22B-75BB40B235D9}</b:Guid>
    <b:Title>Del paradigma fordista-taylorista al toyotista en la industria automotriz terminal: los casos de General Motors Distrito Federal y Silao</b:Title>
    <b:Year>2002</b:Year>
    <b:City>Mexico</b:City>
    <b:Publisher>Plaza y Valdéz</b:Publisher>
    <b:Author>
      <b:Author>
        <b:NameList>
          <b:Person>
            <b:Last>García</b:Last>
            <b:First>A.</b:First>
          </b:Person>
        </b:NameList>
      </b:Author>
      <b:BookAuthor>
        <b:NameList>
          <b:Person>
            <b:Last>Corona</b:Last>
            <b:First>L.</b:First>
          </b:Person>
          <b:Person>
            <b:Last>Hernández</b:Last>
            <b:First>R.</b:First>
          </b:Person>
        </b:NameList>
      </b:BookAuthor>
    </b:Author>
    <b:BookTitle>Innovación, universidad e industria en el desarrollo regional</b:BookTitle>
    <b:Pages>323-343</b:Pages>
    <b:RefOrder>78</b:RefOrder>
  </b:Source>
  <b:Source>
    <b:Tag>Gar98</b:Tag>
    <b:SourceType>BookSection</b:SourceType>
    <b:Guid>{99327BEA-8AED-4991-BDEE-25D1F9F04A86}</b:Guid>
    <b:Title>Cambio tecnológico y aprendizaje laboral en GM: los casos del DF y Silao</b:Title>
    <b:Year>1998</b:Year>
    <b:City>Mexico</b:City>
    <b:Author>
      <b:Author>
        <b:NameList>
          <b:Person>
            <b:Last>García</b:Last>
            <b:First>A.</b:First>
          </b:Person>
          <b:Person>
            <b:Last>Lara</b:Last>
            <b:First>A.</b:First>
          </b:Person>
        </b:NameList>
      </b:Author>
      <b:BookAuthor>
        <b:NameList>
          <b:Person>
            <b:Last>Núñez</b:Last>
            <b:First>H.</b:First>
          </b:Person>
          <b:Person>
            <b:Last>Babson</b:Last>
            <b:First>S.</b:First>
          </b:Person>
        </b:NameList>
      </b:BookAuthor>
    </b:Author>
    <b:Publisher>BUAP</b:Publisher>
    <b:BookTitle>Confronting Change: Auto Labor and Lean Production in North America</b:BookTitle>
    <b:Pages>207-222</b:Pages>
    <b:RefOrder>79</b:RefOrder>
  </b:Source>
  <b:Source>
    <b:Tag>Mar091</b:Tag>
    <b:SourceType>JournalArticle</b:SourceType>
    <b:Guid>{021CD8B0-E160-44D4-A187-EF3EEE348F03}</b:Guid>
    <b:Title>Trayectoria productiva y tecnológica de General Motors en Mexico: el caso del complejo de Silao, Guanajuato</b:Title>
    <b:Year>2009</b:Year>
    <b:Pages>79-93</b:Pages>
    <b:JournalName>Ciencia@uaq</b:JournalName>
    <b:Author>
      <b:Author>
        <b:NameList>
          <b:Person>
            <b:Last>Martínez</b:Last>
            <b:First>A.</b:First>
          </b:Person>
          <b:Person>
            <b:Last>García</b:Last>
            <b:First>A.</b:First>
          </b:Person>
          <b:Person>
            <b:Last>Murguía</b:Last>
            <b:First>J.</b:First>
          </b:Person>
        </b:NameList>
      </b:Author>
    </b:Author>
    <b:Volume>2</b:Volume>
    <b:Issue>2</b:Issue>
    <b:RefOrder>80</b:RefOrder>
  </b:Source>
  <b:Source>
    <b:Tag>Mic161</b:Tag>
    <b:SourceType>JournalArticle</b:SourceType>
    <b:Guid>{5817F75D-A202-46CC-AD58-339D82FF5852}</b:Guid>
    <b:Title>Desarrollo regional y terciarización: los casos de Guanajuato y Querétaro</b:Title>
    <b:JournalName>Estudios Regionales en economía, población y desarrollo</b:JournalName>
    <b:Year>2016</b:Year>
    <b:Pages>2-22</b:Pages>
    <b:Author>
      <b:Author>
        <b:NameList>
          <b:Person>
            <b:Last>Micheli</b:Last>
            <b:First>J.T.</b:First>
          </b:Person>
        </b:NameList>
      </b:Author>
    </b:Author>
    <b:Volume>6</b:Volume>
    <b:Issue>36</b:Issue>
    <b:RefOrder>81</b:RefOrder>
  </b:Source>
</b:Sources>
</file>

<file path=customXml/itemProps1.xml><?xml version="1.0" encoding="utf-8"?>
<ds:datastoreItem xmlns:ds="http://schemas.openxmlformats.org/officeDocument/2006/customXml" ds:itemID="{C3FFA1AF-E563-49FC-A03A-7B00EB39C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7032</Words>
  <Characters>208012</Characters>
  <Application>Microsoft Office Word</Application>
  <DocSecurity>0</DocSecurity>
  <Lines>1733</Lines>
  <Paragraphs>429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214615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subject/>
  <dc:creator>madam</dc:creator>
  <cp:keywords/>
  <cp:lastModifiedBy>Sochi Iwuoha</cp:lastModifiedBy>
  <cp:revision>2</cp:revision>
  <cp:lastPrinted>2010-11-10T03:06:00Z</cp:lastPrinted>
  <dcterms:created xsi:type="dcterms:W3CDTF">2022-12-12T06:02:00Z</dcterms:created>
  <dcterms:modified xsi:type="dcterms:W3CDTF">2022-12-12T06:02:00Z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id="zux5w1p7"/&gt;&lt;style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