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634A" w14:textId="28F9048C" w:rsidR="0047459B" w:rsidRPr="003B6C2E" w:rsidRDefault="00310CBB" w:rsidP="0068330F">
      <w:pPr>
        <w:spacing w:line="240" w:lineRule="auto"/>
        <w:jc w:val="center"/>
        <w:rPr>
          <w:rFonts w:ascii="Times New Roman" w:hAnsi="Times New Roman" w:cs="Times New Roman"/>
          <w:sz w:val="24"/>
          <w:szCs w:val="24"/>
        </w:rPr>
      </w:pPr>
      <w:bookmarkStart w:id="0" w:name="_Hlk105860910"/>
      <w:r w:rsidRPr="003B6C2E">
        <w:rPr>
          <w:rFonts w:ascii="Times New Roman" w:hAnsi="Times New Roman" w:cs="Times New Roman"/>
          <w:sz w:val="24"/>
          <w:szCs w:val="24"/>
        </w:rPr>
        <w:t>Time Series Characteristics of Canada’s Beyond GDP Indicators</w:t>
      </w:r>
    </w:p>
    <w:p w14:paraId="0506E1E0" w14:textId="5DB18374" w:rsidR="003A7359" w:rsidRPr="003B6C2E" w:rsidRDefault="003A7359" w:rsidP="0068330F">
      <w:pPr>
        <w:spacing w:line="240" w:lineRule="auto"/>
        <w:jc w:val="center"/>
        <w:rPr>
          <w:rFonts w:ascii="Times New Roman" w:hAnsi="Times New Roman" w:cs="Times New Roman"/>
          <w:sz w:val="24"/>
          <w:szCs w:val="24"/>
          <w:vertAlign w:val="superscript"/>
        </w:rPr>
      </w:pPr>
      <w:r w:rsidRPr="003B6C2E">
        <w:rPr>
          <w:rFonts w:ascii="Times New Roman" w:hAnsi="Times New Roman" w:cs="Times New Roman"/>
          <w:sz w:val="24"/>
          <w:szCs w:val="24"/>
        </w:rPr>
        <w:t>Sochi Iwuoha</w:t>
      </w:r>
      <w:r w:rsidRPr="003B6C2E">
        <w:rPr>
          <w:rFonts w:ascii="Times New Roman" w:hAnsi="Times New Roman" w:cs="Times New Roman"/>
          <w:sz w:val="24"/>
          <w:szCs w:val="24"/>
          <w:vertAlign w:val="superscript"/>
        </w:rPr>
        <w:t>1</w:t>
      </w:r>
      <w:r w:rsidRPr="003B6C2E">
        <w:rPr>
          <w:rFonts w:ascii="Times New Roman" w:hAnsi="Times New Roman" w:cs="Times New Roman"/>
          <w:sz w:val="24"/>
          <w:szCs w:val="24"/>
        </w:rPr>
        <w:t xml:space="preserve"> and Joseph </w:t>
      </w:r>
      <w:r w:rsidR="00D302ED">
        <w:rPr>
          <w:rFonts w:ascii="Times New Roman" w:hAnsi="Times New Roman" w:cs="Times New Roman"/>
          <w:sz w:val="24"/>
          <w:szCs w:val="24"/>
        </w:rPr>
        <w:t xml:space="preserve">I. </w:t>
      </w:r>
      <w:r w:rsidRPr="003B6C2E">
        <w:rPr>
          <w:rFonts w:ascii="Times New Roman" w:hAnsi="Times New Roman" w:cs="Times New Roman"/>
          <w:sz w:val="24"/>
          <w:szCs w:val="24"/>
        </w:rPr>
        <w:t>Onochie</w:t>
      </w:r>
      <w:r w:rsidRPr="003B6C2E">
        <w:rPr>
          <w:rFonts w:ascii="Times New Roman" w:hAnsi="Times New Roman" w:cs="Times New Roman"/>
          <w:sz w:val="24"/>
          <w:szCs w:val="24"/>
          <w:vertAlign w:val="superscript"/>
        </w:rPr>
        <w:t>2</w:t>
      </w:r>
    </w:p>
    <w:p w14:paraId="303AABDA" w14:textId="1D6A5CE5" w:rsidR="003A7359" w:rsidRPr="003B6C2E" w:rsidRDefault="003A7359" w:rsidP="0068330F">
      <w:pPr>
        <w:spacing w:line="240" w:lineRule="auto"/>
        <w:rPr>
          <w:rFonts w:ascii="Times New Roman" w:hAnsi="Times New Roman" w:cs="Times New Roman"/>
          <w:sz w:val="24"/>
          <w:szCs w:val="24"/>
          <w:vertAlign w:val="superscript"/>
        </w:rPr>
      </w:pPr>
      <w:r w:rsidRPr="003B6C2E">
        <w:rPr>
          <w:rFonts w:ascii="Times New Roman" w:hAnsi="Times New Roman" w:cs="Times New Roman"/>
          <w:sz w:val="24"/>
          <w:szCs w:val="24"/>
          <w:vertAlign w:val="superscript"/>
        </w:rPr>
        <w:t>1. International School of Management</w:t>
      </w:r>
      <w:r w:rsidR="00AC6B59" w:rsidRPr="003B6C2E">
        <w:rPr>
          <w:rFonts w:ascii="Times New Roman" w:hAnsi="Times New Roman" w:cs="Times New Roman"/>
          <w:sz w:val="24"/>
          <w:szCs w:val="24"/>
          <w:vertAlign w:val="superscript"/>
        </w:rPr>
        <w:t xml:space="preserve">, 17 Boulevard Raspail, 75007 </w:t>
      </w:r>
      <w:r w:rsidRPr="003B6C2E">
        <w:rPr>
          <w:rFonts w:ascii="Times New Roman" w:hAnsi="Times New Roman" w:cs="Times New Roman"/>
          <w:sz w:val="24"/>
          <w:szCs w:val="24"/>
          <w:vertAlign w:val="superscript"/>
        </w:rPr>
        <w:t>Paris, France</w:t>
      </w:r>
      <w:r w:rsidR="005F307F">
        <w:rPr>
          <w:rFonts w:ascii="Times New Roman" w:hAnsi="Times New Roman" w:cs="Times New Roman"/>
          <w:sz w:val="24"/>
          <w:szCs w:val="24"/>
          <w:vertAlign w:val="superscript"/>
        </w:rPr>
        <w:t>.</w:t>
      </w:r>
    </w:p>
    <w:p w14:paraId="23B31910" w14:textId="38395749" w:rsidR="003A7359" w:rsidRPr="003B6C2E" w:rsidRDefault="003A7359" w:rsidP="0068330F">
      <w:pPr>
        <w:spacing w:line="240" w:lineRule="auto"/>
        <w:rPr>
          <w:rFonts w:ascii="Times New Roman" w:hAnsi="Times New Roman" w:cs="Times New Roman"/>
          <w:sz w:val="24"/>
          <w:szCs w:val="24"/>
        </w:rPr>
      </w:pPr>
      <w:r w:rsidRPr="003B6C2E">
        <w:rPr>
          <w:rFonts w:ascii="Times New Roman" w:hAnsi="Times New Roman" w:cs="Times New Roman"/>
          <w:sz w:val="24"/>
          <w:szCs w:val="24"/>
          <w:vertAlign w:val="superscript"/>
        </w:rPr>
        <w:t xml:space="preserve">2. </w:t>
      </w:r>
      <w:r w:rsidR="005F307F">
        <w:rPr>
          <w:rFonts w:ascii="Times New Roman" w:hAnsi="Times New Roman" w:cs="Times New Roman"/>
          <w:sz w:val="24"/>
          <w:szCs w:val="24"/>
          <w:vertAlign w:val="superscript"/>
        </w:rPr>
        <w:t xml:space="preserve">Economics and Finance Department, Zicklin School of Business, </w:t>
      </w:r>
      <w:r w:rsidRPr="003B6C2E">
        <w:rPr>
          <w:rFonts w:ascii="Times New Roman" w:hAnsi="Times New Roman" w:cs="Times New Roman"/>
          <w:sz w:val="24"/>
          <w:szCs w:val="24"/>
          <w:vertAlign w:val="superscript"/>
        </w:rPr>
        <w:t xml:space="preserve">Baruch </w:t>
      </w:r>
      <w:r w:rsidR="000B0993" w:rsidRPr="003B6C2E">
        <w:rPr>
          <w:rFonts w:ascii="Times New Roman" w:hAnsi="Times New Roman" w:cs="Times New Roman"/>
          <w:sz w:val="24"/>
          <w:szCs w:val="24"/>
          <w:vertAlign w:val="superscript"/>
        </w:rPr>
        <w:t xml:space="preserve">College, </w:t>
      </w:r>
      <w:r w:rsidR="005F307F">
        <w:rPr>
          <w:rFonts w:ascii="Times New Roman" w:hAnsi="Times New Roman" w:cs="Times New Roman"/>
          <w:sz w:val="24"/>
          <w:szCs w:val="24"/>
          <w:vertAlign w:val="superscript"/>
        </w:rPr>
        <w:t xml:space="preserve">CUNY, </w:t>
      </w:r>
      <w:r w:rsidR="000B0993" w:rsidRPr="003B6C2E">
        <w:rPr>
          <w:rFonts w:ascii="Times New Roman" w:hAnsi="Times New Roman" w:cs="Times New Roman"/>
          <w:sz w:val="24"/>
          <w:szCs w:val="24"/>
          <w:vertAlign w:val="superscript"/>
        </w:rPr>
        <w:t>55</w:t>
      </w:r>
      <w:r w:rsidR="00342FC1" w:rsidRPr="003B6C2E">
        <w:rPr>
          <w:rFonts w:ascii="Times New Roman" w:hAnsi="Times New Roman" w:cs="Times New Roman"/>
          <w:sz w:val="24"/>
          <w:szCs w:val="24"/>
          <w:vertAlign w:val="superscript"/>
        </w:rPr>
        <w:t xml:space="preserve"> Lexington Ave, New York, NY 10010, </w:t>
      </w:r>
      <w:r w:rsidRPr="003B6C2E">
        <w:rPr>
          <w:rFonts w:ascii="Times New Roman" w:hAnsi="Times New Roman" w:cs="Times New Roman"/>
          <w:sz w:val="24"/>
          <w:szCs w:val="24"/>
          <w:vertAlign w:val="superscript"/>
        </w:rPr>
        <w:t>United States</w:t>
      </w:r>
      <w:r w:rsidR="005F307F">
        <w:rPr>
          <w:rFonts w:ascii="Times New Roman" w:hAnsi="Times New Roman" w:cs="Times New Roman"/>
          <w:sz w:val="24"/>
          <w:szCs w:val="24"/>
          <w:vertAlign w:val="superscript"/>
        </w:rPr>
        <w:t>.</w:t>
      </w:r>
    </w:p>
    <w:p w14:paraId="6A649716" w14:textId="77777777" w:rsidR="002920B1" w:rsidRPr="003B6C2E" w:rsidRDefault="002920B1" w:rsidP="0068330F">
      <w:pPr>
        <w:pStyle w:val="Heading1"/>
        <w:spacing w:before="0" w:line="240" w:lineRule="auto"/>
        <w:jc w:val="center"/>
        <w:rPr>
          <w:rFonts w:ascii="Times New Roman" w:hAnsi="Times New Roman" w:cs="Times New Roman"/>
          <w:b/>
          <w:color w:val="auto"/>
          <w:sz w:val="24"/>
          <w:szCs w:val="24"/>
          <w:highlight w:val="yellow"/>
        </w:rPr>
      </w:pPr>
      <w:bookmarkStart w:id="1" w:name="_Toc64618593"/>
    </w:p>
    <w:p w14:paraId="4E6A24B2" w14:textId="71266E5B" w:rsidR="006904D8" w:rsidRPr="000762A0" w:rsidRDefault="006904D8" w:rsidP="0068330F">
      <w:pPr>
        <w:pStyle w:val="Heading1"/>
        <w:spacing w:before="0" w:line="240" w:lineRule="auto"/>
        <w:jc w:val="center"/>
        <w:rPr>
          <w:rFonts w:ascii="Times New Roman" w:hAnsi="Times New Roman" w:cs="Times New Roman"/>
          <w:b/>
          <w:color w:val="auto"/>
          <w:sz w:val="24"/>
          <w:szCs w:val="24"/>
        </w:rPr>
      </w:pPr>
      <w:r w:rsidRPr="000762A0">
        <w:rPr>
          <w:rFonts w:ascii="Times New Roman" w:hAnsi="Times New Roman" w:cs="Times New Roman"/>
          <w:b/>
          <w:color w:val="auto"/>
          <w:sz w:val="24"/>
          <w:szCs w:val="24"/>
        </w:rPr>
        <w:t>Abstract</w:t>
      </w:r>
      <w:bookmarkEnd w:id="1"/>
    </w:p>
    <w:p w14:paraId="2F84ED26" w14:textId="110A08FA" w:rsidR="00730872" w:rsidRPr="00081DAD" w:rsidRDefault="00730872" w:rsidP="0068330F">
      <w:pPr>
        <w:autoSpaceDE w:val="0"/>
        <w:autoSpaceDN w:val="0"/>
        <w:adjustRightInd w:val="0"/>
        <w:spacing w:after="0" w:line="240" w:lineRule="auto"/>
        <w:ind w:firstLine="720"/>
        <w:rPr>
          <w:rFonts w:ascii="Times New Roman" w:hAnsi="Times New Roman" w:cs="Times New Roman"/>
          <w:sz w:val="24"/>
          <w:szCs w:val="24"/>
        </w:rPr>
      </w:pPr>
      <w:r w:rsidRPr="00081DAD">
        <w:rPr>
          <w:rFonts w:ascii="Times New Roman" w:hAnsi="Times New Roman" w:cs="Times New Roman"/>
          <w:sz w:val="24"/>
          <w:szCs w:val="24"/>
        </w:rPr>
        <w:t>This paper investigates the time series properties of three Beyond-Gross Domestic Product (BGDP) measures in Canada, namely, gross national disposable income (GNDI), human development index (HDI), and the index of economic freedom (IEF), along with Gross Domestic Product (GDP). GDP is the most used metric for measuring economic growth</w:t>
      </w:r>
      <w:r>
        <w:rPr>
          <w:rFonts w:ascii="Times New Roman" w:hAnsi="Times New Roman" w:cs="Times New Roman"/>
          <w:sz w:val="24"/>
          <w:szCs w:val="24"/>
        </w:rPr>
        <w:t xml:space="preserve"> and</w:t>
      </w:r>
      <w:r w:rsidRPr="00081DAD">
        <w:rPr>
          <w:rFonts w:ascii="Times New Roman" w:hAnsi="Times New Roman" w:cs="Times New Roman"/>
          <w:sz w:val="24"/>
          <w:szCs w:val="24"/>
        </w:rPr>
        <w:t xml:space="preserve"> </w:t>
      </w:r>
      <w:r>
        <w:rPr>
          <w:rFonts w:ascii="Times New Roman" w:hAnsi="Times New Roman" w:cs="Times New Roman"/>
          <w:sz w:val="24"/>
          <w:szCs w:val="24"/>
        </w:rPr>
        <w:t>is</w:t>
      </w:r>
      <w:r w:rsidRPr="00081DAD">
        <w:rPr>
          <w:rFonts w:ascii="Times New Roman" w:hAnsi="Times New Roman" w:cs="Times New Roman"/>
          <w:sz w:val="24"/>
          <w:szCs w:val="24"/>
        </w:rPr>
        <w:t xml:space="preserve"> </w:t>
      </w:r>
      <w:r>
        <w:rPr>
          <w:rFonts w:ascii="Times New Roman" w:hAnsi="Times New Roman" w:cs="Times New Roman"/>
          <w:sz w:val="24"/>
          <w:szCs w:val="24"/>
        </w:rPr>
        <w:t xml:space="preserve">susceptible to influence </w:t>
      </w:r>
      <w:r w:rsidRPr="00081DAD">
        <w:rPr>
          <w:rFonts w:ascii="Times New Roman" w:hAnsi="Times New Roman" w:cs="Times New Roman"/>
          <w:sz w:val="24"/>
          <w:szCs w:val="24"/>
        </w:rPr>
        <w:t xml:space="preserve">by </w:t>
      </w:r>
      <w:proofErr w:type="gramStart"/>
      <w:r w:rsidRPr="00081DAD">
        <w:rPr>
          <w:rFonts w:ascii="Times New Roman" w:hAnsi="Times New Roman" w:cs="Times New Roman"/>
          <w:sz w:val="24"/>
          <w:szCs w:val="24"/>
        </w:rPr>
        <w:t>numerous</w:t>
      </w:r>
      <w:proofErr w:type="gramEnd"/>
      <w:r w:rsidRPr="00081DAD">
        <w:rPr>
          <w:rFonts w:ascii="Times New Roman" w:hAnsi="Times New Roman" w:cs="Times New Roman"/>
          <w:sz w:val="24"/>
          <w:szCs w:val="24"/>
        </w:rPr>
        <w:t xml:space="preserve"> factors beyond the value of production measured by GDP. BGDP measures </w:t>
      </w:r>
      <w:r>
        <w:rPr>
          <w:rFonts w:ascii="Times New Roman" w:hAnsi="Times New Roman" w:cs="Times New Roman"/>
          <w:sz w:val="24"/>
          <w:szCs w:val="24"/>
        </w:rPr>
        <w:t xml:space="preserve">have </w:t>
      </w:r>
      <w:proofErr w:type="gramStart"/>
      <w:r>
        <w:rPr>
          <w:rFonts w:ascii="Times New Roman" w:hAnsi="Times New Roman" w:cs="Times New Roman"/>
          <w:sz w:val="24"/>
          <w:szCs w:val="24"/>
        </w:rPr>
        <w:t>been suggested</w:t>
      </w:r>
      <w:proofErr w:type="gramEnd"/>
      <w:r>
        <w:rPr>
          <w:rFonts w:ascii="Times New Roman" w:hAnsi="Times New Roman" w:cs="Times New Roman"/>
          <w:sz w:val="24"/>
          <w:szCs w:val="24"/>
        </w:rPr>
        <w:t xml:space="preserve"> </w:t>
      </w:r>
      <w:r w:rsidRPr="00081DAD">
        <w:rPr>
          <w:rFonts w:ascii="Times New Roman" w:hAnsi="Times New Roman" w:cs="Times New Roman"/>
          <w:sz w:val="24"/>
          <w:szCs w:val="24"/>
        </w:rPr>
        <w:t>in the literature as alternative indicators that can capture economic progress in a more holistic way</w:t>
      </w:r>
      <w:r>
        <w:rPr>
          <w:rFonts w:ascii="Times New Roman" w:hAnsi="Times New Roman" w:cs="Times New Roman"/>
          <w:sz w:val="24"/>
          <w:szCs w:val="24"/>
        </w:rPr>
        <w:t xml:space="preserve"> (</w:t>
      </w:r>
      <w:r w:rsidRPr="00E31A5B">
        <w:rPr>
          <w:rFonts w:ascii="Times New Roman" w:hAnsi="Times New Roman" w:cs="Times New Roman"/>
          <w:color w:val="000000" w:themeColor="text1"/>
          <w:sz w:val="24"/>
        </w:rPr>
        <w:t>Kimmerer</w:t>
      </w:r>
      <w:r>
        <w:rPr>
          <w:rFonts w:ascii="Times New Roman" w:hAnsi="Times New Roman" w:cs="Times New Roman"/>
          <w:color w:val="000000" w:themeColor="text1"/>
          <w:sz w:val="24"/>
        </w:rPr>
        <w:t xml:space="preserve">, </w:t>
      </w:r>
      <w:r w:rsidRPr="00E31A5B">
        <w:rPr>
          <w:rFonts w:ascii="Times New Roman" w:hAnsi="Times New Roman" w:cs="Times New Roman"/>
          <w:color w:val="000000" w:themeColor="text1"/>
          <w:sz w:val="24"/>
        </w:rPr>
        <w:t>2020</w:t>
      </w:r>
      <w:r>
        <w:rPr>
          <w:rFonts w:ascii="Times New Roman" w:hAnsi="Times New Roman" w:cs="Times New Roman"/>
          <w:color w:val="000000" w:themeColor="text1"/>
          <w:sz w:val="24"/>
        </w:rPr>
        <w:t>)</w:t>
      </w:r>
      <w:r w:rsidRPr="00081DAD">
        <w:rPr>
          <w:rFonts w:ascii="Times New Roman" w:hAnsi="Times New Roman" w:cs="Times New Roman"/>
          <w:sz w:val="24"/>
          <w:szCs w:val="24"/>
        </w:rPr>
        <w:t xml:space="preserve">, hence </w:t>
      </w:r>
      <w:r>
        <w:rPr>
          <w:rFonts w:ascii="Times New Roman" w:hAnsi="Times New Roman" w:cs="Times New Roman"/>
          <w:sz w:val="24"/>
          <w:szCs w:val="24"/>
        </w:rPr>
        <w:t>our</w:t>
      </w:r>
      <w:r w:rsidRPr="00081DAD">
        <w:rPr>
          <w:rFonts w:ascii="Times New Roman" w:hAnsi="Times New Roman" w:cs="Times New Roman"/>
          <w:sz w:val="24"/>
          <w:szCs w:val="24"/>
        </w:rPr>
        <w:t xml:space="preserve"> interest in evaluating the BGDP time series characteristics.</w:t>
      </w:r>
      <w:r>
        <w:rPr>
          <w:rFonts w:ascii="Times New Roman" w:hAnsi="Times New Roman" w:cs="Times New Roman"/>
          <w:sz w:val="24"/>
          <w:szCs w:val="24"/>
        </w:rPr>
        <w:t xml:space="preserve"> </w:t>
      </w:r>
      <w:r w:rsidRPr="00081DAD">
        <w:rPr>
          <w:rFonts w:ascii="Times New Roman" w:hAnsi="Times New Roman" w:cs="Times New Roman"/>
          <w:sz w:val="24"/>
          <w:szCs w:val="24"/>
        </w:rPr>
        <w:t xml:space="preserve">This paper </w:t>
      </w:r>
      <w:r>
        <w:rPr>
          <w:rFonts w:ascii="Times New Roman" w:hAnsi="Times New Roman" w:cs="Times New Roman"/>
          <w:sz w:val="24"/>
          <w:szCs w:val="24"/>
        </w:rPr>
        <w:t>generates and evaluates the descriptive statistics of both GDP and BGDP indicators</w:t>
      </w:r>
      <w:r w:rsidRPr="00081DAD">
        <w:rPr>
          <w:rFonts w:ascii="Times New Roman" w:hAnsi="Times New Roman" w:cs="Times New Roman"/>
          <w:sz w:val="24"/>
          <w:szCs w:val="24"/>
        </w:rPr>
        <w:t xml:space="preserve">. </w:t>
      </w:r>
      <w:r>
        <w:rPr>
          <w:rFonts w:ascii="Times New Roman" w:hAnsi="Times New Roman" w:cs="Times New Roman"/>
          <w:sz w:val="24"/>
          <w:szCs w:val="24"/>
        </w:rPr>
        <w:t>To</w:t>
      </w:r>
      <w:r w:rsidRPr="00081DAD">
        <w:rPr>
          <w:rFonts w:ascii="Times New Roman" w:hAnsi="Times New Roman" w:cs="Times New Roman"/>
          <w:sz w:val="24"/>
          <w:szCs w:val="24"/>
        </w:rPr>
        <w:t xml:space="preserve"> evaluate the presence or absence of a long run relationship between GDP and BGDP</w:t>
      </w:r>
      <w:r>
        <w:rPr>
          <w:rFonts w:ascii="Times New Roman" w:hAnsi="Times New Roman" w:cs="Times New Roman"/>
          <w:sz w:val="24"/>
          <w:szCs w:val="24"/>
        </w:rPr>
        <w:t xml:space="preserve"> indices</w:t>
      </w:r>
      <w:r w:rsidRPr="00081DAD">
        <w:rPr>
          <w:rFonts w:ascii="Times New Roman" w:hAnsi="Times New Roman" w:cs="Times New Roman"/>
          <w:sz w:val="24"/>
          <w:szCs w:val="24"/>
        </w:rPr>
        <w:t xml:space="preserve">, </w:t>
      </w:r>
      <w:r>
        <w:rPr>
          <w:rFonts w:ascii="Times New Roman" w:hAnsi="Times New Roman" w:cs="Times New Roman"/>
          <w:sz w:val="24"/>
          <w:szCs w:val="24"/>
        </w:rPr>
        <w:t>we</w:t>
      </w:r>
      <w:r w:rsidRPr="00081DAD">
        <w:rPr>
          <w:rFonts w:ascii="Times New Roman" w:hAnsi="Times New Roman" w:cs="Times New Roman"/>
          <w:sz w:val="24"/>
          <w:szCs w:val="24"/>
        </w:rPr>
        <w:t xml:space="preserve"> perform</w:t>
      </w:r>
      <w:r>
        <w:rPr>
          <w:rFonts w:ascii="Times New Roman" w:hAnsi="Times New Roman" w:cs="Times New Roman"/>
          <w:sz w:val="24"/>
          <w:szCs w:val="24"/>
        </w:rPr>
        <w:t>ed</w:t>
      </w:r>
      <w:r w:rsidRPr="00081DAD">
        <w:rPr>
          <w:rFonts w:ascii="Times New Roman" w:hAnsi="Times New Roman" w:cs="Times New Roman"/>
          <w:sz w:val="24"/>
          <w:szCs w:val="24"/>
        </w:rPr>
        <w:t xml:space="preserve"> Augmented Dickey Fuller stationarity and Johansen cointegration tests.</w:t>
      </w:r>
      <w:r>
        <w:rPr>
          <w:rFonts w:ascii="Times New Roman" w:hAnsi="Times New Roman" w:cs="Times New Roman"/>
          <w:sz w:val="24"/>
          <w:szCs w:val="24"/>
        </w:rPr>
        <w:t xml:space="preserve"> </w:t>
      </w:r>
      <w:r w:rsidRPr="00081DAD">
        <w:rPr>
          <w:rFonts w:ascii="Times New Roman" w:hAnsi="Times New Roman" w:cs="Times New Roman"/>
          <w:sz w:val="24"/>
          <w:szCs w:val="24"/>
        </w:rPr>
        <w:t xml:space="preserve">The results demonstrate that per capita GDP is cointegrated with the BGDP indicators. Furthermore, </w:t>
      </w:r>
      <w:r>
        <w:rPr>
          <w:rFonts w:ascii="Times New Roman" w:hAnsi="Times New Roman" w:cs="Times New Roman"/>
          <w:sz w:val="24"/>
          <w:szCs w:val="24"/>
        </w:rPr>
        <w:t>this study shows</w:t>
      </w:r>
      <w:r w:rsidRPr="00081DAD">
        <w:rPr>
          <w:rFonts w:ascii="Times New Roman" w:hAnsi="Times New Roman" w:cs="Times New Roman"/>
          <w:sz w:val="24"/>
          <w:szCs w:val="24"/>
        </w:rPr>
        <w:t xml:space="preserve"> for the first time in the literature that BGDP measures are cointegrated when paired with each other.</w:t>
      </w:r>
      <w:r>
        <w:rPr>
          <w:rFonts w:ascii="Times New Roman" w:hAnsi="Times New Roman" w:cs="Times New Roman"/>
          <w:sz w:val="24"/>
          <w:szCs w:val="24"/>
        </w:rPr>
        <w:t xml:space="preserve"> </w:t>
      </w:r>
      <w:r w:rsidRPr="00081DAD">
        <w:rPr>
          <w:rFonts w:ascii="Times New Roman" w:hAnsi="Times New Roman" w:cs="Times New Roman"/>
          <w:sz w:val="24"/>
          <w:szCs w:val="24"/>
        </w:rPr>
        <w:t xml:space="preserve">The paper contributes to the existing literature by highlighting </w:t>
      </w:r>
      <w:r>
        <w:rPr>
          <w:rFonts w:ascii="Times New Roman" w:hAnsi="Times New Roman" w:cs="Times New Roman"/>
          <w:sz w:val="24"/>
          <w:szCs w:val="24"/>
        </w:rPr>
        <w:t xml:space="preserve">the </w:t>
      </w:r>
      <w:r w:rsidRPr="00081DAD">
        <w:rPr>
          <w:rFonts w:ascii="Times New Roman" w:hAnsi="Times New Roman" w:cs="Times New Roman"/>
          <w:sz w:val="24"/>
          <w:szCs w:val="24"/>
        </w:rPr>
        <w:t xml:space="preserve">time series properties of BGDP indicators in Canada. This insight facilitates </w:t>
      </w:r>
      <w:r>
        <w:rPr>
          <w:rFonts w:ascii="Times New Roman" w:hAnsi="Times New Roman" w:cs="Times New Roman"/>
          <w:sz w:val="24"/>
          <w:szCs w:val="24"/>
        </w:rPr>
        <w:t>the</w:t>
      </w:r>
      <w:r w:rsidRPr="00081DAD">
        <w:rPr>
          <w:rFonts w:ascii="Times New Roman" w:hAnsi="Times New Roman" w:cs="Times New Roman"/>
          <w:sz w:val="24"/>
          <w:szCs w:val="24"/>
        </w:rPr>
        <w:t xml:space="preserve"> understanding of the behavior of BGDP measures as indicators that capture the overall economic wellbeing, thereby further enhancing the use of these measures for econometric studies and policy making.</w:t>
      </w:r>
    </w:p>
    <w:p w14:paraId="4C699F80" w14:textId="77777777" w:rsidR="00730872" w:rsidRPr="000762A0" w:rsidRDefault="00730872" w:rsidP="0068330F">
      <w:pPr>
        <w:spacing w:line="240" w:lineRule="auto"/>
        <w:ind w:firstLine="720"/>
        <w:jc w:val="both"/>
        <w:rPr>
          <w:rFonts w:ascii="Times New Roman" w:hAnsi="Times New Roman" w:cs="Times New Roman"/>
          <w:sz w:val="24"/>
          <w:szCs w:val="24"/>
        </w:rPr>
      </w:pPr>
    </w:p>
    <w:p w14:paraId="70ECC821" w14:textId="383FBA72" w:rsidR="0080418B" w:rsidRPr="00E55AE8" w:rsidRDefault="006904D8" w:rsidP="0068330F">
      <w:pPr>
        <w:spacing w:line="240" w:lineRule="auto"/>
        <w:ind w:firstLine="720"/>
        <w:rPr>
          <w:rFonts w:ascii="Times New Roman" w:hAnsi="Times New Roman" w:cs="Times New Roman"/>
          <w:b/>
          <w:bCs/>
          <w:sz w:val="24"/>
          <w:szCs w:val="24"/>
        </w:rPr>
      </w:pPr>
      <w:r w:rsidRPr="00E55AE8">
        <w:rPr>
          <w:rFonts w:ascii="Times New Roman" w:hAnsi="Times New Roman" w:cs="Times New Roman"/>
          <w:i/>
          <w:sz w:val="24"/>
          <w:szCs w:val="24"/>
        </w:rPr>
        <w:t>Keywords:</w:t>
      </w:r>
      <w:r w:rsidR="00E55AE8" w:rsidRPr="00E55AE8">
        <w:rPr>
          <w:rFonts w:ascii="Times New Roman" w:hAnsi="Times New Roman" w:cs="Times New Roman"/>
          <w:i/>
          <w:sz w:val="24"/>
          <w:szCs w:val="24"/>
        </w:rPr>
        <w:t xml:space="preserve"> </w:t>
      </w:r>
      <w:r w:rsidR="00E55AE8" w:rsidRPr="00E55AE8">
        <w:rPr>
          <w:rFonts w:ascii="Times New Roman" w:hAnsi="Times New Roman" w:cs="Times New Roman"/>
          <w:sz w:val="24"/>
          <w:szCs w:val="24"/>
        </w:rPr>
        <w:t>E</w:t>
      </w:r>
      <w:r w:rsidR="002B4DED" w:rsidRPr="00E55AE8">
        <w:rPr>
          <w:rFonts w:ascii="Times New Roman" w:hAnsi="Times New Roman" w:cs="Times New Roman"/>
          <w:sz w:val="24"/>
          <w:szCs w:val="24"/>
        </w:rPr>
        <w:t xml:space="preserve">conomic growth, </w:t>
      </w:r>
      <w:r w:rsidR="00E55AE8" w:rsidRPr="00E55AE8">
        <w:rPr>
          <w:rFonts w:ascii="Times New Roman" w:hAnsi="Times New Roman" w:cs="Times New Roman"/>
          <w:sz w:val="24"/>
          <w:szCs w:val="24"/>
        </w:rPr>
        <w:t>beyond</w:t>
      </w:r>
      <w:r w:rsidR="0041584E">
        <w:rPr>
          <w:rFonts w:ascii="Times New Roman" w:hAnsi="Times New Roman" w:cs="Times New Roman"/>
          <w:sz w:val="24"/>
          <w:szCs w:val="24"/>
        </w:rPr>
        <w:t>-</w:t>
      </w:r>
      <w:r w:rsidR="00E55AE8" w:rsidRPr="00E55AE8">
        <w:rPr>
          <w:rFonts w:ascii="Times New Roman" w:hAnsi="Times New Roman" w:cs="Times New Roman"/>
          <w:sz w:val="24"/>
          <w:szCs w:val="24"/>
        </w:rPr>
        <w:t>GDP</w:t>
      </w:r>
      <w:r w:rsidR="00E55AE8">
        <w:rPr>
          <w:rFonts w:ascii="Times New Roman" w:hAnsi="Times New Roman" w:cs="Times New Roman"/>
          <w:sz w:val="24"/>
          <w:szCs w:val="24"/>
        </w:rPr>
        <w:t xml:space="preserve"> measures</w:t>
      </w:r>
      <w:r w:rsidR="00E55AE8" w:rsidRPr="00E55AE8">
        <w:rPr>
          <w:rFonts w:ascii="Times New Roman" w:hAnsi="Times New Roman" w:cs="Times New Roman"/>
          <w:sz w:val="24"/>
          <w:szCs w:val="24"/>
        </w:rPr>
        <w:t xml:space="preserve">, </w:t>
      </w:r>
      <w:r w:rsidR="00322E39" w:rsidRPr="00E55AE8">
        <w:rPr>
          <w:rFonts w:ascii="Times New Roman" w:hAnsi="Times New Roman" w:cs="Times New Roman"/>
          <w:sz w:val="24"/>
          <w:szCs w:val="24"/>
        </w:rPr>
        <w:t xml:space="preserve">disposable income, </w:t>
      </w:r>
      <w:r w:rsidR="00E55AE8" w:rsidRPr="00E55AE8">
        <w:rPr>
          <w:rFonts w:ascii="Times New Roman" w:hAnsi="Times New Roman" w:cs="Times New Roman"/>
          <w:sz w:val="24"/>
          <w:szCs w:val="24"/>
        </w:rPr>
        <w:t>human development, economic freedom, cointegration</w:t>
      </w:r>
    </w:p>
    <w:bookmarkEnd w:id="0"/>
    <w:p w14:paraId="0D83482C" w14:textId="086D97D7" w:rsidR="0021098F" w:rsidRPr="003B6C2E" w:rsidRDefault="0021098F" w:rsidP="0068330F">
      <w:pPr>
        <w:spacing w:line="240" w:lineRule="auto"/>
        <w:rPr>
          <w:highlight w:val="yellow"/>
        </w:rPr>
      </w:pPr>
    </w:p>
    <w:p w14:paraId="6F27FA8D" w14:textId="77777777" w:rsidR="00457A21" w:rsidRPr="003B6C2E" w:rsidRDefault="00457A21" w:rsidP="0068330F">
      <w:pPr>
        <w:pStyle w:val="Heading1"/>
        <w:spacing w:line="240" w:lineRule="auto"/>
        <w:rPr>
          <w:rFonts w:ascii="Times New Roman" w:eastAsiaTheme="minorHAnsi" w:hAnsi="Times New Roman" w:cs="Times New Roman"/>
          <w:color w:val="auto"/>
          <w:sz w:val="24"/>
          <w:szCs w:val="24"/>
          <w:highlight w:val="yellow"/>
        </w:rPr>
        <w:sectPr w:rsidR="00457A21" w:rsidRPr="003B6C2E" w:rsidSect="00A336D7">
          <w:headerReference w:type="default" r:id="rId8"/>
          <w:footerReference w:type="default" r:id="rId9"/>
          <w:headerReference w:type="first" r:id="rId10"/>
          <w:footerReference w:type="first" r:id="rId11"/>
          <w:type w:val="continuous"/>
          <w:pgSz w:w="12240" w:h="15840"/>
          <w:pgMar w:top="1440" w:right="1440" w:bottom="1440" w:left="1440" w:header="720" w:footer="720" w:gutter="0"/>
          <w:pgNumType w:fmt="lowerRoman" w:start="1"/>
          <w:cols w:space="720"/>
          <w:titlePg/>
          <w:docGrid w:linePitch="360"/>
        </w:sectPr>
      </w:pPr>
    </w:p>
    <w:p w14:paraId="2939FE8C" w14:textId="4C0FE36A" w:rsidR="0068122B" w:rsidRPr="00ED32AB" w:rsidRDefault="0068122B" w:rsidP="0068330F">
      <w:pPr>
        <w:pStyle w:val="Heading1"/>
        <w:spacing w:after="240" w:line="240" w:lineRule="auto"/>
        <w:rPr>
          <w:rFonts w:ascii="Times New Roman" w:hAnsi="Times New Roman" w:cs="Times New Roman"/>
          <w:b/>
          <w:bCs/>
          <w:color w:val="000000" w:themeColor="text1"/>
          <w:sz w:val="28"/>
          <w:szCs w:val="28"/>
        </w:rPr>
      </w:pPr>
      <w:bookmarkStart w:id="2" w:name="_Toc52636553"/>
      <w:bookmarkStart w:id="3" w:name="_Toc62309193"/>
      <w:bookmarkStart w:id="4" w:name="_Toc64618601"/>
      <w:r w:rsidRPr="00ED32AB">
        <w:rPr>
          <w:rFonts w:ascii="Times New Roman" w:hAnsi="Times New Roman" w:cs="Times New Roman"/>
          <w:b/>
          <w:bCs/>
          <w:color w:val="000000" w:themeColor="text1"/>
          <w:sz w:val="28"/>
          <w:szCs w:val="28"/>
        </w:rPr>
        <w:lastRenderedPageBreak/>
        <w:t>Introduction</w:t>
      </w:r>
      <w:bookmarkEnd w:id="2"/>
      <w:bookmarkEnd w:id="3"/>
      <w:bookmarkEnd w:id="4"/>
    </w:p>
    <w:p w14:paraId="2CB73A93" w14:textId="624168E0" w:rsidR="00367023" w:rsidRDefault="00367023" w:rsidP="0068330F">
      <w:pPr>
        <w:spacing w:line="240" w:lineRule="auto"/>
        <w:ind w:firstLine="720"/>
        <w:rPr>
          <w:rFonts w:ascii="Times New Roman" w:hAnsi="Times New Roman" w:cs="Times New Roman"/>
          <w:color w:val="000000" w:themeColor="text1"/>
          <w:sz w:val="24"/>
          <w:szCs w:val="24"/>
        </w:rPr>
      </w:pPr>
      <w:bookmarkStart w:id="5" w:name="_Toc64618602"/>
      <w:r>
        <w:rPr>
          <w:rFonts w:ascii="Times New Roman" w:hAnsi="Times New Roman" w:cs="Times New Roman"/>
          <w:color w:val="000000" w:themeColor="text1"/>
          <w:sz w:val="24"/>
          <w:szCs w:val="24"/>
        </w:rPr>
        <w:t xml:space="preserve">Historically, Gross domestic product (GDP) has been the most widely used measure of economic growth. </w:t>
      </w:r>
      <w:r w:rsidRPr="00E31A5B">
        <w:rPr>
          <w:rFonts w:ascii="Times New Roman" w:hAnsi="Times New Roman" w:cs="Times New Roman"/>
          <w:color w:val="000000" w:themeColor="text1"/>
          <w:sz w:val="24"/>
          <w:szCs w:val="24"/>
        </w:rPr>
        <w:t xml:space="preserve">The challenge with using GDP as the fundamental </w:t>
      </w:r>
      <w:r w:rsidR="003B50A3">
        <w:rPr>
          <w:rFonts w:ascii="Times New Roman" w:hAnsi="Times New Roman" w:cs="Times New Roman"/>
          <w:color w:val="000000" w:themeColor="text1"/>
          <w:sz w:val="24"/>
          <w:szCs w:val="24"/>
        </w:rPr>
        <w:t xml:space="preserve">growth </w:t>
      </w:r>
      <w:r w:rsidRPr="00E31A5B">
        <w:rPr>
          <w:rFonts w:ascii="Times New Roman" w:hAnsi="Times New Roman" w:cs="Times New Roman"/>
          <w:color w:val="000000" w:themeColor="text1"/>
          <w:sz w:val="24"/>
          <w:szCs w:val="24"/>
        </w:rPr>
        <w:t xml:space="preserve">metric is that although GDP is considered a leading </w:t>
      </w:r>
      <w:r w:rsidR="00A8606A">
        <w:rPr>
          <w:rFonts w:ascii="Times New Roman" w:hAnsi="Times New Roman" w:cs="Times New Roman"/>
          <w:color w:val="000000" w:themeColor="text1"/>
          <w:sz w:val="24"/>
          <w:szCs w:val="24"/>
        </w:rPr>
        <w:t>indicator</w:t>
      </w:r>
      <w:r w:rsidRPr="00E31A5B">
        <w:rPr>
          <w:rFonts w:ascii="Times New Roman" w:hAnsi="Times New Roman" w:cs="Times New Roman"/>
          <w:color w:val="000000" w:themeColor="text1"/>
          <w:sz w:val="24"/>
          <w:szCs w:val="24"/>
        </w:rPr>
        <w:t xml:space="preserve"> for measuring macroeconomic </w:t>
      </w:r>
      <w:r w:rsidR="00A8606A">
        <w:rPr>
          <w:rFonts w:ascii="Times New Roman" w:hAnsi="Times New Roman" w:cs="Times New Roman"/>
          <w:color w:val="000000" w:themeColor="text1"/>
          <w:sz w:val="24"/>
          <w:szCs w:val="24"/>
        </w:rPr>
        <w:t>development</w:t>
      </w:r>
      <w:r w:rsidRPr="00E31A5B">
        <w:rPr>
          <w:rFonts w:ascii="Times New Roman" w:hAnsi="Times New Roman" w:cs="Times New Roman"/>
          <w:color w:val="000000" w:themeColor="text1"/>
          <w:sz w:val="24"/>
          <w:szCs w:val="24"/>
        </w:rPr>
        <w:t>, it does not capture certain crucial socio-</w:t>
      </w:r>
      <w:r w:rsidRPr="00367D5E">
        <w:rPr>
          <w:rFonts w:ascii="Times New Roman" w:hAnsi="Times New Roman" w:cs="Times New Roman"/>
          <w:color w:val="000000" w:themeColor="text1"/>
          <w:sz w:val="24"/>
          <w:szCs w:val="24"/>
        </w:rPr>
        <w:t xml:space="preserve">economic factors and interactions that </w:t>
      </w:r>
      <w:r w:rsidR="00A8606A" w:rsidRPr="00367D5E">
        <w:rPr>
          <w:rFonts w:ascii="Times New Roman" w:hAnsi="Times New Roman" w:cs="Times New Roman"/>
          <w:color w:val="000000" w:themeColor="text1"/>
          <w:sz w:val="24"/>
          <w:szCs w:val="24"/>
        </w:rPr>
        <w:t>represent the overall wellbeing of the society and economy</w:t>
      </w:r>
      <w:r w:rsidRPr="00367D5E">
        <w:rPr>
          <w:rFonts w:ascii="Times New Roman" w:hAnsi="Times New Roman" w:cs="Times New Roman"/>
          <w:color w:val="000000" w:themeColor="text1"/>
          <w:sz w:val="24"/>
          <w:szCs w:val="24"/>
        </w:rPr>
        <w:t xml:space="preserve"> </w:t>
      </w:r>
      <w:r w:rsidRPr="00367D5E">
        <w:rPr>
          <w:rFonts w:ascii="Times New Roman" w:hAnsi="Times New Roman" w:cs="Times New Roman"/>
          <w:color w:val="000000" w:themeColor="text1"/>
          <w:sz w:val="24"/>
          <w:szCs w:val="24"/>
        </w:rPr>
        <w:fldChar w:fldCharType="begin"/>
      </w:r>
      <w:r w:rsidR="003823BD" w:rsidRPr="00367D5E">
        <w:rPr>
          <w:rFonts w:ascii="Times New Roman" w:hAnsi="Times New Roman" w:cs="Times New Roman"/>
          <w:color w:val="000000" w:themeColor="text1"/>
          <w:sz w:val="24"/>
          <w:szCs w:val="24"/>
        </w:rPr>
        <w:instrText xml:space="preserve"> ADDIN ZOTERO_ITEM CSL_CITATION {"citationID":"a1npm55dr08","properties":{"formattedCitation":"(Seaford, 2014; Volejn\\uc0\\u237{}kov\\uc0\\u225{} &amp; \\uc0\\u344{}ezn\\uc0\\u237{}\\uc0\\u269{}ek, 2016)","plainCitation":"(Seaford, 2014; Volejníková &amp; Řezníček, 2016)","noteIndex":0},"citationItems":[{"id":630,"uris":["http://zotero.org/users/5016855/items/2BVKKDDD"],"itemData":{"id":630,"type":"document","abstract":"It is widely agreed that to achieve the aims of the European Union, as set out in the Treaty of Lisbon, gross domestic product (GDP) maximisation and market efficiency cannot be the sole objectives of economic policy. The question now is how to achieve the associated changes needed to economic policy making.\nOne part of the answer is to develop new measures of progress ‘Beyond GDP,’ as proposed by the Stiglitz Commission. The other is to use these measures in economic governance, and this forms the agenda for this conference.\nThis paper summarises findings from a European Commission funded project, which identified barriers to this, and draws conclusions for action in Europe.\nFirst, the term ‘Beyond GDP’ needs to be defined. It does not mean that environmental and social ministries or directorates general (DGs) start to use environmental and social indicators alongside economic indicators, which happens in any case. It means instead that economic ministries and DGs start to use all these indicators as part of an integrated policy process, in a way that prevents traditional economic objectives (such as GDP growth) from trumping all others.","language":"en","publisher":"New Economics Foundation","title":"Beyond GDP: From measurement to European economic governance","author":[{"family":"Seaford","given":"Charles"}],"accessed":{"date-parts":[["2021",1,1]]},"issued":{"date-parts":[["2014",10]]}}},{"id":635,"uris":["http://zotero.org/users/5016855/items/QB6T6TVI"],"itemData":{"id":635,"type":"article-journal","abstract":"Although real GDP is considered a key macroeconomic indicator for a nation’s economic development, various criticisms of its method of measurement and interpretation have been appearing increasingly more often. In the previous century, Simon Kuznets already expressed certain doubts. There are a number of alternative methods and proposals (or additions) to GDP for assessing the current level of societal development. This paper deals with comparing these alternatives. Attention is also devoted to analyzing empirical data concerning the development of real GDP and the Human Development Index (HDI). Data will be compared for the Czech Republic and the other countries that jointly entered the EU together with the Czech Republic in 2004 (the EU-10). The reason for this double comparison is to judge the development of this group of countries through the lens of the double comparison method. From the analysis we conducted, it follows that a country’s economic development judged on the basis of real GDP shows different characteristics than economic development perceived as satisfaction with a fuller quality of human life.","container-title":"Scientific Papers of the University of Pardubice. Series D. Faculty of Economics and Administration","ISSN":"1211555X","issue":"37","language":"English","note":"number-of-pages: 164-175\npublisher-place: Pardibuce, Czech Republic\npublisher: University of Pardubice, Faculty of Economics and Administration","page":"164-175","source":"ProQuest","title":"Alternatives for evaluating a country’s economic development","author":[{"family":"Volejníková","given":"Jolana"},{"family":"Řezníček","given":"Jan"}],"issued":{"date-parts":[["2016"]]}}}],"schema":"https://github.com/citation-style-language/schema/raw/master/csl-citation.json"} </w:instrText>
      </w:r>
      <w:r w:rsidRPr="00367D5E">
        <w:rPr>
          <w:rFonts w:ascii="Times New Roman" w:hAnsi="Times New Roman" w:cs="Times New Roman"/>
          <w:color w:val="000000" w:themeColor="text1"/>
          <w:sz w:val="24"/>
          <w:szCs w:val="24"/>
        </w:rPr>
        <w:fldChar w:fldCharType="separate"/>
      </w:r>
      <w:r w:rsidRPr="00367D5E">
        <w:rPr>
          <w:rFonts w:ascii="Times New Roman" w:hAnsi="Times New Roman" w:cs="Times New Roman"/>
          <w:color w:val="000000" w:themeColor="text1"/>
          <w:sz w:val="24"/>
          <w:szCs w:val="24"/>
        </w:rPr>
        <w:t>(Seaford, 2014; Volejníková &amp; Řezníček, 2016)</w:t>
      </w:r>
      <w:r w:rsidRPr="00367D5E">
        <w:rPr>
          <w:rFonts w:ascii="Times New Roman" w:hAnsi="Times New Roman" w:cs="Times New Roman"/>
          <w:color w:val="000000" w:themeColor="text1"/>
          <w:sz w:val="24"/>
          <w:szCs w:val="24"/>
        </w:rPr>
        <w:fldChar w:fldCharType="end"/>
      </w:r>
      <w:r w:rsidRPr="00367D5E">
        <w:rPr>
          <w:rFonts w:ascii="Times New Roman" w:hAnsi="Times New Roman" w:cs="Times New Roman"/>
          <w:color w:val="000000" w:themeColor="text1"/>
          <w:sz w:val="24"/>
          <w:szCs w:val="24"/>
        </w:rPr>
        <w:t>. As</w:t>
      </w:r>
      <w:r w:rsidRPr="00E31A5B">
        <w:rPr>
          <w:rFonts w:ascii="Times New Roman" w:hAnsi="Times New Roman" w:cs="Times New Roman"/>
          <w:color w:val="000000" w:themeColor="text1"/>
          <w:sz w:val="24"/>
          <w:szCs w:val="24"/>
        </w:rPr>
        <w:t xml:space="preserve"> a result, the predominant use of GDP has led to a</w:t>
      </w:r>
      <w:r w:rsidR="00A8606A">
        <w:rPr>
          <w:rFonts w:ascii="Times New Roman" w:hAnsi="Times New Roman" w:cs="Times New Roman"/>
          <w:color w:val="000000" w:themeColor="text1"/>
          <w:sz w:val="24"/>
          <w:szCs w:val="24"/>
        </w:rPr>
        <w:t xml:space="preserve">n </w:t>
      </w:r>
      <w:proofErr w:type="gramStart"/>
      <w:r w:rsidR="00A8606A">
        <w:rPr>
          <w:rFonts w:ascii="Times New Roman" w:hAnsi="Times New Roman" w:cs="Times New Roman"/>
          <w:color w:val="000000" w:themeColor="text1"/>
          <w:sz w:val="24"/>
          <w:szCs w:val="24"/>
        </w:rPr>
        <w:t>arguably limited</w:t>
      </w:r>
      <w:proofErr w:type="gramEnd"/>
      <w:r w:rsidR="00A8606A">
        <w:rPr>
          <w:rFonts w:ascii="Times New Roman" w:hAnsi="Times New Roman" w:cs="Times New Roman"/>
          <w:color w:val="000000" w:themeColor="text1"/>
          <w:sz w:val="24"/>
          <w:szCs w:val="24"/>
        </w:rPr>
        <w:t xml:space="preserve"> </w:t>
      </w:r>
      <w:r w:rsidRPr="00E31A5B">
        <w:rPr>
          <w:rFonts w:ascii="Times New Roman" w:hAnsi="Times New Roman" w:cs="Times New Roman"/>
          <w:color w:val="000000" w:themeColor="text1"/>
          <w:sz w:val="24"/>
          <w:szCs w:val="24"/>
        </w:rPr>
        <w:t xml:space="preserve">understanding of the </w:t>
      </w:r>
      <w:r w:rsidR="00A8606A">
        <w:rPr>
          <w:rFonts w:ascii="Times New Roman" w:hAnsi="Times New Roman" w:cs="Times New Roman"/>
          <w:color w:val="000000" w:themeColor="text1"/>
          <w:sz w:val="24"/>
          <w:szCs w:val="24"/>
        </w:rPr>
        <w:t>breadth of socio-economic and wellbeing aspects of the society that can affect</w:t>
      </w:r>
      <w:r w:rsidRPr="00E31A5B">
        <w:rPr>
          <w:rFonts w:ascii="Times New Roman" w:hAnsi="Times New Roman" w:cs="Times New Roman"/>
          <w:color w:val="000000" w:themeColor="text1"/>
          <w:sz w:val="24"/>
          <w:szCs w:val="24"/>
        </w:rPr>
        <w:t xml:space="preserve"> </w:t>
      </w:r>
      <w:r w:rsidR="00A8606A">
        <w:rPr>
          <w:rFonts w:ascii="Times New Roman" w:hAnsi="Times New Roman" w:cs="Times New Roman"/>
          <w:color w:val="000000" w:themeColor="text1"/>
          <w:sz w:val="24"/>
          <w:szCs w:val="24"/>
        </w:rPr>
        <w:t xml:space="preserve">the overall </w:t>
      </w:r>
      <w:r w:rsidRPr="00E31A5B">
        <w:rPr>
          <w:rFonts w:ascii="Times New Roman" w:hAnsi="Times New Roman" w:cs="Times New Roman"/>
          <w:color w:val="000000" w:themeColor="text1"/>
          <w:sz w:val="24"/>
          <w:szCs w:val="24"/>
        </w:rPr>
        <w:t xml:space="preserve">economic growth. Broader perspectives gained from using other complementary (and </w:t>
      </w:r>
      <w:r w:rsidR="00966945">
        <w:rPr>
          <w:rFonts w:ascii="Times New Roman" w:hAnsi="Times New Roman" w:cs="Times New Roman"/>
          <w:color w:val="000000" w:themeColor="text1"/>
          <w:sz w:val="24"/>
          <w:szCs w:val="24"/>
        </w:rPr>
        <w:t>arguably</w:t>
      </w:r>
      <w:r w:rsidRPr="00E31A5B">
        <w:rPr>
          <w:rFonts w:ascii="Times New Roman" w:hAnsi="Times New Roman" w:cs="Times New Roman"/>
          <w:color w:val="000000" w:themeColor="text1"/>
          <w:sz w:val="24"/>
          <w:szCs w:val="24"/>
        </w:rPr>
        <w:t xml:space="preserve"> more comprehensive) measures of economic growth are, therefore, required in </w:t>
      </w:r>
      <w:r w:rsidR="00966945">
        <w:rPr>
          <w:rFonts w:ascii="Times New Roman" w:hAnsi="Times New Roman" w:cs="Times New Roman"/>
          <w:color w:val="000000" w:themeColor="text1"/>
          <w:sz w:val="24"/>
          <w:szCs w:val="24"/>
        </w:rPr>
        <w:t>economic development studies</w:t>
      </w:r>
      <w:r w:rsidRPr="00E31A5B">
        <w:rPr>
          <w:rFonts w:ascii="Times New Roman" w:hAnsi="Times New Roman" w:cs="Times New Roman"/>
          <w:color w:val="000000" w:themeColor="text1"/>
          <w:sz w:val="24"/>
          <w:szCs w:val="24"/>
        </w:rPr>
        <w:t xml:space="preserve"> </w:t>
      </w:r>
      <w:r w:rsidRPr="00E31A5B">
        <w:rPr>
          <w:rFonts w:ascii="Times New Roman" w:hAnsi="Times New Roman" w:cs="Times New Roman"/>
          <w:color w:val="000000" w:themeColor="text1"/>
          <w:sz w:val="24"/>
          <w:szCs w:val="24"/>
        </w:rPr>
        <w:fldChar w:fldCharType="begin"/>
      </w:r>
      <w:r w:rsidR="003823BD">
        <w:rPr>
          <w:rFonts w:ascii="Times New Roman" w:hAnsi="Times New Roman" w:cs="Times New Roman"/>
          <w:color w:val="000000" w:themeColor="text1"/>
          <w:sz w:val="24"/>
          <w:szCs w:val="24"/>
        </w:rPr>
        <w:instrText xml:space="preserve"> ADDIN ZOTERO_ITEM CSL_CITATION {"citationID":"aubv8p81lb","properties":{"formattedCitation":"(Ngepah, 2017; Rani &amp; Mandal, 2020)","plainCitation":"(Ngepah, 2017; Rani &amp; Mandal, 2020)","noteIndex":0},"citationItems":[{"id":638,"uris":["http://zotero.org/users/5016855/items/TAT44SFH"],"itemData":{"id":638,"type":"article-journal","abstract":"Although the concept of inclusive economic growth is relatively nascent, it is now, more than ever, deemed very relevant to Africa. Contrary to the traditional concept of pro-poor growth, which more or less places those at the lower end of the income/wealth distribution spectrum at the margin of the processes of wealth creation, the concept of inclusive growth suggests a more active participation of the poor. An appealing subconcept proposes two pillars—labour absorbing growth and increasing productivity of those who are being employed. Although perhaps the full conceptualization and modelling framework is still to see light, some work has been done to attempt to understand how inclusive the recent surge of growth in Africa might have been. This paper explores the literature of inclusive growth in the African context, from a socio-economic stand point. It attempts to establish the characterizations of inclusive growth in Africa, its underlying arguments and prospects for future theoretical and empirical development.","collection-title":"Sustainability science","container-title":"Current Opinion in Environmental Sustainability","DOI":"10.1016/j.cosust.2017.01.008","ISSN":"1877-3435","journalAbbreviation":"Current Opinion in Environmental Sustainability","language":"en","page":"52-57","source":"ScienceDirect","title":"A review of theories and evidence of inclusive growth: an economic perspective for Africa","title-short":"A review of theories and evidence of inclusive growth","volume":"24","author":[{"family":"Ngepah","given":"Nicholas"}],"issued":{"date-parts":[["2017",2,1]]}}},{"id":637,"uris":["http://zotero.org/users/5016855/items/Y4QDFIJG"],"itemData":{"id":637,"type":"post","abstract":"Gross domestic product is a narrow and an inadequate metric to capture the holistic and true value of health investment, leading to economic wellbeing.","container-title":"Policy Circle","genre":"Article","language":"en-GB","title":"All Inclusive Economic Development: The GDP alternative offers a better measure of progress | Policy Circle","title-short":"All Inclusive Economic Development","URL":"https://www.policycircle.org/economy/all-inclusive-economic-development-why-this-gdp-alternative-is-a-better-measure-of-progress/","author":[{"family":"Rani","given":"Neelam"},{"family":"Mandal","given":"Anandadeep"}],"accessed":{"date-parts":[["2020",12,31]]},"issued":{"date-parts":[["2020",8,6]]}}}],"schema":"https://github.com/citation-style-language/schema/raw/master/csl-citation.json"} </w:instrText>
      </w:r>
      <w:r w:rsidRPr="00E31A5B">
        <w:rPr>
          <w:rFonts w:ascii="Times New Roman" w:hAnsi="Times New Roman" w:cs="Times New Roman"/>
          <w:color w:val="000000" w:themeColor="text1"/>
          <w:sz w:val="24"/>
          <w:szCs w:val="24"/>
        </w:rPr>
        <w:fldChar w:fldCharType="separate"/>
      </w:r>
      <w:r w:rsidRPr="00E31A5B">
        <w:rPr>
          <w:rFonts w:ascii="Times New Roman" w:hAnsi="Times New Roman" w:cs="Times New Roman"/>
          <w:color w:val="000000" w:themeColor="text1"/>
          <w:sz w:val="24"/>
          <w:szCs w:val="24"/>
        </w:rPr>
        <w:t>(Ngepah, 2017; Rani &amp; Mandal, 2020)</w:t>
      </w:r>
      <w:r w:rsidRPr="00E31A5B">
        <w:rPr>
          <w:rFonts w:ascii="Times New Roman" w:hAnsi="Times New Roman" w:cs="Times New Roman"/>
          <w:color w:val="000000" w:themeColor="text1"/>
          <w:sz w:val="24"/>
          <w:szCs w:val="24"/>
        </w:rPr>
        <w:fldChar w:fldCharType="end"/>
      </w:r>
      <w:r w:rsidRPr="00E31A5B">
        <w:rPr>
          <w:rFonts w:ascii="Times New Roman" w:hAnsi="Times New Roman" w:cs="Times New Roman"/>
          <w:color w:val="000000" w:themeColor="text1"/>
          <w:sz w:val="24"/>
          <w:szCs w:val="24"/>
        </w:rPr>
        <w:t>.</w:t>
      </w:r>
      <w:r w:rsidR="00966945">
        <w:rPr>
          <w:rFonts w:ascii="Times New Roman" w:hAnsi="Times New Roman" w:cs="Times New Roman"/>
          <w:color w:val="000000" w:themeColor="text1"/>
          <w:sz w:val="24"/>
          <w:szCs w:val="24"/>
        </w:rPr>
        <w:t xml:space="preserve"> These </w:t>
      </w:r>
      <w:r w:rsidR="00460945">
        <w:rPr>
          <w:rFonts w:ascii="Times New Roman" w:hAnsi="Times New Roman" w:cs="Times New Roman"/>
          <w:color w:val="000000" w:themeColor="text1"/>
          <w:sz w:val="24"/>
          <w:szCs w:val="24"/>
        </w:rPr>
        <w:t>complementary measures</w:t>
      </w:r>
      <w:r w:rsidR="00966945">
        <w:rPr>
          <w:rFonts w:ascii="Times New Roman" w:hAnsi="Times New Roman" w:cs="Times New Roman"/>
          <w:color w:val="000000" w:themeColor="text1"/>
          <w:sz w:val="24"/>
          <w:szCs w:val="24"/>
        </w:rPr>
        <w:t xml:space="preserve"> have been referred to in the literature as beyond-GDP (BGDP) </w:t>
      </w:r>
      <w:r w:rsidR="00F71059">
        <w:rPr>
          <w:rFonts w:ascii="Times New Roman" w:hAnsi="Times New Roman" w:cs="Times New Roman"/>
          <w:color w:val="000000" w:themeColor="text1"/>
          <w:sz w:val="24"/>
          <w:szCs w:val="24"/>
        </w:rPr>
        <w:t xml:space="preserve">or alternative growth </w:t>
      </w:r>
      <w:r w:rsidR="00C301F1">
        <w:rPr>
          <w:rFonts w:ascii="Times New Roman" w:hAnsi="Times New Roman" w:cs="Times New Roman"/>
          <w:color w:val="000000" w:themeColor="text1"/>
          <w:sz w:val="24"/>
          <w:szCs w:val="24"/>
        </w:rPr>
        <w:t>metrics</w:t>
      </w:r>
      <w:r w:rsidR="00966945">
        <w:rPr>
          <w:rFonts w:ascii="Times New Roman" w:hAnsi="Times New Roman" w:cs="Times New Roman"/>
          <w:color w:val="000000" w:themeColor="text1"/>
          <w:sz w:val="24"/>
          <w:szCs w:val="24"/>
        </w:rPr>
        <w:t xml:space="preserve"> (</w:t>
      </w:r>
      <w:r w:rsidR="002D04A7">
        <w:rPr>
          <w:rFonts w:ascii="Times New Roman" w:hAnsi="Times New Roman" w:cs="Times New Roman"/>
          <w:color w:val="000000" w:themeColor="text1"/>
          <w:sz w:val="24"/>
          <w:szCs w:val="24"/>
        </w:rPr>
        <w:fldChar w:fldCharType="begin"/>
      </w:r>
      <w:r w:rsidR="002105AA">
        <w:rPr>
          <w:rFonts w:ascii="Times New Roman" w:hAnsi="Times New Roman" w:cs="Times New Roman"/>
          <w:color w:val="000000" w:themeColor="text1"/>
          <w:sz w:val="24"/>
          <w:szCs w:val="24"/>
        </w:rPr>
        <w:instrText xml:space="preserve"> ADDIN ZOTERO_ITEM CSL_CITATION {"citationID":"a7bkar8co9","properties":{"formattedCitation":"\\uldash{(IMF, 2011; Kubiszewski et al., 2013)}","plainCitation":"(IMF, 2011; Kubiszewski et al., 2013)","dontUpdate":true,"noteIndex":0},"citationItems":[{"id":627,"uris":["http://zotero.org/users/5016855/items/MH79GDNK"],"itemData":{"id":627,"type":"webpage","abstract":"The Gross Domestic Product (GDP) is a well-known standard benchmark for measuring economic performance of countries. This traditional indicator is a common tool on which policy decisions are based. But the GDP only aggregates monetary values like investment, private and government consumption or exports and imports. However, it is not very intuitive to consider only financial aspects when a sustainable development of policy making matters. Environmental sustainability and social inclusion should be taken into consideration as well. This leads to the conclusion that GDP cannot be viewed as an appropriate metric to gauge all reasonable dimensions of nations’ well-being.\n\nIn November 2007, the European Commission, together with the European Parliament, the Club of Rome, the WWF and the OECD, hosted a conference to initiate a political and public debate on these aspects. Many high-level experts and policy makers revealed the feasibility that additional and alternative information should be taken into account measuring the overall welfare of nations in a changing world. Therefore, it becomes necessary to reconsider existing indicators with regards to issues people’s well-being is dependent on, e.g. health, climate change, depletion of resources, pollution or nature and biodiversity, and to improve present data collection processes. This reveals the urgent need for alternative measurement tools and relevant information for the production of indicators in the context of social progress and environmental sustainability.","container-title":"Collaboration in Research and Methodology for Official Statistics (CROS) - European Commission","genre":"Text","language":"en","title":"Beyond GDP - Measuring Progress in a Changing World","URL":"https://ec.europa.eu/eurostat/cros/content/38-beyond-gdp_en","author":[{"family":"IMF","given":""}],"accessed":{"date-parts":[["2021",1,2]]},"issued":{"date-parts":[["2011",7,19]]}}},{"id":961,"uris":["http://zotero.org/users/5016855/items/Z9RXLPUQ"],"itemData":{"id":961,"type":"article-journal","abstract":"While global Gross Domestic Product (GDP) has increased more than three-fold since 1950, economic welfare, as estimated by the Genuine Progress Indicator (GPI), has actually decreased since 1978. We synthesized estimates of GPI over the 1950–2003 time period for 17 countries for which GPI has been estimated. These 17 countries contain 53% of the global population and 59% of the global GDP. We compared GPI with Gross Domestic Product (GDP), Human Development Index (HDI), Ecological Footprint, Biocapacity, Gini coefficient, and Life Satisfaction scores. Results show a significant variation among these countries, but some major trends. We also estimated a global GPI/capita over the 1950–2003 period. Global GPI/capita peaked in 1978, about the same time that global Ecological Footprint exceeded global Biocapacity. Life Satisfaction in almost all countries has also not improved significantly since 1975. Globally, GPI/capita does not increase beyond a GDP/capita of around $7000/capita. If we distributed income more equitably around the planet, the current world GDP ($67trillion/yr) could support 9.6billion people at $7000/capita. While GPI is not the perfect economic welfare indicator, it is a far better approximation than GDP. Development policies need to shift to better account for real welfare and not merely GDP growth.","container-title":"Ecological Economics","DOI":"10.1016/j.ecolecon.2013.04.019","ISSN":"0921-8009","journalAbbreviation":"Ecological Economics","language":"en","page":"57-68","source":"ScienceDirect","title":"Beyond GDP: Measuring and achieving global genuine progress","title-short":"Beyond GDP","volume":"93","author":[{"family":"Kubiszewski","given":"Ida"},{"family":"Costanza","given":"Robert"},{"family":"Franco","given":"Carol"},{"family":"Lawn","given":"Philip"},{"family":"Talberth","given":"John"},{"family":"Jackson","given":"Tim"},{"family":"Aylmer","given":"Camille"}],"issued":{"date-parts":[["2013",9,1]]}}}],"schema":"https://github.com/citation-style-language/schema/raw/master/csl-citation.json"} </w:instrText>
      </w:r>
      <w:r w:rsidR="002D04A7">
        <w:rPr>
          <w:rFonts w:ascii="Times New Roman" w:hAnsi="Times New Roman" w:cs="Times New Roman"/>
          <w:color w:val="000000" w:themeColor="text1"/>
          <w:sz w:val="24"/>
          <w:szCs w:val="24"/>
        </w:rPr>
        <w:fldChar w:fldCharType="separate"/>
      </w:r>
      <w:r w:rsidR="005E2A61" w:rsidRPr="005E2A61">
        <w:rPr>
          <w:rFonts w:ascii="Times New Roman" w:hAnsi="Times New Roman" w:cs="Times New Roman"/>
          <w:color w:val="000000" w:themeColor="text1"/>
          <w:sz w:val="24"/>
          <w:szCs w:val="24"/>
        </w:rPr>
        <w:t>IMF, 2011; Kubiszewski et al., 2013</w:t>
      </w:r>
      <w:r w:rsidR="002D04A7">
        <w:rPr>
          <w:rFonts w:ascii="Times New Roman" w:hAnsi="Times New Roman" w:cs="Times New Roman"/>
          <w:color w:val="000000" w:themeColor="text1"/>
          <w:sz w:val="24"/>
          <w:szCs w:val="24"/>
        </w:rPr>
        <w:fldChar w:fldCharType="end"/>
      </w:r>
      <w:r w:rsidR="002D04A7">
        <w:rPr>
          <w:rFonts w:ascii="Times New Roman" w:hAnsi="Times New Roman" w:cs="Times New Roman"/>
          <w:color w:val="000000" w:themeColor="text1"/>
          <w:sz w:val="24"/>
          <w:szCs w:val="24"/>
        </w:rPr>
        <w:t xml:space="preserve">; </w:t>
      </w:r>
      <w:r w:rsidR="002D04A7" w:rsidRPr="002D04A7">
        <w:rPr>
          <w:rFonts w:ascii="Times New Roman" w:hAnsi="Times New Roman" w:cs="Times New Roman"/>
          <w:color w:val="000000" w:themeColor="text1"/>
          <w:sz w:val="24"/>
          <w:szCs w:val="24"/>
        </w:rPr>
        <w:fldChar w:fldCharType="begin"/>
      </w:r>
      <w:r w:rsidR="002105AA">
        <w:rPr>
          <w:rFonts w:ascii="Times New Roman" w:hAnsi="Times New Roman" w:cs="Times New Roman"/>
          <w:color w:val="000000" w:themeColor="text1"/>
          <w:sz w:val="24"/>
          <w:szCs w:val="24"/>
        </w:rPr>
        <w:instrText xml:space="preserve"> ADDIN ZOTERO_ITEM CSL_CITATION {"citationID":"a1jq9aqkjff","properties":{"formattedCitation":"\\uldash{(Seaford, 2014; Whitby et al., 2014)}","plainCitation":"(Seaford, 2014; Whitby et al., 2014)","dontUpdate":true,"noteIndex":0},"citationItems":[{"id":630,"uris":["http://zotero.org/users/5016855/items/2BVKKDDD"],"itemData":{"id":630,"type":"document","abstract":"It is widely agreed that to achieve the aims of the European Union, as set out in the Treaty of Lisbon, gross domestic product (GDP) maximisation and market efficiency cannot be the sole objectives of economic policy. The question now is how to achieve the associated changes needed to economic policy making.\nOne part of the answer is to develop new measures of progress ‘Beyond GDP,’ as proposed by the Stiglitz Commission. The other is to use these measures in economic governance, and this forms the agenda for this conference.\nThis paper summarises findings from a European Commission funded project, which identified barriers to this, and draws conclusions for action in Europe.\nFirst, the term ‘Beyond GDP’ needs to be defined. It does not mean that environmental and social ministries or directorates general (DGs) start to use environmental and social indicators alongside economic indicators, which happens in any case. It means instead that economic ministries and DGs start to use all these indicators as part of an integrated policy process, in a way that prevents traditional economic objectives (such as GDP growth) from trumping all others.","language":"en","publisher":"New Economics Foundation","title":"Beyond GDP: From measurement to European economic governance","author":[{"family":"Seaford","given":"Charles"}],"accessed":{"date-parts":[["2021",1,1]]},"issued":{"date-parts":[["2014",10]]}}},{"id":896,"uris":["http://zotero.org/users/5016855/items/HW4CF455"],"itemData":{"id":896,"type":"report","genre":"Project Report","language":"en","note":"A collaborative programme funded by the European Union’s Seventh Programme for research, technological development and demonstration under grant agreement No. 283024. WFC (World Future Council)","number":"D5.2","page":"68","publisher":"European Union","title":"BRAINPOol Project: Beyond GDP - From Measurement to Politics and Policy Deliverable","URL":"https://neweconomics.org/uploads/images/2018/01/BRAINPOoL-Project-Final-Report.pdf","author":[{"family":"Whitby","given":"Alistair (WFC)"},{"family":"Seaford","given":"Charles"},{"family":"Berry","given":"Christine"}],"accessed":{"date-parts":[["2020",12,31]]},"issued":{"date-parts":[["2014",3,31]]}}}],"schema":"https://github.com/citation-style-language/schema/raw/master/csl-citation.json"} </w:instrText>
      </w:r>
      <w:r w:rsidR="002D04A7" w:rsidRPr="002D04A7">
        <w:rPr>
          <w:rFonts w:ascii="Times New Roman" w:hAnsi="Times New Roman" w:cs="Times New Roman"/>
          <w:color w:val="000000" w:themeColor="text1"/>
          <w:sz w:val="24"/>
          <w:szCs w:val="24"/>
        </w:rPr>
        <w:fldChar w:fldCharType="separate"/>
      </w:r>
      <w:r w:rsidR="005E2A61" w:rsidRPr="005E2A61">
        <w:rPr>
          <w:rFonts w:ascii="Times New Roman" w:hAnsi="Times New Roman" w:cs="Times New Roman"/>
          <w:color w:val="000000" w:themeColor="text1"/>
          <w:sz w:val="24"/>
          <w:szCs w:val="24"/>
        </w:rPr>
        <w:t>Seaford, 2014; Whitby et al., 2014</w:t>
      </w:r>
      <w:r w:rsidR="002D04A7" w:rsidRPr="002D04A7">
        <w:rPr>
          <w:rFonts w:ascii="Times New Roman" w:hAnsi="Times New Roman" w:cs="Times New Roman"/>
          <w:color w:val="000000" w:themeColor="text1"/>
          <w:sz w:val="24"/>
          <w:szCs w:val="24"/>
        </w:rPr>
        <w:fldChar w:fldCharType="end"/>
      </w:r>
      <w:r w:rsidR="00966945" w:rsidRPr="002D04A7">
        <w:rPr>
          <w:rFonts w:ascii="Times New Roman" w:hAnsi="Times New Roman" w:cs="Times New Roman"/>
          <w:color w:val="000000" w:themeColor="text1"/>
          <w:sz w:val="24"/>
          <w:szCs w:val="24"/>
        </w:rPr>
        <w:t>).</w:t>
      </w:r>
    </w:p>
    <w:p w14:paraId="521710D8" w14:textId="586A8B0C" w:rsidR="00966945" w:rsidRDefault="00966945" w:rsidP="0068330F">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economic studies, the use of BGDP indicators is, however, limited </w:t>
      </w:r>
      <w:r w:rsidR="00887BEE" w:rsidRPr="00E31A5B">
        <w:rPr>
          <w:rFonts w:ascii="Times New Roman" w:hAnsi="Times New Roman" w:cs="Times New Roman"/>
          <w:color w:val="000000" w:themeColor="text1"/>
          <w:sz w:val="24"/>
          <w:szCs w:val="24"/>
        </w:rPr>
        <w:fldChar w:fldCharType="begin"/>
      </w:r>
      <w:r w:rsidR="002105AA">
        <w:rPr>
          <w:rFonts w:ascii="Times New Roman" w:hAnsi="Times New Roman" w:cs="Times New Roman"/>
          <w:color w:val="000000" w:themeColor="text1"/>
          <w:sz w:val="24"/>
          <w:szCs w:val="24"/>
        </w:rPr>
        <w:instrText xml:space="preserve"> ADDIN ZOTERO_ITEM CSL_CITATION {"citationID":"aq3op40t59","properties":{"formattedCitation":"(Boarini &amp; D\\uc0\\u8217{}Ercole, 2013; Chancel et al., 2014; European Commission, 2013; IMF, 2011)","plainCitation":"(Boarini &amp; D’Ercole, 2013; Chancel et al., 2014; European Commission, 2013; IMF, 2011)","noteIndex":0},"citationItems":[{"id":957,"uris":["http://zotero.org/users/5016855/items/JDV7LDNL"],"itemData":{"id":957,"type":"article-journal","abstract":"This paper presents some of the main features of recent OECD work on people's well-being and societies' progress. After discussing the main limitations of GDP as a measure of ‘welfare’, the paper presents the multidimensional framework and rationale underpinning the OECD Better Life Initiative, and describes how this framework aims to overcome the limitations of GDP. The paper also presents some of the evidence from the OECD ‘Better Life Index’, an interactive tool that allows citizens to compare countries according to their own views and preferences on the relative importance of the different aspects of human well-being.","container-title":"Fiscal Studies","DOI":"https://doi.org/10.1111/j.1475-5890.2013.12007.x","ISSN":"1475-5890","issue":"3","language":"en","note":"_eprint: https://onlinelibrary.wiley.com/doi/pdf/10.1111/j.1475-5890.2013.12007.x","page":"289-314","source":"Wiley Online Library","title":"Going beyond GDP: An OECD Perspective","title-short":"Going beyond GDP","volume":"34","author":[{"family":"Boarini","given":"Romina"},{"family":"D'Ercole","given":"Marco Mira"}],"issued":{"date-parts":[["2013"]]}}},{"id":956,"uris":["http://zotero.org/users/5016855/items/KRVU466J"],"itemData":{"id":956,"type":"article-journal","container-title":"IDDRI","issue":"14","language":"en","source":"Zotero","title":"Beyond-GDP indicators: to what end? Lessons learnt from six national experiences","URL":"https://www.agorarsc.org/wp-content/uploads/2015/05/ST0414EN.pdf","volume":"4","author":[{"family":"Chancel","given":"Lucas"},{"family":"Thiry","given":"Géraldine"},{"family":"Demailly","given":"Damien"}],"accessed":{"date-parts":[["2021",1,27]]},"issued":{"date-parts":[["2014"]]}}},{"id":902,"uris":["http://zotero.org/users/5016855/items/VUGWP9RW"],"itemData":{"id":902,"type":"report","abstract":"There is a growing political debate on how best to measure societal progress beyond economic and financial indicators such as gross domestic product (GDP)\n. The limitations of GDP as a measure of key societal goals such as well-being and sustainability are widely\nrecognised and are being addressed. Alternative measurement concepts are being tested and increasingly used for policy-making at regional, national and international level.\nThe European Commission has engaged in the debate since 2007. It emphasises that GDP is a key indicator of economic performance and essential in key policy fields. However, the Commission recognises that GDP cannot be used to measure societal progress in a wider\nsense. To remedy this, it decided on the need to develop more inclusive indicators to complement GDP, e.g. in environmental and social dimensions.\nThe need for additional indicators to assess the economic and social situation, in particular poverty and social exclusion, risks and sustainability, has been reinforced by the crisis. The\ntimely availability of indicators is still a major concern as some essential social and environmental data are two to three years old.\nIn 2009, the Commission adopted A roadmap for action, ‘GDP and beyond — measuring progress in a changing world’\n. It presents its approach and underpins it with five short- to medium-term actions to improve indicators to complement GDP. It seeks to improve the knowledge base for effective and coherent policy-making. By planning to develop indicators that summarise important issues in a single figure, it is trying to ensure that political\nchallenges and progress towards a wider set of individual and societal goals can be communicated better to a wide audience. The Roadmap was by and large welcomed by the Council, the European Parliament, the European Economic and Social Committee (EESC)\nand the Committee of the Regions (CoR).\nThe Roadmap recognised the strengths of GDP as a widely accepted indicator for monitoring the market economy. However, it highlighted the need to complement of GDP with environmental and social indicators in order to enhance effective policy-making and public debate and announced five lines of action:\n• As GDP growth figures do not provide sufficient information about social and\nenvironmental outcomes, top-level indicators on environmental protection and quality-of-life indicators are being developed (Action 1).\n• For policy-making and public debate, complementary environmental and social indicators need to be available at the same time as GDP, therefore the timeliness of\nsuch indicators needs to be improved (Action 2). \nGDP per capita and its growth over time does not tell how economic benefits are\nshared within a society. To enable a debate on equity and fairness, it is necessary to\nknow the distribution (in particular between regions and social groups) of income,\nhealth, education and environmental quality. Such data are being further developed\nand better communicated (Action 3).\n• GDP growth rates do not indicate whether economic development is sustainable.\nTools are being developed to better measure and communicate overall\nsustainability (Action 4).\n• The central reason why traditional macro-indicators such as GDP or NDP4\n do not\nmeasure environmental or social outcomes is that national accounts do not cover such\nissues. This is being addressed by enlarging the scope of accounting to\nenvironmental and social issues (Action 5).\nThis document summarises the action taken under the ‘GDP and beyond’ Roadmap and what\nhas been achieved, and reports on actions that have been taken in addition to those initially\nforeseen. This includes the work of the European Statistical System (ESS), which has\ntranslated the Roadmap into concrete official statistics. Efforts from stakeholders have also\nbeen underpinned by the financial support provided under the Commission Framework\nProgramme for Research and Development.5\nThe measures taken address from different angles and different starting points the challenge\nof complementing GDP. Some are aimed at providing short-term solutions, e.g. timely\nsummary indices, others at building a consistent data set in the longer term, in line with\nnational accounting principles.\nThe most significant results so far include:\nFor Action 1: Complementing GDP with environmental and social indicators:\n• Pilot versions of two complementary comprehensive environmental indices have been\ndeveloped and should be further improved in 2013: one covers EU territory while the\nother gauges environmental and resource-use impacts along global supply chains.\n• A novel ‘people at risk of poverty or social exclusion’ indicator was designed to\nmeasure progress towards the Europe 2020 target of lifting at least 20 million people\nout of poverty. This is an aggregate indicator6\n which summarises the number of\npeople at risk of poverty and/or severely materially deprived and/or living in\nhouseholds with very low work intensity.\n• An ‘EU consumer condition index’ based on a set of key indicators describing the\nconsumer environment is now published annually in the framework of the Consumer\nConditions Scoreboard.\n• The first detailed set of indicators on ‘quality of life and well-being’ has been adopted\nby the European Statistical System, while the ESS also decided for the EU-SILC (EU Statistics on Income and Living Conditions) to be the core instrument7\n for building up\nsuch indicators.\nFor Action 2: Near real-time information for decision-making (improving timeliness):\n• The time taken to publish key environmental indicators such as greenhouse gas\nemissions has been shortened by as much as eight months by using advanced\nstatistical methods to arrive at so-called ‘early estimates’, which have proven to be\nsufficiently accurate to inform policy decisions. Since 2012, Eurostat has produced\n‘early estimates’ — within four months — for CO2 emissions from energy use.\n• The European Environment Agency has set up a web-portal on which citizens can\nreport in real time, via a smart phone, measurements and assessments of the quality of\ntheir local environmental, e.g. noise.\n• Measures have been taken to speed up and refine the monitoring of poverty and social\nexclusion since the beginning of the crisis.\n• An indicator of financial distress is now reported on a monthly basis.\nFor Action 3: More accurate reporting on distribution and inequalities between regions and\nsocial groups:\n• Summary indices on poverty and human development have been calculated for all 277\nEuropean regions. These can be compared to provide valuable insights into high and\nlow poverty paths to development.\n• The ‘consumer empowerment index’ can be broken down by socio-demographic\ngroups to identify the most/least empowered consumer groups.\n• Knowledge on the distribution of social issues has been improved through crosscutting analysis of available sources, including European statistics (e.g. EU-SILC) on\nthe income-poor and materially deprived.\nFor Action 4: Improving measurement towards sustainability:\n• Feasibility testing of an EU Sustainable Development Scoreboard has been\ninconclusive. Research is on-going on designing a concise, simple and policy-relevant\nindicator set for essential sustainable development issues in a global context.\n• The scientific basis for work to identify environmental ‘tipping points’ has been\nstrengthened, but more work is needed to make this operational for environmental\nmanagement and target-setting for resource efficiency.\n• A preliminary scoreboard of resource efficiency indicators (REI) was proposed in the\ncontext of the Roadmap to a Resource-Efficient Europe. This set of indicators, the\nmajority of which are based on European statistics, is currently being tested and\ndiscussed with stakeholders. \nFor Action 5: Extending national accounts to environmental and social issues:\n• A European Parliament and Council Regulation on three sets of environmental\neconomic accounts was adopted in 2011 and will deliver first European statistics in\nlate 2013 and early 2014 (respectively for the years 2008 to 2011). This first\nRegulation comprises ‘integrated environmental economic accounts’ on emissions to\nair, including greenhouse gases, environmental taxes and material flows. Council and\nParliament are currently discussing a proposal for an amended Regulation with three\nmore modules.\n• The EU actively supported the finalisation and adoption by the United Nations\nStatistical Commission (UNSC) of the System of Environmental Economic\nAccounting (SEEA) as the international statistical standard. The European\nEnvironment Agency (EEA) provided major input to draft guidelines, developed at\nUN level, on ecosystem accounting.\n• At the Rio +20 Summit, the Commission supported the World Bank’s natural capital\naccounting initiative. Also, the EU delegation had a mandate to negotiate the\ninclusion of ‘beyond GDP’ in the Rio +20 outcome document The future we want8\n.\nThe UN Statistical Commission (UNSC) is now requested to work on global-level\nindicators to complement GDP.\n• European statistics on System of Health Accounts (SHA) have been collected from\nreference year 2003 onwards and in 2011, the OECD, WHO and Eurostat delivered a\nnew joint SHA manual.\n• Since 2010, European statistics have been published on ‘annual adjusted disposable\nincome in purchasing power standards’ and the quarterly ‘real disposable income of\nhouseholds’.\nSeveral results have been used in policy-making: for example, environmental accounts have\nprovided the lead indicator for the Roadmap to a Resource Efficient Europe and the data on\npoverty and social exclusion are being used in social policy-making in the context of the\nEurope 2020 strategy. Other indicators, such as that on ‘life satisfaction’, have been picked up\nin public debate. However, work on overall summary indicators is still on-going. With the\nnovel ‘GDP and beyond’ indicators becoming increasingly available, the challenge now is\nhow to link the new insights they provide with the existing tools for policy assessment and\nevaluation, be they econometric models or political narratives. Further attention also needs to\nbe given to how to effectively integrate and communicate the available indicators and\nsummarise data.\nThe Rio+20 Summit and the 4th OECD World Forum on ‘Measuring progress for well-being\nand development’ in New Delhi in October 2012 confirmed that there is a demand for\nmeasuring societal progress in all areas that matter for people’s sustainable well-being. The\nCommission services will therefore continue to work with stakeholders, researchers, Member\nStates and international organisations to implement the 2009 Roadmap to achieve realistic,\nuser-friendly and — where needed — internationally comparable results. Work is on-going to\ndevelop, test and use summary and other top-level indicators to complement GDP.\n(Illustrations of newly developed indicators are given in Annex 2 to this document.)","event-place":"Brussels","genre":"Commission Staff Working Document","language":"en","number":"SWD(2013) 303","publisher":"European Commission","publisher-place":"Brussels","title":"Progress on \"GDP and beyond\" actions","URL":"https://ec.europa.eu/environment/enveco/pdf/SWD_2013_303.pdf","author":[{"family":"European Commission","given":""}],"accessed":{"date-parts":[["2021",1,27]]},"issued":{"date-parts":[["2013"]]}}},{"id":627,"uris":["http://zotero.org/users/5016855/items/MH79GDNK"],"itemData":{"id":627,"type":"webpage","abstract":"The Gross Domestic Product (GDP) is a well-known standard benchmark for measuring economic performance of countries. This traditional indicator is a common tool on which policy decisions are based. But the GDP only aggregates monetary values like investment, private and government consumption or exports and imports. However, it is not very intuitive to consider only financial aspects when a sustainable development of policy making matters. Environmental sustainability and social inclusion should be taken into consideration as well. This leads to the conclusion that GDP cannot be viewed as an appropriate metric to gauge all reasonable dimensions of nations’ well-being.\n\nIn November 2007, the European Commission, together with the European Parliament, the Club of Rome, the WWF and the OECD, hosted a conference to initiate a political and public debate on these aspects. Many high-level experts and policy makers revealed the feasibility that additional and alternative information should be taken into account measuring the overall welfare of nations in a changing world. Therefore, it becomes necessary to reconsider existing indicators with regards to issues people’s well-being is dependent on, e.g. health, climate change, depletion of resources, pollution or nature and biodiversity, and to improve present data collection processes. This reveals the urgent need for alternative measurement tools and relevant information for the production of indicators in the context of social progress and environmental sustainability.","container-title":"Collaboration in Research and Methodology for Official Statistics (CROS) - European Commission","genre":"Text","language":"en","title":"Beyond GDP - Measuring Progress in a Changing World","URL":"https://ec.europa.eu/eurostat/cros/content/38-beyond-gdp_en","author":[{"family":"IMF","given":""}],"accessed":{"date-parts":[["2021",1,2]]},"issued":{"date-parts":[["2011",7,19]]}}}],"schema":"https://github.com/citation-style-language/schema/raw/master/csl-citation.json"} </w:instrText>
      </w:r>
      <w:r w:rsidR="00887BEE" w:rsidRPr="00E31A5B">
        <w:rPr>
          <w:rFonts w:ascii="Times New Roman" w:hAnsi="Times New Roman" w:cs="Times New Roman"/>
          <w:color w:val="000000" w:themeColor="text1"/>
          <w:sz w:val="24"/>
          <w:szCs w:val="24"/>
        </w:rPr>
        <w:fldChar w:fldCharType="separate"/>
      </w:r>
      <w:r w:rsidR="00887BEE" w:rsidRPr="00E31A5B">
        <w:rPr>
          <w:rFonts w:ascii="Times New Roman" w:hAnsi="Times New Roman" w:cs="Times New Roman"/>
          <w:color w:val="000000" w:themeColor="text1"/>
          <w:sz w:val="24"/>
          <w:szCs w:val="24"/>
        </w:rPr>
        <w:t>(Boarini &amp; D’Ercole, 2013; Chancel et al., 2014; European Commission, 2013; IMF, 2011)</w:t>
      </w:r>
      <w:r w:rsidR="00887BEE" w:rsidRPr="00E31A5B">
        <w:rPr>
          <w:rFonts w:ascii="Times New Roman" w:hAnsi="Times New Roman" w:cs="Times New Roman"/>
          <w:color w:val="000000" w:themeColor="text1"/>
          <w:sz w:val="24"/>
          <w:szCs w:val="24"/>
        </w:rPr>
        <w:fldChar w:fldCharType="end"/>
      </w:r>
      <w:r w:rsidR="00887B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This paper introduces </w:t>
      </w:r>
      <w:r w:rsidR="00C301F1">
        <w:rPr>
          <w:rFonts w:ascii="Times New Roman" w:hAnsi="Times New Roman" w:cs="Times New Roman"/>
          <w:color w:val="000000" w:themeColor="text1"/>
          <w:sz w:val="24"/>
          <w:szCs w:val="24"/>
        </w:rPr>
        <w:t>three</w:t>
      </w:r>
      <w:r>
        <w:rPr>
          <w:rFonts w:ascii="Times New Roman" w:hAnsi="Times New Roman" w:cs="Times New Roman"/>
          <w:color w:val="000000" w:themeColor="text1"/>
          <w:sz w:val="24"/>
          <w:szCs w:val="24"/>
        </w:rPr>
        <w:t xml:space="preserve"> BGDP indicators</w:t>
      </w:r>
      <w:r w:rsidR="00F71059">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evaluates their time series characteristics</w:t>
      </w:r>
      <w:r w:rsidR="00F71059">
        <w:rPr>
          <w:rFonts w:ascii="Times New Roman" w:hAnsi="Times New Roman" w:cs="Times New Roman"/>
          <w:color w:val="000000" w:themeColor="text1"/>
          <w:sz w:val="24"/>
          <w:szCs w:val="24"/>
        </w:rPr>
        <w:t xml:space="preserve"> in the Canadian context. The long run relationships between pairs of alternative growth metrics </w:t>
      </w:r>
      <w:proofErr w:type="gramStart"/>
      <w:r w:rsidR="00F71059">
        <w:rPr>
          <w:rFonts w:ascii="Times New Roman" w:hAnsi="Times New Roman" w:cs="Times New Roman"/>
          <w:color w:val="000000" w:themeColor="text1"/>
          <w:sz w:val="24"/>
          <w:szCs w:val="24"/>
        </w:rPr>
        <w:t>were evaluated</w:t>
      </w:r>
      <w:proofErr w:type="gramEnd"/>
      <w:r w:rsidR="00F71059">
        <w:rPr>
          <w:rFonts w:ascii="Times New Roman" w:hAnsi="Times New Roman" w:cs="Times New Roman"/>
          <w:color w:val="000000" w:themeColor="text1"/>
          <w:sz w:val="24"/>
          <w:szCs w:val="24"/>
        </w:rPr>
        <w:t xml:space="preserve">, as well as their long-term behavior with </w:t>
      </w:r>
      <w:r>
        <w:rPr>
          <w:rFonts w:ascii="Times New Roman" w:hAnsi="Times New Roman" w:cs="Times New Roman"/>
          <w:color w:val="000000" w:themeColor="text1"/>
          <w:sz w:val="24"/>
          <w:szCs w:val="24"/>
        </w:rPr>
        <w:t>GDP.</w:t>
      </w:r>
      <w:r w:rsidR="00C301F1">
        <w:rPr>
          <w:rFonts w:ascii="Times New Roman" w:hAnsi="Times New Roman" w:cs="Times New Roman"/>
          <w:color w:val="000000" w:themeColor="text1"/>
          <w:sz w:val="24"/>
          <w:szCs w:val="24"/>
        </w:rPr>
        <w:t xml:space="preserve"> The BGDP measures evaluated are Gross National </w:t>
      </w:r>
      <w:r w:rsidR="00C301F1" w:rsidRPr="00386659">
        <w:rPr>
          <w:rFonts w:ascii="Times New Roman" w:hAnsi="Times New Roman" w:cs="Times New Roman"/>
          <w:color w:val="000000" w:themeColor="text1"/>
          <w:sz w:val="24"/>
          <w:szCs w:val="24"/>
        </w:rPr>
        <w:t>Disposable Income (GNDI), Human Development Index (HDI), and the Index of Economic Freedom (IEF).</w:t>
      </w:r>
      <w:r w:rsidR="000E29D9" w:rsidRPr="00386659">
        <w:rPr>
          <w:rFonts w:ascii="Times New Roman" w:hAnsi="Times New Roman" w:cs="Times New Roman"/>
          <w:color w:val="000000" w:themeColor="text1"/>
          <w:sz w:val="24"/>
          <w:szCs w:val="24"/>
        </w:rPr>
        <w:t xml:space="preserve"> Table 1 summarizes</w:t>
      </w:r>
      <w:r w:rsidR="000E29D9">
        <w:rPr>
          <w:rFonts w:ascii="Times New Roman" w:hAnsi="Times New Roman" w:cs="Times New Roman"/>
          <w:color w:val="000000" w:themeColor="text1"/>
          <w:sz w:val="24"/>
          <w:szCs w:val="24"/>
        </w:rPr>
        <w:t xml:space="preserve"> the definitions and scope of the BGDP measures, including GDP.</w:t>
      </w:r>
    </w:p>
    <w:p w14:paraId="0A652B0C" w14:textId="77777777" w:rsidR="00493ADC" w:rsidRDefault="00493ADC" w:rsidP="00493ADC">
      <w:pPr>
        <w:spacing w:after="0" w:line="240" w:lineRule="auto"/>
        <w:ind w:firstLine="720"/>
        <w:rPr>
          <w:rFonts w:ascii="Times New Roman" w:hAnsi="Times New Roman" w:cs="Times New Roman"/>
          <w:color w:val="000000" w:themeColor="text1"/>
          <w:sz w:val="24"/>
          <w:szCs w:val="24"/>
        </w:rPr>
      </w:pPr>
    </w:p>
    <w:p w14:paraId="73415BAB" w14:textId="34C8B7EC" w:rsidR="000E29D9" w:rsidRPr="00E31A5B" w:rsidRDefault="000E29D9" w:rsidP="0068330F">
      <w:pPr>
        <w:pStyle w:val="MyTables"/>
      </w:pPr>
      <w:r w:rsidRPr="00386659">
        <w:t>Table 1</w:t>
      </w:r>
      <w:r w:rsidRPr="00E31A5B">
        <w:t xml:space="preserve"> </w:t>
      </w:r>
    </w:p>
    <w:p w14:paraId="2D66A1C3" w14:textId="77777777" w:rsidR="000E29D9" w:rsidRPr="00D53689" w:rsidRDefault="000E29D9" w:rsidP="0068330F">
      <w:pPr>
        <w:pStyle w:val="MyTables"/>
        <w:rPr>
          <w:rFonts w:cs="Times New Roman"/>
          <w:b w:val="0"/>
          <w:bCs w:val="0"/>
          <w:i/>
          <w:szCs w:val="24"/>
        </w:rPr>
      </w:pPr>
      <w:r>
        <w:rPr>
          <w:rFonts w:cs="Times New Roman"/>
          <w:b w:val="0"/>
          <w:bCs w:val="0"/>
          <w:i/>
          <w:szCs w:val="24"/>
        </w:rPr>
        <w:t>Summary of the composition of each variable.</w:t>
      </w:r>
    </w:p>
    <w:tbl>
      <w:tblPr>
        <w:tblStyle w:val="TableGrid"/>
        <w:tblW w:w="9625" w:type="dxa"/>
        <w:tblBorders>
          <w:insideV w:val="none" w:sz="0" w:space="0" w:color="auto"/>
        </w:tblBorders>
        <w:tblLayout w:type="fixed"/>
        <w:tblLook w:val="04A0" w:firstRow="1" w:lastRow="0" w:firstColumn="1" w:lastColumn="0" w:noHBand="0" w:noVBand="1"/>
      </w:tblPr>
      <w:tblGrid>
        <w:gridCol w:w="1525"/>
        <w:gridCol w:w="8100"/>
      </w:tblGrid>
      <w:tr w:rsidR="000E29D9" w:rsidRPr="00E31A5B" w14:paraId="5F289F4D" w14:textId="77777777" w:rsidTr="00A9142C">
        <w:trPr>
          <w:trHeight w:val="431"/>
        </w:trPr>
        <w:tc>
          <w:tcPr>
            <w:tcW w:w="1525" w:type="dxa"/>
            <w:vAlign w:val="center"/>
          </w:tcPr>
          <w:p w14:paraId="55588C62" w14:textId="77777777" w:rsidR="000E29D9" w:rsidRPr="00DE3046" w:rsidRDefault="000E29D9" w:rsidP="0068330F">
            <w:pPr>
              <w:jc w:val="center"/>
              <w:rPr>
                <w:b/>
                <w:bCs/>
                <w:color w:val="000000" w:themeColor="text1"/>
                <w:sz w:val="23"/>
                <w:szCs w:val="23"/>
              </w:rPr>
            </w:pPr>
            <w:r>
              <w:rPr>
                <w:b/>
                <w:bCs/>
              </w:rPr>
              <w:t>Variable</w:t>
            </w:r>
          </w:p>
        </w:tc>
        <w:tc>
          <w:tcPr>
            <w:tcW w:w="8100" w:type="dxa"/>
            <w:vAlign w:val="center"/>
          </w:tcPr>
          <w:p w14:paraId="410E5D93" w14:textId="77777777" w:rsidR="000E29D9" w:rsidRPr="00EA4089" w:rsidRDefault="000E29D9" w:rsidP="0068330F">
            <w:pPr>
              <w:jc w:val="center"/>
              <w:rPr>
                <w:b/>
                <w:bCs/>
                <w:color w:val="000000" w:themeColor="text1"/>
              </w:rPr>
            </w:pPr>
            <w:r w:rsidRPr="00EA4089">
              <w:rPr>
                <w:b/>
                <w:bCs/>
                <w:color w:val="000000" w:themeColor="text1"/>
              </w:rPr>
              <w:t xml:space="preserve">Components </w:t>
            </w:r>
          </w:p>
        </w:tc>
      </w:tr>
      <w:tr w:rsidR="000E29D9" w:rsidRPr="00E31A5B" w14:paraId="297E71C0" w14:textId="77777777" w:rsidTr="00A9142C">
        <w:tc>
          <w:tcPr>
            <w:tcW w:w="1525" w:type="dxa"/>
            <w:vAlign w:val="center"/>
          </w:tcPr>
          <w:p w14:paraId="1C0B6972" w14:textId="77777777" w:rsidR="000E29D9" w:rsidRPr="00EA4089" w:rsidRDefault="000E29D9" w:rsidP="0068330F">
            <w:pPr>
              <w:jc w:val="center"/>
              <w:rPr>
                <w:b/>
                <w:bCs/>
                <w:color w:val="000000" w:themeColor="text1"/>
                <w:sz w:val="22"/>
                <w:szCs w:val="22"/>
              </w:rPr>
            </w:pPr>
            <w:r w:rsidRPr="00EA4089">
              <w:rPr>
                <w:b/>
                <w:bCs/>
                <w:color w:val="000000" w:themeColor="text1"/>
                <w:sz w:val="22"/>
                <w:szCs w:val="22"/>
              </w:rPr>
              <w:t>GDP</w:t>
            </w:r>
          </w:p>
        </w:tc>
        <w:tc>
          <w:tcPr>
            <w:tcW w:w="8100" w:type="dxa"/>
            <w:vAlign w:val="center"/>
          </w:tcPr>
          <w:p w14:paraId="7CD8F00F" w14:textId="0830655C" w:rsidR="000E29D9" w:rsidRPr="00EA4089" w:rsidRDefault="000E29D9" w:rsidP="0068330F">
            <w:pPr>
              <w:rPr>
                <w:color w:val="000000" w:themeColor="text1"/>
                <w:sz w:val="22"/>
                <w:szCs w:val="22"/>
              </w:rPr>
            </w:pPr>
            <w:r w:rsidRPr="00EA4089">
              <w:rPr>
                <w:color w:val="000000" w:themeColor="text1"/>
                <w:sz w:val="22"/>
                <w:szCs w:val="22"/>
              </w:rPr>
              <w:t>Productivity/output: Monetary value of the final goods and services produced in a country or the total income and total expenditure</w:t>
            </w:r>
            <w:r w:rsidR="00314F7F">
              <w:rPr>
                <w:color w:val="000000" w:themeColor="text1"/>
                <w:sz w:val="22"/>
                <w:szCs w:val="22"/>
              </w:rPr>
              <w:t>.</w:t>
            </w:r>
          </w:p>
        </w:tc>
      </w:tr>
      <w:tr w:rsidR="000E29D9" w:rsidRPr="00E31A5B" w14:paraId="12241195" w14:textId="77777777" w:rsidTr="00A9142C">
        <w:tc>
          <w:tcPr>
            <w:tcW w:w="1525" w:type="dxa"/>
            <w:vAlign w:val="center"/>
          </w:tcPr>
          <w:p w14:paraId="72DEA7CA" w14:textId="77777777" w:rsidR="000E29D9" w:rsidRPr="00EA4089" w:rsidRDefault="000E29D9" w:rsidP="0068330F">
            <w:pPr>
              <w:jc w:val="center"/>
              <w:rPr>
                <w:b/>
                <w:bCs/>
                <w:color w:val="000000" w:themeColor="text1"/>
                <w:sz w:val="22"/>
                <w:szCs w:val="22"/>
              </w:rPr>
            </w:pPr>
            <w:r w:rsidRPr="00EA4089">
              <w:rPr>
                <w:b/>
                <w:bCs/>
                <w:color w:val="000000" w:themeColor="text1"/>
                <w:sz w:val="22"/>
                <w:szCs w:val="22"/>
              </w:rPr>
              <w:t>GNDI</w:t>
            </w:r>
          </w:p>
        </w:tc>
        <w:tc>
          <w:tcPr>
            <w:tcW w:w="8100" w:type="dxa"/>
            <w:vAlign w:val="center"/>
          </w:tcPr>
          <w:p w14:paraId="62D7F6CD" w14:textId="54CD6468" w:rsidR="000E29D9" w:rsidRPr="00EA4089" w:rsidRDefault="000E29D9" w:rsidP="0068330F">
            <w:pPr>
              <w:rPr>
                <w:color w:val="000000" w:themeColor="text1"/>
                <w:sz w:val="22"/>
                <w:szCs w:val="22"/>
              </w:rPr>
            </w:pPr>
            <w:r w:rsidRPr="00EA4089">
              <w:rPr>
                <w:color w:val="000000" w:themeColor="text1"/>
                <w:sz w:val="22"/>
                <w:szCs w:val="22"/>
              </w:rPr>
              <w:t>A nation’s available income for final consumption and gross savings</w:t>
            </w:r>
            <w:r w:rsidR="00314F7F">
              <w:rPr>
                <w:color w:val="000000" w:themeColor="text1"/>
                <w:sz w:val="22"/>
                <w:szCs w:val="22"/>
              </w:rPr>
              <w:t>.</w:t>
            </w:r>
            <w:r>
              <w:rPr>
                <w:color w:val="000000" w:themeColor="text1"/>
                <w:sz w:val="22"/>
                <w:szCs w:val="22"/>
              </w:rPr>
              <w:t xml:space="preserve"> </w:t>
            </w:r>
          </w:p>
        </w:tc>
      </w:tr>
      <w:tr w:rsidR="000E29D9" w:rsidRPr="00E31A5B" w14:paraId="4EEA8731" w14:textId="77777777" w:rsidTr="00A9142C">
        <w:tc>
          <w:tcPr>
            <w:tcW w:w="1525" w:type="dxa"/>
            <w:vAlign w:val="center"/>
          </w:tcPr>
          <w:p w14:paraId="0CC34551" w14:textId="77777777" w:rsidR="000E29D9" w:rsidRPr="00EA4089" w:rsidRDefault="000E29D9" w:rsidP="0068330F">
            <w:pPr>
              <w:jc w:val="center"/>
              <w:rPr>
                <w:b/>
                <w:bCs/>
                <w:color w:val="000000" w:themeColor="text1"/>
                <w:sz w:val="22"/>
                <w:szCs w:val="22"/>
              </w:rPr>
            </w:pPr>
            <w:r w:rsidRPr="00EA4089">
              <w:rPr>
                <w:b/>
                <w:bCs/>
                <w:color w:val="000000" w:themeColor="text1"/>
                <w:sz w:val="22"/>
                <w:szCs w:val="22"/>
              </w:rPr>
              <w:t>HDI</w:t>
            </w:r>
          </w:p>
        </w:tc>
        <w:tc>
          <w:tcPr>
            <w:tcW w:w="8100" w:type="dxa"/>
            <w:vAlign w:val="center"/>
          </w:tcPr>
          <w:p w14:paraId="3A46F324" w14:textId="0299DA5B" w:rsidR="000E29D9" w:rsidRPr="00EA4089" w:rsidRDefault="000E29D9" w:rsidP="0068330F">
            <w:pPr>
              <w:rPr>
                <w:color w:val="000000" w:themeColor="text1"/>
                <w:sz w:val="22"/>
                <w:szCs w:val="22"/>
              </w:rPr>
            </w:pPr>
            <w:r w:rsidRPr="00EA4089">
              <w:rPr>
                <w:color w:val="000000" w:themeColor="text1"/>
                <w:sz w:val="22"/>
                <w:szCs w:val="22"/>
              </w:rPr>
              <w:t>A nation’s average achievements in health/life expectancy, knowledge/education, and the standard of living</w:t>
            </w:r>
            <w:r w:rsidR="00314F7F">
              <w:rPr>
                <w:color w:val="000000" w:themeColor="text1"/>
                <w:sz w:val="22"/>
                <w:szCs w:val="22"/>
              </w:rPr>
              <w:t>.</w:t>
            </w:r>
          </w:p>
        </w:tc>
      </w:tr>
      <w:tr w:rsidR="000E29D9" w:rsidRPr="00E31A5B" w14:paraId="61299C37" w14:textId="77777777" w:rsidTr="00A9142C">
        <w:tc>
          <w:tcPr>
            <w:tcW w:w="1525" w:type="dxa"/>
            <w:vAlign w:val="center"/>
          </w:tcPr>
          <w:p w14:paraId="153B7DD4" w14:textId="77777777" w:rsidR="000E29D9" w:rsidRPr="00EA4089" w:rsidRDefault="000E29D9" w:rsidP="0068330F">
            <w:pPr>
              <w:jc w:val="center"/>
              <w:rPr>
                <w:b/>
                <w:bCs/>
                <w:color w:val="000000" w:themeColor="text1"/>
                <w:sz w:val="22"/>
                <w:szCs w:val="22"/>
              </w:rPr>
            </w:pPr>
            <w:r w:rsidRPr="00EA4089">
              <w:rPr>
                <w:b/>
                <w:bCs/>
                <w:color w:val="000000" w:themeColor="text1"/>
                <w:sz w:val="22"/>
                <w:szCs w:val="22"/>
              </w:rPr>
              <w:t>IEF</w:t>
            </w:r>
          </w:p>
        </w:tc>
        <w:tc>
          <w:tcPr>
            <w:tcW w:w="8100" w:type="dxa"/>
            <w:vAlign w:val="center"/>
          </w:tcPr>
          <w:p w14:paraId="2656F4FA" w14:textId="7CFA73EC" w:rsidR="000E29D9" w:rsidRPr="00EA4089" w:rsidRDefault="000E29D9" w:rsidP="0068330F">
            <w:pPr>
              <w:rPr>
                <w:color w:val="000000" w:themeColor="text1"/>
                <w:sz w:val="22"/>
                <w:szCs w:val="22"/>
              </w:rPr>
            </w:pPr>
            <w:r w:rsidRPr="00EA4089">
              <w:rPr>
                <w:color w:val="000000" w:themeColor="text1"/>
                <w:sz w:val="22"/>
                <w:szCs w:val="22"/>
              </w:rPr>
              <w:t xml:space="preserve">Covers </w:t>
            </w:r>
            <w:r>
              <w:rPr>
                <w:color w:val="000000" w:themeColor="text1"/>
                <w:sz w:val="22"/>
                <w:szCs w:val="22"/>
              </w:rPr>
              <w:t>twelve</w:t>
            </w:r>
            <w:r w:rsidR="000E3D4B">
              <w:rPr>
                <w:color w:val="000000" w:themeColor="text1"/>
                <w:sz w:val="22"/>
                <w:szCs w:val="22"/>
              </w:rPr>
              <w:t xml:space="preserve"> (</w:t>
            </w:r>
            <w:r w:rsidR="00314F7F">
              <w:rPr>
                <w:color w:val="000000" w:themeColor="text1"/>
                <w:sz w:val="22"/>
                <w:szCs w:val="22"/>
              </w:rPr>
              <w:t>12)</w:t>
            </w:r>
            <w:r w:rsidRPr="00EA4089">
              <w:rPr>
                <w:color w:val="000000" w:themeColor="text1"/>
                <w:sz w:val="22"/>
                <w:szCs w:val="22"/>
              </w:rPr>
              <w:t xml:space="preserve"> freedoms under four pillars of economic freedom:</w:t>
            </w:r>
          </w:p>
          <w:p w14:paraId="7100CED1" w14:textId="77777777" w:rsidR="000E29D9" w:rsidRPr="00EA4089" w:rsidRDefault="000E29D9" w:rsidP="0068330F">
            <w:pPr>
              <w:pStyle w:val="ListParagraph"/>
              <w:numPr>
                <w:ilvl w:val="0"/>
                <w:numId w:val="1"/>
              </w:numPr>
              <w:rPr>
                <w:color w:val="000000" w:themeColor="text1"/>
                <w:sz w:val="22"/>
                <w:szCs w:val="22"/>
              </w:rPr>
            </w:pPr>
            <w:r w:rsidRPr="00EA4089">
              <w:rPr>
                <w:color w:val="000000" w:themeColor="text1"/>
                <w:sz w:val="22"/>
                <w:szCs w:val="22"/>
              </w:rPr>
              <w:t xml:space="preserve">Rule of Law: </w:t>
            </w:r>
            <w:r>
              <w:rPr>
                <w:color w:val="000000" w:themeColor="text1"/>
                <w:sz w:val="22"/>
                <w:szCs w:val="22"/>
              </w:rPr>
              <w:t>G</w:t>
            </w:r>
            <w:r w:rsidRPr="00EA4089">
              <w:rPr>
                <w:color w:val="000000" w:themeColor="text1"/>
                <w:sz w:val="22"/>
                <w:szCs w:val="22"/>
              </w:rPr>
              <w:t>overnment integrity</w:t>
            </w:r>
            <w:r>
              <w:rPr>
                <w:color w:val="000000" w:themeColor="text1"/>
                <w:sz w:val="22"/>
                <w:szCs w:val="22"/>
              </w:rPr>
              <w:t>,</w:t>
            </w:r>
            <w:r w:rsidRPr="00EA4089">
              <w:rPr>
                <w:color w:val="000000" w:themeColor="text1"/>
                <w:sz w:val="22"/>
                <w:szCs w:val="22"/>
              </w:rPr>
              <w:t xml:space="preserve"> </w:t>
            </w:r>
            <w:r>
              <w:rPr>
                <w:color w:val="000000" w:themeColor="text1"/>
                <w:sz w:val="22"/>
                <w:szCs w:val="22"/>
              </w:rPr>
              <w:t>p</w:t>
            </w:r>
            <w:r w:rsidRPr="00EA4089">
              <w:rPr>
                <w:color w:val="000000" w:themeColor="text1"/>
                <w:sz w:val="22"/>
                <w:szCs w:val="22"/>
              </w:rPr>
              <w:t xml:space="preserve">roperty rights, </w:t>
            </w:r>
            <w:r>
              <w:rPr>
                <w:color w:val="000000" w:themeColor="text1"/>
                <w:sz w:val="22"/>
                <w:szCs w:val="22"/>
              </w:rPr>
              <w:t xml:space="preserve">and </w:t>
            </w:r>
            <w:r w:rsidRPr="00EA4089">
              <w:rPr>
                <w:color w:val="000000" w:themeColor="text1"/>
                <w:sz w:val="22"/>
                <w:szCs w:val="22"/>
              </w:rPr>
              <w:t>judicial effectiveness</w:t>
            </w:r>
            <w:r>
              <w:rPr>
                <w:color w:val="000000" w:themeColor="text1"/>
                <w:sz w:val="22"/>
                <w:szCs w:val="22"/>
              </w:rPr>
              <w:t>.</w:t>
            </w:r>
          </w:p>
          <w:p w14:paraId="470B2A60" w14:textId="77777777" w:rsidR="000E29D9" w:rsidRPr="00EA4089" w:rsidRDefault="000E29D9" w:rsidP="0068330F">
            <w:pPr>
              <w:pStyle w:val="ListParagraph"/>
              <w:numPr>
                <w:ilvl w:val="0"/>
                <w:numId w:val="1"/>
              </w:numPr>
              <w:rPr>
                <w:color w:val="000000" w:themeColor="text1"/>
                <w:sz w:val="22"/>
                <w:szCs w:val="22"/>
              </w:rPr>
            </w:pPr>
            <w:r w:rsidRPr="00EA4089">
              <w:rPr>
                <w:color w:val="000000" w:themeColor="text1"/>
                <w:sz w:val="22"/>
                <w:szCs w:val="22"/>
              </w:rPr>
              <w:t xml:space="preserve">Government Size: </w:t>
            </w:r>
            <w:r>
              <w:rPr>
                <w:color w:val="000000" w:themeColor="text1"/>
                <w:sz w:val="22"/>
                <w:szCs w:val="22"/>
              </w:rPr>
              <w:t>F</w:t>
            </w:r>
            <w:r w:rsidRPr="00EA4089">
              <w:rPr>
                <w:color w:val="000000" w:themeColor="text1"/>
                <w:sz w:val="22"/>
                <w:szCs w:val="22"/>
              </w:rPr>
              <w:t>iscal health</w:t>
            </w:r>
            <w:r>
              <w:rPr>
                <w:color w:val="000000" w:themeColor="text1"/>
                <w:sz w:val="22"/>
                <w:szCs w:val="22"/>
              </w:rPr>
              <w:t>,</w:t>
            </w:r>
            <w:r w:rsidRPr="00EA4089">
              <w:rPr>
                <w:color w:val="000000" w:themeColor="text1"/>
                <w:sz w:val="22"/>
                <w:szCs w:val="22"/>
              </w:rPr>
              <w:t xml:space="preserve"> </w:t>
            </w:r>
            <w:r>
              <w:rPr>
                <w:color w:val="000000" w:themeColor="text1"/>
                <w:sz w:val="22"/>
                <w:szCs w:val="22"/>
              </w:rPr>
              <w:t>g</w:t>
            </w:r>
            <w:r w:rsidRPr="00EA4089">
              <w:rPr>
                <w:color w:val="000000" w:themeColor="text1"/>
                <w:sz w:val="22"/>
                <w:szCs w:val="22"/>
              </w:rPr>
              <w:t xml:space="preserve">overnment spending, </w:t>
            </w:r>
            <w:r>
              <w:rPr>
                <w:color w:val="000000" w:themeColor="text1"/>
                <w:sz w:val="22"/>
                <w:szCs w:val="22"/>
              </w:rPr>
              <w:t xml:space="preserve">and </w:t>
            </w:r>
            <w:r w:rsidRPr="00EA4089">
              <w:rPr>
                <w:color w:val="000000" w:themeColor="text1"/>
                <w:sz w:val="22"/>
                <w:szCs w:val="22"/>
              </w:rPr>
              <w:t>tax burden</w:t>
            </w:r>
            <w:r>
              <w:rPr>
                <w:color w:val="000000" w:themeColor="text1"/>
                <w:sz w:val="22"/>
                <w:szCs w:val="22"/>
              </w:rPr>
              <w:t>.</w:t>
            </w:r>
          </w:p>
          <w:p w14:paraId="126587DC" w14:textId="77777777" w:rsidR="000E29D9" w:rsidRPr="00EA4089" w:rsidRDefault="000E29D9" w:rsidP="0068330F">
            <w:pPr>
              <w:pStyle w:val="ListParagraph"/>
              <w:numPr>
                <w:ilvl w:val="0"/>
                <w:numId w:val="1"/>
              </w:numPr>
              <w:rPr>
                <w:color w:val="000000" w:themeColor="text1"/>
                <w:sz w:val="22"/>
                <w:szCs w:val="22"/>
              </w:rPr>
            </w:pPr>
            <w:r w:rsidRPr="00EA4089">
              <w:rPr>
                <w:color w:val="000000" w:themeColor="text1"/>
                <w:sz w:val="22"/>
                <w:szCs w:val="22"/>
              </w:rPr>
              <w:t>Regulatory Efficiency: Business freedom, monetary freedom</w:t>
            </w:r>
            <w:r>
              <w:rPr>
                <w:color w:val="000000" w:themeColor="text1"/>
                <w:sz w:val="22"/>
                <w:szCs w:val="22"/>
              </w:rPr>
              <w:t xml:space="preserve">, and </w:t>
            </w:r>
            <w:r w:rsidRPr="00EA4089">
              <w:rPr>
                <w:color w:val="000000" w:themeColor="text1"/>
                <w:sz w:val="22"/>
                <w:szCs w:val="22"/>
              </w:rPr>
              <w:t>labor freedom</w:t>
            </w:r>
            <w:r>
              <w:rPr>
                <w:color w:val="000000" w:themeColor="text1"/>
                <w:sz w:val="22"/>
                <w:szCs w:val="22"/>
              </w:rPr>
              <w:t>.</w:t>
            </w:r>
            <w:r w:rsidRPr="00EA4089">
              <w:rPr>
                <w:color w:val="000000" w:themeColor="text1"/>
                <w:sz w:val="22"/>
                <w:szCs w:val="22"/>
              </w:rPr>
              <w:t xml:space="preserve"> </w:t>
            </w:r>
          </w:p>
          <w:p w14:paraId="5C19B460" w14:textId="77777777" w:rsidR="000E29D9" w:rsidRPr="00EA4089" w:rsidRDefault="000E29D9" w:rsidP="0068330F">
            <w:pPr>
              <w:pStyle w:val="ListParagraph"/>
              <w:numPr>
                <w:ilvl w:val="0"/>
                <w:numId w:val="1"/>
              </w:numPr>
              <w:rPr>
                <w:color w:val="000000" w:themeColor="text1"/>
                <w:sz w:val="22"/>
                <w:szCs w:val="22"/>
              </w:rPr>
            </w:pPr>
            <w:r w:rsidRPr="00EA4089">
              <w:rPr>
                <w:color w:val="000000" w:themeColor="text1"/>
                <w:sz w:val="22"/>
                <w:szCs w:val="22"/>
              </w:rPr>
              <w:t>Open Markets: </w:t>
            </w:r>
            <w:r>
              <w:rPr>
                <w:color w:val="000000" w:themeColor="text1"/>
                <w:sz w:val="22"/>
                <w:szCs w:val="22"/>
              </w:rPr>
              <w:t>I</w:t>
            </w:r>
            <w:r w:rsidRPr="00EA4089">
              <w:rPr>
                <w:color w:val="000000" w:themeColor="text1"/>
                <w:sz w:val="22"/>
                <w:szCs w:val="22"/>
              </w:rPr>
              <w:t xml:space="preserve">nvestment freedom, </w:t>
            </w:r>
            <w:r>
              <w:rPr>
                <w:color w:val="000000" w:themeColor="text1"/>
                <w:sz w:val="22"/>
                <w:szCs w:val="22"/>
              </w:rPr>
              <w:t>t</w:t>
            </w:r>
            <w:r w:rsidRPr="00EA4089">
              <w:rPr>
                <w:color w:val="000000" w:themeColor="text1"/>
                <w:sz w:val="22"/>
                <w:szCs w:val="22"/>
              </w:rPr>
              <w:t xml:space="preserve">rade freedom, </w:t>
            </w:r>
            <w:r>
              <w:rPr>
                <w:color w:val="000000" w:themeColor="text1"/>
                <w:sz w:val="22"/>
                <w:szCs w:val="22"/>
              </w:rPr>
              <w:t xml:space="preserve">and </w:t>
            </w:r>
            <w:r w:rsidRPr="00EA4089">
              <w:rPr>
                <w:color w:val="000000" w:themeColor="text1"/>
                <w:sz w:val="22"/>
                <w:szCs w:val="22"/>
              </w:rPr>
              <w:t>financial freedom</w:t>
            </w:r>
            <w:r>
              <w:rPr>
                <w:color w:val="000000" w:themeColor="text1"/>
                <w:sz w:val="22"/>
                <w:szCs w:val="22"/>
              </w:rPr>
              <w:t>.</w:t>
            </w:r>
            <w:r w:rsidRPr="00EA4089">
              <w:rPr>
                <w:color w:val="000000" w:themeColor="text1"/>
                <w:sz w:val="22"/>
                <w:szCs w:val="22"/>
              </w:rPr>
              <w:t xml:space="preserve"> </w:t>
            </w:r>
          </w:p>
        </w:tc>
      </w:tr>
    </w:tbl>
    <w:p w14:paraId="145AE5EA" w14:textId="2671371D" w:rsidR="000E29D9" w:rsidRPr="00B32808" w:rsidRDefault="000E29D9" w:rsidP="0068330F">
      <w:pPr>
        <w:spacing w:line="240" w:lineRule="auto"/>
        <w:rPr>
          <w:rFonts w:ascii="Times New Roman" w:hAnsi="Times New Roman" w:cs="Times New Roman"/>
          <w:b/>
          <w:bCs/>
          <w:i/>
          <w:iCs/>
        </w:rPr>
      </w:pPr>
      <w:r w:rsidRPr="00B32808">
        <w:rPr>
          <w:rFonts w:ascii="Times New Roman" w:hAnsi="Times New Roman" w:cs="Times New Roman"/>
          <w:i/>
        </w:rPr>
        <w:t>Sources:</w:t>
      </w:r>
      <w:r w:rsidR="00FF2BA5">
        <w:rPr>
          <w:rFonts w:ascii="Times New Roman" w:hAnsi="Times New Roman" w:cs="Times New Roman"/>
        </w:rPr>
        <w:t xml:space="preserve"> </w:t>
      </w:r>
      <w:r w:rsidR="002A65A1" w:rsidRPr="002105AA">
        <w:rPr>
          <w:rFonts w:ascii="Times New Roman" w:hAnsi="Times New Roman" w:cs="Times New Roman"/>
        </w:rPr>
        <w:fldChar w:fldCharType="begin"/>
      </w:r>
      <w:r w:rsidR="002105AA">
        <w:rPr>
          <w:rFonts w:ascii="Times New Roman" w:hAnsi="Times New Roman" w:cs="Times New Roman"/>
        </w:rPr>
        <w:instrText xml:space="preserve"> ADDIN ZOTERO_ITEM CSL_CITATION {"citationID":"a1cgk0jha00","properties":{"formattedCitation":"\\uldash{(Capelli &amp; Vaggi, 2014; Coyle, 2017; Miller et al., 2021; Pettinger, 2019; UNDP, 2020)}","plainCitation":"(Capelli &amp; Vaggi, 2014; Coyle, 2017; Miller et al., 2021; Pettinger, 2019; UNDP, 2020)","dontUpdate":true,"noteIndex":0},"citationItems":[{"id":929,"uris":["http://zotero.org/users/5016855/items/DFXZZ2DW"],"itemData":{"id":929,"type":"report","abstract":"The Gross National Income (GNI) is often used as an indicator for a country’s living standards. Yet, it does not record unilateral transfers and notably remittances, which in the last decades have gained growing importance as a source of income for developing countries. Gross National Disposable Income (GNDI), includes both income and transfers and provides a much better account of people’s actually available income. However GNDI is sometimes confused with the GNI and is rarely available in major reports. This paper fills this gap by calculating the GNDI for all the countries in the World Bank database and it discusses the use of GNDI for 27 countries amongst the world top remittance receivers. We show that GNDI is much more informative than GNI and is a much more reliable basis for policy making in developing countries.","collection-title":"DEM Working Papers Series","language":"en","note":"container-title: DEM Working Papers Series","number":"091","publisher":"University of Pavia, Department of Economics and Management","source":"ideas.repec.org","title":"Why Gross National Disposable Income should substitute Gross National Income","URL":"https://ideas.repec.org/p/pav/demwpp/demwp0091.html","author":[{"family":"Capelli","given":"Clara"},{"family":"Vaggi","given":"Gianni"}],"accessed":{"date-parts":[["2021",1,30]]},"issued":{"date-parts":[["2014",9]]}}},{"id":628,"uris":["http://zotero.org/users/5016855/items/DLMUUBB4"],"itemData":{"id":628,"type":"article-journal","abstract":"Why does economic growth matter? The answer for economists is that it measures an important component of social progress—namely, economic welfare, or how much benefit members of society get from the way resources are used and allocated. A look at GDP per capita over the long haul tells the story of innovation and escape from the Malthusian trap of improvement in living standards that is inevitably limited by population growth.\n\nGDP growth is instrumentally important as well. It is closely correlated with the availability of jobs and income, which are in themselves vital to people’s standard of living and underpin their ability to achieve the kind of life they value (Sen 1999).\n\nHowever, GDP is not a natural object, although it is now everyday shorthand for economic performance. It cannot be measured in any precise way, unlike phenomena in the physical world. Economists and statisticians understand, when they stop to think about it, that it is an imperfect measure of economic welfare, with well-known drawbacks. Indeed, early pioneers of national accounting, such as Simon Kuznets and Colin Clark, would have preferred to measure economic welfare. But GDP prevailed because the demands of wartime called for a measure of total activity. So from the very start, the concept of GDP has long had its critics. But coming up with a better gauge of welfare is easier said than done.","container-title":"IMF Finance and Development","issue":"1","language":"en-US","page":"16 - 19","title":"Rethinking GDP","volume":"54","author":[{"family":"Coyle","given":"Diane"}],"issued":{"date-parts":[["2017",3]]}}},{"id":63,"uris":["http://zotero.org/users/5016855/items/6EWVCPXJ"],"itemData":{"id":63,"type":"chapter","abstract":"Each measured aspect of economic freedom has a significant effect on economic growth and prosperity. Policies that allow greater freedom in any of the areas measured tend to spur growth. Growth, in turn, is an essential element in generating more opportunities for people to advance themselves economically, thereby reducing poverty and building lasting prosperity.\nAs a vital component of human dignity, autonomy, and personal empowerment, economic freedom is valuable as an end itself. Just as important is the fact that economic freedom provides a proven formula for economic progress and success.\nEconomic freedom, however, is not a single\nsystem. The concept of freedom is incompatible in many respects with the idea of a single dominating economic system. Over the past 26 years, the Index has demonstrated that economic freedom is not a dogmatic ideology. It represents instead a philosophy that rejects dogma and embraces diverse and even competing strategies for economic advancement.","container-title":"2021 Index of Economic Freedom","language":"en","page":"11-18","publisher":"The Heritage Foundation","title":"The 12 Economic Freedoms: Policies for Lasting Economic Progress and Prosperity","URL":"https://www.heritage.org/index/pdf/2021/book/2021_IndexofEconomicFreedom_CHAPTER02.pdf","author":[{"family":"Miller","given":"Terry"},{"family":"Kim","given":"Anthony B."},{"family":"Roberts","given":"James M."}],"accessed":{"date-parts":[["2021",5,12]]},"issued":{"date-parts":[["2021"]]}}},{"id":924,"uris":["http://zotero.org/users/5016855/items/VFNERVVH"],"itemData":{"id":924,"type":"post-weblog","abstract":"Explaining definitions of GDP, GNP, GNI. Examples of how they differ. GDP (Gross Domestic Product) = national output. GNP (Gross National Product) takes into account net income receipts from abroad.","container-title":"Economics Help","language":"en-GB","note":"section: economics","title":"Difference between GNP, GDP and GNI","URL":"https://www.economicshelp.org/blog/3491/economics/difference-between-gnp-gdp-and-gni/","author":[{"family":"Pettinger","given":"Tejvan"}],"accessed":{"date-parts":[["2021",1,30]]},"issued":{"date-parts":[["2019",7,8]]}}},{"id":877,"uris":["http://zotero.org/users/5016855/items/KKV29H4Y"],"itemData":{"id":877,"type":"document","abstract":"A composite index measuring average achievement in three basic dimensions of human development—a long and healthy life, knowledge and a decent standard of living.","language":"en","publisher":"United Nations Development Programme","title":"UNDP Human Development Reports 2020: Human Development Index (HDI)","URL":"http://hdr.undp.org/en/indicators/137506","author":[{"family":"UNDP","given":""}],"accessed":{"date-parts":[["2021",3,21]]},"issued":{"date-parts":[["2020"]]}}}],"schema":"https://github.com/citation-style-language/schema/raw/master/csl-citation.json"} </w:instrText>
      </w:r>
      <w:r w:rsidR="002A65A1" w:rsidRPr="002105AA">
        <w:rPr>
          <w:rFonts w:ascii="Times New Roman" w:hAnsi="Times New Roman" w:cs="Times New Roman"/>
        </w:rPr>
        <w:fldChar w:fldCharType="separate"/>
      </w:r>
      <w:r w:rsidR="002105AA" w:rsidRPr="002105AA">
        <w:rPr>
          <w:rFonts w:ascii="Times New Roman" w:hAnsi="Times New Roman" w:cs="Times New Roman"/>
          <w:szCs w:val="24"/>
        </w:rPr>
        <w:t>Capelli &amp; Vaggi, 2014; Coyle, 2017; Miller et al., 2021; Pettinger, 2019; UNDP, 2020</w:t>
      </w:r>
      <w:r w:rsidR="002A65A1" w:rsidRPr="002105AA">
        <w:rPr>
          <w:rFonts w:ascii="Times New Roman" w:hAnsi="Times New Roman" w:cs="Times New Roman"/>
        </w:rPr>
        <w:fldChar w:fldCharType="end"/>
      </w:r>
      <w:r w:rsidR="004B7EC9">
        <w:rPr>
          <w:rFonts w:ascii="Times New Roman" w:hAnsi="Times New Roman" w:cs="Times New Roman"/>
        </w:rPr>
        <w:t>.</w:t>
      </w:r>
      <w:r w:rsidRPr="00B32808">
        <w:rPr>
          <w:rFonts w:ascii="Times New Roman" w:hAnsi="Times New Roman" w:cs="Times New Roman"/>
        </w:rPr>
        <w:t xml:space="preserve"> </w:t>
      </w:r>
    </w:p>
    <w:p w14:paraId="650ABF85" w14:textId="6C211695" w:rsidR="00C31580" w:rsidRPr="003B6C2E" w:rsidRDefault="00C31580" w:rsidP="00493ADC">
      <w:pPr>
        <w:spacing w:after="0" w:line="240" w:lineRule="auto"/>
        <w:ind w:firstLine="720"/>
        <w:rPr>
          <w:rFonts w:ascii="Times New Roman" w:hAnsi="Times New Roman" w:cs="Times New Roman"/>
          <w:sz w:val="24"/>
          <w:szCs w:val="24"/>
          <w:highlight w:val="yellow"/>
        </w:rPr>
      </w:pPr>
    </w:p>
    <w:p w14:paraId="5940EC02" w14:textId="27BD4E0C" w:rsidR="006904D8" w:rsidRPr="00314F7F" w:rsidRDefault="006904D8" w:rsidP="0068330F">
      <w:pPr>
        <w:pStyle w:val="Heading2"/>
        <w:spacing w:after="240" w:line="240" w:lineRule="auto"/>
        <w:rPr>
          <w:rFonts w:ascii="Times New Roman" w:hAnsi="Times New Roman" w:cs="Times New Roman"/>
          <w:b/>
          <w:bCs/>
          <w:color w:val="000000" w:themeColor="text1"/>
          <w:sz w:val="24"/>
          <w:szCs w:val="24"/>
        </w:rPr>
      </w:pPr>
      <w:r w:rsidRPr="00314F7F">
        <w:rPr>
          <w:rFonts w:ascii="Times New Roman" w:hAnsi="Times New Roman" w:cs="Times New Roman"/>
          <w:b/>
          <w:bCs/>
          <w:color w:val="000000" w:themeColor="text1"/>
          <w:sz w:val="24"/>
          <w:szCs w:val="24"/>
        </w:rPr>
        <w:t>Purpose of the Study</w:t>
      </w:r>
      <w:bookmarkEnd w:id="5"/>
    </w:p>
    <w:p w14:paraId="43D8AE82" w14:textId="5BC33E94" w:rsidR="004B75E6" w:rsidRPr="00314F7F" w:rsidRDefault="004F7064" w:rsidP="0068330F">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objective of this paper is to provide initial insights on the nature and attributes of BG</w:t>
      </w:r>
      <w:r w:rsidR="00581C72">
        <w:rPr>
          <w:rFonts w:ascii="Times New Roman" w:hAnsi="Times New Roman" w:cs="Times New Roman"/>
          <w:sz w:val="24"/>
          <w:szCs w:val="24"/>
        </w:rPr>
        <w:t>D</w:t>
      </w:r>
      <w:r>
        <w:rPr>
          <w:rFonts w:ascii="Times New Roman" w:hAnsi="Times New Roman" w:cs="Times New Roman"/>
          <w:sz w:val="24"/>
          <w:szCs w:val="24"/>
        </w:rPr>
        <w:t xml:space="preserve">P indicators to improve their general understanding, thereby facilitating their increased use for economic growth and developmental studies. </w:t>
      </w:r>
      <w:r w:rsidR="006904D8" w:rsidRPr="00314F7F">
        <w:rPr>
          <w:rFonts w:ascii="Times New Roman" w:hAnsi="Times New Roman" w:cs="Times New Roman"/>
          <w:sz w:val="24"/>
          <w:szCs w:val="24"/>
        </w:rPr>
        <w:t>Th</w:t>
      </w:r>
      <w:r w:rsidR="00314F7F" w:rsidRPr="00314F7F">
        <w:rPr>
          <w:rFonts w:ascii="Times New Roman" w:hAnsi="Times New Roman" w:cs="Times New Roman"/>
          <w:sz w:val="24"/>
          <w:szCs w:val="24"/>
        </w:rPr>
        <w:t xml:space="preserve">is </w:t>
      </w:r>
      <w:r>
        <w:rPr>
          <w:rFonts w:ascii="Times New Roman" w:hAnsi="Times New Roman" w:cs="Times New Roman"/>
          <w:sz w:val="24"/>
          <w:szCs w:val="24"/>
        </w:rPr>
        <w:t>article, therefore,</w:t>
      </w:r>
      <w:r w:rsidR="00314F7F" w:rsidRPr="00314F7F">
        <w:rPr>
          <w:rFonts w:ascii="Times New Roman" w:hAnsi="Times New Roman" w:cs="Times New Roman"/>
          <w:sz w:val="24"/>
          <w:szCs w:val="24"/>
        </w:rPr>
        <w:t xml:space="preserve"> analyzes the time series </w:t>
      </w:r>
      <w:r w:rsidR="00314F7F" w:rsidRPr="00314F7F">
        <w:rPr>
          <w:rFonts w:ascii="Times New Roman" w:hAnsi="Times New Roman" w:cs="Times New Roman"/>
          <w:sz w:val="24"/>
          <w:szCs w:val="24"/>
        </w:rPr>
        <w:lastRenderedPageBreak/>
        <w:t>properties of GDP and BGDP indicators</w:t>
      </w:r>
      <w:r>
        <w:rPr>
          <w:rFonts w:ascii="Times New Roman" w:hAnsi="Times New Roman" w:cs="Times New Roman"/>
          <w:sz w:val="24"/>
          <w:szCs w:val="24"/>
        </w:rPr>
        <w:t xml:space="preserve"> in Canada</w:t>
      </w:r>
      <w:r w:rsidR="001268C7">
        <w:rPr>
          <w:rFonts w:ascii="Times New Roman" w:hAnsi="Times New Roman" w:cs="Times New Roman"/>
          <w:sz w:val="24"/>
          <w:szCs w:val="24"/>
        </w:rPr>
        <w:t>.</w:t>
      </w:r>
      <w:r w:rsidR="00314F7F">
        <w:rPr>
          <w:rFonts w:ascii="Times New Roman" w:hAnsi="Times New Roman" w:cs="Times New Roman"/>
          <w:sz w:val="24"/>
          <w:szCs w:val="24"/>
        </w:rPr>
        <w:t xml:space="preserve"> </w:t>
      </w:r>
      <w:r w:rsidR="001268C7">
        <w:rPr>
          <w:rFonts w:ascii="Times New Roman" w:hAnsi="Times New Roman" w:cs="Times New Roman"/>
          <w:sz w:val="24"/>
          <w:szCs w:val="24"/>
        </w:rPr>
        <w:t>B</w:t>
      </w:r>
      <w:r w:rsidR="00314F7F">
        <w:rPr>
          <w:rFonts w:ascii="Times New Roman" w:hAnsi="Times New Roman" w:cs="Times New Roman"/>
          <w:sz w:val="24"/>
          <w:szCs w:val="24"/>
        </w:rPr>
        <w:t>e</w:t>
      </w:r>
      <w:r w:rsidR="00314F7F" w:rsidRPr="00314F7F">
        <w:rPr>
          <w:rFonts w:ascii="Times New Roman" w:hAnsi="Times New Roman" w:cs="Times New Roman"/>
          <w:sz w:val="24"/>
          <w:szCs w:val="24"/>
        </w:rPr>
        <w:t xml:space="preserve">ginning with </w:t>
      </w:r>
      <w:r w:rsidR="00A046DA">
        <w:rPr>
          <w:rFonts w:ascii="Times New Roman" w:hAnsi="Times New Roman" w:cs="Times New Roman"/>
          <w:sz w:val="24"/>
          <w:szCs w:val="24"/>
        </w:rPr>
        <w:t xml:space="preserve">time series plots, we present the </w:t>
      </w:r>
      <w:r w:rsidR="00314F7F">
        <w:rPr>
          <w:rFonts w:ascii="Times New Roman" w:hAnsi="Times New Roman" w:cs="Times New Roman"/>
          <w:sz w:val="24"/>
          <w:szCs w:val="24"/>
        </w:rPr>
        <w:t xml:space="preserve">descriptive statistics, </w:t>
      </w:r>
      <w:r w:rsidR="00A93C29">
        <w:rPr>
          <w:rFonts w:ascii="Times New Roman" w:hAnsi="Times New Roman" w:cs="Times New Roman"/>
          <w:sz w:val="24"/>
          <w:szCs w:val="24"/>
        </w:rPr>
        <w:t>assess the stationarity of all the variables using unit root tests</w:t>
      </w:r>
      <w:r>
        <w:rPr>
          <w:rFonts w:ascii="Times New Roman" w:hAnsi="Times New Roman" w:cs="Times New Roman"/>
          <w:sz w:val="24"/>
          <w:szCs w:val="24"/>
        </w:rPr>
        <w:t>,</w:t>
      </w:r>
      <w:r w:rsidR="00A93C29">
        <w:rPr>
          <w:rFonts w:ascii="Times New Roman" w:hAnsi="Times New Roman" w:cs="Times New Roman"/>
          <w:sz w:val="24"/>
          <w:szCs w:val="24"/>
        </w:rPr>
        <w:t xml:space="preserve"> </w:t>
      </w:r>
      <w:r w:rsidR="00314F7F">
        <w:rPr>
          <w:rFonts w:ascii="Times New Roman" w:hAnsi="Times New Roman" w:cs="Times New Roman"/>
          <w:sz w:val="24"/>
          <w:szCs w:val="24"/>
        </w:rPr>
        <w:t xml:space="preserve">and </w:t>
      </w:r>
      <w:r w:rsidR="00A93C29">
        <w:rPr>
          <w:rFonts w:ascii="Times New Roman" w:hAnsi="Times New Roman" w:cs="Times New Roman"/>
          <w:sz w:val="24"/>
          <w:szCs w:val="24"/>
        </w:rPr>
        <w:t xml:space="preserve">utilize cointegration tests to investigate whether a long run relationship exists between pairs of the </w:t>
      </w:r>
      <w:r w:rsidR="001268C7">
        <w:rPr>
          <w:rFonts w:ascii="Times New Roman" w:hAnsi="Times New Roman" w:cs="Times New Roman"/>
          <w:sz w:val="24"/>
          <w:szCs w:val="24"/>
        </w:rPr>
        <w:t>alternative growth measures</w:t>
      </w:r>
      <w:r w:rsidR="00A046DA">
        <w:rPr>
          <w:rFonts w:ascii="Times New Roman" w:hAnsi="Times New Roman" w:cs="Times New Roman"/>
          <w:sz w:val="24"/>
          <w:szCs w:val="24"/>
        </w:rPr>
        <w:t>,</w:t>
      </w:r>
      <w:r w:rsidR="001268C7">
        <w:rPr>
          <w:rFonts w:ascii="Times New Roman" w:hAnsi="Times New Roman" w:cs="Times New Roman"/>
          <w:sz w:val="24"/>
          <w:szCs w:val="24"/>
        </w:rPr>
        <w:t xml:space="preserve"> as well as with GDP.</w:t>
      </w:r>
      <w:r w:rsidR="00AC6ED0" w:rsidRPr="00314F7F">
        <w:rPr>
          <w:rFonts w:ascii="Times New Roman" w:hAnsi="Times New Roman" w:cs="Times New Roman"/>
          <w:sz w:val="24"/>
          <w:szCs w:val="24"/>
        </w:rPr>
        <w:t xml:space="preserve"> </w:t>
      </w:r>
    </w:p>
    <w:p w14:paraId="490D74C9" w14:textId="3DAFDAA2" w:rsidR="007154A7" w:rsidRPr="001268C7" w:rsidRDefault="00DF6390" w:rsidP="0068330F">
      <w:pPr>
        <w:pStyle w:val="Heading1"/>
        <w:spacing w:after="240" w:line="240" w:lineRule="auto"/>
        <w:rPr>
          <w:rFonts w:ascii="Times New Roman" w:hAnsi="Times New Roman" w:cs="Times New Roman"/>
          <w:b/>
          <w:bCs/>
          <w:color w:val="000000" w:themeColor="text1"/>
          <w:sz w:val="28"/>
          <w:szCs w:val="28"/>
        </w:rPr>
      </w:pPr>
      <w:r w:rsidRPr="001268C7">
        <w:rPr>
          <w:rFonts w:ascii="Times New Roman" w:hAnsi="Times New Roman" w:cs="Times New Roman"/>
          <w:b/>
          <w:bCs/>
          <w:color w:val="000000" w:themeColor="text1"/>
          <w:sz w:val="28"/>
          <w:szCs w:val="28"/>
        </w:rPr>
        <w:t>Brief Review of the Literature</w:t>
      </w:r>
    </w:p>
    <w:p w14:paraId="45D09F7E" w14:textId="1CA308DD" w:rsidR="001268C7" w:rsidRPr="0012734D" w:rsidRDefault="00921DA7" w:rsidP="0068330F">
      <w:pPr>
        <w:spacing w:line="240" w:lineRule="auto"/>
        <w:ind w:firstLine="720"/>
        <w:rPr>
          <w:rFonts w:ascii="Times New Roman" w:hAnsi="Times New Roman" w:cs="Times New Roman"/>
          <w:sz w:val="24"/>
          <w:szCs w:val="24"/>
        </w:rPr>
      </w:pPr>
      <w:bookmarkStart w:id="6" w:name="_Hlk63202850"/>
      <w:r w:rsidRPr="00921DA7">
        <w:rPr>
          <w:rFonts w:ascii="Times New Roman" w:hAnsi="Times New Roman" w:cs="Times New Roman"/>
          <w:sz w:val="24"/>
          <w:szCs w:val="24"/>
        </w:rPr>
        <w:t>In the body of l</w:t>
      </w:r>
      <w:r w:rsidR="001268C7" w:rsidRPr="00921DA7">
        <w:rPr>
          <w:rFonts w:ascii="Times New Roman" w:hAnsi="Times New Roman" w:cs="Times New Roman"/>
          <w:sz w:val="24"/>
          <w:szCs w:val="24"/>
        </w:rPr>
        <w:t>iterature</w:t>
      </w:r>
      <w:r w:rsidRPr="00921DA7">
        <w:rPr>
          <w:rFonts w:ascii="Times New Roman" w:hAnsi="Times New Roman" w:cs="Times New Roman"/>
          <w:sz w:val="24"/>
          <w:szCs w:val="24"/>
        </w:rPr>
        <w:t>,</w:t>
      </w:r>
      <w:r w:rsidR="001268C7" w:rsidRPr="00921DA7">
        <w:rPr>
          <w:rFonts w:ascii="Times New Roman" w:hAnsi="Times New Roman" w:cs="Times New Roman"/>
          <w:sz w:val="24"/>
          <w:szCs w:val="24"/>
        </w:rPr>
        <w:t xml:space="preserve"> </w:t>
      </w:r>
      <w:r w:rsidRPr="00921DA7">
        <w:rPr>
          <w:rFonts w:ascii="Times New Roman" w:hAnsi="Times New Roman" w:cs="Times New Roman"/>
          <w:sz w:val="24"/>
          <w:szCs w:val="24"/>
        </w:rPr>
        <w:t>the use of BGDP indicators for economic</w:t>
      </w:r>
      <w:r>
        <w:rPr>
          <w:rFonts w:ascii="Times New Roman" w:hAnsi="Times New Roman" w:cs="Times New Roman"/>
          <w:sz w:val="24"/>
          <w:szCs w:val="24"/>
        </w:rPr>
        <w:t xml:space="preserve"> growth and developmental studies is yet to </w:t>
      </w:r>
      <w:proofErr w:type="gramStart"/>
      <w:r>
        <w:rPr>
          <w:rFonts w:ascii="Times New Roman" w:hAnsi="Times New Roman" w:cs="Times New Roman"/>
          <w:sz w:val="24"/>
          <w:szCs w:val="24"/>
        </w:rPr>
        <w:t>be considered</w:t>
      </w:r>
      <w:proofErr w:type="gramEnd"/>
      <w:r>
        <w:rPr>
          <w:rFonts w:ascii="Times New Roman" w:hAnsi="Times New Roman" w:cs="Times New Roman"/>
          <w:sz w:val="24"/>
          <w:szCs w:val="24"/>
        </w:rPr>
        <w:t xml:space="preserve"> </w:t>
      </w:r>
      <w:r w:rsidR="00200980">
        <w:rPr>
          <w:rFonts w:ascii="Times New Roman" w:hAnsi="Times New Roman" w:cs="Times New Roman"/>
          <w:sz w:val="24"/>
          <w:szCs w:val="24"/>
        </w:rPr>
        <w:t xml:space="preserve">ubiquitous. </w:t>
      </w:r>
      <w:r w:rsidR="00593445" w:rsidRPr="00E31A5B">
        <w:rPr>
          <w:rFonts w:ascii="Times New Roman" w:hAnsi="Times New Roman" w:cs="Times New Roman"/>
          <w:color w:val="000000" w:themeColor="text1"/>
          <w:sz w:val="24"/>
          <w:szCs w:val="24"/>
        </w:rPr>
        <w:t xml:space="preserve">The need for a better understanding of the measures of economic growth </w:t>
      </w:r>
      <w:r w:rsidR="00593445">
        <w:rPr>
          <w:rFonts w:ascii="Times New Roman" w:hAnsi="Times New Roman" w:cs="Times New Roman"/>
          <w:color w:val="000000" w:themeColor="text1"/>
          <w:sz w:val="24"/>
          <w:szCs w:val="24"/>
        </w:rPr>
        <w:t xml:space="preserve">has been underscored by several authors </w:t>
      </w:r>
      <w:r w:rsidR="00593445" w:rsidRPr="00E31A5B">
        <w:rPr>
          <w:rFonts w:ascii="Times New Roman" w:hAnsi="Times New Roman" w:cs="Times New Roman"/>
          <w:color w:val="000000" w:themeColor="text1"/>
          <w:sz w:val="24"/>
          <w:szCs w:val="24"/>
        </w:rPr>
        <w:fldChar w:fldCharType="begin"/>
      </w:r>
      <w:r w:rsidR="00A7079C">
        <w:rPr>
          <w:rFonts w:ascii="Times New Roman" w:hAnsi="Times New Roman" w:cs="Times New Roman"/>
          <w:color w:val="000000" w:themeColor="text1"/>
          <w:sz w:val="24"/>
          <w:szCs w:val="24"/>
        </w:rPr>
        <w:instrText xml:space="preserve"> ADDIN ZOTERO_ITEM CSL_CITATION {"citationID":"a1vfamv8dlu","properties":{"formattedCitation":"(Fraumeni, 2017; Kimmerer, 2020; Lange et al., 2018; Pais et al., 2019; Rani &amp; Mandal, 2020)","plainCitation":"(Fraumeni, 2017; Kimmerer, 2020; Lange et al., 2018; Pais et al., 2019; Rani &amp; Mandal, 2020)","noteIndex":0},"citationItems":[{"id":629,"uris":["http://zotero.org/users/5016855/items/4QS2XKCJ"],"itemData":{"id":629,"type":"article-journal","abstract":"GDP summarizes only one aspect of a country’s condition; other measures in addition to GDP would be valuable","container-title":"IZA World of Labor","DOI":"10.15185/izawol.368","language":"en-US","source":"wol.iza.org","title":"Gross domestic product: Are other measures needed?","title-short":"Gross domestic product","URL":"https://wol.iza.org/articles/gross-domestic-product-are-other-measures-needed/long","author":[{"family":"Fraumeni","given":"Barbara M."}],"accessed":{"date-parts":[["2021",1,2]]},"issued":{"date-parts":[["2017",5,25]]}}},{"id":777,"uris":["http://zotero.org/users/5016855/items/H8X9X9F9"],"itemData":{"id":777,"type":"report","abstract":"This discussion paper explores the ways in which our official BC measures of economic value are inadequate and fail to reflect the values of First Nations governments and individuals to the overall wellbeing of the province.\nBC, like Canada and most countries around the world, currently measures economic growth using gross domestic product (GDP). GDP is a crude proxy for gauging economic wellbeing in that it essentially measures only national income. However, countries around the world are increasingly adopting new indices of wellbeing that measure economic income, plus a full suite of indicators such as the environment, culture, safety, leisure time, health, and education. These wellbeing indices measures are remarkably similar to those held by BC Indigenous peoples. Indigenous peoples in BC already have a sophisticated concept of what constitutes a “good life”, a conception and way of living that has been refined over millennia and that varies within each culture, place, and language. An Indigenous good life is one that is “richer” with, for example, clean air, regenerative wild fisheries and forests, socially healthy families, the passing-down of cultural values and language, excellent education, respect for traditions that value Elders and living Indigenous knowledge, a responsive health care system, and a natural environment that sustains our collective wellbeing and species. \nGiven the global trend in GDP-alternative measures, and considering the need for a productive and efficient COVID-19 recovery, there is an opportunity for BC to develop its own made-in-BC wellbeing index that considers Indigenous knowledge of environmental, health, education, community and cultural outcomes in order to improve the livelihoods of all British Columbians.\n\nThis paper takes the following rationale to supporting an Indigenous-centric, made-in-BC wellbeing index:\n• There is a growing global movement in GDP-alternatives now becoming substitute indices for measuring human wellbeing.\n• Within this global movement, there is a lack of Indigenous values in current GDP-based valuation of the BC economy.\n• Indigenous values – which are showing up in other countries in their re-examination of their economies – can be incorporated into a re-imagined BC Wellbeing Index.\n• Indigenous values and knowledge have the potential to strengthen GDP alternative indices worldwide and here in BC.\n• BC now has an opportunity to take the lead in defining a made-in-BC wellbeing index.\n\nThis logic is organized and discussed in the four-part report that follows.","event-place":"Prince George, British Columbia, Canada","language":"en","page":"72","publisher":"British Columbia Assembly of First Nations","publisher-place":"Prince George, British Columbia, Canada","source":"Zotero","title":"Centering First Nations Concepts of Wellbeing: Toward a GDP-Alternative Index in British Columbia","URL":"https://www.bcafn.ca/sites/default/files/docs/reports-presentations/BC%20AFN%20FINAL%20PRINT%202020-11-23.pdf","author":[{"family":"Kimmerer","given":"Robin Wall"}],"accessed":{"date-parts":[["2021",1,18]]},"issued":{"date-parts":[["2020"]]}}},{"id":625,"uris":["http://zotero.org/users/5016855/items/DX8QELSE"],"itemData":{"id":625,"type":"book","event-place":"Washington DC, USA","ISBN":"978-1-4648-1046-6","language":"en","note":"DOI: 10.1596/978-1-4648-1046-6","publisher":"World Bank","publisher-place":"Washington DC, USA","source":"DOI.org (Crossref)","title":"The Changing Wealth of Nations 2018: Building a Sustainable Future","title-short":"The Changing Wealth of Nations 2018","URL":"http://hdl.handle.net/10986/29001","author":[{"family":"Lange","given":"Glenn-Marie"},{"family":"Wodon","given":"Quentin"},{"family":"Carey","given":"Kevin"}],"accessed":{"date-parts":[["2021",1,2]]},"issued":{"date-parts":[["2018",1,30]]}}},{"id":778,"uris":["http://zotero.org/users/5016855/items/PBVND7U3"],"itemData":{"id":778,"type":"article-journal","abstract":"Academic literature has reflected increasing concerns about the trade-off between preserving the environment and economic growth. To address these concerns, new measurements are needed to evaluate sustainable development, given the limitations of Gross Domestic Product (GDP) in quantifying welfare and sustainability. Genuine Progress Indicator (GPI) is one of those alternative measurements. This paper assesses sustainable development for 28 OECD countries by computing a comparable GPI. Two different approaches to economic growth and sustainable development are discussed. Results suggest that the richest countries are not always the most sustainable. Furthermore, the effect of the financial crisis is verified immediately in the GDP, in contrast to the lagged effect observed in the GPI. Additionally, measures that promote economic growth may not improve sustainability, and may even negatively affect it. Consequently, alternative indicators such as the CGPI can obtain more valuable information for policy-makers seeking to achieve both economic growth and sustainable development.Keywords: CGPI; sustainable development; economic growth.","container-title":"International Journal of Energy Economics and Policy","ISSN":"2146-4553","issue":"4","language":"en","note":"JEL Classifications: Q01; Q51; Q56DOI: https://doi.org/10.32479/ijeep.7678","page":"202-213","source":"www.econjournals.com","title":"Are Economic Growth and Sustainable Development Converging? Evidence from the Comparable Genuine Progress Indicator for Organisation for Economic Co-operation and Development Countries","title-short":"Are Economic Growth and Sustainable Development Converging?","volume":"9","author":[{"family":"Pais","given":"Daniel Francisco"},{"family":"Afonso","given":"Tiago Lopes"},{"family":"Marques","given":"António Cardoso"},{"family":"Fuinhas","given":"José A."}],"issued":{"date-parts":[["2019",6,1]]}}},{"id":637,"uris":["http://zotero.org/users/5016855/items/Y4QDFIJG"],"itemData":{"id":637,"type":"post","abstract":"Gross domestic product is a narrow and an inadequate metric to capture the holistic and true value of health investment, leading to economic wellbeing.","container-title":"Policy Circle","genre":"Article","language":"en-GB","title":"All Inclusive Economic Development: The GDP alternative offers a better measure of progress | Policy Circle","title-short":"All Inclusive Economic Development","URL":"https://www.policycircle.org/economy/all-inclusive-economic-development-why-this-gdp-alternative-is-a-better-measure-of-progress/","author":[{"family":"Rani","given":"Neelam"},{"family":"Mandal","given":"Anandadeep"}],"accessed":{"date-parts":[["2020",12,31]]},"issued":{"date-parts":[["2020",8,6]]}}}],"schema":"https://github.com/citation-style-language/schema/raw/master/csl-citation.json"} </w:instrText>
      </w:r>
      <w:r w:rsidR="00593445" w:rsidRPr="00E31A5B">
        <w:rPr>
          <w:rFonts w:ascii="Times New Roman" w:hAnsi="Times New Roman" w:cs="Times New Roman"/>
          <w:color w:val="000000" w:themeColor="text1"/>
          <w:sz w:val="24"/>
          <w:szCs w:val="24"/>
        </w:rPr>
        <w:fldChar w:fldCharType="separate"/>
      </w:r>
      <w:r w:rsidR="00A7079C" w:rsidRPr="00A7079C">
        <w:rPr>
          <w:rFonts w:ascii="Times New Roman" w:hAnsi="Times New Roman" w:cs="Times New Roman"/>
          <w:sz w:val="24"/>
        </w:rPr>
        <w:t>(Fraumeni, 2017; Kimmerer, 2020; Lange et al., 2018; Pais et al., 2019; Rani &amp; Mandal, 2020)</w:t>
      </w:r>
      <w:r w:rsidR="00593445" w:rsidRPr="00E31A5B">
        <w:rPr>
          <w:rFonts w:ascii="Times New Roman" w:hAnsi="Times New Roman" w:cs="Times New Roman"/>
          <w:color w:val="000000" w:themeColor="text1"/>
          <w:sz w:val="24"/>
          <w:szCs w:val="24"/>
        </w:rPr>
        <w:fldChar w:fldCharType="end"/>
      </w:r>
      <w:r w:rsidR="00593445" w:rsidRPr="00E31A5B">
        <w:rPr>
          <w:rFonts w:ascii="Times New Roman" w:hAnsi="Times New Roman" w:cs="Times New Roman"/>
          <w:color w:val="000000" w:themeColor="text1"/>
          <w:sz w:val="24"/>
          <w:szCs w:val="24"/>
        </w:rPr>
        <w:t xml:space="preserve">. </w:t>
      </w:r>
      <w:r w:rsidR="00593445" w:rsidRPr="00E31A5B">
        <w:rPr>
          <w:rFonts w:ascii="Times New Roman" w:hAnsi="Times New Roman" w:cs="Times New Roman"/>
          <w:color w:val="000000" w:themeColor="text1"/>
          <w:sz w:val="24"/>
          <w:szCs w:val="24"/>
        </w:rPr>
        <w:fldChar w:fldCharType="begin"/>
      </w:r>
      <w:r w:rsidR="00A7079C">
        <w:rPr>
          <w:rFonts w:ascii="Times New Roman" w:hAnsi="Times New Roman" w:cs="Times New Roman"/>
          <w:color w:val="000000" w:themeColor="text1"/>
          <w:sz w:val="24"/>
          <w:szCs w:val="24"/>
        </w:rPr>
        <w:instrText xml:space="preserve"> ADDIN ZOTERO_ITEM CSL_CITATION {"citationID":"HZGddAXf","properties":{"formattedCitation":"(Fraumeni, 2017; Kimmerer, 2020; Lange et al., 2018b; Pais et al., 2019; Rani &amp; Mandal, 2020)","plainCitation":"(Fraumeni, 2017; Kimmerer, 2020; Lange et al., 2018b; Pais et al., 2019; Rani &amp; Mandal, 2020)","dontUpdate":true,"noteIndex":0},"citationItems":[{"id":629,"uris":["http://zotero.org/users/5016855/items/4QS2XKCJ"],"itemData":{"id":629,"type":"article-journal","abstract":"GDP summarizes only one aspect of a country’s condition; other measures in addition to GDP would be valuable","container-title":"IZA World of Labor","DOI":"10.15185/izawol.368","language":"en-US","source":"wol.iza.org","title":"Gross domestic product: Are other measures needed?","title-short":"Gross domestic product","URL":"https://wol.iza.org/articles/gross-domestic-product-are-other-measures-needed/long","author":[{"family":"Fraumeni","given":"Barbara M."}],"accessed":{"date-parts":[["2021",1,2]]},"issued":{"date-parts":[["2017",5,25]]}}},{"id":777,"uris":["http://zotero.org/users/5016855/items/H8X9X9F9"],"itemData":{"id":777,"type":"report","abstract":"This discussion paper explores the ways in which our official BC measures of economic value are inadequate and fail to reflect the values of First Nations governments and individuals to the overall wellbeing of the province.\nBC, like Canada and most countries around the world, currently measures economic growth using gross domestic product (GDP). GDP is a crude proxy for gauging economic wellbeing in that it essentially measures only national income. However, countries around the world are increasingly adopting new indices of wellbeing that measure economic income, plus a full suite of indicators such as the environment, culture, safety, leisure time, health, and education. These wellbeing indices measures are remarkably similar to those held by BC Indigenous peoples. Indigenous peoples in BC already have a sophisticated concept of what constitutes a “good life”, a conception and way of living that has been refined over millennia and that varies within each culture, place, and language. An Indigenous good life is one that is “richer” with, for example, clean air, regenerative wild fisheries and forests, socially healthy families, the passing-down of cultural values and language, excellent education, respect for traditions that value Elders and living Indigenous knowledge, a responsive health care system, and a natural environment that sustains our collective wellbeing and species. \nGiven the global trend in GDP-alternative measures, and considering the need for a productive and efficient COVID-19 recovery, there is an opportunity for BC to develop its own made-in-BC wellbeing index that considers Indigenous knowledge of environmental, health, education, community and cultural outcomes in order to improve the livelihoods of all British Columbians.\n\nThis paper takes the following rationale to supporting an Indigenous-centric, made-in-BC wellbeing index:\n• There is a growing global movement in GDP-alternatives now becoming substitute indices for measuring human wellbeing.\n• Within this global movement, there is a lack of Indigenous values in current GDP-based valuation of the BC economy.\n• Indigenous values – which are showing up in other countries in their re-examination of their economies – can be incorporated into a re-imagined BC Wellbeing Index.\n• Indigenous values and knowledge have the potential to strengthen GDP alternative indices worldwide and here in BC.\n• BC now has an opportunity to take the lead in defining a made-in-BC wellbeing index.\n\nThis logic is organized and discussed in the four-part report that follows.","event-place":"Prince George, British Columbia, Canada","language":"en","page":"72","publisher":"British Columbia Assembly of First Nations","publisher-place":"Prince George, British Columbia, Canada","source":"Zotero","title":"Centering First Nations Concepts of Wellbeing: Toward a GDP-Alternative Index in British Columbia","URL":"https://www.bcafn.ca/sites/default/files/docs/reports-presentations/BC%20AFN%20FINAL%20PRINT%202020-11-23.pdf","author":[{"family":"Kimmerer","given":"Robin Wall"}],"accessed":{"date-parts":[["2021",1,18]]},"issued":{"date-parts":[["2020"]]}}},{"id":625,"uris":["http://zotero.org/users/5016855/items/DX8QELSE"],"itemData":{"id":625,"type":"book","event-place":"Washington DC, USA","ISBN":"978-1-4648-1046-6","language":"en","note":"DOI: 10.1596/978-1-4648-1046-6","publisher":"World Bank","publisher-place":"Washington DC, USA","source":"DOI.org (Crossref)","title":"The Changing Wealth of Nations 2018: Building a Sustainable Future","title-short":"The Changing Wealth of Nations 2018","URL":"http://hdl.handle.net/10986/29001","author":[{"family":"Lange","given":"Glenn-Marie"},{"family":"Wodon","given":"Quentin"},{"family":"Carey","given":"Kevin"}],"accessed":{"date-parts":[["2021",1,2]]},"issued":{"date-parts":[["2018",1,30]]}}},{"id":778,"uris":["http://zotero.org/users/5016855/items/PBVND7U3"],"itemData":{"id":778,"type":"article-journal","abstract":"Academic literature has reflected increasing concerns about the trade-off between preserving the environment and economic growth. To address these concerns, new measurements are needed to evaluate sustainable development, given the limitations of Gross Domestic Product (GDP) in quantifying welfare and sustainability. Genuine Progress Indicator (GPI) is one of those alternative measurements. This paper assesses sustainable development for 28 OECD countries by computing a comparable GPI. Two different approaches to economic growth and sustainable development are discussed. Results suggest that the richest countries are not always the most sustainable. Furthermore, the effect of the financial crisis is verified immediately in the GDP, in contrast to the lagged effect observed in the GPI. Additionally, measures that promote economic growth may not improve sustainability, and may even negatively affect it. Consequently, alternative indicators such as the CGPI can obtain more valuable information for policy-makers seeking to achieve both economic growth and sustainable development.Keywords: CGPI; sustainable development; economic growth.","container-title":"International Journal of Energy Economics and Policy","ISSN":"2146-4553","issue":"4","language":"en","note":"JEL Classifications: Q01; Q51; Q56DOI: https://doi.org/10.32479/ijeep.7678","page":"202-213","source":"www.econjournals.com","title":"Are Economic Growth and Sustainable Development Converging? Evidence from the Comparable Genuine Progress Indicator for Organisation for Economic Co-operation and Development Countries","title-short":"Are Economic Growth and Sustainable Development Converging?","volume":"9","author":[{"family":"Pais","given":"Daniel Francisco"},{"family":"Afonso","given":"Tiago Lopes"},{"family":"Marques","given":"António Cardoso"},{"family":"Fuinhas","given":"José A."}],"issued":{"date-parts":[["2019",6,1]]}}},{"id":637,"uris":["http://zotero.org/users/5016855/items/Y4QDFIJG"],"itemData":{"id":637,"type":"post","abstract":"Gross domestic product is a narrow and an inadequate metric to capture the holistic and true value of health investment, leading to economic wellbeing.","container-title":"Policy Circle","genre":"Article","language":"en-GB","title":"All Inclusive Economic Development: The GDP alternative offers a better measure of progress | Policy Circle","title-short":"All Inclusive Economic Development","URL":"https://www.policycircle.org/economy/all-inclusive-economic-development-why-this-gdp-alternative-is-a-better-measure-of-progress/","author":[{"family":"Rani","given":"Neelam"},{"family":"Mandal","given":"Anandadeep"}],"accessed":{"date-parts":[["2020",12,31]]},"issued":{"date-parts":[["2020",8,6]]}}}],"schema":"https://github.com/citation-style-language/schema/raw/master/csl-citation.json"} </w:instrText>
      </w:r>
      <w:r w:rsidR="00593445" w:rsidRPr="00E31A5B">
        <w:rPr>
          <w:rFonts w:ascii="Times New Roman" w:hAnsi="Times New Roman" w:cs="Times New Roman"/>
          <w:color w:val="000000" w:themeColor="text1"/>
          <w:sz w:val="24"/>
          <w:szCs w:val="24"/>
        </w:rPr>
        <w:fldChar w:fldCharType="separate"/>
      </w:r>
      <w:r w:rsidR="00593445" w:rsidRPr="00E31A5B">
        <w:rPr>
          <w:rFonts w:ascii="Times New Roman" w:hAnsi="Times New Roman" w:cs="Times New Roman"/>
          <w:color w:val="000000" w:themeColor="text1"/>
          <w:sz w:val="24"/>
        </w:rPr>
        <w:t>Kimmerer</w:t>
      </w:r>
      <w:r w:rsidR="00593445">
        <w:rPr>
          <w:rFonts w:ascii="Times New Roman" w:hAnsi="Times New Roman" w:cs="Times New Roman"/>
          <w:color w:val="000000" w:themeColor="text1"/>
          <w:sz w:val="24"/>
        </w:rPr>
        <w:t xml:space="preserve"> (</w:t>
      </w:r>
      <w:r w:rsidR="00593445" w:rsidRPr="00E31A5B">
        <w:rPr>
          <w:rFonts w:ascii="Times New Roman" w:hAnsi="Times New Roman" w:cs="Times New Roman"/>
          <w:color w:val="000000" w:themeColor="text1"/>
          <w:sz w:val="24"/>
        </w:rPr>
        <w:t>2020</w:t>
      </w:r>
      <w:r w:rsidR="00593445">
        <w:rPr>
          <w:rFonts w:ascii="Times New Roman" w:hAnsi="Times New Roman" w:cs="Times New Roman"/>
          <w:color w:val="000000" w:themeColor="text1"/>
          <w:sz w:val="24"/>
        </w:rPr>
        <w:t xml:space="preserve">) </w:t>
      </w:r>
      <w:r w:rsidR="00593445" w:rsidRPr="00E31A5B">
        <w:rPr>
          <w:rFonts w:ascii="Times New Roman" w:hAnsi="Times New Roman" w:cs="Times New Roman"/>
          <w:color w:val="000000" w:themeColor="text1"/>
          <w:sz w:val="24"/>
          <w:szCs w:val="24"/>
        </w:rPr>
        <w:fldChar w:fldCharType="end"/>
      </w:r>
      <w:r w:rsidR="00593445">
        <w:rPr>
          <w:rFonts w:ascii="Times New Roman" w:hAnsi="Times New Roman" w:cs="Times New Roman"/>
          <w:color w:val="000000" w:themeColor="text1"/>
          <w:sz w:val="24"/>
          <w:szCs w:val="24"/>
        </w:rPr>
        <w:t xml:space="preserve">presented a summary of 40+ alternative measures of </w:t>
      </w:r>
      <w:r w:rsidR="0061740C">
        <w:rPr>
          <w:rFonts w:ascii="Times New Roman" w:hAnsi="Times New Roman" w:cs="Times New Roman"/>
          <w:color w:val="000000" w:themeColor="text1"/>
          <w:sz w:val="24"/>
          <w:szCs w:val="24"/>
        </w:rPr>
        <w:t xml:space="preserve">growth </w:t>
      </w:r>
      <w:r w:rsidR="00593445">
        <w:rPr>
          <w:rFonts w:ascii="Times New Roman" w:hAnsi="Times New Roman" w:cs="Times New Roman"/>
          <w:color w:val="000000" w:themeColor="text1"/>
          <w:sz w:val="24"/>
          <w:szCs w:val="24"/>
        </w:rPr>
        <w:t>and wellbeing</w:t>
      </w:r>
      <w:r w:rsidR="007F2706">
        <w:rPr>
          <w:rFonts w:ascii="Times New Roman" w:hAnsi="Times New Roman" w:cs="Times New Roman"/>
          <w:color w:val="000000" w:themeColor="text1"/>
          <w:sz w:val="24"/>
          <w:szCs w:val="24"/>
        </w:rPr>
        <w:t xml:space="preserve"> </w:t>
      </w:r>
      <w:r w:rsidR="00652499">
        <w:rPr>
          <w:rFonts w:ascii="Times New Roman" w:hAnsi="Times New Roman" w:cs="Times New Roman"/>
          <w:color w:val="000000" w:themeColor="text1"/>
          <w:sz w:val="24"/>
          <w:szCs w:val="24"/>
        </w:rPr>
        <w:t>and highlighted the reasons for their development to</w:t>
      </w:r>
      <w:r w:rsidR="0061740C">
        <w:rPr>
          <w:rFonts w:ascii="Times New Roman" w:hAnsi="Times New Roman" w:cs="Times New Roman"/>
          <w:color w:val="000000" w:themeColor="text1"/>
          <w:sz w:val="24"/>
          <w:szCs w:val="24"/>
        </w:rPr>
        <w:t xml:space="preserve"> </w:t>
      </w:r>
      <w:proofErr w:type="gramStart"/>
      <w:r w:rsidR="0061740C">
        <w:rPr>
          <w:rFonts w:ascii="Times New Roman" w:hAnsi="Times New Roman" w:cs="Times New Roman"/>
          <w:color w:val="000000" w:themeColor="text1"/>
          <w:sz w:val="24"/>
          <w:szCs w:val="24"/>
        </w:rPr>
        <w:t>more holistically capture economic progress</w:t>
      </w:r>
      <w:proofErr w:type="gramEnd"/>
      <w:r w:rsidR="0061740C">
        <w:rPr>
          <w:rFonts w:ascii="Times New Roman" w:hAnsi="Times New Roman" w:cs="Times New Roman"/>
          <w:color w:val="000000" w:themeColor="text1"/>
          <w:sz w:val="24"/>
          <w:szCs w:val="24"/>
        </w:rPr>
        <w:t xml:space="preserve">. </w:t>
      </w:r>
      <w:r w:rsidR="0012734D">
        <w:rPr>
          <w:rFonts w:ascii="Times New Roman" w:hAnsi="Times New Roman" w:cs="Times New Roman"/>
          <w:color w:val="000000" w:themeColor="text1"/>
          <w:sz w:val="24"/>
          <w:szCs w:val="24"/>
        </w:rPr>
        <w:t xml:space="preserve">Among these are </w:t>
      </w:r>
      <w:r w:rsidR="0061740C">
        <w:rPr>
          <w:rFonts w:ascii="Times New Roman" w:hAnsi="Times New Roman" w:cs="Times New Roman"/>
          <w:color w:val="000000" w:themeColor="text1"/>
          <w:sz w:val="24"/>
          <w:szCs w:val="24"/>
        </w:rPr>
        <w:t>GNDI, HDI, and IEF</w:t>
      </w:r>
      <w:r w:rsidR="00061A53">
        <w:rPr>
          <w:rFonts w:ascii="Times New Roman" w:hAnsi="Times New Roman" w:cs="Times New Roman"/>
          <w:color w:val="000000" w:themeColor="text1"/>
          <w:sz w:val="24"/>
          <w:szCs w:val="24"/>
        </w:rPr>
        <w:t xml:space="preserve">, which are the </w:t>
      </w:r>
      <w:r w:rsidR="0012734D">
        <w:rPr>
          <w:rFonts w:ascii="Times New Roman" w:hAnsi="Times New Roman" w:cs="Times New Roman"/>
          <w:color w:val="000000" w:themeColor="text1"/>
          <w:sz w:val="24"/>
          <w:szCs w:val="24"/>
        </w:rPr>
        <w:t xml:space="preserve">focus of this paper due </w:t>
      </w:r>
      <w:r w:rsidR="00CB6BD0">
        <w:rPr>
          <w:rFonts w:ascii="Times New Roman" w:hAnsi="Times New Roman" w:cs="Times New Roman"/>
          <w:color w:val="000000" w:themeColor="text1"/>
          <w:sz w:val="24"/>
          <w:szCs w:val="24"/>
        </w:rPr>
        <w:t xml:space="preserve">to the </w:t>
      </w:r>
      <w:r w:rsidR="0012734D">
        <w:rPr>
          <w:rFonts w:ascii="Times New Roman" w:hAnsi="Times New Roman" w:cs="Times New Roman"/>
          <w:color w:val="000000" w:themeColor="text1"/>
          <w:sz w:val="24"/>
          <w:szCs w:val="24"/>
        </w:rPr>
        <w:t xml:space="preserve">availability of time series data for these </w:t>
      </w:r>
      <w:r w:rsidR="0012734D" w:rsidRPr="0012734D">
        <w:rPr>
          <w:rFonts w:ascii="Times New Roman" w:hAnsi="Times New Roman" w:cs="Times New Roman"/>
          <w:color w:val="000000" w:themeColor="text1"/>
          <w:sz w:val="24"/>
          <w:szCs w:val="24"/>
        </w:rPr>
        <w:t>measures in Canada.</w:t>
      </w:r>
      <w:r w:rsidR="001268C7" w:rsidRPr="0012734D">
        <w:rPr>
          <w:rFonts w:ascii="Times New Roman" w:hAnsi="Times New Roman" w:cs="Times New Roman"/>
          <w:sz w:val="24"/>
          <w:szCs w:val="24"/>
        </w:rPr>
        <w:t xml:space="preserve"> </w:t>
      </w:r>
    </w:p>
    <w:p w14:paraId="4308B864" w14:textId="704E5F2D" w:rsidR="00925D78" w:rsidRPr="003B6C2E" w:rsidRDefault="000D386A" w:rsidP="0068330F">
      <w:pPr>
        <w:spacing w:line="240" w:lineRule="auto"/>
        <w:ind w:firstLine="720"/>
        <w:rPr>
          <w:rFonts w:ascii="Times New Roman" w:hAnsi="Times New Roman" w:cs="Times New Roman"/>
          <w:sz w:val="24"/>
          <w:szCs w:val="24"/>
          <w:highlight w:val="yellow"/>
        </w:rPr>
      </w:pPr>
      <w:r w:rsidRPr="0012734D">
        <w:rPr>
          <w:rFonts w:ascii="Times New Roman" w:hAnsi="Times New Roman" w:cs="Times New Roman"/>
          <w:sz w:val="24"/>
          <w:szCs w:val="24"/>
        </w:rPr>
        <w:t xml:space="preserve">GNDI </w:t>
      </w:r>
      <w:r w:rsidR="004F3FF2" w:rsidRPr="0012734D">
        <w:rPr>
          <w:rFonts w:ascii="Times New Roman" w:hAnsi="Times New Roman" w:cs="Times New Roman"/>
          <w:sz w:val="24"/>
          <w:szCs w:val="24"/>
        </w:rPr>
        <w:t xml:space="preserve">in the </w:t>
      </w:r>
      <w:r w:rsidRPr="0012734D">
        <w:rPr>
          <w:rFonts w:ascii="Times New Roman" w:hAnsi="Times New Roman" w:cs="Times New Roman"/>
          <w:sz w:val="24"/>
          <w:szCs w:val="24"/>
        </w:rPr>
        <w:t>literature</w:t>
      </w:r>
      <w:r w:rsidR="004F3FF2" w:rsidRPr="0012734D">
        <w:rPr>
          <w:rFonts w:ascii="Times New Roman" w:hAnsi="Times New Roman" w:cs="Times New Roman"/>
          <w:sz w:val="24"/>
          <w:szCs w:val="24"/>
        </w:rPr>
        <w:t xml:space="preserve"> has been used to evaluate </w:t>
      </w:r>
      <w:r w:rsidR="00B02FB3" w:rsidRPr="0012734D">
        <w:rPr>
          <w:rFonts w:ascii="Times New Roman" w:hAnsi="Times New Roman" w:cs="Times New Roman"/>
          <w:sz w:val="24"/>
          <w:szCs w:val="24"/>
        </w:rPr>
        <w:t xml:space="preserve">aspects of growth and the </w:t>
      </w:r>
      <w:r w:rsidR="00C6682B" w:rsidRPr="0012734D">
        <w:rPr>
          <w:rFonts w:ascii="Times New Roman" w:hAnsi="Times New Roman" w:cs="Times New Roman"/>
          <w:sz w:val="24"/>
          <w:szCs w:val="24"/>
        </w:rPr>
        <w:t>econo</w:t>
      </w:r>
      <w:r w:rsidR="00B02FB3" w:rsidRPr="0012734D">
        <w:rPr>
          <w:rFonts w:ascii="Times New Roman" w:hAnsi="Times New Roman" w:cs="Times New Roman"/>
          <w:sz w:val="24"/>
          <w:szCs w:val="24"/>
        </w:rPr>
        <w:t xml:space="preserve">my such as </w:t>
      </w:r>
      <w:r w:rsidR="00781631" w:rsidRPr="0012734D">
        <w:rPr>
          <w:rFonts w:ascii="Times New Roman" w:hAnsi="Times New Roman" w:cs="Times New Roman"/>
          <w:sz w:val="24"/>
          <w:szCs w:val="24"/>
        </w:rPr>
        <w:t>the impact of disposable income on demand</w:t>
      </w:r>
      <w:r w:rsidR="00B02FB3" w:rsidRPr="0012734D">
        <w:rPr>
          <w:rFonts w:ascii="Times New Roman" w:hAnsi="Times New Roman" w:cs="Times New Roman"/>
          <w:sz w:val="24"/>
          <w:szCs w:val="24"/>
        </w:rPr>
        <w:t xml:space="preserve">, </w:t>
      </w:r>
      <w:r w:rsidR="00FB6627" w:rsidRPr="0012734D">
        <w:rPr>
          <w:rFonts w:ascii="Times New Roman" w:hAnsi="Times New Roman" w:cs="Times New Roman"/>
          <w:sz w:val="24"/>
          <w:szCs w:val="24"/>
        </w:rPr>
        <w:fldChar w:fldCharType="begin"/>
      </w:r>
      <w:r w:rsidR="003823BD" w:rsidRPr="0012734D">
        <w:rPr>
          <w:rFonts w:ascii="Times New Roman" w:hAnsi="Times New Roman" w:cs="Times New Roman"/>
          <w:sz w:val="24"/>
          <w:szCs w:val="24"/>
        </w:rPr>
        <w:instrText xml:space="preserve"> ADDIN ZOTERO_ITEM CSL_CITATION {"citationID":"a2is2cn0ab7","properties":{"formattedCitation":"(Bohlmann &amp; Inglesi-Lotz, 2021)","plainCitation":"(Bohlmann &amp; Inglesi-Lotz, 2021)","noteIndex":0},"citationItems":[{"id":2195,"uris":["http://zotero.org/users/5016855/items/VJL5UVD3"],"itemData":{"id":2195,"type":"article-journal","abstract":"For the period 1975–2016, this paper examines the determinants of the residential demand for electricity in South Africa including disposable income, electricity prices, food prices as well as the impact of the 2007/08 load-shedding wave and the 2008 electricity price restructuring. Given the high income inequality levels in South Africa, this relationship was investigated at aggregated and disaggregated income levels. Based on an Autoregressive Distributed Lag (ARDL) model, the empirical results indicate long-run cointegration between residential electricity consumption, gross national disposable income, electricity prices and food prices. Disposable income elasticities have a positive sign for the aggregate and all income groups, indicating that as income increases, South African households consume more electricity (normal good). As expected, price elasticities are negative and significant – for both the aggregated and disaggregated models – indicating that electricity prices do influence electricity demand for all South African households. The paper also examines the complementarity or substitutability of food and electricity. At both the aggregated and disaggregated income levels, the results showed that food and electricity are substitute goods for all South African households. However, as expected, the magnitude of this relationship is marginally different for each income group.","container-title":"Energy Policy","DOI":"10.1016/j.enpol.2020.111901","ISSN":"0301-4215","journalAbbreviation":"Energy Policy","language":"en","page":"111901","source":"ScienceDirect","title":"Examining the determinants of electricity demand by South African households per income level","volume":"148","author":[{"family":"Bohlmann","given":"J. A."},{"family":"Inglesi-Lotz","given":"R."}],"issued":{"date-parts":[["2021"]]}}}],"schema":"https://github.com/citation-style-language/schema/raw/master/csl-citation.json"} </w:instrText>
      </w:r>
      <w:r w:rsidR="00FB6627" w:rsidRPr="0012734D">
        <w:rPr>
          <w:rFonts w:ascii="Times New Roman" w:hAnsi="Times New Roman" w:cs="Times New Roman"/>
          <w:sz w:val="24"/>
          <w:szCs w:val="24"/>
        </w:rPr>
        <w:fldChar w:fldCharType="separate"/>
      </w:r>
      <w:r w:rsidR="003823BD" w:rsidRPr="0012734D">
        <w:rPr>
          <w:rFonts w:ascii="Times New Roman" w:hAnsi="Times New Roman" w:cs="Times New Roman"/>
          <w:sz w:val="24"/>
          <w:szCs w:val="24"/>
        </w:rPr>
        <w:t>(Bohlmann &amp; Inglesi-Lotz, 2021)</w:t>
      </w:r>
      <w:r w:rsidR="00FB6627" w:rsidRPr="0012734D">
        <w:rPr>
          <w:rFonts w:ascii="Times New Roman" w:hAnsi="Times New Roman" w:cs="Times New Roman"/>
          <w:sz w:val="24"/>
          <w:szCs w:val="24"/>
        </w:rPr>
        <w:fldChar w:fldCharType="end"/>
      </w:r>
      <w:r w:rsidRPr="0012734D">
        <w:rPr>
          <w:rFonts w:ascii="Times New Roman" w:hAnsi="Times New Roman" w:cs="Times New Roman"/>
          <w:sz w:val="24"/>
          <w:szCs w:val="24"/>
        </w:rPr>
        <w:t xml:space="preserve">. </w:t>
      </w:r>
      <w:r w:rsidR="00B246B3" w:rsidRPr="0012734D">
        <w:rPr>
          <w:rFonts w:ascii="Times New Roman" w:hAnsi="Times New Roman" w:cs="Times New Roman"/>
          <w:sz w:val="24"/>
          <w:szCs w:val="24"/>
        </w:rPr>
        <w:t>Due</w:t>
      </w:r>
      <w:r w:rsidR="00B246B3" w:rsidRPr="000D386A">
        <w:rPr>
          <w:rFonts w:ascii="Times New Roman" w:hAnsi="Times New Roman" w:cs="Times New Roman"/>
          <w:sz w:val="24"/>
          <w:szCs w:val="24"/>
        </w:rPr>
        <w:t xml:space="preserve"> to its ability to measure the standard of living of constituents, </w:t>
      </w:r>
      <w:r w:rsidR="00DC2198" w:rsidRPr="000D386A">
        <w:rPr>
          <w:rFonts w:ascii="Times New Roman" w:hAnsi="Times New Roman" w:cs="Times New Roman"/>
          <w:sz w:val="24"/>
          <w:szCs w:val="24"/>
        </w:rPr>
        <w:t>it has been</w:t>
      </w:r>
      <w:r w:rsidR="00B246B3" w:rsidRPr="000D386A">
        <w:rPr>
          <w:rFonts w:ascii="Times New Roman" w:hAnsi="Times New Roman" w:cs="Times New Roman"/>
          <w:sz w:val="24"/>
          <w:szCs w:val="24"/>
        </w:rPr>
        <w:t xml:space="preserve"> argued that GNDI is a better indicator of wider-scale economic development </w:t>
      </w:r>
      <w:r w:rsidR="00B246B3" w:rsidRPr="000D386A">
        <w:rPr>
          <w:rFonts w:ascii="Times New Roman" w:hAnsi="Times New Roman" w:cs="Times New Roman"/>
          <w:sz w:val="24"/>
          <w:szCs w:val="24"/>
        </w:rPr>
        <w:fldChar w:fldCharType="begin"/>
      </w:r>
      <w:r w:rsidR="003823BD">
        <w:rPr>
          <w:rFonts w:ascii="Times New Roman" w:hAnsi="Times New Roman" w:cs="Times New Roman"/>
          <w:sz w:val="24"/>
          <w:szCs w:val="24"/>
        </w:rPr>
        <w:instrText xml:space="preserve"> ADDIN ZOTERO_ITEM CSL_CITATION {"citationID":"a87tvchika","properties":{"formattedCitation":"(Capelli &amp; Vaggi, 2013)","plainCitation":"(Capelli &amp; Vaggi, 2013)","noteIndex":0},"citationItems":[{"id":932,"uris":["http://zotero.org/users/5016855/items/ER5ZE46S"],"itemData":{"id":932,"type":"article-journal","abstract":"The Gross National Income (GNI) is often regarded as the best indicator for a country’s standard of living. Yet, it does not record unilateral transfers (notably remittances), which in the previous decades have been amongst the largest types of income inﬂows for developing countries.","collection-title":"DEM Working Paper Series","container-title":"Università di Pavia, Department of Economics and Management","ISSN":"2281-1346","language":"en","page":"43","source":"Zotero","title":"A better indicator for standard of living: The Gross National Disposable Income","author":[{"family":"Capelli","given":"Clara"},{"family":"Vaggi","given":"Gianni"}],"issued":{"date-parts":[["2013"]]}}}],"schema":"https://github.com/citation-style-language/schema/raw/master/csl-citation.json"} </w:instrText>
      </w:r>
      <w:r w:rsidR="00B246B3" w:rsidRPr="000D386A">
        <w:rPr>
          <w:rFonts w:ascii="Times New Roman" w:hAnsi="Times New Roman" w:cs="Times New Roman"/>
          <w:sz w:val="24"/>
          <w:szCs w:val="24"/>
        </w:rPr>
        <w:fldChar w:fldCharType="separate"/>
      </w:r>
      <w:r w:rsidR="00B36A74" w:rsidRPr="000D386A">
        <w:rPr>
          <w:rFonts w:ascii="Times New Roman" w:hAnsi="Times New Roman" w:cs="Times New Roman"/>
          <w:sz w:val="24"/>
          <w:szCs w:val="24"/>
        </w:rPr>
        <w:t>(Capelli &amp; Vaggi, 2013)</w:t>
      </w:r>
      <w:r w:rsidR="00B246B3" w:rsidRPr="000D386A">
        <w:rPr>
          <w:rFonts w:ascii="Times New Roman" w:hAnsi="Times New Roman" w:cs="Times New Roman"/>
          <w:sz w:val="24"/>
          <w:szCs w:val="24"/>
        </w:rPr>
        <w:fldChar w:fldCharType="end"/>
      </w:r>
      <w:r w:rsidR="00DC2198" w:rsidRPr="000D386A">
        <w:rPr>
          <w:rFonts w:ascii="Times New Roman" w:hAnsi="Times New Roman" w:cs="Times New Roman"/>
          <w:sz w:val="24"/>
          <w:szCs w:val="24"/>
        </w:rPr>
        <w:t>. T</w:t>
      </w:r>
      <w:r w:rsidR="00B246B3" w:rsidRPr="000D386A">
        <w:rPr>
          <w:rFonts w:ascii="Times New Roman" w:hAnsi="Times New Roman" w:cs="Times New Roman"/>
          <w:sz w:val="24"/>
          <w:szCs w:val="24"/>
        </w:rPr>
        <w:t>he standard of living can dictate both the levels of</w:t>
      </w:r>
      <w:r w:rsidR="00A73B81" w:rsidRPr="000D386A">
        <w:rPr>
          <w:rFonts w:ascii="Times New Roman" w:hAnsi="Times New Roman" w:cs="Times New Roman"/>
          <w:sz w:val="24"/>
          <w:szCs w:val="24"/>
        </w:rPr>
        <w:t xml:space="preserve"> </w:t>
      </w:r>
      <w:r w:rsidR="00B246B3" w:rsidRPr="000D386A">
        <w:rPr>
          <w:rFonts w:ascii="Times New Roman" w:hAnsi="Times New Roman" w:cs="Times New Roman"/>
          <w:sz w:val="24"/>
          <w:szCs w:val="24"/>
        </w:rPr>
        <w:t xml:space="preserve">production of individual members of the society, as well as their choices </w:t>
      </w:r>
      <w:r w:rsidR="00A73B81" w:rsidRPr="000D386A">
        <w:rPr>
          <w:rFonts w:ascii="Times New Roman" w:hAnsi="Times New Roman" w:cs="Times New Roman"/>
          <w:sz w:val="24"/>
          <w:szCs w:val="24"/>
        </w:rPr>
        <w:t xml:space="preserve">and consumption patterns </w:t>
      </w:r>
      <w:r w:rsidR="00DC2198" w:rsidRPr="000D386A">
        <w:rPr>
          <w:rFonts w:ascii="Times New Roman" w:hAnsi="Times New Roman" w:cs="Times New Roman"/>
          <w:sz w:val="24"/>
          <w:szCs w:val="24"/>
        </w:rPr>
        <w:t xml:space="preserve">that can impact </w:t>
      </w:r>
      <w:r w:rsidR="004F7064">
        <w:rPr>
          <w:rFonts w:ascii="Times New Roman" w:hAnsi="Times New Roman" w:cs="Times New Roman"/>
          <w:sz w:val="24"/>
          <w:szCs w:val="24"/>
        </w:rPr>
        <w:t>a nation’s</w:t>
      </w:r>
      <w:r w:rsidR="00DC2198" w:rsidRPr="000D386A">
        <w:rPr>
          <w:rFonts w:ascii="Times New Roman" w:hAnsi="Times New Roman" w:cs="Times New Roman"/>
          <w:sz w:val="24"/>
          <w:szCs w:val="24"/>
        </w:rPr>
        <w:t xml:space="preserve"> overall </w:t>
      </w:r>
      <w:r w:rsidRPr="000D386A">
        <w:rPr>
          <w:rFonts w:ascii="Times New Roman" w:hAnsi="Times New Roman" w:cs="Times New Roman"/>
          <w:sz w:val="24"/>
          <w:szCs w:val="24"/>
        </w:rPr>
        <w:t xml:space="preserve">output and economic </w:t>
      </w:r>
      <w:r w:rsidRPr="00925D78">
        <w:rPr>
          <w:rFonts w:ascii="Times New Roman" w:hAnsi="Times New Roman" w:cs="Times New Roman"/>
          <w:sz w:val="24"/>
          <w:szCs w:val="24"/>
        </w:rPr>
        <w:t>progress</w:t>
      </w:r>
      <w:r w:rsidR="004F3FF2">
        <w:rPr>
          <w:rFonts w:ascii="Times New Roman" w:hAnsi="Times New Roman" w:cs="Times New Roman"/>
          <w:sz w:val="24"/>
          <w:szCs w:val="24"/>
        </w:rPr>
        <w:t xml:space="preserve"> </w:t>
      </w:r>
      <w:r w:rsidR="004F3FF2" w:rsidRPr="000D386A">
        <w:rPr>
          <w:rFonts w:ascii="Times New Roman" w:hAnsi="Times New Roman" w:cs="Times New Roman"/>
          <w:sz w:val="24"/>
          <w:szCs w:val="24"/>
        </w:rPr>
        <w:fldChar w:fldCharType="begin"/>
      </w:r>
      <w:r w:rsidR="003823BD">
        <w:rPr>
          <w:rFonts w:ascii="Times New Roman" w:hAnsi="Times New Roman" w:cs="Times New Roman"/>
          <w:sz w:val="24"/>
          <w:szCs w:val="24"/>
        </w:rPr>
        <w:instrText xml:space="preserve"> ADDIN ZOTERO_ITEM CSL_CITATION {"citationID":"Pa6vBK8n","properties":{"formattedCitation":"(Capelli &amp; Vaggi, 2013)","plainCitation":"(Capelli &amp; Vaggi, 2013)","noteIndex":0},"citationItems":[{"id":932,"uris":["http://zotero.org/users/5016855/items/ER5ZE46S"],"itemData":{"id":932,"type":"article-journal","abstract":"The Gross National Income (GNI) is often regarded as the best indicator for a country’s standard of living. Yet, it does not record unilateral transfers (notably remittances), which in the previous decades have been amongst the largest types of income inﬂows for developing countries.","collection-title":"DEM Working Paper Series","container-title":"Università di Pavia, Department of Economics and Management","ISSN":"2281-1346","language":"en","page":"43","source":"Zotero","title":"A better indicator for standard of living: The Gross National Disposable Income","author":[{"family":"Capelli","given":"Clara"},{"family":"Vaggi","given":"Gianni"}],"issued":{"date-parts":[["2013"]]}}}],"schema":"https://github.com/citation-style-language/schema/raw/master/csl-citation.json"} </w:instrText>
      </w:r>
      <w:r w:rsidR="004F3FF2" w:rsidRPr="000D386A">
        <w:rPr>
          <w:rFonts w:ascii="Times New Roman" w:hAnsi="Times New Roman" w:cs="Times New Roman"/>
          <w:sz w:val="24"/>
          <w:szCs w:val="24"/>
        </w:rPr>
        <w:fldChar w:fldCharType="separate"/>
      </w:r>
      <w:r w:rsidR="004F3FF2" w:rsidRPr="000D386A">
        <w:rPr>
          <w:rFonts w:ascii="Times New Roman" w:hAnsi="Times New Roman" w:cs="Times New Roman"/>
          <w:sz w:val="24"/>
          <w:szCs w:val="24"/>
        </w:rPr>
        <w:t>(Capelli &amp; Vaggi, 2013)</w:t>
      </w:r>
      <w:r w:rsidR="004F3FF2" w:rsidRPr="000D386A">
        <w:rPr>
          <w:rFonts w:ascii="Times New Roman" w:hAnsi="Times New Roman" w:cs="Times New Roman"/>
          <w:sz w:val="24"/>
          <w:szCs w:val="24"/>
        </w:rPr>
        <w:fldChar w:fldCharType="end"/>
      </w:r>
      <w:r w:rsidRPr="00925D78">
        <w:rPr>
          <w:rFonts w:ascii="Times New Roman" w:hAnsi="Times New Roman" w:cs="Times New Roman"/>
          <w:sz w:val="24"/>
          <w:szCs w:val="24"/>
        </w:rPr>
        <w:t xml:space="preserve">. </w:t>
      </w:r>
      <w:r w:rsidR="00925D78" w:rsidRPr="00925D78">
        <w:rPr>
          <w:rFonts w:ascii="Times New Roman" w:hAnsi="Times New Roman" w:cs="Times New Roman"/>
          <w:sz w:val="24"/>
          <w:szCs w:val="24"/>
        </w:rPr>
        <w:t xml:space="preserve">GNDI captures the ensemble of in-country output, net-income receipts </w:t>
      </w:r>
      <w:r w:rsidR="00925D78" w:rsidRPr="007D530C">
        <w:rPr>
          <w:rFonts w:ascii="Times New Roman" w:hAnsi="Times New Roman" w:cs="Times New Roman"/>
          <w:sz w:val="24"/>
          <w:szCs w:val="24"/>
        </w:rPr>
        <w:t xml:space="preserve">from abroad, as well as unilateral transfers (notably remittances) </w:t>
      </w:r>
      <w:r w:rsidR="007D530C" w:rsidRPr="007D530C">
        <w:rPr>
          <w:rFonts w:ascii="Times New Roman" w:hAnsi="Times New Roman" w:cs="Times New Roman"/>
          <w:color w:val="000000" w:themeColor="text1"/>
          <w:sz w:val="24"/>
          <w:szCs w:val="24"/>
        </w:rPr>
        <w:fldChar w:fldCharType="begin"/>
      </w:r>
      <w:r w:rsidR="002105AA">
        <w:rPr>
          <w:rFonts w:ascii="Times New Roman" w:hAnsi="Times New Roman" w:cs="Times New Roman"/>
          <w:color w:val="000000" w:themeColor="text1"/>
          <w:sz w:val="24"/>
          <w:szCs w:val="24"/>
        </w:rPr>
        <w:instrText xml:space="preserve"> ADDIN ZOTERO_ITEM CSL_CITATION {"citationID":"a1u2hm9a4g3","properties":{"formattedCitation":"(Capelli &amp; Vaggi, 2013, 2014)","plainCitation":"(Capelli &amp; Vaggi, 2013, 2014)","noteIndex":0},"citationItems":[{"id":932,"uris":["http://zotero.org/users/5016855/items/ER5ZE46S"],"itemData":{"id":932,"type":"article-journal","abstract":"The Gross National Income (GNI) is often regarded as the best indicator for a country’s standard of living. Yet, it does not record unilateral transfers (notably remittances), which in the previous decades have been amongst the largest types of income inﬂows for developing countries.","collection-title":"DEM Working Paper Series","container-title":"Università di Pavia, Department of Economics and Management","ISSN":"2281-1346","language":"en","page":"43","source":"Zotero","title":"A better indicator for standard of living: The Gross National Disposable Income","author":[{"family":"Capelli","given":"Clara"},{"family":"Vaggi","given":"Gianni"}],"issued":{"date-parts":[["2013"]]}}},{"id":929,"uris":["http://zotero.org/users/5016855/items/DFXZZ2DW"],"itemData":{"id":929,"type":"report","abstract":"The Gross National Income (GNI) is often used as an indicator for a country’s living standards. Yet, it does not record unilateral transfers and notably remittances, which in the last decades have gained growing importance as a source of income for developing countries. Gross National Disposable Income (GNDI), includes both income and transfers and provides a much better account of people’s actually available income. However GNDI is sometimes confused with the GNI and is rarely available in major reports. This paper fills this gap by calculating the GNDI for all the countries in the World Bank database and it discusses the use of GNDI for 27 countries amongst the world top remittance receivers. We show that GNDI is much more informative than GNI and is a much more reliable basis for policy making in developing countries.","collection-title":"DEM Working Papers Series","language":"en","note":"container-title: DEM Working Papers Series","number":"091","publisher":"University of Pavia, Department of Economics and Management","source":"ideas.repec.org","title":"Why Gross National Disposable Income should substitute Gross National Income","URL":"https://ideas.repec.org/p/pav/demwpp/demwp0091.html","author":[{"family":"Capelli","given":"Clara"},{"family":"Vaggi","given":"Gianni"}],"accessed":{"date-parts":[["2021",1,30]]},"issued":{"date-parts":[["2014",9]]}}}],"schema":"https://github.com/citation-style-language/schema/raw/master/csl-citation.json"} </w:instrText>
      </w:r>
      <w:r w:rsidR="007D530C" w:rsidRPr="007D530C">
        <w:rPr>
          <w:rFonts w:ascii="Times New Roman" w:hAnsi="Times New Roman" w:cs="Times New Roman"/>
          <w:color w:val="000000" w:themeColor="text1"/>
          <w:sz w:val="24"/>
          <w:szCs w:val="24"/>
        </w:rPr>
        <w:fldChar w:fldCharType="separate"/>
      </w:r>
      <w:r w:rsidR="002105AA" w:rsidRPr="002105AA">
        <w:rPr>
          <w:rFonts w:ascii="Times New Roman" w:hAnsi="Times New Roman" w:cs="Times New Roman"/>
          <w:sz w:val="24"/>
          <w:szCs w:val="24"/>
        </w:rPr>
        <w:t>(Capelli &amp; Vaggi, 2013, 2014)</w:t>
      </w:r>
      <w:r w:rsidR="007D530C" w:rsidRPr="007D530C">
        <w:rPr>
          <w:rFonts w:ascii="Times New Roman" w:hAnsi="Times New Roman" w:cs="Times New Roman"/>
          <w:color w:val="000000" w:themeColor="text1"/>
          <w:sz w:val="24"/>
          <w:szCs w:val="24"/>
        </w:rPr>
        <w:fldChar w:fldCharType="end"/>
      </w:r>
      <w:r w:rsidR="007D530C" w:rsidRPr="007D530C">
        <w:rPr>
          <w:rFonts w:ascii="Times New Roman" w:hAnsi="Times New Roman" w:cs="Times New Roman"/>
          <w:color w:val="000000" w:themeColor="text1"/>
          <w:sz w:val="24"/>
          <w:szCs w:val="24"/>
        </w:rPr>
        <w:t>.</w:t>
      </w:r>
      <w:r w:rsidR="007D530C">
        <w:rPr>
          <w:rFonts w:ascii="Times New Roman" w:hAnsi="Times New Roman" w:cs="Times New Roman"/>
          <w:color w:val="000000" w:themeColor="text1"/>
          <w:sz w:val="24"/>
          <w:szCs w:val="24"/>
        </w:rPr>
        <w:t xml:space="preserve"> </w:t>
      </w:r>
      <w:r w:rsidR="00925D78" w:rsidRPr="00925D78">
        <w:rPr>
          <w:rFonts w:ascii="Times New Roman" w:hAnsi="Times New Roman" w:cs="Times New Roman"/>
          <w:sz w:val="24"/>
          <w:szCs w:val="24"/>
        </w:rPr>
        <w:t xml:space="preserve">These complementary inflows and outflows </w:t>
      </w:r>
      <w:proofErr w:type="gramStart"/>
      <w:r w:rsidR="00925D78" w:rsidRPr="00925D78">
        <w:rPr>
          <w:rFonts w:ascii="Times New Roman" w:hAnsi="Times New Roman" w:cs="Times New Roman"/>
          <w:sz w:val="24"/>
          <w:szCs w:val="24"/>
        </w:rPr>
        <w:t>ultimately affect</w:t>
      </w:r>
      <w:proofErr w:type="gramEnd"/>
      <w:r w:rsidR="00925D78" w:rsidRPr="00925D78">
        <w:rPr>
          <w:rFonts w:ascii="Times New Roman" w:hAnsi="Times New Roman" w:cs="Times New Roman"/>
          <w:sz w:val="24"/>
          <w:szCs w:val="24"/>
        </w:rPr>
        <w:t xml:space="preserve"> the overall growth dynamics of the local economy and provide resources that are essential to funding infrastructure development, technology innovation, as well as the provision of goods and services that drive economic development. </w:t>
      </w:r>
    </w:p>
    <w:p w14:paraId="55A223B2" w14:textId="77A34D16" w:rsidR="000D386A" w:rsidRPr="00B26B55" w:rsidRDefault="00B26B55" w:rsidP="0068330F">
      <w:pPr>
        <w:spacing w:line="240" w:lineRule="auto"/>
        <w:ind w:firstLine="720"/>
        <w:rPr>
          <w:rFonts w:ascii="Times New Roman" w:hAnsi="Times New Roman" w:cs="Times New Roman"/>
          <w:sz w:val="24"/>
          <w:szCs w:val="24"/>
        </w:rPr>
      </w:pPr>
      <w:r w:rsidRPr="00B26B55">
        <w:rPr>
          <w:rFonts w:ascii="Times New Roman" w:hAnsi="Times New Roman" w:cs="Times New Roman"/>
          <w:sz w:val="24"/>
          <w:szCs w:val="24"/>
        </w:rPr>
        <w:t xml:space="preserve">HDI </w:t>
      </w:r>
      <w:proofErr w:type="gramStart"/>
      <w:r w:rsidR="005349A0" w:rsidRPr="005349A0">
        <w:rPr>
          <w:rFonts w:ascii="Times New Roman" w:hAnsi="Times New Roman" w:cs="Times New Roman"/>
          <w:sz w:val="24"/>
          <w:szCs w:val="24"/>
        </w:rPr>
        <w:t>was developed</w:t>
      </w:r>
      <w:proofErr w:type="gramEnd"/>
      <w:r w:rsidR="005349A0" w:rsidRPr="005349A0">
        <w:rPr>
          <w:rFonts w:ascii="Times New Roman" w:hAnsi="Times New Roman" w:cs="Times New Roman"/>
          <w:sz w:val="24"/>
          <w:szCs w:val="24"/>
        </w:rPr>
        <w:t xml:space="preserve"> by the United Nations Development Programme (UNDP)</w:t>
      </w:r>
      <w:r w:rsidR="005349A0">
        <w:rPr>
          <w:rFonts w:ascii="Times New Roman" w:hAnsi="Times New Roman" w:cs="Times New Roman"/>
          <w:sz w:val="24"/>
          <w:szCs w:val="24"/>
        </w:rPr>
        <w:t xml:space="preserve"> </w:t>
      </w:r>
      <w:r w:rsidR="00513294">
        <w:rPr>
          <w:rFonts w:ascii="Times New Roman" w:hAnsi="Times New Roman" w:cs="Times New Roman"/>
          <w:sz w:val="24"/>
          <w:szCs w:val="24"/>
        </w:rPr>
        <w:t>(</w:t>
      </w:r>
      <w:r w:rsidR="00513294" w:rsidRPr="00E31A5B">
        <w:rPr>
          <w:rFonts w:ascii="Times New Roman" w:hAnsi="Times New Roman" w:cs="Times New Roman"/>
          <w:color w:val="000000" w:themeColor="text1"/>
          <w:sz w:val="24"/>
          <w:szCs w:val="24"/>
        </w:rPr>
        <w:t>Miranda et al., 2020;</w:t>
      </w:r>
      <w:r w:rsidR="00513294">
        <w:rPr>
          <w:rFonts w:ascii="Times New Roman" w:hAnsi="Times New Roman" w:cs="Times New Roman"/>
          <w:color w:val="000000" w:themeColor="text1"/>
          <w:sz w:val="24"/>
          <w:szCs w:val="24"/>
        </w:rPr>
        <w:t xml:space="preserve"> </w:t>
      </w:r>
      <w:r w:rsidR="00DB376E" w:rsidRPr="00DB376E">
        <w:rPr>
          <w:rFonts w:ascii="Times New Roman" w:hAnsi="Times New Roman" w:cs="Times New Roman"/>
          <w:sz w:val="24"/>
          <w:szCs w:val="24"/>
        </w:rPr>
        <w:t>UNDP, 2020</w:t>
      </w:r>
      <w:r w:rsidR="00513294">
        <w:rPr>
          <w:rFonts w:ascii="Times New Roman" w:hAnsi="Times New Roman" w:cs="Times New Roman"/>
          <w:color w:val="000000" w:themeColor="text1"/>
          <w:sz w:val="24"/>
          <w:szCs w:val="24"/>
        </w:rPr>
        <w:t>)</w:t>
      </w:r>
      <w:r w:rsidR="005349A0" w:rsidRPr="005349A0">
        <w:rPr>
          <w:rFonts w:ascii="Times New Roman" w:hAnsi="Times New Roman" w:cs="Times New Roman"/>
          <w:sz w:val="24"/>
          <w:szCs w:val="24"/>
        </w:rPr>
        <w:t>. It uses a people-centric approach to reflect the overall economic well-being. HDI accounts for longevity, gender equity, education (access and level), standard of living, income inequality, per capita GDP referenced to the purchasing power parity (PPP), and health achievements</w:t>
      </w:r>
      <w:r w:rsidR="00513294">
        <w:rPr>
          <w:rFonts w:ascii="Times New Roman" w:hAnsi="Times New Roman" w:cs="Times New Roman"/>
          <w:sz w:val="24"/>
          <w:szCs w:val="24"/>
        </w:rPr>
        <w:t xml:space="preserve"> </w:t>
      </w:r>
      <w:r w:rsidR="00513294" w:rsidRPr="00DB376E">
        <w:rPr>
          <w:rFonts w:ascii="Times New Roman" w:hAnsi="Times New Roman" w:cs="Times New Roman"/>
          <w:sz w:val="24"/>
          <w:szCs w:val="24"/>
        </w:rPr>
        <w:fldChar w:fldCharType="begin"/>
      </w:r>
      <w:r w:rsidR="00A7079C">
        <w:rPr>
          <w:rFonts w:ascii="Times New Roman" w:hAnsi="Times New Roman" w:cs="Times New Roman"/>
          <w:sz w:val="24"/>
          <w:szCs w:val="24"/>
        </w:rPr>
        <w:instrText xml:space="preserve"> ADDIN ZOTERO_ITEM CSL_CITATION {"citationID":"a1qg0oe4qgo","properties":{"formattedCitation":"(Deb, 2015; UNDP, 2020)","plainCitation":"(Deb, 2015; UNDP, 2020)","noteIndex":0},"citationItems":[{"id":964,"uris":["http://zotero.org/users/5016855/items/GVWSMU6Z"],"itemData":{"id":964,"type":"paper-conference","abstract":"The limitation of GDP as a measure of a country’s overall well-being and progress has been a subject of considerable debate over the past two decades, where it is argued that well-being is a multidimensional concept that cannot be captured by per capita GDP alone (UNDP1990, Stiglitz et al 2008, European Commission 2009, Costanza, et al 2009, Coyle 2014, Karabell 2014). However, the previous research has also indicated that a scatter plot of the HDI and per capita GDP or the correlation between the two reveals that the latter can statistically be as good as an indicator of progress as the latter. This paper examines the rank differences between the two in a 140 country sample during four points of time, viz., 1990, 2000, 2010 and 2013, and also focuses on the sub-sample of countries with different income groups. The scatter plot, Spearman’s rank correlation and rank ordered logit and probit regression reveal that the two measures relate positively very strongly in the overall sample of all countries. But, the analysis for different income group of countries suggests that the positive relationship is more prominent for the low income countries and weakens for the middle and high income countries in all the years.","container-title":"I.A.R.I.W","event":"IARIW-OECD Special Conference: \"W(h)ither the SNA?\"","event-place":"Paris, France","language":"en","note":"Session 1: Incorporating Well-Being into the SNA (I)","page":"26","publisher":"Organisation for Economic Co-operation and Development","publisher-place":"Paris, France","source":"Zotero","title":"Gap between GDP and HDI: Are the Rich Country Experiences Different from the Poor?","URL":"http://old.iariw.org/papers/2015/deb.pdf","author":[{"family":"Deb","given":"Surajit"}],"accessed":{"date-parts":[["2021",1,27]]},"issued":{"date-parts":[["2015"]]}}},{"id":877,"uris":["http://zotero.org/users/5016855/items/KKV29H4Y"],"itemData":{"id":877,"type":"document","abstract":"A composite index measuring average achievement in three basic dimensions of human development—a long and healthy life, knowledge and a decent standard of living.","language":"en","publisher":"United Nations Development Programme","title":"UNDP Human Development Reports 2020: Human Development Index (HDI)","URL":"http://hdr.undp.org/en/indicators/137506","author":[{"family":"UNDP","given":""}],"accessed":{"date-parts":[["2021",3,21]]},"issued":{"date-parts":[["2020"]]}}}],"schema":"https://github.com/citation-style-language/schema/raw/master/csl-citation.json"} </w:instrText>
      </w:r>
      <w:r w:rsidR="00513294" w:rsidRPr="00DB376E">
        <w:rPr>
          <w:rFonts w:ascii="Times New Roman" w:hAnsi="Times New Roman" w:cs="Times New Roman"/>
          <w:sz w:val="24"/>
          <w:szCs w:val="24"/>
        </w:rPr>
        <w:fldChar w:fldCharType="separate"/>
      </w:r>
      <w:r w:rsidR="00A7079C" w:rsidRPr="00A7079C">
        <w:rPr>
          <w:rFonts w:ascii="Times New Roman" w:hAnsi="Times New Roman" w:cs="Times New Roman"/>
          <w:sz w:val="24"/>
          <w:szCs w:val="24"/>
        </w:rPr>
        <w:t>(Deb, 2015; UNDP, 2020)</w:t>
      </w:r>
      <w:r w:rsidR="00513294" w:rsidRPr="00DB376E">
        <w:rPr>
          <w:rFonts w:ascii="Times New Roman" w:hAnsi="Times New Roman" w:cs="Times New Roman"/>
          <w:sz w:val="24"/>
          <w:szCs w:val="24"/>
        </w:rPr>
        <w:fldChar w:fldCharType="end"/>
      </w:r>
      <w:r w:rsidR="00DB376E">
        <w:rPr>
          <w:rFonts w:ascii="Times New Roman" w:hAnsi="Times New Roman" w:cs="Times New Roman"/>
          <w:sz w:val="24"/>
          <w:szCs w:val="24"/>
        </w:rPr>
        <w:t>.</w:t>
      </w:r>
      <w:r w:rsidR="005349A0" w:rsidRPr="005349A0">
        <w:rPr>
          <w:rFonts w:ascii="Times New Roman" w:hAnsi="Times New Roman" w:cs="Times New Roman"/>
          <w:sz w:val="24"/>
          <w:szCs w:val="24"/>
        </w:rPr>
        <w:t xml:space="preserve"> </w:t>
      </w:r>
      <w:r w:rsidR="007460A7" w:rsidRPr="007460A7">
        <w:rPr>
          <w:rFonts w:ascii="Times New Roman" w:hAnsi="Times New Roman" w:cs="Times New Roman"/>
          <w:sz w:val="24"/>
          <w:szCs w:val="24"/>
        </w:rPr>
        <w:t>Higher values of HDI imply an improvement in human development</w:t>
      </w:r>
      <w:r w:rsidR="007460A7">
        <w:rPr>
          <w:rFonts w:ascii="Times New Roman" w:hAnsi="Times New Roman" w:cs="Times New Roman"/>
          <w:sz w:val="24"/>
          <w:szCs w:val="24"/>
        </w:rPr>
        <w:t xml:space="preserve"> (</w:t>
      </w:r>
      <w:r w:rsidR="007460A7" w:rsidRPr="00DB376E">
        <w:rPr>
          <w:rFonts w:ascii="Times New Roman" w:hAnsi="Times New Roman" w:cs="Times New Roman"/>
          <w:sz w:val="24"/>
          <w:szCs w:val="24"/>
        </w:rPr>
        <w:t>UNDP, 2020</w:t>
      </w:r>
      <w:r w:rsidR="007460A7">
        <w:rPr>
          <w:rFonts w:ascii="Times New Roman" w:hAnsi="Times New Roman" w:cs="Times New Roman"/>
          <w:sz w:val="24"/>
          <w:szCs w:val="24"/>
        </w:rPr>
        <w:t>).</w:t>
      </w:r>
    </w:p>
    <w:p w14:paraId="1101744F" w14:textId="6B27755F" w:rsidR="000D386A" w:rsidRPr="00A07B6F" w:rsidRDefault="00A07B6F" w:rsidP="0068330F">
      <w:pPr>
        <w:spacing w:line="240" w:lineRule="auto"/>
        <w:ind w:firstLine="720"/>
        <w:rPr>
          <w:rFonts w:ascii="Times New Roman" w:hAnsi="Times New Roman" w:cs="Times New Roman"/>
          <w:sz w:val="24"/>
          <w:szCs w:val="24"/>
        </w:rPr>
      </w:pPr>
      <w:r w:rsidRPr="00A07B6F">
        <w:rPr>
          <w:rFonts w:ascii="Times New Roman" w:hAnsi="Times New Roman" w:cs="Times New Roman"/>
          <w:sz w:val="24"/>
          <w:szCs w:val="24"/>
        </w:rPr>
        <w:t>IEF</w:t>
      </w:r>
      <w:r w:rsidR="00252AB5" w:rsidRPr="00A07B6F">
        <w:rPr>
          <w:rFonts w:ascii="Times New Roman" w:hAnsi="Times New Roman" w:cs="Times New Roman"/>
          <w:sz w:val="24"/>
          <w:szCs w:val="24"/>
        </w:rPr>
        <w:t xml:space="preserve"> aims to capture the importance of understanding the relationship between governments and individuals when evaluating individual autonomy and its impact on economic freedom </w:t>
      </w:r>
      <w:r w:rsidR="00252AB5" w:rsidRPr="00743D6D">
        <w:rPr>
          <w:rFonts w:ascii="Times New Roman" w:hAnsi="Times New Roman" w:cs="Times New Roman"/>
          <w:sz w:val="24"/>
          <w:szCs w:val="24"/>
        </w:rPr>
        <w:fldChar w:fldCharType="begin"/>
      </w:r>
      <w:r w:rsidR="002105AA">
        <w:rPr>
          <w:rFonts w:ascii="Times New Roman" w:hAnsi="Times New Roman" w:cs="Times New Roman"/>
          <w:sz w:val="24"/>
          <w:szCs w:val="24"/>
        </w:rPr>
        <w:instrText xml:space="preserve"> ADDIN ZOTERO_ITEM CSL_CITATION {"citationID":"a2gifgephuu","properties":{"formattedCitation":"(Miller et al., 2021c, 2021b, 2021a)","plainCitation":"(Miller et al., 2021c, 2021b, 2021a)","dontUpdate":true,"noteIndex":0},"citationItems":[{"id":63,"uris":["http://zotero.org/users/5016855/items/6EWVCPXJ"],"itemData":{"id":63,"type":"chapter","abstract":"Each measured aspect of economic freedom has a significant effect on economic growth and prosperity. Policies that allow greater freedom in any of the areas measured tend to spur growth. Growth, in turn, is an essential element in generating more opportunities for people to advance themselves economically, thereby reducing poverty and building lasting prosperity.\nAs a vital component of human dignity, autonomy, and personal empowerment, economic freedom is valuable as an end itself. Just as important is the fact that economic freedom provides a proven formula for economic progress and success.\nEconomic freedom, however, is not a single\nsystem. The concept of freedom is incompatible in many respects with the idea of a single dominating economic system. Over the past 26 years, the Index has demonstrated that economic freedom is not a dogmatic ideology. It represents instead a philosophy that rejects dogma and embraces diverse and even competing strategies for economic advancement.","container-title":"2021 Index of Economic Freedom","language":"en","page":"11-18","publisher":"The Heritage Foundation","title":"The 12 Economic Freedoms: Policies for Lasting Economic Progress and Prosperity","URL":"https://www.heritage.org/index/pdf/2021/book/2021_IndexofEconomicFreedom_CHAPTER02.pdf","author":[{"family":"Miller","given":"Terry"},{"family":"Kim","given":"Anthony B."},{"family":"Roberts","given":"James M."}],"accessed":{"date-parts":[["2021",5,12]]},"issued":{"date-parts":[["2021"]]}}},{"id":84,"uris":["http://zotero.org/users/5016855/items/28MB3EWC"],"itemData":{"id":84,"type":"document","abstract":"Index of Economic Freedom measures economic freedom of 184 countries based on trade freedom, business freedom, investment freedom, and property rights.","language":"en","publisher":"The Heritage Foundation","title":"Index of Economic Freedom: Promoting Economic Opportunity and Prosperity by Country","title-short":"Index of Economic Freedom","URL":"//www.heritage.org/index/","author":[{"family":"Miller","given":"Terry"},{"family":"Kim","given":"Anthony B."},{"family":"Roberts","given":"James M."}],"accessed":{"date-parts":[["2021",5,12]]},"issued":{"date-parts":[["2021"]]}}},{"id":82,"uris":["http://zotero.org/users/5016855/items/FFTK4XED"],"itemData":{"id":82,"type":"book","event-place":"Washington, DC","ISBN":"978-0-89195-303-6","language":"en","publisher":"The Heritage Foundation","publisher-place":"Washington, DC","title":"2021 Index of Economic Freedom","URL":"https://www.heritage.org/index/pdf/2021/book/index_2021.pdf","author":[{"family":"Miller","given":"Terry"},{"family":"Kim","given":"Anthony B."},{"family":"Roberts","given":"James M."}],"accessed":{"date-parts":[["2021",5,12]]},"issued":{"date-parts":[["2021"]]}}}],"schema":"https://github.com/citation-style-language/schema/raw/master/csl-citation.json"} </w:instrText>
      </w:r>
      <w:r w:rsidR="00252AB5" w:rsidRPr="00743D6D">
        <w:rPr>
          <w:rFonts w:ascii="Times New Roman" w:hAnsi="Times New Roman" w:cs="Times New Roman"/>
          <w:sz w:val="24"/>
          <w:szCs w:val="24"/>
        </w:rPr>
        <w:fldChar w:fldCharType="separate"/>
      </w:r>
      <w:r w:rsidR="00A7079C" w:rsidRPr="00A7079C">
        <w:rPr>
          <w:rFonts w:ascii="Times New Roman" w:hAnsi="Times New Roman" w:cs="Times New Roman"/>
          <w:sz w:val="24"/>
          <w:szCs w:val="24"/>
        </w:rPr>
        <w:t>(Miller et al., 2021</w:t>
      </w:r>
      <w:r w:rsidR="00A7079C">
        <w:rPr>
          <w:rFonts w:ascii="Times New Roman" w:hAnsi="Times New Roman" w:cs="Times New Roman"/>
          <w:sz w:val="24"/>
          <w:szCs w:val="24"/>
        </w:rPr>
        <w:t>a</w:t>
      </w:r>
      <w:r w:rsidR="00A7079C" w:rsidRPr="00A7079C">
        <w:rPr>
          <w:rFonts w:ascii="Times New Roman" w:hAnsi="Times New Roman" w:cs="Times New Roman"/>
          <w:sz w:val="24"/>
          <w:szCs w:val="24"/>
        </w:rPr>
        <w:t>, 2021b, 2021</w:t>
      </w:r>
      <w:r w:rsidR="00A7079C">
        <w:rPr>
          <w:rFonts w:ascii="Times New Roman" w:hAnsi="Times New Roman" w:cs="Times New Roman"/>
          <w:sz w:val="24"/>
          <w:szCs w:val="24"/>
        </w:rPr>
        <w:t>c</w:t>
      </w:r>
      <w:r w:rsidR="00A7079C" w:rsidRPr="00A7079C">
        <w:rPr>
          <w:rFonts w:ascii="Times New Roman" w:hAnsi="Times New Roman" w:cs="Times New Roman"/>
          <w:sz w:val="24"/>
          <w:szCs w:val="24"/>
        </w:rPr>
        <w:t>)</w:t>
      </w:r>
      <w:r w:rsidR="00252AB5" w:rsidRPr="00743D6D">
        <w:rPr>
          <w:rFonts w:ascii="Times New Roman" w:hAnsi="Times New Roman" w:cs="Times New Roman"/>
          <w:sz w:val="24"/>
          <w:szCs w:val="24"/>
        </w:rPr>
        <w:fldChar w:fldCharType="end"/>
      </w:r>
      <w:r w:rsidR="00252AB5" w:rsidRPr="00743D6D">
        <w:rPr>
          <w:rFonts w:ascii="Times New Roman" w:hAnsi="Times New Roman" w:cs="Times New Roman"/>
          <w:sz w:val="24"/>
          <w:szCs w:val="24"/>
        </w:rPr>
        <w:t>.</w:t>
      </w:r>
      <w:r w:rsidR="00252AB5" w:rsidRPr="00A07B6F">
        <w:rPr>
          <w:rFonts w:ascii="Times New Roman" w:hAnsi="Times New Roman" w:cs="Times New Roman"/>
          <w:sz w:val="24"/>
          <w:szCs w:val="24"/>
        </w:rPr>
        <w:t xml:space="preserve"> </w:t>
      </w:r>
      <w:r w:rsidRPr="00A07B6F">
        <w:rPr>
          <w:rFonts w:ascii="Times New Roman" w:hAnsi="Times New Roman" w:cs="Times New Roman"/>
          <w:sz w:val="24"/>
          <w:szCs w:val="24"/>
        </w:rPr>
        <w:t>Twelve</w:t>
      </w:r>
      <w:r w:rsidR="00252AB5" w:rsidRPr="00A07B6F">
        <w:rPr>
          <w:rFonts w:ascii="Times New Roman" w:hAnsi="Times New Roman" w:cs="Times New Roman"/>
          <w:sz w:val="24"/>
          <w:szCs w:val="24"/>
        </w:rPr>
        <w:t xml:space="preserve"> components of economic freedoms </w:t>
      </w:r>
      <w:proofErr w:type="gramStart"/>
      <w:r w:rsidRPr="00A07B6F">
        <w:rPr>
          <w:rFonts w:ascii="Times New Roman" w:hAnsi="Times New Roman" w:cs="Times New Roman"/>
          <w:sz w:val="24"/>
          <w:szCs w:val="24"/>
        </w:rPr>
        <w:t xml:space="preserve">are </w:t>
      </w:r>
      <w:r w:rsidR="00252AB5" w:rsidRPr="00A07B6F">
        <w:rPr>
          <w:rFonts w:ascii="Times New Roman" w:hAnsi="Times New Roman" w:cs="Times New Roman"/>
          <w:sz w:val="24"/>
          <w:szCs w:val="24"/>
        </w:rPr>
        <w:t>accounted</w:t>
      </w:r>
      <w:proofErr w:type="gramEnd"/>
      <w:r w:rsidR="00252AB5" w:rsidRPr="00A07B6F">
        <w:rPr>
          <w:rFonts w:ascii="Times New Roman" w:hAnsi="Times New Roman" w:cs="Times New Roman"/>
          <w:sz w:val="24"/>
          <w:szCs w:val="24"/>
        </w:rPr>
        <w:t xml:space="preserve"> for by the IEF metric under </w:t>
      </w:r>
      <w:r>
        <w:rPr>
          <w:rFonts w:ascii="Times New Roman" w:hAnsi="Times New Roman" w:cs="Times New Roman"/>
          <w:sz w:val="24"/>
          <w:szCs w:val="24"/>
        </w:rPr>
        <w:t>four</w:t>
      </w:r>
      <w:r w:rsidR="00252AB5" w:rsidRPr="00A07B6F">
        <w:rPr>
          <w:rFonts w:ascii="Times New Roman" w:hAnsi="Times New Roman" w:cs="Times New Roman"/>
          <w:sz w:val="24"/>
          <w:szCs w:val="24"/>
        </w:rPr>
        <w:t xml:space="preserve"> broad themes</w:t>
      </w:r>
      <w:r>
        <w:rPr>
          <w:rFonts w:ascii="Times New Roman" w:hAnsi="Times New Roman" w:cs="Times New Roman"/>
          <w:sz w:val="24"/>
          <w:szCs w:val="24"/>
        </w:rPr>
        <w:t>, namely, the s</w:t>
      </w:r>
      <w:r w:rsidR="00252AB5" w:rsidRPr="00A07B6F">
        <w:rPr>
          <w:rFonts w:ascii="Times New Roman" w:hAnsi="Times New Roman" w:cs="Times New Roman"/>
          <w:sz w:val="24"/>
          <w:szCs w:val="24"/>
        </w:rPr>
        <w:t xml:space="preserve">ize of the government, </w:t>
      </w:r>
      <w:r w:rsidR="00677891">
        <w:rPr>
          <w:rFonts w:ascii="Times New Roman" w:hAnsi="Times New Roman" w:cs="Times New Roman"/>
          <w:sz w:val="24"/>
          <w:szCs w:val="24"/>
        </w:rPr>
        <w:t>t</w:t>
      </w:r>
      <w:r w:rsidR="00252AB5" w:rsidRPr="00A07B6F">
        <w:rPr>
          <w:rFonts w:ascii="Times New Roman" w:hAnsi="Times New Roman" w:cs="Times New Roman"/>
          <w:sz w:val="24"/>
          <w:szCs w:val="24"/>
        </w:rPr>
        <w:t>he rule of law,</w:t>
      </w:r>
      <w:r w:rsidR="00677891">
        <w:rPr>
          <w:rFonts w:ascii="Times New Roman" w:hAnsi="Times New Roman" w:cs="Times New Roman"/>
          <w:sz w:val="24"/>
          <w:szCs w:val="24"/>
        </w:rPr>
        <w:t xml:space="preserve"> m</w:t>
      </w:r>
      <w:r w:rsidR="00252AB5" w:rsidRPr="00A07B6F">
        <w:rPr>
          <w:rFonts w:ascii="Times New Roman" w:hAnsi="Times New Roman" w:cs="Times New Roman"/>
          <w:sz w:val="24"/>
          <w:szCs w:val="24"/>
        </w:rPr>
        <w:t xml:space="preserve">arket openness, and </w:t>
      </w:r>
      <w:r w:rsidR="00677891">
        <w:rPr>
          <w:rFonts w:ascii="Times New Roman" w:hAnsi="Times New Roman" w:cs="Times New Roman"/>
          <w:sz w:val="24"/>
          <w:szCs w:val="24"/>
        </w:rPr>
        <w:t>r</w:t>
      </w:r>
      <w:r w:rsidR="00252AB5" w:rsidRPr="00A07B6F">
        <w:rPr>
          <w:rFonts w:ascii="Times New Roman" w:hAnsi="Times New Roman" w:cs="Times New Roman"/>
          <w:sz w:val="24"/>
          <w:szCs w:val="24"/>
        </w:rPr>
        <w:t xml:space="preserve">egulatory efficiency. </w:t>
      </w:r>
      <w:r w:rsidR="00677891">
        <w:rPr>
          <w:rFonts w:ascii="Times New Roman" w:hAnsi="Times New Roman" w:cs="Times New Roman"/>
          <w:sz w:val="24"/>
          <w:szCs w:val="24"/>
        </w:rPr>
        <w:t>The size of government is c</w:t>
      </w:r>
      <w:r w:rsidR="00252AB5" w:rsidRPr="00A07B6F">
        <w:rPr>
          <w:rFonts w:ascii="Times New Roman" w:hAnsi="Times New Roman" w:cs="Times New Roman"/>
          <w:sz w:val="24"/>
          <w:szCs w:val="24"/>
        </w:rPr>
        <w:t xml:space="preserve">omprised of fiscal health, tax burden, and government spending </w:t>
      </w:r>
      <w:r w:rsidR="00252AB5" w:rsidRPr="00A07B6F">
        <w:rPr>
          <w:rFonts w:ascii="Times New Roman" w:hAnsi="Times New Roman" w:cs="Times New Roman"/>
          <w:sz w:val="24"/>
          <w:szCs w:val="24"/>
        </w:rPr>
        <w:fldChar w:fldCharType="begin"/>
      </w:r>
      <w:r w:rsidR="00A7079C">
        <w:rPr>
          <w:rFonts w:ascii="Times New Roman" w:hAnsi="Times New Roman" w:cs="Times New Roman"/>
          <w:sz w:val="24"/>
          <w:szCs w:val="24"/>
        </w:rPr>
        <w:instrText xml:space="preserve"> ADDIN ZOTERO_ITEM CSL_CITATION {"citationID":"a2fb7se4e0f","properties":{"formattedCitation":"(T. Miller et al., 2021c)","plainCitation":"(T. Miller et al., 2021c)","dontUpdate":true,"noteIndex":0},"citationItems":[{"id":63,"uris":["http://zotero.org/users/5016855/items/6EWVCPXJ"],"itemData":{"id":63,"type":"chapter","abstract":"Each measured aspect of economic freedom has a significant effect on economic growth and prosperity. Policies that allow greater freedom in any of the areas measured tend to spur growth. Growth, in turn, is an essential element in generating more opportunities for people to advance themselves economically, thereby reducing poverty and building lasting prosperity.\nAs a vital component of human dignity, autonomy, and personal empowerment, economic freedom is valuable as an end itself. Just as important is the fact that economic freedom provides a proven formula for economic progress and success.\nEconomic freedom, however, is not a single\nsystem. The concept of freedom is incompatible in many respects with the idea of a single dominating economic system. Over the past 26 years, the Index has demonstrated that economic freedom is not a dogmatic ideology. It represents instead a philosophy that rejects dogma and embraces diverse and even competing strategies for economic advancement.","container-title":"2021 Index of Economic Freedom","language":"en","page":"11-18","publisher":"The Heritage Foundation","title":"The 12 Economic Freedoms: Policies for Lasting Economic Progress and Prosperity","URL":"https://www.heritage.org/index/pdf/2021/book/2021_IndexofEconomicFreedom_CHAPTER02.pdf","author":[{"family":"Miller","given":"Terry"},{"family":"Kim","given":"Anthony B."},{"family":"Roberts","given":"James M."}],"accessed":{"date-parts":[["2021",5,12]]},"issued":{"date-parts":[["2021"]]}}}],"schema":"https://github.com/citation-style-language/schema/raw/master/csl-citation.json"} </w:instrText>
      </w:r>
      <w:r w:rsidR="00252AB5" w:rsidRPr="00A07B6F">
        <w:rPr>
          <w:rFonts w:ascii="Times New Roman" w:hAnsi="Times New Roman" w:cs="Times New Roman"/>
          <w:sz w:val="24"/>
          <w:szCs w:val="24"/>
        </w:rPr>
        <w:fldChar w:fldCharType="separate"/>
      </w:r>
      <w:r w:rsidR="00252AB5" w:rsidRPr="00A07B6F">
        <w:rPr>
          <w:rFonts w:ascii="Times New Roman" w:hAnsi="Times New Roman" w:cs="Times New Roman"/>
          <w:sz w:val="24"/>
          <w:szCs w:val="24"/>
        </w:rPr>
        <w:t>(</w:t>
      </w:r>
      <w:r w:rsidR="003E41C2" w:rsidRPr="00B56229">
        <w:rPr>
          <w:rFonts w:ascii="Times New Roman" w:hAnsi="Times New Roman" w:cs="Times New Roman"/>
          <w:sz w:val="24"/>
          <w:szCs w:val="24"/>
        </w:rPr>
        <w:t>Miller et al., 2021</w:t>
      </w:r>
      <w:r w:rsidR="00252AB5" w:rsidRPr="00A07B6F">
        <w:rPr>
          <w:rFonts w:ascii="Times New Roman" w:hAnsi="Times New Roman" w:cs="Times New Roman"/>
          <w:sz w:val="24"/>
          <w:szCs w:val="24"/>
        </w:rPr>
        <w:t>)</w:t>
      </w:r>
      <w:r w:rsidR="00252AB5" w:rsidRPr="00A07B6F">
        <w:rPr>
          <w:rFonts w:ascii="Times New Roman" w:hAnsi="Times New Roman" w:cs="Times New Roman"/>
          <w:sz w:val="24"/>
          <w:szCs w:val="24"/>
        </w:rPr>
        <w:fldChar w:fldCharType="end"/>
      </w:r>
      <w:r w:rsidR="00252AB5" w:rsidRPr="00A07B6F">
        <w:rPr>
          <w:rFonts w:ascii="Times New Roman" w:hAnsi="Times New Roman" w:cs="Times New Roman"/>
          <w:sz w:val="24"/>
          <w:szCs w:val="24"/>
        </w:rPr>
        <w:t>.</w:t>
      </w:r>
      <w:r w:rsidR="00677891">
        <w:rPr>
          <w:rFonts w:ascii="Times New Roman" w:hAnsi="Times New Roman" w:cs="Times New Roman"/>
          <w:sz w:val="24"/>
          <w:szCs w:val="24"/>
        </w:rPr>
        <w:t xml:space="preserve"> The rule of law </w:t>
      </w:r>
      <w:r w:rsidR="00252AB5" w:rsidRPr="00A07B6F">
        <w:rPr>
          <w:rFonts w:ascii="Times New Roman" w:hAnsi="Times New Roman" w:cs="Times New Roman"/>
          <w:sz w:val="24"/>
          <w:szCs w:val="24"/>
        </w:rPr>
        <w:t xml:space="preserve">consists of government integrity, property rights, and judicial effectiveness </w:t>
      </w:r>
      <w:r w:rsidR="00252AB5" w:rsidRPr="00A07B6F">
        <w:rPr>
          <w:rFonts w:ascii="Times New Roman" w:hAnsi="Times New Roman" w:cs="Times New Roman"/>
          <w:sz w:val="24"/>
          <w:szCs w:val="24"/>
        </w:rPr>
        <w:fldChar w:fldCharType="begin"/>
      </w:r>
      <w:r w:rsidR="00A7079C">
        <w:rPr>
          <w:rFonts w:ascii="Times New Roman" w:hAnsi="Times New Roman" w:cs="Times New Roman"/>
          <w:sz w:val="24"/>
          <w:szCs w:val="24"/>
        </w:rPr>
        <w:instrText xml:space="preserve"> ADDIN ZOTERO_ITEM CSL_CITATION {"citationID":"qJ2oSNPy","properties":{"formattedCitation":"(T. Miller et al., 2021c)","plainCitation":"(T. Miller et al., 2021c)","dontUpdate":true,"noteIndex":0},"citationItems":[{"id":63,"uris":["http://zotero.org/users/5016855/items/6EWVCPXJ"],"itemData":{"id":63,"type":"chapter","abstract":"Each measured aspect of economic freedom has a significant effect on economic growth and prosperity. Policies that allow greater freedom in any of the areas measured tend to spur growth. Growth, in turn, is an essential element in generating more opportunities for people to advance themselves economically, thereby reducing poverty and building lasting prosperity.\nAs a vital component of human dignity, autonomy, and personal empowerment, economic freedom is valuable as an end itself. Just as important is the fact that economic freedom provides a proven formula for economic progress and success.\nEconomic freedom, however, is not a single\nsystem. The concept of freedom is incompatible in many respects with the idea of a single dominating economic system. Over the past 26 years, the Index has demonstrated that economic freedom is not a dogmatic ideology. It represents instead a philosophy that rejects dogma and embraces diverse and even competing strategies for economic advancement.","container-title":"2021 Index of Economic Freedom","language":"en","page":"11-18","publisher":"The Heritage Foundation","title":"The 12 Economic Freedoms: Policies for Lasting Economic Progress and Prosperity","URL":"https://www.heritage.org/index/pdf/2021/book/2021_IndexofEconomicFreedom_CHAPTER02.pdf","author":[{"family":"Miller","given":"Terry"},{"family":"Kim","given":"Anthony B."},{"family":"Roberts","given":"James M."}],"accessed":{"date-parts":[["2021",5,12]]},"issued":{"date-parts":[["2021"]]}}}],"schema":"https://github.com/citation-style-language/schema/raw/master/csl-citation.json"} </w:instrText>
      </w:r>
      <w:r w:rsidR="00252AB5" w:rsidRPr="00A07B6F">
        <w:rPr>
          <w:rFonts w:ascii="Times New Roman" w:hAnsi="Times New Roman" w:cs="Times New Roman"/>
          <w:sz w:val="24"/>
          <w:szCs w:val="24"/>
        </w:rPr>
        <w:fldChar w:fldCharType="separate"/>
      </w:r>
      <w:r w:rsidR="00252AB5" w:rsidRPr="00A07B6F">
        <w:rPr>
          <w:rFonts w:ascii="Times New Roman" w:hAnsi="Times New Roman" w:cs="Times New Roman"/>
          <w:sz w:val="24"/>
          <w:szCs w:val="24"/>
        </w:rPr>
        <w:t>(</w:t>
      </w:r>
      <w:r w:rsidR="003E41C2" w:rsidRPr="00B56229">
        <w:rPr>
          <w:rFonts w:ascii="Times New Roman" w:hAnsi="Times New Roman" w:cs="Times New Roman"/>
          <w:sz w:val="24"/>
          <w:szCs w:val="24"/>
        </w:rPr>
        <w:t>Miller et al., 2021</w:t>
      </w:r>
      <w:r w:rsidR="00252AB5" w:rsidRPr="00A07B6F">
        <w:rPr>
          <w:rFonts w:ascii="Times New Roman" w:hAnsi="Times New Roman" w:cs="Times New Roman"/>
          <w:sz w:val="24"/>
          <w:szCs w:val="24"/>
        </w:rPr>
        <w:t>)</w:t>
      </w:r>
      <w:r w:rsidR="00252AB5" w:rsidRPr="00A07B6F">
        <w:rPr>
          <w:rFonts w:ascii="Times New Roman" w:hAnsi="Times New Roman" w:cs="Times New Roman"/>
          <w:sz w:val="24"/>
          <w:szCs w:val="24"/>
        </w:rPr>
        <w:fldChar w:fldCharType="end"/>
      </w:r>
      <w:r w:rsidR="00252AB5" w:rsidRPr="00A07B6F">
        <w:rPr>
          <w:rFonts w:ascii="Times New Roman" w:hAnsi="Times New Roman" w:cs="Times New Roman"/>
          <w:sz w:val="24"/>
          <w:szCs w:val="24"/>
        </w:rPr>
        <w:t>.</w:t>
      </w:r>
      <w:r w:rsidR="00677891">
        <w:rPr>
          <w:rFonts w:ascii="Times New Roman" w:hAnsi="Times New Roman" w:cs="Times New Roman"/>
          <w:sz w:val="24"/>
          <w:szCs w:val="24"/>
        </w:rPr>
        <w:t xml:space="preserve"> Market openness is</w:t>
      </w:r>
      <w:r w:rsidR="00252AB5" w:rsidRPr="00A07B6F">
        <w:rPr>
          <w:rFonts w:ascii="Times New Roman" w:hAnsi="Times New Roman" w:cs="Times New Roman"/>
          <w:sz w:val="24"/>
          <w:szCs w:val="24"/>
        </w:rPr>
        <w:t xml:space="preserve"> </w:t>
      </w:r>
      <w:r w:rsidR="00677891">
        <w:rPr>
          <w:rFonts w:ascii="Times New Roman" w:hAnsi="Times New Roman" w:cs="Times New Roman"/>
          <w:sz w:val="24"/>
          <w:szCs w:val="24"/>
        </w:rPr>
        <w:t>m</w:t>
      </w:r>
      <w:r w:rsidR="00252AB5" w:rsidRPr="00A07B6F">
        <w:rPr>
          <w:rFonts w:ascii="Times New Roman" w:hAnsi="Times New Roman" w:cs="Times New Roman"/>
          <w:sz w:val="24"/>
          <w:szCs w:val="24"/>
        </w:rPr>
        <w:t xml:space="preserve">ade up of investment freedom, financial freedom, and trade freedom </w:t>
      </w:r>
      <w:r w:rsidR="00252AB5" w:rsidRPr="00A07B6F">
        <w:rPr>
          <w:rFonts w:ascii="Times New Roman" w:hAnsi="Times New Roman" w:cs="Times New Roman"/>
          <w:sz w:val="24"/>
          <w:szCs w:val="24"/>
        </w:rPr>
        <w:fldChar w:fldCharType="begin"/>
      </w:r>
      <w:r w:rsidR="00A7079C">
        <w:rPr>
          <w:rFonts w:ascii="Times New Roman" w:hAnsi="Times New Roman" w:cs="Times New Roman"/>
          <w:sz w:val="24"/>
          <w:szCs w:val="24"/>
        </w:rPr>
        <w:instrText xml:space="preserve"> ADDIN ZOTERO_ITEM CSL_CITATION {"citationID":"z4jK0G3G","properties":{"formattedCitation":"(T. Miller et al., 2021c)","plainCitation":"(T. Miller et al., 2021c)","dontUpdate":true,"noteIndex":0},"citationItems":[{"id":63,"uris":["http://zotero.org/users/5016855/items/6EWVCPXJ"],"itemData":{"id":63,"type":"chapter","abstract":"Each measured aspect of economic freedom has a significant effect on economic growth and prosperity. Policies that allow greater freedom in any of the areas measured tend to spur growth. Growth, in turn, is an essential element in generating more opportunities for people to advance themselves economically, thereby reducing poverty and building lasting prosperity.\nAs a vital component of human dignity, autonomy, and personal empowerment, economic freedom is valuable as an end itself. Just as important is the fact that economic freedom provides a proven formula for economic progress and success.\nEconomic freedom, however, is not a single\nsystem. The concept of freedom is incompatible in many respects with the idea of a single dominating economic system. Over the past 26 years, the Index has demonstrated that economic freedom is not a dogmatic ideology. It represents instead a philosophy that rejects dogma and embraces diverse and even competing strategies for economic advancement.","container-title":"2021 Index of Economic Freedom","language":"en","page":"11-18","publisher":"The Heritage Foundation","title":"The 12 Economic Freedoms: Policies for Lasting Economic Progress and Prosperity","URL":"https://www.heritage.org/index/pdf/2021/book/2021_IndexofEconomicFreedom_CHAPTER02.pdf","author":[{"family":"Miller","given":"Terry"},{"family":"Kim","given":"Anthony B."},{"family":"Roberts","given":"James M."}],"accessed":{"date-parts":[["2021",5,12]]},"issued":{"date-parts":[["2021"]]}}}],"schema":"https://github.com/citation-style-language/schema/raw/master/csl-citation.json"} </w:instrText>
      </w:r>
      <w:r w:rsidR="00252AB5" w:rsidRPr="00A07B6F">
        <w:rPr>
          <w:rFonts w:ascii="Times New Roman" w:hAnsi="Times New Roman" w:cs="Times New Roman"/>
          <w:sz w:val="24"/>
          <w:szCs w:val="24"/>
        </w:rPr>
        <w:fldChar w:fldCharType="separate"/>
      </w:r>
      <w:r w:rsidR="003E41C2" w:rsidRPr="003E41C2">
        <w:rPr>
          <w:rFonts w:ascii="Times New Roman" w:hAnsi="Times New Roman" w:cs="Times New Roman"/>
          <w:sz w:val="24"/>
          <w:szCs w:val="24"/>
        </w:rPr>
        <w:t xml:space="preserve"> </w:t>
      </w:r>
      <w:r w:rsidR="003E41C2" w:rsidRPr="00B56229">
        <w:rPr>
          <w:rFonts w:ascii="Times New Roman" w:hAnsi="Times New Roman" w:cs="Times New Roman"/>
          <w:sz w:val="24"/>
          <w:szCs w:val="24"/>
        </w:rPr>
        <w:t>Miller et al., 2021</w:t>
      </w:r>
      <w:r w:rsidR="00252AB5" w:rsidRPr="00A07B6F">
        <w:rPr>
          <w:rFonts w:ascii="Times New Roman" w:hAnsi="Times New Roman" w:cs="Times New Roman"/>
          <w:sz w:val="24"/>
          <w:szCs w:val="24"/>
        </w:rPr>
        <w:t>)</w:t>
      </w:r>
      <w:r w:rsidR="00252AB5" w:rsidRPr="00A07B6F">
        <w:rPr>
          <w:rFonts w:ascii="Times New Roman" w:hAnsi="Times New Roman" w:cs="Times New Roman"/>
          <w:sz w:val="24"/>
          <w:szCs w:val="24"/>
        </w:rPr>
        <w:fldChar w:fldCharType="end"/>
      </w:r>
      <w:r w:rsidR="00252AB5" w:rsidRPr="00A07B6F">
        <w:rPr>
          <w:rFonts w:ascii="Times New Roman" w:hAnsi="Times New Roman" w:cs="Times New Roman"/>
          <w:sz w:val="24"/>
          <w:szCs w:val="24"/>
        </w:rPr>
        <w:t>.</w:t>
      </w:r>
      <w:r w:rsidR="00677891">
        <w:rPr>
          <w:rFonts w:ascii="Times New Roman" w:hAnsi="Times New Roman" w:cs="Times New Roman"/>
          <w:sz w:val="24"/>
          <w:szCs w:val="24"/>
        </w:rPr>
        <w:t xml:space="preserve"> Regulatory efficiency </w:t>
      </w:r>
      <w:r w:rsidR="00252AB5" w:rsidRPr="00A07B6F">
        <w:rPr>
          <w:rFonts w:ascii="Times New Roman" w:hAnsi="Times New Roman" w:cs="Times New Roman"/>
          <w:sz w:val="24"/>
          <w:szCs w:val="24"/>
        </w:rPr>
        <w:t xml:space="preserve">relates to labor freedom, monetary freedom, as well as business freedom </w:t>
      </w:r>
      <w:r w:rsidR="00252AB5" w:rsidRPr="00A07B6F">
        <w:rPr>
          <w:rFonts w:ascii="Times New Roman" w:hAnsi="Times New Roman" w:cs="Times New Roman"/>
          <w:sz w:val="24"/>
          <w:szCs w:val="24"/>
        </w:rPr>
        <w:fldChar w:fldCharType="begin"/>
      </w:r>
      <w:r w:rsidR="00A7079C">
        <w:rPr>
          <w:rFonts w:ascii="Times New Roman" w:hAnsi="Times New Roman" w:cs="Times New Roman"/>
          <w:sz w:val="24"/>
          <w:szCs w:val="24"/>
        </w:rPr>
        <w:instrText xml:space="preserve"> ADDIN ZOTERO_ITEM CSL_CITATION {"citationID":"97CcOQD6","properties":{"formattedCitation":"(T. Miller et al., 2021c)","plainCitation":"(T. Miller et al., 2021c)","dontUpdate":true,"noteIndex":0},"citationItems":[{"id":63,"uris":["http://zotero.org/users/5016855/items/6EWVCPXJ"],"itemData":{"id":63,"type":"chapter","abstract":"Each measured aspect of economic freedom has a significant effect on economic growth and prosperity. Policies that allow greater freedom in any of the areas measured tend to spur growth. Growth, in turn, is an essential element in generating more opportunities for people to advance themselves economically, thereby reducing poverty and building lasting prosperity.\nAs a vital component of human dignity, autonomy, and personal empowerment, economic freedom is valuable as an end itself. Just as important is the fact that economic freedom provides a proven formula for economic progress and success.\nEconomic freedom, however, is not a single\nsystem. The concept of freedom is incompatible in many respects with the idea of a single dominating economic system. Over the past 26 years, the Index has demonstrated that economic freedom is not a dogmatic ideology. It represents instead a philosophy that rejects dogma and embraces diverse and even competing strategies for economic advancement.","container-title":"2021 Index of Economic Freedom","language":"en","page":"11-18","publisher":"The Heritage Foundation","title":"The 12 Economic Freedoms: Policies for Lasting Economic Progress and Prosperity","URL":"https://www.heritage.org/index/pdf/2021/book/2021_IndexofEconomicFreedom_CHAPTER02.pdf","author":[{"family":"Miller","given":"Terry"},{"family":"Kim","given":"Anthony B."},{"family":"Roberts","given":"James M."}],"accessed":{"date-parts":[["2021",5,12]]},"issued":{"date-parts":[["2021"]]}}}],"schema":"https://github.com/citation-style-language/schema/raw/master/csl-citation.json"} </w:instrText>
      </w:r>
      <w:r w:rsidR="00252AB5" w:rsidRPr="00A07B6F">
        <w:rPr>
          <w:rFonts w:ascii="Times New Roman" w:hAnsi="Times New Roman" w:cs="Times New Roman"/>
          <w:sz w:val="24"/>
          <w:szCs w:val="24"/>
        </w:rPr>
        <w:fldChar w:fldCharType="separate"/>
      </w:r>
      <w:r w:rsidR="00252AB5" w:rsidRPr="00A07B6F">
        <w:rPr>
          <w:rFonts w:ascii="Times New Roman" w:hAnsi="Times New Roman" w:cs="Times New Roman"/>
          <w:sz w:val="24"/>
          <w:szCs w:val="24"/>
        </w:rPr>
        <w:t>(</w:t>
      </w:r>
      <w:r w:rsidR="003E41C2" w:rsidRPr="00B56229">
        <w:rPr>
          <w:rFonts w:ascii="Times New Roman" w:hAnsi="Times New Roman" w:cs="Times New Roman"/>
          <w:sz w:val="24"/>
          <w:szCs w:val="24"/>
        </w:rPr>
        <w:t>Miller et al., 2021</w:t>
      </w:r>
      <w:r w:rsidR="00252AB5" w:rsidRPr="00A07B6F">
        <w:rPr>
          <w:rFonts w:ascii="Times New Roman" w:hAnsi="Times New Roman" w:cs="Times New Roman"/>
          <w:sz w:val="24"/>
          <w:szCs w:val="24"/>
        </w:rPr>
        <w:t>)</w:t>
      </w:r>
      <w:r w:rsidR="00252AB5" w:rsidRPr="00A07B6F">
        <w:rPr>
          <w:rFonts w:ascii="Times New Roman" w:hAnsi="Times New Roman" w:cs="Times New Roman"/>
          <w:sz w:val="24"/>
          <w:szCs w:val="24"/>
        </w:rPr>
        <w:fldChar w:fldCharType="end"/>
      </w:r>
      <w:r w:rsidR="00252AB5" w:rsidRPr="00A07B6F">
        <w:rPr>
          <w:rFonts w:ascii="Times New Roman" w:hAnsi="Times New Roman" w:cs="Times New Roman"/>
          <w:sz w:val="24"/>
          <w:szCs w:val="24"/>
        </w:rPr>
        <w:t>.</w:t>
      </w:r>
      <w:r w:rsidR="00677891">
        <w:rPr>
          <w:rFonts w:ascii="Times New Roman" w:hAnsi="Times New Roman" w:cs="Times New Roman"/>
          <w:sz w:val="24"/>
          <w:szCs w:val="24"/>
        </w:rPr>
        <w:t xml:space="preserve"> </w:t>
      </w:r>
      <w:r w:rsidR="00677891" w:rsidRPr="007460A7">
        <w:rPr>
          <w:rFonts w:ascii="Times New Roman" w:hAnsi="Times New Roman" w:cs="Times New Roman"/>
          <w:sz w:val="24"/>
          <w:szCs w:val="24"/>
        </w:rPr>
        <w:t xml:space="preserve">Higher values of </w:t>
      </w:r>
      <w:r w:rsidR="00677891">
        <w:rPr>
          <w:rFonts w:ascii="Times New Roman" w:hAnsi="Times New Roman" w:cs="Times New Roman"/>
          <w:sz w:val="24"/>
          <w:szCs w:val="24"/>
        </w:rPr>
        <w:t>IEF</w:t>
      </w:r>
      <w:r w:rsidR="00677891" w:rsidRPr="007460A7">
        <w:rPr>
          <w:rFonts w:ascii="Times New Roman" w:hAnsi="Times New Roman" w:cs="Times New Roman"/>
          <w:sz w:val="24"/>
          <w:szCs w:val="24"/>
        </w:rPr>
        <w:t xml:space="preserve"> </w:t>
      </w:r>
      <w:r w:rsidR="00FC5EF2">
        <w:rPr>
          <w:rFonts w:ascii="Times New Roman" w:hAnsi="Times New Roman" w:cs="Times New Roman"/>
          <w:sz w:val="24"/>
          <w:szCs w:val="24"/>
        </w:rPr>
        <w:t>are considered indicative of</w:t>
      </w:r>
      <w:r w:rsidR="00677891" w:rsidRPr="007460A7">
        <w:rPr>
          <w:rFonts w:ascii="Times New Roman" w:hAnsi="Times New Roman" w:cs="Times New Roman"/>
          <w:sz w:val="24"/>
          <w:szCs w:val="24"/>
        </w:rPr>
        <w:t xml:space="preserve"> </w:t>
      </w:r>
      <w:r w:rsidR="00FC5EF2">
        <w:rPr>
          <w:rFonts w:ascii="Times New Roman" w:hAnsi="Times New Roman" w:cs="Times New Roman"/>
          <w:sz w:val="24"/>
          <w:szCs w:val="24"/>
        </w:rPr>
        <w:t xml:space="preserve">more economically free societies which </w:t>
      </w:r>
      <w:r w:rsidR="00B56229">
        <w:rPr>
          <w:rFonts w:ascii="Times New Roman" w:hAnsi="Times New Roman" w:cs="Times New Roman"/>
          <w:sz w:val="24"/>
          <w:szCs w:val="24"/>
        </w:rPr>
        <w:t>is</w:t>
      </w:r>
      <w:r w:rsidR="00FC5EF2">
        <w:rPr>
          <w:rFonts w:ascii="Times New Roman" w:hAnsi="Times New Roman" w:cs="Times New Roman"/>
          <w:sz w:val="24"/>
          <w:szCs w:val="24"/>
        </w:rPr>
        <w:t xml:space="preserve"> </w:t>
      </w:r>
      <w:r w:rsidR="008C73EF">
        <w:rPr>
          <w:rFonts w:ascii="Times New Roman" w:hAnsi="Times New Roman" w:cs="Times New Roman"/>
          <w:sz w:val="24"/>
          <w:szCs w:val="24"/>
        </w:rPr>
        <w:t>essential</w:t>
      </w:r>
      <w:r w:rsidR="00FC5EF2">
        <w:rPr>
          <w:rFonts w:ascii="Times New Roman" w:hAnsi="Times New Roman" w:cs="Times New Roman"/>
          <w:sz w:val="24"/>
          <w:szCs w:val="24"/>
        </w:rPr>
        <w:t xml:space="preserve"> for continued economic progress and prosperity</w:t>
      </w:r>
      <w:r w:rsidR="00677891">
        <w:rPr>
          <w:rFonts w:ascii="Times New Roman" w:hAnsi="Times New Roman" w:cs="Times New Roman"/>
          <w:sz w:val="24"/>
          <w:szCs w:val="24"/>
        </w:rPr>
        <w:t xml:space="preserve"> </w:t>
      </w:r>
      <w:r w:rsidR="00B56229" w:rsidRPr="00B56229">
        <w:rPr>
          <w:rFonts w:ascii="Times New Roman" w:hAnsi="Times New Roman" w:cs="Times New Roman"/>
          <w:sz w:val="24"/>
          <w:szCs w:val="24"/>
        </w:rPr>
        <w:fldChar w:fldCharType="begin"/>
      </w:r>
      <w:r w:rsidR="00A7079C">
        <w:rPr>
          <w:rFonts w:ascii="Times New Roman" w:hAnsi="Times New Roman" w:cs="Times New Roman"/>
          <w:sz w:val="24"/>
          <w:szCs w:val="24"/>
        </w:rPr>
        <w:instrText xml:space="preserve"> ADDIN ZOTERO_ITEM CSL_CITATION {"citationID":"a1bjjr989hg","properties":{"formattedCitation":"(Miller et al., 2021c)","plainCitation":"(Miller et al., 2021c)","noteIndex":0},"citationItems":[{"id":63,"uris":["http://zotero.org/users/5016855/items/6EWVCPXJ"],"itemData":{"id":63,"type":"chapter","abstract":"Each measured aspect of economic freedom has a significant effect on economic growth and prosperity. Policies that allow greater freedom in any of the areas measured tend to spur growth. Growth, in turn, is an essential element in generating more opportunities for people to advance themselves economically, thereby reducing poverty and building lasting prosperity.\nAs a vital component of human dignity, autonomy, and personal empowerment, economic freedom is valuable as an end itself. Just as important is the fact that economic freedom provides a proven formula for economic progress and success.\nEconomic freedom, however, is not a single\nsystem. The concept of freedom is incompatible in many respects with the idea of a single dominating economic system. Over the past 26 years, the Index has demonstrated that economic freedom is not a dogmatic ideology. It represents instead a philosophy that rejects dogma and embraces diverse and even competing strategies for economic advancement.","container-title":"2021 Index of Economic Freedom","language":"en","page":"11-18","publisher":"The Heritage Foundation","title":"The 12 Economic Freedoms: Policies for Lasting Economic Progress and Prosperity","URL":"https://www.heritage.org/index/pdf/2021/book/2021_IndexofEconomicFreedom_CHAPTER02.pdf","author":[{"family":"Miller","given":"Terry"},{"family":"Kim","given":"Anthony B."},{"family":"Roberts","given":"James M."}],"accessed":{"date-parts":[["2021",5,12]]},"issued":{"date-parts":[["2021"]]}}}],"schema":"https://github.com/citation-style-language/schema/raw/master/csl-citation.json"} </w:instrText>
      </w:r>
      <w:r w:rsidR="00B56229" w:rsidRPr="00B56229">
        <w:rPr>
          <w:rFonts w:ascii="Times New Roman" w:hAnsi="Times New Roman" w:cs="Times New Roman"/>
          <w:sz w:val="24"/>
          <w:szCs w:val="24"/>
        </w:rPr>
        <w:fldChar w:fldCharType="separate"/>
      </w:r>
      <w:r w:rsidR="00A7079C" w:rsidRPr="00A7079C">
        <w:rPr>
          <w:rFonts w:ascii="Times New Roman" w:hAnsi="Times New Roman" w:cs="Times New Roman"/>
          <w:sz w:val="24"/>
          <w:szCs w:val="24"/>
        </w:rPr>
        <w:t>(Miller et al., 2021c)</w:t>
      </w:r>
      <w:r w:rsidR="00B56229" w:rsidRPr="00B56229">
        <w:rPr>
          <w:rFonts w:ascii="Times New Roman" w:hAnsi="Times New Roman" w:cs="Times New Roman"/>
          <w:sz w:val="24"/>
          <w:szCs w:val="24"/>
        </w:rPr>
        <w:fldChar w:fldCharType="end"/>
      </w:r>
      <w:r w:rsidR="007F111F">
        <w:rPr>
          <w:rFonts w:ascii="Times New Roman" w:hAnsi="Times New Roman" w:cs="Times New Roman"/>
          <w:sz w:val="24"/>
          <w:szCs w:val="24"/>
        </w:rPr>
        <w:t>.</w:t>
      </w:r>
    </w:p>
    <w:p w14:paraId="5B24EABD" w14:textId="0D493FF9" w:rsidR="002C65DA" w:rsidRPr="00925D78" w:rsidRDefault="00B464A5" w:rsidP="0068330F">
      <w:pPr>
        <w:pStyle w:val="Heading1"/>
        <w:spacing w:after="240" w:line="240" w:lineRule="auto"/>
        <w:rPr>
          <w:rFonts w:ascii="Times New Roman" w:hAnsi="Times New Roman" w:cs="Times New Roman"/>
          <w:b/>
          <w:bCs/>
          <w:color w:val="000000" w:themeColor="text1"/>
          <w:sz w:val="28"/>
          <w:szCs w:val="28"/>
        </w:rPr>
      </w:pPr>
      <w:bookmarkStart w:id="7" w:name="_Toc64618614"/>
      <w:bookmarkEnd w:id="6"/>
      <w:r w:rsidRPr="00925D78">
        <w:rPr>
          <w:rFonts w:ascii="Times New Roman" w:hAnsi="Times New Roman" w:cs="Times New Roman"/>
          <w:b/>
          <w:bCs/>
          <w:color w:val="000000" w:themeColor="text1"/>
          <w:sz w:val="28"/>
          <w:szCs w:val="28"/>
        </w:rPr>
        <w:lastRenderedPageBreak/>
        <w:t xml:space="preserve">Data and </w:t>
      </w:r>
      <w:r w:rsidR="002C65DA" w:rsidRPr="00925D78">
        <w:rPr>
          <w:rFonts w:ascii="Times New Roman" w:hAnsi="Times New Roman" w:cs="Times New Roman"/>
          <w:b/>
          <w:bCs/>
          <w:color w:val="000000" w:themeColor="text1"/>
          <w:sz w:val="28"/>
          <w:szCs w:val="28"/>
        </w:rPr>
        <w:t>Methodology</w:t>
      </w:r>
      <w:bookmarkEnd w:id="7"/>
    </w:p>
    <w:p w14:paraId="7D0B4EDB" w14:textId="6EA930EF" w:rsidR="00303FF8" w:rsidRDefault="00AF5C98" w:rsidP="0068330F">
      <w:pPr>
        <w:spacing w:line="240" w:lineRule="auto"/>
        <w:ind w:firstLine="720"/>
        <w:rPr>
          <w:rFonts w:ascii="Times New Roman" w:hAnsi="Times New Roman" w:cs="Times New Roman"/>
          <w:sz w:val="24"/>
          <w:szCs w:val="24"/>
        </w:rPr>
      </w:pPr>
      <w:r w:rsidRPr="00BE7613">
        <w:rPr>
          <w:rFonts w:ascii="Times New Roman" w:hAnsi="Times New Roman" w:cs="Times New Roman"/>
          <w:sz w:val="24"/>
          <w:szCs w:val="24"/>
        </w:rPr>
        <w:t xml:space="preserve">The data </w:t>
      </w:r>
      <w:r w:rsidR="00BE7613" w:rsidRPr="00BE7613">
        <w:rPr>
          <w:rFonts w:ascii="Times New Roman" w:hAnsi="Times New Roman" w:cs="Times New Roman"/>
          <w:sz w:val="24"/>
          <w:szCs w:val="24"/>
        </w:rPr>
        <w:t xml:space="preserve">utilized </w:t>
      </w:r>
      <w:proofErr w:type="gramStart"/>
      <w:r w:rsidR="00BE7613" w:rsidRPr="00BE7613">
        <w:rPr>
          <w:rFonts w:ascii="Times New Roman" w:hAnsi="Times New Roman" w:cs="Times New Roman"/>
          <w:sz w:val="24"/>
          <w:szCs w:val="24"/>
        </w:rPr>
        <w:t>were retrieved</w:t>
      </w:r>
      <w:proofErr w:type="gramEnd"/>
      <w:r w:rsidR="00BE7613" w:rsidRPr="00BE7613">
        <w:rPr>
          <w:rFonts w:ascii="Times New Roman" w:hAnsi="Times New Roman" w:cs="Times New Roman"/>
          <w:sz w:val="24"/>
          <w:szCs w:val="24"/>
        </w:rPr>
        <w:t xml:space="preserve"> from various databases</w:t>
      </w:r>
      <w:r w:rsidR="00BE7613">
        <w:rPr>
          <w:rFonts w:ascii="Times New Roman" w:hAnsi="Times New Roman" w:cs="Times New Roman"/>
          <w:sz w:val="24"/>
          <w:szCs w:val="24"/>
        </w:rPr>
        <w:t xml:space="preserve">. GDP and GNDI </w:t>
      </w:r>
      <w:proofErr w:type="gramStart"/>
      <w:r w:rsidR="00BE7613">
        <w:rPr>
          <w:rFonts w:ascii="Times New Roman" w:hAnsi="Times New Roman" w:cs="Times New Roman"/>
          <w:sz w:val="24"/>
          <w:szCs w:val="24"/>
        </w:rPr>
        <w:t xml:space="preserve">were </w:t>
      </w:r>
      <w:r w:rsidR="002104D9">
        <w:rPr>
          <w:rFonts w:ascii="Times New Roman" w:hAnsi="Times New Roman" w:cs="Times New Roman"/>
          <w:sz w:val="24"/>
          <w:szCs w:val="24"/>
        </w:rPr>
        <w:t>obtained</w:t>
      </w:r>
      <w:proofErr w:type="gramEnd"/>
      <w:r w:rsidR="002104D9">
        <w:rPr>
          <w:rFonts w:ascii="Times New Roman" w:hAnsi="Times New Roman" w:cs="Times New Roman"/>
          <w:sz w:val="24"/>
          <w:szCs w:val="24"/>
        </w:rPr>
        <w:t xml:space="preserve"> </w:t>
      </w:r>
      <w:r w:rsidR="00BE7613">
        <w:rPr>
          <w:rFonts w:ascii="Times New Roman" w:hAnsi="Times New Roman" w:cs="Times New Roman"/>
          <w:sz w:val="24"/>
          <w:szCs w:val="24"/>
        </w:rPr>
        <w:t xml:space="preserve">from </w:t>
      </w:r>
      <w:r w:rsidR="00BE7613" w:rsidRPr="00BE7613">
        <w:rPr>
          <w:rFonts w:ascii="Times New Roman" w:hAnsi="Times New Roman" w:cs="Times New Roman"/>
          <w:sz w:val="24"/>
          <w:szCs w:val="24"/>
        </w:rPr>
        <w:t xml:space="preserve">the Organization </w:t>
      </w:r>
      <w:r w:rsidR="00BE7613">
        <w:rPr>
          <w:rFonts w:ascii="Times New Roman" w:hAnsi="Times New Roman" w:cs="Times New Roman"/>
          <w:sz w:val="24"/>
          <w:szCs w:val="24"/>
        </w:rPr>
        <w:t>for</w:t>
      </w:r>
      <w:r w:rsidR="00BE7613" w:rsidRPr="00BE7613">
        <w:rPr>
          <w:rFonts w:ascii="Times New Roman" w:hAnsi="Times New Roman" w:cs="Times New Roman"/>
          <w:sz w:val="24"/>
          <w:szCs w:val="24"/>
        </w:rPr>
        <w:t xml:space="preserve"> Economic </w:t>
      </w:r>
      <w:r w:rsidR="00BE7613">
        <w:rPr>
          <w:rFonts w:ascii="Times New Roman" w:hAnsi="Times New Roman" w:cs="Times New Roman"/>
          <w:sz w:val="24"/>
          <w:szCs w:val="24"/>
        </w:rPr>
        <w:t xml:space="preserve">Cooperation and </w:t>
      </w:r>
      <w:r w:rsidR="00BE7613" w:rsidRPr="00BE7613">
        <w:rPr>
          <w:rFonts w:ascii="Times New Roman" w:hAnsi="Times New Roman" w:cs="Times New Roman"/>
          <w:sz w:val="24"/>
          <w:szCs w:val="24"/>
        </w:rPr>
        <w:t>Development (OECD)</w:t>
      </w:r>
      <w:r w:rsidR="00BE7613">
        <w:rPr>
          <w:rFonts w:ascii="Times New Roman" w:hAnsi="Times New Roman" w:cs="Times New Roman"/>
          <w:sz w:val="24"/>
          <w:szCs w:val="24"/>
        </w:rPr>
        <w:t xml:space="preserve">. HDI </w:t>
      </w:r>
      <w:proofErr w:type="gramStart"/>
      <w:r w:rsidR="00BE7613">
        <w:rPr>
          <w:rFonts w:ascii="Times New Roman" w:hAnsi="Times New Roman" w:cs="Times New Roman"/>
          <w:sz w:val="24"/>
          <w:szCs w:val="24"/>
        </w:rPr>
        <w:t>was extracted</w:t>
      </w:r>
      <w:proofErr w:type="gramEnd"/>
      <w:r w:rsidR="00BE7613">
        <w:rPr>
          <w:rFonts w:ascii="Times New Roman" w:hAnsi="Times New Roman" w:cs="Times New Roman"/>
          <w:sz w:val="24"/>
          <w:szCs w:val="24"/>
        </w:rPr>
        <w:t xml:space="preserve"> from the </w:t>
      </w:r>
      <w:r w:rsidR="00BE7613" w:rsidRPr="00BE7613">
        <w:rPr>
          <w:rFonts w:ascii="Times New Roman" w:hAnsi="Times New Roman" w:cs="Times New Roman"/>
          <w:sz w:val="24"/>
          <w:szCs w:val="24"/>
        </w:rPr>
        <w:t>UNDP</w:t>
      </w:r>
      <w:r w:rsidR="00BE7613">
        <w:rPr>
          <w:rFonts w:ascii="Times New Roman" w:hAnsi="Times New Roman" w:cs="Times New Roman"/>
          <w:sz w:val="24"/>
          <w:szCs w:val="24"/>
        </w:rPr>
        <w:t xml:space="preserve">. IEF </w:t>
      </w:r>
      <w:r w:rsidR="004D65C1">
        <w:rPr>
          <w:rFonts w:ascii="Times New Roman" w:hAnsi="Times New Roman" w:cs="Times New Roman"/>
          <w:sz w:val="24"/>
          <w:szCs w:val="24"/>
        </w:rPr>
        <w:t xml:space="preserve">data </w:t>
      </w:r>
      <w:proofErr w:type="gramStart"/>
      <w:r w:rsidR="00BE7613">
        <w:rPr>
          <w:rFonts w:ascii="Times New Roman" w:hAnsi="Times New Roman" w:cs="Times New Roman"/>
          <w:sz w:val="24"/>
          <w:szCs w:val="24"/>
        </w:rPr>
        <w:t xml:space="preserve">was </w:t>
      </w:r>
      <w:r w:rsidR="004D65C1">
        <w:rPr>
          <w:rFonts w:ascii="Times New Roman" w:hAnsi="Times New Roman" w:cs="Times New Roman"/>
          <w:sz w:val="24"/>
          <w:szCs w:val="24"/>
        </w:rPr>
        <w:t>obtained</w:t>
      </w:r>
      <w:proofErr w:type="gramEnd"/>
      <w:r w:rsidR="004D65C1">
        <w:rPr>
          <w:rFonts w:ascii="Times New Roman" w:hAnsi="Times New Roman" w:cs="Times New Roman"/>
          <w:sz w:val="24"/>
          <w:szCs w:val="24"/>
        </w:rPr>
        <w:t xml:space="preserve"> </w:t>
      </w:r>
      <w:r w:rsidR="00BE7613">
        <w:rPr>
          <w:rFonts w:ascii="Times New Roman" w:hAnsi="Times New Roman" w:cs="Times New Roman"/>
          <w:sz w:val="24"/>
          <w:szCs w:val="24"/>
        </w:rPr>
        <w:t xml:space="preserve">from the Heritage Foundation and population </w:t>
      </w:r>
      <w:r w:rsidR="003C0A8E">
        <w:rPr>
          <w:rFonts w:ascii="Times New Roman" w:hAnsi="Times New Roman" w:cs="Times New Roman"/>
          <w:sz w:val="24"/>
          <w:szCs w:val="24"/>
        </w:rPr>
        <w:t>[</w:t>
      </w:r>
      <w:r w:rsidR="00BE7613">
        <w:rPr>
          <w:rFonts w:ascii="Times New Roman" w:hAnsi="Times New Roman" w:cs="Times New Roman"/>
          <w:sz w:val="24"/>
          <w:szCs w:val="24"/>
        </w:rPr>
        <w:t>which was used to derive per capita GDP</w:t>
      </w:r>
      <w:r w:rsidR="003C0A8E">
        <w:rPr>
          <w:rFonts w:ascii="Times New Roman" w:hAnsi="Times New Roman" w:cs="Times New Roman"/>
          <w:sz w:val="24"/>
          <w:szCs w:val="24"/>
        </w:rPr>
        <w:t xml:space="preserve"> (GDPpc)</w:t>
      </w:r>
      <w:r w:rsidR="00BE7613">
        <w:rPr>
          <w:rFonts w:ascii="Times New Roman" w:hAnsi="Times New Roman" w:cs="Times New Roman"/>
          <w:sz w:val="24"/>
          <w:szCs w:val="24"/>
        </w:rPr>
        <w:t xml:space="preserve"> and GNDI</w:t>
      </w:r>
      <w:r w:rsidR="003C0A8E">
        <w:rPr>
          <w:rFonts w:ascii="Times New Roman" w:hAnsi="Times New Roman" w:cs="Times New Roman"/>
          <w:sz w:val="24"/>
          <w:szCs w:val="24"/>
        </w:rPr>
        <w:t xml:space="preserve"> (GNDIpc)]</w:t>
      </w:r>
      <w:r w:rsidR="00BE7613">
        <w:rPr>
          <w:rFonts w:ascii="Times New Roman" w:hAnsi="Times New Roman" w:cs="Times New Roman"/>
          <w:sz w:val="24"/>
          <w:szCs w:val="24"/>
        </w:rPr>
        <w:t xml:space="preserve"> was </w:t>
      </w:r>
      <w:r w:rsidR="004D65C1">
        <w:rPr>
          <w:rFonts w:ascii="Times New Roman" w:hAnsi="Times New Roman" w:cs="Times New Roman"/>
          <w:sz w:val="24"/>
          <w:szCs w:val="24"/>
        </w:rPr>
        <w:t xml:space="preserve">collected </w:t>
      </w:r>
      <w:r w:rsidR="00BE7613">
        <w:rPr>
          <w:rFonts w:ascii="Times New Roman" w:hAnsi="Times New Roman" w:cs="Times New Roman"/>
          <w:sz w:val="24"/>
          <w:szCs w:val="24"/>
        </w:rPr>
        <w:t xml:space="preserve">from the OECD. The time </w:t>
      </w:r>
      <w:r w:rsidR="004D65C1">
        <w:rPr>
          <w:rFonts w:ascii="Times New Roman" w:hAnsi="Times New Roman" w:cs="Times New Roman"/>
          <w:sz w:val="24"/>
          <w:szCs w:val="24"/>
        </w:rPr>
        <w:t>series period covered in this study was from 1995 - 2019.</w:t>
      </w:r>
    </w:p>
    <w:p w14:paraId="52DC056F" w14:textId="5DC95E8C" w:rsidR="00D9274E" w:rsidRDefault="005D364C" w:rsidP="0068330F">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Time series plots of the variables </w:t>
      </w:r>
      <w:proofErr w:type="gramStart"/>
      <w:r>
        <w:rPr>
          <w:rFonts w:ascii="Times New Roman" w:hAnsi="Times New Roman" w:cs="Times New Roman"/>
          <w:sz w:val="24"/>
          <w:szCs w:val="24"/>
        </w:rPr>
        <w:t>were generated</w:t>
      </w:r>
      <w:proofErr w:type="gramEnd"/>
      <w:r>
        <w:rPr>
          <w:rFonts w:ascii="Times New Roman" w:hAnsi="Times New Roman" w:cs="Times New Roman"/>
          <w:sz w:val="24"/>
          <w:szCs w:val="24"/>
        </w:rPr>
        <w:t xml:space="preserve"> to </w:t>
      </w:r>
      <w:r w:rsidR="001D4B8D">
        <w:rPr>
          <w:rFonts w:ascii="Times New Roman" w:hAnsi="Times New Roman" w:cs="Times New Roman"/>
          <w:sz w:val="24"/>
          <w:szCs w:val="24"/>
        </w:rPr>
        <w:t>visually assess the behavior and trend of the variables during the period evaluated.</w:t>
      </w:r>
      <w:r>
        <w:rPr>
          <w:rFonts w:ascii="Times New Roman" w:hAnsi="Times New Roman" w:cs="Times New Roman"/>
          <w:sz w:val="24"/>
          <w:szCs w:val="24"/>
        </w:rPr>
        <w:t xml:space="preserve"> T</w:t>
      </w:r>
      <w:r w:rsidR="009A1032">
        <w:rPr>
          <w:rFonts w:ascii="Times New Roman" w:hAnsi="Times New Roman" w:cs="Times New Roman"/>
          <w:sz w:val="24"/>
          <w:szCs w:val="24"/>
        </w:rPr>
        <w:t xml:space="preserve">he descriptive statistics of all the time series variables </w:t>
      </w:r>
      <w:proofErr w:type="gramStart"/>
      <w:r w:rsidR="009A1032">
        <w:rPr>
          <w:rFonts w:ascii="Times New Roman" w:hAnsi="Times New Roman" w:cs="Times New Roman"/>
          <w:sz w:val="24"/>
          <w:szCs w:val="24"/>
        </w:rPr>
        <w:t>were calculated</w:t>
      </w:r>
      <w:proofErr w:type="gramEnd"/>
      <w:r w:rsidR="009A1032">
        <w:rPr>
          <w:rFonts w:ascii="Times New Roman" w:hAnsi="Times New Roman" w:cs="Times New Roman"/>
          <w:sz w:val="24"/>
          <w:szCs w:val="24"/>
        </w:rPr>
        <w:t>, including the quantiles and measures of symmetry.</w:t>
      </w:r>
      <w:r w:rsidR="00005C61">
        <w:rPr>
          <w:rFonts w:ascii="Times New Roman" w:hAnsi="Times New Roman" w:cs="Times New Roman"/>
          <w:sz w:val="24"/>
          <w:szCs w:val="24"/>
        </w:rPr>
        <w:t xml:space="preserve"> Furthermore, the </w:t>
      </w:r>
      <w:r w:rsidR="00005C61">
        <w:rPr>
          <w:rFonts w:ascii="Times New Roman" w:hAnsi="Times New Roman" w:cs="Times New Roman"/>
          <w:color w:val="000000" w:themeColor="text1"/>
          <w:sz w:val="24"/>
          <w:szCs w:val="24"/>
        </w:rPr>
        <w:t>Augmented Dickey-Fuller (</w:t>
      </w:r>
      <w:r w:rsidR="00005C61" w:rsidRPr="00E31A5B">
        <w:rPr>
          <w:rFonts w:ascii="Times New Roman" w:hAnsi="Times New Roman" w:cs="Times New Roman"/>
          <w:color w:val="000000" w:themeColor="text1"/>
          <w:sz w:val="24"/>
          <w:szCs w:val="24"/>
        </w:rPr>
        <w:t>ADF</w:t>
      </w:r>
      <w:r w:rsidR="00005C61">
        <w:rPr>
          <w:rFonts w:ascii="Times New Roman" w:hAnsi="Times New Roman" w:cs="Times New Roman"/>
          <w:color w:val="000000" w:themeColor="text1"/>
          <w:sz w:val="24"/>
          <w:szCs w:val="24"/>
        </w:rPr>
        <w:t>)</w:t>
      </w:r>
      <w:r w:rsidR="00005C61" w:rsidRPr="00E31A5B">
        <w:rPr>
          <w:rFonts w:ascii="Times New Roman" w:hAnsi="Times New Roman" w:cs="Times New Roman"/>
          <w:color w:val="000000" w:themeColor="text1"/>
          <w:sz w:val="24"/>
          <w:szCs w:val="24"/>
        </w:rPr>
        <w:t xml:space="preserve"> </w:t>
      </w:r>
      <w:r w:rsidR="00005C61">
        <w:rPr>
          <w:rFonts w:ascii="Times New Roman" w:hAnsi="Times New Roman" w:cs="Times New Roman"/>
          <w:color w:val="000000" w:themeColor="text1"/>
          <w:sz w:val="24"/>
          <w:szCs w:val="24"/>
        </w:rPr>
        <w:t xml:space="preserve">test </w:t>
      </w:r>
      <w:proofErr w:type="gramStart"/>
      <w:r w:rsidR="00005C61">
        <w:rPr>
          <w:rFonts w:ascii="Times New Roman" w:hAnsi="Times New Roman" w:cs="Times New Roman"/>
          <w:color w:val="000000" w:themeColor="text1"/>
          <w:sz w:val="24"/>
          <w:szCs w:val="24"/>
        </w:rPr>
        <w:t>was run</w:t>
      </w:r>
      <w:proofErr w:type="gramEnd"/>
      <w:r w:rsidR="00005C61">
        <w:rPr>
          <w:rFonts w:ascii="Times New Roman" w:hAnsi="Times New Roman" w:cs="Times New Roman"/>
          <w:color w:val="000000" w:themeColor="text1"/>
          <w:sz w:val="24"/>
          <w:szCs w:val="24"/>
        </w:rPr>
        <w:t xml:space="preserve"> to assess the stationarity of both GDP and the BGDP measures</w:t>
      </w:r>
      <w:r w:rsidR="00A43B23">
        <w:rPr>
          <w:rFonts w:ascii="Times New Roman" w:hAnsi="Times New Roman" w:cs="Times New Roman"/>
          <w:color w:val="000000" w:themeColor="text1"/>
          <w:sz w:val="24"/>
          <w:szCs w:val="24"/>
        </w:rPr>
        <w:t xml:space="preserve"> </w:t>
      </w:r>
      <w:r w:rsidR="00B92F09">
        <w:rPr>
          <w:rFonts w:ascii="Times New Roman" w:hAnsi="Times New Roman" w:cs="Times New Roman"/>
          <w:color w:val="000000" w:themeColor="text1"/>
          <w:sz w:val="24"/>
          <w:szCs w:val="24"/>
        </w:rPr>
        <w:t>for the level and first difference of each variable.</w:t>
      </w:r>
      <w:r w:rsidR="000B366F">
        <w:rPr>
          <w:rFonts w:ascii="Times New Roman" w:hAnsi="Times New Roman" w:cs="Times New Roman"/>
          <w:color w:val="000000" w:themeColor="text1"/>
          <w:sz w:val="24"/>
          <w:szCs w:val="24"/>
        </w:rPr>
        <w:t xml:space="preserve"> </w:t>
      </w:r>
      <w:r w:rsidR="000B366F" w:rsidRPr="00E31A5B">
        <w:rPr>
          <w:rFonts w:ascii="Times New Roman" w:hAnsi="Times New Roman" w:cs="Times New Roman"/>
          <w:color w:val="000000" w:themeColor="text1"/>
          <w:sz w:val="24"/>
          <w:szCs w:val="24"/>
        </w:rPr>
        <w:t xml:space="preserve">The stationarity of the variables </w:t>
      </w:r>
      <w:r w:rsidR="000B366F">
        <w:rPr>
          <w:rFonts w:ascii="Times New Roman" w:hAnsi="Times New Roman" w:cs="Times New Roman"/>
          <w:color w:val="000000" w:themeColor="text1"/>
          <w:sz w:val="24"/>
          <w:szCs w:val="24"/>
        </w:rPr>
        <w:t xml:space="preserve">was </w:t>
      </w:r>
      <w:r w:rsidR="000B366F" w:rsidRPr="00E31A5B">
        <w:rPr>
          <w:rFonts w:ascii="Times New Roman" w:hAnsi="Times New Roman" w:cs="Times New Roman"/>
          <w:color w:val="000000" w:themeColor="text1"/>
          <w:sz w:val="24"/>
          <w:szCs w:val="24"/>
        </w:rPr>
        <w:t xml:space="preserve">determined by considering the ADF </w:t>
      </w:r>
      <w:proofErr w:type="gramStart"/>
      <w:r w:rsidR="000B366F" w:rsidRPr="00E31A5B">
        <w:rPr>
          <w:rFonts w:ascii="Times New Roman" w:hAnsi="Times New Roman" w:cs="Times New Roman"/>
          <w:color w:val="000000" w:themeColor="text1"/>
          <w:sz w:val="24"/>
          <w:szCs w:val="24"/>
        </w:rPr>
        <w:t>test</w:t>
      </w:r>
      <w:proofErr w:type="gramEnd"/>
      <w:r w:rsidR="000B366F" w:rsidRPr="00E31A5B">
        <w:rPr>
          <w:rFonts w:ascii="Times New Roman" w:hAnsi="Times New Roman" w:cs="Times New Roman"/>
          <w:color w:val="000000" w:themeColor="text1"/>
          <w:sz w:val="24"/>
          <w:szCs w:val="24"/>
        </w:rPr>
        <w:t xml:space="preserve"> asymptotic p-values</w:t>
      </w:r>
      <w:r w:rsidR="00294BBD">
        <w:rPr>
          <w:rFonts w:ascii="Times New Roman" w:hAnsi="Times New Roman" w:cs="Times New Roman"/>
          <w:color w:val="000000" w:themeColor="text1"/>
          <w:sz w:val="24"/>
          <w:szCs w:val="24"/>
        </w:rPr>
        <w:t>.</w:t>
      </w:r>
      <w:r w:rsidR="00D9274E">
        <w:rPr>
          <w:rFonts w:ascii="Times New Roman" w:hAnsi="Times New Roman" w:cs="Times New Roman"/>
          <w:color w:val="000000" w:themeColor="text1"/>
          <w:sz w:val="24"/>
          <w:szCs w:val="24"/>
        </w:rPr>
        <w:t xml:space="preserve"> </w:t>
      </w:r>
      <w:r w:rsidR="00A43B23">
        <w:rPr>
          <w:rFonts w:ascii="Times New Roman" w:hAnsi="Times New Roman" w:cs="Times New Roman"/>
          <w:color w:val="000000" w:themeColor="text1"/>
          <w:sz w:val="24"/>
          <w:szCs w:val="24"/>
        </w:rPr>
        <w:t xml:space="preserve">Johansen </w:t>
      </w:r>
      <w:r w:rsidR="007D2CE5">
        <w:rPr>
          <w:rFonts w:ascii="Times New Roman" w:hAnsi="Times New Roman" w:cs="Times New Roman"/>
          <w:color w:val="000000" w:themeColor="text1"/>
          <w:sz w:val="24"/>
          <w:szCs w:val="24"/>
        </w:rPr>
        <w:t>cointegration</w:t>
      </w:r>
      <w:r w:rsidR="00CD19F9">
        <w:rPr>
          <w:rFonts w:ascii="Times New Roman" w:hAnsi="Times New Roman" w:cs="Times New Roman"/>
          <w:color w:val="000000" w:themeColor="text1"/>
          <w:sz w:val="24"/>
          <w:szCs w:val="24"/>
        </w:rPr>
        <w:t xml:space="preserve"> (JC)</w:t>
      </w:r>
      <w:r w:rsidR="007D2CE5">
        <w:rPr>
          <w:rFonts w:ascii="Times New Roman" w:hAnsi="Times New Roman" w:cs="Times New Roman"/>
          <w:color w:val="000000" w:themeColor="text1"/>
          <w:sz w:val="24"/>
          <w:szCs w:val="24"/>
        </w:rPr>
        <w:t xml:space="preserve"> </w:t>
      </w:r>
      <w:r w:rsidR="00A43B23" w:rsidRPr="00E31A5B">
        <w:rPr>
          <w:rFonts w:ascii="Times New Roman" w:hAnsi="Times New Roman" w:cs="Times New Roman"/>
          <w:color w:val="000000" w:themeColor="text1"/>
          <w:sz w:val="24"/>
          <w:szCs w:val="24"/>
        </w:rPr>
        <w:t>tests</w:t>
      </w:r>
      <w:r w:rsidR="00A43B23">
        <w:rPr>
          <w:rFonts w:ascii="Times New Roman" w:hAnsi="Times New Roman" w:cs="Times New Roman"/>
          <w:color w:val="000000" w:themeColor="text1"/>
          <w:sz w:val="24"/>
          <w:szCs w:val="24"/>
        </w:rPr>
        <w:t xml:space="preserve"> </w:t>
      </w:r>
      <w:proofErr w:type="gramStart"/>
      <w:r w:rsidR="00A43B23">
        <w:rPr>
          <w:rFonts w:ascii="Times New Roman" w:hAnsi="Times New Roman" w:cs="Times New Roman"/>
          <w:color w:val="000000" w:themeColor="text1"/>
          <w:sz w:val="24"/>
          <w:szCs w:val="24"/>
        </w:rPr>
        <w:t>were run</w:t>
      </w:r>
      <w:proofErr w:type="gramEnd"/>
      <w:r w:rsidR="00A43B23">
        <w:rPr>
          <w:rFonts w:ascii="Times New Roman" w:hAnsi="Times New Roman" w:cs="Times New Roman"/>
          <w:color w:val="000000" w:themeColor="text1"/>
          <w:sz w:val="24"/>
          <w:szCs w:val="24"/>
        </w:rPr>
        <w:t xml:space="preserve"> to evaluate </w:t>
      </w:r>
      <w:r w:rsidR="00D83DBD">
        <w:rPr>
          <w:rFonts w:ascii="Times New Roman" w:hAnsi="Times New Roman" w:cs="Times New Roman"/>
          <w:color w:val="000000" w:themeColor="text1"/>
          <w:sz w:val="24"/>
          <w:szCs w:val="24"/>
        </w:rPr>
        <w:t>if</w:t>
      </w:r>
      <w:r w:rsidR="00A43B23">
        <w:rPr>
          <w:rFonts w:ascii="Times New Roman" w:hAnsi="Times New Roman" w:cs="Times New Roman"/>
          <w:color w:val="000000" w:themeColor="text1"/>
          <w:sz w:val="24"/>
          <w:szCs w:val="24"/>
        </w:rPr>
        <w:t xml:space="preserve"> the growth indicators</w:t>
      </w:r>
      <w:r w:rsidR="00D83DBD">
        <w:rPr>
          <w:rFonts w:ascii="Times New Roman" w:hAnsi="Times New Roman" w:cs="Times New Roman"/>
          <w:color w:val="000000" w:themeColor="text1"/>
          <w:sz w:val="24"/>
          <w:szCs w:val="24"/>
        </w:rPr>
        <w:t xml:space="preserve"> are cointegrated</w:t>
      </w:r>
      <w:r w:rsidR="00A43B23">
        <w:rPr>
          <w:rFonts w:ascii="Times New Roman" w:hAnsi="Times New Roman" w:cs="Times New Roman"/>
          <w:color w:val="000000" w:themeColor="text1"/>
          <w:sz w:val="24"/>
          <w:szCs w:val="24"/>
        </w:rPr>
        <w:t>.</w:t>
      </w:r>
    </w:p>
    <w:p w14:paraId="17F65638" w14:textId="7CF59DCB" w:rsidR="00D14055" w:rsidRPr="003B6C2E" w:rsidRDefault="000D1DE6" w:rsidP="0068330F">
      <w:pPr>
        <w:spacing w:line="240" w:lineRule="auto"/>
        <w:ind w:firstLine="720"/>
        <w:rPr>
          <w:rFonts w:ascii="Times New Roman" w:hAnsi="Times New Roman" w:cs="Times New Roman"/>
          <w:sz w:val="24"/>
          <w:szCs w:val="24"/>
          <w:highlight w:val="yellow"/>
        </w:rPr>
      </w:pPr>
      <w:r>
        <w:rPr>
          <w:rFonts w:ascii="Times New Roman" w:hAnsi="Times New Roman" w:cs="Times New Roman"/>
          <w:color w:val="000000" w:themeColor="text1"/>
          <w:sz w:val="24"/>
          <w:szCs w:val="24"/>
        </w:rPr>
        <w:t xml:space="preserve">Given the limited literature on the use of BGDP indices, the </w:t>
      </w:r>
      <w:r w:rsidR="00B92F09">
        <w:rPr>
          <w:rFonts w:ascii="Times New Roman" w:hAnsi="Times New Roman" w:cs="Times New Roman"/>
          <w:color w:val="000000" w:themeColor="text1"/>
          <w:sz w:val="24"/>
          <w:szCs w:val="24"/>
        </w:rPr>
        <w:t xml:space="preserve">tests </w:t>
      </w:r>
      <w:proofErr w:type="gramStart"/>
      <w:r w:rsidR="00B92F09">
        <w:rPr>
          <w:rFonts w:ascii="Times New Roman" w:hAnsi="Times New Roman" w:cs="Times New Roman"/>
          <w:color w:val="000000" w:themeColor="text1"/>
          <w:sz w:val="24"/>
          <w:szCs w:val="24"/>
        </w:rPr>
        <w:t>were performed</w:t>
      </w:r>
      <w:proofErr w:type="gramEnd"/>
      <w:r w:rsidR="00B92F09">
        <w:rPr>
          <w:rFonts w:ascii="Times New Roman" w:hAnsi="Times New Roman" w:cs="Times New Roman"/>
          <w:color w:val="000000" w:themeColor="text1"/>
          <w:sz w:val="24"/>
          <w:szCs w:val="24"/>
        </w:rPr>
        <w:t xml:space="preserve"> for multiple scenarios</w:t>
      </w:r>
      <w:r w:rsidR="00620877">
        <w:rPr>
          <w:rFonts w:ascii="Times New Roman" w:hAnsi="Times New Roman" w:cs="Times New Roman"/>
          <w:color w:val="000000" w:themeColor="text1"/>
          <w:sz w:val="24"/>
          <w:szCs w:val="24"/>
        </w:rPr>
        <w:t xml:space="preserve"> to gain a </w:t>
      </w:r>
      <w:r>
        <w:rPr>
          <w:rFonts w:ascii="Times New Roman" w:hAnsi="Times New Roman" w:cs="Times New Roman"/>
          <w:color w:val="000000" w:themeColor="text1"/>
          <w:sz w:val="24"/>
          <w:szCs w:val="24"/>
        </w:rPr>
        <w:t>broad</w:t>
      </w:r>
      <w:r w:rsidR="00620877">
        <w:rPr>
          <w:rFonts w:ascii="Times New Roman" w:hAnsi="Times New Roman" w:cs="Times New Roman"/>
          <w:color w:val="000000" w:themeColor="text1"/>
          <w:sz w:val="24"/>
          <w:szCs w:val="24"/>
        </w:rPr>
        <w:t xml:space="preserve"> perspective of the scenarios in which the growth measures</w:t>
      </w:r>
      <w:r w:rsidR="008E52A3">
        <w:rPr>
          <w:rFonts w:ascii="Times New Roman" w:hAnsi="Times New Roman" w:cs="Times New Roman"/>
          <w:color w:val="000000" w:themeColor="text1"/>
          <w:sz w:val="24"/>
          <w:szCs w:val="24"/>
        </w:rPr>
        <w:t>,</w:t>
      </w:r>
      <w:r w:rsidR="00620877">
        <w:rPr>
          <w:rFonts w:ascii="Times New Roman" w:hAnsi="Times New Roman" w:cs="Times New Roman"/>
          <w:color w:val="000000" w:themeColor="text1"/>
          <w:sz w:val="24"/>
          <w:szCs w:val="24"/>
        </w:rPr>
        <w:t xml:space="preserve"> when paired with each other</w:t>
      </w:r>
      <w:r w:rsidR="008E52A3">
        <w:rPr>
          <w:rFonts w:ascii="Times New Roman" w:hAnsi="Times New Roman" w:cs="Times New Roman"/>
          <w:color w:val="000000" w:themeColor="text1"/>
          <w:sz w:val="24"/>
          <w:szCs w:val="24"/>
        </w:rPr>
        <w:t>,</w:t>
      </w:r>
      <w:r w:rsidR="006208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could be cointegrated</w:t>
      </w:r>
      <w:r w:rsidR="00620877">
        <w:rPr>
          <w:rFonts w:ascii="Times New Roman" w:hAnsi="Times New Roman" w:cs="Times New Roman"/>
          <w:color w:val="000000" w:themeColor="text1"/>
          <w:sz w:val="24"/>
          <w:szCs w:val="24"/>
        </w:rPr>
        <w:t>.</w:t>
      </w:r>
      <w:r w:rsidR="009F3849">
        <w:rPr>
          <w:rFonts w:ascii="Times New Roman" w:hAnsi="Times New Roman" w:cs="Times New Roman"/>
          <w:color w:val="000000" w:themeColor="text1"/>
          <w:sz w:val="24"/>
          <w:szCs w:val="24"/>
        </w:rPr>
        <w:t xml:space="preserve"> </w:t>
      </w:r>
      <w:r w:rsidR="00A37EDC">
        <w:rPr>
          <w:rFonts w:ascii="Times New Roman" w:hAnsi="Times New Roman" w:cs="Times New Roman"/>
          <w:color w:val="000000" w:themeColor="text1"/>
          <w:sz w:val="24"/>
          <w:szCs w:val="24"/>
        </w:rPr>
        <w:t xml:space="preserve">The five scenarios </w:t>
      </w:r>
      <w:r w:rsidR="009B7CCF">
        <w:rPr>
          <w:rFonts w:ascii="Times New Roman" w:hAnsi="Times New Roman" w:cs="Times New Roman"/>
          <w:color w:val="000000" w:themeColor="text1"/>
          <w:sz w:val="24"/>
          <w:szCs w:val="24"/>
        </w:rPr>
        <w:t xml:space="preserve">evaluated </w:t>
      </w:r>
      <w:r w:rsidR="00A37EDC">
        <w:rPr>
          <w:rFonts w:ascii="Times New Roman" w:hAnsi="Times New Roman" w:cs="Times New Roman"/>
          <w:color w:val="000000" w:themeColor="text1"/>
          <w:sz w:val="24"/>
          <w:szCs w:val="24"/>
        </w:rPr>
        <w:t xml:space="preserve">are </w:t>
      </w:r>
      <w:r w:rsidR="00F76CA6">
        <w:rPr>
          <w:rFonts w:ascii="Times New Roman" w:hAnsi="Times New Roman" w:cs="Times New Roman"/>
          <w:color w:val="000000" w:themeColor="text1"/>
          <w:sz w:val="24"/>
          <w:szCs w:val="24"/>
        </w:rPr>
        <w:t xml:space="preserve">referred to as the </w:t>
      </w:r>
      <w:r w:rsidR="00A37EDC">
        <w:rPr>
          <w:rFonts w:ascii="Times New Roman" w:hAnsi="Times New Roman" w:cs="Times New Roman"/>
          <w:color w:val="000000" w:themeColor="text1"/>
          <w:sz w:val="24"/>
          <w:szCs w:val="24"/>
        </w:rPr>
        <w:t>“no constant</w:t>
      </w:r>
      <w:proofErr w:type="gramStart"/>
      <w:r w:rsidR="00A37EDC">
        <w:rPr>
          <w:rFonts w:ascii="Times New Roman" w:hAnsi="Times New Roman" w:cs="Times New Roman"/>
          <w:color w:val="000000" w:themeColor="text1"/>
          <w:sz w:val="24"/>
          <w:szCs w:val="24"/>
        </w:rPr>
        <w:t>”,</w:t>
      </w:r>
      <w:proofErr w:type="gramEnd"/>
      <w:r w:rsidR="00A37EDC">
        <w:rPr>
          <w:rFonts w:ascii="Times New Roman" w:hAnsi="Times New Roman" w:cs="Times New Roman"/>
          <w:color w:val="000000" w:themeColor="text1"/>
          <w:sz w:val="24"/>
          <w:szCs w:val="24"/>
        </w:rPr>
        <w:t xml:space="preserve"> “restricted constant”, “unrestricted constant”, </w:t>
      </w:r>
      <w:r w:rsidR="00CE16ED">
        <w:rPr>
          <w:rFonts w:ascii="Times New Roman" w:hAnsi="Times New Roman" w:cs="Times New Roman"/>
          <w:color w:val="000000" w:themeColor="text1"/>
          <w:sz w:val="24"/>
          <w:szCs w:val="24"/>
        </w:rPr>
        <w:t>“</w:t>
      </w:r>
      <w:r w:rsidR="00A37EDC">
        <w:rPr>
          <w:rFonts w:ascii="Times New Roman" w:hAnsi="Times New Roman" w:cs="Times New Roman"/>
          <w:color w:val="000000" w:themeColor="text1"/>
          <w:sz w:val="24"/>
          <w:szCs w:val="24"/>
        </w:rPr>
        <w:t>restricted trend</w:t>
      </w:r>
      <w:r w:rsidR="00CE16ED">
        <w:rPr>
          <w:rFonts w:ascii="Times New Roman" w:hAnsi="Times New Roman" w:cs="Times New Roman"/>
          <w:color w:val="000000" w:themeColor="text1"/>
          <w:sz w:val="24"/>
          <w:szCs w:val="24"/>
        </w:rPr>
        <w:t>”</w:t>
      </w:r>
      <w:r w:rsidR="00A37EDC">
        <w:rPr>
          <w:rFonts w:ascii="Times New Roman" w:hAnsi="Times New Roman" w:cs="Times New Roman"/>
          <w:color w:val="000000" w:themeColor="text1"/>
          <w:sz w:val="24"/>
          <w:szCs w:val="24"/>
        </w:rPr>
        <w:t xml:space="preserve">, and </w:t>
      </w:r>
      <w:r w:rsidR="00CE16ED">
        <w:rPr>
          <w:rFonts w:ascii="Times New Roman" w:hAnsi="Times New Roman" w:cs="Times New Roman"/>
          <w:color w:val="000000" w:themeColor="text1"/>
          <w:sz w:val="24"/>
          <w:szCs w:val="24"/>
        </w:rPr>
        <w:t>“</w:t>
      </w:r>
      <w:r w:rsidR="00A37EDC">
        <w:rPr>
          <w:rFonts w:ascii="Times New Roman" w:hAnsi="Times New Roman" w:cs="Times New Roman"/>
          <w:color w:val="000000" w:themeColor="text1"/>
          <w:sz w:val="24"/>
          <w:szCs w:val="24"/>
        </w:rPr>
        <w:t>unrestricted trend</w:t>
      </w:r>
      <w:r w:rsidR="00CE16ED">
        <w:rPr>
          <w:rFonts w:ascii="Times New Roman" w:hAnsi="Times New Roman" w:cs="Times New Roman"/>
          <w:color w:val="000000" w:themeColor="text1"/>
          <w:sz w:val="24"/>
          <w:szCs w:val="24"/>
        </w:rPr>
        <w:t>”</w:t>
      </w:r>
      <w:r w:rsidR="00F76CA6">
        <w:rPr>
          <w:rFonts w:ascii="Times New Roman" w:hAnsi="Times New Roman" w:cs="Times New Roman"/>
          <w:color w:val="000000" w:themeColor="text1"/>
          <w:sz w:val="24"/>
          <w:szCs w:val="24"/>
        </w:rPr>
        <w:t xml:space="preserve"> scenarios</w:t>
      </w:r>
      <w:r w:rsidR="00A37EDC">
        <w:rPr>
          <w:rFonts w:ascii="Times New Roman" w:hAnsi="Times New Roman" w:cs="Times New Roman"/>
          <w:color w:val="000000" w:themeColor="text1"/>
          <w:sz w:val="24"/>
          <w:szCs w:val="24"/>
        </w:rPr>
        <w:t xml:space="preserve">. </w:t>
      </w:r>
      <w:r w:rsidR="009F3849">
        <w:rPr>
          <w:rFonts w:ascii="Times New Roman" w:hAnsi="Times New Roman" w:cs="Times New Roman"/>
          <w:sz w:val="24"/>
          <w:szCs w:val="24"/>
        </w:rPr>
        <w:t xml:space="preserve">Vector autoregression (VAR) </w:t>
      </w:r>
      <w:proofErr w:type="gramStart"/>
      <w:r w:rsidR="009F3849">
        <w:rPr>
          <w:rFonts w:ascii="Times New Roman" w:hAnsi="Times New Roman" w:cs="Times New Roman"/>
          <w:sz w:val="24"/>
          <w:szCs w:val="24"/>
        </w:rPr>
        <w:t>was performed</w:t>
      </w:r>
      <w:proofErr w:type="gramEnd"/>
      <w:r w:rsidR="009F3849">
        <w:rPr>
          <w:rFonts w:ascii="Times New Roman" w:hAnsi="Times New Roman" w:cs="Times New Roman"/>
          <w:sz w:val="24"/>
          <w:szCs w:val="24"/>
        </w:rPr>
        <w:t xml:space="preserve"> to determine the optimal lag length used for the </w:t>
      </w:r>
      <w:r w:rsidR="000B366F">
        <w:rPr>
          <w:rFonts w:ascii="Times New Roman" w:hAnsi="Times New Roman" w:cs="Times New Roman"/>
          <w:sz w:val="24"/>
          <w:szCs w:val="24"/>
        </w:rPr>
        <w:t>cointegration tests.</w:t>
      </w:r>
    </w:p>
    <w:p w14:paraId="264610F7" w14:textId="56A9476C" w:rsidR="003B6C2E" w:rsidRPr="00B47FF7" w:rsidRDefault="003B6C2E" w:rsidP="0068330F">
      <w:pPr>
        <w:pStyle w:val="Heading1"/>
        <w:spacing w:after="240" w:line="240" w:lineRule="auto"/>
        <w:rPr>
          <w:rFonts w:ascii="Times New Roman" w:hAnsi="Times New Roman" w:cs="Times New Roman"/>
          <w:b/>
          <w:bCs/>
          <w:color w:val="000000" w:themeColor="text1"/>
          <w:sz w:val="28"/>
          <w:szCs w:val="28"/>
        </w:rPr>
      </w:pPr>
      <w:r w:rsidRPr="00B47FF7">
        <w:rPr>
          <w:rFonts w:ascii="Times New Roman" w:hAnsi="Times New Roman" w:cs="Times New Roman"/>
          <w:b/>
          <w:bCs/>
          <w:color w:val="000000" w:themeColor="text1"/>
          <w:sz w:val="28"/>
          <w:szCs w:val="28"/>
        </w:rPr>
        <w:t>Results</w:t>
      </w:r>
      <w:r w:rsidR="00A16B27">
        <w:rPr>
          <w:rFonts w:ascii="Times New Roman" w:hAnsi="Times New Roman" w:cs="Times New Roman"/>
          <w:b/>
          <w:bCs/>
          <w:color w:val="000000" w:themeColor="text1"/>
          <w:sz w:val="28"/>
          <w:szCs w:val="28"/>
        </w:rPr>
        <w:t xml:space="preserve"> and Discussion</w:t>
      </w:r>
    </w:p>
    <w:p w14:paraId="17DB9A55" w14:textId="51BC2BB1" w:rsidR="008B2DB0" w:rsidRDefault="003B6C2E" w:rsidP="0068330F">
      <w:pPr>
        <w:spacing w:line="240" w:lineRule="auto"/>
        <w:ind w:firstLine="720"/>
        <w:rPr>
          <w:rFonts w:ascii="Times New Roman" w:hAnsi="Times New Roman" w:cs="Times New Roman"/>
          <w:sz w:val="24"/>
          <w:szCs w:val="24"/>
        </w:rPr>
      </w:pPr>
      <w:r w:rsidRPr="003B6C2E">
        <w:rPr>
          <w:rFonts w:ascii="Times New Roman" w:hAnsi="Times New Roman" w:cs="Times New Roman"/>
          <w:sz w:val="24"/>
          <w:szCs w:val="24"/>
        </w:rPr>
        <w:t xml:space="preserve">The </w:t>
      </w:r>
      <w:r w:rsidR="00B47FF7">
        <w:rPr>
          <w:rFonts w:ascii="Times New Roman" w:hAnsi="Times New Roman" w:cs="Times New Roman"/>
          <w:sz w:val="24"/>
          <w:szCs w:val="24"/>
        </w:rPr>
        <w:t xml:space="preserve">time series plots </w:t>
      </w:r>
      <w:proofErr w:type="gramStart"/>
      <w:r w:rsidR="00E7512A">
        <w:rPr>
          <w:rFonts w:ascii="Times New Roman" w:hAnsi="Times New Roman" w:cs="Times New Roman"/>
          <w:sz w:val="24"/>
          <w:szCs w:val="24"/>
        </w:rPr>
        <w:t>are presented</w:t>
      </w:r>
      <w:proofErr w:type="gramEnd"/>
      <w:r w:rsidR="00E7512A">
        <w:rPr>
          <w:rFonts w:ascii="Times New Roman" w:hAnsi="Times New Roman" w:cs="Times New Roman"/>
          <w:sz w:val="24"/>
          <w:szCs w:val="24"/>
        </w:rPr>
        <w:t xml:space="preserve"> in Figures 1 and 2 by level and first difference, respectively. Tables 2 and 3 </w:t>
      </w:r>
      <w:r w:rsidR="00345320">
        <w:rPr>
          <w:rFonts w:ascii="Times New Roman" w:hAnsi="Times New Roman" w:cs="Times New Roman"/>
          <w:sz w:val="24"/>
          <w:szCs w:val="24"/>
        </w:rPr>
        <w:t>contain</w:t>
      </w:r>
      <w:r w:rsidR="00E7512A">
        <w:rPr>
          <w:rFonts w:ascii="Times New Roman" w:hAnsi="Times New Roman" w:cs="Times New Roman"/>
          <w:sz w:val="24"/>
          <w:szCs w:val="24"/>
        </w:rPr>
        <w:t xml:space="preserve"> the </w:t>
      </w:r>
      <w:r w:rsidR="007F64F5">
        <w:rPr>
          <w:rFonts w:ascii="Times New Roman" w:hAnsi="Times New Roman" w:cs="Times New Roman"/>
          <w:sz w:val="24"/>
          <w:szCs w:val="24"/>
        </w:rPr>
        <w:t xml:space="preserve">descriptive statistics, quantiles, and measures of symmetry. </w:t>
      </w:r>
      <w:r w:rsidR="00E7512A">
        <w:rPr>
          <w:rFonts w:ascii="Times New Roman" w:hAnsi="Times New Roman" w:cs="Times New Roman"/>
          <w:sz w:val="24"/>
          <w:szCs w:val="24"/>
        </w:rPr>
        <w:t xml:space="preserve">ADF </w:t>
      </w:r>
      <w:r w:rsidR="007F64F5">
        <w:rPr>
          <w:rFonts w:ascii="Times New Roman" w:hAnsi="Times New Roman" w:cs="Times New Roman"/>
          <w:sz w:val="24"/>
          <w:szCs w:val="24"/>
        </w:rPr>
        <w:t xml:space="preserve">unit root test results </w:t>
      </w:r>
      <w:proofErr w:type="gramStart"/>
      <w:r w:rsidR="007F64F5">
        <w:rPr>
          <w:rFonts w:ascii="Times New Roman" w:hAnsi="Times New Roman" w:cs="Times New Roman"/>
          <w:sz w:val="24"/>
          <w:szCs w:val="24"/>
        </w:rPr>
        <w:t>are shown</w:t>
      </w:r>
      <w:proofErr w:type="gramEnd"/>
      <w:r w:rsidR="007F64F5">
        <w:rPr>
          <w:rFonts w:ascii="Times New Roman" w:hAnsi="Times New Roman" w:cs="Times New Roman"/>
          <w:sz w:val="24"/>
          <w:szCs w:val="24"/>
        </w:rPr>
        <w:t xml:space="preserve"> in </w:t>
      </w:r>
      <w:r w:rsidR="00E7512A">
        <w:rPr>
          <w:rFonts w:ascii="Times New Roman" w:hAnsi="Times New Roman" w:cs="Times New Roman"/>
          <w:sz w:val="24"/>
          <w:szCs w:val="24"/>
        </w:rPr>
        <w:t xml:space="preserve">Table 4 </w:t>
      </w:r>
      <w:r w:rsidR="00BA5535">
        <w:rPr>
          <w:rFonts w:ascii="Times New Roman" w:hAnsi="Times New Roman" w:cs="Times New Roman"/>
          <w:sz w:val="24"/>
          <w:szCs w:val="24"/>
        </w:rPr>
        <w:t>while Figure 3 highlights the time series trends for paired growth measures</w:t>
      </w:r>
      <w:r w:rsidR="00003354">
        <w:rPr>
          <w:rFonts w:ascii="Times New Roman" w:hAnsi="Times New Roman" w:cs="Times New Roman"/>
          <w:sz w:val="24"/>
          <w:szCs w:val="24"/>
        </w:rPr>
        <w:t xml:space="preserve"> used to visually assess the co-movements of the variables. Results from vector autoregression (VAR) lag length selection </w:t>
      </w:r>
      <w:r w:rsidR="00345320">
        <w:rPr>
          <w:rFonts w:ascii="Times New Roman" w:hAnsi="Times New Roman" w:cs="Times New Roman"/>
          <w:sz w:val="24"/>
          <w:szCs w:val="24"/>
        </w:rPr>
        <w:t xml:space="preserve">for </w:t>
      </w:r>
      <w:r w:rsidR="004F3C55">
        <w:rPr>
          <w:rFonts w:ascii="Times New Roman" w:hAnsi="Times New Roman" w:cs="Times New Roman"/>
          <w:sz w:val="24"/>
          <w:szCs w:val="24"/>
        </w:rPr>
        <w:t>JC</w:t>
      </w:r>
      <w:r w:rsidR="00345320">
        <w:rPr>
          <w:rFonts w:ascii="Times New Roman" w:hAnsi="Times New Roman" w:cs="Times New Roman"/>
          <w:sz w:val="24"/>
          <w:szCs w:val="24"/>
        </w:rPr>
        <w:t xml:space="preserve"> testing </w:t>
      </w:r>
      <w:proofErr w:type="gramStart"/>
      <w:r w:rsidR="00345320">
        <w:rPr>
          <w:rFonts w:ascii="Times New Roman" w:hAnsi="Times New Roman" w:cs="Times New Roman"/>
          <w:sz w:val="24"/>
          <w:szCs w:val="24"/>
        </w:rPr>
        <w:t>are indicated</w:t>
      </w:r>
      <w:proofErr w:type="gramEnd"/>
      <w:r w:rsidR="00345320">
        <w:rPr>
          <w:rFonts w:ascii="Times New Roman" w:hAnsi="Times New Roman" w:cs="Times New Roman"/>
          <w:sz w:val="24"/>
          <w:szCs w:val="24"/>
        </w:rPr>
        <w:t xml:space="preserve"> in Table 5. </w:t>
      </w:r>
    </w:p>
    <w:p w14:paraId="7F410B49" w14:textId="4F414A21" w:rsidR="00E7512A" w:rsidRDefault="00345320" w:rsidP="0068330F">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Johansen test</w:t>
      </w:r>
      <w:r w:rsidR="000B366F">
        <w:rPr>
          <w:rFonts w:ascii="Times New Roman" w:hAnsi="Times New Roman" w:cs="Times New Roman"/>
          <w:sz w:val="24"/>
          <w:szCs w:val="24"/>
        </w:rPr>
        <w:t xml:space="preserve"> results </w:t>
      </w:r>
      <w:proofErr w:type="gramStart"/>
      <w:r w:rsidR="000B366F">
        <w:rPr>
          <w:rFonts w:ascii="Times New Roman" w:hAnsi="Times New Roman" w:cs="Times New Roman"/>
          <w:sz w:val="24"/>
          <w:szCs w:val="24"/>
        </w:rPr>
        <w:t>are</w:t>
      </w:r>
      <w:r>
        <w:rPr>
          <w:rFonts w:ascii="Times New Roman" w:hAnsi="Times New Roman" w:cs="Times New Roman"/>
          <w:sz w:val="24"/>
          <w:szCs w:val="24"/>
        </w:rPr>
        <w:t xml:space="preserve"> reported</w:t>
      </w:r>
      <w:proofErr w:type="gramEnd"/>
      <w:r w:rsidR="00003354">
        <w:rPr>
          <w:rFonts w:ascii="Times New Roman" w:hAnsi="Times New Roman" w:cs="Times New Roman"/>
          <w:sz w:val="24"/>
          <w:szCs w:val="24"/>
        </w:rPr>
        <w:t xml:space="preserve"> in </w:t>
      </w:r>
      <w:r w:rsidR="0033570E">
        <w:rPr>
          <w:rFonts w:ascii="Times New Roman" w:hAnsi="Times New Roman" w:cs="Times New Roman"/>
          <w:sz w:val="24"/>
          <w:szCs w:val="24"/>
        </w:rPr>
        <w:t xml:space="preserve">Tables </w:t>
      </w:r>
      <w:r w:rsidR="008B2DB0">
        <w:rPr>
          <w:rFonts w:ascii="Times New Roman" w:hAnsi="Times New Roman" w:cs="Times New Roman"/>
          <w:sz w:val="24"/>
          <w:szCs w:val="24"/>
        </w:rPr>
        <w:t xml:space="preserve">6 - 21. Tables 6 - 17 show the </w:t>
      </w:r>
      <w:r w:rsidR="004F3C55">
        <w:rPr>
          <w:rFonts w:ascii="Times New Roman" w:hAnsi="Times New Roman" w:cs="Times New Roman"/>
          <w:sz w:val="24"/>
          <w:szCs w:val="24"/>
        </w:rPr>
        <w:t>JC</w:t>
      </w:r>
      <w:r w:rsidR="008B2DB0">
        <w:rPr>
          <w:rFonts w:ascii="Times New Roman" w:hAnsi="Times New Roman" w:cs="Times New Roman"/>
          <w:sz w:val="24"/>
          <w:szCs w:val="24"/>
        </w:rPr>
        <w:t xml:space="preserve"> results</w:t>
      </w:r>
      <w:r w:rsidR="00003354">
        <w:rPr>
          <w:rFonts w:ascii="Times New Roman" w:hAnsi="Times New Roman" w:cs="Times New Roman"/>
          <w:sz w:val="24"/>
          <w:szCs w:val="24"/>
        </w:rPr>
        <w:t xml:space="preserve"> </w:t>
      </w:r>
      <w:r w:rsidR="008B2DB0">
        <w:rPr>
          <w:rFonts w:ascii="Times New Roman" w:hAnsi="Times New Roman" w:cs="Times New Roman"/>
          <w:sz w:val="24"/>
          <w:szCs w:val="24"/>
        </w:rPr>
        <w:t>for pairs of variables for the “unrestricted constant” and “unrestricted constant and trend” scenarios</w:t>
      </w:r>
      <w:r w:rsidR="007338D0">
        <w:rPr>
          <w:rFonts w:ascii="Times New Roman" w:hAnsi="Times New Roman" w:cs="Times New Roman"/>
          <w:sz w:val="24"/>
          <w:szCs w:val="24"/>
        </w:rPr>
        <w:t xml:space="preserve"> whose choice</w:t>
      </w:r>
      <w:r w:rsidR="008E52A3">
        <w:rPr>
          <w:rFonts w:ascii="Times New Roman" w:hAnsi="Times New Roman" w:cs="Times New Roman"/>
          <w:sz w:val="24"/>
          <w:szCs w:val="24"/>
        </w:rPr>
        <w:t>,</w:t>
      </w:r>
      <w:r w:rsidR="007338D0">
        <w:rPr>
          <w:rFonts w:ascii="Times New Roman" w:hAnsi="Times New Roman" w:cs="Times New Roman"/>
          <w:sz w:val="24"/>
          <w:szCs w:val="24"/>
        </w:rPr>
        <w:t xml:space="preserve"> </w:t>
      </w:r>
      <w:r w:rsidR="001423FE">
        <w:rPr>
          <w:rFonts w:ascii="Times New Roman" w:hAnsi="Times New Roman" w:cs="Times New Roman"/>
          <w:sz w:val="24"/>
          <w:szCs w:val="24"/>
        </w:rPr>
        <w:t>as the reference scenarios for detailed reporting</w:t>
      </w:r>
      <w:r w:rsidR="008E52A3">
        <w:rPr>
          <w:rFonts w:ascii="Times New Roman" w:hAnsi="Times New Roman" w:cs="Times New Roman"/>
          <w:sz w:val="24"/>
          <w:szCs w:val="24"/>
        </w:rPr>
        <w:t>,</w:t>
      </w:r>
      <w:r w:rsidR="001423FE">
        <w:rPr>
          <w:rFonts w:ascii="Times New Roman" w:hAnsi="Times New Roman" w:cs="Times New Roman"/>
          <w:sz w:val="24"/>
          <w:szCs w:val="24"/>
        </w:rPr>
        <w:t xml:space="preserve"> </w:t>
      </w:r>
      <w:proofErr w:type="gramStart"/>
      <w:r w:rsidR="007338D0">
        <w:rPr>
          <w:rFonts w:ascii="Times New Roman" w:hAnsi="Times New Roman" w:cs="Times New Roman"/>
          <w:sz w:val="24"/>
          <w:szCs w:val="24"/>
        </w:rPr>
        <w:t>was informed</w:t>
      </w:r>
      <w:proofErr w:type="gramEnd"/>
      <w:r w:rsidR="007338D0">
        <w:rPr>
          <w:rFonts w:ascii="Times New Roman" w:hAnsi="Times New Roman" w:cs="Times New Roman"/>
          <w:sz w:val="24"/>
          <w:szCs w:val="24"/>
        </w:rPr>
        <w:t xml:space="preserve"> by the visual observation of the time series behavior from the time series plots</w:t>
      </w:r>
      <w:r w:rsidR="004B2D44">
        <w:rPr>
          <w:rFonts w:ascii="Times New Roman" w:hAnsi="Times New Roman" w:cs="Times New Roman"/>
          <w:sz w:val="24"/>
          <w:szCs w:val="24"/>
        </w:rPr>
        <w:t xml:space="preserve"> (Figure 1)</w:t>
      </w:r>
      <w:r w:rsidR="008B2DB0">
        <w:rPr>
          <w:rFonts w:ascii="Times New Roman" w:hAnsi="Times New Roman" w:cs="Times New Roman"/>
          <w:sz w:val="24"/>
          <w:szCs w:val="24"/>
        </w:rPr>
        <w:t xml:space="preserve">. The results for all the scenarios evaluated </w:t>
      </w:r>
      <w:proofErr w:type="gramStart"/>
      <w:r w:rsidR="008B2DB0">
        <w:rPr>
          <w:rFonts w:ascii="Times New Roman" w:hAnsi="Times New Roman" w:cs="Times New Roman"/>
          <w:sz w:val="24"/>
          <w:szCs w:val="24"/>
        </w:rPr>
        <w:t>are summarized</w:t>
      </w:r>
      <w:proofErr w:type="gramEnd"/>
      <w:r w:rsidR="008B2DB0">
        <w:rPr>
          <w:rFonts w:ascii="Times New Roman" w:hAnsi="Times New Roman" w:cs="Times New Roman"/>
          <w:sz w:val="24"/>
          <w:szCs w:val="24"/>
        </w:rPr>
        <w:t xml:space="preserve"> in Table 18 - 20. Table 21</w:t>
      </w:r>
      <w:r w:rsidR="00A37EDC">
        <w:rPr>
          <w:rFonts w:ascii="Times New Roman" w:hAnsi="Times New Roman" w:cs="Times New Roman"/>
          <w:sz w:val="24"/>
          <w:szCs w:val="24"/>
        </w:rPr>
        <w:t xml:space="preserve"> contains a summary of the number of scenarios in which the pairs of growth variables exhibit cointegration.</w:t>
      </w:r>
    </w:p>
    <w:p w14:paraId="1A6C9060" w14:textId="77777777" w:rsidR="000076BC" w:rsidRDefault="000076BC" w:rsidP="0068330F">
      <w:pPr>
        <w:pStyle w:val="Figures"/>
        <w:spacing w:line="240" w:lineRule="auto"/>
        <w:rPr>
          <w:color w:val="000000" w:themeColor="text1"/>
        </w:rPr>
      </w:pPr>
      <w:bookmarkStart w:id="8" w:name="_Toc79598856"/>
    </w:p>
    <w:p w14:paraId="10828117" w14:textId="77777777" w:rsidR="0068330F" w:rsidRDefault="0068330F" w:rsidP="0068330F">
      <w:pPr>
        <w:pStyle w:val="Figures"/>
        <w:spacing w:line="240" w:lineRule="auto"/>
        <w:rPr>
          <w:color w:val="000000" w:themeColor="text1"/>
        </w:rPr>
      </w:pPr>
    </w:p>
    <w:p w14:paraId="64FD0E62" w14:textId="77777777" w:rsidR="0068330F" w:rsidRDefault="0068330F" w:rsidP="0068330F">
      <w:pPr>
        <w:pStyle w:val="Figures"/>
        <w:spacing w:line="240" w:lineRule="auto"/>
        <w:rPr>
          <w:color w:val="000000" w:themeColor="text1"/>
        </w:rPr>
      </w:pPr>
    </w:p>
    <w:p w14:paraId="1F098F38" w14:textId="77777777" w:rsidR="0068330F" w:rsidRDefault="0068330F" w:rsidP="0068330F">
      <w:pPr>
        <w:pStyle w:val="Figures"/>
        <w:spacing w:line="240" w:lineRule="auto"/>
        <w:rPr>
          <w:color w:val="000000" w:themeColor="text1"/>
        </w:rPr>
      </w:pPr>
    </w:p>
    <w:p w14:paraId="337BD322" w14:textId="77777777" w:rsidR="0068330F" w:rsidRDefault="0068330F" w:rsidP="0068330F">
      <w:pPr>
        <w:pStyle w:val="Figures"/>
        <w:spacing w:line="240" w:lineRule="auto"/>
        <w:rPr>
          <w:color w:val="000000" w:themeColor="text1"/>
        </w:rPr>
      </w:pPr>
    </w:p>
    <w:p w14:paraId="5ADBA8A2" w14:textId="77777777" w:rsidR="0068330F" w:rsidRDefault="0068330F" w:rsidP="0068330F">
      <w:pPr>
        <w:pStyle w:val="Figures"/>
        <w:spacing w:line="240" w:lineRule="auto"/>
        <w:rPr>
          <w:color w:val="000000" w:themeColor="text1"/>
        </w:rPr>
      </w:pPr>
    </w:p>
    <w:p w14:paraId="53EE5F74" w14:textId="77777777" w:rsidR="0068330F" w:rsidRDefault="0068330F" w:rsidP="0068330F">
      <w:pPr>
        <w:pStyle w:val="Figures"/>
        <w:spacing w:line="240" w:lineRule="auto"/>
        <w:rPr>
          <w:color w:val="000000" w:themeColor="text1"/>
        </w:rPr>
      </w:pPr>
    </w:p>
    <w:p w14:paraId="38718FDE" w14:textId="77777777" w:rsidR="0068330F" w:rsidRDefault="0068330F" w:rsidP="0068330F">
      <w:pPr>
        <w:pStyle w:val="Figures"/>
        <w:spacing w:line="240" w:lineRule="auto"/>
        <w:rPr>
          <w:color w:val="000000" w:themeColor="text1"/>
        </w:rPr>
      </w:pPr>
    </w:p>
    <w:p w14:paraId="2D97A87F" w14:textId="77777777" w:rsidR="0068330F" w:rsidRDefault="0068330F" w:rsidP="0068330F">
      <w:pPr>
        <w:pStyle w:val="Figures"/>
        <w:spacing w:line="240" w:lineRule="auto"/>
        <w:rPr>
          <w:color w:val="000000" w:themeColor="text1"/>
        </w:rPr>
      </w:pPr>
    </w:p>
    <w:p w14:paraId="16B9AB25" w14:textId="77A91BAD" w:rsidR="00462BBF" w:rsidRPr="00E31A5B" w:rsidRDefault="00462BBF" w:rsidP="0068330F">
      <w:pPr>
        <w:pStyle w:val="Figures"/>
        <w:spacing w:line="240" w:lineRule="auto"/>
        <w:rPr>
          <w:color w:val="000000" w:themeColor="text1"/>
        </w:rPr>
      </w:pPr>
      <w:r w:rsidRPr="00E7512A">
        <w:rPr>
          <w:color w:val="000000" w:themeColor="text1"/>
        </w:rPr>
        <w:lastRenderedPageBreak/>
        <w:t>Figure 1</w:t>
      </w:r>
      <w:bookmarkEnd w:id="8"/>
      <w:r w:rsidRPr="00E31A5B">
        <w:rPr>
          <w:color w:val="000000" w:themeColor="text1"/>
        </w:rPr>
        <w:t xml:space="preserve"> </w:t>
      </w:r>
    </w:p>
    <w:p w14:paraId="6BE76A81" w14:textId="77777777" w:rsidR="00462BBF" w:rsidRPr="00E31A5B" w:rsidRDefault="00462BBF" w:rsidP="0068330F">
      <w:pPr>
        <w:pStyle w:val="Figures"/>
        <w:spacing w:line="240" w:lineRule="auto"/>
        <w:rPr>
          <w:b w:val="0"/>
          <w:bCs w:val="0"/>
          <w:i/>
          <w:iCs/>
          <w:color w:val="000000" w:themeColor="text1"/>
        </w:rPr>
      </w:pPr>
      <w:bookmarkStart w:id="9" w:name="_Toc79598857"/>
      <w:r w:rsidRPr="00E31A5B">
        <w:rPr>
          <w:b w:val="0"/>
          <w:bCs w:val="0"/>
          <w:i/>
          <w:iCs/>
          <w:color w:val="000000" w:themeColor="text1"/>
        </w:rPr>
        <w:t>Time series plot by level.</w:t>
      </w:r>
      <w:bookmarkEnd w:id="9"/>
    </w:p>
    <w:p w14:paraId="27EDBC51" w14:textId="5063A49F" w:rsidR="00462BBF" w:rsidRPr="00E31A5B" w:rsidRDefault="000F6541" w:rsidP="0068330F">
      <w:pPr>
        <w:spacing w:line="240" w:lineRule="auto"/>
        <w:rPr>
          <w:color w:val="000000" w:themeColor="text1"/>
        </w:rPr>
      </w:pPr>
      <w:r w:rsidRPr="000F6541">
        <w:rPr>
          <w:noProof/>
        </w:rPr>
        <w:drawing>
          <wp:inline distT="0" distB="0" distL="0" distR="0" wp14:anchorId="6B2AF398" wp14:editId="6BC9E58C">
            <wp:extent cx="3717985" cy="4143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9212" cy="4144847"/>
                    </a:xfrm>
                    <a:prstGeom prst="rect">
                      <a:avLst/>
                    </a:prstGeom>
                    <a:noFill/>
                    <a:ln>
                      <a:noFill/>
                    </a:ln>
                  </pic:spPr>
                </pic:pic>
              </a:graphicData>
            </a:graphic>
          </wp:inline>
        </w:drawing>
      </w:r>
      <w:r w:rsidR="00462BBF" w:rsidRPr="00E31A5B">
        <w:rPr>
          <w:color w:val="000000" w:themeColor="text1"/>
        </w:rPr>
        <w:br w:type="page"/>
      </w:r>
    </w:p>
    <w:p w14:paraId="665E472A" w14:textId="3F8E0302" w:rsidR="00462BBF" w:rsidRPr="00E31A5B" w:rsidRDefault="00462BBF" w:rsidP="0068330F">
      <w:pPr>
        <w:pStyle w:val="Figures"/>
        <w:spacing w:before="240" w:line="240" w:lineRule="auto"/>
        <w:rPr>
          <w:color w:val="000000" w:themeColor="text1"/>
        </w:rPr>
      </w:pPr>
      <w:bookmarkStart w:id="10" w:name="_Toc79598858"/>
      <w:r w:rsidRPr="00E7512A">
        <w:rPr>
          <w:color w:val="000000" w:themeColor="text1"/>
        </w:rPr>
        <w:lastRenderedPageBreak/>
        <w:t>Figure 2</w:t>
      </w:r>
      <w:bookmarkEnd w:id="10"/>
      <w:r w:rsidRPr="00E31A5B">
        <w:rPr>
          <w:color w:val="000000" w:themeColor="text1"/>
        </w:rPr>
        <w:t xml:space="preserve"> </w:t>
      </w:r>
    </w:p>
    <w:p w14:paraId="49DD0AFF" w14:textId="77777777" w:rsidR="00462BBF" w:rsidRPr="00E31A5B" w:rsidRDefault="00462BBF" w:rsidP="0068330F">
      <w:pPr>
        <w:pStyle w:val="Figures"/>
        <w:spacing w:line="240" w:lineRule="auto"/>
        <w:rPr>
          <w:b w:val="0"/>
          <w:bCs w:val="0"/>
          <w:i/>
          <w:iCs/>
          <w:color w:val="000000" w:themeColor="text1"/>
        </w:rPr>
      </w:pPr>
      <w:bookmarkStart w:id="11" w:name="_Toc79598859"/>
      <w:r w:rsidRPr="00E31A5B">
        <w:rPr>
          <w:b w:val="0"/>
          <w:bCs w:val="0"/>
          <w:i/>
          <w:iCs/>
          <w:color w:val="000000" w:themeColor="text1"/>
        </w:rPr>
        <w:t>First difference (growth level) time series plots.</w:t>
      </w:r>
      <w:bookmarkEnd w:id="11"/>
    </w:p>
    <w:p w14:paraId="3FFBB254" w14:textId="12A88D61" w:rsidR="00462BBF" w:rsidRPr="00E31A5B" w:rsidRDefault="000F6541" w:rsidP="0068330F">
      <w:pPr>
        <w:spacing w:after="0" w:line="240" w:lineRule="auto"/>
        <w:rPr>
          <w:color w:val="000000" w:themeColor="text1"/>
        </w:rPr>
      </w:pPr>
      <w:r w:rsidRPr="000F6541">
        <w:rPr>
          <w:noProof/>
        </w:rPr>
        <w:drawing>
          <wp:inline distT="0" distB="0" distL="0" distR="0" wp14:anchorId="73D1FB85" wp14:editId="467AB5E9">
            <wp:extent cx="4059936" cy="41879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59936" cy="4187952"/>
                    </a:xfrm>
                    <a:prstGeom prst="rect">
                      <a:avLst/>
                    </a:prstGeom>
                    <a:noFill/>
                    <a:ln>
                      <a:noFill/>
                    </a:ln>
                  </pic:spPr>
                </pic:pic>
              </a:graphicData>
            </a:graphic>
          </wp:inline>
        </w:drawing>
      </w:r>
    </w:p>
    <w:p w14:paraId="78AABF41" w14:textId="1585FC6E" w:rsidR="00EA7F91" w:rsidRPr="00E31A5B" w:rsidRDefault="00EA7F91" w:rsidP="0068330F">
      <w:pPr>
        <w:pStyle w:val="MyTables"/>
        <w:spacing w:before="240"/>
      </w:pPr>
      <w:bookmarkStart w:id="12" w:name="_Toc79604480"/>
      <w:bookmarkStart w:id="13" w:name="_Toc85149351"/>
      <w:r w:rsidRPr="007F64F5">
        <w:t xml:space="preserve">Table </w:t>
      </w:r>
      <w:bookmarkEnd w:id="12"/>
      <w:r w:rsidR="00005C61" w:rsidRPr="007F64F5">
        <w:t>2</w:t>
      </w:r>
      <w:r w:rsidRPr="00E31A5B">
        <w:t xml:space="preserve"> </w:t>
      </w:r>
    </w:p>
    <w:p w14:paraId="4978253C" w14:textId="37EC5C6E" w:rsidR="00EA7F91" w:rsidRPr="00D53689" w:rsidRDefault="00EA7F91" w:rsidP="0068330F">
      <w:pPr>
        <w:pStyle w:val="MyTables"/>
        <w:rPr>
          <w:rFonts w:cs="Times New Roman"/>
          <w:b w:val="0"/>
          <w:bCs w:val="0"/>
          <w:i/>
          <w:szCs w:val="24"/>
        </w:rPr>
      </w:pPr>
      <w:bookmarkStart w:id="14" w:name="_Toc79604481"/>
      <w:r w:rsidRPr="00D53689">
        <w:rPr>
          <w:rFonts w:cs="Times New Roman"/>
          <w:b w:val="0"/>
          <w:bCs w:val="0"/>
          <w:i/>
          <w:szCs w:val="24"/>
        </w:rPr>
        <w:t>Summary Statistics of Canada’s Population, GDP, and BGDP indices.</w:t>
      </w:r>
      <w:bookmarkEnd w:id="14"/>
    </w:p>
    <w:tbl>
      <w:tblPr>
        <w:tblW w:w="9805" w:type="dxa"/>
        <w:tblLayout w:type="fixed"/>
        <w:tblLook w:val="04A0" w:firstRow="1" w:lastRow="0" w:firstColumn="1" w:lastColumn="0" w:noHBand="0" w:noVBand="1"/>
      </w:tblPr>
      <w:tblGrid>
        <w:gridCol w:w="1345"/>
        <w:gridCol w:w="1080"/>
        <w:gridCol w:w="1080"/>
        <w:gridCol w:w="1260"/>
        <w:gridCol w:w="1260"/>
        <w:gridCol w:w="1350"/>
        <w:gridCol w:w="1710"/>
        <w:gridCol w:w="720"/>
      </w:tblGrid>
      <w:tr w:rsidR="00EA7F91" w:rsidRPr="00E31A5B" w14:paraId="64623E3E" w14:textId="77777777" w:rsidTr="00C71830">
        <w:trPr>
          <w:trHeight w:val="570"/>
        </w:trPr>
        <w:tc>
          <w:tcPr>
            <w:tcW w:w="1345" w:type="dxa"/>
            <w:tcBorders>
              <w:top w:val="single" w:sz="4" w:space="0" w:color="auto"/>
              <w:left w:val="single" w:sz="4" w:space="0" w:color="auto"/>
              <w:bottom w:val="nil"/>
              <w:right w:val="nil"/>
            </w:tcBorders>
            <w:shd w:val="clear" w:color="auto" w:fill="auto"/>
            <w:vAlign w:val="center"/>
            <w:hideMark/>
          </w:tcPr>
          <w:p w14:paraId="21395C1F" w14:textId="77777777" w:rsidR="00EA7F91" w:rsidRPr="00E31A5B" w:rsidRDefault="00EA7F91" w:rsidP="0068330F">
            <w:pPr>
              <w:spacing w:after="0" w:line="240" w:lineRule="auto"/>
              <w:rPr>
                <w:rFonts w:ascii="Times New Roman" w:eastAsia="Times New Roman" w:hAnsi="Times New Roman" w:cs="Times New Roman"/>
                <w:b/>
                <w:bCs/>
                <w:color w:val="000000" w:themeColor="text1"/>
                <w:sz w:val="23"/>
                <w:szCs w:val="23"/>
              </w:rPr>
            </w:pPr>
            <w:r w:rsidRPr="00E31A5B">
              <w:rPr>
                <w:rFonts w:ascii="Times New Roman" w:eastAsia="Times New Roman" w:hAnsi="Times New Roman" w:cs="Times New Roman"/>
                <w:b/>
                <w:bCs/>
                <w:color w:val="000000" w:themeColor="text1"/>
                <w:sz w:val="23"/>
                <w:szCs w:val="23"/>
              </w:rPr>
              <w:t>Variable</w:t>
            </w:r>
          </w:p>
        </w:tc>
        <w:tc>
          <w:tcPr>
            <w:tcW w:w="1080" w:type="dxa"/>
            <w:tcBorders>
              <w:top w:val="single" w:sz="4" w:space="0" w:color="auto"/>
              <w:left w:val="nil"/>
              <w:bottom w:val="nil"/>
              <w:right w:val="nil"/>
            </w:tcBorders>
            <w:shd w:val="clear" w:color="auto" w:fill="auto"/>
            <w:vAlign w:val="center"/>
            <w:hideMark/>
          </w:tcPr>
          <w:p w14:paraId="308FC543" w14:textId="77777777" w:rsidR="00EA7F91" w:rsidRPr="00E31A5B" w:rsidRDefault="00EA7F91" w:rsidP="0068330F">
            <w:pPr>
              <w:spacing w:after="0" w:line="240" w:lineRule="auto"/>
              <w:jc w:val="center"/>
              <w:rPr>
                <w:rFonts w:ascii="Times New Roman" w:eastAsia="Times New Roman" w:hAnsi="Times New Roman" w:cs="Times New Roman"/>
                <w:b/>
                <w:bCs/>
                <w:color w:val="000000" w:themeColor="text1"/>
                <w:sz w:val="23"/>
                <w:szCs w:val="23"/>
              </w:rPr>
            </w:pPr>
            <w:r w:rsidRPr="00E31A5B">
              <w:rPr>
                <w:rFonts w:ascii="Times New Roman" w:hAnsi="Times New Roman" w:cs="Times New Roman"/>
                <w:b/>
                <w:bCs/>
                <w:color w:val="000000" w:themeColor="text1"/>
                <w:sz w:val="23"/>
                <w:szCs w:val="23"/>
              </w:rPr>
              <w:t>Mean</w:t>
            </w:r>
          </w:p>
        </w:tc>
        <w:tc>
          <w:tcPr>
            <w:tcW w:w="1080" w:type="dxa"/>
            <w:tcBorders>
              <w:top w:val="single" w:sz="4" w:space="0" w:color="auto"/>
              <w:left w:val="nil"/>
              <w:bottom w:val="nil"/>
              <w:right w:val="nil"/>
            </w:tcBorders>
            <w:shd w:val="clear" w:color="auto" w:fill="auto"/>
            <w:vAlign w:val="center"/>
            <w:hideMark/>
          </w:tcPr>
          <w:p w14:paraId="168F776E" w14:textId="77777777" w:rsidR="00EA7F91" w:rsidRPr="00E31A5B" w:rsidRDefault="00EA7F91" w:rsidP="0068330F">
            <w:pPr>
              <w:spacing w:after="0" w:line="240" w:lineRule="auto"/>
              <w:jc w:val="center"/>
              <w:rPr>
                <w:rFonts w:ascii="Times New Roman" w:eastAsia="Times New Roman" w:hAnsi="Times New Roman" w:cs="Times New Roman"/>
                <w:b/>
                <w:bCs/>
                <w:color w:val="000000" w:themeColor="text1"/>
                <w:sz w:val="23"/>
                <w:szCs w:val="23"/>
              </w:rPr>
            </w:pPr>
            <w:r w:rsidRPr="00E31A5B">
              <w:rPr>
                <w:rFonts w:ascii="Times New Roman" w:hAnsi="Times New Roman" w:cs="Times New Roman"/>
                <w:b/>
                <w:bCs/>
                <w:color w:val="000000" w:themeColor="text1"/>
                <w:sz w:val="23"/>
                <w:szCs w:val="23"/>
              </w:rPr>
              <w:t>Median</w:t>
            </w:r>
          </w:p>
        </w:tc>
        <w:tc>
          <w:tcPr>
            <w:tcW w:w="1260" w:type="dxa"/>
            <w:tcBorders>
              <w:top w:val="single" w:sz="4" w:space="0" w:color="auto"/>
              <w:left w:val="nil"/>
              <w:bottom w:val="nil"/>
              <w:right w:val="nil"/>
            </w:tcBorders>
            <w:shd w:val="clear" w:color="auto" w:fill="auto"/>
            <w:vAlign w:val="center"/>
            <w:hideMark/>
          </w:tcPr>
          <w:p w14:paraId="18E57381" w14:textId="77777777" w:rsidR="00EA7F91" w:rsidRPr="00E31A5B" w:rsidRDefault="00EA7F91" w:rsidP="0068330F">
            <w:pPr>
              <w:spacing w:after="0" w:line="240" w:lineRule="auto"/>
              <w:jc w:val="center"/>
              <w:rPr>
                <w:rFonts w:ascii="Times New Roman" w:eastAsia="Times New Roman" w:hAnsi="Times New Roman" w:cs="Times New Roman"/>
                <w:b/>
                <w:bCs/>
                <w:color w:val="000000" w:themeColor="text1"/>
                <w:sz w:val="23"/>
                <w:szCs w:val="23"/>
              </w:rPr>
            </w:pPr>
            <w:r w:rsidRPr="00E31A5B">
              <w:rPr>
                <w:rFonts w:ascii="Times New Roman" w:hAnsi="Times New Roman" w:cs="Times New Roman"/>
                <w:b/>
                <w:bCs/>
                <w:color w:val="000000" w:themeColor="text1"/>
                <w:sz w:val="23"/>
                <w:szCs w:val="23"/>
              </w:rPr>
              <w:t>Minimum</w:t>
            </w:r>
          </w:p>
        </w:tc>
        <w:tc>
          <w:tcPr>
            <w:tcW w:w="1260" w:type="dxa"/>
            <w:tcBorders>
              <w:top w:val="single" w:sz="4" w:space="0" w:color="auto"/>
              <w:left w:val="nil"/>
              <w:bottom w:val="nil"/>
              <w:right w:val="nil"/>
            </w:tcBorders>
            <w:shd w:val="clear" w:color="auto" w:fill="auto"/>
            <w:vAlign w:val="center"/>
            <w:hideMark/>
          </w:tcPr>
          <w:p w14:paraId="358CECB6" w14:textId="77777777" w:rsidR="00EA7F91" w:rsidRPr="00E31A5B" w:rsidRDefault="00EA7F91" w:rsidP="0068330F">
            <w:pPr>
              <w:spacing w:after="0" w:line="240" w:lineRule="auto"/>
              <w:jc w:val="center"/>
              <w:rPr>
                <w:rFonts w:ascii="Times New Roman" w:eastAsia="Times New Roman" w:hAnsi="Times New Roman" w:cs="Times New Roman"/>
                <w:b/>
                <w:bCs/>
                <w:color w:val="000000" w:themeColor="text1"/>
                <w:sz w:val="23"/>
                <w:szCs w:val="23"/>
              </w:rPr>
            </w:pPr>
            <w:r w:rsidRPr="00E31A5B">
              <w:rPr>
                <w:rFonts w:ascii="Times New Roman" w:hAnsi="Times New Roman" w:cs="Times New Roman"/>
                <w:b/>
                <w:bCs/>
                <w:color w:val="000000" w:themeColor="text1"/>
                <w:sz w:val="23"/>
                <w:szCs w:val="23"/>
              </w:rPr>
              <w:t>Maximum</w:t>
            </w:r>
          </w:p>
        </w:tc>
        <w:tc>
          <w:tcPr>
            <w:tcW w:w="1350" w:type="dxa"/>
            <w:tcBorders>
              <w:top w:val="single" w:sz="4" w:space="0" w:color="auto"/>
              <w:left w:val="nil"/>
              <w:bottom w:val="nil"/>
              <w:right w:val="nil"/>
            </w:tcBorders>
            <w:shd w:val="clear" w:color="auto" w:fill="auto"/>
            <w:vAlign w:val="center"/>
            <w:hideMark/>
          </w:tcPr>
          <w:p w14:paraId="7A61DB94" w14:textId="77777777" w:rsidR="00EA7F91" w:rsidRPr="00E31A5B" w:rsidRDefault="00EA7F91" w:rsidP="0068330F">
            <w:pPr>
              <w:spacing w:after="0" w:line="240" w:lineRule="auto"/>
              <w:jc w:val="center"/>
              <w:rPr>
                <w:rFonts w:ascii="Times New Roman" w:eastAsia="Times New Roman" w:hAnsi="Times New Roman" w:cs="Times New Roman"/>
                <w:b/>
                <w:bCs/>
                <w:color w:val="000000" w:themeColor="text1"/>
                <w:sz w:val="23"/>
                <w:szCs w:val="23"/>
              </w:rPr>
            </w:pPr>
            <w:r w:rsidRPr="00E31A5B">
              <w:rPr>
                <w:rFonts w:ascii="Times New Roman" w:hAnsi="Times New Roman" w:cs="Times New Roman"/>
                <w:b/>
                <w:bCs/>
                <w:color w:val="000000" w:themeColor="text1"/>
                <w:sz w:val="23"/>
                <w:szCs w:val="23"/>
              </w:rPr>
              <w:t>Std. Dev.</w:t>
            </w:r>
          </w:p>
        </w:tc>
        <w:tc>
          <w:tcPr>
            <w:tcW w:w="1710" w:type="dxa"/>
            <w:tcBorders>
              <w:top w:val="single" w:sz="4" w:space="0" w:color="auto"/>
              <w:left w:val="nil"/>
              <w:bottom w:val="nil"/>
              <w:right w:val="nil"/>
            </w:tcBorders>
            <w:vAlign w:val="center"/>
          </w:tcPr>
          <w:p w14:paraId="1731B853" w14:textId="77777777" w:rsidR="00EA7F91" w:rsidRPr="00E31A5B" w:rsidRDefault="00EA7F91" w:rsidP="0068330F">
            <w:pPr>
              <w:spacing w:after="0" w:line="240" w:lineRule="auto"/>
              <w:jc w:val="center"/>
              <w:rPr>
                <w:rFonts w:ascii="Times New Roman" w:hAnsi="Times New Roman" w:cs="Times New Roman"/>
                <w:b/>
                <w:bCs/>
                <w:color w:val="000000" w:themeColor="text1"/>
                <w:sz w:val="23"/>
                <w:szCs w:val="23"/>
              </w:rPr>
            </w:pPr>
            <w:r w:rsidRPr="00E31A5B">
              <w:rPr>
                <w:rFonts w:ascii="Times New Roman" w:hAnsi="Times New Roman" w:cs="Times New Roman"/>
                <w:b/>
                <w:bCs/>
                <w:color w:val="000000" w:themeColor="text1"/>
                <w:sz w:val="23"/>
                <w:szCs w:val="23"/>
              </w:rPr>
              <w:t>Variance</w:t>
            </w:r>
          </w:p>
        </w:tc>
        <w:tc>
          <w:tcPr>
            <w:tcW w:w="720" w:type="dxa"/>
            <w:tcBorders>
              <w:top w:val="single" w:sz="4" w:space="0" w:color="auto"/>
              <w:left w:val="nil"/>
              <w:bottom w:val="nil"/>
              <w:right w:val="single" w:sz="4" w:space="0" w:color="auto"/>
            </w:tcBorders>
            <w:shd w:val="clear" w:color="auto" w:fill="auto"/>
            <w:vAlign w:val="center"/>
            <w:hideMark/>
          </w:tcPr>
          <w:p w14:paraId="69790FDB" w14:textId="77777777" w:rsidR="00EA7F91" w:rsidRPr="00E31A5B" w:rsidRDefault="00EA7F91" w:rsidP="0068330F">
            <w:pPr>
              <w:spacing w:after="0" w:line="240" w:lineRule="auto"/>
              <w:jc w:val="center"/>
              <w:rPr>
                <w:rFonts w:ascii="Times New Roman" w:eastAsia="Times New Roman" w:hAnsi="Times New Roman" w:cs="Times New Roman"/>
                <w:b/>
                <w:bCs/>
                <w:color w:val="000000" w:themeColor="text1"/>
                <w:sz w:val="23"/>
                <w:szCs w:val="23"/>
              </w:rPr>
            </w:pPr>
            <w:proofErr w:type="gramStart"/>
            <w:r w:rsidRPr="00E31A5B">
              <w:rPr>
                <w:rFonts w:ascii="Times New Roman" w:hAnsi="Times New Roman" w:cs="Times New Roman"/>
                <w:b/>
                <w:bCs/>
                <w:color w:val="000000" w:themeColor="text1"/>
                <w:sz w:val="23"/>
                <w:szCs w:val="23"/>
              </w:rPr>
              <w:t>C.V.</w:t>
            </w:r>
            <w:proofErr w:type="gramEnd"/>
          </w:p>
        </w:tc>
      </w:tr>
      <w:tr w:rsidR="00EA7F91" w:rsidRPr="00E31A5B" w14:paraId="4CDC3288" w14:textId="77777777" w:rsidTr="00C71830">
        <w:trPr>
          <w:trHeight w:val="300"/>
        </w:trPr>
        <w:tc>
          <w:tcPr>
            <w:tcW w:w="1345" w:type="dxa"/>
            <w:tcBorders>
              <w:top w:val="single" w:sz="4" w:space="0" w:color="auto"/>
              <w:left w:val="single" w:sz="4" w:space="0" w:color="auto"/>
              <w:bottom w:val="single" w:sz="4" w:space="0" w:color="auto"/>
              <w:right w:val="nil"/>
            </w:tcBorders>
            <w:shd w:val="clear" w:color="auto" w:fill="auto"/>
            <w:vAlign w:val="center"/>
            <w:hideMark/>
          </w:tcPr>
          <w:p w14:paraId="27FAA9C4" w14:textId="77777777" w:rsidR="00EA7F91" w:rsidRPr="00E31A5B" w:rsidRDefault="00EA7F91" w:rsidP="0068330F">
            <w:pPr>
              <w:spacing w:after="0" w:line="240" w:lineRule="auto"/>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Population</w:t>
            </w:r>
          </w:p>
        </w:tc>
        <w:tc>
          <w:tcPr>
            <w:tcW w:w="1080" w:type="dxa"/>
            <w:tcBorders>
              <w:top w:val="single" w:sz="4" w:space="0" w:color="auto"/>
              <w:left w:val="nil"/>
              <w:bottom w:val="single" w:sz="4" w:space="0" w:color="auto"/>
              <w:right w:val="nil"/>
            </w:tcBorders>
            <w:shd w:val="clear" w:color="auto" w:fill="auto"/>
            <w:vAlign w:val="center"/>
            <w:hideMark/>
          </w:tcPr>
          <w:p w14:paraId="564F847E"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33.10</w:t>
            </w:r>
          </w:p>
        </w:tc>
        <w:tc>
          <w:tcPr>
            <w:tcW w:w="1080" w:type="dxa"/>
            <w:tcBorders>
              <w:top w:val="single" w:sz="4" w:space="0" w:color="auto"/>
              <w:left w:val="nil"/>
              <w:bottom w:val="single" w:sz="4" w:space="0" w:color="auto"/>
              <w:right w:val="nil"/>
            </w:tcBorders>
            <w:shd w:val="clear" w:color="auto" w:fill="auto"/>
            <w:vAlign w:val="center"/>
            <w:hideMark/>
          </w:tcPr>
          <w:p w14:paraId="439AA9C5"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32.89</w:t>
            </w:r>
          </w:p>
        </w:tc>
        <w:tc>
          <w:tcPr>
            <w:tcW w:w="1260" w:type="dxa"/>
            <w:tcBorders>
              <w:top w:val="single" w:sz="4" w:space="0" w:color="auto"/>
              <w:left w:val="nil"/>
              <w:bottom w:val="single" w:sz="4" w:space="0" w:color="auto"/>
              <w:right w:val="nil"/>
            </w:tcBorders>
            <w:shd w:val="clear" w:color="auto" w:fill="auto"/>
            <w:vAlign w:val="center"/>
            <w:hideMark/>
          </w:tcPr>
          <w:p w14:paraId="1F6FB5CC"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29.30</w:t>
            </w:r>
          </w:p>
        </w:tc>
        <w:tc>
          <w:tcPr>
            <w:tcW w:w="1260" w:type="dxa"/>
            <w:tcBorders>
              <w:top w:val="single" w:sz="4" w:space="0" w:color="auto"/>
              <w:left w:val="nil"/>
              <w:bottom w:val="single" w:sz="4" w:space="0" w:color="auto"/>
              <w:right w:val="nil"/>
            </w:tcBorders>
            <w:shd w:val="clear" w:color="auto" w:fill="auto"/>
            <w:vAlign w:val="center"/>
            <w:hideMark/>
          </w:tcPr>
          <w:p w14:paraId="1B9E14AD"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37.59</w:t>
            </w:r>
          </w:p>
        </w:tc>
        <w:tc>
          <w:tcPr>
            <w:tcW w:w="1350" w:type="dxa"/>
            <w:tcBorders>
              <w:top w:val="single" w:sz="4" w:space="0" w:color="auto"/>
              <w:left w:val="nil"/>
              <w:bottom w:val="single" w:sz="4" w:space="0" w:color="auto"/>
              <w:right w:val="nil"/>
            </w:tcBorders>
            <w:shd w:val="clear" w:color="auto" w:fill="auto"/>
            <w:noWrap/>
            <w:vAlign w:val="center"/>
            <w:hideMark/>
          </w:tcPr>
          <w:p w14:paraId="1A8BE1DA"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2.4962</w:t>
            </w:r>
          </w:p>
        </w:tc>
        <w:tc>
          <w:tcPr>
            <w:tcW w:w="1710" w:type="dxa"/>
            <w:tcBorders>
              <w:top w:val="single" w:sz="4" w:space="0" w:color="auto"/>
              <w:left w:val="nil"/>
              <w:bottom w:val="single" w:sz="4" w:space="0" w:color="auto"/>
              <w:right w:val="nil"/>
            </w:tcBorders>
            <w:vAlign w:val="center"/>
          </w:tcPr>
          <w:p w14:paraId="03643A19" w14:textId="77777777" w:rsidR="00EA7F91" w:rsidRPr="00E31A5B" w:rsidRDefault="00EA7F91" w:rsidP="0068330F">
            <w:pPr>
              <w:spacing w:after="0" w:line="240" w:lineRule="auto"/>
              <w:jc w:val="right"/>
              <w:rPr>
                <w:rFonts w:ascii="Times New Roman" w:hAnsi="Times New Roman" w:cs="Times New Roman"/>
                <w:color w:val="000000" w:themeColor="text1"/>
              </w:rPr>
            </w:pPr>
            <w:r w:rsidRPr="00E31A5B">
              <w:rPr>
                <w:rFonts w:ascii="Times New Roman" w:hAnsi="Times New Roman" w:cs="Times New Roman"/>
                <w:color w:val="000000" w:themeColor="text1"/>
              </w:rPr>
              <w:t>6.2310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371572A7"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0.075</w:t>
            </w:r>
          </w:p>
        </w:tc>
      </w:tr>
      <w:tr w:rsidR="00EA7F91" w:rsidRPr="00E31A5B" w14:paraId="2B215852" w14:textId="77777777" w:rsidTr="00C71830">
        <w:trPr>
          <w:trHeight w:val="300"/>
        </w:trPr>
        <w:tc>
          <w:tcPr>
            <w:tcW w:w="1345" w:type="dxa"/>
            <w:tcBorders>
              <w:top w:val="nil"/>
              <w:left w:val="single" w:sz="4" w:space="0" w:color="auto"/>
              <w:bottom w:val="single" w:sz="4" w:space="0" w:color="auto"/>
              <w:right w:val="nil"/>
            </w:tcBorders>
            <w:shd w:val="clear" w:color="auto" w:fill="auto"/>
            <w:vAlign w:val="center"/>
            <w:hideMark/>
          </w:tcPr>
          <w:p w14:paraId="368B5849" w14:textId="77777777" w:rsidR="00EA7F91" w:rsidRPr="00E31A5B" w:rsidRDefault="00EA7F91" w:rsidP="0068330F">
            <w:pPr>
              <w:spacing w:after="0" w:line="240" w:lineRule="auto"/>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GDPpc ($)</w:t>
            </w:r>
          </w:p>
        </w:tc>
        <w:tc>
          <w:tcPr>
            <w:tcW w:w="1080" w:type="dxa"/>
            <w:tcBorders>
              <w:top w:val="nil"/>
              <w:left w:val="nil"/>
              <w:bottom w:val="single" w:sz="4" w:space="0" w:color="auto"/>
              <w:right w:val="nil"/>
            </w:tcBorders>
            <w:shd w:val="clear" w:color="auto" w:fill="auto"/>
            <w:vAlign w:val="center"/>
            <w:hideMark/>
          </w:tcPr>
          <w:p w14:paraId="1AC6A9EF"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45382.00</w:t>
            </w:r>
          </w:p>
        </w:tc>
        <w:tc>
          <w:tcPr>
            <w:tcW w:w="1080" w:type="dxa"/>
            <w:tcBorders>
              <w:top w:val="nil"/>
              <w:left w:val="nil"/>
              <w:bottom w:val="single" w:sz="4" w:space="0" w:color="auto"/>
              <w:right w:val="nil"/>
            </w:tcBorders>
            <w:shd w:val="clear" w:color="auto" w:fill="auto"/>
            <w:vAlign w:val="center"/>
            <w:hideMark/>
          </w:tcPr>
          <w:p w14:paraId="5271FF41"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46726.00</w:t>
            </w:r>
          </w:p>
        </w:tc>
        <w:tc>
          <w:tcPr>
            <w:tcW w:w="1260" w:type="dxa"/>
            <w:tcBorders>
              <w:top w:val="nil"/>
              <w:left w:val="nil"/>
              <w:bottom w:val="single" w:sz="4" w:space="0" w:color="auto"/>
              <w:right w:val="nil"/>
            </w:tcBorders>
            <w:shd w:val="clear" w:color="auto" w:fill="auto"/>
            <w:vAlign w:val="center"/>
            <w:hideMark/>
          </w:tcPr>
          <w:p w14:paraId="7A5A3AC0"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28290.00</w:t>
            </w:r>
          </w:p>
        </w:tc>
        <w:tc>
          <w:tcPr>
            <w:tcW w:w="1260" w:type="dxa"/>
            <w:tcBorders>
              <w:top w:val="nil"/>
              <w:left w:val="nil"/>
              <w:bottom w:val="single" w:sz="4" w:space="0" w:color="auto"/>
              <w:right w:val="nil"/>
            </w:tcBorders>
            <w:shd w:val="clear" w:color="auto" w:fill="auto"/>
            <w:vAlign w:val="center"/>
            <w:hideMark/>
          </w:tcPr>
          <w:p w14:paraId="728CC54B"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61466.00</w:t>
            </w:r>
          </w:p>
        </w:tc>
        <w:tc>
          <w:tcPr>
            <w:tcW w:w="1350" w:type="dxa"/>
            <w:tcBorders>
              <w:top w:val="nil"/>
              <w:left w:val="nil"/>
              <w:bottom w:val="single" w:sz="4" w:space="0" w:color="auto"/>
              <w:right w:val="nil"/>
            </w:tcBorders>
            <w:shd w:val="clear" w:color="auto" w:fill="auto"/>
            <w:noWrap/>
            <w:vAlign w:val="center"/>
            <w:hideMark/>
          </w:tcPr>
          <w:p w14:paraId="1D79BDAB"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10408.0000</w:t>
            </w:r>
          </w:p>
        </w:tc>
        <w:tc>
          <w:tcPr>
            <w:tcW w:w="1710" w:type="dxa"/>
            <w:tcBorders>
              <w:top w:val="nil"/>
              <w:left w:val="nil"/>
              <w:bottom w:val="single" w:sz="4" w:space="0" w:color="auto"/>
              <w:right w:val="nil"/>
            </w:tcBorders>
            <w:vAlign w:val="center"/>
          </w:tcPr>
          <w:p w14:paraId="626E007E" w14:textId="77777777" w:rsidR="00EA7F91" w:rsidRPr="00E31A5B" w:rsidRDefault="00EA7F91" w:rsidP="0068330F">
            <w:pPr>
              <w:spacing w:after="0" w:line="240" w:lineRule="auto"/>
              <w:jc w:val="right"/>
              <w:rPr>
                <w:rFonts w:ascii="Times New Roman" w:hAnsi="Times New Roman" w:cs="Times New Roman"/>
                <w:color w:val="000000" w:themeColor="text1"/>
              </w:rPr>
            </w:pPr>
            <w:r w:rsidRPr="00E31A5B">
              <w:rPr>
                <w:rFonts w:ascii="Times New Roman" w:hAnsi="Times New Roman" w:cs="Times New Roman"/>
                <w:color w:val="000000" w:themeColor="text1"/>
              </w:rPr>
              <w:t>108326464.0000</w:t>
            </w:r>
          </w:p>
        </w:tc>
        <w:tc>
          <w:tcPr>
            <w:tcW w:w="720" w:type="dxa"/>
            <w:tcBorders>
              <w:top w:val="nil"/>
              <w:left w:val="nil"/>
              <w:bottom w:val="single" w:sz="4" w:space="0" w:color="auto"/>
              <w:right w:val="single" w:sz="4" w:space="0" w:color="auto"/>
            </w:tcBorders>
            <w:shd w:val="clear" w:color="auto" w:fill="auto"/>
            <w:vAlign w:val="center"/>
            <w:hideMark/>
          </w:tcPr>
          <w:p w14:paraId="3115C488"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0.229</w:t>
            </w:r>
          </w:p>
        </w:tc>
      </w:tr>
      <w:tr w:rsidR="00EA7F91" w:rsidRPr="00E31A5B" w14:paraId="715873DA" w14:textId="77777777" w:rsidTr="00C71830">
        <w:trPr>
          <w:trHeight w:val="300"/>
        </w:trPr>
        <w:tc>
          <w:tcPr>
            <w:tcW w:w="1345" w:type="dxa"/>
            <w:tcBorders>
              <w:top w:val="nil"/>
              <w:left w:val="single" w:sz="4" w:space="0" w:color="auto"/>
              <w:bottom w:val="single" w:sz="4" w:space="0" w:color="auto"/>
              <w:right w:val="nil"/>
            </w:tcBorders>
            <w:shd w:val="clear" w:color="auto" w:fill="auto"/>
            <w:vAlign w:val="center"/>
            <w:hideMark/>
          </w:tcPr>
          <w:p w14:paraId="3945FD22" w14:textId="77777777" w:rsidR="00EA7F91" w:rsidRPr="00E31A5B" w:rsidRDefault="00EA7F91" w:rsidP="0068330F">
            <w:pPr>
              <w:spacing w:after="0" w:line="240" w:lineRule="auto"/>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GNDIpc ($)</w:t>
            </w:r>
          </w:p>
        </w:tc>
        <w:tc>
          <w:tcPr>
            <w:tcW w:w="1080" w:type="dxa"/>
            <w:tcBorders>
              <w:top w:val="nil"/>
              <w:left w:val="nil"/>
              <w:bottom w:val="single" w:sz="4" w:space="0" w:color="auto"/>
              <w:right w:val="nil"/>
            </w:tcBorders>
            <w:shd w:val="clear" w:color="auto" w:fill="auto"/>
            <w:vAlign w:val="center"/>
            <w:hideMark/>
          </w:tcPr>
          <w:p w14:paraId="4D0CD5CC"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44439.00</w:t>
            </w:r>
          </w:p>
        </w:tc>
        <w:tc>
          <w:tcPr>
            <w:tcW w:w="1080" w:type="dxa"/>
            <w:tcBorders>
              <w:top w:val="nil"/>
              <w:left w:val="nil"/>
              <w:bottom w:val="single" w:sz="4" w:space="0" w:color="auto"/>
              <w:right w:val="nil"/>
            </w:tcBorders>
            <w:shd w:val="clear" w:color="auto" w:fill="auto"/>
            <w:vAlign w:val="center"/>
            <w:hideMark/>
          </w:tcPr>
          <w:p w14:paraId="0072C1CA"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45818.00</w:t>
            </w:r>
          </w:p>
        </w:tc>
        <w:tc>
          <w:tcPr>
            <w:tcW w:w="1260" w:type="dxa"/>
            <w:tcBorders>
              <w:top w:val="nil"/>
              <w:left w:val="nil"/>
              <w:bottom w:val="single" w:sz="4" w:space="0" w:color="auto"/>
              <w:right w:val="nil"/>
            </w:tcBorders>
            <w:shd w:val="clear" w:color="auto" w:fill="auto"/>
            <w:vAlign w:val="center"/>
            <w:hideMark/>
          </w:tcPr>
          <w:p w14:paraId="4D810B38"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27369.00</w:t>
            </w:r>
          </w:p>
        </w:tc>
        <w:tc>
          <w:tcPr>
            <w:tcW w:w="1260" w:type="dxa"/>
            <w:tcBorders>
              <w:top w:val="nil"/>
              <w:left w:val="nil"/>
              <w:bottom w:val="single" w:sz="4" w:space="0" w:color="auto"/>
              <w:right w:val="nil"/>
            </w:tcBorders>
            <w:shd w:val="clear" w:color="auto" w:fill="auto"/>
            <w:vAlign w:val="center"/>
            <w:hideMark/>
          </w:tcPr>
          <w:p w14:paraId="6A983CF5"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60613.00</w:t>
            </w:r>
          </w:p>
        </w:tc>
        <w:tc>
          <w:tcPr>
            <w:tcW w:w="1350" w:type="dxa"/>
            <w:tcBorders>
              <w:top w:val="nil"/>
              <w:left w:val="nil"/>
              <w:bottom w:val="single" w:sz="4" w:space="0" w:color="auto"/>
              <w:right w:val="nil"/>
            </w:tcBorders>
            <w:shd w:val="clear" w:color="auto" w:fill="auto"/>
            <w:noWrap/>
            <w:vAlign w:val="center"/>
            <w:hideMark/>
          </w:tcPr>
          <w:p w14:paraId="6D677198"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10420.0000</w:t>
            </w:r>
          </w:p>
        </w:tc>
        <w:tc>
          <w:tcPr>
            <w:tcW w:w="1710" w:type="dxa"/>
            <w:tcBorders>
              <w:top w:val="nil"/>
              <w:left w:val="nil"/>
              <w:bottom w:val="single" w:sz="4" w:space="0" w:color="auto"/>
              <w:right w:val="nil"/>
            </w:tcBorders>
            <w:vAlign w:val="center"/>
          </w:tcPr>
          <w:p w14:paraId="347DD852" w14:textId="77777777" w:rsidR="00EA7F91" w:rsidRPr="00E31A5B" w:rsidRDefault="00EA7F91" w:rsidP="0068330F">
            <w:pPr>
              <w:spacing w:after="0" w:line="240" w:lineRule="auto"/>
              <w:jc w:val="right"/>
              <w:rPr>
                <w:rFonts w:ascii="Times New Roman" w:hAnsi="Times New Roman" w:cs="Times New Roman"/>
                <w:color w:val="000000" w:themeColor="text1"/>
              </w:rPr>
            </w:pPr>
            <w:r w:rsidRPr="00E31A5B">
              <w:rPr>
                <w:rFonts w:ascii="Times New Roman" w:hAnsi="Times New Roman" w:cs="Times New Roman"/>
                <w:color w:val="000000" w:themeColor="text1"/>
              </w:rPr>
              <w:t>108576400.0000</w:t>
            </w:r>
          </w:p>
        </w:tc>
        <w:tc>
          <w:tcPr>
            <w:tcW w:w="720" w:type="dxa"/>
            <w:tcBorders>
              <w:top w:val="nil"/>
              <w:left w:val="nil"/>
              <w:bottom w:val="single" w:sz="4" w:space="0" w:color="auto"/>
              <w:right w:val="single" w:sz="4" w:space="0" w:color="auto"/>
            </w:tcBorders>
            <w:shd w:val="clear" w:color="auto" w:fill="auto"/>
            <w:vAlign w:val="center"/>
            <w:hideMark/>
          </w:tcPr>
          <w:p w14:paraId="5AE07E41"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0.234</w:t>
            </w:r>
          </w:p>
        </w:tc>
      </w:tr>
      <w:tr w:rsidR="00EA7F91" w:rsidRPr="00E31A5B" w14:paraId="19845564" w14:textId="77777777" w:rsidTr="00C71830">
        <w:trPr>
          <w:trHeight w:val="300"/>
        </w:trPr>
        <w:tc>
          <w:tcPr>
            <w:tcW w:w="1345" w:type="dxa"/>
            <w:tcBorders>
              <w:top w:val="nil"/>
              <w:left w:val="single" w:sz="4" w:space="0" w:color="auto"/>
              <w:bottom w:val="single" w:sz="4" w:space="0" w:color="auto"/>
              <w:right w:val="nil"/>
            </w:tcBorders>
            <w:shd w:val="clear" w:color="auto" w:fill="auto"/>
            <w:vAlign w:val="center"/>
            <w:hideMark/>
          </w:tcPr>
          <w:p w14:paraId="69617624" w14:textId="77777777" w:rsidR="00EA7F91" w:rsidRPr="00E31A5B" w:rsidRDefault="00EA7F91" w:rsidP="0068330F">
            <w:pPr>
              <w:spacing w:after="0" w:line="240" w:lineRule="auto"/>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HDI</w:t>
            </w:r>
          </w:p>
        </w:tc>
        <w:tc>
          <w:tcPr>
            <w:tcW w:w="1080" w:type="dxa"/>
            <w:tcBorders>
              <w:top w:val="nil"/>
              <w:left w:val="nil"/>
              <w:bottom w:val="single" w:sz="4" w:space="0" w:color="auto"/>
              <w:right w:val="nil"/>
            </w:tcBorders>
            <w:shd w:val="clear" w:color="auto" w:fill="auto"/>
            <w:vAlign w:val="center"/>
            <w:hideMark/>
          </w:tcPr>
          <w:p w14:paraId="5AFE3E55"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0.89</w:t>
            </w:r>
          </w:p>
        </w:tc>
        <w:tc>
          <w:tcPr>
            <w:tcW w:w="1080" w:type="dxa"/>
            <w:tcBorders>
              <w:top w:val="nil"/>
              <w:left w:val="nil"/>
              <w:bottom w:val="single" w:sz="4" w:space="0" w:color="auto"/>
              <w:right w:val="nil"/>
            </w:tcBorders>
            <w:shd w:val="clear" w:color="auto" w:fill="auto"/>
            <w:vAlign w:val="center"/>
            <w:hideMark/>
          </w:tcPr>
          <w:p w14:paraId="66AA3B5D"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0.90</w:t>
            </w:r>
          </w:p>
        </w:tc>
        <w:tc>
          <w:tcPr>
            <w:tcW w:w="1260" w:type="dxa"/>
            <w:tcBorders>
              <w:top w:val="nil"/>
              <w:left w:val="nil"/>
              <w:bottom w:val="single" w:sz="4" w:space="0" w:color="auto"/>
              <w:right w:val="nil"/>
            </w:tcBorders>
            <w:shd w:val="clear" w:color="auto" w:fill="auto"/>
            <w:vAlign w:val="center"/>
            <w:hideMark/>
          </w:tcPr>
          <w:p w14:paraId="2BB43B9F"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0.86</w:t>
            </w:r>
          </w:p>
        </w:tc>
        <w:tc>
          <w:tcPr>
            <w:tcW w:w="1260" w:type="dxa"/>
            <w:tcBorders>
              <w:top w:val="nil"/>
              <w:left w:val="nil"/>
              <w:bottom w:val="single" w:sz="4" w:space="0" w:color="auto"/>
              <w:right w:val="nil"/>
            </w:tcBorders>
            <w:shd w:val="clear" w:color="auto" w:fill="auto"/>
            <w:vAlign w:val="center"/>
            <w:hideMark/>
          </w:tcPr>
          <w:p w14:paraId="3C601EA0"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0.93</w:t>
            </w:r>
          </w:p>
        </w:tc>
        <w:tc>
          <w:tcPr>
            <w:tcW w:w="1350" w:type="dxa"/>
            <w:tcBorders>
              <w:top w:val="nil"/>
              <w:left w:val="nil"/>
              <w:bottom w:val="single" w:sz="4" w:space="0" w:color="auto"/>
              <w:right w:val="nil"/>
            </w:tcBorders>
            <w:shd w:val="clear" w:color="auto" w:fill="auto"/>
            <w:noWrap/>
            <w:vAlign w:val="center"/>
            <w:hideMark/>
          </w:tcPr>
          <w:p w14:paraId="4E83AE20"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0.0231</w:t>
            </w:r>
          </w:p>
        </w:tc>
        <w:tc>
          <w:tcPr>
            <w:tcW w:w="1710" w:type="dxa"/>
            <w:tcBorders>
              <w:top w:val="nil"/>
              <w:left w:val="nil"/>
              <w:bottom w:val="single" w:sz="4" w:space="0" w:color="auto"/>
              <w:right w:val="nil"/>
            </w:tcBorders>
            <w:vAlign w:val="center"/>
          </w:tcPr>
          <w:p w14:paraId="2CBBDED6" w14:textId="77777777" w:rsidR="00EA7F91" w:rsidRPr="00E31A5B" w:rsidRDefault="00EA7F91" w:rsidP="0068330F">
            <w:pPr>
              <w:spacing w:after="0" w:line="240" w:lineRule="auto"/>
              <w:jc w:val="right"/>
              <w:rPr>
                <w:rFonts w:ascii="Times New Roman" w:hAnsi="Times New Roman" w:cs="Times New Roman"/>
                <w:color w:val="000000" w:themeColor="text1"/>
              </w:rPr>
            </w:pPr>
            <w:r w:rsidRPr="00E31A5B">
              <w:rPr>
                <w:rFonts w:ascii="Times New Roman" w:hAnsi="Times New Roman" w:cs="Times New Roman"/>
                <w:color w:val="000000" w:themeColor="text1"/>
              </w:rPr>
              <w:t>0.0005</w:t>
            </w:r>
          </w:p>
        </w:tc>
        <w:tc>
          <w:tcPr>
            <w:tcW w:w="720" w:type="dxa"/>
            <w:tcBorders>
              <w:top w:val="nil"/>
              <w:left w:val="nil"/>
              <w:bottom w:val="single" w:sz="4" w:space="0" w:color="auto"/>
              <w:right w:val="single" w:sz="4" w:space="0" w:color="auto"/>
            </w:tcBorders>
            <w:shd w:val="clear" w:color="auto" w:fill="auto"/>
            <w:vAlign w:val="center"/>
            <w:hideMark/>
          </w:tcPr>
          <w:p w14:paraId="3E609015"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0.026</w:t>
            </w:r>
          </w:p>
        </w:tc>
      </w:tr>
      <w:tr w:rsidR="00EA7F91" w:rsidRPr="00E31A5B" w14:paraId="7FE47BD3" w14:textId="77777777" w:rsidTr="00C71830">
        <w:trPr>
          <w:trHeight w:val="300"/>
        </w:trPr>
        <w:tc>
          <w:tcPr>
            <w:tcW w:w="1345" w:type="dxa"/>
            <w:tcBorders>
              <w:top w:val="nil"/>
              <w:left w:val="single" w:sz="4" w:space="0" w:color="auto"/>
              <w:bottom w:val="single" w:sz="4" w:space="0" w:color="auto"/>
              <w:right w:val="nil"/>
            </w:tcBorders>
            <w:shd w:val="clear" w:color="auto" w:fill="auto"/>
            <w:vAlign w:val="center"/>
            <w:hideMark/>
          </w:tcPr>
          <w:p w14:paraId="04CC960E" w14:textId="77777777" w:rsidR="00EA7F91" w:rsidRPr="00E31A5B" w:rsidRDefault="00EA7F91" w:rsidP="0068330F">
            <w:pPr>
              <w:spacing w:after="0" w:line="240" w:lineRule="auto"/>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IEF</w:t>
            </w:r>
          </w:p>
        </w:tc>
        <w:tc>
          <w:tcPr>
            <w:tcW w:w="1080" w:type="dxa"/>
            <w:tcBorders>
              <w:top w:val="nil"/>
              <w:left w:val="nil"/>
              <w:bottom w:val="single" w:sz="4" w:space="0" w:color="auto"/>
              <w:right w:val="nil"/>
            </w:tcBorders>
            <w:shd w:val="clear" w:color="auto" w:fill="auto"/>
            <w:vAlign w:val="center"/>
            <w:hideMark/>
          </w:tcPr>
          <w:p w14:paraId="37A53775"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75.82</w:t>
            </w:r>
          </w:p>
        </w:tc>
        <w:tc>
          <w:tcPr>
            <w:tcW w:w="1080" w:type="dxa"/>
            <w:tcBorders>
              <w:top w:val="nil"/>
              <w:left w:val="nil"/>
              <w:bottom w:val="single" w:sz="4" w:space="0" w:color="auto"/>
              <w:right w:val="nil"/>
            </w:tcBorders>
            <w:shd w:val="clear" w:color="auto" w:fill="auto"/>
            <w:vAlign w:val="center"/>
            <w:hideMark/>
          </w:tcPr>
          <w:p w14:paraId="584D48F6"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77.70</w:t>
            </w:r>
          </w:p>
        </w:tc>
        <w:tc>
          <w:tcPr>
            <w:tcW w:w="1260" w:type="dxa"/>
            <w:tcBorders>
              <w:top w:val="nil"/>
              <w:left w:val="nil"/>
              <w:bottom w:val="single" w:sz="4" w:space="0" w:color="auto"/>
              <w:right w:val="nil"/>
            </w:tcBorders>
            <w:shd w:val="clear" w:color="auto" w:fill="auto"/>
            <w:vAlign w:val="center"/>
            <w:hideMark/>
          </w:tcPr>
          <w:p w14:paraId="27F4EDD2"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67.90</w:t>
            </w:r>
          </w:p>
        </w:tc>
        <w:tc>
          <w:tcPr>
            <w:tcW w:w="1260" w:type="dxa"/>
            <w:tcBorders>
              <w:top w:val="nil"/>
              <w:left w:val="nil"/>
              <w:bottom w:val="single" w:sz="4" w:space="0" w:color="auto"/>
              <w:right w:val="nil"/>
            </w:tcBorders>
            <w:shd w:val="clear" w:color="auto" w:fill="auto"/>
            <w:vAlign w:val="center"/>
            <w:hideMark/>
          </w:tcPr>
          <w:p w14:paraId="7A544CB4"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80.80</w:t>
            </w:r>
          </w:p>
        </w:tc>
        <w:tc>
          <w:tcPr>
            <w:tcW w:w="1350" w:type="dxa"/>
            <w:tcBorders>
              <w:top w:val="nil"/>
              <w:left w:val="nil"/>
              <w:bottom w:val="single" w:sz="4" w:space="0" w:color="auto"/>
              <w:right w:val="nil"/>
            </w:tcBorders>
            <w:shd w:val="clear" w:color="auto" w:fill="auto"/>
            <w:noWrap/>
            <w:vAlign w:val="center"/>
            <w:hideMark/>
          </w:tcPr>
          <w:p w14:paraId="0F0F972B"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4.3564</w:t>
            </w:r>
          </w:p>
        </w:tc>
        <w:tc>
          <w:tcPr>
            <w:tcW w:w="1710" w:type="dxa"/>
            <w:tcBorders>
              <w:top w:val="nil"/>
              <w:left w:val="nil"/>
              <w:bottom w:val="single" w:sz="4" w:space="0" w:color="auto"/>
              <w:right w:val="nil"/>
            </w:tcBorders>
            <w:vAlign w:val="center"/>
          </w:tcPr>
          <w:p w14:paraId="6427172C" w14:textId="77777777" w:rsidR="00EA7F91" w:rsidRPr="00E31A5B" w:rsidRDefault="00EA7F91" w:rsidP="0068330F">
            <w:pPr>
              <w:spacing w:after="0" w:line="240" w:lineRule="auto"/>
              <w:jc w:val="right"/>
              <w:rPr>
                <w:rFonts w:ascii="Times New Roman" w:hAnsi="Times New Roman" w:cs="Times New Roman"/>
                <w:color w:val="000000" w:themeColor="text1"/>
              </w:rPr>
            </w:pPr>
            <w:r w:rsidRPr="00E31A5B">
              <w:rPr>
                <w:rFonts w:ascii="Times New Roman" w:hAnsi="Times New Roman" w:cs="Times New Roman"/>
                <w:color w:val="000000" w:themeColor="text1"/>
              </w:rPr>
              <w:t>18.9781</w:t>
            </w:r>
          </w:p>
        </w:tc>
        <w:tc>
          <w:tcPr>
            <w:tcW w:w="720" w:type="dxa"/>
            <w:tcBorders>
              <w:top w:val="nil"/>
              <w:left w:val="nil"/>
              <w:bottom w:val="single" w:sz="4" w:space="0" w:color="auto"/>
              <w:right w:val="single" w:sz="4" w:space="0" w:color="auto"/>
            </w:tcBorders>
            <w:shd w:val="clear" w:color="auto" w:fill="auto"/>
            <w:vAlign w:val="center"/>
            <w:hideMark/>
          </w:tcPr>
          <w:p w14:paraId="4AB0E8EC"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hAnsi="Times New Roman" w:cs="Times New Roman"/>
                <w:color w:val="000000" w:themeColor="text1"/>
              </w:rPr>
              <w:t>0.057</w:t>
            </w:r>
          </w:p>
        </w:tc>
      </w:tr>
    </w:tbl>
    <w:p w14:paraId="7B6F428A" w14:textId="77777777" w:rsidR="00EA7F91" w:rsidRDefault="00EA7F91" w:rsidP="0068330F">
      <w:pPr>
        <w:spacing w:after="0" w:line="240" w:lineRule="auto"/>
        <w:rPr>
          <w:rFonts w:ascii="Times New Roman" w:hAnsi="Times New Roman" w:cs="Times New Roman"/>
          <w:color w:val="000000" w:themeColor="text1"/>
        </w:rPr>
      </w:pPr>
      <w:r w:rsidRPr="00E31A5B">
        <w:rPr>
          <w:rFonts w:ascii="Times New Roman" w:hAnsi="Times New Roman" w:cs="Times New Roman"/>
          <w:i/>
          <w:iCs/>
          <w:color w:val="000000" w:themeColor="text1"/>
        </w:rPr>
        <w:t>Note:</w:t>
      </w:r>
      <w:r w:rsidRPr="00E31A5B">
        <w:rPr>
          <w:rFonts w:ascii="Times New Roman" w:hAnsi="Times New Roman" w:cs="Times New Roman"/>
          <w:color w:val="000000" w:themeColor="text1"/>
        </w:rPr>
        <w:t xml:space="preserve"> (a) Population is in Millions (</w:t>
      </w:r>
      <w:r>
        <w:rPr>
          <w:rFonts w:ascii="Times New Roman" w:hAnsi="Times New Roman" w:cs="Times New Roman"/>
          <w:color w:val="000000" w:themeColor="text1"/>
        </w:rPr>
        <w:t>b</w:t>
      </w:r>
      <w:r w:rsidRPr="00E31A5B">
        <w:rPr>
          <w:rFonts w:ascii="Times New Roman" w:hAnsi="Times New Roman" w:cs="Times New Roman"/>
          <w:color w:val="000000" w:themeColor="text1"/>
        </w:rPr>
        <w:t xml:space="preserve">) </w:t>
      </w:r>
      <w:proofErr w:type="gramStart"/>
      <w:r w:rsidRPr="00E31A5B">
        <w:rPr>
          <w:rFonts w:ascii="Times New Roman" w:hAnsi="Times New Roman" w:cs="Times New Roman"/>
          <w:color w:val="000000" w:themeColor="text1"/>
        </w:rPr>
        <w:t>C.V.</w:t>
      </w:r>
      <w:proofErr w:type="gramEnd"/>
      <w:r w:rsidRPr="00E31A5B">
        <w:rPr>
          <w:rFonts w:ascii="Times New Roman" w:hAnsi="Times New Roman" w:cs="Times New Roman"/>
          <w:color w:val="000000" w:themeColor="text1"/>
        </w:rPr>
        <w:t xml:space="preserve"> is the coefficient of variation. (</w:t>
      </w:r>
      <w:r>
        <w:rPr>
          <w:rFonts w:ascii="Times New Roman" w:hAnsi="Times New Roman" w:cs="Times New Roman"/>
          <w:color w:val="000000" w:themeColor="text1"/>
        </w:rPr>
        <w:t>c</w:t>
      </w:r>
      <w:r w:rsidRPr="00E31A5B">
        <w:rPr>
          <w:rFonts w:ascii="Times New Roman" w:hAnsi="Times New Roman" w:cs="Times New Roman"/>
          <w:color w:val="000000" w:themeColor="text1"/>
        </w:rPr>
        <w:t>) Variance is in squared units</w:t>
      </w:r>
    </w:p>
    <w:p w14:paraId="59B54BF4" w14:textId="6CD5BB59" w:rsidR="0068330F" w:rsidRDefault="0068330F" w:rsidP="0068330F">
      <w:pPr>
        <w:pStyle w:val="MyTables"/>
      </w:pPr>
      <w:bookmarkStart w:id="15" w:name="_Toc79604482"/>
    </w:p>
    <w:p w14:paraId="5E81271D" w14:textId="77777777" w:rsidR="0068330F" w:rsidRPr="0068330F" w:rsidRDefault="0068330F" w:rsidP="0068330F">
      <w:pPr>
        <w:pStyle w:val="Caption"/>
        <w:rPr>
          <w:i w:val="0"/>
          <w:iCs w:val="0"/>
        </w:rPr>
      </w:pPr>
    </w:p>
    <w:p w14:paraId="1168641F" w14:textId="77777777" w:rsidR="0068330F" w:rsidRDefault="0068330F" w:rsidP="0068330F">
      <w:pPr>
        <w:pStyle w:val="MyTables"/>
      </w:pPr>
    </w:p>
    <w:p w14:paraId="3E8FE769" w14:textId="1B2FBCBD" w:rsidR="00EA7F91" w:rsidRPr="00E31A5B" w:rsidRDefault="00EA7F91" w:rsidP="0068330F">
      <w:pPr>
        <w:pStyle w:val="MyTables"/>
      </w:pPr>
      <w:r w:rsidRPr="007F64F5">
        <w:t xml:space="preserve">Table </w:t>
      </w:r>
      <w:bookmarkEnd w:id="15"/>
      <w:r w:rsidR="00005C61" w:rsidRPr="007F64F5">
        <w:t>3</w:t>
      </w:r>
      <w:r w:rsidRPr="00E31A5B">
        <w:t xml:space="preserve"> </w:t>
      </w:r>
    </w:p>
    <w:p w14:paraId="31AD6A35" w14:textId="77777777" w:rsidR="00EA7F91" w:rsidRPr="00D53689" w:rsidRDefault="00EA7F91" w:rsidP="0068330F">
      <w:pPr>
        <w:pStyle w:val="MyTables"/>
        <w:rPr>
          <w:rFonts w:cs="Times New Roman"/>
          <w:b w:val="0"/>
          <w:bCs w:val="0"/>
          <w:i/>
          <w:szCs w:val="24"/>
        </w:rPr>
      </w:pPr>
      <w:bookmarkStart w:id="16" w:name="_Toc79604483"/>
      <w:r w:rsidRPr="00D53689">
        <w:rPr>
          <w:rFonts w:cs="Times New Roman"/>
          <w:b w:val="0"/>
          <w:bCs w:val="0"/>
          <w:i/>
          <w:szCs w:val="24"/>
        </w:rPr>
        <w:t>Summary Statistics: Quantiles and Measures of Symmetry</w:t>
      </w:r>
      <w:bookmarkEnd w:id="16"/>
    </w:p>
    <w:tbl>
      <w:tblPr>
        <w:tblW w:w="10139" w:type="dxa"/>
        <w:tblLook w:val="04A0" w:firstRow="1" w:lastRow="0" w:firstColumn="1" w:lastColumn="0" w:noHBand="0" w:noVBand="1"/>
      </w:tblPr>
      <w:tblGrid>
        <w:gridCol w:w="1345"/>
        <w:gridCol w:w="1041"/>
        <w:gridCol w:w="1041"/>
        <w:gridCol w:w="1041"/>
        <w:gridCol w:w="1160"/>
        <w:gridCol w:w="2022"/>
        <w:gridCol w:w="1009"/>
        <w:gridCol w:w="1480"/>
      </w:tblGrid>
      <w:tr w:rsidR="00EA7F91" w:rsidRPr="00E31A5B" w14:paraId="31838917" w14:textId="77777777" w:rsidTr="00C71830">
        <w:trPr>
          <w:trHeight w:val="570"/>
        </w:trPr>
        <w:tc>
          <w:tcPr>
            <w:tcW w:w="1345" w:type="dxa"/>
            <w:tcBorders>
              <w:top w:val="single" w:sz="4" w:space="0" w:color="auto"/>
              <w:left w:val="single" w:sz="4" w:space="0" w:color="auto"/>
              <w:bottom w:val="nil"/>
              <w:right w:val="nil"/>
            </w:tcBorders>
            <w:shd w:val="clear" w:color="auto" w:fill="auto"/>
            <w:vAlign w:val="center"/>
            <w:hideMark/>
          </w:tcPr>
          <w:p w14:paraId="64D03C88" w14:textId="77777777" w:rsidR="00EA7F91" w:rsidRPr="00E31A5B" w:rsidRDefault="00EA7F91" w:rsidP="0068330F">
            <w:pPr>
              <w:spacing w:after="0" w:line="240" w:lineRule="auto"/>
              <w:jc w:val="center"/>
              <w:rPr>
                <w:rFonts w:ascii="Times New Roman" w:eastAsia="Times New Roman" w:hAnsi="Times New Roman" w:cs="Times New Roman"/>
                <w:b/>
                <w:bCs/>
                <w:color w:val="000000" w:themeColor="text1"/>
                <w:sz w:val="23"/>
                <w:szCs w:val="23"/>
              </w:rPr>
            </w:pPr>
            <w:r w:rsidRPr="00E31A5B">
              <w:rPr>
                <w:rFonts w:ascii="Times New Roman" w:eastAsia="Times New Roman" w:hAnsi="Times New Roman" w:cs="Times New Roman"/>
                <w:b/>
                <w:bCs/>
                <w:color w:val="000000" w:themeColor="text1"/>
                <w:sz w:val="23"/>
                <w:szCs w:val="23"/>
              </w:rPr>
              <w:t>Variable</w:t>
            </w:r>
          </w:p>
        </w:tc>
        <w:tc>
          <w:tcPr>
            <w:tcW w:w="1041" w:type="dxa"/>
            <w:tcBorders>
              <w:top w:val="single" w:sz="4" w:space="0" w:color="auto"/>
              <w:left w:val="nil"/>
              <w:bottom w:val="nil"/>
              <w:right w:val="nil"/>
            </w:tcBorders>
            <w:shd w:val="clear" w:color="auto" w:fill="auto"/>
            <w:vAlign w:val="center"/>
            <w:hideMark/>
          </w:tcPr>
          <w:p w14:paraId="23AF1FF9" w14:textId="77777777" w:rsidR="00EA7F91" w:rsidRPr="00E31A5B" w:rsidRDefault="00EA7F91" w:rsidP="0068330F">
            <w:pPr>
              <w:spacing w:after="0" w:line="240" w:lineRule="auto"/>
              <w:jc w:val="center"/>
              <w:rPr>
                <w:rFonts w:ascii="Times New Roman" w:eastAsia="Times New Roman" w:hAnsi="Times New Roman" w:cs="Times New Roman"/>
                <w:b/>
                <w:bCs/>
                <w:color w:val="000000" w:themeColor="text1"/>
                <w:sz w:val="23"/>
                <w:szCs w:val="23"/>
              </w:rPr>
            </w:pPr>
            <w:proofErr w:type="gramStart"/>
            <w:r w:rsidRPr="00E31A5B">
              <w:rPr>
                <w:rFonts w:ascii="Times New Roman" w:eastAsia="Times New Roman" w:hAnsi="Times New Roman" w:cs="Times New Roman"/>
                <w:b/>
                <w:bCs/>
                <w:color w:val="000000" w:themeColor="text1"/>
                <w:sz w:val="23"/>
                <w:szCs w:val="23"/>
              </w:rPr>
              <w:t>5%</w:t>
            </w:r>
            <w:proofErr w:type="gramEnd"/>
            <w:r w:rsidRPr="00E31A5B">
              <w:rPr>
                <w:rFonts w:ascii="Times New Roman" w:eastAsia="Times New Roman" w:hAnsi="Times New Roman" w:cs="Times New Roman"/>
                <w:b/>
                <w:bCs/>
                <w:color w:val="000000" w:themeColor="text1"/>
                <w:sz w:val="23"/>
                <w:szCs w:val="23"/>
              </w:rPr>
              <w:t xml:space="preserve"> Perc.</w:t>
            </w:r>
          </w:p>
        </w:tc>
        <w:tc>
          <w:tcPr>
            <w:tcW w:w="1041" w:type="dxa"/>
            <w:tcBorders>
              <w:top w:val="single" w:sz="4" w:space="0" w:color="auto"/>
              <w:left w:val="nil"/>
              <w:bottom w:val="nil"/>
              <w:right w:val="nil"/>
            </w:tcBorders>
            <w:shd w:val="clear" w:color="auto" w:fill="auto"/>
            <w:vAlign w:val="center"/>
            <w:hideMark/>
          </w:tcPr>
          <w:p w14:paraId="106A62E2" w14:textId="77777777" w:rsidR="00EA7F91" w:rsidRPr="00E31A5B" w:rsidRDefault="00EA7F91" w:rsidP="0068330F">
            <w:pPr>
              <w:spacing w:after="0" w:line="240" w:lineRule="auto"/>
              <w:jc w:val="center"/>
              <w:rPr>
                <w:rFonts w:ascii="Times New Roman" w:eastAsia="Times New Roman" w:hAnsi="Times New Roman" w:cs="Times New Roman"/>
                <w:b/>
                <w:bCs/>
                <w:color w:val="000000" w:themeColor="text1"/>
                <w:sz w:val="23"/>
                <w:szCs w:val="23"/>
              </w:rPr>
            </w:pPr>
            <w:proofErr w:type="gramStart"/>
            <w:r w:rsidRPr="00E31A5B">
              <w:rPr>
                <w:rFonts w:ascii="Times New Roman" w:eastAsia="Times New Roman" w:hAnsi="Times New Roman" w:cs="Times New Roman"/>
                <w:b/>
                <w:bCs/>
                <w:color w:val="000000" w:themeColor="text1"/>
                <w:sz w:val="23"/>
                <w:szCs w:val="23"/>
              </w:rPr>
              <w:t>95%</w:t>
            </w:r>
            <w:proofErr w:type="gramEnd"/>
            <w:r w:rsidRPr="00E31A5B">
              <w:rPr>
                <w:rFonts w:ascii="Times New Roman" w:eastAsia="Times New Roman" w:hAnsi="Times New Roman" w:cs="Times New Roman"/>
                <w:b/>
                <w:bCs/>
                <w:color w:val="000000" w:themeColor="text1"/>
                <w:sz w:val="23"/>
                <w:szCs w:val="23"/>
              </w:rPr>
              <w:t xml:space="preserve"> Perc.</w:t>
            </w:r>
          </w:p>
        </w:tc>
        <w:tc>
          <w:tcPr>
            <w:tcW w:w="1041" w:type="dxa"/>
            <w:tcBorders>
              <w:top w:val="single" w:sz="4" w:space="0" w:color="auto"/>
              <w:left w:val="nil"/>
              <w:bottom w:val="nil"/>
              <w:right w:val="nil"/>
            </w:tcBorders>
            <w:shd w:val="clear" w:color="auto" w:fill="auto"/>
            <w:vAlign w:val="center"/>
            <w:hideMark/>
          </w:tcPr>
          <w:p w14:paraId="5C604042" w14:textId="77777777" w:rsidR="00EA7F91" w:rsidRPr="00E31A5B" w:rsidRDefault="00EA7F91" w:rsidP="0068330F">
            <w:pPr>
              <w:spacing w:after="0" w:line="240" w:lineRule="auto"/>
              <w:jc w:val="center"/>
              <w:rPr>
                <w:rFonts w:ascii="Times New Roman" w:eastAsia="Times New Roman" w:hAnsi="Times New Roman" w:cs="Times New Roman"/>
                <w:b/>
                <w:bCs/>
                <w:color w:val="000000" w:themeColor="text1"/>
                <w:sz w:val="23"/>
                <w:szCs w:val="23"/>
              </w:rPr>
            </w:pPr>
            <w:r w:rsidRPr="00E31A5B">
              <w:rPr>
                <w:rFonts w:ascii="Times New Roman" w:eastAsia="Times New Roman" w:hAnsi="Times New Roman" w:cs="Times New Roman"/>
                <w:b/>
                <w:bCs/>
                <w:color w:val="000000" w:themeColor="text1"/>
                <w:sz w:val="23"/>
                <w:szCs w:val="23"/>
              </w:rPr>
              <w:t>IQ range</w:t>
            </w:r>
          </w:p>
        </w:tc>
        <w:tc>
          <w:tcPr>
            <w:tcW w:w="1160" w:type="dxa"/>
            <w:tcBorders>
              <w:top w:val="single" w:sz="4" w:space="0" w:color="auto"/>
              <w:left w:val="nil"/>
              <w:bottom w:val="nil"/>
              <w:right w:val="nil"/>
            </w:tcBorders>
            <w:shd w:val="clear" w:color="auto" w:fill="auto"/>
            <w:vAlign w:val="center"/>
            <w:hideMark/>
          </w:tcPr>
          <w:p w14:paraId="738DFABE" w14:textId="77777777" w:rsidR="00EA7F91" w:rsidRPr="00E31A5B" w:rsidRDefault="00EA7F91" w:rsidP="0068330F">
            <w:pPr>
              <w:spacing w:after="0" w:line="240" w:lineRule="auto"/>
              <w:jc w:val="center"/>
              <w:rPr>
                <w:rFonts w:ascii="Times New Roman" w:eastAsia="Times New Roman" w:hAnsi="Times New Roman" w:cs="Times New Roman"/>
                <w:b/>
                <w:bCs/>
                <w:color w:val="000000" w:themeColor="text1"/>
                <w:sz w:val="23"/>
                <w:szCs w:val="23"/>
              </w:rPr>
            </w:pPr>
            <w:r w:rsidRPr="00E31A5B">
              <w:rPr>
                <w:rFonts w:ascii="Times New Roman" w:eastAsia="Times New Roman" w:hAnsi="Times New Roman" w:cs="Times New Roman"/>
                <w:b/>
                <w:bCs/>
                <w:color w:val="000000" w:themeColor="text1"/>
                <w:sz w:val="23"/>
                <w:szCs w:val="23"/>
              </w:rPr>
              <w:t>Skewness</w:t>
            </w:r>
          </w:p>
        </w:tc>
        <w:tc>
          <w:tcPr>
            <w:tcW w:w="2022" w:type="dxa"/>
            <w:tcBorders>
              <w:top w:val="single" w:sz="4" w:space="0" w:color="auto"/>
              <w:left w:val="nil"/>
              <w:bottom w:val="nil"/>
              <w:right w:val="nil"/>
            </w:tcBorders>
            <w:shd w:val="clear" w:color="auto" w:fill="auto"/>
            <w:vAlign w:val="center"/>
            <w:hideMark/>
          </w:tcPr>
          <w:p w14:paraId="28D931E7" w14:textId="77777777" w:rsidR="00EA7F91" w:rsidRPr="00E31A5B" w:rsidRDefault="00EA7F91" w:rsidP="0068330F">
            <w:pPr>
              <w:spacing w:after="0" w:line="240" w:lineRule="auto"/>
              <w:jc w:val="center"/>
              <w:rPr>
                <w:rFonts w:ascii="Times New Roman" w:eastAsia="Times New Roman" w:hAnsi="Times New Roman" w:cs="Times New Roman"/>
                <w:b/>
                <w:bCs/>
                <w:color w:val="000000" w:themeColor="text1"/>
                <w:sz w:val="23"/>
                <w:szCs w:val="23"/>
              </w:rPr>
            </w:pPr>
            <w:r w:rsidRPr="00E31A5B">
              <w:rPr>
                <w:rFonts w:ascii="Times New Roman" w:eastAsia="Times New Roman" w:hAnsi="Times New Roman" w:cs="Times New Roman"/>
                <w:b/>
                <w:bCs/>
                <w:color w:val="000000" w:themeColor="text1"/>
                <w:sz w:val="23"/>
                <w:szCs w:val="23"/>
              </w:rPr>
              <w:t>Skewness Comment</w:t>
            </w:r>
          </w:p>
        </w:tc>
        <w:tc>
          <w:tcPr>
            <w:tcW w:w="1009" w:type="dxa"/>
            <w:tcBorders>
              <w:top w:val="single" w:sz="4" w:space="0" w:color="auto"/>
              <w:left w:val="nil"/>
              <w:bottom w:val="nil"/>
              <w:right w:val="nil"/>
            </w:tcBorders>
            <w:shd w:val="clear" w:color="auto" w:fill="auto"/>
            <w:vAlign w:val="center"/>
            <w:hideMark/>
          </w:tcPr>
          <w:p w14:paraId="2F5C2D88" w14:textId="77777777" w:rsidR="00EA7F91" w:rsidRPr="00E31A5B" w:rsidRDefault="00EA7F91" w:rsidP="0068330F">
            <w:pPr>
              <w:spacing w:after="0" w:line="240" w:lineRule="auto"/>
              <w:jc w:val="center"/>
              <w:rPr>
                <w:rFonts w:ascii="Times New Roman" w:eastAsia="Times New Roman" w:hAnsi="Times New Roman" w:cs="Times New Roman"/>
                <w:b/>
                <w:bCs/>
                <w:color w:val="000000" w:themeColor="text1"/>
                <w:sz w:val="23"/>
                <w:szCs w:val="23"/>
              </w:rPr>
            </w:pPr>
            <w:r w:rsidRPr="00E31A5B">
              <w:rPr>
                <w:rFonts w:ascii="Times New Roman" w:eastAsia="Times New Roman" w:hAnsi="Times New Roman" w:cs="Times New Roman"/>
                <w:b/>
                <w:bCs/>
                <w:color w:val="000000" w:themeColor="text1"/>
                <w:sz w:val="23"/>
                <w:szCs w:val="23"/>
              </w:rPr>
              <w:t>Ex. kurtosis</w:t>
            </w:r>
          </w:p>
        </w:tc>
        <w:tc>
          <w:tcPr>
            <w:tcW w:w="1480" w:type="dxa"/>
            <w:tcBorders>
              <w:top w:val="single" w:sz="4" w:space="0" w:color="auto"/>
              <w:left w:val="nil"/>
              <w:bottom w:val="nil"/>
              <w:right w:val="single" w:sz="4" w:space="0" w:color="auto"/>
            </w:tcBorders>
            <w:shd w:val="clear" w:color="auto" w:fill="auto"/>
            <w:vAlign w:val="center"/>
            <w:hideMark/>
          </w:tcPr>
          <w:p w14:paraId="7E4B803C" w14:textId="77777777" w:rsidR="00EA7F91" w:rsidRPr="00E31A5B" w:rsidRDefault="00EA7F91" w:rsidP="0068330F">
            <w:pPr>
              <w:spacing w:after="0" w:line="240" w:lineRule="auto"/>
              <w:jc w:val="center"/>
              <w:rPr>
                <w:rFonts w:ascii="Times New Roman" w:eastAsia="Times New Roman" w:hAnsi="Times New Roman" w:cs="Times New Roman"/>
                <w:b/>
                <w:bCs/>
                <w:color w:val="000000" w:themeColor="text1"/>
                <w:sz w:val="23"/>
                <w:szCs w:val="23"/>
              </w:rPr>
            </w:pPr>
            <w:r w:rsidRPr="00E31A5B">
              <w:rPr>
                <w:rFonts w:ascii="Times New Roman" w:eastAsia="Times New Roman" w:hAnsi="Times New Roman" w:cs="Times New Roman"/>
                <w:b/>
                <w:bCs/>
                <w:color w:val="000000" w:themeColor="text1"/>
                <w:sz w:val="23"/>
                <w:szCs w:val="23"/>
              </w:rPr>
              <w:t xml:space="preserve">Kurtosis Comment </w:t>
            </w:r>
          </w:p>
        </w:tc>
      </w:tr>
      <w:tr w:rsidR="00EA7F91" w:rsidRPr="00E31A5B" w14:paraId="2B91F6D6" w14:textId="77777777" w:rsidTr="00C71830">
        <w:trPr>
          <w:trHeight w:val="600"/>
        </w:trPr>
        <w:tc>
          <w:tcPr>
            <w:tcW w:w="1345" w:type="dxa"/>
            <w:tcBorders>
              <w:top w:val="single" w:sz="4" w:space="0" w:color="auto"/>
              <w:left w:val="single" w:sz="4" w:space="0" w:color="auto"/>
              <w:bottom w:val="single" w:sz="4" w:space="0" w:color="auto"/>
              <w:right w:val="nil"/>
            </w:tcBorders>
            <w:shd w:val="clear" w:color="auto" w:fill="auto"/>
            <w:vAlign w:val="center"/>
            <w:hideMark/>
          </w:tcPr>
          <w:p w14:paraId="1E2F049C" w14:textId="77777777" w:rsidR="00EA7F91" w:rsidRPr="00E31A5B" w:rsidRDefault="00EA7F91" w:rsidP="0068330F">
            <w:pPr>
              <w:spacing w:after="0" w:line="240" w:lineRule="auto"/>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Population</w:t>
            </w:r>
          </w:p>
        </w:tc>
        <w:tc>
          <w:tcPr>
            <w:tcW w:w="1041" w:type="dxa"/>
            <w:tcBorders>
              <w:top w:val="single" w:sz="4" w:space="0" w:color="auto"/>
              <w:left w:val="nil"/>
              <w:bottom w:val="single" w:sz="4" w:space="0" w:color="auto"/>
              <w:right w:val="nil"/>
            </w:tcBorders>
            <w:shd w:val="clear" w:color="auto" w:fill="auto"/>
            <w:vAlign w:val="center"/>
            <w:hideMark/>
          </w:tcPr>
          <w:p w14:paraId="0CD09291"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29.40</w:t>
            </w:r>
          </w:p>
        </w:tc>
        <w:tc>
          <w:tcPr>
            <w:tcW w:w="1041" w:type="dxa"/>
            <w:tcBorders>
              <w:top w:val="single" w:sz="4" w:space="0" w:color="auto"/>
              <w:left w:val="nil"/>
              <w:bottom w:val="single" w:sz="4" w:space="0" w:color="auto"/>
              <w:right w:val="nil"/>
            </w:tcBorders>
            <w:shd w:val="clear" w:color="auto" w:fill="auto"/>
            <w:vAlign w:val="center"/>
            <w:hideMark/>
          </w:tcPr>
          <w:p w14:paraId="38937980"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37.43</w:t>
            </w:r>
          </w:p>
        </w:tc>
        <w:tc>
          <w:tcPr>
            <w:tcW w:w="1041" w:type="dxa"/>
            <w:tcBorders>
              <w:top w:val="single" w:sz="4" w:space="0" w:color="auto"/>
              <w:left w:val="nil"/>
              <w:bottom w:val="single" w:sz="4" w:space="0" w:color="auto"/>
              <w:right w:val="nil"/>
            </w:tcBorders>
            <w:shd w:val="clear" w:color="auto" w:fill="auto"/>
            <w:vAlign w:val="center"/>
            <w:hideMark/>
          </w:tcPr>
          <w:p w14:paraId="0CA8FF84"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4.49</w:t>
            </w:r>
          </w:p>
        </w:tc>
        <w:tc>
          <w:tcPr>
            <w:tcW w:w="1160" w:type="dxa"/>
            <w:tcBorders>
              <w:top w:val="single" w:sz="4" w:space="0" w:color="auto"/>
              <w:left w:val="nil"/>
              <w:bottom w:val="single" w:sz="4" w:space="0" w:color="auto"/>
              <w:right w:val="nil"/>
            </w:tcBorders>
            <w:shd w:val="clear" w:color="auto" w:fill="auto"/>
            <w:noWrap/>
            <w:vAlign w:val="center"/>
            <w:hideMark/>
          </w:tcPr>
          <w:p w14:paraId="4A5F2087"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0.17</w:t>
            </w:r>
          </w:p>
        </w:tc>
        <w:tc>
          <w:tcPr>
            <w:tcW w:w="2022" w:type="dxa"/>
            <w:tcBorders>
              <w:top w:val="single" w:sz="4" w:space="0" w:color="auto"/>
              <w:left w:val="nil"/>
              <w:bottom w:val="single" w:sz="4" w:space="0" w:color="auto"/>
              <w:right w:val="nil"/>
            </w:tcBorders>
            <w:shd w:val="clear" w:color="auto" w:fill="auto"/>
            <w:vAlign w:val="center"/>
            <w:hideMark/>
          </w:tcPr>
          <w:p w14:paraId="3E6FB003" w14:textId="77777777" w:rsidR="00EA7F91" w:rsidRPr="00E31A5B" w:rsidRDefault="00EA7F91" w:rsidP="0068330F">
            <w:pPr>
              <w:spacing w:after="0" w:line="240" w:lineRule="auto"/>
              <w:jc w:val="center"/>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 xml:space="preserve">Positive </w:t>
            </w:r>
            <w:proofErr w:type="gramStart"/>
            <w:r w:rsidRPr="00E31A5B">
              <w:rPr>
                <w:rFonts w:ascii="Times New Roman" w:eastAsia="Times New Roman" w:hAnsi="Times New Roman" w:cs="Times New Roman"/>
                <w:color w:val="000000" w:themeColor="text1"/>
              </w:rPr>
              <w:t>fairly symmetrical</w:t>
            </w:r>
            <w:proofErr w:type="gramEnd"/>
          </w:p>
        </w:tc>
        <w:tc>
          <w:tcPr>
            <w:tcW w:w="1009" w:type="dxa"/>
            <w:tcBorders>
              <w:top w:val="single" w:sz="4" w:space="0" w:color="auto"/>
              <w:left w:val="nil"/>
              <w:bottom w:val="single" w:sz="4" w:space="0" w:color="auto"/>
              <w:right w:val="nil"/>
            </w:tcBorders>
            <w:shd w:val="clear" w:color="auto" w:fill="auto"/>
            <w:noWrap/>
            <w:vAlign w:val="center"/>
            <w:hideMark/>
          </w:tcPr>
          <w:p w14:paraId="5DC03C2E"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-1.1629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32D1896D"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Pl</w:t>
            </w:r>
            <w:r>
              <w:rPr>
                <w:rFonts w:ascii="Times New Roman" w:eastAsia="Times New Roman" w:hAnsi="Times New Roman" w:cs="Times New Roman"/>
                <w:color w:val="000000" w:themeColor="text1"/>
              </w:rPr>
              <w:t>a</w:t>
            </w:r>
            <w:r w:rsidRPr="00E31A5B">
              <w:rPr>
                <w:rFonts w:ascii="Times New Roman" w:eastAsia="Times New Roman" w:hAnsi="Times New Roman" w:cs="Times New Roman"/>
                <w:color w:val="000000" w:themeColor="text1"/>
              </w:rPr>
              <w:t>t</w:t>
            </w:r>
            <w:r>
              <w:rPr>
                <w:rFonts w:ascii="Times New Roman" w:eastAsia="Times New Roman" w:hAnsi="Times New Roman" w:cs="Times New Roman"/>
                <w:color w:val="000000" w:themeColor="text1"/>
              </w:rPr>
              <w:t>y</w:t>
            </w:r>
            <w:r w:rsidRPr="00E31A5B">
              <w:rPr>
                <w:rFonts w:ascii="Times New Roman" w:eastAsia="Times New Roman" w:hAnsi="Times New Roman" w:cs="Times New Roman"/>
                <w:color w:val="000000" w:themeColor="text1"/>
              </w:rPr>
              <w:t>kurtic</w:t>
            </w:r>
          </w:p>
        </w:tc>
      </w:tr>
      <w:tr w:rsidR="00EA7F91" w:rsidRPr="00E31A5B" w14:paraId="5DCEBE93" w14:textId="77777777" w:rsidTr="00C71830">
        <w:trPr>
          <w:trHeight w:val="600"/>
        </w:trPr>
        <w:tc>
          <w:tcPr>
            <w:tcW w:w="1345" w:type="dxa"/>
            <w:tcBorders>
              <w:top w:val="single" w:sz="4" w:space="0" w:color="auto"/>
              <w:left w:val="single" w:sz="4" w:space="0" w:color="auto"/>
              <w:bottom w:val="single" w:sz="4" w:space="0" w:color="auto"/>
              <w:right w:val="nil"/>
            </w:tcBorders>
            <w:shd w:val="clear" w:color="auto" w:fill="auto"/>
            <w:vAlign w:val="center"/>
            <w:hideMark/>
          </w:tcPr>
          <w:p w14:paraId="19B73A39" w14:textId="77777777" w:rsidR="00EA7F91" w:rsidRPr="00E31A5B" w:rsidRDefault="00EA7F91" w:rsidP="0068330F">
            <w:pPr>
              <w:spacing w:after="0" w:line="240" w:lineRule="auto"/>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GDPpc ($)</w:t>
            </w:r>
          </w:p>
        </w:tc>
        <w:tc>
          <w:tcPr>
            <w:tcW w:w="1041" w:type="dxa"/>
            <w:tcBorders>
              <w:top w:val="single" w:sz="4" w:space="0" w:color="auto"/>
              <w:left w:val="nil"/>
              <w:bottom w:val="single" w:sz="4" w:space="0" w:color="auto"/>
              <w:right w:val="nil"/>
            </w:tcBorders>
            <w:shd w:val="clear" w:color="auto" w:fill="auto"/>
            <w:vAlign w:val="center"/>
            <w:hideMark/>
          </w:tcPr>
          <w:p w14:paraId="25416551"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28486.00</w:t>
            </w:r>
          </w:p>
        </w:tc>
        <w:tc>
          <w:tcPr>
            <w:tcW w:w="1041" w:type="dxa"/>
            <w:tcBorders>
              <w:top w:val="single" w:sz="4" w:space="0" w:color="auto"/>
              <w:left w:val="nil"/>
              <w:bottom w:val="single" w:sz="4" w:space="0" w:color="auto"/>
              <w:right w:val="nil"/>
            </w:tcBorders>
            <w:shd w:val="clear" w:color="auto" w:fill="auto"/>
            <w:vAlign w:val="center"/>
            <w:hideMark/>
          </w:tcPr>
          <w:p w14:paraId="58D88846"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61088.00</w:t>
            </w:r>
          </w:p>
        </w:tc>
        <w:tc>
          <w:tcPr>
            <w:tcW w:w="1041" w:type="dxa"/>
            <w:tcBorders>
              <w:top w:val="single" w:sz="4" w:space="0" w:color="auto"/>
              <w:left w:val="nil"/>
              <w:bottom w:val="single" w:sz="4" w:space="0" w:color="auto"/>
              <w:right w:val="nil"/>
            </w:tcBorders>
            <w:shd w:val="clear" w:color="auto" w:fill="auto"/>
            <w:vAlign w:val="center"/>
            <w:hideMark/>
          </w:tcPr>
          <w:p w14:paraId="05F0D9F2"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18462.00</w:t>
            </w:r>
          </w:p>
        </w:tc>
        <w:tc>
          <w:tcPr>
            <w:tcW w:w="1160" w:type="dxa"/>
            <w:tcBorders>
              <w:top w:val="single" w:sz="4" w:space="0" w:color="auto"/>
              <w:left w:val="nil"/>
              <w:bottom w:val="single" w:sz="4" w:space="0" w:color="auto"/>
              <w:right w:val="nil"/>
            </w:tcBorders>
            <w:shd w:val="clear" w:color="auto" w:fill="auto"/>
            <w:noWrap/>
            <w:vAlign w:val="center"/>
            <w:hideMark/>
          </w:tcPr>
          <w:p w14:paraId="03E5DDB4"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-0.18</w:t>
            </w:r>
          </w:p>
        </w:tc>
        <w:tc>
          <w:tcPr>
            <w:tcW w:w="2022" w:type="dxa"/>
            <w:tcBorders>
              <w:top w:val="single" w:sz="4" w:space="0" w:color="auto"/>
              <w:left w:val="nil"/>
              <w:bottom w:val="single" w:sz="4" w:space="0" w:color="auto"/>
              <w:right w:val="nil"/>
            </w:tcBorders>
            <w:shd w:val="clear" w:color="auto" w:fill="auto"/>
            <w:vAlign w:val="center"/>
            <w:hideMark/>
          </w:tcPr>
          <w:p w14:paraId="2476EC21" w14:textId="77777777" w:rsidR="00EA7F91" w:rsidRPr="00E31A5B" w:rsidRDefault="00EA7F91" w:rsidP="0068330F">
            <w:pPr>
              <w:spacing w:after="0" w:line="240" w:lineRule="auto"/>
              <w:jc w:val="center"/>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 xml:space="preserve">Negative </w:t>
            </w:r>
            <w:proofErr w:type="gramStart"/>
            <w:r w:rsidRPr="00E31A5B">
              <w:rPr>
                <w:rFonts w:ascii="Times New Roman" w:eastAsia="Times New Roman" w:hAnsi="Times New Roman" w:cs="Times New Roman"/>
                <w:color w:val="000000" w:themeColor="text1"/>
              </w:rPr>
              <w:t>fairly symmetrical</w:t>
            </w:r>
            <w:proofErr w:type="gramEnd"/>
          </w:p>
        </w:tc>
        <w:tc>
          <w:tcPr>
            <w:tcW w:w="1009" w:type="dxa"/>
            <w:tcBorders>
              <w:top w:val="single" w:sz="4" w:space="0" w:color="auto"/>
              <w:left w:val="nil"/>
              <w:bottom w:val="single" w:sz="4" w:space="0" w:color="auto"/>
              <w:right w:val="nil"/>
            </w:tcBorders>
            <w:shd w:val="clear" w:color="auto" w:fill="auto"/>
            <w:noWrap/>
            <w:vAlign w:val="center"/>
            <w:hideMark/>
          </w:tcPr>
          <w:p w14:paraId="014D6823"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-1.2100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11A0B865"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Pl</w:t>
            </w:r>
            <w:r>
              <w:rPr>
                <w:rFonts w:ascii="Times New Roman" w:eastAsia="Times New Roman" w:hAnsi="Times New Roman" w:cs="Times New Roman"/>
                <w:color w:val="000000" w:themeColor="text1"/>
              </w:rPr>
              <w:t>a</w:t>
            </w:r>
            <w:r w:rsidRPr="00E31A5B">
              <w:rPr>
                <w:rFonts w:ascii="Times New Roman" w:eastAsia="Times New Roman" w:hAnsi="Times New Roman" w:cs="Times New Roman"/>
                <w:color w:val="000000" w:themeColor="text1"/>
              </w:rPr>
              <w:t>t</w:t>
            </w:r>
            <w:r>
              <w:rPr>
                <w:rFonts w:ascii="Times New Roman" w:eastAsia="Times New Roman" w:hAnsi="Times New Roman" w:cs="Times New Roman"/>
                <w:color w:val="000000" w:themeColor="text1"/>
              </w:rPr>
              <w:t>y</w:t>
            </w:r>
            <w:r w:rsidRPr="00E31A5B">
              <w:rPr>
                <w:rFonts w:ascii="Times New Roman" w:eastAsia="Times New Roman" w:hAnsi="Times New Roman" w:cs="Times New Roman"/>
                <w:color w:val="000000" w:themeColor="text1"/>
              </w:rPr>
              <w:t>kurtic</w:t>
            </w:r>
          </w:p>
        </w:tc>
      </w:tr>
      <w:tr w:rsidR="00EA7F91" w:rsidRPr="00E31A5B" w14:paraId="10CF745E" w14:textId="77777777" w:rsidTr="00C71830">
        <w:trPr>
          <w:trHeight w:val="600"/>
        </w:trPr>
        <w:tc>
          <w:tcPr>
            <w:tcW w:w="1345" w:type="dxa"/>
            <w:tcBorders>
              <w:top w:val="nil"/>
              <w:left w:val="single" w:sz="4" w:space="0" w:color="auto"/>
              <w:bottom w:val="single" w:sz="4" w:space="0" w:color="auto"/>
              <w:right w:val="nil"/>
            </w:tcBorders>
            <w:shd w:val="clear" w:color="auto" w:fill="auto"/>
            <w:vAlign w:val="center"/>
            <w:hideMark/>
          </w:tcPr>
          <w:p w14:paraId="5F720878" w14:textId="77777777" w:rsidR="00EA7F91" w:rsidRPr="00E31A5B" w:rsidRDefault="00EA7F91" w:rsidP="0068330F">
            <w:pPr>
              <w:spacing w:after="0" w:line="240" w:lineRule="auto"/>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GNDIpc ($)</w:t>
            </w:r>
          </w:p>
        </w:tc>
        <w:tc>
          <w:tcPr>
            <w:tcW w:w="1041" w:type="dxa"/>
            <w:tcBorders>
              <w:top w:val="nil"/>
              <w:left w:val="nil"/>
              <w:bottom w:val="single" w:sz="4" w:space="0" w:color="auto"/>
              <w:right w:val="nil"/>
            </w:tcBorders>
            <w:shd w:val="clear" w:color="auto" w:fill="auto"/>
            <w:vAlign w:val="center"/>
            <w:hideMark/>
          </w:tcPr>
          <w:p w14:paraId="34BBDDE1"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27577.00</w:t>
            </w:r>
          </w:p>
        </w:tc>
        <w:tc>
          <w:tcPr>
            <w:tcW w:w="1041" w:type="dxa"/>
            <w:tcBorders>
              <w:top w:val="nil"/>
              <w:left w:val="nil"/>
              <w:bottom w:val="single" w:sz="4" w:space="0" w:color="auto"/>
              <w:right w:val="nil"/>
            </w:tcBorders>
            <w:shd w:val="clear" w:color="auto" w:fill="auto"/>
            <w:vAlign w:val="center"/>
            <w:hideMark/>
          </w:tcPr>
          <w:p w14:paraId="263BC500"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60160.00</w:t>
            </w:r>
          </w:p>
        </w:tc>
        <w:tc>
          <w:tcPr>
            <w:tcW w:w="1041" w:type="dxa"/>
            <w:tcBorders>
              <w:top w:val="nil"/>
              <w:left w:val="nil"/>
              <w:bottom w:val="single" w:sz="4" w:space="0" w:color="auto"/>
              <w:right w:val="nil"/>
            </w:tcBorders>
            <w:shd w:val="clear" w:color="auto" w:fill="auto"/>
            <w:vAlign w:val="center"/>
            <w:hideMark/>
          </w:tcPr>
          <w:p w14:paraId="5E0156AF"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18481.00</w:t>
            </w:r>
          </w:p>
        </w:tc>
        <w:tc>
          <w:tcPr>
            <w:tcW w:w="1160" w:type="dxa"/>
            <w:tcBorders>
              <w:top w:val="nil"/>
              <w:left w:val="nil"/>
              <w:bottom w:val="single" w:sz="4" w:space="0" w:color="auto"/>
              <w:right w:val="nil"/>
            </w:tcBorders>
            <w:shd w:val="clear" w:color="auto" w:fill="auto"/>
            <w:noWrap/>
            <w:vAlign w:val="center"/>
            <w:hideMark/>
          </w:tcPr>
          <w:p w14:paraId="74674E90"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-0.18</w:t>
            </w:r>
          </w:p>
        </w:tc>
        <w:tc>
          <w:tcPr>
            <w:tcW w:w="2022" w:type="dxa"/>
            <w:tcBorders>
              <w:top w:val="nil"/>
              <w:left w:val="nil"/>
              <w:bottom w:val="single" w:sz="4" w:space="0" w:color="auto"/>
              <w:right w:val="nil"/>
            </w:tcBorders>
            <w:shd w:val="clear" w:color="auto" w:fill="auto"/>
            <w:vAlign w:val="center"/>
            <w:hideMark/>
          </w:tcPr>
          <w:p w14:paraId="3A3DE618" w14:textId="77777777" w:rsidR="00EA7F91" w:rsidRPr="00E31A5B" w:rsidRDefault="00EA7F91" w:rsidP="0068330F">
            <w:pPr>
              <w:spacing w:after="0" w:line="240" w:lineRule="auto"/>
              <w:jc w:val="center"/>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 xml:space="preserve">Negative </w:t>
            </w:r>
            <w:proofErr w:type="gramStart"/>
            <w:r w:rsidRPr="00E31A5B">
              <w:rPr>
                <w:rFonts w:ascii="Times New Roman" w:eastAsia="Times New Roman" w:hAnsi="Times New Roman" w:cs="Times New Roman"/>
                <w:color w:val="000000" w:themeColor="text1"/>
              </w:rPr>
              <w:t>fairly symmetrical</w:t>
            </w:r>
            <w:proofErr w:type="gramEnd"/>
          </w:p>
        </w:tc>
        <w:tc>
          <w:tcPr>
            <w:tcW w:w="1009" w:type="dxa"/>
            <w:tcBorders>
              <w:top w:val="nil"/>
              <w:left w:val="nil"/>
              <w:bottom w:val="single" w:sz="4" w:space="0" w:color="auto"/>
              <w:right w:val="nil"/>
            </w:tcBorders>
            <w:shd w:val="clear" w:color="auto" w:fill="auto"/>
            <w:noWrap/>
            <w:vAlign w:val="center"/>
            <w:hideMark/>
          </w:tcPr>
          <w:p w14:paraId="73B10341"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-1.2136</w:t>
            </w:r>
          </w:p>
        </w:tc>
        <w:tc>
          <w:tcPr>
            <w:tcW w:w="1480" w:type="dxa"/>
            <w:tcBorders>
              <w:top w:val="nil"/>
              <w:left w:val="nil"/>
              <w:bottom w:val="single" w:sz="4" w:space="0" w:color="auto"/>
              <w:right w:val="single" w:sz="4" w:space="0" w:color="auto"/>
            </w:tcBorders>
            <w:shd w:val="clear" w:color="auto" w:fill="auto"/>
            <w:noWrap/>
            <w:vAlign w:val="center"/>
            <w:hideMark/>
          </w:tcPr>
          <w:p w14:paraId="68D6BAF7"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Pl</w:t>
            </w:r>
            <w:r>
              <w:rPr>
                <w:rFonts w:ascii="Times New Roman" w:eastAsia="Times New Roman" w:hAnsi="Times New Roman" w:cs="Times New Roman"/>
                <w:color w:val="000000" w:themeColor="text1"/>
              </w:rPr>
              <w:t>a</w:t>
            </w:r>
            <w:r w:rsidRPr="00E31A5B">
              <w:rPr>
                <w:rFonts w:ascii="Times New Roman" w:eastAsia="Times New Roman" w:hAnsi="Times New Roman" w:cs="Times New Roman"/>
                <w:color w:val="000000" w:themeColor="text1"/>
              </w:rPr>
              <w:t>t</w:t>
            </w:r>
            <w:r>
              <w:rPr>
                <w:rFonts w:ascii="Times New Roman" w:eastAsia="Times New Roman" w:hAnsi="Times New Roman" w:cs="Times New Roman"/>
                <w:color w:val="000000" w:themeColor="text1"/>
              </w:rPr>
              <w:t>y</w:t>
            </w:r>
            <w:r w:rsidRPr="00E31A5B">
              <w:rPr>
                <w:rFonts w:ascii="Times New Roman" w:eastAsia="Times New Roman" w:hAnsi="Times New Roman" w:cs="Times New Roman"/>
                <w:color w:val="000000" w:themeColor="text1"/>
              </w:rPr>
              <w:t>kurtic</w:t>
            </w:r>
          </w:p>
        </w:tc>
      </w:tr>
      <w:tr w:rsidR="00EA7F91" w:rsidRPr="00E31A5B" w14:paraId="5201D9AB" w14:textId="77777777" w:rsidTr="00C71830">
        <w:trPr>
          <w:trHeight w:val="600"/>
        </w:trPr>
        <w:tc>
          <w:tcPr>
            <w:tcW w:w="1345" w:type="dxa"/>
            <w:tcBorders>
              <w:top w:val="nil"/>
              <w:left w:val="single" w:sz="4" w:space="0" w:color="auto"/>
              <w:bottom w:val="single" w:sz="4" w:space="0" w:color="auto"/>
              <w:right w:val="nil"/>
            </w:tcBorders>
            <w:shd w:val="clear" w:color="auto" w:fill="auto"/>
            <w:vAlign w:val="center"/>
            <w:hideMark/>
          </w:tcPr>
          <w:p w14:paraId="01AFFD70" w14:textId="77777777" w:rsidR="00EA7F91" w:rsidRPr="00E31A5B" w:rsidRDefault="00EA7F91" w:rsidP="0068330F">
            <w:pPr>
              <w:spacing w:after="0" w:line="240" w:lineRule="auto"/>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HDI</w:t>
            </w:r>
          </w:p>
        </w:tc>
        <w:tc>
          <w:tcPr>
            <w:tcW w:w="1041" w:type="dxa"/>
            <w:tcBorders>
              <w:top w:val="nil"/>
              <w:left w:val="nil"/>
              <w:bottom w:val="single" w:sz="4" w:space="0" w:color="auto"/>
              <w:right w:val="nil"/>
            </w:tcBorders>
            <w:shd w:val="clear" w:color="auto" w:fill="auto"/>
            <w:vAlign w:val="center"/>
            <w:hideMark/>
          </w:tcPr>
          <w:p w14:paraId="579A6982"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0.86</w:t>
            </w:r>
          </w:p>
        </w:tc>
        <w:tc>
          <w:tcPr>
            <w:tcW w:w="1041" w:type="dxa"/>
            <w:tcBorders>
              <w:top w:val="nil"/>
              <w:left w:val="nil"/>
              <w:bottom w:val="single" w:sz="4" w:space="0" w:color="auto"/>
              <w:right w:val="nil"/>
            </w:tcBorders>
            <w:shd w:val="clear" w:color="auto" w:fill="auto"/>
            <w:vAlign w:val="center"/>
            <w:hideMark/>
          </w:tcPr>
          <w:p w14:paraId="59CE866E"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0.93</w:t>
            </w:r>
          </w:p>
        </w:tc>
        <w:tc>
          <w:tcPr>
            <w:tcW w:w="1041" w:type="dxa"/>
            <w:tcBorders>
              <w:top w:val="nil"/>
              <w:left w:val="nil"/>
              <w:bottom w:val="single" w:sz="4" w:space="0" w:color="auto"/>
              <w:right w:val="nil"/>
            </w:tcBorders>
            <w:shd w:val="clear" w:color="auto" w:fill="auto"/>
            <w:vAlign w:val="center"/>
            <w:hideMark/>
          </w:tcPr>
          <w:p w14:paraId="63081183"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0.05</w:t>
            </w:r>
          </w:p>
        </w:tc>
        <w:tc>
          <w:tcPr>
            <w:tcW w:w="1160" w:type="dxa"/>
            <w:tcBorders>
              <w:top w:val="nil"/>
              <w:left w:val="nil"/>
              <w:bottom w:val="single" w:sz="4" w:space="0" w:color="auto"/>
              <w:right w:val="nil"/>
            </w:tcBorders>
            <w:shd w:val="clear" w:color="auto" w:fill="auto"/>
            <w:noWrap/>
            <w:vAlign w:val="center"/>
            <w:hideMark/>
          </w:tcPr>
          <w:p w14:paraId="4794A97A"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-0.03</w:t>
            </w:r>
          </w:p>
        </w:tc>
        <w:tc>
          <w:tcPr>
            <w:tcW w:w="2022" w:type="dxa"/>
            <w:tcBorders>
              <w:top w:val="nil"/>
              <w:left w:val="nil"/>
              <w:bottom w:val="single" w:sz="4" w:space="0" w:color="auto"/>
              <w:right w:val="nil"/>
            </w:tcBorders>
            <w:shd w:val="clear" w:color="auto" w:fill="auto"/>
            <w:vAlign w:val="center"/>
            <w:hideMark/>
          </w:tcPr>
          <w:p w14:paraId="2D3693D3" w14:textId="77777777" w:rsidR="00EA7F91" w:rsidRPr="00E31A5B" w:rsidRDefault="00EA7F91" w:rsidP="0068330F">
            <w:pPr>
              <w:spacing w:after="0" w:line="240" w:lineRule="auto"/>
              <w:jc w:val="center"/>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 xml:space="preserve">Negative </w:t>
            </w:r>
            <w:proofErr w:type="gramStart"/>
            <w:r w:rsidRPr="00E31A5B">
              <w:rPr>
                <w:rFonts w:ascii="Times New Roman" w:eastAsia="Times New Roman" w:hAnsi="Times New Roman" w:cs="Times New Roman"/>
                <w:color w:val="000000" w:themeColor="text1"/>
              </w:rPr>
              <w:t>fairly symmetrical</w:t>
            </w:r>
            <w:proofErr w:type="gramEnd"/>
          </w:p>
        </w:tc>
        <w:tc>
          <w:tcPr>
            <w:tcW w:w="1009" w:type="dxa"/>
            <w:tcBorders>
              <w:top w:val="nil"/>
              <w:left w:val="nil"/>
              <w:bottom w:val="single" w:sz="4" w:space="0" w:color="auto"/>
              <w:right w:val="nil"/>
            </w:tcBorders>
            <w:shd w:val="clear" w:color="auto" w:fill="auto"/>
            <w:noWrap/>
            <w:vAlign w:val="center"/>
            <w:hideMark/>
          </w:tcPr>
          <w:p w14:paraId="21D1CBB6"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-1.2842</w:t>
            </w:r>
          </w:p>
        </w:tc>
        <w:tc>
          <w:tcPr>
            <w:tcW w:w="1480" w:type="dxa"/>
            <w:tcBorders>
              <w:top w:val="nil"/>
              <w:left w:val="nil"/>
              <w:bottom w:val="single" w:sz="4" w:space="0" w:color="auto"/>
              <w:right w:val="single" w:sz="4" w:space="0" w:color="auto"/>
            </w:tcBorders>
            <w:shd w:val="clear" w:color="auto" w:fill="auto"/>
            <w:noWrap/>
            <w:vAlign w:val="center"/>
            <w:hideMark/>
          </w:tcPr>
          <w:p w14:paraId="0880D897"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Pl</w:t>
            </w:r>
            <w:r>
              <w:rPr>
                <w:rFonts w:ascii="Times New Roman" w:eastAsia="Times New Roman" w:hAnsi="Times New Roman" w:cs="Times New Roman"/>
                <w:color w:val="000000" w:themeColor="text1"/>
              </w:rPr>
              <w:t>a</w:t>
            </w:r>
            <w:r w:rsidRPr="00E31A5B">
              <w:rPr>
                <w:rFonts w:ascii="Times New Roman" w:eastAsia="Times New Roman" w:hAnsi="Times New Roman" w:cs="Times New Roman"/>
                <w:color w:val="000000" w:themeColor="text1"/>
              </w:rPr>
              <w:t>t</w:t>
            </w:r>
            <w:r>
              <w:rPr>
                <w:rFonts w:ascii="Times New Roman" w:eastAsia="Times New Roman" w:hAnsi="Times New Roman" w:cs="Times New Roman"/>
                <w:color w:val="000000" w:themeColor="text1"/>
              </w:rPr>
              <w:t>y</w:t>
            </w:r>
            <w:r w:rsidRPr="00E31A5B">
              <w:rPr>
                <w:rFonts w:ascii="Times New Roman" w:eastAsia="Times New Roman" w:hAnsi="Times New Roman" w:cs="Times New Roman"/>
                <w:color w:val="000000" w:themeColor="text1"/>
              </w:rPr>
              <w:t>kurtic</w:t>
            </w:r>
          </w:p>
        </w:tc>
      </w:tr>
      <w:tr w:rsidR="00EA7F91" w:rsidRPr="00E31A5B" w14:paraId="2D8CBECE" w14:textId="77777777" w:rsidTr="00C71830">
        <w:trPr>
          <w:trHeight w:val="600"/>
        </w:trPr>
        <w:tc>
          <w:tcPr>
            <w:tcW w:w="1345" w:type="dxa"/>
            <w:tcBorders>
              <w:top w:val="nil"/>
              <w:left w:val="single" w:sz="4" w:space="0" w:color="auto"/>
              <w:bottom w:val="single" w:sz="4" w:space="0" w:color="auto"/>
              <w:right w:val="nil"/>
            </w:tcBorders>
            <w:shd w:val="clear" w:color="auto" w:fill="auto"/>
            <w:vAlign w:val="center"/>
            <w:hideMark/>
          </w:tcPr>
          <w:p w14:paraId="2C085388" w14:textId="77777777" w:rsidR="00EA7F91" w:rsidRPr="00E31A5B" w:rsidRDefault="00EA7F91" w:rsidP="0068330F">
            <w:pPr>
              <w:spacing w:after="0" w:line="240" w:lineRule="auto"/>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IEF</w:t>
            </w:r>
          </w:p>
        </w:tc>
        <w:tc>
          <w:tcPr>
            <w:tcW w:w="1041" w:type="dxa"/>
            <w:tcBorders>
              <w:top w:val="nil"/>
              <w:left w:val="nil"/>
              <w:bottom w:val="single" w:sz="4" w:space="0" w:color="auto"/>
              <w:right w:val="nil"/>
            </w:tcBorders>
            <w:shd w:val="clear" w:color="auto" w:fill="auto"/>
            <w:vAlign w:val="center"/>
            <w:hideMark/>
          </w:tcPr>
          <w:p w14:paraId="56795D26"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68.08</w:t>
            </w:r>
          </w:p>
        </w:tc>
        <w:tc>
          <w:tcPr>
            <w:tcW w:w="1041" w:type="dxa"/>
            <w:tcBorders>
              <w:top w:val="nil"/>
              <w:left w:val="nil"/>
              <w:bottom w:val="single" w:sz="4" w:space="0" w:color="auto"/>
              <w:right w:val="nil"/>
            </w:tcBorders>
            <w:shd w:val="clear" w:color="auto" w:fill="auto"/>
            <w:vAlign w:val="center"/>
            <w:hideMark/>
          </w:tcPr>
          <w:p w14:paraId="08F7655B"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80.71</w:t>
            </w:r>
          </w:p>
        </w:tc>
        <w:tc>
          <w:tcPr>
            <w:tcW w:w="1041" w:type="dxa"/>
            <w:tcBorders>
              <w:top w:val="nil"/>
              <w:left w:val="nil"/>
              <w:bottom w:val="single" w:sz="4" w:space="0" w:color="auto"/>
              <w:right w:val="nil"/>
            </w:tcBorders>
            <w:shd w:val="clear" w:color="auto" w:fill="auto"/>
            <w:vAlign w:val="center"/>
            <w:hideMark/>
          </w:tcPr>
          <w:p w14:paraId="15F812C7"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8.80</w:t>
            </w:r>
          </w:p>
        </w:tc>
        <w:tc>
          <w:tcPr>
            <w:tcW w:w="1160" w:type="dxa"/>
            <w:tcBorders>
              <w:top w:val="nil"/>
              <w:left w:val="nil"/>
              <w:bottom w:val="single" w:sz="4" w:space="0" w:color="auto"/>
              <w:right w:val="nil"/>
            </w:tcBorders>
            <w:shd w:val="clear" w:color="auto" w:fill="auto"/>
            <w:noWrap/>
            <w:vAlign w:val="center"/>
            <w:hideMark/>
          </w:tcPr>
          <w:p w14:paraId="68F5110A"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-0.59</w:t>
            </w:r>
          </w:p>
        </w:tc>
        <w:tc>
          <w:tcPr>
            <w:tcW w:w="2022" w:type="dxa"/>
            <w:tcBorders>
              <w:top w:val="nil"/>
              <w:left w:val="nil"/>
              <w:bottom w:val="single" w:sz="4" w:space="0" w:color="auto"/>
              <w:right w:val="nil"/>
            </w:tcBorders>
            <w:shd w:val="clear" w:color="auto" w:fill="auto"/>
            <w:vAlign w:val="center"/>
            <w:hideMark/>
          </w:tcPr>
          <w:p w14:paraId="1C9BA80B" w14:textId="77777777" w:rsidR="00EA7F91" w:rsidRPr="00E31A5B" w:rsidRDefault="00EA7F91" w:rsidP="0068330F">
            <w:pPr>
              <w:spacing w:after="0" w:line="240" w:lineRule="auto"/>
              <w:jc w:val="center"/>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Negative moderately Skewed</w:t>
            </w:r>
          </w:p>
        </w:tc>
        <w:tc>
          <w:tcPr>
            <w:tcW w:w="1009" w:type="dxa"/>
            <w:tcBorders>
              <w:top w:val="nil"/>
              <w:left w:val="nil"/>
              <w:bottom w:val="single" w:sz="4" w:space="0" w:color="auto"/>
              <w:right w:val="nil"/>
            </w:tcBorders>
            <w:shd w:val="clear" w:color="auto" w:fill="auto"/>
            <w:noWrap/>
            <w:vAlign w:val="center"/>
            <w:hideMark/>
          </w:tcPr>
          <w:p w14:paraId="1A8A67B2"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-1.1397</w:t>
            </w:r>
          </w:p>
        </w:tc>
        <w:tc>
          <w:tcPr>
            <w:tcW w:w="1480" w:type="dxa"/>
            <w:tcBorders>
              <w:top w:val="nil"/>
              <w:left w:val="nil"/>
              <w:bottom w:val="single" w:sz="4" w:space="0" w:color="auto"/>
              <w:right w:val="single" w:sz="4" w:space="0" w:color="auto"/>
            </w:tcBorders>
            <w:shd w:val="clear" w:color="auto" w:fill="auto"/>
            <w:noWrap/>
            <w:vAlign w:val="center"/>
            <w:hideMark/>
          </w:tcPr>
          <w:p w14:paraId="4AB8C5E5" w14:textId="77777777" w:rsidR="00EA7F91" w:rsidRPr="00E31A5B" w:rsidRDefault="00EA7F91" w:rsidP="0068330F">
            <w:pPr>
              <w:spacing w:after="0" w:line="240" w:lineRule="auto"/>
              <w:jc w:val="right"/>
              <w:rPr>
                <w:rFonts w:ascii="Times New Roman" w:eastAsia="Times New Roman" w:hAnsi="Times New Roman" w:cs="Times New Roman"/>
                <w:color w:val="000000" w:themeColor="text1"/>
              </w:rPr>
            </w:pPr>
            <w:r w:rsidRPr="00E31A5B">
              <w:rPr>
                <w:rFonts w:ascii="Times New Roman" w:eastAsia="Times New Roman" w:hAnsi="Times New Roman" w:cs="Times New Roman"/>
                <w:color w:val="000000" w:themeColor="text1"/>
              </w:rPr>
              <w:t>Pl</w:t>
            </w:r>
            <w:r>
              <w:rPr>
                <w:rFonts w:ascii="Times New Roman" w:eastAsia="Times New Roman" w:hAnsi="Times New Roman" w:cs="Times New Roman"/>
                <w:color w:val="000000" w:themeColor="text1"/>
              </w:rPr>
              <w:t>a</w:t>
            </w:r>
            <w:r w:rsidRPr="00E31A5B">
              <w:rPr>
                <w:rFonts w:ascii="Times New Roman" w:eastAsia="Times New Roman" w:hAnsi="Times New Roman" w:cs="Times New Roman"/>
                <w:color w:val="000000" w:themeColor="text1"/>
              </w:rPr>
              <w:t>t</w:t>
            </w:r>
            <w:r>
              <w:rPr>
                <w:rFonts w:ascii="Times New Roman" w:eastAsia="Times New Roman" w:hAnsi="Times New Roman" w:cs="Times New Roman"/>
                <w:color w:val="000000" w:themeColor="text1"/>
              </w:rPr>
              <w:t>y</w:t>
            </w:r>
            <w:r w:rsidRPr="00E31A5B">
              <w:rPr>
                <w:rFonts w:ascii="Times New Roman" w:eastAsia="Times New Roman" w:hAnsi="Times New Roman" w:cs="Times New Roman"/>
                <w:color w:val="000000" w:themeColor="text1"/>
              </w:rPr>
              <w:t>kurtic</w:t>
            </w:r>
          </w:p>
        </w:tc>
      </w:tr>
    </w:tbl>
    <w:p w14:paraId="0B80ABCC" w14:textId="6EF85AC4" w:rsidR="00EA7F91" w:rsidRDefault="00EA7F91" w:rsidP="0068330F">
      <w:pPr>
        <w:spacing w:line="240" w:lineRule="auto"/>
        <w:rPr>
          <w:rFonts w:ascii="Times New Roman" w:hAnsi="Times New Roman" w:cs="Times New Roman"/>
          <w:color w:val="000000" w:themeColor="text1"/>
        </w:rPr>
      </w:pPr>
      <w:r w:rsidRPr="00E31A5B">
        <w:rPr>
          <w:rFonts w:ascii="Times New Roman" w:hAnsi="Times New Roman" w:cs="Times New Roman"/>
          <w:i/>
          <w:iCs/>
          <w:color w:val="000000" w:themeColor="text1"/>
        </w:rPr>
        <w:t>Note:</w:t>
      </w:r>
      <w:r w:rsidRPr="00E31A5B">
        <w:rPr>
          <w:rFonts w:ascii="Times New Roman" w:hAnsi="Times New Roman" w:cs="Times New Roman"/>
          <w:color w:val="000000" w:themeColor="text1"/>
        </w:rPr>
        <w:t xml:space="preserve"> (a) Population is in Millions </w:t>
      </w:r>
    </w:p>
    <w:p w14:paraId="48BEF5AF" w14:textId="77777777" w:rsidR="003100B7" w:rsidRPr="00E31A5B" w:rsidRDefault="003100B7" w:rsidP="0068330F">
      <w:pPr>
        <w:spacing w:line="240" w:lineRule="auto"/>
        <w:rPr>
          <w:rFonts w:ascii="Times New Roman" w:hAnsi="Times New Roman" w:cs="Times New Roman"/>
          <w:color w:val="000000" w:themeColor="text1"/>
        </w:rPr>
      </w:pPr>
    </w:p>
    <w:p w14:paraId="3504DECE" w14:textId="3837280D" w:rsidR="00462BBF" w:rsidRPr="00E31A5B" w:rsidRDefault="00462BBF" w:rsidP="0068330F">
      <w:pPr>
        <w:pStyle w:val="MyTables"/>
        <w:spacing w:before="240"/>
      </w:pPr>
      <w:bookmarkStart w:id="17" w:name="_Toc79604484"/>
      <w:bookmarkStart w:id="18" w:name="_Hlk75710485"/>
      <w:bookmarkEnd w:id="13"/>
      <w:r w:rsidRPr="00E31A5B">
        <w:t>Table 4</w:t>
      </w:r>
      <w:bookmarkEnd w:id="17"/>
      <w:r w:rsidRPr="00E31A5B">
        <w:t xml:space="preserve"> </w:t>
      </w:r>
    </w:p>
    <w:p w14:paraId="16E44414" w14:textId="77777777" w:rsidR="00462BBF" w:rsidRPr="00D53689" w:rsidRDefault="00462BBF" w:rsidP="0068330F">
      <w:pPr>
        <w:pStyle w:val="MyTables"/>
        <w:rPr>
          <w:rFonts w:cs="Times New Roman"/>
          <w:b w:val="0"/>
          <w:bCs w:val="0"/>
          <w:i/>
          <w:szCs w:val="24"/>
        </w:rPr>
      </w:pPr>
      <w:bookmarkStart w:id="19" w:name="_Toc79604485"/>
      <w:r w:rsidRPr="00D53689">
        <w:rPr>
          <w:rFonts w:cs="Times New Roman"/>
          <w:b w:val="0"/>
          <w:bCs w:val="0"/>
          <w:i/>
          <w:szCs w:val="24"/>
        </w:rPr>
        <w:t>Summary results of ADF unit root tests</w:t>
      </w:r>
      <w:bookmarkEnd w:id="19"/>
    </w:p>
    <w:tbl>
      <w:tblPr>
        <w:tblStyle w:val="TableGrid"/>
        <w:tblW w:w="9535" w:type="dxa"/>
        <w:tblBorders>
          <w:insideV w:val="none" w:sz="0" w:space="0" w:color="auto"/>
        </w:tblBorders>
        <w:tblLayout w:type="fixed"/>
        <w:tblLook w:val="04A0" w:firstRow="1" w:lastRow="0" w:firstColumn="1" w:lastColumn="0" w:noHBand="0" w:noVBand="1"/>
      </w:tblPr>
      <w:tblGrid>
        <w:gridCol w:w="2065"/>
        <w:gridCol w:w="2250"/>
        <w:gridCol w:w="1710"/>
        <w:gridCol w:w="3510"/>
      </w:tblGrid>
      <w:tr w:rsidR="00462BBF" w:rsidRPr="00E31A5B" w14:paraId="2515EAD8" w14:textId="77777777" w:rsidTr="00A9142C">
        <w:trPr>
          <w:trHeight w:val="431"/>
        </w:trPr>
        <w:tc>
          <w:tcPr>
            <w:tcW w:w="2065" w:type="dxa"/>
            <w:vAlign w:val="center"/>
          </w:tcPr>
          <w:p w14:paraId="4E14726E"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Variable</w:t>
            </w:r>
          </w:p>
        </w:tc>
        <w:tc>
          <w:tcPr>
            <w:tcW w:w="2250" w:type="dxa"/>
            <w:vAlign w:val="center"/>
          </w:tcPr>
          <w:p w14:paraId="0176C486"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Type</w:t>
            </w:r>
          </w:p>
        </w:tc>
        <w:tc>
          <w:tcPr>
            <w:tcW w:w="1710" w:type="dxa"/>
            <w:vAlign w:val="center"/>
          </w:tcPr>
          <w:p w14:paraId="445E04FF"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w:t>
            </w:r>
          </w:p>
        </w:tc>
        <w:tc>
          <w:tcPr>
            <w:tcW w:w="3510" w:type="dxa"/>
            <w:vAlign w:val="center"/>
          </w:tcPr>
          <w:p w14:paraId="65F28CF1"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Stationarity</w:t>
            </w:r>
          </w:p>
        </w:tc>
      </w:tr>
      <w:tr w:rsidR="00462BBF" w:rsidRPr="00E31A5B" w14:paraId="4A690F16" w14:textId="77777777" w:rsidTr="00A9142C">
        <w:tc>
          <w:tcPr>
            <w:tcW w:w="2065" w:type="dxa"/>
            <w:vMerge w:val="restart"/>
            <w:vAlign w:val="center"/>
          </w:tcPr>
          <w:p w14:paraId="60FA24B0" w14:textId="77777777" w:rsidR="00462BBF" w:rsidRPr="00E31A5B" w:rsidRDefault="00462BBF" w:rsidP="0068330F">
            <w:pPr>
              <w:jc w:val="center"/>
              <w:rPr>
                <w:color w:val="000000" w:themeColor="text1"/>
                <w:sz w:val="22"/>
                <w:szCs w:val="22"/>
              </w:rPr>
            </w:pPr>
            <w:r w:rsidRPr="00E31A5B">
              <w:rPr>
                <w:color w:val="000000" w:themeColor="text1"/>
                <w:sz w:val="22"/>
                <w:szCs w:val="22"/>
              </w:rPr>
              <w:t>GDPpc</w:t>
            </w:r>
          </w:p>
        </w:tc>
        <w:tc>
          <w:tcPr>
            <w:tcW w:w="2250" w:type="dxa"/>
            <w:vAlign w:val="center"/>
          </w:tcPr>
          <w:p w14:paraId="775E6DD8" w14:textId="77777777" w:rsidR="00462BBF" w:rsidRPr="00E31A5B" w:rsidRDefault="00462BBF" w:rsidP="0068330F">
            <w:pPr>
              <w:jc w:val="center"/>
              <w:rPr>
                <w:color w:val="000000" w:themeColor="text1"/>
                <w:sz w:val="22"/>
                <w:szCs w:val="22"/>
              </w:rPr>
            </w:pPr>
            <w:r w:rsidRPr="00E31A5B">
              <w:rPr>
                <w:color w:val="000000" w:themeColor="text1"/>
                <w:sz w:val="22"/>
                <w:szCs w:val="22"/>
              </w:rPr>
              <w:t>Level</w:t>
            </w:r>
          </w:p>
        </w:tc>
        <w:tc>
          <w:tcPr>
            <w:tcW w:w="1710" w:type="dxa"/>
            <w:vAlign w:val="center"/>
          </w:tcPr>
          <w:p w14:paraId="7CA8E59C" w14:textId="77777777" w:rsidR="00462BBF" w:rsidRPr="00E31A5B" w:rsidRDefault="00462BBF" w:rsidP="0068330F">
            <w:pPr>
              <w:jc w:val="center"/>
              <w:rPr>
                <w:color w:val="000000" w:themeColor="text1"/>
                <w:sz w:val="22"/>
                <w:szCs w:val="22"/>
              </w:rPr>
            </w:pPr>
            <w:r w:rsidRPr="00E31A5B">
              <w:rPr>
                <w:color w:val="000000" w:themeColor="text1"/>
                <w:sz w:val="22"/>
                <w:szCs w:val="22"/>
              </w:rPr>
              <w:t>0.3565</w:t>
            </w:r>
          </w:p>
        </w:tc>
        <w:tc>
          <w:tcPr>
            <w:tcW w:w="3510" w:type="dxa"/>
          </w:tcPr>
          <w:p w14:paraId="767D9278" w14:textId="77777777" w:rsidR="00462BBF" w:rsidRPr="00E31A5B" w:rsidRDefault="00462BBF" w:rsidP="0068330F">
            <w:pPr>
              <w:jc w:val="center"/>
              <w:rPr>
                <w:color w:val="000000" w:themeColor="text1"/>
                <w:sz w:val="22"/>
                <w:szCs w:val="22"/>
              </w:rPr>
            </w:pPr>
            <w:r w:rsidRPr="00E31A5B">
              <w:rPr>
                <w:color w:val="000000" w:themeColor="text1"/>
                <w:sz w:val="22"/>
                <w:szCs w:val="22"/>
              </w:rPr>
              <w:t>Non-stationary</w:t>
            </w:r>
          </w:p>
        </w:tc>
      </w:tr>
      <w:tr w:rsidR="00462BBF" w:rsidRPr="00E31A5B" w14:paraId="781238BE" w14:textId="77777777" w:rsidTr="00A9142C">
        <w:tc>
          <w:tcPr>
            <w:tcW w:w="2065" w:type="dxa"/>
            <w:vMerge/>
            <w:vAlign w:val="center"/>
          </w:tcPr>
          <w:p w14:paraId="3E39AF3A" w14:textId="77777777" w:rsidR="00462BBF" w:rsidRPr="00E31A5B" w:rsidRDefault="00462BBF" w:rsidP="0068330F">
            <w:pPr>
              <w:jc w:val="center"/>
              <w:rPr>
                <w:color w:val="000000" w:themeColor="text1"/>
                <w:sz w:val="22"/>
                <w:szCs w:val="22"/>
              </w:rPr>
            </w:pPr>
          </w:p>
        </w:tc>
        <w:tc>
          <w:tcPr>
            <w:tcW w:w="2250" w:type="dxa"/>
            <w:vAlign w:val="center"/>
          </w:tcPr>
          <w:p w14:paraId="46041DC2" w14:textId="77777777" w:rsidR="00462BBF" w:rsidRPr="00E31A5B" w:rsidRDefault="00462BBF" w:rsidP="0068330F">
            <w:pPr>
              <w:jc w:val="center"/>
              <w:rPr>
                <w:color w:val="000000" w:themeColor="text1"/>
                <w:sz w:val="22"/>
                <w:szCs w:val="22"/>
              </w:rPr>
            </w:pPr>
            <w:r w:rsidRPr="00E31A5B">
              <w:rPr>
                <w:color w:val="000000" w:themeColor="text1"/>
                <w:sz w:val="22"/>
                <w:szCs w:val="22"/>
              </w:rPr>
              <w:t>First difference</w:t>
            </w:r>
          </w:p>
        </w:tc>
        <w:tc>
          <w:tcPr>
            <w:tcW w:w="1710" w:type="dxa"/>
            <w:vAlign w:val="center"/>
          </w:tcPr>
          <w:p w14:paraId="26F68594" w14:textId="77777777" w:rsidR="00462BBF" w:rsidRPr="00E31A5B" w:rsidRDefault="00462BBF" w:rsidP="0068330F">
            <w:pPr>
              <w:jc w:val="center"/>
              <w:rPr>
                <w:color w:val="000000" w:themeColor="text1"/>
                <w:sz w:val="22"/>
                <w:szCs w:val="22"/>
              </w:rPr>
            </w:pPr>
            <w:r w:rsidRPr="00E31A5B">
              <w:rPr>
                <w:color w:val="000000" w:themeColor="text1"/>
                <w:sz w:val="22"/>
                <w:szCs w:val="22"/>
              </w:rPr>
              <w:t>0.0004</w:t>
            </w:r>
          </w:p>
        </w:tc>
        <w:tc>
          <w:tcPr>
            <w:tcW w:w="3510" w:type="dxa"/>
          </w:tcPr>
          <w:p w14:paraId="5A6F3A08" w14:textId="77777777" w:rsidR="00462BBF" w:rsidRPr="00E31A5B" w:rsidRDefault="00462BBF" w:rsidP="0068330F">
            <w:pPr>
              <w:jc w:val="center"/>
              <w:rPr>
                <w:color w:val="000000" w:themeColor="text1"/>
                <w:sz w:val="22"/>
                <w:szCs w:val="22"/>
              </w:rPr>
            </w:pPr>
            <w:r w:rsidRPr="00E31A5B">
              <w:rPr>
                <w:color w:val="000000" w:themeColor="text1"/>
                <w:sz w:val="22"/>
                <w:szCs w:val="22"/>
              </w:rPr>
              <w:t>Stationary at the 1% level</w:t>
            </w:r>
          </w:p>
        </w:tc>
      </w:tr>
      <w:tr w:rsidR="00462BBF" w:rsidRPr="00E31A5B" w14:paraId="4DB81A75" w14:textId="77777777" w:rsidTr="00A9142C">
        <w:tc>
          <w:tcPr>
            <w:tcW w:w="2065" w:type="dxa"/>
            <w:vMerge w:val="restart"/>
            <w:vAlign w:val="center"/>
          </w:tcPr>
          <w:p w14:paraId="6E17CA2E" w14:textId="77777777" w:rsidR="00462BBF" w:rsidRPr="00E31A5B" w:rsidRDefault="00462BBF" w:rsidP="0068330F">
            <w:pPr>
              <w:jc w:val="center"/>
              <w:rPr>
                <w:color w:val="000000" w:themeColor="text1"/>
                <w:sz w:val="22"/>
                <w:szCs w:val="22"/>
              </w:rPr>
            </w:pPr>
            <w:r w:rsidRPr="00E31A5B">
              <w:rPr>
                <w:color w:val="000000" w:themeColor="text1"/>
                <w:sz w:val="22"/>
                <w:szCs w:val="22"/>
              </w:rPr>
              <w:t>GNDIpc</w:t>
            </w:r>
          </w:p>
        </w:tc>
        <w:tc>
          <w:tcPr>
            <w:tcW w:w="2250" w:type="dxa"/>
            <w:vAlign w:val="center"/>
          </w:tcPr>
          <w:p w14:paraId="21B43BFA" w14:textId="77777777" w:rsidR="00462BBF" w:rsidRPr="00E31A5B" w:rsidRDefault="00462BBF" w:rsidP="0068330F">
            <w:pPr>
              <w:jc w:val="center"/>
              <w:rPr>
                <w:color w:val="000000" w:themeColor="text1"/>
                <w:sz w:val="22"/>
                <w:szCs w:val="22"/>
              </w:rPr>
            </w:pPr>
            <w:r w:rsidRPr="00E31A5B">
              <w:rPr>
                <w:color w:val="000000" w:themeColor="text1"/>
                <w:sz w:val="22"/>
                <w:szCs w:val="22"/>
              </w:rPr>
              <w:t>Level</w:t>
            </w:r>
          </w:p>
        </w:tc>
        <w:tc>
          <w:tcPr>
            <w:tcW w:w="1710" w:type="dxa"/>
            <w:vAlign w:val="center"/>
          </w:tcPr>
          <w:p w14:paraId="1A6DA3A4" w14:textId="77777777" w:rsidR="00462BBF" w:rsidRPr="00E31A5B" w:rsidRDefault="00462BBF" w:rsidP="0068330F">
            <w:pPr>
              <w:jc w:val="center"/>
              <w:rPr>
                <w:color w:val="000000" w:themeColor="text1"/>
                <w:sz w:val="22"/>
                <w:szCs w:val="22"/>
              </w:rPr>
            </w:pPr>
            <w:r w:rsidRPr="00E31A5B">
              <w:rPr>
                <w:color w:val="000000" w:themeColor="text1"/>
                <w:sz w:val="22"/>
                <w:szCs w:val="22"/>
              </w:rPr>
              <w:t>0.3777</w:t>
            </w:r>
          </w:p>
        </w:tc>
        <w:tc>
          <w:tcPr>
            <w:tcW w:w="3510" w:type="dxa"/>
          </w:tcPr>
          <w:p w14:paraId="7B2B786E" w14:textId="77777777" w:rsidR="00462BBF" w:rsidRPr="00E31A5B" w:rsidRDefault="00462BBF" w:rsidP="0068330F">
            <w:pPr>
              <w:jc w:val="center"/>
              <w:rPr>
                <w:color w:val="000000" w:themeColor="text1"/>
                <w:sz w:val="22"/>
                <w:szCs w:val="22"/>
              </w:rPr>
            </w:pPr>
            <w:r w:rsidRPr="00E31A5B">
              <w:rPr>
                <w:color w:val="000000" w:themeColor="text1"/>
                <w:sz w:val="22"/>
                <w:szCs w:val="22"/>
              </w:rPr>
              <w:t>Non-stationary</w:t>
            </w:r>
          </w:p>
        </w:tc>
      </w:tr>
      <w:tr w:rsidR="00462BBF" w:rsidRPr="00E31A5B" w14:paraId="26504366" w14:textId="77777777" w:rsidTr="00A9142C">
        <w:tc>
          <w:tcPr>
            <w:tcW w:w="2065" w:type="dxa"/>
            <w:vMerge/>
            <w:vAlign w:val="center"/>
          </w:tcPr>
          <w:p w14:paraId="2ADBD625" w14:textId="77777777" w:rsidR="00462BBF" w:rsidRPr="00E31A5B" w:rsidRDefault="00462BBF" w:rsidP="0068330F">
            <w:pPr>
              <w:jc w:val="center"/>
              <w:rPr>
                <w:color w:val="000000" w:themeColor="text1"/>
                <w:sz w:val="22"/>
                <w:szCs w:val="22"/>
              </w:rPr>
            </w:pPr>
          </w:p>
        </w:tc>
        <w:tc>
          <w:tcPr>
            <w:tcW w:w="2250" w:type="dxa"/>
            <w:vAlign w:val="center"/>
          </w:tcPr>
          <w:p w14:paraId="4EB30289" w14:textId="77777777" w:rsidR="00462BBF" w:rsidRPr="00E31A5B" w:rsidRDefault="00462BBF" w:rsidP="0068330F">
            <w:pPr>
              <w:jc w:val="center"/>
              <w:rPr>
                <w:color w:val="000000" w:themeColor="text1"/>
                <w:sz w:val="22"/>
                <w:szCs w:val="22"/>
              </w:rPr>
            </w:pPr>
            <w:r w:rsidRPr="00E31A5B">
              <w:rPr>
                <w:color w:val="000000" w:themeColor="text1"/>
                <w:sz w:val="22"/>
                <w:szCs w:val="22"/>
              </w:rPr>
              <w:t>First difference</w:t>
            </w:r>
          </w:p>
        </w:tc>
        <w:tc>
          <w:tcPr>
            <w:tcW w:w="1710" w:type="dxa"/>
            <w:vAlign w:val="center"/>
          </w:tcPr>
          <w:p w14:paraId="44752B58" w14:textId="77777777" w:rsidR="00462BBF" w:rsidRPr="00E31A5B" w:rsidRDefault="00462BBF" w:rsidP="0068330F">
            <w:pPr>
              <w:jc w:val="center"/>
              <w:rPr>
                <w:color w:val="000000" w:themeColor="text1"/>
                <w:sz w:val="22"/>
                <w:szCs w:val="22"/>
              </w:rPr>
            </w:pPr>
            <w:r w:rsidRPr="00E31A5B">
              <w:rPr>
                <w:color w:val="000000" w:themeColor="text1"/>
                <w:sz w:val="22"/>
                <w:szCs w:val="22"/>
              </w:rPr>
              <w:t>0.0010</w:t>
            </w:r>
          </w:p>
        </w:tc>
        <w:tc>
          <w:tcPr>
            <w:tcW w:w="3510" w:type="dxa"/>
          </w:tcPr>
          <w:p w14:paraId="5E0CA62F" w14:textId="77777777" w:rsidR="00462BBF" w:rsidRPr="00E31A5B" w:rsidRDefault="00462BBF" w:rsidP="0068330F">
            <w:pPr>
              <w:jc w:val="center"/>
              <w:rPr>
                <w:color w:val="000000" w:themeColor="text1"/>
                <w:sz w:val="22"/>
                <w:szCs w:val="22"/>
              </w:rPr>
            </w:pPr>
            <w:r w:rsidRPr="00E31A5B">
              <w:rPr>
                <w:color w:val="000000" w:themeColor="text1"/>
                <w:sz w:val="22"/>
                <w:szCs w:val="22"/>
              </w:rPr>
              <w:t>Stationary at the 1% level</w:t>
            </w:r>
          </w:p>
        </w:tc>
      </w:tr>
      <w:tr w:rsidR="00462BBF" w:rsidRPr="00E31A5B" w14:paraId="6635B8D1" w14:textId="77777777" w:rsidTr="00A9142C">
        <w:tc>
          <w:tcPr>
            <w:tcW w:w="2065" w:type="dxa"/>
            <w:vMerge w:val="restart"/>
            <w:vAlign w:val="center"/>
          </w:tcPr>
          <w:p w14:paraId="7036703A" w14:textId="77777777" w:rsidR="00462BBF" w:rsidRPr="00E31A5B" w:rsidRDefault="00462BBF" w:rsidP="0068330F">
            <w:pPr>
              <w:jc w:val="center"/>
              <w:rPr>
                <w:color w:val="000000" w:themeColor="text1"/>
                <w:sz w:val="22"/>
                <w:szCs w:val="22"/>
              </w:rPr>
            </w:pPr>
            <w:r w:rsidRPr="00E31A5B">
              <w:rPr>
                <w:color w:val="000000" w:themeColor="text1"/>
                <w:sz w:val="22"/>
                <w:szCs w:val="22"/>
              </w:rPr>
              <w:t>HDI</w:t>
            </w:r>
          </w:p>
        </w:tc>
        <w:tc>
          <w:tcPr>
            <w:tcW w:w="2250" w:type="dxa"/>
            <w:vAlign w:val="center"/>
          </w:tcPr>
          <w:p w14:paraId="737C488B" w14:textId="77777777" w:rsidR="00462BBF" w:rsidRPr="00E31A5B" w:rsidRDefault="00462BBF" w:rsidP="0068330F">
            <w:pPr>
              <w:jc w:val="center"/>
              <w:rPr>
                <w:color w:val="000000" w:themeColor="text1"/>
                <w:sz w:val="22"/>
                <w:szCs w:val="22"/>
              </w:rPr>
            </w:pPr>
            <w:r w:rsidRPr="00E31A5B">
              <w:rPr>
                <w:color w:val="000000" w:themeColor="text1"/>
                <w:sz w:val="22"/>
                <w:szCs w:val="22"/>
              </w:rPr>
              <w:t>Level</w:t>
            </w:r>
          </w:p>
        </w:tc>
        <w:tc>
          <w:tcPr>
            <w:tcW w:w="1710" w:type="dxa"/>
            <w:vAlign w:val="center"/>
          </w:tcPr>
          <w:p w14:paraId="01F7F6DC" w14:textId="77777777" w:rsidR="00462BBF" w:rsidRPr="00E31A5B" w:rsidRDefault="00462BBF" w:rsidP="0068330F">
            <w:pPr>
              <w:jc w:val="center"/>
              <w:rPr>
                <w:color w:val="000000" w:themeColor="text1"/>
                <w:sz w:val="22"/>
                <w:szCs w:val="22"/>
              </w:rPr>
            </w:pPr>
            <w:r w:rsidRPr="00E31A5B">
              <w:rPr>
                <w:color w:val="000000" w:themeColor="text1"/>
                <w:sz w:val="22"/>
                <w:szCs w:val="22"/>
              </w:rPr>
              <w:t>1.677E-024</w:t>
            </w:r>
          </w:p>
        </w:tc>
        <w:tc>
          <w:tcPr>
            <w:tcW w:w="3510" w:type="dxa"/>
          </w:tcPr>
          <w:p w14:paraId="20C5FADD" w14:textId="77777777" w:rsidR="00462BBF" w:rsidRPr="00E31A5B" w:rsidRDefault="00462BBF" w:rsidP="0068330F">
            <w:pPr>
              <w:jc w:val="center"/>
              <w:rPr>
                <w:b/>
                <w:bCs/>
                <w:color w:val="000000" w:themeColor="text1"/>
                <w:sz w:val="22"/>
                <w:szCs w:val="22"/>
              </w:rPr>
            </w:pPr>
            <w:r w:rsidRPr="00E31A5B">
              <w:rPr>
                <w:color w:val="000000" w:themeColor="text1"/>
                <w:sz w:val="22"/>
                <w:szCs w:val="22"/>
              </w:rPr>
              <w:t>Stationary at the 1% level</w:t>
            </w:r>
          </w:p>
        </w:tc>
      </w:tr>
      <w:tr w:rsidR="00462BBF" w:rsidRPr="00E31A5B" w14:paraId="1DF37B87" w14:textId="77777777" w:rsidTr="00A9142C">
        <w:tc>
          <w:tcPr>
            <w:tcW w:w="2065" w:type="dxa"/>
            <w:vMerge/>
            <w:vAlign w:val="center"/>
          </w:tcPr>
          <w:p w14:paraId="3600142D" w14:textId="77777777" w:rsidR="00462BBF" w:rsidRPr="00E31A5B" w:rsidRDefault="00462BBF" w:rsidP="0068330F">
            <w:pPr>
              <w:jc w:val="center"/>
              <w:rPr>
                <w:color w:val="000000" w:themeColor="text1"/>
              </w:rPr>
            </w:pPr>
          </w:p>
        </w:tc>
        <w:tc>
          <w:tcPr>
            <w:tcW w:w="2250" w:type="dxa"/>
            <w:vAlign w:val="center"/>
          </w:tcPr>
          <w:p w14:paraId="3C12CB8E" w14:textId="77777777" w:rsidR="00462BBF" w:rsidRPr="009A5C9A" w:rsidRDefault="00462BBF" w:rsidP="0068330F">
            <w:pPr>
              <w:jc w:val="center"/>
              <w:rPr>
                <w:color w:val="000000" w:themeColor="text1"/>
                <w:sz w:val="22"/>
                <w:szCs w:val="22"/>
              </w:rPr>
            </w:pPr>
            <w:r w:rsidRPr="009A5C9A">
              <w:rPr>
                <w:color w:val="000000" w:themeColor="text1"/>
                <w:sz w:val="22"/>
                <w:szCs w:val="22"/>
              </w:rPr>
              <w:t>Level*</w:t>
            </w:r>
          </w:p>
        </w:tc>
        <w:tc>
          <w:tcPr>
            <w:tcW w:w="1710" w:type="dxa"/>
            <w:vAlign w:val="center"/>
          </w:tcPr>
          <w:p w14:paraId="3817CBD2" w14:textId="77777777" w:rsidR="00462BBF" w:rsidRPr="009A5C9A" w:rsidRDefault="00462BBF" w:rsidP="0068330F">
            <w:pPr>
              <w:jc w:val="center"/>
              <w:rPr>
                <w:color w:val="000000" w:themeColor="text1"/>
                <w:sz w:val="22"/>
                <w:szCs w:val="22"/>
              </w:rPr>
            </w:pPr>
            <w:r>
              <w:rPr>
                <w:color w:val="000000" w:themeColor="text1"/>
                <w:sz w:val="22"/>
                <w:szCs w:val="22"/>
              </w:rPr>
              <w:t>0.3501</w:t>
            </w:r>
          </w:p>
        </w:tc>
        <w:tc>
          <w:tcPr>
            <w:tcW w:w="3510" w:type="dxa"/>
          </w:tcPr>
          <w:p w14:paraId="03F30AD7" w14:textId="77777777" w:rsidR="00462BBF" w:rsidRPr="009A5C9A" w:rsidRDefault="00462BBF" w:rsidP="0068330F">
            <w:pPr>
              <w:jc w:val="center"/>
              <w:rPr>
                <w:color w:val="000000" w:themeColor="text1"/>
                <w:sz w:val="22"/>
                <w:szCs w:val="22"/>
              </w:rPr>
            </w:pPr>
            <w:r w:rsidRPr="00E31A5B">
              <w:rPr>
                <w:color w:val="000000" w:themeColor="text1"/>
                <w:sz w:val="22"/>
                <w:szCs w:val="22"/>
              </w:rPr>
              <w:t>Non-stationary</w:t>
            </w:r>
          </w:p>
        </w:tc>
      </w:tr>
      <w:tr w:rsidR="00462BBF" w:rsidRPr="00E31A5B" w14:paraId="5BD0777E" w14:textId="77777777" w:rsidTr="00A9142C">
        <w:tc>
          <w:tcPr>
            <w:tcW w:w="2065" w:type="dxa"/>
            <w:vMerge/>
            <w:vAlign w:val="center"/>
          </w:tcPr>
          <w:p w14:paraId="20D69DF8" w14:textId="77777777" w:rsidR="00462BBF" w:rsidRPr="00E31A5B" w:rsidRDefault="00462BBF" w:rsidP="0068330F">
            <w:pPr>
              <w:jc w:val="center"/>
              <w:rPr>
                <w:color w:val="000000" w:themeColor="text1"/>
                <w:sz w:val="22"/>
                <w:szCs w:val="22"/>
              </w:rPr>
            </w:pPr>
          </w:p>
        </w:tc>
        <w:tc>
          <w:tcPr>
            <w:tcW w:w="2250" w:type="dxa"/>
            <w:vAlign w:val="center"/>
          </w:tcPr>
          <w:p w14:paraId="64770836" w14:textId="77777777" w:rsidR="00462BBF" w:rsidRPr="00E31A5B" w:rsidRDefault="00462BBF" w:rsidP="0068330F">
            <w:pPr>
              <w:jc w:val="center"/>
              <w:rPr>
                <w:color w:val="000000" w:themeColor="text1"/>
                <w:sz w:val="22"/>
                <w:szCs w:val="22"/>
              </w:rPr>
            </w:pPr>
            <w:r w:rsidRPr="00E31A5B">
              <w:rPr>
                <w:color w:val="000000" w:themeColor="text1"/>
                <w:sz w:val="22"/>
                <w:szCs w:val="22"/>
              </w:rPr>
              <w:t>First difference</w:t>
            </w:r>
          </w:p>
        </w:tc>
        <w:tc>
          <w:tcPr>
            <w:tcW w:w="1710" w:type="dxa"/>
            <w:vAlign w:val="center"/>
          </w:tcPr>
          <w:p w14:paraId="4582E6A5" w14:textId="77777777" w:rsidR="00462BBF" w:rsidRPr="00E31A5B" w:rsidRDefault="00462BBF" w:rsidP="0068330F">
            <w:pPr>
              <w:jc w:val="center"/>
              <w:rPr>
                <w:color w:val="000000" w:themeColor="text1"/>
                <w:sz w:val="22"/>
                <w:szCs w:val="22"/>
              </w:rPr>
            </w:pPr>
            <w:r w:rsidRPr="00E31A5B">
              <w:rPr>
                <w:color w:val="000000" w:themeColor="text1"/>
                <w:sz w:val="22"/>
                <w:szCs w:val="22"/>
              </w:rPr>
              <w:t>0.5258</w:t>
            </w:r>
          </w:p>
        </w:tc>
        <w:tc>
          <w:tcPr>
            <w:tcW w:w="3510" w:type="dxa"/>
          </w:tcPr>
          <w:p w14:paraId="49D7186A" w14:textId="77777777" w:rsidR="00462BBF" w:rsidRPr="00E31A5B" w:rsidRDefault="00462BBF" w:rsidP="0068330F">
            <w:pPr>
              <w:jc w:val="center"/>
              <w:rPr>
                <w:color w:val="000000" w:themeColor="text1"/>
                <w:sz w:val="22"/>
                <w:szCs w:val="22"/>
              </w:rPr>
            </w:pPr>
            <w:r w:rsidRPr="00E31A5B">
              <w:rPr>
                <w:color w:val="000000" w:themeColor="text1"/>
                <w:sz w:val="22"/>
                <w:szCs w:val="22"/>
              </w:rPr>
              <w:t>Non-stationary</w:t>
            </w:r>
          </w:p>
        </w:tc>
      </w:tr>
      <w:tr w:rsidR="00462BBF" w:rsidRPr="00E31A5B" w14:paraId="0113C137" w14:textId="77777777" w:rsidTr="00A9142C">
        <w:tc>
          <w:tcPr>
            <w:tcW w:w="2065" w:type="dxa"/>
            <w:vMerge/>
            <w:vAlign w:val="center"/>
          </w:tcPr>
          <w:p w14:paraId="67850692" w14:textId="77777777" w:rsidR="00462BBF" w:rsidRPr="00E31A5B" w:rsidRDefault="00462BBF" w:rsidP="0068330F">
            <w:pPr>
              <w:jc w:val="center"/>
              <w:rPr>
                <w:color w:val="000000" w:themeColor="text1"/>
              </w:rPr>
            </w:pPr>
          </w:p>
        </w:tc>
        <w:tc>
          <w:tcPr>
            <w:tcW w:w="2250" w:type="dxa"/>
            <w:vAlign w:val="center"/>
          </w:tcPr>
          <w:p w14:paraId="7559FB28" w14:textId="77777777" w:rsidR="00462BBF" w:rsidRPr="00E31A5B" w:rsidRDefault="00462BBF" w:rsidP="0068330F">
            <w:pPr>
              <w:jc w:val="center"/>
              <w:rPr>
                <w:color w:val="000000" w:themeColor="text1"/>
              </w:rPr>
            </w:pPr>
            <w:r w:rsidRPr="00E31A5B">
              <w:rPr>
                <w:color w:val="000000" w:themeColor="text1"/>
                <w:sz w:val="22"/>
                <w:szCs w:val="22"/>
              </w:rPr>
              <w:t>First difference*</w:t>
            </w:r>
          </w:p>
        </w:tc>
        <w:tc>
          <w:tcPr>
            <w:tcW w:w="1710" w:type="dxa"/>
            <w:vAlign w:val="center"/>
          </w:tcPr>
          <w:p w14:paraId="180531DB" w14:textId="77777777" w:rsidR="00462BBF" w:rsidRPr="00E31A5B" w:rsidRDefault="00462BBF" w:rsidP="0068330F">
            <w:pPr>
              <w:jc w:val="center"/>
              <w:rPr>
                <w:color w:val="000000" w:themeColor="text1"/>
              </w:rPr>
            </w:pPr>
            <w:r w:rsidRPr="00E31A5B">
              <w:rPr>
                <w:color w:val="000000" w:themeColor="text1"/>
                <w:sz w:val="22"/>
                <w:szCs w:val="22"/>
              </w:rPr>
              <w:t>0.0020</w:t>
            </w:r>
          </w:p>
        </w:tc>
        <w:tc>
          <w:tcPr>
            <w:tcW w:w="3510" w:type="dxa"/>
          </w:tcPr>
          <w:p w14:paraId="1A567002" w14:textId="77777777" w:rsidR="00462BBF" w:rsidRPr="00E31A5B" w:rsidRDefault="00462BBF" w:rsidP="0068330F">
            <w:pPr>
              <w:jc w:val="center"/>
              <w:rPr>
                <w:b/>
                <w:bCs/>
                <w:color w:val="000000" w:themeColor="text1"/>
              </w:rPr>
            </w:pPr>
            <w:r w:rsidRPr="00E31A5B">
              <w:rPr>
                <w:color w:val="000000" w:themeColor="text1"/>
                <w:sz w:val="22"/>
                <w:szCs w:val="22"/>
              </w:rPr>
              <w:t>Stationary at the 1% level</w:t>
            </w:r>
          </w:p>
        </w:tc>
      </w:tr>
      <w:tr w:rsidR="00462BBF" w:rsidRPr="00E31A5B" w14:paraId="31035927" w14:textId="77777777" w:rsidTr="00A9142C">
        <w:tc>
          <w:tcPr>
            <w:tcW w:w="2065" w:type="dxa"/>
            <w:vMerge w:val="restart"/>
            <w:vAlign w:val="center"/>
          </w:tcPr>
          <w:p w14:paraId="039C00CA" w14:textId="77777777" w:rsidR="00462BBF" w:rsidRPr="00E31A5B" w:rsidRDefault="00462BBF" w:rsidP="0068330F">
            <w:pPr>
              <w:jc w:val="center"/>
              <w:rPr>
                <w:color w:val="000000" w:themeColor="text1"/>
              </w:rPr>
            </w:pPr>
            <w:r w:rsidRPr="00E31A5B">
              <w:rPr>
                <w:color w:val="000000" w:themeColor="text1"/>
              </w:rPr>
              <w:t>IEF</w:t>
            </w:r>
          </w:p>
        </w:tc>
        <w:tc>
          <w:tcPr>
            <w:tcW w:w="2250" w:type="dxa"/>
            <w:vAlign w:val="center"/>
          </w:tcPr>
          <w:p w14:paraId="12D70526" w14:textId="77777777" w:rsidR="00462BBF" w:rsidRPr="00E31A5B" w:rsidRDefault="00462BBF" w:rsidP="0068330F">
            <w:pPr>
              <w:jc w:val="center"/>
              <w:rPr>
                <w:color w:val="000000" w:themeColor="text1"/>
              </w:rPr>
            </w:pPr>
            <w:r w:rsidRPr="00E31A5B">
              <w:rPr>
                <w:color w:val="000000" w:themeColor="text1"/>
                <w:sz w:val="22"/>
                <w:szCs w:val="22"/>
              </w:rPr>
              <w:t>Level</w:t>
            </w:r>
          </w:p>
        </w:tc>
        <w:tc>
          <w:tcPr>
            <w:tcW w:w="1710" w:type="dxa"/>
            <w:vAlign w:val="center"/>
          </w:tcPr>
          <w:p w14:paraId="5DED4C62" w14:textId="77777777" w:rsidR="00462BBF" w:rsidRPr="00E31A5B" w:rsidRDefault="00462BBF" w:rsidP="0068330F">
            <w:pPr>
              <w:jc w:val="center"/>
              <w:rPr>
                <w:color w:val="000000" w:themeColor="text1"/>
                <w:sz w:val="22"/>
                <w:szCs w:val="22"/>
              </w:rPr>
            </w:pPr>
            <w:r w:rsidRPr="00E31A5B">
              <w:rPr>
                <w:color w:val="000000" w:themeColor="text1"/>
                <w:sz w:val="22"/>
                <w:szCs w:val="22"/>
              </w:rPr>
              <w:t>0.7582</w:t>
            </w:r>
          </w:p>
        </w:tc>
        <w:tc>
          <w:tcPr>
            <w:tcW w:w="3510" w:type="dxa"/>
          </w:tcPr>
          <w:p w14:paraId="739833AD" w14:textId="77777777" w:rsidR="00462BBF" w:rsidRPr="00E31A5B" w:rsidRDefault="00462BBF" w:rsidP="0068330F">
            <w:pPr>
              <w:jc w:val="center"/>
              <w:rPr>
                <w:color w:val="000000" w:themeColor="text1"/>
              </w:rPr>
            </w:pPr>
            <w:r w:rsidRPr="00E31A5B">
              <w:rPr>
                <w:color w:val="000000" w:themeColor="text1"/>
                <w:sz w:val="22"/>
                <w:szCs w:val="22"/>
              </w:rPr>
              <w:t>Non-stationary</w:t>
            </w:r>
          </w:p>
        </w:tc>
      </w:tr>
      <w:tr w:rsidR="00462BBF" w:rsidRPr="00E31A5B" w14:paraId="6D361DA0" w14:textId="77777777" w:rsidTr="00A9142C">
        <w:tc>
          <w:tcPr>
            <w:tcW w:w="2065" w:type="dxa"/>
            <w:vMerge/>
            <w:vAlign w:val="center"/>
          </w:tcPr>
          <w:p w14:paraId="687FF6D2" w14:textId="77777777" w:rsidR="00462BBF" w:rsidRPr="00E31A5B" w:rsidRDefault="00462BBF" w:rsidP="0068330F">
            <w:pPr>
              <w:jc w:val="center"/>
              <w:rPr>
                <w:color w:val="000000" w:themeColor="text1"/>
              </w:rPr>
            </w:pPr>
          </w:p>
        </w:tc>
        <w:tc>
          <w:tcPr>
            <w:tcW w:w="2250" w:type="dxa"/>
            <w:vAlign w:val="center"/>
          </w:tcPr>
          <w:p w14:paraId="102CC556" w14:textId="77777777" w:rsidR="00462BBF" w:rsidRPr="00E31A5B" w:rsidRDefault="00462BBF" w:rsidP="0068330F">
            <w:pPr>
              <w:jc w:val="center"/>
              <w:rPr>
                <w:color w:val="000000" w:themeColor="text1"/>
              </w:rPr>
            </w:pPr>
            <w:r w:rsidRPr="00E31A5B">
              <w:rPr>
                <w:color w:val="000000" w:themeColor="text1"/>
                <w:sz w:val="22"/>
                <w:szCs w:val="22"/>
              </w:rPr>
              <w:t>First difference</w:t>
            </w:r>
          </w:p>
        </w:tc>
        <w:tc>
          <w:tcPr>
            <w:tcW w:w="1710" w:type="dxa"/>
            <w:vAlign w:val="center"/>
          </w:tcPr>
          <w:p w14:paraId="209B2F10" w14:textId="77777777" w:rsidR="00462BBF" w:rsidRPr="00E31A5B" w:rsidRDefault="00462BBF" w:rsidP="0068330F">
            <w:pPr>
              <w:jc w:val="center"/>
              <w:rPr>
                <w:color w:val="000000" w:themeColor="text1"/>
                <w:sz w:val="22"/>
                <w:szCs w:val="22"/>
              </w:rPr>
            </w:pPr>
            <w:r w:rsidRPr="00E31A5B">
              <w:rPr>
                <w:color w:val="000000" w:themeColor="text1"/>
                <w:sz w:val="22"/>
                <w:szCs w:val="22"/>
              </w:rPr>
              <w:t>0.7469</w:t>
            </w:r>
          </w:p>
        </w:tc>
        <w:tc>
          <w:tcPr>
            <w:tcW w:w="3510" w:type="dxa"/>
          </w:tcPr>
          <w:p w14:paraId="7C6942D7" w14:textId="77777777" w:rsidR="00462BBF" w:rsidRPr="00E31A5B" w:rsidRDefault="00462BBF" w:rsidP="0068330F">
            <w:pPr>
              <w:jc w:val="center"/>
              <w:rPr>
                <w:color w:val="000000" w:themeColor="text1"/>
              </w:rPr>
            </w:pPr>
            <w:r w:rsidRPr="00E31A5B">
              <w:rPr>
                <w:color w:val="000000" w:themeColor="text1"/>
                <w:sz w:val="22"/>
                <w:szCs w:val="22"/>
              </w:rPr>
              <w:t>Non-stationary</w:t>
            </w:r>
          </w:p>
        </w:tc>
      </w:tr>
      <w:tr w:rsidR="00462BBF" w:rsidRPr="00E31A5B" w14:paraId="01D9918A" w14:textId="77777777" w:rsidTr="00A9142C">
        <w:tc>
          <w:tcPr>
            <w:tcW w:w="2065" w:type="dxa"/>
            <w:vAlign w:val="center"/>
          </w:tcPr>
          <w:p w14:paraId="501B7624" w14:textId="77777777" w:rsidR="00462BBF" w:rsidRPr="00E31A5B" w:rsidRDefault="00462BBF" w:rsidP="0068330F">
            <w:pPr>
              <w:jc w:val="center"/>
              <w:rPr>
                <w:color w:val="000000" w:themeColor="text1"/>
              </w:rPr>
            </w:pPr>
          </w:p>
        </w:tc>
        <w:tc>
          <w:tcPr>
            <w:tcW w:w="2250" w:type="dxa"/>
            <w:vAlign w:val="center"/>
          </w:tcPr>
          <w:p w14:paraId="48901606" w14:textId="77777777" w:rsidR="00462BBF" w:rsidRPr="00E31A5B" w:rsidRDefault="00462BBF" w:rsidP="0068330F">
            <w:pPr>
              <w:jc w:val="center"/>
              <w:rPr>
                <w:color w:val="000000" w:themeColor="text1"/>
              </w:rPr>
            </w:pPr>
            <w:r w:rsidRPr="00E31A5B">
              <w:rPr>
                <w:color w:val="000000" w:themeColor="text1"/>
                <w:sz w:val="22"/>
                <w:szCs w:val="22"/>
              </w:rPr>
              <w:t>First difference*</w:t>
            </w:r>
          </w:p>
        </w:tc>
        <w:tc>
          <w:tcPr>
            <w:tcW w:w="1710" w:type="dxa"/>
            <w:vAlign w:val="center"/>
          </w:tcPr>
          <w:p w14:paraId="5AA9C0F1" w14:textId="77777777" w:rsidR="00462BBF" w:rsidRPr="00E31A5B" w:rsidRDefault="00462BBF" w:rsidP="0068330F">
            <w:pPr>
              <w:jc w:val="center"/>
              <w:rPr>
                <w:color w:val="000000" w:themeColor="text1"/>
                <w:sz w:val="22"/>
                <w:szCs w:val="22"/>
              </w:rPr>
            </w:pPr>
            <w:r w:rsidRPr="00E31A5B">
              <w:rPr>
                <w:color w:val="000000" w:themeColor="text1"/>
                <w:sz w:val="22"/>
                <w:szCs w:val="22"/>
              </w:rPr>
              <w:t>5.457E-006</w:t>
            </w:r>
          </w:p>
        </w:tc>
        <w:tc>
          <w:tcPr>
            <w:tcW w:w="3510" w:type="dxa"/>
          </w:tcPr>
          <w:p w14:paraId="3D5BB272" w14:textId="77777777" w:rsidR="00462BBF" w:rsidRPr="00E31A5B" w:rsidRDefault="00462BBF" w:rsidP="0068330F">
            <w:pPr>
              <w:jc w:val="center"/>
              <w:rPr>
                <w:color w:val="000000" w:themeColor="text1"/>
              </w:rPr>
            </w:pPr>
            <w:r w:rsidRPr="00E31A5B">
              <w:rPr>
                <w:color w:val="000000" w:themeColor="text1"/>
                <w:sz w:val="22"/>
                <w:szCs w:val="22"/>
              </w:rPr>
              <w:t>Stationary at the 1% level</w:t>
            </w:r>
          </w:p>
        </w:tc>
      </w:tr>
    </w:tbl>
    <w:p w14:paraId="12B1119C" w14:textId="2F62D31B" w:rsidR="00462BBF" w:rsidRPr="00E31A5B" w:rsidRDefault="00462BBF" w:rsidP="0068330F">
      <w:pPr>
        <w:spacing w:after="0" w:line="240" w:lineRule="auto"/>
        <w:rPr>
          <w:rFonts w:ascii="Times New Roman" w:hAnsi="Times New Roman" w:cs="Times New Roman"/>
          <w:color w:val="000000" w:themeColor="text1"/>
        </w:rPr>
      </w:pPr>
      <w:r w:rsidRPr="00E31A5B">
        <w:rPr>
          <w:rFonts w:ascii="Times New Roman" w:hAnsi="Times New Roman" w:cs="Times New Roman"/>
          <w:i/>
          <w:iCs/>
          <w:color w:val="000000" w:themeColor="text1"/>
        </w:rPr>
        <w:t>Note:</w:t>
      </w:r>
      <w:r w:rsidRPr="00E31A5B">
        <w:rPr>
          <w:rFonts w:ascii="Times New Roman" w:hAnsi="Times New Roman" w:cs="Times New Roman"/>
          <w:color w:val="000000" w:themeColor="text1"/>
        </w:rPr>
        <w:t xml:space="preserve"> (a) Unless otherwise indicated, the ADF results </w:t>
      </w:r>
      <w:proofErr w:type="gramStart"/>
      <w:r w:rsidRPr="00E31A5B">
        <w:rPr>
          <w:rFonts w:ascii="Times New Roman" w:hAnsi="Times New Roman" w:cs="Times New Roman"/>
          <w:color w:val="000000" w:themeColor="text1"/>
        </w:rPr>
        <w:t>were derived</w:t>
      </w:r>
      <w:proofErr w:type="gramEnd"/>
      <w:r w:rsidRPr="00E31A5B">
        <w:rPr>
          <w:rFonts w:ascii="Times New Roman" w:hAnsi="Times New Roman" w:cs="Times New Roman"/>
          <w:color w:val="000000" w:themeColor="text1"/>
        </w:rPr>
        <w:t xml:space="preserve"> from tests that were performed using the “constant and trend” scenario. (b) *refers to a test with constant only. </w:t>
      </w:r>
    </w:p>
    <w:p w14:paraId="551E2085" w14:textId="77777777" w:rsidR="000076BC" w:rsidRDefault="000076BC" w:rsidP="0068330F">
      <w:pPr>
        <w:pStyle w:val="Figures"/>
        <w:spacing w:before="240" w:line="240" w:lineRule="auto"/>
        <w:rPr>
          <w:color w:val="000000" w:themeColor="text1"/>
        </w:rPr>
      </w:pPr>
      <w:bookmarkStart w:id="20" w:name="_Toc79598868"/>
    </w:p>
    <w:p w14:paraId="46659308" w14:textId="77777777" w:rsidR="000076BC" w:rsidRDefault="000076BC" w:rsidP="0068330F">
      <w:pPr>
        <w:pStyle w:val="Figures"/>
        <w:spacing w:before="240" w:line="240" w:lineRule="auto"/>
        <w:rPr>
          <w:color w:val="000000" w:themeColor="text1"/>
        </w:rPr>
      </w:pPr>
    </w:p>
    <w:p w14:paraId="509CA6D2" w14:textId="77777777" w:rsidR="0068330F" w:rsidRDefault="0068330F" w:rsidP="0068330F">
      <w:pPr>
        <w:pStyle w:val="Figures"/>
        <w:spacing w:before="240" w:line="240" w:lineRule="auto"/>
        <w:rPr>
          <w:color w:val="000000" w:themeColor="text1"/>
        </w:rPr>
      </w:pPr>
    </w:p>
    <w:p w14:paraId="5B5F5296" w14:textId="77777777" w:rsidR="0068330F" w:rsidRDefault="0068330F" w:rsidP="0068330F">
      <w:pPr>
        <w:pStyle w:val="Figures"/>
        <w:spacing w:before="240" w:line="240" w:lineRule="auto"/>
        <w:rPr>
          <w:color w:val="000000" w:themeColor="text1"/>
        </w:rPr>
      </w:pPr>
    </w:p>
    <w:p w14:paraId="056E7F04" w14:textId="77777777" w:rsidR="0068330F" w:rsidRDefault="0068330F" w:rsidP="0068330F">
      <w:pPr>
        <w:pStyle w:val="Figures"/>
        <w:spacing w:before="240" w:line="240" w:lineRule="auto"/>
        <w:rPr>
          <w:color w:val="000000" w:themeColor="text1"/>
        </w:rPr>
      </w:pPr>
    </w:p>
    <w:p w14:paraId="24AAD516" w14:textId="72F03D59" w:rsidR="00AC7966" w:rsidRPr="00E31A5B" w:rsidRDefault="00AC7966" w:rsidP="003100B7">
      <w:pPr>
        <w:pStyle w:val="Figures"/>
        <w:spacing w:before="240" w:after="120" w:line="240" w:lineRule="auto"/>
        <w:rPr>
          <w:color w:val="000000" w:themeColor="text1"/>
        </w:rPr>
      </w:pPr>
      <w:r w:rsidRPr="00003354">
        <w:rPr>
          <w:color w:val="000000" w:themeColor="text1"/>
        </w:rPr>
        <w:t xml:space="preserve">Figure </w:t>
      </w:r>
      <w:bookmarkEnd w:id="20"/>
      <w:r w:rsidR="00BA5535" w:rsidRPr="00003354">
        <w:rPr>
          <w:color w:val="000000" w:themeColor="text1"/>
        </w:rPr>
        <w:t>3</w:t>
      </w:r>
      <w:r w:rsidRPr="00E31A5B">
        <w:rPr>
          <w:color w:val="000000" w:themeColor="text1"/>
        </w:rPr>
        <w:t xml:space="preserve"> </w:t>
      </w:r>
    </w:p>
    <w:p w14:paraId="48BD7BBE" w14:textId="39CC5CAC" w:rsidR="00AC7966" w:rsidRPr="00E31A5B" w:rsidRDefault="00AC7966" w:rsidP="003100B7">
      <w:pPr>
        <w:pStyle w:val="Figures"/>
        <w:spacing w:after="120" w:line="240" w:lineRule="auto"/>
        <w:rPr>
          <w:b w:val="0"/>
          <w:bCs w:val="0"/>
          <w:i/>
          <w:iCs/>
          <w:color w:val="000000" w:themeColor="text1"/>
        </w:rPr>
      </w:pPr>
      <w:bookmarkStart w:id="21" w:name="_Toc79598869"/>
      <w:r w:rsidRPr="00E31A5B">
        <w:rPr>
          <w:b w:val="0"/>
          <w:bCs w:val="0"/>
          <w:i/>
          <w:iCs/>
          <w:color w:val="000000" w:themeColor="text1"/>
        </w:rPr>
        <w:t>Paired growth indicators time</w:t>
      </w:r>
      <w:r>
        <w:rPr>
          <w:b w:val="0"/>
          <w:bCs w:val="0"/>
          <w:i/>
          <w:iCs/>
          <w:color w:val="000000" w:themeColor="text1"/>
        </w:rPr>
        <w:t>-</w:t>
      </w:r>
      <w:r w:rsidRPr="00E31A5B">
        <w:rPr>
          <w:b w:val="0"/>
          <w:bCs w:val="0"/>
          <w:i/>
          <w:iCs/>
          <w:color w:val="000000" w:themeColor="text1"/>
        </w:rPr>
        <w:t>series plots (by level)</w:t>
      </w:r>
      <w:bookmarkEnd w:id="21"/>
      <w:r w:rsidR="00E5558D">
        <w:rPr>
          <w:b w:val="0"/>
          <w:bCs w:val="0"/>
          <w:i/>
          <w:iCs/>
          <w:color w:val="000000" w:themeColor="text1"/>
        </w:rPr>
        <w:t xml:space="preserve"> </w:t>
      </w:r>
    </w:p>
    <w:p w14:paraId="2840FE31" w14:textId="3F290F4C" w:rsidR="00AC7966" w:rsidRPr="00E31A5B" w:rsidRDefault="00AC7966" w:rsidP="0068330F">
      <w:pPr>
        <w:spacing w:after="0" w:line="240" w:lineRule="auto"/>
        <w:rPr>
          <w:color w:val="000000" w:themeColor="text1"/>
        </w:rPr>
      </w:pPr>
      <w:r w:rsidRPr="00AC7966">
        <w:rPr>
          <w:noProof/>
        </w:rPr>
        <w:drawing>
          <wp:inline distT="0" distB="0" distL="0" distR="0" wp14:anchorId="7B4B949A" wp14:editId="75434E84">
            <wp:extent cx="5943600" cy="2464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464435"/>
                    </a:xfrm>
                    <a:prstGeom prst="rect">
                      <a:avLst/>
                    </a:prstGeom>
                    <a:noFill/>
                    <a:ln>
                      <a:noFill/>
                    </a:ln>
                  </pic:spPr>
                </pic:pic>
              </a:graphicData>
            </a:graphic>
          </wp:inline>
        </w:drawing>
      </w:r>
    </w:p>
    <w:p w14:paraId="6EA8A62E" w14:textId="77777777" w:rsidR="003100B7" w:rsidRDefault="003100B7" w:rsidP="0068330F">
      <w:pPr>
        <w:pStyle w:val="MyTables"/>
      </w:pPr>
      <w:bookmarkStart w:id="22" w:name="_Toc79604490"/>
    </w:p>
    <w:p w14:paraId="0536159F" w14:textId="1DFC2F20" w:rsidR="00467B76" w:rsidRPr="00E31A5B" w:rsidRDefault="00467B76" w:rsidP="0068330F">
      <w:pPr>
        <w:pStyle w:val="MyTables"/>
      </w:pPr>
      <w:r w:rsidRPr="00E31A5B">
        <w:t xml:space="preserve">Table </w:t>
      </w:r>
      <w:bookmarkEnd w:id="22"/>
      <w:r w:rsidR="00005C61">
        <w:t>5</w:t>
      </w:r>
      <w:r w:rsidRPr="00E31A5B">
        <w:t xml:space="preserve"> </w:t>
      </w:r>
    </w:p>
    <w:p w14:paraId="06E83641" w14:textId="77777777" w:rsidR="00467B76" w:rsidRPr="00D53689" w:rsidRDefault="00467B76" w:rsidP="0068330F">
      <w:pPr>
        <w:pStyle w:val="MyTables"/>
        <w:rPr>
          <w:rFonts w:cs="Times New Roman"/>
          <w:b w:val="0"/>
          <w:bCs w:val="0"/>
          <w:i/>
          <w:szCs w:val="24"/>
        </w:rPr>
      </w:pPr>
      <w:bookmarkStart w:id="23" w:name="_Toc79604491"/>
      <w:r w:rsidRPr="00D53689">
        <w:rPr>
          <w:rFonts w:cs="Times New Roman"/>
          <w:b w:val="0"/>
          <w:bCs w:val="0"/>
          <w:i/>
          <w:szCs w:val="24"/>
        </w:rPr>
        <w:t>Summary of VAR lag selection results for growth indices paired cointegration testing.</w:t>
      </w:r>
      <w:bookmarkEnd w:id="23"/>
    </w:p>
    <w:tbl>
      <w:tblPr>
        <w:tblStyle w:val="TableGrid"/>
        <w:tblW w:w="8275" w:type="dxa"/>
        <w:tblBorders>
          <w:insideV w:val="none" w:sz="0" w:space="0" w:color="auto"/>
        </w:tblBorders>
        <w:tblLayout w:type="fixed"/>
        <w:tblLook w:val="04A0" w:firstRow="1" w:lastRow="0" w:firstColumn="1" w:lastColumn="0" w:noHBand="0" w:noVBand="1"/>
      </w:tblPr>
      <w:tblGrid>
        <w:gridCol w:w="3595"/>
        <w:gridCol w:w="2970"/>
        <w:gridCol w:w="1710"/>
      </w:tblGrid>
      <w:tr w:rsidR="00467B76" w:rsidRPr="00E31A5B" w14:paraId="61AB0593" w14:textId="77777777" w:rsidTr="00A9142C">
        <w:trPr>
          <w:trHeight w:val="431"/>
        </w:trPr>
        <w:tc>
          <w:tcPr>
            <w:tcW w:w="3595" w:type="dxa"/>
            <w:vAlign w:val="center"/>
          </w:tcPr>
          <w:p w14:paraId="157605A7" w14:textId="77777777" w:rsidR="00467B76" w:rsidRPr="00E31A5B" w:rsidRDefault="00467B76" w:rsidP="0068330F">
            <w:pPr>
              <w:jc w:val="center"/>
              <w:rPr>
                <w:b/>
                <w:bCs/>
                <w:color w:val="000000" w:themeColor="text1"/>
                <w:sz w:val="23"/>
                <w:szCs w:val="23"/>
              </w:rPr>
            </w:pPr>
            <w:r w:rsidRPr="00E31A5B">
              <w:rPr>
                <w:b/>
                <w:bCs/>
                <w:color w:val="000000" w:themeColor="text1"/>
                <w:sz w:val="23"/>
                <w:szCs w:val="23"/>
              </w:rPr>
              <w:t>Variables</w:t>
            </w:r>
          </w:p>
        </w:tc>
        <w:tc>
          <w:tcPr>
            <w:tcW w:w="2970" w:type="dxa"/>
            <w:vAlign w:val="center"/>
          </w:tcPr>
          <w:p w14:paraId="6BC38752" w14:textId="77777777" w:rsidR="00467B76" w:rsidRPr="00E31A5B" w:rsidRDefault="00467B76" w:rsidP="0068330F">
            <w:pPr>
              <w:jc w:val="center"/>
              <w:rPr>
                <w:b/>
                <w:bCs/>
                <w:color w:val="000000" w:themeColor="text1"/>
                <w:sz w:val="23"/>
                <w:szCs w:val="23"/>
              </w:rPr>
            </w:pPr>
            <w:r w:rsidRPr="00E31A5B">
              <w:rPr>
                <w:b/>
                <w:bCs/>
                <w:color w:val="000000" w:themeColor="text1"/>
                <w:sz w:val="23"/>
                <w:szCs w:val="23"/>
              </w:rPr>
              <w:t>Scenario</w:t>
            </w:r>
          </w:p>
        </w:tc>
        <w:tc>
          <w:tcPr>
            <w:tcW w:w="1710" w:type="dxa"/>
            <w:vAlign w:val="center"/>
          </w:tcPr>
          <w:p w14:paraId="472B42B5" w14:textId="77777777" w:rsidR="00467B76" w:rsidRPr="00E31A5B" w:rsidRDefault="00467B76" w:rsidP="0068330F">
            <w:pPr>
              <w:jc w:val="center"/>
              <w:rPr>
                <w:b/>
                <w:bCs/>
                <w:color w:val="000000" w:themeColor="text1"/>
                <w:sz w:val="23"/>
                <w:szCs w:val="23"/>
              </w:rPr>
            </w:pPr>
            <w:r w:rsidRPr="00E31A5B">
              <w:rPr>
                <w:b/>
                <w:bCs/>
                <w:color w:val="000000" w:themeColor="text1"/>
                <w:sz w:val="23"/>
                <w:szCs w:val="23"/>
              </w:rPr>
              <w:t>Lag Length</w:t>
            </w:r>
          </w:p>
        </w:tc>
      </w:tr>
      <w:tr w:rsidR="00467B76" w:rsidRPr="00E31A5B" w14:paraId="5AB41E38" w14:textId="77777777" w:rsidTr="00A9142C">
        <w:tc>
          <w:tcPr>
            <w:tcW w:w="3595" w:type="dxa"/>
            <w:vMerge w:val="restart"/>
          </w:tcPr>
          <w:p w14:paraId="7901C0D9" w14:textId="77777777" w:rsidR="00467B76" w:rsidRPr="00E31A5B" w:rsidRDefault="00467B76" w:rsidP="0068330F">
            <w:pPr>
              <w:jc w:val="center"/>
              <w:rPr>
                <w:color w:val="000000" w:themeColor="text1"/>
                <w:sz w:val="22"/>
                <w:szCs w:val="22"/>
              </w:rPr>
            </w:pPr>
            <w:r w:rsidRPr="00E31A5B">
              <w:rPr>
                <w:color w:val="000000" w:themeColor="text1"/>
                <w:sz w:val="22"/>
                <w:szCs w:val="22"/>
              </w:rPr>
              <w:t>GDPpc vs GNDIpc</w:t>
            </w:r>
          </w:p>
        </w:tc>
        <w:tc>
          <w:tcPr>
            <w:tcW w:w="2970" w:type="dxa"/>
          </w:tcPr>
          <w:p w14:paraId="53504CFA" w14:textId="77777777" w:rsidR="00467B76" w:rsidRPr="00E31A5B" w:rsidRDefault="00467B76" w:rsidP="0068330F">
            <w:pPr>
              <w:jc w:val="center"/>
              <w:rPr>
                <w:color w:val="000000" w:themeColor="text1"/>
                <w:sz w:val="22"/>
                <w:szCs w:val="22"/>
              </w:rPr>
            </w:pPr>
            <w:r w:rsidRPr="00E31A5B">
              <w:rPr>
                <w:color w:val="000000" w:themeColor="text1"/>
                <w:sz w:val="22"/>
                <w:szCs w:val="22"/>
              </w:rPr>
              <w:t>With constant</w:t>
            </w:r>
          </w:p>
        </w:tc>
        <w:tc>
          <w:tcPr>
            <w:tcW w:w="1710" w:type="dxa"/>
          </w:tcPr>
          <w:p w14:paraId="4AA5EE4F" w14:textId="77777777" w:rsidR="00467B76" w:rsidRPr="00E31A5B" w:rsidRDefault="00467B76" w:rsidP="0068330F">
            <w:pPr>
              <w:jc w:val="center"/>
              <w:rPr>
                <w:color w:val="000000" w:themeColor="text1"/>
                <w:sz w:val="22"/>
                <w:szCs w:val="22"/>
              </w:rPr>
            </w:pPr>
            <w:r w:rsidRPr="00E31A5B">
              <w:rPr>
                <w:color w:val="000000" w:themeColor="text1"/>
                <w:sz w:val="22"/>
                <w:szCs w:val="22"/>
              </w:rPr>
              <w:t>7</w:t>
            </w:r>
          </w:p>
        </w:tc>
      </w:tr>
      <w:tr w:rsidR="00467B76" w:rsidRPr="00E31A5B" w14:paraId="4F6BE967" w14:textId="77777777" w:rsidTr="00A9142C">
        <w:tc>
          <w:tcPr>
            <w:tcW w:w="3595" w:type="dxa"/>
            <w:vMerge/>
          </w:tcPr>
          <w:p w14:paraId="4AF83C29" w14:textId="77777777" w:rsidR="00467B76" w:rsidRPr="00E31A5B" w:rsidRDefault="00467B76" w:rsidP="0068330F">
            <w:pPr>
              <w:jc w:val="center"/>
              <w:rPr>
                <w:color w:val="000000" w:themeColor="text1"/>
                <w:sz w:val="22"/>
                <w:szCs w:val="22"/>
              </w:rPr>
            </w:pPr>
          </w:p>
        </w:tc>
        <w:tc>
          <w:tcPr>
            <w:tcW w:w="2970" w:type="dxa"/>
          </w:tcPr>
          <w:p w14:paraId="3028C75D" w14:textId="77777777" w:rsidR="00467B76" w:rsidRPr="00E31A5B" w:rsidRDefault="00467B76" w:rsidP="0068330F">
            <w:pPr>
              <w:jc w:val="center"/>
              <w:rPr>
                <w:color w:val="000000" w:themeColor="text1"/>
                <w:sz w:val="22"/>
                <w:szCs w:val="22"/>
              </w:rPr>
            </w:pPr>
            <w:r w:rsidRPr="00E31A5B">
              <w:rPr>
                <w:color w:val="000000" w:themeColor="text1"/>
                <w:sz w:val="22"/>
                <w:szCs w:val="22"/>
              </w:rPr>
              <w:t>With constant and trend</w:t>
            </w:r>
          </w:p>
        </w:tc>
        <w:tc>
          <w:tcPr>
            <w:tcW w:w="1710" w:type="dxa"/>
          </w:tcPr>
          <w:p w14:paraId="277505CA" w14:textId="77777777" w:rsidR="00467B76" w:rsidRPr="00E31A5B" w:rsidRDefault="00467B76" w:rsidP="0068330F">
            <w:pPr>
              <w:jc w:val="center"/>
              <w:rPr>
                <w:color w:val="000000" w:themeColor="text1"/>
                <w:sz w:val="22"/>
                <w:szCs w:val="22"/>
              </w:rPr>
            </w:pPr>
            <w:r w:rsidRPr="00E31A5B">
              <w:rPr>
                <w:color w:val="000000" w:themeColor="text1"/>
                <w:sz w:val="22"/>
                <w:szCs w:val="22"/>
              </w:rPr>
              <w:t>7</w:t>
            </w:r>
          </w:p>
        </w:tc>
      </w:tr>
      <w:tr w:rsidR="00467B76" w:rsidRPr="00E31A5B" w14:paraId="05938D66" w14:textId="77777777" w:rsidTr="00A9142C">
        <w:tc>
          <w:tcPr>
            <w:tcW w:w="3595" w:type="dxa"/>
            <w:vMerge w:val="restart"/>
            <w:vAlign w:val="center"/>
          </w:tcPr>
          <w:p w14:paraId="79E5F825" w14:textId="77777777" w:rsidR="00467B76" w:rsidRPr="00E31A5B" w:rsidRDefault="00467B76" w:rsidP="0068330F">
            <w:pPr>
              <w:jc w:val="center"/>
              <w:rPr>
                <w:color w:val="000000" w:themeColor="text1"/>
                <w:sz w:val="22"/>
                <w:szCs w:val="22"/>
              </w:rPr>
            </w:pPr>
            <w:r w:rsidRPr="00E31A5B">
              <w:rPr>
                <w:color w:val="000000" w:themeColor="text1"/>
                <w:sz w:val="22"/>
                <w:szCs w:val="22"/>
              </w:rPr>
              <w:t>GDPpc vs HDI</w:t>
            </w:r>
          </w:p>
        </w:tc>
        <w:tc>
          <w:tcPr>
            <w:tcW w:w="2970" w:type="dxa"/>
          </w:tcPr>
          <w:p w14:paraId="066D9A95" w14:textId="77777777" w:rsidR="00467B76" w:rsidRPr="00E31A5B" w:rsidRDefault="00467B76" w:rsidP="0068330F">
            <w:pPr>
              <w:jc w:val="center"/>
              <w:rPr>
                <w:color w:val="000000" w:themeColor="text1"/>
                <w:sz w:val="22"/>
                <w:szCs w:val="22"/>
              </w:rPr>
            </w:pPr>
            <w:r w:rsidRPr="00E31A5B">
              <w:rPr>
                <w:color w:val="000000" w:themeColor="text1"/>
                <w:sz w:val="22"/>
                <w:szCs w:val="22"/>
              </w:rPr>
              <w:t>With constant</w:t>
            </w:r>
          </w:p>
        </w:tc>
        <w:tc>
          <w:tcPr>
            <w:tcW w:w="1710" w:type="dxa"/>
          </w:tcPr>
          <w:p w14:paraId="35CFF26A" w14:textId="77777777" w:rsidR="00467B76" w:rsidRPr="00E31A5B" w:rsidRDefault="00467B76" w:rsidP="0068330F">
            <w:pPr>
              <w:jc w:val="center"/>
              <w:rPr>
                <w:color w:val="000000" w:themeColor="text1"/>
                <w:sz w:val="22"/>
                <w:szCs w:val="22"/>
              </w:rPr>
            </w:pPr>
            <w:r w:rsidRPr="00E31A5B">
              <w:rPr>
                <w:color w:val="000000" w:themeColor="text1"/>
                <w:sz w:val="22"/>
                <w:szCs w:val="22"/>
              </w:rPr>
              <w:t>7</w:t>
            </w:r>
          </w:p>
        </w:tc>
      </w:tr>
      <w:tr w:rsidR="00467B76" w:rsidRPr="00E31A5B" w14:paraId="4634C67B" w14:textId="77777777" w:rsidTr="00A9142C">
        <w:tc>
          <w:tcPr>
            <w:tcW w:w="3595" w:type="dxa"/>
            <w:vMerge/>
            <w:vAlign w:val="center"/>
          </w:tcPr>
          <w:p w14:paraId="08A44113" w14:textId="77777777" w:rsidR="00467B76" w:rsidRPr="00E31A5B" w:rsidRDefault="00467B76" w:rsidP="0068330F">
            <w:pPr>
              <w:jc w:val="center"/>
              <w:rPr>
                <w:color w:val="000000" w:themeColor="text1"/>
                <w:sz w:val="22"/>
                <w:szCs w:val="22"/>
              </w:rPr>
            </w:pPr>
          </w:p>
        </w:tc>
        <w:tc>
          <w:tcPr>
            <w:tcW w:w="2970" w:type="dxa"/>
          </w:tcPr>
          <w:p w14:paraId="2061202A" w14:textId="77777777" w:rsidR="00467B76" w:rsidRPr="00E31A5B" w:rsidRDefault="00467B76" w:rsidP="0068330F">
            <w:pPr>
              <w:jc w:val="center"/>
              <w:rPr>
                <w:color w:val="000000" w:themeColor="text1"/>
                <w:sz w:val="22"/>
                <w:szCs w:val="22"/>
              </w:rPr>
            </w:pPr>
            <w:r w:rsidRPr="00E31A5B">
              <w:rPr>
                <w:color w:val="000000" w:themeColor="text1"/>
                <w:sz w:val="22"/>
                <w:szCs w:val="22"/>
              </w:rPr>
              <w:t>With constant and trend</w:t>
            </w:r>
          </w:p>
        </w:tc>
        <w:tc>
          <w:tcPr>
            <w:tcW w:w="1710" w:type="dxa"/>
          </w:tcPr>
          <w:p w14:paraId="491BAFD1" w14:textId="77777777" w:rsidR="00467B76" w:rsidRPr="00E31A5B" w:rsidRDefault="00467B76" w:rsidP="0068330F">
            <w:pPr>
              <w:jc w:val="center"/>
              <w:rPr>
                <w:color w:val="000000" w:themeColor="text1"/>
                <w:sz w:val="22"/>
                <w:szCs w:val="22"/>
              </w:rPr>
            </w:pPr>
            <w:r w:rsidRPr="00E31A5B">
              <w:rPr>
                <w:color w:val="000000" w:themeColor="text1"/>
                <w:sz w:val="22"/>
                <w:szCs w:val="22"/>
              </w:rPr>
              <w:t>7</w:t>
            </w:r>
          </w:p>
        </w:tc>
      </w:tr>
      <w:tr w:rsidR="00467B76" w:rsidRPr="00E31A5B" w14:paraId="7AFCBB47" w14:textId="77777777" w:rsidTr="00A9142C">
        <w:tc>
          <w:tcPr>
            <w:tcW w:w="3595" w:type="dxa"/>
            <w:vMerge w:val="restart"/>
            <w:vAlign w:val="center"/>
          </w:tcPr>
          <w:p w14:paraId="6CFE02A8" w14:textId="77777777" w:rsidR="00467B76" w:rsidRPr="00E31A5B" w:rsidRDefault="00467B76" w:rsidP="0068330F">
            <w:pPr>
              <w:jc w:val="center"/>
              <w:rPr>
                <w:color w:val="000000" w:themeColor="text1"/>
                <w:sz w:val="22"/>
                <w:szCs w:val="22"/>
              </w:rPr>
            </w:pPr>
            <w:r w:rsidRPr="00E31A5B">
              <w:rPr>
                <w:color w:val="000000" w:themeColor="text1"/>
                <w:sz w:val="22"/>
                <w:szCs w:val="22"/>
              </w:rPr>
              <w:t>GDPpc vs IEF</w:t>
            </w:r>
          </w:p>
        </w:tc>
        <w:tc>
          <w:tcPr>
            <w:tcW w:w="2970" w:type="dxa"/>
          </w:tcPr>
          <w:p w14:paraId="67B8D3C0" w14:textId="77777777" w:rsidR="00467B76" w:rsidRPr="00E31A5B" w:rsidRDefault="00467B76" w:rsidP="0068330F">
            <w:pPr>
              <w:jc w:val="center"/>
              <w:rPr>
                <w:color w:val="000000" w:themeColor="text1"/>
                <w:sz w:val="22"/>
                <w:szCs w:val="22"/>
              </w:rPr>
            </w:pPr>
            <w:r w:rsidRPr="00E31A5B">
              <w:rPr>
                <w:color w:val="000000" w:themeColor="text1"/>
                <w:sz w:val="22"/>
                <w:szCs w:val="22"/>
              </w:rPr>
              <w:t>With constant</w:t>
            </w:r>
          </w:p>
        </w:tc>
        <w:tc>
          <w:tcPr>
            <w:tcW w:w="1710" w:type="dxa"/>
          </w:tcPr>
          <w:p w14:paraId="38A05C2B" w14:textId="77777777" w:rsidR="00467B76" w:rsidRPr="00E31A5B" w:rsidRDefault="00467B76" w:rsidP="0068330F">
            <w:pPr>
              <w:jc w:val="center"/>
              <w:rPr>
                <w:color w:val="000000" w:themeColor="text1"/>
                <w:sz w:val="22"/>
                <w:szCs w:val="22"/>
              </w:rPr>
            </w:pPr>
            <w:r w:rsidRPr="00E31A5B">
              <w:rPr>
                <w:color w:val="000000" w:themeColor="text1"/>
                <w:sz w:val="22"/>
                <w:szCs w:val="22"/>
              </w:rPr>
              <w:t>7</w:t>
            </w:r>
          </w:p>
        </w:tc>
      </w:tr>
      <w:tr w:rsidR="00467B76" w:rsidRPr="00E31A5B" w14:paraId="3087E1BF" w14:textId="77777777" w:rsidTr="00A9142C">
        <w:tc>
          <w:tcPr>
            <w:tcW w:w="3595" w:type="dxa"/>
            <w:vMerge/>
          </w:tcPr>
          <w:p w14:paraId="4CA994F1" w14:textId="77777777" w:rsidR="00467B76" w:rsidRPr="00E31A5B" w:rsidRDefault="00467B76" w:rsidP="0068330F">
            <w:pPr>
              <w:jc w:val="center"/>
              <w:rPr>
                <w:color w:val="000000" w:themeColor="text1"/>
                <w:sz w:val="22"/>
                <w:szCs w:val="22"/>
              </w:rPr>
            </w:pPr>
          </w:p>
        </w:tc>
        <w:tc>
          <w:tcPr>
            <w:tcW w:w="2970" w:type="dxa"/>
          </w:tcPr>
          <w:p w14:paraId="20C3CF06" w14:textId="77777777" w:rsidR="00467B76" w:rsidRPr="00E31A5B" w:rsidRDefault="00467B76" w:rsidP="0068330F">
            <w:pPr>
              <w:jc w:val="center"/>
              <w:rPr>
                <w:color w:val="000000" w:themeColor="text1"/>
                <w:sz w:val="22"/>
                <w:szCs w:val="22"/>
              </w:rPr>
            </w:pPr>
            <w:r w:rsidRPr="00E31A5B">
              <w:rPr>
                <w:color w:val="000000" w:themeColor="text1"/>
                <w:sz w:val="22"/>
                <w:szCs w:val="22"/>
              </w:rPr>
              <w:t>With constant and trend</w:t>
            </w:r>
          </w:p>
        </w:tc>
        <w:tc>
          <w:tcPr>
            <w:tcW w:w="1710" w:type="dxa"/>
          </w:tcPr>
          <w:p w14:paraId="12E9DB1F" w14:textId="77777777" w:rsidR="00467B76" w:rsidRPr="00E31A5B" w:rsidRDefault="00467B76" w:rsidP="0068330F">
            <w:pPr>
              <w:jc w:val="center"/>
              <w:rPr>
                <w:color w:val="000000" w:themeColor="text1"/>
                <w:sz w:val="22"/>
                <w:szCs w:val="22"/>
              </w:rPr>
            </w:pPr>
            <w:r w:rsidRPr="00E31A5B">
              <w:rPr>
                <w:color w:val="000000" w:themeColor="text1"/>
                <w:sz w:val="22"/>
                <w:szCs w:val="22"/>
              </w:rPr>
              <w:t>7</w:t>
            </w:r>
          </w:p>
        </w:tc>
      </w:tr>
      <w:tr w:rsidR="00467B76" w:rsidRPr="00E31A5B" w14:paraId="69623D7A" w14:textId="77777777" w:rsidTr="00A9142C">
        <w:tc>
          <w:tcPr>
            <w:tcW w:w="3595" w:type="dxa"/>
            <w:vMerge w:val="restart"/>
            <w:vAlign w:val="center"/>
          </w:tcPr>
          <w:p w14:paraId="67EC19AD" w14:textId="77777777" w:rsidR="00467B76" w:rsidRPr="00E31A5B" w:rsidRDefault="00467B76" w:rsidP="0068330F">
            <w:pPr>
              <w:jc w:val="center"/>
              <w:rPr>
                <w:color w:val="000000" w:themeColor="text1"/>
                <w:sz w:val="22"/>
                <w:szCs w:val="22"/>
              </w:rPr>
            </w:pPr>
            <w:r w:rsidRPr="00E31A5B">
              <w:rPr>
                <w:color w:val="000000" w:themeColor="text1"/>
                <w:sz w:val="22"/>
                <w:szCs w:val="22"/>
              </w:rPr>
              <w:t>GNDIpc vs HDI</w:t>
            </w:r>
          </w:p>
        </w:tc>
        <w:tc>
          <w:tcPr>
            <w:tcW w:w="2970" w:type="dxa"/>
          </w:tcPr>
          <w:p w14:paraId="67A1F203" w14:textId="77777777" w:rsidR="00467B76" w:rsidRPr="00E31A5B" w:rsidRDefault="00467B76" w:rsidP="0068330F">
            <w:pPr>
              <w:jc w:val="center"/>
              <w:rPr>
                <w:color w:val="000000" w:themeColor="text1"/>
                <w:sz w:val="22"/>
                <w:szCs w:val="22"/>
              </w:rPr>
            </w:pPr>
            <w:r w:rsidRPr="00E31A5B">
              <w:rPr>
                <w:color w:val="000000" w:themeColor="text1"/>
                <w:sz w:val="22"/>
                <w:szCs w:val="22"/>
              </w:rPr>
              <w:t>With constant</w:t>
            </w:r>
          </w:p>
        </w:tc>
        <w:tc>
          <w:tcPr>
            <w:tcW w:w="1710" w:type="dxa"/>
          </w:tcPr>
          <w:p w14:paraId="4ACE5A12" w14:textId="77777777" w:rsidR="00467B76" w:rsidRPr="00E31A5B" w:rsidRDefault="00467B76" w:rsidP="0068330F">
            <w:pPr>
              <w:jc w:val="center"/>
              <w:rPr>
                <w:color w:val="000000" w:themeColor="text1"/>
                <w:sz w:val="22"/>
                <w:szCs w:val="22"/>
              </w:rPr>
            </w:pPr>
            <w:r w:rsidRPr="00E31A5B">
              <w:rPr>
                <w:color w:val="000000" w:themeColor="text1"/>
                <w:sz w:val="22"/>
                <w:szCs w:val="22"/>
              </w:rPr>
              <w:t>7</w:t>
            </w:r>
          </w:p>
        </w:tc>
      </w:tr>
      <w:tr w:rsidR="00467B76" w:rsidRPr="00E31A5B" w14:paraId="75BB0A54" w14:textId="77777777" w:rsidTr="00A9142C">
        <w:tc>
          <w:tcPr>
            <w:tcW w:w="3595" w:type="dxa"/>
            <w:vMerge/>
            <w:vAlign w:val="center"/>
          </w:tcPr>
          <w:p w14:paraId="78DD6275" w14:textId="77777777" w:rsidR="00467B76" w:rsidRPr="00E31A5B" w:rsidRDefault="00467B76" w:rsidP="0068330F">
            <w:pPr>
              <w:jc w:val="center"/>
              <w:rPr>
                <w:color w:val="000000" w:themeColor="text1"/>
                <w:sz w:val="22"/>
                <w:szCs w:val="22"/>
              </w:rPr>
            </w:pPr>
          </w:p>
        </w:tc>
        <w:tc>
          <w:tcPr>
            <w:tcW w:w="2970" w:type="dxa"/>
          </w:tcPr>
          <w:p w14:paraId="60172D58" w14:textId="77777777" w:rsidR="00467B76" w:rsidRPr="00E31A5B" w:rsidRDefault="00467B76" w:rsidP="0068330F">
            <w:pPr>
              <w:jc w:val="center"/>
              <w:rPr>
                <w:color w:val="000000" w:themeColor="text1"/>
                <w:sz w:val="22"/>
                <w:szCs w:val="22"/>
              </w:rPr>
            </w:pPr>
            <w:r w:rsidRPr="00E31A5B">
              <w:rPr>
                <w:color w:val="000000" w:themeColor="text1"/>
                <w:sz w:val="22"/>
                <w:szCs w:val="22"/>
              </w:rPr>
              <w:t>With constant and trend</w:t>
            </w:r>
          </w:p>
        </w:tc>
        <w:tc>
          <w:tcPr>
            <w:tcW w:w="1710" w:type="dxa"/>
          </w:tcPr>
          <w:p w14:paraId="74337922" w14:textId="77777777" w:rsidR="00467B76" w:rsidRPr="00E31A5B" w:rsidRDefault="00467B76" w:rsidP="0068330F">
            <w:pPr>
              <w:jc w:val="center"/>
              <w:rPr>
                <w:color w:val="000000" w:themeColor="text1"/>
                <w:sz w:val="22"/>
                <w:szCs w:val="22"/>
              </w:rPr>
            </w:pPr>
            <w:r w:rsidRPr="00E31A5B">
              <w:rPr>
                <w:color w:val="000000" w:themeColor="text1"/>
                <w:sz w:val="22"/>
                <w:szCs w:val="22"/>
              </w:rPr>
              <w:t>7</w:t>
            </w:r>
          </w:p>
        </w:tc>
      </w:tr>
      <w:tr w:rsidR="00467B76" w:rsidRPr="00E31A5B" w14:paraId="4AE20759" w14:textId="77777777" w:rsidTr="00A9142C">
        <w:tc>
          <w:tcPr>
            <w:tcW w:w="3595" w:type="dxa"/>
            <w:vMerge w:val="restart"/>
            <w:vAlign w:val="center"/>
          </w:tcPr>
          <w:p w14:paraId="5D3E9791" w14:textId="77777777" w:rsidR="00467B76" w:rsidRPr="00E31A5B" w:rsidRDefault="00467B76" w:rsidP="0068330F">
            <w:pPr>
              <w:jc w:val="center"/>
              <w:rPr>
                <w:color w:val="000000" w:themeColor="text1"/>
                <w:sz w:val="22"/>
                <w:szCs w:val="22"/>
              </w:rPr>
            </w:pPr>
            <w:r w:rsidRPr="00E31A5B">
              <w:rPr>
                <w:color w:val="000000" w:themeColor="text1"/>
                <w:sz w:val="22"/>
                <w:szCs w:val="22"/>
              </w:rPr>
              <w:t>GNDIpc vs IEF</w:t>
            </w:r>
          </w:p>
        </w:tc>
        <w:tc>
          <w:tcPr>
            <w:tcW w:w="2970" w:type="dxa"/>
          </w:tcPr>
          <w:p w14:paraId="4549767C" w14:textId="77777777" w:rsidR="00467B76" w:rsidRPr="00E31A5B" w:rsidRDefault="00467B76" w:rsidP="0068330F">
            <w:pPr>
              <w:jc w:val="center"/>
              <w:rPr>
                <w:color w:val="000000" w:themeColor="text1"/>
                <w:sz w:val="22"/>
                <w:szCs w:val="22"/>
              </w:rPr>
            </w:pPr>
            <w:r w:rsidRPr="00E31A5B">
              <w:rPr>
                <w:color w:val="000000" w:themeColor="text1"/>
                <w:sz w:val="22"/>
                <w:szCs w:val="22"/>
              </w:rPr>
              <w:t>With constant</w:t>
            </w:r>
          </w:p>
        </w:tc>
        <w:tc>
          <w:tcPr>
            <w:tcW w:w="1710" w:type="dxa"/>
          </w:tcPr>
          <w:p w14:paraId="2E534099" w14:textId="77777777" w:rsidR="00467B76" w:rsidRPr="00E31A5B" w:rsidRDefault="00467B76" w:rsidP="0068330F">
            <w:pPr>
              <w:jc w:val="center"/>
              <w:rPr>
                <w:color w:val="000000" w:themeColor="text1"/>
                <w:sz w:val="22"/>
                <w:szCs w:val="22"/>
              </w:rPr>
            </w:pPr>
            <w:r w:rsidRPr="00E31A5B">
              <w:rPr>
                <w:color w:val="000000" w:themeColor="text1"/>
                <w:sz w:val="22"/>
                <w:szCs w:val="22"/>
              </w:rPr>
              <w:t>7</w:t>
            </w:r>
          </w:p>
        </w:tc>
      </w:tr>
      <w:tr w:rsidR="00467B76" w:rsidRPr="00E31A5B" w14:paraId="70B7FA80" w14:textId="77777777" w:rsidTr="00A9142C">
        <w:tc>
          <w:tcPr>
            <w:tcW w:w="3595" w:type="dxa"/>
            <w:vMerge/>
            <w:vAlign w:val="center"/>
          </w:tcPr>
          <w:p w14:paraId="5C40AC09" w14:textId="77777777" w:rsidR="00467B76" w:rsidRPr="00E31A5B" w:rsidRDefault="00467B76" w:rsidP="0068330F">
            <w:pPr>
              <w:jc w:val="center"/>
              <w:rPr>
                <w:color w:val="000000" w:themeColor="text1"/>
                <w:sz w:val="22"/>
                <w:szCs w:val="22"/>
              </w:rPr>
            </w:pPr>
          </w:p>
        </w:tc>
        <w:tc>
          <w:tcPr>
            <w:tcW w:w="2970" w:type="dxa"/>
          </w:tcPr>
          <w:p w14:paraId="3814B2C8" w14:textId="77777777" w:rsidR="00467B76" w:rsidRPr="00E31A5B" w:rsidRDefault="00467B76" w:rsidP="0068330F">
            <w:pPr>
              <w:jc w:val="center"/>
              <w:rPr>
                <w:color w:val="000000" w:themeColor="text1"/>
                <w:sz w:val="22"/>
                <w:szCs w:val="22"/>
              </w:rPr>
            </w:pPr>
            <w:r w:rsidRPr="00E31A5B">
              <w:rPr>
                <w:color w:val="000000" w:themeColor="text1"/>
                <w:sz w:val="22"/>
                <w:szCs w:val="22"/>
              </w:rPr>
              <w:t>With constant and trend</w:t>
            </w:r>
          </w:p>
        </w:tc>
        <w:tc>
          <w:tcPr>
            <w:tcW w:w="1710" w:type="dxa"/>
          </w:tcPr>
          <w:p w14:paraId="0D1B7083" w14:textId="77777777" w:rsidR="00467B76" w:rsidRPr="00E31A5B" w:rsidRDefault="00467B76" w:rsidP="0068330F">
            <w:pPr>
              <w:jc w:val="center"/>
              <w:rPr>
                <w:color w:val="000000" w:themeColor="text1"/>
                <w:sz w:val="22"/>
                <w:szCs w:val="22"/>
              </w:rPr>
            </w:pPr>
            <w:r w:rsidRPr="00E31A5B">
              <w:rPr>
                <w:color w:val="000000" w:themeColor="text1"/>
                <w:sz w:val="22"/>
                <w:szCs w:val="22"/>
              </w:rPr>
              <w:t>7</w:t>
            </w:r>
          </w:p>
        </w:tc>
      </w:tr>
      <w:tr w:rsidR="00467B76" w:rsidRPr="00E31A5B" w14:paraId="79B57FD7" w14:textId="77777777" w:rsidTr="00A9142C">
        <w:tc>
          <w:tcPr>
            <w:tcW w:w="3595" w:type="dxa"/>
            <w:vMerge w:val="restart"/>
            <w:vAlign w:val="center"/>
          </w:tcPr>
          <w:p w14:paraId="5A16CB3D" w14:textId="77777777" w:rsidR="00467B76" w:rsidRPr="00E31A5B" w:rsidRDefault="00467B76" w:rsidP="0068330F">
            <w:pPr>
              <w:jc w:val="center"/>
              <w:rPr>
                <w:color w:val="000000" w:themeColor="text1"/>
                <w:sz w:val="22"/>
                <w:szCs w:val="22"/>
              </w:rPr>
            </w:pPr>
            <w:r w:rsidRPr="00E31A5B">
              <w:rPr>
                <w:color w:val="000000" w:themeColor="text1"/>
                <w:sz w:val="22"/>
                <w:szCs w:val="22"/>
              </w:rPr>
              <w:t>HDI vs IEF</w:t>
            </w:r>
          </w:p>
        </w:tc>
        <w:tc>
          <w:tcPr>
            <w:tcW w:w="2970" w:type="dxa"/>
          </w:tcPr>
          <w:p w14:paraId="377FBBA7" w14:textId="77777777" w:rsidR="00467B76" w:rsidRPr="00E31A5B" w:rsidRDefault="00467B76" w:rsidP="0068330F">
            <w:pPr>
              <w:jc w:val="center"/>
              <w:rPr>
                <w:color w:val="000000" w:themeColor="text1"/>
                <w:sz w:val="22"/>
                <w:szCs w:val="22"/>
              </w:rPr>
            </w:pPr>
            <w:r w:rsidRPr="00E31A5B">
              <w:rPr>
                <w:color w:val="000000" w:themeColor="text1"/>
                <w:sz w:val="22"/>
                <w:szCs w:val="22"/>
              </w:rPr>
              <w:t>With constant</w:t>
            </w:r>
          </w:p>
        </w:tc>
        <w:tc>
          <w:tcPr>
            <w:tcW w:w="1710" w:type="dxa"/>
          </w:tcPr>
          <w:p w14:paraId="3A4EBD00" w14:textId="77777777" w:rsidR="00467B76" w:rsidRPr="00E31A5B" w:rsidRDefault="00467B76" w:rsidP="0068330F">
            <w:pPr>
              <w:jc w:val="center"/>
              <w:rPr>
                <w:color w:val="000000" w:themeColor="text1"/>
                <w:sz w:val="22"/>
                <w:szCs w:val="22"/>
              </w:rPr>
            </w:pPr>
            <w:r w:rsidRPr="00E31A5B">
              <w:rPr>
                <w:color w:val="000000" w:themeColor="text1"/>
                <w:sz w:val="22"/>
                <w:szCs w:val="22"/>
              </w:rPr>
              <w:t>7</w:t>
            </w:r>
          </w:p>
        </w:tc>
      </w:tr>
      <w:tr w:rsidR="00467B76" w:rsidRPr="00E31A5B" w14:paraId="46F3CE65" w14:textId="77777777" w:rsidTr="00A9142C">
        <w:tc>
          <w:tcPr>
            <w:tcW w:w="3595" w:type="dxa"/>
            <w:vMerge/>
            <w:vAlign w:val="center"/>
          </w:tcPr>
          <w:p w14:paraId="42F648F3" w14:textId="77777777" w:rsidR="00467B76" w:rsidRPr="00E31A5B" w:rsidRDefault="00467B76" w:rsidP="0068330F">
            <w:pPr>
              <w:jc w:val="center"/>
              <w:rPr>
                <w:color w:val="000000" w:themeColor="text1"/>
                <w:sz w:val="22"/>
                <w:szCs w:val="22"/>
              </w:rPr>
            </w:pPr>
          </w:p>
        </w:tc>
        <w:tc>
          <w:tcPr>
            <w:tcW w:w="2970" w:type="dxa"/>
          </w:tcPr>
          <w:p w14:paraId="7D597734" w14:textId="77777777" w:rsidR="00467B76" w:rsidRPr="00E31A5B" w:rsidRDefault="00467B76" w:rsidP="0068330F">
            <w:pPr>
              <w:jc w:val="center"/>
              <w:rPr>
                <w:color w:val="000000" w:themeColor="text1"/>
                <w:sz w:val="22"/>
                <w:szCs w:val="22"/>
              </w:rPr>
            </w:pPr>
            <w:r w:rsidRPr="00E31A5B">
              <w:rPr>
                <w:color w:val="000000" w:themeColor="text1"/>
                <w:sz w:val="22"/>
                <w:szCs w:val="22"/>
              </w:rPr>
              <w:t>With constant and trend</w:t>
            </w:r>
          </w:p>
        </w:tc>
        <w:tc>
          <w:tcPr>
            <w:tcW w:w="1710" w:type="dxa"/>
          </w:tcPr>
          <w:p w14:paraId="6C3EF96D" w14:textId="77777777" w:rsidR="00467B76" w:rsidRPr="00E31A5B" w:rsidRDefault="00467B76" w:rsidP="0068330F">
            <w:pPr>
              <w:jc w:val="center"/>
              <w:rPr>
                <w:color w:val="000000" w:themeColor="text1"/>
                <w:sz w:val="22"/>
                <w:szCs w:val="22"/>
              </w:rPr>
            </w:pPr>
            <w:r w:rsidRPr="00E31A5B">
              <w:rPr>
                <w:color w:val="000000" w:themeColor="text1"/>
                <w:sz w:val="22"/>
                <w:szCs w:val="22"/>
              </w:rPr>
              <w:t>7</w:t>
            </w:r>
          </w:p>
        </w:tc>
      </w:tr>
    </w:tbl>
    <w:p w14:paraId="697694C4" w14:textId="77777777" w:rsidR="00467B76" w:rsidRPr="00A86B2F" w:rsidRDefault="00467B76" w:rsidP="0068330F">
      <w:pPr>
        <w:spacing w:line="240" w:lineRule="auto"/>
        <w:ind w:firstLine="720"/>
        <w:rPr>
          <w:rFonts w:ascii="Times New Roman" w:hAnsi="Times New Roman" w:cs="Times New Roman"/>
          <w:color w:val="000000" w:themeColor="text1"/>
          <w:sz w:val="24"/>
          <w:szCs w:val="24"/>
        </w:rPr>
      </w:pPr>
    </w:p>
    <w:p w14:paraId="37E90A59" w14:textId="77777777" w:rsidR="003100B7" w:rsidRDefault="003100B7" w:rsidP="0068330F">
      <w:pPr>
        <w:pStyle w:val="MyTables"/>
      </w:pPr>
      <w:bookmarkStart w:id="24" w:name="_Toc79604516"/>
    </w:p>
    <w:p w14:paraId="3C79B188" w14:textId="77777777" w:rsidR="003100B7" w:rsidRDefault="003100B7" w:rsidP="0068330F">
      <w:pPr>
        <w:pStyle w:val="MyTables"/>
      </w:pPr>
    </w:p>
    <w:p w14:paraId="03EF74CA" w14:textId="1460191D" w:rsidR="003100B7" w:rsidRDefault="003100B7" w:rsidP="0068330F">
      <w:pPr>
        <w:pStyle w:val="MyTables"/>
      </w:pPr>
    </w:p>
    <w:p w14:paraId="45B03C0F" w14:textId="77777777" w:rsidR="003100B7" w:rsidRPr="003100B7" w:rsidRDefault="003100B7" w:rsidP="003100B7">
      <w:pPr>
        <w:pStyle w:val="Caption"/>
      </w:pPr>
    </w:p>
    <w:p w14:paraId="3C4159C1" w14:textId="3FFDBAAE" w:rsidR="00462BBF" w:rsidRPr="00E31A5B" w:rsidRDefault="00462BBF" w:rsidP="0068330F">
      <w:pPr>
        <w:pStyle w:val="MyTables"/>
      </w:pPr>
      <w:r w:rsidRPr="00E31A5B">
        <w:lastRenderedPageBreak/>
        <w:t xml:space="preserve">Table </w:t>
      </w:r>
      <w:bookmarkEnd w:id="24"/>
      <w:r w:rsidR="00155203">
        <w:t>6</w:t>
      </w:r>
      <w:r w:rsidRPr="00E31A5B">
        <w:t xml:space="preserve"> </w:t>
      </w:r>
    </w:p>
    <w:p w14:paraId="321D1230" w14:textId="77777777" w:rsidR="00462BBF" w:rsidRPr="00D53689" w:rsidRDefault="00462BBF" w:rsidP="0068330F">
      <w:pPr>
        <w:pStyle w:val="MyTables"/>
        <w:rPr>
          <w:rFonts w:cs="Times New Roman"/>
          <w:b w:val="0"/>
          <w:bCs w:val="0"/>
          <w:i/>
          <w:szCs w:val="24"/>
        </w:rPr>
      </w:pPr>
      <w:bookmarkStart w:id="25" w:name="_Toc79604517"/>
      <w:r w:rsidRPr="00D53689">
        <w:rPr>
          <w:rFonts w:cs="Times New Roman"/>
          <w:b w:val="0"/>
          <w:bCs w:val="0"/>
          <w:i/>
          <w:szCs w:val="24"/>
        </w:rPr>
        <w:t>JC test results for GDPpc and GNDIpc with unrestricted constant.</w:t>
      </w:r>
      <w:bookmarkEnd w:id="25"/>
      <w:r w:rsidRPr="00D53689">
        <w:rPr>
          <w:rFonts w:cs="Times New Roman"/>
          <w:b w:val="0"/>
          <w:bCs w:val="0"/>
          <w:i/>
          <w:szCs w:val="24"/>
        </w:rPr>
        <w:t xml:space="preserve"> </w:t>
      </w:r>
    </w:p>
    <w:tbl>
      <w:tblPr>
        <w:tblStyle w:val="TableGrid"/>
        <w:tblW w:w="8910" w:type="dxa"/>
        <w:tblBorders>
          <w:insideV w:val="none" w:sz="0" w:space="0" w:color="auto"/>
        </w:tblBorders>
        <w:tblLayout w:type="fixed"/>
        <w:tblLook w:val="04A0" w:firstRow="1" w:lastRow="0" w:firstColumn="1" w:lastColumn="0" w:noHBand="0" w:noVBand="1"/>
      </w:tblPr>
      <w:tblGrid>
        <w:gridCol w:w="1165"/>
        <w:gridCol w:w="1710"/>
        <w:gridCol w:w="1710"/>
        <w:gridCol w:w="1710"/>
        <w:gridCol w:w="1440"/>
        <w:gridCol w:w="1175"/>
      </w:tblGrid>
      <w:tr w:rsidR="00462BBF" w:rsidRPr="00E31A5B" w14:paraId="317D874A" w14:textId="77777777" w:rsidTr="00A9142C">
        <w:trPr>
          <w:trHeight w:val="431"/>
        </w:trPr>
        <w:tc>
          <w:tcPr>
            <w:tcW w:w="1165" w:type="dxa"/>
            <w:vAlign w:val="center"/>
          </w:tcPr>
          <w:p w14:paraId="204F8372"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Rank</w:t>
            </w:r>
          </w:p>
        </w:tc>
        <w:tc>
          <w:tcPr>
            <w:tcW w:w="1710" w:type="dxa"/>
            <w:vAlign w:val="center"/>
          </w:tcPr>
          <w:p w14:paraId="2572753F"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Eigenvalue</w:t>
            </w:r>
          </w:p>
        </w:tc>
        <w:tc>
          <w:tcPr>
            <w:tcW w:w="1710" w:type="dxa"/>
            <w:vAlign w:val="center"/>
          </w:tcPr>
          <w:p w14:paraId="3308BAA5"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Trace Test</w:t>
            </w:r>
          </w:p>
        </w:tc>
        <w:tc>
          <w:tcPr>
            <w:tcW w:w="1710" w:type="dxa"/>
            <w:vAlign w:val="center"/>
          </w:tcPr>
          <w:p w14:paraId="70ED0DBA"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(Trace)</w:t>
            </w:r>
          </w:p>
        </w:tc>
        <w:tc>
          <w:tcPr>
            <w:tcW w:w="1440" w:type="dxa"/>
            <w:vAlign w:val="center"/>
          </w:tcPr>
          <w:p w14:paraId="513484D7"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Lmax Test</w:t>
            </w:r>
          </w:p>
        </w:tc>
        <w:tc>
          <w:tcPr>
            <w:tcW w:w="1175" w:type="dxa"/>
            <w:vAlign w:val="center"/>
          </w:tcPr>
          <w:p w14:paraId="66D91813"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(Lmax)</w:t>
            </w:r>
          </w:p>
        </w:tc>
      </w:tr>
      <w:tr w:rsidR="00462BBF" w:rsidRPr="00E31A5B" w14:paraId="207EECB2" w14:textId="77777777" w:rsidTr="00A9142C">
        <w:tc>
          <w:tcPr>
            <w:tcW w:w="1165" w:type="dxa"/>
          </w:tcPr>
          <w:p w14:paraId="37BBFB6C" w14:textId="77777777" w:rsidR="00462BBF" w:rsidRPr="00E31A5B" w:rsidRDefault="00462BBF" w:rsidP="0068330F">
            <w:pPr>
              <w:jc w:val="center"/>
              <w:rPr>
                <w:color w:val="000000" w:themeColor="text1"/>
                <w:sz w:val="22"/>
                <w:szCs w:val="22"/>
              </w:rPr>
            </w:pPr>
            <w:r w:rsidRPr="00E31A5B">
              <w:rPr>
                <w:color w:val="000000" w:themeColor="text1"/>
                <w:sz w:val="22"/>
                <w:szCs w:val="22"/>
              </w:rPr>
              <w:t>0</w:t>
            </w:r>
          </w:p>
        </w:tc>
        <w:tc>
          <w:tcPr>
            <w:tcW w:w="1710" w:type="dxa"/>
          </w:tcPr>
          <w:p w14:paraId="41A93A65" w14:textId="77777777" w:rsidR="00462BBF" w:rsidRPr="00E31A5B" w:rsidRDefault="00462BBF" w:rsidP="0068330F">
            <w:pPr>
              <w:jc w:val="center"/>
              <w:rPr>
                <w:color w:val="000000" w:themeColor="text1"/>
                <w:sz w:val="22"/>
                <w:szCs w:val="22"/>
              </w:rPr>
            </w:pPr>
            <w:r w:rsidRPr="00E31A5B">
              <w:rPr>
                <w:color w:val="000000" w:themeColor="text1"/>
                <w:sz w:val="22"/>
                <w:szCs w:val="22"/>
              </w:rPr>
              <w:t>0.705820</w:t>
            </w:r>
          </w:p>
        </w:tc>
        <w:tc>
          <w:tcPr>
            <w:tcW w:w="1710" w:type="dxa"/>
          </w:tcPr>
          <w:p w14:paraId="14321E91" w14:textId="77777777" w:rsidR="00462BBF" w:rsidRPr="00E31A5B" w:rsidRDefault="00462BBF" w:rsidP="0068330F">
            <w:pPr>
              <w:jc w:val="center"/>
              <w:rPr>
                <w:color w:val="000000" w:themeColor="text1"/>
                <w:sz w:val="22"/>
                <w:szCs w:val="22"/>
              </w:rPr>
            </w:pPr>
            <w:r w:rsidRPr="00E31A5B">
              <w:rPr>
                <w:color w:val="000000" w:themeColor="text1"/>
                <w:sz w:val="22"/>
                <w:szCs w:val="22"/>
              </w:rPr>
              <w:t>35.269</w:t>
            </w:r>
          </w:p>
        </w:tc>
        <w:tc>
          <w:tcPr>
            <w:tcW w:w="1710" w:type="dxa"/>
          </w:tcPr>
          <w:p w14:paraId="61CB6D67"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c>
          <w:tcPr>
            <w:tcW w:w="1440" w:type="dxa"/>
          </w:tcPr>
          <w:p w14:paraId="5430E242" w14:textId="77777777" w:rsidR="00462BBF" w:rsidRPr="00E31A5B" w:rsidRDefault="00462BBF" w:rsidP="0068330F">
            <w:pPr>
              <w:jc w:val="center"/>
              <w:rPr>
                <w:color w:val="000000" w:themeColor="text1"/>
                <w:sz w:val="22"/>
                <w:szCs w:val="22"/>
              </w:rPr>
            </w:pPr>
            <w:r w:rsidRPr="00E31A5B">
              <w:rPr>
                <w:color w:val="000000" w:themeColor="text1"/>
                <w:sz w:val="22"/>
                <w:szCs w:val="22"/>
              </w:rPr>
              <w:t>22.02400</w:t>
            </w:r>
          </w:p>
        </w:tc>
        <w:tc>
          <w:tcPr>
            <w:tcW w:w="1175" w:type="dxa"/>
          </w:tcPr>
          <w:p w14:paraId="7264CFA5" w14:textId="77777777" w:rsidR="00462BBF" w:rsidRPr="00E31A5B" w:rsidRDefault="00462BBF" w:rsidP="0068330F">
            <w:pPr>
              <w:jc w:val="center"/>
              <w:rPr>
                <w:color w:val="000000" w:themeColor="text1"/>
                <w:sz w:val="22"/>
                <w:szCs w:val="22"/>
              </w:rPr>
            </w:pPr>
            <w:r w:rsidRPr="00E31A5B">
              <w:rPr>
                <w:color w:val="000000" w:themeColor="text1"/>
                <w:sz w:val="22"/>
                <w:szCs w:val="22"/>
              </w:rPr>
              <w:t>[0.0018]</w:t>
            </w:r>
          </w:p>
        </w:tc>
      </w:tr>
      <w:tr w:rsidR="00462BBF" w:rsidRPr="00E31A5B" w14:paraId="67BEBF0E" w14:textId="77777777" w:rsidTr="00A9142C">
        <w:tc>
          <w:tcPr>
            <w:tcW w:w="1165" w:type="dxa"/>
          </w:tcPr>
          <w:p w14:paraId="404B36F7" w14:textId="77777777" w:rsidR="00462BBF" w:rsidRPr="00E31A5B" w:rsidRDefault="00462BBF" w:rsidP="0068330F">
            <w:pPr>
              <w:jc w:val="center"/>
              <w:rPr>
                <w:color w:val="000000" w:themeColor="text1"/>
                <w:sz w:val="22"/>
                <w:szCs w:val="22"/>
              </w:rPr>
            </w:pPr>
            <w:r w:rsidRPr="00E31A5B">
              <w:rPr>
                <w:color w:val="000000" w:themeColor="text1"/>
                <w:sz w:val="22"/>
                <w:szCs w:val="22"/>
              </w:rPr>
              <w:t>1</w:t>
            </w:r>
          </w:p>
        </w:tc>
        <w:tc>
          <w:tcPr>
            <w:tcW w:w="1710" w:type="dxa"/>
          </w:tcPr>
          <w:p w14:paraId="20887474" w14:textId="77777777" w:rsidR="00462BBF" w:rsidRPr="00E31A5B" w:rsidRDefault="00462BBF" w:rsidP="0068330F">
            <w:pPr>
              <w:jc w:val="center"/>
              <w:rPr>
                <w:color w:val="000000" w:themeColor="text1"/>
                <w:sz w:val="22"/>
                <w:szCs w:val="22"/>
              </w:rPr>
            </w:pPr>
            <w:r w:rsidRPr="00E31A5B">
              <w:rPr>
                <w:color w:val="000000" w:themeColor="text1"/>
                <w:sz w:val="22"/>
                <w:szCs w:val="22"/>
              </w:rPr>
              <w:t>0.520890</w:t>
            </w:r>
          </w:p>
        </w:tc>
        <w:tc>
          <w:tcPr>
            <w:tcW w:w="1710" w:type="dxa"/>
          </w:tcPr>
          <w:p w14:paraId="2DE84E00" w14:textId="77777777" w:rsidR="00462BBF" w:rsidRPr="00E31A5B" w:rsidRDefault="00462BBF" w:rsidP="0068330F">
            <w:pPr>
              <w:jc w:val="center"/>
              <w:rPr>
                <w:color w:val="000000" w:themeColor="text1"/>
                <w:sz w:val="22"/>
                <w:szCs w:val="22"/>
              </w:rPr>
            </w:pPr>
            <w:r w:rsidRPr="00E31A5B">
              <w:rPr>
                <w:color w:val="000000" w:themeColor="text1"/>
                <w:sz w:val="22"/>
                <w:szCs w:val="22"/>
              </w:rPr>
              <w:t>13.245</w:t>
            </w:r>
          </w:p>
        </w:tc>
        <w:tc>
          <w:tcPr>
            <w:tcW w:w="1710" w:type="dxa"/>
          </w:tcPr>
          <w:p w14:paraId="440510E5" w14:textId="77777777" w:rsidR="00462BBF" w:rsidRPr="00E31A5B" w:rsidRDefault="00462BBF" w:rsidP="0068330F">
            <w:pPr>
              <w:jc w:val="center"/>
              <w:rPr>
                <w:color w:val="000000" w:themeColor="text1"/>
                <w:sz w:val="22"/>
                <w:szCs w:val="22"/>
              </w:rPr>
            </w:pPr>
            <w:r w:rsidRPr="00E31A5B">
              <w:rPr>
                <w:color w:val="000000" w:themeColor="text1"/>
                <w:sz w:val="22"/>
                <w:szCs w:val="22"/>
              </w:rPr>
              <w:t>[0.0003]</w:t>
            </w:r>
          </w:p>
        </w:tc>
        <w:tc>
          <w:tcPr>
            <w:tcW w:w="1440" w:type="dxa"/>
          </w:tcPr>
          <w:p w14:paraId="1165F231" w14:textId="77777777" w:rsidR="00462BBF" w:rsidRPr="00E31A5B" w:rsidRDefault="00462BBF" w:rsidP="0068330F">
            <w:pPr>
              <w:jc w:val="center"/>
              <w:rPr>
                <w:color w:val="000000" w:themeColor="text1"/>
                <w:sz w:val="22"/>
                <w:szCs w:val="22"/>
              </w:rPr>
            </w:pPr>
            <w:r w:rsidRPr="00E31A5B">
              <w:rPr>
                <w:color w:val="000000" w:themeColor="text1"/>
                <w:sz w:val="22"/>
                <w:szCs w:val="22"/>
              </w:rPr>
              <w:t>13.24500</w:t>
            </w:r>
          </w:p>
        </w:tc>
        <w:tc>
          <w:tcPr>
            <w:tcW w:w="1175" w:type="dxa"/>
          </w:tcPr>
          <w:p w14:paraId="0F0902D8" w14:textId="77777777" w:rsidR="00462BBF" w:rsidRPr="00E31A5B" w:rsidRDefault="00462BBF" w:rsidP="0068330F">
            <w:pPr>
              <w:jc w:val="center"/>
              <w:rPr>
                <w:color w:val="000000" w:themeColor="text1"/>
                <w:sz w:val="22"/>
                <w:szCs w:val="22"/>
              </w:rPr>
            </w:pPr>
            <w:r w:rsidRPr="00E31A5B">
              <w:rPr>
                <w:color w:val="000000" w:themeColor="text1"/>
                <w:sz w:val="22"/>
                <w:szCs w:val="22"/>
              </w:rPr>
              <w:t>[0.0003]</w:t>
            </w:r>
          </w:p>
        </w:tc>
      </w:tr>
    </w:tbl>
    <w:p w14:paraId="1BB46AD5" w14:textId="6F11BE28" w:rsidR="00462BBF" w:rsidRPr="00E31A5B" w:rsidRDefault="00462BBF" w:rsidP="0068330F">
      <w:pPr>
        <w:spacing w:after="0" w:line="240" w:lineRule="auto"/>
        <w:rPr>
          <w:rFonts w:ascii="Times New Roman" w:hAnsi="Times New Roman" w:cs="Times New Roman"/>
          <w:color w:val="000000" w:themeColor="text1"/>
        </w:rPr>
      </w:pPr>
      <w:r w:rsidRPr="00E31A5B">
        <w:rPr>
          <w:rFonts w:ascii="Times New Roman" w:hAnsi="Times New Roman" w:cs="Times New Roman"/>
          <w:i/>
          <w:iCs/>
          <w:color w:val="000000" w:themeColor="text1"/>
        </w:rPr>
        <w:t>Note:</w:t>
      </w:r>
      <w:r w:rsidRPr="00E31A5B">
        <w:rPr>
          <w:rFonts w:ascii="Times New Roman" w:hAnsi="Times New Roman" w:cs="Times New Roman"/>
          <w:color w:val="000000" w:themeColor="text1"/>
        </w:rPr>
        <w:t xml:space="preserve"> (a) The </w:t>
      </w:r>
      <w:r w:rsidR="00336A81">
        <w:rPr>
          <w:rFonts w:ascii="Times New Roman" w:hAnsi="Times New Roman" w:cs="Times New Roman"/>
          <w:color w:val="000000" w:themeColor="text1"/>
        </w:rPr>
        <w:t xml:space="preserve">JC </w:t>
      </w:r>
      <w:r w:rsidRPr="00E31A5B">
        <w:rPr>
          <w:rFonts w:ascii="Times New Roman" w:hAnsi="Times New Roman" w:cs="Times New Roman"/>
          <w:color w:val="000000" w:themeColor="text1"/>
        </w:rPr>
        <w:t xml:space="preserve">test was run with a lag length of </w:t>
      </w:r>
      <w:proofErr w:type="gramStart"/>
      <w:r w:rsidRPr="00E31A5B">
        <w:rPr>
          <w:rFonts w:ascii="Times New Roman" w:hAnsi="Times New Roman" w:cs="Times New Roman"/>
          <w:color w:val="000000" w:themeColor="text1"/>
        </w:rPr>
        <w:t>7</w:t>
      </w:r>
      <w:proofErr w:type="gramEnd"/>
      <w:r w:rsidRPr="00E31A5B">
        <w:rPr>
          <w:rFonts w:ascii="Times New Roman" w:hAnsi="Times New Roman" w:cs="Times New Roman"/>
          <w:color w:val="000000" w:themeColor="text1"/>
        </w:rPr>
        <w:t xml:space="preserve"> obtained from the paired growth indicators</w:t>
      </w:r>
      <w:r w:rsidR="00753F9C">
        <w:rPr>
          <w:rFonts w:ascii="Times New Roman" w:hAnsi="Times New Roman" w:cs="Times New Roman"/>
          <w:color w:val="000000" w:themeColor="text1"/>
        </w:rPr>
        <w:t xml:space="preserve"> </w:t>
      </w:r>
      <w:r w:rsidRPr="00E31A5B">
        <w:rPr>
          <w:rFonts w:ascii="Times New Roman" w:hAnsi="Times New Roman" w:cs="Times New Roman"/>
          <w:color w:val="000000" w:themeColor="text1"/>
        </w:rPr>
        <w:t>VAR lag selection</w:t>
      </w:r>
      <w:r w:rsidR="0075454F">
        <w:rPr>
          <w:rFonts w:ascii="Times New Roman" w:hAnsi="Times New Roman" w:cs="Times New Roman"/>
          <w:color w:val="000000" w:themeColor="text1"/>
        </w:rPr>
        <w:t xml:space="preserve"> (Table 5)</w:t>
      </w:r>
      <w:r w:rsidRPr="00E31A5B">
        <w:rPr>
          <w:rFonts w:ascii="Times New Roman" w:hAnsi="Times New Roman" w:cs="Times New Roman"/>
          <w:color w:val="000000" w:themeColor="text1"/>
        </w:rPr>
        <w:t xml:space="preserve">. (b) Lmax is </w:t>
      </w:r>
      <w:r w:rsidR="00AF2F5F">
        <w:rPr>
          <w:rFonts w:ascii="Times New Roman" w:hAnsi="Times New Roman" w:cs="Times New Roman"/>
          <w:color w:val="000000" w:themeColor="text1"/>
        </w:rPr>
        <w:t xml:space="preserve">the </w:t>
      </w:r>
      <w:r w:rsidRPr="00E31A5B">
        <w:rPr>
          <w:rFonts w:ascii="Times New Roman" w:hAnsi="Times New Roman" w:cs="Times New Roman"/>
          <w:color w:val="000000" w:themeColor="text1"/>
        </w:rPr>
        <w:t>Lambda max test. This note applies to all the other paired cointegration tests subsequently reported for the paired growth indices.</w:t>
      </w:r>
    </w:p>
    <w:p w14:paraId="737332AF" w14:textId="77777777" w:rsidR="00462BBF" w:rsidRPr="00E31A5B" w:rsidRDefault="00462BBF" w:rsidP="0068330F">
      <w:pPr>
        <w:spacing w:after="0" w:line="240" w:lineRule="auto"/>
        <w:rPr>
          <w:rFonts w:ascii="Times New Roman" w:hAnsi="Times New Roman" w:cs="Times New Roman"/>
          <w:color w:val="000000" w:themeColor="text1"/>
        </w:rPr>
      </w:pPr>
    </w:p>
    <w:p w14:paraId="256C6474" w14:textId="4FED13F5" w:rsidR="00462BBF" w:rsidRPr="00E31A5B" w:rsidRDefault="00462BBF" w:rsidP="0068330F">
      <w:pPr>
        <w:pStyle w:val="MyTables"/>
      </w:pPr>
      <w:bookmarkStart w:id="26" w:name="_Toc79604518"/>
      <w:r w:rsidRPr="00E31A5B">
        <w:t xml:space="preserve">Table </w:t>
      </w:r>
      <w:bookmarkEnd w:id="26"/>
      <w:r w:rsidR="00155203">
        <w:t>7</w:t>
      </w:r>
      <w:r w:rsidRPr="00E31A5B">
        <w:t xml:space="preserve"> </w:t>
      </w:r>
    </w:p>
    <w:p w14:paraId="4A5679CD" w14:textId="77777777" w:rsidR="00462BBF" w:rsidRPr="00D53689" w:rsidRDefault="00462BBF" w:rsidP="0068330F">
      <w:pPr>
        <w:pStyle w:val="MyTables"/>
        <w:rPr>
          <w:rFonts w:cs="Times New Roman"/>
          <w:b w:val="0"/>
          <w:bCs w:val="0"/>
          <w:i/>
          <w:szCs w:val="24"/>
        </w:rPr>
      </w:pPr>
      <w:bookmarkStart w:id="27" w:name="_Toc79604519"/>
      <w:r w:rsidRPr="00D53689">
        <w:rPr>
          <w:rFonts w:cs="Times New Roman"/>
          <w:b w:val="0"/>
          <w:bCs w:val="0"/>
          <w:i/>
          <w:szCs w:val="24"/>
        </w:rPr>
        <w:t>JC test results for GDPpc and GNDIpc with unrestricted constant and trend.</w:t>
      </w:r>
      <w:bookmarkEnd w:id="27"/>
    </w:p>
    <w:tbl>
      <w:tblPr>
        <w:tblStyle w:val="TableGrid"/>
        <w:tblW w:w="8910" w:type="dxa"/>
        <w:tblBorders>
          <w:insideV w:val="none" w:sz="0" w:space="0" w:color="auto"/>
        </w:tblBorders>
        <w:tblLayout w:type="fixed"/>
        <w:tblLook w:val="04A0" w:firstRow="1" w:lastRow="0" w:firstColumn="1" w:lastColumn="0" w:noHBand="0" w:noVBand="1"/>
      </w:tblPr>
      <w:tblGrid>
        <w:gridCol w:w="1165"/>
        <w:gridCol w:w="1710"/>
        <w:gridCol w:w="1710"/>
        <w:gridCol w:w="1710"/>
        <w:gridCol w:w="1440"/>
        <w:gridCol w:w="1175"/>
      </w:tblGrid>
      <w:tr w:rsidR="00462BBF" w:rsidRPr="00E31A5B" w14:paraId="19C5A855" w14:textId="77777777" w:rsidTr="00A9142C">
        <w:trPr>
          <w:trHeight w:val="431"/>
        </w:trPr>
        <w:tc>
          <w:tcPr>
            <w:tcW w:w="1165" w:type="dxa"/>
            <w:vAlign w:val="center"/>
          </w:tcPr>
          <w:p w14:paraId="728B8822"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Rank</w:t>
            </w:r>
          </w:p>
        </w:tc>
        <w:tc>
          <w:tcPr>
            <w:tcW w:w="1710" w:type="dxa"/>
            <w:vAlign w:val="center"/>
          </w:tcPr>
          <w:p w14:paraId="6DF2784F"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Eigenvalue</w:t>
            </w:r>
          </w:p>
        </w:tc>
        <w:tc>
          <w:tcPr>
            <w:tcW w:w="1710" w:type="dxa"/>
            <w:vAlign w:val="center"/>
          </w:tcPr>
          <w:p w14:paraId="09FE6790"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Trace Test</w:t>
            </w:r>
          </w:p>
        </w:tc>
        <w:tc>
          <w:tcPr>
            <w:tcW w:w="1710" w:type="dxa"/>
            <w:vAlign w:val="center"/>
          </w:tcPr>
          <w:p w14:paraId="7FD7B256"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(Trace)</w:t>
            </w:r>
          </w:p>
        </w:tc>
        <w:tc>
          <w:tcPr>
            <w:tcW w:w="1440" w:type="dxa"/>
            <w:vAlign w:val="center"/>
          </w:tcPr>
          <w:p w14:paraId="10E181D5"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Lmax Test</w:t>
            </w:r>
          </w:p>
        </w:tc>
        <w:tc>
          <w:tcPr>
            <w:tcW w:w="1175" w:type="dxa"/>
            <w:vAlign w:val="center"/>
          </w:tcPr>
          <w:p w14:paraId="363E9422"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(Lmax)</w:t>
            </w:r>
          </w:p>
        </w:tc>
      </w:tr>
      <w:tr w:rsidR="00462BBF" w:rsidRPr="00E31A5B" w14:paraId="2D8D47A7" w14:textId="77777777" w:rsidTr="00A9142C">
        <w:tc>
          <w:tcPr>
            <w:tcW w:w="1165" w:type="dxa"/>
          </w:tcPr>
          <w:p w14:paraId="4ED77F66" w14:textId="77777777" w:rsidR="00462BBF" w:rsidRPr="00E31A5B" w:rsidRDefault="00462BBF" w:rsidP="0068330F">
            <w:pPr>
              <w:jc w:val="center"/>
              <w:rPr>
                <w:color w:val="000000" w:themeColor="text1"/>
                <w:sz w:val="22"/>
                <w:szCs w:val="22"/>
              </w:rPr>
            </w:pPr>
            <w:r w:rsidRPr="00E31A5B">
              <w:rPr>
                <w:color w:val="000000" w:themeColor="text1"/>
                <w:sz w:val="22"/>
                <w:szCs w:val="22"/>
              </w:rPr>
              <w:t>0</w:t>
            </w:r>
          </w:p>
        </w:tc>
        <w:tc>
          <w:tcPr>
            <w:tcW w:w="1710" w:type="dxa"/>
          </w:tcPr>
          <w:p w14:paraId="3C3F4093" w14:textId="77777777" w:rsidR="00462BBF" w:rsidRPr="00E31A5B" w:rsidRDefault="00462BBF" w:rsidP="0068330F">
            <w:pPr>
              <w:jc w:val="center"/>
              <w:rPr>
                <w:color w:val="000000" w:themeColor="text1"/>
                <w:sz w:val="22"/>
                <w:szCs w:val="22"/>
              </w:rPr>
            </w:pPr>
            <w:r w:rsidRPr="00E31A5B">
              <w:rPr>
                <w:color w:val="000000" w:themeColor="text1"/>
                <w:sz w:val="22"/>
                <w:szCs w:val="22"/>
              </w:rPr>
              <w:t>0.842420</w:t>
            </w:r>
          </w:p>
        </w:tc>
        <w:tc>
          <w:tcPr>
            <w:tcW w:w="1710" w:type="dxa"/>
          </w:tcPr>
          <w:p w14:paraId="619D1D0B" w14:textId="77777777" w:rsidR="00462BBF" w:rsidRPr="00E31A5B" w:rsidRDefault="00462BBF" w:rsidP="0068330F">
            <w:pPr>
              <w:jc w:val="center"/>
              <w:rPr>
                <w:color w:val="000000" w:themeColor="text1"/>
                <w:sz w:val="22"/>
                <w:szCs w:val="22"/>
              </w:rPr>
            </w:pPr>
            <w:r w:rsidRPr="00E31A5B">
              <w:rPr>
                <w:color w:val="000000" w:themeColor="text1"/>
                <w:sz w:val="22"/>
                <w:szCs w:val="22"/>
              </w:rPr>
              <w:t>34.878</w:t>
            </w:r>
          </w:p>
        </w:tc>
        <w:tc>
          <w:tcPr>
            <w:tcW w:w="1710" w:type="dxa"/>
          </w:tcPr>
          <w:p w14:paraId="63702070" w14:textId="77777777" w:rsidR="00462BBF" w:rsidRPr="00E31A5B" w:rsidRDefault="00462BBF" w:rsidP="0068330F">
            <w:pPr>
              <w:jc w:val="center"/>
              <w:rPr>
                <w:color w:val="000000" w:themeColor="text1"/>
                <w:sz w:val="22"/>
                <w:szCs w:val="22"/>
              </w:rPr>
            </w:pPr>
            <w:r w:rsidRPr="00E31A5B">
              <w:rPr>
                <w:color w:val="000000" w:themeColor="text1"/>
                <w:sz w:val="22"/>
                <w:szCs w:val="22"/>
              </w:rPr>
              <w:t>[0.0001]</w:t>
            </w:r>
          </w:p>
        </w:tc>
        <w:tc>
          <w:tcPr>
            <w:tcW w:w="1440" w:type="dxa"/>
          </w:tcPr>
          <w:p w14:paraId="5F9942AD" w14:textId="77777777" w:rsidR="00462BBF" w:rsidRPr="00E31A5B" w:rsidRDefault="00462BBF" w:rsidP="0068330F">
            <w:pPr>
              <w:jc w:val="center"/>
              <w:rPr>
                <w:color w:val="000000" w:themeColor="text1"/>
                <w:sz w:val="22"/>
                <w:szCs w:val="22"/>
              </w:rPr>
            </w:pPr>
            <w:r w:rsidRPr="00E31A5B">
              <w:rPr>
                <w:color w:val="000000" w:themeColor="text1"/>
                <w:sz w:val="22"/>
                <w:szCs w:val="22"/>
              </w:rPr>
              <w:t>33.26100</w:t>
            </w:r>
          </w:p>
        </w:tc>
        <w:tc>
          <w:tcPr>
            <w:tcW w:w="1175" w:type="dxa"/>
          </w:tcPr>
          <w:p w14:paraId="159FC676" w14:textId="77777777" w:rsidR="00462BBF" w:rsidRPr="00E31A5B" w:rsidRDefault="00462BBF" w:rsidP="0068330F">
            <w:pPr>
              <w:jc w:val="center"/>
              <w:rPr>
                <w:color w:val="000000" w:themeColor="text1"/>
                <w:sz w:val="22"/>
                <w:szCs w:val="22"/>
              </w:rPr>
            </w:pPr>
            <w:r w:rsidRPr="00E31A5B">
              <w:rPr>
                <w:color w:val="000000" w:themeColor="text1"/>
                <w:sz w:val="22"/>
                <w:szCs w:val="22"/>
              </w:rPr>
              <w:t>[0.0001]</w:t>
            </w:r>
          </w:p>
        </w:tc>
      </w:tr>
      <w:tr w:rsidR="00462BBF" w:rsidRPr="00E31A5B" w14:paraId="617EFB95" w14:textId="77777777" w:rsidTr="00A9142C">
        <w:tc>
          <w:tcPr>
            <w:tcW w:w="1165" w:type="dxa"/>
          </w:tcPr>
          <w:p w14:paraId="2002A0A5" w14:textId="77777777" w:rsidR="00462BBF" w:rsidRPr="00E31A5B" w:rsidRDefault="00462BBF" w:rsidP="0068330F">
            <w:pPr>
              <w:jc w:val="center"/>
              <w:rPr>
                <w:color w:val="000000" w:themeColor="text1"/>
                <w:sz w:val="22"/>
                <w:szCs w:val="22"/>
              </w:rPr>
            </w:pPr>
            <w:r w:rsidRPr="00E31A5B">
              <w:rPr>
                <w:color w:val="000000" w:themeColor="text1"/>
                <w:sz w:val="22"/>
                <w:szCs w:val="22"/>
              </w:rPr>
              <w:t>1</w:t>
            </w:r>
          </w:p>
        </w:tc>
        <w:tc>
          <w:tcPr>
            <w:tcW w:w="1710" w:type="dxa"/>
          </w:tcPr>
          <w:p w14:paraId="1FD99EA7" w14:textId="77777777" w:rsidR="00462BBF" w:rsidRPr="00E31A5B" w:rsidRDefault="00462BBF" w:rsidP="0068330F">
            <w:pPr>
              <w:jc w:val="center"/>
              <w:rPr>
                <w:color w:val="000000" w:themeColor="text1"/>
                <w:sz w:val="22"/>
                <w:szCs w:val="22"/>
              </w:rPr>
            </w:pPr>
            <w:r w:rsidRPr="00E31A5B">
              <w:rPr>
                <w:color w:val="000000" w:themeColor="text1"/>
                <w:sz w:val="22"/>
                <w:szCs w:val="22"/>
              </w:rPr>
              <w:t>0.085895</w:t>
            </w:r>
          </w:p>
        </w:tc>
        <w:tc>
          <w:tcPr>
            <w:tcW w:w="1710" w:type="dxa"/>
          </w:tcPr>
          <w:p w14:paraId="7AA835CB" w14:textId="77777777" w:rsidR="00462BBF" w:rsidRPr="00E31A5B" w:rsidRDefault="00462BBF" w:rsidP="0068330F">
            <w:pPr>
              <w:jc w:val="center"/>
              <w:rPr>
                <w:color w:val="000000" w:themeColor="text1"/>
                <w:sz w:val="22"/>
                <w:szCs w:val="22"/>
              </w:rPr>
            </w:pPr>
            <w:r w:rsidRPr="00E31A5B">
              <w:rPr>
                <w:color w:val="000000" w:themeColor="text1"/>
                <w:sz w:val="22"/>
                <w:szCs w:val="22"/>
              </w:rPr>
              <w:t>1.6166</w:t>
            </w:r>
          </w:p>
        </w:tc>
        <w:tc>
          <w:tcPr>
            <w:tcW w:w="1710" w:type="dxa"/>
          </w:tcPr>
          <w:p w14:paraId="2224B7BD" w14:textId="77777777" w:rsidR="00462BBF" w:rsidRPr="00E31A5B" w:rsidRDefault="00462BBF" w:rsidP="0068330F">
            <w:pPr>
              <w:jc w:val="center"/>
              <w:rPr>
                <w:color w:val="000000" w:themeColor="text1"/>
                <w:sz w:val="22"/>
                <w:szCs w:val="22"/>
              </w:rPr>
            </w:pPr>
            <w:r w:rsidRPr="00E31A5B">
              <w:rPr>
                <w:color w:val="000000" w:themeColor="text1"/>
                <w:sz w:val="22"/>
                <w:szCs w:val="22"/>
              </w:rPr>
              <w:t>[0.2036]</w:t>
            </w:r>
          </w:p>
        </w:tc>
        <w:tc>
          <w:tcPr>
            <w:tcW w:w="1440" w:type="dxa"/>
          </w:tcPr>
          <w:p w14:paraId="75A9A566" w14:textId="77777777" w:rsidR="00462BBF" w:rsidRPr="00E31A5B" w:rsidRDefault="00462BBF" w:rsidP="0068330F">
            <w:pPr>
              <w:jc w:val="center"/>
              <w:rPr>
                <w:color w:val="000000" w:themeColor="text1"/>
                <w:sz w:val="22"/>
                <w:szCs w:val="22"/>
              </w:rPr>
            </w:pPr>
            <w:r w:rsidRPr="00E31A5B">
              <w:rPr>
                <w:color w:val="000000" w:themeColor="text1"/>
                <w:sz w:val="22"/>
                <w:szCs w:val="22"/>
              </w:rPr>
              <w:t>1.61660</w:t>
            </w:r>
          </w:p>
        </w:tc>
        <w:tc>
          <w:tcPr>
            <w:tcW w:w="1175" w:type="dxa"/>
          </w:tcPr>
          <w:p w14:paraId="083B2ECC" w14:textId="77777777" w:rsidR="00462BBF" w:rsidRPr="00E31A5B" w:rsidRDefault="00462BBF" w:rsidP="0068330F">
            <w:pPr>
              <w:jc w:val="center"/>
              <w:rPr>
                <w:color w:val="000000" w:themeColor="text1"/>
                <w:sz w:val="22"/>
                <w:szCs w:val="22"/>
              </w:rPr>
            </w:pPr>
            <w:r w:rsidRPr="00E31A5B">
              <w:rPr>
                <w:color w:val="000000" w:themeColor="text1"/>
                <w:sz w:val="22"/>
                <w:szCs w:val="22"/>
              </w:rPr>
              <w:t>[0.2036]</w:t>
            </w:r>
          </w:p>
        </w:tc>
      </w:tr>
      <w:bookmarkEnd w:id="18"/>
    </w:tbl>
    <w:p w14:paraId="5F867B2A" w14:textId="77777777" w:rsidR="00462BBF" w:rsidRPr="00E31A5B" w:rsidRDefault="00462BBF" w:rsidP="0068330F">
      <w:pPr>
        <w:spacing w:after="0" w:line="240" w:lineRule="auto"/>
        <w:rPr>
          <w:rFonts w:ascii="Times New Roman" w:hAnsi="Times New Roman" w:cs="Times New Roman"/>
          <w:color w:val="000000" w:themeColor="text1"/>
          <w:sz w:val="24"/>
          <w:szCs w:val="24"/>
        </w:rPr>
      </w:pPr>
    </w:p>
    <w:p w14:paraId="452FD3A6" w14:textId="4E011C66" w:rsidR="00462BBF" w:rsidRPr="00E31A5B" w:rsidRDefault="00462BBF" w:rsidP="0068330F">
      <w:pPr>
        <w:pStyle w:val="MyTables"/>
      </w:pPr>
      <w:bookmarkStart w:id="28" w:name="_Toc79604520"/>
      <w:r w:rsidRPr="00E31A5B">
        <w:t xml:space="preserve">Table </w:t>
      </w:r>
      <w:bookmarkEnd w:id="28"/>
      <w:r w:rsidR="00155203">
        <w:t>8</w:t>
      </w:r>
      <w:r w:rsidRPr="00E31A5B">
        <w:t xml:space="preserve"> </w:t>
      </w:r>
    </w:p>
    <w:p w14:paraId="56D75587" w14:textId="77777777" w:rsidR="00462BBF" w:rsidRPr="00D53689" w:rsidRDefault="00462BBF" w:rsidP="0068330F">
      <w:pPr>
        <w:pStyle w:val="MyTables"/>
        <w:rPr>
          <w:rFonts w:cs="Times New Roman"/>
          <w:b w:val="0"/>
          <w:bCs w:val="0"/>
          <w:i/>
          <w:szCs w:val="24"/>
        </w:rPr>
      </w:pPr>
      <w:bookmarkStart w:id="29" w:name="_Toc79604521"/>
      <w:r w:rsidRPr="00D53689">
        <w:rPr>
          <w:rFonts w:cs="Times New Roman"/>
          <w:b w:val="0"/>
          <w:bCs w:val="0"/>
          <w:i/>
          <w:szCs w:val="24"/>
        </w:rPr>
        <w:t>JC test results for GDPpc and HDI with unrestricted constant.</w:t>
      </w:r>
      <w:bookmarkEnd w:id="29"/>
      <w:r w:rsidRPr="00D53689">
        <w:rPr>
          <w:rFonts w:cs="Times New Roman"/>
          <w:b w:val="0"/>
          <w:bCs w:val="0"/>
          <w:i/>
          <w:szCs w:val="24"/>
        </w:rPr>
        <w:t xml:space="preserve"> </w:t>
      </w:r>
    </w:p>
    <w:tbl>
      <w:tblPr>
        <w:tblStyle w:val="TableGrid"/>
        <w:tblW w:w="8910" w:type="dxa"/>
        <w:tblBorders>
          <w:insideV w:val="none" w:sz="0" w:space="0" w:color="auto"/>
        </w:tblBorders>
        <w:tblLayout w:type="fixed"/>
        <w:tblLook w:val="04A0" w:firstRow="1" w:lastRow="0" w:firstColumn="1" w:lastColumn="0" w:noHBand="0" w:noVBand="1"/>
      </w:tblPr>
      <w:tblGrid>
        <w:gridCol w:w="1165"/>
        <w:gridCol w:w="1710"/>
        <w:gridCol w:w="1710"/>
        <w:gridCol w:w="1710"/>
        <w:gridCol w:w="1440"/>
        <w:gridCol w:w="1175"/>
      </w:tblGrid>
      <w:tr w:rsidR="00462BBF" w:rsidRPr="00E31A5B" w14:paraId="00E42D91" w14:textId="77777777" w:rsidTr="00A9142C">
        <w:trPr>
          <w:trHeight w:val="431"/>
        </w:trPr>
        <w:tc>
          <w:tcPr>
            <w:tcW w:w="1165" w:type="dxa"/>
            <w:vAlign w:val="center"/>
          </w:tcPr>
          <w:p w14:paraId="1DF90E29"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Rank</w:t>
            </w:r>
          </w:p>
        </w:tc>
        <w:tc>
          <w:tcPr>
            <w:tcW w:w="1710" w:type="dxa"/>
            <w:vAlign w:val="center"/>
          </w:tcPr>
          <w:p w14:paraId="76A106DE"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Eigenvalue</w:t>
            </w:r>
          </w:p>
        </w:tc>
        <w:tc>
          <w:tcPr>
            <w:tcW w:w="1710" w:type="dxa"/>
            <w:vAlign w:val="center"/>
          </w:tcPr>
          <w:p w14:paraId="1A9179E6"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Trace Test</w:t>
            </w:r>
          </w:p>
        </w:tc>
        <w:tc>
          <w:tcPr>
            <w:tcW w:w="1710" w:type="dxa"/>
            <w:vAlign w:val="center"/>
          </w:tcPr>
          <w:p w14:paraId="59FE1AC9"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(Trace)</w:t>
            </w:r>
          </w:p>
        </w:tc>
        <w:tc>
          <w:tcPr>
            <w:tcW w:w="1440" w:type="dxa"/>
            <w:vAlign w:val="center"/>
          </w:tcPr>
          <w:p w14:paraId="04566DA3"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Lmax Test</w:t>
            </w:r>
          </w:p>
        </w:tc>
        <w:tc>
          <w:tcPr>
            <w:tcW w:w="1175" w:type="dxa"/>
            <w:vAlign w:val="center"/>
          </w:tcPr>
          <w:p w14:paraId="02B8A6D0"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(Lmax)</w:t>
            </w:r>
          </w:p>
        </w:tc>
      </w:tr>
      <w:tr w:rsidR="00462BBF" w:rsidRPr="00E31A5B" w14:paraId="79B8A7F1" w14:textId="77777777" w:rsidTr="00A9142C">
        <w:tc>
          <w:tcPr>
            <w:tcW w:w="1165" w:type="dxa"/>
          </w:tcPr>
          <w:p w14:paraId="4CB4C967" w14:textId="77777777" w:rsidR="00462BBF" w:rsidRPr="00E31A5B" w:rsidRDefault="00462BBF" w:rsidP="0068330F">
            <w:pPr>
              <w:jc w:val="center"/>
              <w:rPr>
                <w:color w:val="000000" w:themeColor="text1"/>
                <w:sz w:val="22"/>
                <w:szCs w:val="22"/>
              </w:rPr>
            </w:pPr>
            <w:r w:rsidRPr="00E31A5B">
              <w:rPr>
                <w:color w:val="000000" w:themeColor="text1"/>
                <w:sz w:val="22"/>
                <w:szCs w:val="22"/>
              </w:rPr>
              <w:t>0</w:t>
            </w:r>
          </w:p>
        </w:tc>
        <w:tc>
          <w:tcPr>
            <w:tcW w:w="1710" w:type="dxa"/>
          </w:tcPr>
          <w:p w14:paraId="4E9F47F5" w14:textId="77777777" w:rsidR="00462BBF" w:rsidRPr="00E31A5B" w:rsidRDefault="00462BBF" w:rsidP="0068330F">
            <w:pPr>
              <w:jc w:val="center"/>
              <w:rPr>
                <w:color w:val="000000" w:themeColor="text1"/>
                <w:sz w:val="22"/>
                <w:szCs w:val="22"/>
              </w:rPr>
            </w:pPr>
            <w:r w:rsidRPr="00E31A5B">
              <w:rPr>
                <w:color w:val="000000" w:themeColor="text1"/>
                <w:sz w:val="22"/>
                <w:szCs w:val="22"/>
              </w:rPr>
              <w:t>0.840960</w:t>
            </w:r>
          </w:p>
        </w:tc>
        <w:tc>
          <w:tcPr>
            <w:tcW w:w="1710" w:type="dxa"/>
          </w:tcPr>
          <w:p w14:paraId="4F985D0B" w14:textId="77777777" w:rsidR="00462BBF" w:rsidRPr="00E31A5B" w:rsidRDefault="00462BBF" w:rsidP="0068330F">
            <w:pPr>
              <w:jc w:val="center"/>
              <w:rPr>
                <w:color w:val="000000" w:themeColor="text1"/>
                <w:sz w:val="22"/>
                <w:szCs w:val="22"/>
              </w:rPr>
            </w:pPr>
            <w:r w:rsidRPr="00E31A5B">
              <w:rPr>
                <w:color w:val="000000" w:themeColor="text1"/>
                <w:sz w:val="22"/>
                <w:szCs w:val="22"/>
              </w:rPr>
              <w:t>35.113</w:t>
            </w:r>
          </w:p>
        </w:tc>
        <w:tc>
          <w:tcPr>
            <w:tcW w:w="1710" w:type="dxa"/>
          </w:tcPr>
          <w:p w14:paraId="23363D13"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c>
          <w:tcPr>
            <w:tcW w:w="1440" w:type="dxa"/>
          </w:tcPr>
          <w:p w14:paraId="72D1BFB7" w14:textId="77777777" w:rsidR="00462BBF" w:rsidRPr="00E31A5B" w:rsidRDefault="00462BBF" w:rsidP="0068330F">
            <w:pPr>
              <w:jc w:val="center"/>
              <w:rPr>
                <w:color w:val="000000" w:themeColor="text1"/>
                <w:sz w:val="22"/>
                <w:szCs w:val="22"/>
              </w:rPr>
            </w:pPr>
            <w:r w:rsidRPr="00E31A5B">
              <w:rPr>
                <w:color w:val="000000" w:themeColor="text1"/>
                <w:sz w:val="22"/>
                <w:szCs w:val="22"/>
              </w:rPr>
              <w:t>33.09500</w:t>
            </w:r>
          </w:p>
        </w:tc>
        <w:tc>
          <w:tcPr>
            <w:tcW w:w="1175" w:type="dxa"/>
          </w:tcPr>
          <w:p w14:paraId="73B4CA0F"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r>
      <w:tr w:rsidR="00462BBF" w:rsidRPr="00E31A5B" w14:paraId="4717B9B5" w14:textId="77777777" w:rsidTr="00A9142C">
        <w:tc>
          <w:tcPr>
            <w:tcW w:w="1165" w:type="dxa"/>
          </w:tcPr>
          <w:p w14:paraId="3C0FCA8D" w14:textId="77777777" w:rsidR="00462BBF" w:rsidRPr="00E31A5B" w:rsidRDefault="00462BBF" w:rsidP="0068330F">
            <w:pPr>
              <w:jc w:val="center"/>
              <w:rPr>
                <w:color w:val="000000" w:themeColor="text1"/>
                <w:sz w:val="22"/>
                <w:szCs w:val="22"/>
              </w:rPr>
            </w:pPr>
            <w:r w:rsidRPr="00E31A5B">
              <w:rPr>
                <w:color w:val="000000" w:themeColor="text1"/>
                <w:sz w:val="22"/>
                <w:szCs w:val="22"/>
              </w:rPr>
              <w:t>1</w:t>
            </w:r>
          </w:p>
        </w:tc>
        <w:tc>
          <w:tcPr>
            <w:tcW w:w="1710" w:type="dxa"/>
          </w:tcPr>
          <w:p w14:paraId="44DA62C2" w14:textId="77777777" w:rsidR="00462BBF" w:rsidRPr="00E31A5B" w:rsidRDefault="00462BBF" w:rsidP="0068330F">
            <w:pPr>
              <w:jc w:val="center"/>
              <w:rPr>
                <w:color w:val="000000" w:themeColor="text1"/>
                <w:sz w:val="22"/>
                <w:szCs w:val="22"/>
              </w:rPr>
            </w:pPr>
            <w:r w:rsidRPr="00E31A5B">
              <w:rPr>
                <w:color w:val="000000" w:themeColor="text1"/>
                <w:sz w:val="22"/>
                <w:szCs w:val="22"/>
              </w:rPr>
              <w:t>0.106070</w:t>
            </w:r>
          </w:p>
        </w:tc>
        <w:tc>
          <w:tcPr>
            <w:tcW w:w="1710" w:type="dxa"/>
          </w:tcPr>
          <w:p w14:paraId="090B76A9" w14:textId="77777777" w:rsidR="00462BBF" w:rsidRPr="00E31A5B" w:rsidRDefault="00462BBF" w:rsidP="0068330F">
            <w:pPr>
              <w:jc w:val="center"/>
              <w:rPr>
                <w:color w:val="000000" w:themeColor="text1"/>
                <w:sz w:val="22"/>
                <w:szCs w:val="22"/>
              </w:rPr>
            </w:pPr>
            <w:r w:rsidRPr="00E31A5B">
              <w:rPr>
                <w:color w:val="000000" w:themeColor="text1"/>
                <w:sz w:val="22"/>
                <w:szCs w:val="22"/>
              </w:rPr>
              <w:t>2.0184</w:t>
            </w:r>
          </w:p>
        </w:tc>
        <w:tc>
          <w:tcPr>
            <w:tcW w:w="1710" w:type="dxa"/>
          </w:tcPr>
          <w:p w14:paraId="17D3DE21" w14:textId="77777777" w:rsidR="00462BBF" w:rsidRPr="00E31A5B" w:rsidRDefault="00462BBF" w:rsidP="0068330F">
            <w:pPr>
              <w:jc w:val="center"/>
              <w:rPr>
                <w:color w:val="000000" w:themeColor="text1"/>
                <w:sz w:val="22"/>
                <w:szCs w:val="22"/>
              </w:rPr>
            </w:pPr>
            <w:r w:rsidRPr="00E31A5B">
              <w:rPr>
                <w:color w:val="000000" w:themeColor="text1"/>
                <w:sz w:val="22"/>
                <w:szCs w:val="22"/>
              </w:rPr>
              <w:t>[0.1554]</w:t>
            </w:r>
          </w:p>
        </w:tc>
        <w:tc>
          <w:tcPr>
            <w:tcW w:w="1440" w:type="dxa"/>
          </w:tcPr>
          <w:p w14:paraId="35FD5C53" w14:textId="77777777" w:rsidR="00462BBF" w:rsidRPr="00E31A5B" w:rsidRDefault="00462BBF" w:rsidP="0068330F">
            <w:pPr>
              <w:jc w:val="center"/>
              <w:rPr>
                <w:color w:val="000000" w:themeColor="text1"/>
                <w:sz w:val="22"/>
                <w:szCs w:val="22"/>
              </w:rPr>
            </w:pPr>
            <w:r w:rsidRPr="00E31A5B">
              <w:rPr>
                <w:color w:val="000000" w:themeColor="text1"/>
                <w:sz w:val="22"/>
                <w:szCs w:val="22"/>
              </w:rPr>
              <w:t>2.01840</w:t>
            </w:r>
          </w:p>
        </w:tc>
        <w:tc>
          <w:tcPr>
            <w:tcW w:w="1175" w:type="dxa"/>
          </w:tcPr>
          <w:p w14:paraId="53CBA8CE" w14:textId="77777777" w:rsidR="00462BBF" w:rsidRPr="00E31A5B" w:rsidRDefault="00462BBF" w:rsidP="0068330F">
            <w:pPr>
              <w:jc w:val="center"/>
              <w:rPr>
                <w:color w:val="000000" w:themeColor="text1"/>
                <w:sz w:val="22"/>
                <w:szCs w:val="22"/>
              </w:rPr>
            </w:pPr>
            <w:r w:rsidRPr="00E31A5B">
              <w:rPr>
                <w:color w:val="000000" w:themeColor="text1"/>
                <w:sz w:val="22"/>
                <w:szCs w:val="22"/>
              </w:rPr>
              <w:t>[0.1554]</w:t>
            </w:r>
          </w:p>
        </w:tc>
      </w:tr>
    </w:tbl>
    <w:p w14:paraId="3B10C5F0" w14:textId="77777777" w:rsidR="00D35EE0" w:rsidRDefault="00D35EE0" w:rsidP="0068330F">
      <w:pPr>
        <w:pStyle w:val="MyTables"/>
      </w:pPr>
      <w:bookmarkStart w:id="30" w:name="_Toc79604522"/>
    </w:p>
    <w:p w14:paraId="743C2A8B" w14:textId="0220F61C" w:rsidR="00462BBF" w:rsidRPr="00E31A5B" w:rsidRDefault="00462BBF" w:rsidP="0068330F">
      <w:pPr>
        <w:pStyle w:val="MyTables"/>
      </w:pPr>
      <w:r w:rsidRPr="00155203">
        <w:t>Table 9</w:t>
      </w:r>
      <w:bookmarkEnd w:id="30"/>
      <w:r w:rsidRPr="00E31A5B">
        <w:t xml:space="preserve"> </w:t>
      </w:r>
    </w:p>
    <w:p w14:paraId="433915E0" w14:textId="77777777" w:rsidR="00462BBF" w:rsidRPr="00D53689" w:rsidRDefault="00462BBF" w:rsidP="0068330F">
      <w:pPr>
        <w:pStyle w:val="MyTables"/>
        <w:rPr>
          <w:rFonts w:cs="Times New Roman"/>
          <w:b w:val="0"/>
          <w:bCs w:val="0"/>
          <w:i/>
          <w:szCs w:val="24"/>
        </w:rPr>
      </w:pPr>
      <w:bookmarkStart w:id="31" w:name="_Toc79604523"/>
      <w:r w:rsidRPr="00D53689">
        <w:rPr>
          <w:rFonts w:cs="Times New Roman"/>
          <w:b w:val="0"/>
          <w:bCs w:val="0"/>
          <w:i/>
          <w:szCs w:val="24"/>
        </w:rPr>
        <w:t>JC test results for GDPpc and HDI with unrestricted constant and trend.</w:t>
      </w:r>
      <w:bookmarkEnd w:id="31"/>
    </w:p>
    <w:tbl>
      <w:tblPr>
        <w:tblStyle w:val="TableGrid"/>
        <w:tblW w:w="8910" w:type="dxa"/>
        <w:tblBorders>
          <w:insideV w:val="none" w:sz="0" w:space="0" w:color="auto"/>
        </w:tblBorders>
        <w:tblLayout w:type="fixed"/>
        <w:tblLook w:val="04A0" w:firstRow="1" w:lastRow="0" w:firstColumn="1" w:lastColumn="0" w:noHBand="0" w:noVBand="1"/>
      </w:tblPr>
      <w:tblGrid>
        <w:gridCol w:w="1165"/>
        <w:gridCol w:w="1710"/>
        <w:gridCol w:w="1710"/>
        <w:gridCol w:w="1710"/>
        <w:gridCol w:w="1440"/>
        <w:gridCol w:w="1175"/>
      </w:tblGrid>
      <w:tr w:rsidR="00462BBF" w:rsidRPr="00E31A5B" w14:paraId="22012E0B" w14:textId="77777777" w:rsidTr="00A9142C">
        <w:trPr>
          <w:trHeight w:val="431"/>
        </w:trPr>
        <w:tc>
          <w:tcPr>
            <w:tcW w:w="1165" w:type="dxa"/>
            <w:vAlign w:val="center"/>
          </w:tcPr>
          <w:p w14:paraId="00090420"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Rank</w:t>
            </w:r>
          </w:p>
        </w:tc>
        <w:tc>
          <w:tcPr>
            <w:tcW w:w="1710" w:type="dxa"/>
            <w:vAlign w:val="center"/>
          </w:tcPr>
          <w:p w14:paraId="74EFF99E"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Eigenvalue</w:t>
            </w:r>
          </w:p>
        </w:tc>
        <w:tc>
          <w:tcPr>
            <w:tcW w:w="1710" w:type="dxa"/>
            <w:vAlign w:val="center"/>
          </w:tcPr>
          <w:p w14:paraId="354812DE"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Trace Test</w:t>
            </w:r>
          </w:p>
        </w:tc>
        <w:tc>
          <w:tcPr>
            <w:tcW w:w="1710" w:type="dxa"/>
            <w:vAlign w:val="center"/>
          </w:tcPr>
          <w:p w14:paraId="2908A87D"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(Trace)</w:t>
            </w:r>
          </w:p>
        </w:tc>
        <w:tc>
          <w:tcPr>
            <w:tcW w:w="1440" w:type="dxa"/>
            <w:vAlign w:val="center"/>
          </w:tcPr>
          <w:p w14:paraId="4C349515"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Lmax Test</w:t>
            </w:r>
          </w:p>
        </w:tc>
        <w:tc>
          <w:tcPr>
            <w:tcW w:w="1175" w:type="dxa"/>
            <w:vAlign w:val="center"/>
          </w:tcPr>
          <w:p w14:paraId="18482005"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(Lmax)</w:t>
            </w:r>
          </w:p>
        </w:tc>
      </w:tr>
      <w:tr w:rsidR="00462BBF" w:rsidRPr="00E31A5B" w14:paraId="51A35D4F" w14:textId="77777777" w:rsidTr="00A9142C">
        <w:tc>
          <w:tcPr>
            <w:tcW w:w="1165" w:type="dxa"/>
          </w:tcPr>
          <w:p w14:paraId="225027C0" w14:textId="77777777" w:rsidR="00462BBF" w:rsidRPr="00E31A5B" w:rsidRDefault="00462BBF" w:rsidP="0068330F">
            <w:pPr>
              <w:jc w:val="center"/>
              <w:rPr>
                <w:color w:val="000000" w:themeColor="text1"/>
                <w:sz w:val="22"/>
                <w:szCs w:val="22"/>
              </w:rPr>
            </w:pPr>
            <w:r w:rsidRPr="00E31A5B">
              <w:rPr>
                <w:color w:val="000000" w:themeColor="text1"/>
                <w:sz w:val="22"/>
                <w:szCs w:val="22"/>
              </w:rPr>
              <w:t>0</w:t>
            </w:r>
          </w:p>
        </w:tc>
        <w:tc>
          <w:tcPr>
            <w:tcW w:w="1710" w:type="dxa"/>
          </w:tcPr>
          <w:p w14:paraId="7811BCB9" w14:textId="77777777" w:rsidR="00462BBF" w:rsidRPr="00E31A5B" w:rsidRDefault="00462BBF" w:rsidP="0068330F">
            <w:pPr>
              <w:jc w:val="center"/>
              <w:rPr>
                <w:color w:val="000000" w:themeColor="text1"/>
                <w:sz w:val="22"/>
                <w:szCs w:val="22"/>
              </w:rPr>
            </w:pPr>
            <w:r w:rsidRPr="00E31A5B">
              <w:rPr>
                <w:color w:val="000000" w:themeColor="text1"/>
                <w:sz w:val="22"/>
                <w:szCs w:val="22"/>
              </w:rPr>
              <w:t>0.953340</w:t>
            </w:r>
          </w:p>
        </w:tc>
        <w:tc>
          <w:tcPr>
            <w:tcW w:w="1710" w:type="dxa"/>
          </w:tcPr>
          <w:p w14:paraId="5B820C74" w14:textId="77777777" w:rsidR="00462BBF" w:rsidRPr="00E31A5B" w:rsidRDefault="00462BBF" w:rsidP="0068330F">
            <w:pPr>
              <w:jc w:val="center"/>
              <w:rPr>
                <w:color w:val="000000" w:themeColor="text1"/>
                <w:sz w:val="22"/>
                <w:szCs w:val="22"/>
              </w:rPr>
            </w:pPr>
            <w:r w:rsidRPr="00E31A5B">
              <w:rPr>
                <w:color w:val="000000" w:themeColor="text1"/>
                <w:sz w:val="22"/>
                <w:szCs w:val="22"/>
              </w:rPr>
              <w:t>61.654</w:t>
            </w:r>
          </w:p>
        </w:tc>
        <w:tc>
          <w:tcPr>
            <w:tcW w:w="1710" w:type="dxa"/>
          </w:tcPr>
          <w:p w14:paraId="272492BD"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c>
          <w:tcPr>
            <w:tcW w:w="1440" w:type="dxa"/>
          </w:tcPr>
          <w:p w14:paraId="411E12E9" w14:textId="77777777" w:rsidR="00462BBF" w:rsidRPr="00E31A5B" w:rsidRDefault="00462BBF" w:rsidP="0068330F">
            <w:pPr>
              <w:jc w:val="center"/>
              <w:rPr>
                <w:color w:val="000000" w:themeColor="text1"/>
                <w:sz w:val="22"/>
                <w:szCs w:val="22"/>
              </w:rPr>
            </w:pPr>
            <w:r w:rsidRPr="00E31A5B">
              <w:rPr>
                <w:color w:val="000000" w:themeColor="text1"/>
                <w:sz w:val="22"/>
                <w:szCs w:val="22"/>
              </w:rPr>
              <w:t>55.16800</w:t>
            </w:r>
          </w:p>
        </w:tc>
        <w:tc>
          <w:tcPr>
            <w:tcW w:w="1175" w:type="dxa"/>
          </w:tcPr>
          <w:p w14:paraId="39C83B9A"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r>
      <w:tr w:rsidR="00462BBF" w:rsidRPr="00E31A5B" w14:paraId="0D6AB99C" w14:textId="77777777" w:rsidTr="00A9142C">
        <w:tc>
          <w:tcPr>
            <w:tcW w:w="1165" w:type="dxa"/>
          </w:tcPr>
          <w:p w14:paraId="033F7BCA" w14:textId="77777777" w:rsidR="00462BBF" w:rsidRPr="00E31A5B" w:rsidRDefault="00462BBF" w:rsidP="0068330F">
            <w:pPr>
              <w:jc w:val="center"/>
              <w:rPr>
                <w:color w:val="000000" w:themeColor="text1"/>
                <w:sz w:val="22"/>
                <w:szCs w:val="22"/>
              </w:rPr>
            </w:pPr>
            <w:r w:rsidRPr="00E31A5B">
              <w:rPr>
                <w:color w:val="000000" w:themeColor="text1"/>
                <w:sz w:val="22"/>
                <w:szCs w:val="22"/>
              </w:rPr>
              <w:t>1</w:t>
            </w:r>
          </w:p>
        </w:tc>
        <w:tc>
          <w:tcPr>
            <w:tcW w:w="1710" w:type="dxa"/>
          </w:tcPr>
          <w:p w14:paraId="357CB0ED" w14:textId="77777777" w:rsidR="00462BBF" w:rsidRPr="00E31A5B" w:rsidRDefault="00462BBF" w:rsidP="0068330F">
            <w:pPr>
              <w:jc w:val="center"/>
              <w:rPr>
                <w:color w:val="000000" w:themeColor="text1"/>
                <w:sz w:val="22"/>
                <w:szCs w:val="22"/>
              </w:rPr>
            </w:pPr>
            <w:r w:rsidRPr="00E31A5B">
              <w:rPr>
                <w:color w:val="000000" w:themeColor="text1"/>
                <w:sz w:val="22"/>
                <w:szCs w:val="22"/>
              </w:rPr>
              <w:t>0.302580</w:t>
            </w:r>
          </w:p>
        </w:tc>
        <w:tc>
          <w:tcPr>
            <w:tcW w:w="1710" w:type="dxa"/>
          </w:tcPr>
          <w:p w14:paraId="0B9C44F3" w14:textId="77777777" w:rsidR="00462BBF" w:rsidRPr="00E31A5B" w:rsidRDefault="00462BBF" w:rsidP="0068330F">
            <w:pPr>
              <w:jc w:val="center"/>
              <w:rPr>
                <w:color w:val="000000" w:themeColor="text1"/>
                <w:sz w:val="22"/>
                <w:szCs w:val="22"/>
              </w:rPr>
            </w:pPr>
            <w:r w:rsidRPr="00E31A5B">
              <w:rPr>
                <w:color w:val="000000" w:themeColor="text1"/>
                <w:sz w:val="22"/>
                <w:szCs w:val="22"/>
              </w:rPr>
              <w:t>6.4866</w:t>
            </w:r>
          </w:p>
        </w:tc>
        <w:tc>
          <w:tcPr>
            <w:tcW w:w="1710" w:type="dxa"/>
          </w:tcPr>
          <w:p w14:paraId="050DE863" w14:textId="77777777" w:rsidR="00462BBF" w:rsidRPr="00E31A5B" w:rsidRDefault="00462BBF" w:rsidP="0068330F">
            <w:pPr>
              <w:jc w:val="center"/>
              <w:rPr>
                <w:color w:val="000000" w:themeColor="text1"/>
                <w:sz w:val="22"/>
                <w:szCs w:val="22"/>
              </w:rPr>
            </w:pPr>
            <w:r w:rsidRPr="00E31A5B">
              <w:rPr>
                <w:color w:val="000000" w:themeColor="text1"/>
                <w:sz w:val="22"/>
                <w:szCs w:val="22"/>
              </w:rPr>
              <w:t>[0.0109]</w:t>
            </w:r>
          </w:p>
        </w:tc>
        <w:tc>
          <w:tcPr>
            <w:tcW w:w="1440" w:type="dxa"/>
          </w:tcPr>
          <w:p w14:paraId="0198C3BC" w14:textId="77777777" w:rsidR="00462BBF" w:rsidRPr="00E31A5B" w:rsidRDefault="00462BBF" w:rsidP="0068330F">
            <w:pPr>
              <w:jc w:val="center"/>
              <w:rPr>
                <w:color w:val="000000" w:themeColor="text1"/>
                <w:sz w:val="22"/>
                <w:szCs w:val="22"/>
              </w:rPr>
            </w:pPr>
            <w:r w:rsidRPr="00E31A5B">
              <w:rPr>
                <w:color w:val="000000" w:themeColor="text1"/>
                <w:sz w:val="22"/>
                <w:szCs w:val="22"/>
              </w:rPr>
              <w:t>6.48660</w:t>
            </w:r>
          </w:p>
        </w:tc>
        <w:tc>
          <w:tcPr>
            <w:tcW w:w="1175" w:type="dxa"/>
          </w:tcPr>
          <w:p w14:paraId="5C99A563" w14:textId="77777777" w:rsidR="00462BBF" w:rsidRPr="00E31A5B" w:rsidRDefault="00462BBF" w:rsidP="0068330F">
            <w:pPr>
              <w:jc w:val="center"/>
              <w:rPr>
                <w:color w:val="000000" w:themeColor="text1"/>
                <w:sz w:val="22"/>
                <w:szCs w:val="22"/>
              </w:rPr>
            </w:pPr>
            <w:r w:rsidRPr="00E31A5B">
              <w:rPr>
                <w:color w:val="000000" w:themeColor="text1"/>
                <w:sz w:val="22"/>
                <w:szCs w:val="22"/>
              </w:rPr>
              <w:t>[0.0109]</w:t>
            </w:r>
          </w:p>
        </w:tc>
      </w:tr>
    </w:tbl>
    <w:p w14:paraId="525F512A" w14:textId="77777777" w:rsidR="00462BBF" w:rsidRPr="00E31A5B" w:rsidRDefault="00462BBF" w:rsidP="0068330F">
      <w:pPr>
        <w:spacing w:after="0" w:line="240" w:lineRule="auto"/>
        <w:rPr>
          <w:rFonts w:ascii="Times New Roman" w:hAnsi="Times New Roman" w:cs="Times New Roman"/>
          <w:color w:val="000000" w:themeColor="text1"/>
          <w:sz w:val="24"/>
          <w:szCs w:val="24"/>
        </w:rPr>
      </w:pPr>
    </w:p>
    <w:p w14:paraId="7993B51C" w14:textId="38CFC25D" w:rsidR="00462BBF" w:rsidRPr="00E31A5B" w:rsidRDefault="00462BBF" w:rsidP="0068330F">
      <w:pPr>
        <w:pStyle w:val="MyTables"/>
      </w:pPr>
      <w:bookmarkStart w:id="32" w:name="_Toc79604528"/>
      <w:r w:rsidRPr="00E31A5B">
        <w:t xml:space="preserve">Table </w:t>
      </w:r>
      <w:bookmarkEnd w:id="32"/>
      <w:r w:rsidR="00155203">
        <w:t>10</w:t>
      </w:r>
      <w:r w:rsidRPr="00E31A5B">
        <w:t xml:space="preserve"> </w:t>
      </w:r>
    </w:p>
    <w:p w14:paraId="3297F27A" w14:textId="77777777" w:rsidR="00462BBF" w:rsidRPr="00D53689" w:rsidRDefault="00462BBF" w:rsidP="0068330F">
      <w:pPr>
        <w:pStyle w:val="MyTables"/>
        <w:rPr>
          <w:rFonts w:cs="Times New Roman"/>
          <w:b w:val="0"/>
          <w:bCs w:val="0"/>
          <w:i/>
          <w:szCs w:val="24"/>
        </w:rPr>
      </w:pPr>
      <w:bookmarkStart w:id="33" w:name="_Toc79604529"/>
      <w:r w:rsidRPr="00D53689">
        <w:rPr>
          <w:rFonts w:cs="Times New Roman"/>
          <w:b w:val="0"/>
          <w:bCs w:val="0"/>
          <w:i/>
          <w:szCs w:val="24"/>
        </w:rPr>
        <w:t>JC test results for GDPpc and IEF with unrestricted constant.</w:t>
      </w:r>
      <w:bookmarkEnd w:id="33"/>
      <w:r w:rsidRPr="00D53689">
        <w:rPr>
          <w:rFonts w:cs="Times New Roman"/>
          <w:b w:val="0"/>
          <w:bCs w:val="0"/>
          <w:i/>
          <w:szCs w:val="24"/>
        </w:rPr>
        <w:t xml:space="preserve"> </w:t>
      </w:r>
    </w:p>
    <w:tbl>
      <w:tblPr>
        <w:tblStyle w:val="TableGrid"/>
        <w:tblW w:w="8910" w:type="dxa"/>
        <w:tblBorders>
          <w:insideV w:val="none" w:sz="0" w:space="0" w:color="auto"/>
        </w:tblBorders>
        <w:tblLayout w:type="fixed"/>
        <w:tblLook w:val="04A0" w:firstRow="1" w:lastRow="0" w:firstColumn="1" w:lastColumn="0" w:noHBand="0" w:noVBand="1"/>
      </w:tblPr>
      <w:tblGrid>
        <w:gridCol w:w="1165"/>
        <w:gridCol w:w="1710"/>
        <w:gridCol w:w="1710"/>
        <w:gridCol w:w="1710"/>
        <w:gridCol w:w="1440"/>
        <w:gridCol w:w="1175"/>
      </w:tblGrid>
      <w:tr w:rsidR="00462BBF" w:rsidRPr="00E31A5B" w14:paraId="6ADA695B" w14:textId="77777777" w:rsidTr="00A9142C">
        <w:trPr>
          <w:trHeight w:val="431"/>
        </w:trPr>
        <w:tc>
          <w:tcPr>
            <w:tcW w:w="1165" w:type="dxa"/>
            <w:vAlign w:val="center"/>
          </w:tcPr>
          <w:p w14:paraId="0A3DFD2D"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Rank</w:t>
            </w:r>
          </w:p>
        </w:tc>
        <w:tc>
          <w:tcPr>
            <w:tcW w:w="1710" w:type="dxa"/>
            <w:vAlign w:val="center"/>
          </w:tcPr>
          <w:p w14:paraId="07266C6F"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Eigenvalue</w:t>
            </w:r>
          </w:p>
        </w:tc>
        <w:tc>
          <w:tcPr>
            <w:tcW w:w="1710" w:type="dxa"/>
            <w:vAlign w:val="center"/>
          </w:tcPr>
          <w:p w14:paraId="681AA3EE"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Trace Test</w:t>
            </w:r>
          </w:p>
        </w:tc>
        <w:tc>
          <w:tcPr>
            <w:tcW w:w="1710" w:type="dxa"/>
            <w:vAlign w:val="center"/>
          </w:tcPr>
          <w:p w14:paraId="610FD7D9"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(Trace)</w:t>
            </w:r>
          </w:p>
        </w:tc>
        <w:tc>
          <w:tcPr>
            <w:tcW w:w="1440" w:type="dxa"/>
            <w:vAlign w:val="center"/>
          </w:tcPr>
          <w:p w14:paraId="37D8795F"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Lmax Test</w:t>
            </w:r>
          </w:p>
        </w:tc>
        <w:tc>
          <w:tcPr>
            <w:tcW w:w="1175" w:type="dxa"/>
            <w:vAlign w:val="center"/>
          </w:tcPr>
          <w:p w14:paraId="06B50DAD"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(Lmax)</w:t>
            </w:r>
          </w:p>
        </w:tc>
      </w:tr>
      <w:tr w:rsidR="00462BBF" w:rsidRPr="00E31A5B" w14:paraId="3304ABD6" w14:textId="77777777" w:rsidTr="00A9142C">
        <w:tc>
          <w:tcPr>
            <w:tcW w:w="1165" w:type="dxa"/>
          </w:tcPr>
          <w:p w14:paraId="5808BB26" w14:textId="77777777" w:rsidR="00462BBF" w:rsidRPr="00E31A5B" w:rsidRDefault="00462BBF" w:rsidP="0068330F">
            <w:pPr>
              <w:jc w:val="center"/>
              <w:rPr>
                <w:color w:val="000000" w:themeColor="text1"/>
                <w:sz w:val="22"/>
                <w:szCs w:val="22"/>
              </w:rPr>
            </w:pPr>
            <w:r w:rsidRPr="00E31A5B">
              <w:rPr>
                <w:color w:val="000000" w:themeColor="text1"/>
                <w:sz w:val="22"/>
                <w:szCs w:val="22"/>
              </w:rPr>
              <w:t>0</w:t>
            </w:r>
          </w:p>
        </w:tc>
        <w:tc>
          <w:tcPr>
            <w:tcW w:w="1710" w:type="dxa"/>
          </w:tcPr>
          <w:p w14:paraId="62007AA4" w14:textId="77777777" w:rsidR="00462BBF" w:rsidRPr="00E31A5B" w:rsidRDefault="00462BBF" w:rsidP="0068330F">
            <w:pPr>
              <w:jc w:val="center"/>
              <w:rPr>
                <w:color w:val="000000" w:themeColor="text1"/>
                <w:sz w:val="22"/>
                <w:szCs w:val="22"/>
              </w:rPr>
            </w:pPr>
            <w:r w:rsidRPr="00E31A5B">
              <w:rPr>
                <w:color w:val="000000" w:themeColor="text1"/>
                <w:sz w:val="22"/>
                <w:szCs w:val="22"/>
              </w:rPr>
              <w:t>0.990610</w:t>
            </w:r>
          </w:p>
        </w:tc>
        <w:tc>
          <w:tcPr>
            <w:tcW w:w="1710" w:type="dxa"/>
          </w:tcPr>
          <w:p w14:paraId="476DDD9D" w14:textId="77777777" w:rsidR="00462BBF" w:rsidRPr="00E31A5B" w:rsidRDefault="00462BBF" w:rsidP="0068330F">
            <w:pPr>
              <w:jc w:val="center"/>
              <w:rPr>
                <w:color w:val="000000" w:themeColor="text1"/>
                <w:sz w:val="22"/>
                <w:szCs w:val="22"/>
              </w:rPr>
            </w:pPr>
            <w:r w:rsidRPr="00E31A5B">
              <w:rPr>
                <w:color w:val="000000" w:themeColor="text1"/>
                <w:sz w:val="22"/>
                <w:szCs w:val="22"/>
              </w:rPr>
              <w:t>84.081</w:t>
            </w:r>
          </w:p>
        </w:tc>
        <w:tc>
          <w:tcPr>
            <w:tcW w:w="1710" w:type="dxa"/>
          </w:tcPr>
          <w:p w14:paraId="5CDBA96C"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c>
          <w:tcPr>
            <w:tcW w:w="1440" w:type="dxa"/>
          </w:tcPr>
          <w:p w14:paraId="71FF88D2" w14:textId="77777777" w:rsidR="00462BBF" w:rsidRPr="00E31A5B" w:rsidRDefault="00462BBF" w:rsidP="0068330F">
            <w:pPr>
              <w:jc w:val="center"/>
              <w:rPr>
                <w:color w:val="000000" w:themeColor="text1"/>
                <w:sz w:val="22"/>
                <w:szCs w:val="22"/>
              </w:rPr>
            </w:pPr>
            <w:r w:rsidRPr="00E31A5B">
              <w:rPr>
                <w:color w:val="000000" w:themeColor="text1"/>
                <w:sz w:val="22"/>
                <w:szCs w:val="22"/>
              </w:rPr>
              <w:t>84.03400</w:t>
            </w:r>
          </w:p>
        </w:tc>
        <w:tc>
          <w:tcPr>
            <w:tcW w:w="1175" w:type="dxa"/>
          </w:tcPr>
          <w:p w14:paraId="7330D267"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r>
      <w:tr w:rsidR="00462BBF" w:rsidRPr="00E31A5B" w14:paraId="4CEBEEC0" w14:textId="77777777" w:rsidTr="00A9142C">
        <w:tc>
          <w:tcPr>
            <w:tcW w:w="1165" w:type="dxa"/>
          </w:tcPr>
          <w:p w14:paraId="5540F24E" w14:textId="77777777" w:rsidR="00462BBF" w:rsidRPr="00E31A5B" w:rsidRDefault="00462BBF" w:rsidP="0068330F">
            <w:pPr>
              <w:jc w:val="center"/>
              <w:rPr>
                <w:color w:val="000000" w:themeColor="text1"/>
                <w:sz w:val="22"/>
                <w:szCs w:val="22"/>
              </w:rPr>
            </w:pPr>
            <w:r w:rsidRPr="00E31A5B">
              <w:rPr>
                <w:color w:val="000000" w:themeColor="text1"/>
                <w:sz w:val="22"/>
                <w:szCs w:val="22"/>
              </w:rPr>
              <w:t>1</w:t>
            </w:r>
          </w:p>
        </w:tc>
        <w:tc>
          <w:tcPr>
            <w:tcW w:w="1710" w:type="dxa"/>
          </w:tcPr>
          <w:p w14:paraId="379C71B4" w14:textId="77777777" w:rsidR="00462BBF" w:rsidRPr="00E31A5B" w:rsidRDefault="00462BBF" w:rsidP="0068330F">
            <w:pPr>
              <w:jc w:val="center"/>
              <w:rPr>
                <w:color w:val="000000" w:themeColor="text1"/>
                <w:sz w:val="22"/>
                <w:szCs w:val="22"/>
              </w:rPr>
            </w:pPr>
            <w:r w:rsidRPr="00E31A5B">
              <w:rPr>
                <w:color w:val="000000" w:themeColor="text1"/>
                <w:sz w:val="22"/>
                <w:szCs w:val="22"/>
              </w:rPr>
              <w:t>0.002631</w:t>
            </w:r>
          </w:p>
        </w:tc>
        <w:tc>
          <w:tcPr>
            <w:tcW w:w="1710" w:type="dxa"/>
          </w:tcPr>
          <w:p w14:paraId="07C2D84A" w14:textId="77777777" w:rsidR="00462BBF" w:rsidRPr="00E31A5B" w:rsidRDefault="00462BBF" w:rsidP="0068330F">
            <w:pPr>
              <w:jc w:val="center"/>
              <w:rPr>
                <w:color w:val="000000" w:themeColor="text1"/>
                <w:sz w:val="22"/>
                <w:szCs w:val="22"/>
              </w:rPr>
            </w:pPr>
            <w:r w:rsidRPr="00E31A5B">
              <w:rPr>
                <w:color w:val="000000" w:themeColor="text1"/>
                <w:sz w:val="22"/>
                <w:szCs w:val="22"/>
              </w:rPr>
              <w:t>0.047425</w:t>
            </w:r>
          </w:p>
        </w:tc>
        <w:tc>
          <w:tcPr>
            <w:tcW w:w="1710" w:type="dxa"/>
          </w:tcPr>
          <w:p w14:paraId="58F056D0" w14:textId="77777777" w:rsidR="00462BBF" w:rsidRPr="00E31A5B" w:rsidRDefault="00462BBF" w:rsidP="0068330F">
            <w:pPr>
              <w:jc w:val="center"/>
              <w:rPr>
                <w:color w:val="000000" w:themeColor="text1"/>
                <w:sz w:val="22"/>
                <w:szCs w:val="22"/>
              </w:rPr>
            </w:pPr>
            <w:r w:rsidRPr="00E31A5B">
              <w:rPr>
                <w:color w:val="000000" w:themeColor="text1"/>
                <w:sz w:val="22"/>
                <w:szCs w:val="22"/>
              </w:rPr>
              <w:t>[0.8276]</w:t>
            </w:r>
          </w:p>
        </w:tc>
        <w:tc>
          <w:tcPr>
            <w:tcW w:w="1440" w:type="dxa"/>
          </w:tcPr>
          <w:p w14:paraId="173F51CA" w14:textId="77777777" w:rsidR="00462BBF" w:rsidRPr="00E31A5B" w:rsidRDefault="00462BBF" w:rsidP="0068330F">
            <w:pPr>
              <w:jc w:val="center"/>
              <w:rPr>
                <w:color w:val="000000" w:themeColor="text1"/>
                <w:sz w:val="22"/>
                <w:szCs w:val="22"/>
              </w:rPr>
            </w:pPr>
            <w:r w:rsidRPr="00E31A5B">
              <w:rPr>
                <w:color w:val="000000" w:themeColor="text1"/>
                <w:sz w:val="22"/>
                <w:szCs w:val="22"/>
              </w:rPr>
              <w:t>0.04743</w:t>
            </w:r>
          </w:p>
        </w:tc>
        <w:tc>
          <w:tcPr>
            <w:tcW w:w="1175" w:type="dxa"/>
          </w:tcPr>
          <w:p w14:paraId="73317F42" w14:textId="77777777" w:rsidR="00462BBF" w:rsidRPr="00E31A5B" w:rsidRDefault="00462BBF" w:rsidP="0068330F">
            <w:pPr>
              <w:jc w:val="center"/>
              <w:rPr>
                <w:color w:val="000000" w:themeColor="text1"/>
                <w:sz w:val="22"/>
                <w:szCs w:val="22"/>
              </w:rPr>
            </w:pPr>
            <w:r w:rsidRPr="00E31A5B">
              <w:rPr>
                <w:color w:val="000000" w:themeColor="text1"/>
                <w:sz w:val="22"/>
                <w:szCs w:val="22"/>
              </w:rPr>
              <w:t>[0.8276]</w:t>
            </w:r>
          </w:p>
        </w:tc>
      </w:tr>
    </w:tbl>
    <w:p w14:paraId="12332B9F" w14:textId="77777777" w:rsidR="00462BBF" w:rsidRPr="00E31A5B" w:rsidRDefault="00462BBF" w:rsidP="0068330F">
      <w:pPr>
        <w:spacing w:after="0" w:line="240" w:lineRule="auto"/>
        <w:rPr>
          <w:rFonts w:ascii="Times New Roman" w:hAnsi="Times New Roman" w:cs="Times New Roman"/>
          <w:color w:val="000000" w:themeColor="text1"/>
        </w:rPr>
      </w:pPr>
    </w:p>
    <w:p w14:paraId="470601C2" w14:textId="77777777" w:rsidR="003100B7" w:rsidRDefault="003100B7" w:rsidP="0068330F">
      <w:pPr>
        <w:pStyle w:val="MyTables"/>
      </w:pPr>
      <w:bookmarkStart w:id="34" w:name="_Toc79604530"/>
    </w:p>
    <w:p w14:paraId="4323BB2A" w14:textId="14FCF314" w:rsidR="00462BBF" w:rsidRPr="00E31A5B" w:rsidRDefault="00462BBF" w:rsidP="0068330F">
      <w:pPr>
        <w:pStyle w:val="MyTables"/>
      </w:pPr>
      <w:r w:rsidRPr="00E31A5B">
        <w:t xml:space="preserve">Table </w:t>
      </w:r>
      <w:bookmarkEnd w:id="34"/>
      <w:r w:rsidR="00155203">
        <w:t>11</w:t>
      </w:r>
      <w:r w:rsidRPr="00E31A5B">
        <w:t xml:space="preserve"> </w:t>
      </w:r>
    </w:p>
    <w:p w14:paraId="4CD00676" w14:textId="77777777" w:rsidR="00462BBF" w:rsidRPr="00D53689" w:rsidRDefault="00462BBF" w:rsidP="0068330F">
      <w:pPr>
        <w:pStyle w:val="MyTables"/>
        <w:rPr>
          <w:rFonts w:cs="Times New Roman"/>
          <w:b w:val="0"/>
          <w:bCs w:val="0"/>
          <w:i/>
          <w:szCs w:val="24"/>
        </w:rPr>
      </w:pPr>
      <w:bookmarkStart w:id="35" w:name="_Toc79604531"/>
      <w:r w:rsidRPr="00D53689">
        <w:rPr>
          <w:rFonts w:cs="Times New Roman"/>
          <w:b w:val="0"/>
          <w:bCs w:val="0"/>
          <w:i/>
          <w:szCs w:val="24"/>
        </w:rPr>
        <w:t>JC test results for GDPpc and IEF with unrestricted constant and trend.</w:t>
      </w:r>
      <w:bookmarkEnd w:id="35"/>
    </w:p>
    <w:tbl>
      <w:tblPr>
        <w:tblStyle w:val="TableGrid"/>
        <w:tblW w:w="8910" w:type="dxa"/>
        <w:tblBorders>
          <w:insideV w:val="none" w:sz="0" w:space="0" w:color="auto"/>
        </w:tblBorders>
        <w:tblLayout w:type="fixed"/>
        <w:tblLook w:val="04A0" w:firstRow="1" w:lastRow="0" w:firstColumn="1" w:lastColumn="0" w:noHBand="0" w:noVBand="1"/>
      </w:tblPr>
      <w:tblGrid>
        <w:gridCol w:w="1165"/>
        <w:gridCol w:w="1710"/>
        <w:gridCol w:w="1710"/>
        <w:gridCol w:w="1710"/>
        <w:gridCol w:w="1440"/>
        <w:gridCol w:w="1175"/>
      </w:tblGrid>
      <w:tr w:rsidR="00462BBF" w:rsidRPr="00E31A5B" w14:paraId="0D909A75" w14:textId="77777777" w:rsidTr="00A9142C">
        <w:trPr>
          <w:trHeight w:val="431"/>
        </w:trPr>
        <w:tc>
          <w:tcPr>
            <w:tcW w:w="1165" w:type="dxa"/>
            <w:vAlign w:val="center"/>
          </w:tcPr>
          <w:p w14:paraId="6394AC4A"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Rank</w:t>
            </w:r>
          </w:p>
        </w:tc>
        <w:tc>
          <w:tcPr>
            <w:tcW w:w="1710" w:type="dxa"/>
            <w:vAlign w:val="center"/>
          </w:tcPr>
          <w:p w14:paraId="59A28167"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Eigenvalue</w:t>
            </w:r>
          </w:p>
        </w:tc>
        <w:tc>
          <w:tcPr>
            <w:tcW w:w="1710" w:type="dxa"/>
            <w:vAlign w:val="center"/>
          </w:tcPr>
          <w:p w14:paraId="4A4B232F"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Trace Test</w:t>
            </w:r>
          </w:p>
        </w:tc>
        <w:tc>
          <w:tcPr>
            <w:tcW w:w="1710" w:type="dxa"/>
            <w:vAlign w:val="center"/>
          </w:tcPr>
          <w:p w14:paraId="3F91A8F3"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(Trace)</w:t>
            </w:r>
          </w:p>
        </w:tc>
        <w:tc>
          <w:tcPr>
            <w:tcW w:w="1440" w:type="dxa"/>
            <w:vAlign w:val="center"/>
          </w:tcPr>
          <w:p w14:paraId="520B5B2D"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Lmax Test</w:t>
            </w:r>
          </w:p>
        </w:tc>
        <w:tc>
          <w:tcPr>
            <w:tcW w:w="1175" w:type="dxa"/>
            <w:vAlign w:val="center"/>
          </w:tcPr>
          <w:p w14:paraId="18B5B294"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(Lmax)</w:t>
            </w:r>
          </w:p>
        </w:tc>
      </w:tr>
      <w:tr w:rsidR="00462BBF" w:rsidRPr="00E31A5B" w14:paraId="2434BAC1" w14:textId="77777777" w:rsidTr="00A9142C">
        <w:tc>
          <w:tcPr>
            <w:tcW w:w="1165" w:type="dxa"/>
          </w:tcPr>
          <w:p w14:paraId="7F8220F0" w14:textId="77777777" w:rsidR="00462BBF" w:rsidRPr="00E31A5B" w:rsidRDefault="00462BBF" w:rsidP="0068330F">
            <w:pPr>
              <w:jc w:val="center"/>
              <w:rPr>
                <w:color w:val="000000" w:themeColor="text1"/>
                <w:sz w:val="22"/>
                <w:szCs w:val="22"/>
              </w:rPr>
            </w:pPr>
            <w:r w:rsidRPr="00E31A5B">
              <w:rPr>
                <w:color w:val="000000" w:themeColor="text1"/>
                <w:sz w:val="22"/>
                <w:szCs w:val="22"/>
              </w:rPr>
              <w:t>0</w:t>
            </w:r>
          </w:p>
        </w:tc>
        <w:tc>
          <w:tcPr>
            <w:tcW w:w="1710" w:type="dxa"/>
          </w:tcPr>
          <w:p w14:paraId="3E369E5C" w14:textId="77777777" w:rsidR="00462BBF" w:rsidRPr="00E31A5B" w:rsidRDefault="00462BBF" w:rsidP="0068330F">
            <w:pPr>
              <w:jc w:val="center"/>
              <w:rPr>
                <w:color w:val="000000" w:themeColor="text1"/>
                <w:sz w:val="22"/>
                <w:szCs w:val="22"/>
              </w:rPr>
            </w:pPr>
            <w:r w:rsidRPr="00E31A5B">
              <w:rPr>
                <w:color w:val="000000" w:themeColor="text1"/>
                <w:sz w:val="22"/>
                <w:szCs w:val="22"/>
              </w:rPr>
              <w:t>0.993630</w:t>
            </w:r>
          </w:p>
        </w:tc>
        <w:tc>
          <w:tcPr>
            <w:tcW w:w="1710" w:type="dxa"/>
          </w:tcPr>
          <w:p w14:paraId="5065FCF9" w14:textId="77777777" w:rsidR="00462BBF" w:rsidRPr="00E31A5B" w:rsidRDefault="00462BBF" w:rsidP="0068330F">
            <w:pPr>
              <w:jc w:val="center"/>
              <w:rPr>
                <w:color w:val="000000" w:themeColor="text1"/>
                <w:sz w:val="22"/>
                <w:szCs w:val="22"/>
              </w:rPr>
            </w:pPr>
            <w:r w:rsidRPr="00E31A5B">
              <w:rPr>
                <w:color w:val="000000" w:themeColor="text1"/>
                <w:sz w:val="22"/>
                <w:szCs w:val="22"/>
              </w:rPr>
              <w:t>134.350</w:t>
            </w:r>
          </w:p>
        </w:tc>
        <w:tc>
          <w:tcPr>
            <w:tcW w:w="1710" w:type="dxa"/>
          </w:tcPr>
          <w:p w14:paraId="73A6B638"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c>
          <w:tcPr>
            <w:tcW w:w="1440" w:type="dxa"/>
          </w:tcPr>
          <w:p w14:paraId="5DA97369" w14:textId="77777777" w:rsidR="00462BBF" w:rsidRPr="00E31A5B" w:rsidRDefault="00462BBF" w:rsidP="0068330F">
            <w:pPr>
              <w:jc w:val="center"/>
              <w:rPr>
                <w:color w:val="000000" w:themeColor="text1"/>
                <w:sz w:val="22"/>
                <w:szCs w:val="22"/>
              </w:rPr>
            </w:pPr>
            <w:r w:rsidRPr="00E31A5B">
              <w:rPr>
                <w:color w:val="000000" w:themeColor="text1"/>
                <w:sz w:val="22"/>
                <w:szCs w:val="22"/>
              </w:rPr>
              <w:t>91.01000</w:t>
            </w:r>
          </w:p>
        </w:tc>
        <w:tc>
          <w:tcPr>
            <w:tcW w:w="1175" w:type="dxa"/>
          </w:tcPr>
          <w:p w14:paraId="48BD60BB"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r>
      <w:tr w:rsidR="00462BBF" w:rsidRPr="00E31A5B" w14:paraId="0D57C0CE" w14:textId="77777777" w:rsidTr="00A9142C">
        <w:tc>
          <w:tcPr>
            <w:tcW w:w="1165" w:type="dxa"/>
          </w:tcPr>
          <w:p w14:paraId="15ED4945" w14:textId="77777777" w:rsidR="00462BBF" w:rsidRPr="00E31A5B" w:rsidRDefault="00462BBF" w:rsidP="0068330F">
            <w:pPr>
              <w:jc w:val="center"/>
              <w:rPr>
                <w:color w:val="000000" w:themeColor="text1"/>
                <w:sz w:val="22"/>
                <w:szCs w:val="22"/>
              </w:rPr>
            </w:pPr>
            <w:r w:rsidRPr="00E31A5B">
              <w:rPr>
                <w:color w:val="000000" w:themeColor="text1"/>
                <w:sz w:val="22"/>
                <w:szCs w:val="22"/>
              </w:rPr>
              <w:t>1</w:t>
            </w:r>
          </w:p>
        </w:tc>
        <w:tc>
          <w:tcPr>
            <w:tcW w:w="1710" w:type="dxa"/>
          </w:tcPr>
          <w:p w14:paraId="4B2096A9" w14:textId="77777777" w:rsidR="00462BBF" w:rsidRPr="00E31A5B" w:rsidRDefault="00462BBF" w:rsidP="0068330F">
            <w:pPr>
              <w:jc w:val="center"/>
              <w:rPr>
                <w:color w:val="000000" w:themeColor="text1"/>
                <w:sz w:val="22"/>
                <w:szCs w:val="22"/>
              </w:rPr>
            </w:pPr>
            <w:r w:rsidRPr="00E31A5B">
              <w:rPr>
                <w:color w:val="000000" w:themeColor="text1"/>
                <w:sz w:val="22"/>
                <w:szCs w:val="22"/>
              </w:rPr>
              <w:t>0.909970</w:t>
            </w:r>
          </w:p>
        </w:tc>
        <w:tc>
          <w:tcPr>
            <w:tcW w:w="1710" w:type="dxa"/>
          </w:tcPr>
          <w:p w14:paraId="3C40ACE2" w14:textId="77777777" w:rsidR="00462BBF" w:rsidRPr="00E31A5B" w:rsidRDefault="00462BBF" w:rsidP="0068330F">
            <w:pPr>
              <w:jc w:val="center"/>
              <w:rPr>
                <w:color w:val="000000" w:themeColor="text1"/>
                <w:sz w:val="22"/>
                <w:szCs w:val="22"/>
              </w:rPr>
            </w:pPr>
            <w:r w:rsidRPr="00E31A5B">
              <w:rPr>
                <w:color w:val="000000" w:themeColor="text1"/>
                <w:sz w:val="22"/>
                <w:szCs w:val="22"/>
              </w:rPr>
              <w:t>43.336</w:t>
            </w:r>
          </w:p>
        </w:tc>
        <w:tc>
          <w:tcPr>
            <w:tcW w:w="1710" w:type="dxa"/>
          </w:tcPr>
          <w:p w14:paraId="18352BA0"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c>
          <w:tcPr>
            <w:tcW w:w="1440" w:type="dxa"/>
          </w:tcPr>
          <w:p w14:paraId="4AD76494" w14:textId="77777777" w:rsidR="00462BBF" w:rsidRPr="00E31A5B" w:rsidRDefault="00462BBF" w:rsidP="0068330F">
            <w:pPr>
              <w:jc w:val="center"/>
              <w:rPr>
                <w:color w:val="000000" w:themeColor="text1"/>
                <w:sz w:val="22"/>
                <w:szCs w:val="22"/>
              </w:rPr>
            </w:pPr>
            <w:r w:rsidRPr="00E31A5B">
              <w:rPr>
                <w:color w:val="000000" w:themeColor="text1"/>
                <w:sz w:val="22"/>
                <w:szCs w:val="22"/>
              </w:rPr>
              <w:t>43.33600</w:t>
            </w:r>
          </w:p>
        </w:tc>
        <w:tc>
          <w:tcPr>
            <w:tcW w:w="1175" w:type="dxa"/>
          </w:tcPr>
          <w:p w14:paraId="443A583C"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r>
    </w:tbl>
    <w:p w14:paraId="7A8C4B7D" w14:textId="77777777" w:rsidR="00462BBF" w:rsidRPr="00E31A5B" w:rsidRDefault="00462BBF" w:rsidP="0068330F">
      <w:pPr>
        <w:spacing w:after="0" w:line="240" w:lineRule="auto"/>
        <w:rPr>
          <w:rFonts w:ascii="Times New Roman" w:hAnsi="Times New Roman" w:cs="Times New Roman"/>
          <w:color w:val="000000" w:themeColor="text1"/>
          <w:sz w:val="24"/>
          <w:szCs w:val="24"/>
        </w:rPr>
      </w:pPr>
    </w:p>
    <w:p w14:paraId="73390480" w14:textId="4AABD1B4" w:rsidR="00462BBF" w:rsidRPr="00E31A5B" w:rsidRDefault="00462BBF" w:rsidP="0068330F">
      <w:pPr>
        <w:pStyle w:val="MyTables"/>
      </w:pPr>
      <w:bookmarkStart w:id="36" w:name="_Toc79604532"/>
      <w:r w:rsidRPr="00E31A5B">
        <w:t xml:space="preserve">Table </w:t>
      </w:r>
      <w:bookmarkEnd w:id="36"/>
      <w:r w:rsidR="00155203">
        <w:t>12</w:t>
      </w:r>
      <w:r w:rsidRPr="00E31A5B">
        <w:t xml:space="preserve"> </w:t>
      </w:r>
    </w:p>
    <w:p w14:paraId="6D6E99B5" w14:textId="77777777" w:rsidR="00462BBF" w:rsidRPr="00D53689" w:rsidRDefault="00462BBF" w:rsidP="0068330F">
      <w:pPr>
        <w:pStyle w:val="MyTables"/>
        <w:rPr>
          <w:rFonts w:cs="Times New Roman"/>
          <w:b w:val="0"/>
          <w:bCs w:val="0"/>
          <w:i/>
          <w:szCs w:val="24"/>
        </w:rPr>
      </w:pPr>
      <w:bookmarkStart w:id="37" w:name="_Toc79604533"/>
      <w:r w:rsidRPr="00D53689">
        <w:rPr>
          <w:rFonts w:cs="Times New Roman"/>
          <w:b w:val="0"/>
          <w:bCs w:val="0"/>
          <w:i/>
          <w:szCs w:val="24"/>
        </w:rPr>
        <w:t>JC test results for GNDIpc and HDI with unrestricted constant.</w:t>
      </w:r>
      <w:bookmarkEnd w:id="37"/>
      <w:r w:rsidRPr="00D53689">
        <w:rPr>
          <w:rFonts w:cs="Times New Roman"/>
          <w:b w:val="0"/>
          <w:bCs w:val="0"/>
          <w:i/>
          <w:szCs w:val="24"/>
        </w:rPr>
        <w:t xml:space="preserve"> </w:t>
      </w:r>
    </w:p>
    <w:tbl>
      <w:tblPr>
        <w:tblStyle w:val="TableGrid"/>
        <w:tblW w:w="8910" w:type="dxa"/>
        <w:tblBorders>
          <w:insideV w:val="none" w:sz="0" w:space="0" w:color="auto"/>
        </w:tblBorders>
        <w:tblLayout w:type="fixed"/>
        <w:tblLook w:val="04A0" w:firstRow="1" w:lastRow="0" w:firstColumn="1" w:lastColumn="0" w:noHBand="0" w:noVBand="1"/>
      </w:tblPr>
      <w:tblGrid>
        <w:gridCol w:w="1165"/>
        <w:gridCol w:w="1710"/>
        <w:gridCol w:w="1710"/>
        <w:gridCol w:w="1710"/>
        <w:gridCol w:w="1440"/>
        <w:gridCol w:w="1175"/>
      </w:tblGrid>
      <w:tr w:rsidR="00462BBF" w:rsidRPr="00E31A5B" w14:paraId="3A5B0676" w14:textId="77777777" w:rsidTr="00A9142C">
        <w:trPr>
          <w:trHeight w:val="431"/>
        </w:trPr>
        <w:tc>
          <w:tcPr>
            <w:tcW w:w="1165" w:type="dxa"/>
            <w:vAlign w:val="center"/>
          </w:tcPr>
          <w:p w14:paraId="470BB4A8"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Rank</w:t>
            </w:r>
          </w:p>
        </w:tc>
        <w:tc>
          <w:tcPr>
            <w:tcW w:w="1710" w:type="dxa"/>
            <w:vAlign w:val="center"/>
          </w:tcPr>
          <w:p w14:paraId="271E6D45"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Eigenvalue</w:t>
            </w:r>
          </w:p>
        </w:tc>
        <w:tc>
          <w:tcPr>
            <w:tcW w:w="1710" w:type="dxa"/>
            <w:vAlign w:val="center"/>
          </w:tcPr>
          <w:p w14:paraId="5552BA8B"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Trace Test</w:t>
            </w:r>
          </w:p>
        </w:tc>
        <w:tc>
          <w:tcPr>
            <w:tcW w:w="1710" w:type="dxa"/>
            <w:vAlign w:val="center"/>
          </w:tcPr>
          <w:p w14:paraId="61CB5577"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(Trace)</w:t>
            </w:r>
          </w:p>
        </w:tc>
        <w:tc>
          <w:tcPr>
            <w:tcW w:w="1440" w:type="dxa"/>
            <w:vAlign w:val="center"/>
          </w:tcPr>
          <w:p w14:paraId="509A9072"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Lmax Test</w:t>
            </w:r>
          </w:p>
        </w:tc>
        <w:tc>
          <w:tcPr>
            <w:tcW w:w="1175" w:type="dxa"/>
            <w:vAlign w:val="center"/>
          </w:tcPr>
          <w:p w14:paraId="54A43390"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(Lmax)</w:t>
            </w:r>
          </w:p>
        </w:tc>
      </w:tr>
      <w:tr w:rsidR="00462BBF" w:rsidRPr="00E31A5B" w14:paraId="45FEAC0B" w14:textId="77777777" w:rsidTr="00A9142C">
        <w:tc>
          <w:tcPr>
            <w:tcW w:w="1165" w:type="dxa"/>
          </w:tcPr>
          <w:p w14:paraId="5113ACF7" w14:textId="77777777" w:rsidR="00462BBF" w:rsidRPr="00E31A5B" w:rsidRDefault="00462BBF" w:rsidP="0068330F">
            <w:pPr>
              <w:jc w:val="center"/>
              <w:rPr>
                <w:color w:val="000000" w:themeColor="text1"/>
                <w:sz w:val="22"/>
                <w:szCs w:val="22"/>
              </w:rPr>
            </w:pPr>
            <w:r w:rsidRPr="00E31A5B">
              <w:rPr>
                <w:color w:val="000000" w:themeColor="text1"/>
                <w:sz w:val="22"/>
                <w:szCs w:val="22"/>
              </w:rPr>
              <w:t>0</w:t>
            </w:r>
          </w:p>
        </w:tc>
        <w:tc>
          <w:tcPr>
            <w:tcW w:w="1710" w:type="dxa"/>
          </w:tcPr>
          <w:p w14:paraId="7ADF603C" w14:textId="77777777" w:rsidR="00462BBF" w:rsidRPr="00E31A5B" w:rsidRDefault="00462BBF" w:rsidP="0068330F">
            <w:pPr>
              <w:jc w:val="center"/>
              <w:rPr>
                <w:color w:val="000000" w:themeColor="text1"/>
                <w:sz w:val="22"/>
                <w:szCs w:val="22"/>
              </w:rPr>
            </w:pPr>
            <w:r w:rsidRPr="00E31A5B">
              <w:rPr>
                <w:color w:val="000000" w:themeColor="text1"/>
                <w:sz w:val="22"/>
                <w:szCs w:val="22"/>
              </w:rPr>
              <w:t>0.844440</w:t>
            </w:r>
          </w:p>
        </w:tc>
        <w:tc>
          <w:tcPr>
            <w:tcW w:w="1710" w:type="dxa"/>
          </w:tcPr>
          <w:p w14:paraId="667BDC33" w14:textId="77777777" w:rsidR="00462BBF" w:rsidRPr="00E31A5B" w:rsidRDefault="00462BBF" w:rsidP="0068330F">
            <w:pPr>
              <w:jc w:val="center"/>
              <w:rPr>
                <w:color w:val="000000" w:themeColor="text1"/>
                <w:sz w:val="22"/>
                <w:szCs w:val="22"/>
              </w:rPr>
            </w:pPr>
            <w:r w:rsidRPr="00E31A5B">
              <w:rPr>
                <w:color w:val="000000" w:themeColor="text1"/>
                <w:sz w:val="22"/>
                <w:szCs w:val="22"/>
              </w:rPr>
              <w:t>35.197</w:t>
            </w:r>
          </w:p>
        </w:tc>
        <w:tc>
          <w:tcPr>
            <w:tcW w:w="1710" w:type="dxa"/>
          </w:tcPr>
          <w:p w14:paraId="38BB7ADA"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c>
          <w:tcPr>
            <w:tcW w:w="1440" w:type="dxa"/>
          </w:tcPr>
          <w:p w14:paraId="0B64CD5F" w14:textId="77777777" w:rsidR="00462BBF" w:rsidRPr="00E31A5B" w:rsidRDefault="00462BBF" w:rsidP="0068330F">
            <w:pPr>
              <w:jc w:val="center"/>
              <w:rPr>
                <w:color w:val="000000" w:themeColor="text1"/>
                <w:sz w:val="22"/>
                <w:szCs w:val="22"/>
              </w:rPr>
            </w:pPr>
            <w:r w:rsidRPr="00E31A5B">
              <w:rPr>
                <w:color w:val="000000" w:themeColor="text1"/>
                <w:sz w:val="22"/>
                <w:szCs w:val="22"/>
              </w:rPr>
              <w:t>33.49300</w:t>
            </w:r>
          </w:p>
        </w:tc>
        <w:tc>
          <w:tcPr>
            <w:tcW w:w="1175" w:type="dxa"/>
          </w:tcPr>
          <w:p w14:paraId="352776A0"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r>
      <w:tr w:rsidR="00462BBF" w:rsidRPr="00E31A5B" w14:paraId="1169A2BF" w14:textId="77777777" w:rsidTr="00A9142C">
        <w:tc>
          <w:tcPr>
            <w:tcW w:w="1165" w:type="dxa"/>
          </w:tcPr>
          <w:p w14:paraId="561B0C9E" w14:textId="77777777" w:rsidR="00462BBF" w:rsidRPr="00E31A5B" w:rsidRDefault="00462BBF" w:rsidP="0068330F">
            <w:pPr>
              <w:jc w:val="center"/>
              <w:rPr>
                <w:color w:val="000000" w:themeColor="text1"/>
                <w:sz w:val="22"/>
                <w:szCs w:val="22"/>
              </w:rPr>
            </w:pPr>
            <w:r w:rsidRPr="00E31A5B">
              <w:rPr>
                <w:color w:val="000000" w:themeColor="text1"/>
                <w:sz w:val="22"/>
                <w:szCs w:val="22"/>
              </w:rPr>
              <w:t>1</w:t>
            </w:r>
          </w:p>
        </w:tc>
        <w:tc>
          <w:tcPr>
            <w:tcW w:w="1710" w:type="dxa"/>
          </w:tcPr>
          <w:p w14:paraId="66BFF571" w14:textId="77777777" w:rsidR="00462BBF" w:rsidRPr="00E31A5B" w:rsidRDefault="00462BBF" w:rsidP="0068330F">
            <w:pPr>
              <w:jc w:val="center"/>
              <w:rPr>
                <w:color w:val="000000" w:themeColor="text1"/>
                <w:sz w:val="22"/>
                <w:szCs w:val="22"/>
              </w:rPr>
            </w:pPr>
            <w:r w:rsidRPr="00E31A5B">
              <w:rPr>
                <w:color w:val="000000" w:themeColor="text1"/>
                <w:sz w:val="22"/>
                <w:szCs w:val="22"/>
              </w:rPr>
              <w:t>0.090329</w:t>
            </w:r>
          </w:p>
        </w:tc>
        <w:tc>
          <w:tcPr>
            <w:tcW w:w="1710" w:type="dxa"/>
          </w:tcPr>
          <w:p w14:paraId="6D37ED67" w14:textId="77777777" w:rsidR="00462BBF" w:rsidRPr="00E31A5B" w:rsidRDefault="00462BBF" w:rsidP="0068330F">
            <w:pPr>
              <w:jc w:val="center"/>
              <w:rPr>
                <w:color w:val="000000" w:themeColor="text1"/>
                <w:sz w:val="22"/>
                <w:szCs w:val="22"/>
              </w:rPr>
            </w:pPr>
            <w:r w:rsidRPr="00E31A5B">
              <w:rPr>
                <w:color w:val="000000" w:themeColor="text1"/>
                <w:sz w:val="22"/>
                <w:szCs w:val="22"/>
              </w:rPr>
              <w:t>1.7041</w:t>
            </w:r>
          </w:p>
        </w:tc>
        <w:tc>
          <w:tcPr>
            <w:tcW w:w="1710" w:type="dxa"/>
          </w:tcPr>
          <w:p w14:paraId="159B8434" w14:textId="77777777" w:rsidR="00462BBF" w:rsidRPr="00E31A5B" w:rsidRDefault="00462BBF" w:rsidP="0068330F">
            <w:pPr>
              <w:jc w:val="center"/>
              <w:rPr>
                <w:color w:val="000000" w:themeColor="text1"/>
                <w:sz w:val="22"/>
                <w:szCs w:val="22"/>
              </w:rPr>
            </w:pPr>
            <w:r w:rsidRPr="00E31A5B">
              <w:rPr>
                <w:color w:val="000000" w:themeColor="text1"/>
                <w:sz w:val="22"/>
                <w:szCs w:val="22"/>
              </w:rPr>
              <w:t>[0.1918]</w:t>
            </w:r>
          </w:p>
        </w:tc>
        <w:tc>
          <w:tcPr>
            <w:tcW w:w="1440" w:type="dxa"/>
          </w:tcPr>
          <w:p w14:paraId="0A2B7511" w14:textId="77777777" w:rsidR="00462BBF" w:rsidRPr="00E31A5B" w:rsidRDefault="00462BBF" w:rsidP="0068330F">
            <w:pPr>
              <w:jc w:val="center"/>
              <w:rPr>
                <w:color w:val="000000" w:themeColor="text1"/>
                <w:sz w:val="22"/>
                <w:szCs w:val="22"/>
              </w:rPr>
            </w:pPr>
            <w:r w:rsidRPr="00E31A5B">
              <w:rPr>
                <w:color w:val="000000" w:themeColor="text1"/>
                <w:sz w:val="22"/>
                <w:szCs w:val="22"/>
              </w:rPr>
              <w:t>1.70410</w:t>
            </w:r>
          </w:p>
        </w:tc>
        <w:tc>
          <w:tcPr>
            <w:tcW w:w="1175" w:type="dxa"/>
          </w:tcPr>
          <w:p w14:paraId="4036CD2A" w14:textId="77777777" w:rsidR="00462BBF" w:rsidRPr="00E31A5B" w:rsidRDefault="00462BBF" w:rsidP="0068330F">
            <w:pPr>
              <w:jc w:val="center"/>
              <w:rPr>
                <w:color w:val="000000" w:themeColor="text1"/>
                <w:sz w:val="22"/>
                <w:szCs w:val="22"/>
              </w:rPr>
            </w:pPr>
            <w:r w:rsidRPr="00E31A5B">
              <w:rPr>
                <w:color w:val="000000" w:themeColor="text1"/>
                <w:sz w:val="22"/>
                <w:szCs w:val="22"/>
              </w:rPr>
              <w:t>[0.1918]</w:t>
            </w:r>
          </w:p>
        </w:tc>
      </w:tr>
    </w:tbl>
    <w:p w14:paraId="1C952EBD" w14:textId="77777777" w:rsidR="00462BBF" w:rsidRPr="00E31A5B" w:rsidRDefault="00462BBF" w:rsidP="0068330F">
      <w:pPr>
        <w:spacing w:after="0" w:line="240" w:lineRule="auto"/>
        <w:rPr>
          <w:rFonts w:ascii="Times New Roman" w:hAnsi="Times New Roman" w:cs="Times New Roman"/>
          <w:color w:val="000000" w:themeColor="text1"/>
        </w:rPr>
      </w:pPr>
    </w:p>
    <w:p w14:paraId="222EC8BA" w14:textId="091DEE36" w:rsidR="00462BBF" w:rsidRPr="00E31A5B" w:rsidRDefault="00462BBF" w:rsidP="0068330F">
      <w:pPr>
        <w:pStyle w:val="MyTables"/>
      </w:pPr>
      <w:bookmarkStart w:id="38" w:name="_Toc79604534"/>
      <w:r w:rsidRPr="00E31A5B">
        <w:t xml:space="preserve">Table </w:t>
      </w:r>
      <w:bookmarkEnd w:id="38"/>
      <w:r w:rsidR="00155203">
        <w:t>13</w:t>
      </w:r>
      <w:r w:rsidRPr="00E31A5B">
        <w:t xml:space="preserve"> </w:t>
      </w:r>
    </w:p>
    <w:p w14:paraId="77D746A8" w14:textId="77777777" w:rsidR="00462BBF" w:rsidRPr="00D53689" w:rsidRDefault="00462BBF" w:rsidP="0068330F">
      <w:pPr>
        <w:pStyle w:val="MyTables"/>
        <w:rPr>
          <w:rFonts w:cs="Times New Roman"/>
          <w:b w:val="0"/>
          <w:bCs w:val="0"/>
          <w:i/>
          <w:szCs w:val="24"/>
        </w:rPr>
      </w:pPr>
      <w:bookmarkStart w:id="39" w:name="_Toc79604535"/>
      <w:r w:rsidRPr="00D53689">
        <w:rPr>
          <w:rFonts w:cs="Times New Roman"/>
          <w:b w:val="0"/>
          <w:bCs w:val="0"/>
          <w:i/>
          <w:szCs w:val="24"/>
        </w:rPr>
        <w:t>JC test results for GNDIpc and HDI with unrestricted constant and trend.</w:t>
      </w:r>
      <w:bookmarkEnd w:id="39"/>
    </w:p>
    <w:tbl>
      <w:tblPr>
        <w:tblStyle w:val="TableGrid"/>
        <w:tblW w:w="8910" w:type="dxa"/>
        <w:tblBorders>
          <w:insideV w:val="none" w:sz="0" w:space="0" w:color="auto"/>
        </w:tblBorders>
        <w:tblLayout w:type="fixed"/>
        <w:tblLook w:val="04A0" w:firstRow="1" w:lastRow="0" w:firstColumn="1" w:lastColumn="0" w:noHBand="0" w:noVBand="1"/>
      </w:tblPr>
      <w:tblGrid>
        <w:gridCol w:w="1165"/>
        <w:gridCol w:w="1710"/>
        <w:gridCol w:w="1710"/>
        <w:gridCol w:w="1710"/>
        <w:gridCol w:w="1440"/>
        <w:gridCol w:w="1175"/>
      </w:tblGrid>
      <w:tr w:rsidR="00462BBF" w:rsidRPr="00E31A5B" w14:paraId="46B4AF61" w14:textId="77777777" w:rsidTr="00A9142C">
        <w:trPr>
          <w:trHeight w:val="431"/>
        </w:trPr>
        <w:tc>
          <w:tcPr>
            <w:tcW w:w="1165" w:type="dxa"/>
            <w:vAlign w:val="center"/>
          </w:tcPr>
          <w:p w14:paraId="18BE98FD"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Rank</w:t>
            </w:r>
          </w:p>
        </w:tc>
        <w:tc>
          <w:tcPr>
            <w:tcW w:w="1710" w:type="dxa"/>
            <w:vAlign w:val="center"/>
          </w:tcPr>
          <w:p w14:paraId="62FFE26C"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Eigenvalue</w:t>
            </w:r>
          </w:p>
        </w:tc>
        <w:tc>
          <w:tcPr>
            <w:tcW w:w="1710" w:type="dxa"/>
            <w:vAlign w:val="center"/>
          </w:tcPr>
          <w:p w14:paraId="0D9E3223"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Trace Test</w:t>
            </w:r>
          </w:p>
        </w:tc>
        <w:tc>
          <w:tcPr>
            <w:tcW w:w="1710" w:type="dxa"/>
            <w:vAlign w:val="center"/>
          </w:tcPr>
          <w:p w14:paraId="08F62795"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(Trace)</w:t>
            </w:r>
          </w:p>
        </w:tc>
        <w:tc>
          <w:tcPr>
            <w:tcW w:w="1440" w:type="dxa"/>
            <w:vAlign w:val="center"/>
          </w:tcPr>
          <w:p w14:paraId="665941D0"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Lmax Test</w:t>
            </w:r>
          </w:p>
        </w:tc>
        <w:tc>
          <w:tcPr>
            <w:tcW w:w="1175" w:type="dxa"/>
            <w:vAlign w:val="center"/>
          </w:tcPr>
          <w:p w14:paraId="093EBBBB"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(Lmax)</w:t>
            </w:r>
          </w:p>
        </w:tc>
      </w:tr>
      <w:tr w:rsidR="00462BBF" w:rsidRPr="00E31A5B" w14:paraId="34388725" w14:textId="77777777" w:rsidTr="00A9142C">
        <w:tc>
          <w:tcPr>
            <w:tcW w:w="1165" w:type="dxa"/>
          </w:tcPr>
          <w:p w14:paraId="1CB8E9CB" w14:textId="77777777" w:rsidR="00462BBF" w:rsidRPr="00E31A5B" w:rsidRDefault="00462BBF" w:rsidP="0068330F">
            <w:pPr>
              <w:jc w:val="center"/>
              <w:rPr>
                <w:color w:val="000000" w:themeColor="text1"/>
                <w:sz w:val="22"/>
                <w:szCs w:val="22"/>
              </w:rPr>
            </w:pPr>
            <w:r w:rsidRPr="00E31A5B">
              <w:rPr>
                <w:color w:val="000000" w:themeColor="text1"/>
                <w:sz w:val="22"/>
                <w:szCs w:val="22"/>
              </w:rPr>
              <w:t>0</w:t>
            </w:r>
          </w:p>
        </w:tc>
        <w:tc>
          <w:tcPr>
            <w:tcW w:w="1710" w:type="dxa"/>
          </w:tcPr>
          <w:p w14:paraId="7CEDC425" w14:textId="77777777" w:rsidR="00462BBF" w:rsidRPr="00E31A5B" w:rsidRDefault="00462BBF" w:rsidP="0068330F">
            <w:pPr>
              <w:jc w:val="center"/>
              <w:rPr>
                <w:color w:val="000000" w:themeColor="text1"/>
                <w:sz w:val="22"/>
                <w:szCs w:val="22"/>
              </w:rPr>
            </w:pPr>
            <w:r w:rsidRPr="00E31A5B">
              <w:rPr>
                <w:color w:val="000000" w:themeColor="text1"/>
                <w:sz w:val="22"/>
                <w:szCs w:val="22"/>
              </w:rPr>
              <w:t>0.971190</w:t>
            </w:r>
          </w:p>
        </w:tc>
        <w:tc>
          <w:tcPr>
            <w:tcW w:w="1710" w:type="dxa"/>
          </w:tcPr>
          <w:p w14:paraId="488AB082" w14:textId="77777777" w:rsidR="00462BBF" w:rsidRPr="00E31A5B" w:rsidRDefault="00462BBF" w:rsidP="0068330F">
            <w:pPr>
              <w:jc w:val="center"/>
              <w:rPr>
                <w:color w:val="000000" w:themeColor="text1"/>
                <w:sz w:val="22"/>
                <w:szCs w:val="22"/>
              </w:rPr>
            </w:pPr>
            <w:r w:rsidRPr="00E31A5B">
              <w:rPr>
                <w:color w:val="000000" w:themeColor="text1"/>
                <w:sz w:val="22"/>
                <w:szCs w:val="22"/>
              </w:rPr>
              <w:t>74.556</w:t>
            </w:r>
          </w:p>
        </w:tc>
        <w:tc>
          <w:tcPr>
            <w:tcW w:w="1710" w:type="dxa"/>
          </w:tcPr>
          <w:p w14:paraId="0BA248D1"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c>
          <w:tcPr>
            <w:tcW w:w="1440" w:type="dxa"/>
          </w:tcPr>
          <w:p w14:paraId="6BD02861" w14:textId="77777777" w:rsidR="00462BBF" w:rsidRPr="00E31A5B" w:rsidRDefault="00462BBF" w:rsidP="0068330F">
            <w:pPr>
              <w:jc w:val="center"/>
              <w:rPr>
                <w:color w:val="000000" w:themeColor="text1"/>
                <w:sz w:val="22"/>
                <w:szCs w:val="22"/>
              </w:rPr>
            </w:pPr>
            <w:r w:rsidRPr="00E31A5B">
              <w:rPr>
                <w:color w:val="000000" w:themeColor="text1"/>
                <w:sz w:val="22"/>
                <w:szCs w:val="22"/>
              </w:rPr>
              <w:t>63.84700</w:t>
            </w:r>
          </w:p>
        </w:tc>
        <w:tc>
          <w:tcPr>
            <w:tcW w:w="1175" w:type="dxa"/>
          </w:tcPr>
          <w:p w14:paraId="2BAA02C2"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r>
      <w:tr w:rsidR="00462BBF" w:rsidRPr="00E31A5B" w14:paraId="4C90A868" w14:textId="77777777" w:rsidTr="00A9142C">
        <w:tc>
          <w:tcPr>
            <w:tcW w:w="1165" w:type="dxa"/>
          </w:tcPr>
          <w:p w14:paraId="77A578E5" w14:textId="77777777" w:rsidR="00462BBF" w:rsidRPr="00E31A5B" w:rsidRDefault="00462BBF" w:rsidP="0068330F">
            <w:pPr>
              <w:jc w:val="center"/>
              <w:rPr>
                <w:color w:val="000000" w:themeColor="text1"/>
                <w:sz w:val="22"/>
                <w:szCs w:val="22"/>
              </w:rPr>
            </w:pPr>
            <w:r w:rsidRPr="00E31A5B">
              <w:rPr>
                <w:color w:val="000000" w:themeColor="text1"/>
                <w:sz w:val="22"/>
                <w:szCs w:val="22"/>
              </w:rPr>
              <w:t>1</w:t>
            </w:r>
          </w:p>
        </w:tc>
        <w:tc>
          <w:tcPr>
            <w:tcW w:w="1710" w:type="dxa"/>
          </w:tcPr>
          <w:p w14:paraId="221BDCF5" w14:textId="77777777" w:rsidR="00462BBF" w:rsidRPr="00E31A5B" w:rsidRDefault="00462BBF" w:rsidP="0068330F">
            <w:pPr>
              <w:jc w:val="center"/>
              <w:rPr>
                <w:color w:val="000000" w:themeColor="text1"/>
                <w:sz w:val="22"/>
                <w:szCs w:val="22"/>
              </w:rPr>
            </w:pPr>
            <w:r w:rsidRPr="00E31A5B">
              <w:rPr>
                <w:color w:val="000000" w:themeColor="text1"/>
                <w:sz w:val="22"/>
                <w:szCs w:val="22"/>
              </w:rPr>
              <w:t>0.448390</w:t>
            </w:r>
          </w:p>
        </w:tc>
        <w:tc>
          <w:tcPr>
            <w:tcW w:w="1710" w:type="dxa"/>
          </w:tcPr>
          <w:p w14:paraId="21F86EE9" w14:textId="77777777" w:rsidR="00462BBF" w:rsidRPr="00E31A5B" w:rsidRDefault="00462BBF" w:rsidP="0068330F">
            <w:pPr>
              <w:jc w:val="center"/>
              <w:rPr>
                <w:color w:val="000000" w:themeColor="text1"/>
                <w:sz w:val="22"/>
                <w:szCs w:val="22"/>
              </w:rPr>
            </w:pPr>
            <w:r w:rsidRPr="00E31A5B">
              <w:rPr>
                <w:color w:val="000000" w:themeColor="text1"/>
                <w:sz w:val="22"/>
                <w:szCs w:val="22"/>
              </w:rPr>
              <w:t>10.708</w:t>
            </w:r>
          </w:p>
        </w:tc>
        <w:tc>
          <w:tcPr>
            <w:tcW w:w="1710" w:type="dxa"/>
          </w:tcPr>
          <w:p w14:paraId="52C39432" w14:textId="77777777" w:rsidR="00462BBF" w:rsidRPr="00E31A5B" w:rsidRDefault="00462BBF" w:rsidP="0068330F">
            <w:pPr>
              <w:jc w:val="center"/>
              <w:rPr>
                <w:color w:val="000000" w:themeColor="text1"/>
                <w:sz w:val="22"/>
                <w:szCs w:val="22"/>
              </w:rPr>
            </w:pPr>
            <w:r w:rsidRPr="00E31A5B">
              <w:rPr>
                <w:color w:val="000000" w:themeColor="text1"/>
                <w:sz w:val="22"/>
                <w:szCs w:val="22"/>
              </w:rPr>
              <w:t>[0.0011]</w:t>
            </w:r>
          </w:p>
        </w:tc>
        <w:tc>
          <w:tcPr>
            <w:tcW w:w="1440" w:type="dxa"/>
          </w:tcPr>
          <w:p w14:paraId="34191ACE" w14:textId="77777777" w:rsidR="00462BBF" w:rsidRPr="00E31A5B" w:rsidRDefault="00462BBF" w:rsidP="0068330F">
            <w:pPr>
              <w:jc w:val="center"/>
              <w:rPr>
                <w:color w:val="000000" w:themeColor="text1"/>
                <w:sz w:val="22"/>
                <w:szCs w:val="22"/>
              </w:rPr>
            </w:pPr>
            <w:r w:rsidRPr="00E31A5B">
              <w:rPr>
                <w:color w:val="000000" w:themeColor="text1"/>
                <w:sz w:val="22"/>
                <w:szCs w:val="22"/>
              </w:rPr>
              <w:t>10.70800</w:t>
            </w:r>
          </w:p>
        </w:tc>
        <w:tc>
          <w:tcPr>
            <w:tcW w:w="1175" w:type="dxa"/>
          </w:tcPr>
          <w:p w14:paraId="4226261B" w14:textId="77777777" w:rsidR="00462BBF" w:rsidRPr="00E31A5B" w:rsidRDefault="00462BBF" w:rsidP="0068330F">
            <w:pPr>
              <w:jc w:val="center"/>
              <w:rPr>
                <w:color w:val="000000" w:themeColor="text1"/>
                <w:sz w:val="22"/>
                <w:szCs w:val="22"/>
              </w:rPr>
            </w:pPr>
            <w:r w:rsidRPr="00E31A5B">
              <w:rPr>
                <w:color w:val="000000" w:themeColor="text1"/>
                <w:sz w:val="22"/>
                <w:szCs w:val="22"/>
              </w:rPr>
              <w:t>[0.0011]</w:t>
            </w:r>
          </w:p>
        </w:tc>
      </w:tr>
    </w:tbl>
    <w:p w14:paraId="64998C60" w14:textId="77777777" w:rsidR="00462BBF" w:rsidRPr="00E31A5B" w:rsidRDefault="00462BBF" w:rsidP="0068330F">
      <w:pPr>
        <w:spacing w:after="0" w:line="240" w:lineRule="auto"/>
        <w:rPr>
          <w:rFonts w:ascii="Times New Roman" w:hAnsi="Times New Roman" w:cs="Times New Roman"/>
          <w:color w:val="000000" w:themeColor="text1"/>
          <w:sz w:val="24"/>
          <w:szCs w:val="24"/>
        </w:rPr>
      </w:pPr>
    </w:p>
    <w:p w14:paraId="7B3FC1AA" w14:textId="2D4E27AD" w:rsidR="00462BBF" w:rsidRPr="00E31A5B" w:rsidRDefault="00462BBF" w:rsidP="0068330F">
      <w:pPr>
        <w:pStyle w:val="MyTables"/>
      </w:pPr>
      <w:bookmarkStart w:id="40" w:name="_Toc79604540"/>
      <w:r w:rsidRPr="00E31A5B">
        <w:t xml:space="preserve">Table </w:t>
      </w:r>
      <w:bookmarkEnd w:id="40"/>
      <w:r w:rsidR="00155203">
        <w:t>14</w:t>
      </w:r>
      <w:r w:rsidRPr="00E31A5B">
        <w:t xml:space="preserve"> </w:t>
      </w:r>
    </w:p>
    <w:p w14:paraId="57F58D12" w14:textId="77777777" w:rsidR="00462BBF" w:rsidRPr="00D53689" w:rsidRDefault="00462BBF" w:rsidP="0068330F">
      <w:pPr>
        <w:pStyle w:val="MyTables"/>
        <w:rPr>
          <w:rFonts w:cs="Times New Roman"/>
          <w:b w:val="0"/>
          <w:bCs w:val="0"/>
          <w:i/>
          <w:szCs w:val="24"/>
        </w:rPr>
      </w:pPr>
      <w:bookmarkStart w:id="41" w:name="_Toc79604541"/>
      <w:r w:rsidRPr="00D53689">
        <w:rPr>
          <w:rFonts w:cs="Times New Roman"/>
          <w:b w:val="0"/>
          <w:bCs w:val="0"/>
          <w:i/>
          <w:szCs w:val="24"/>
        </w:rPr>
        <w:t>JC test results for GNDIpc and IEF with unrestricted constant.</w:t>
      </w:r>
      <w:bookmarkEnd w:id="41"/>
      <w:r w:rsidRPr="00D53689">
        <w:rPr>
          <w:rFonts w:cs="Times New Roman"/>
          <w:b w:val="0"/>
          <w:bCs w:val="0"/>
          <w:i/>
          <w:szCs w:val="24"/>
        </w:rPr>
        <w:t xml:space="preserve"> </w:t>
      </w:r>
    </w:p>
    <w:tbl>
      <w:tblPr>
        <w:tblStyle w:val="TableGrid"/>
        <w:tblW w:w="8910" w:type="dxa"/>
        <w:tblBorders>
          <w:insideV w:val="none" w:sz="0" w:space="0" w:color="auto"/>
        </w:tblBorders>
        <w:tblLayout w:type="fixed"/>
        <w:tblLook w:val="04A0" w:firstRow="1" w:lastRow="0" w:firstColumn="1" w:lastColumn="0" w:noHBand="0" w:noVBand="1"/>
      </w:tblPr>
      <w:tblGrid>
        <w:gridCol w:w="1165"/>
        <w:gridCol w:w="1710"/>
        <w:gridCol w:w="1710"/>
        <w:gridCol w:w="1710"/>
        <w:gridCol w:w="1440"/>
        <w:gridCol w:w="1175"/>
      </w:tblGrid>
      <w:tr w:rsidR="00462BBF" w:rsidRPr="00E31A5B" w14:paraId="772F3E36" w14:textId="77777777" w:rsidTr="00A9142C">
        <w:trPr>
          <w:trHeight w:val="431"/>
        </w:trPr>
        <w:tc>
          <w:tcPr>
            <w:tcW w:w="1165" w:type="dxa"/>
            <w:vAlign w:val="center"/>
          </w:tcPr>
          <w:p w14:paraId="0231BE30"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Rank</w:t>
            </w:r>
          </w:p>
        </w:tc>
        <w:tc>
          <w:tcPr>
            <w:tcW w:w="1710" w:type="dxa"/>
            <w:vAlign w:val="center"/>
          </w:tcPr>
          <w:p w14:paraId="4959F853"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Eigenvalue</w:t>
            </w:r>
          </w:p>
        </w:tc>
        <w:tc>
          <w:tcPr>
            <w:tcW w:w="1710" w:type="dxa"/>
            <w:vAlign w:val="center"/>
          </w:tcPr>
          <w:p w14:paraId="1B986D89"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Trace Test</w:t>
            </w:r>
          </w:p>
        </w:tc>
        <w:tc>
          <w:tcPr>
            <w:tcW w:w="1710" w:type="dxa"/>
            <w:vAlign w:val="center"/>
          </w:tcPr>
          <w:p w14:paraId="41AEE208"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(Trace)</w:t>
            </w:r>
          </w:p>
        </w:tc>
        <w:tc>
          <w:tcPr>
            <w:tcW w:w="1440" w:type="dxa"/>
            <w:vAlign w:val="center"/>
          </w:tcPr>
          <w:p w14:paraId="6D222EC3"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Lmax Test</w:t>
            </w:r>
          </w:p>
        </w:tc>
        <w:tc>
          <w:tcPr>
            <w:tcW w:w="1175" w:type="dxa"/>
            <w:vAlign w:val="center"/>
          </w:tcPr>
          <w:p w14:paraId="5368D138"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(Lmax)</w:t>
            </w:r>
          </w:p>
        </w:tc>
      </w:tr>
      <w:tr w:rsidR="00462BBF" w:rsidRPr="00E31A5B" w14:paraId="472FCBCE" w14:textId="77777777" w:rsidTr="00A9142C">
        <w:tc>
          <w:tcPr>
            <w:tcW w:w="1165" w:type="dxa"/>
          </w:tcPr>
          <w:p w14:paraId="6A729AE5" w14:textId="77777777" w:rsidR="00462BBF" w:rsidRPr="00E31A5B" w:rsidRDefault="00462BBF" w:rsidP="0068330F">
            <w:pPr>
              <w:jc w:val="center"/>
              <w:rPr>
                <w:color w:val="000000" w:themeColor="text1"/>
                <w:sz w:val="22"/>
                <w:szCs w:val="22"/>
              </w:rPr>
            </w:pPr>
            <w:r w:rsidRPr="00E31A5B">
              <w:rPr>
                <w:color w:val="000000" w:themeColor="text1"/>
                <w:sz w:val="22"/>
                <w:szCs w:val="22"/>
              </w:rPr>
              <w:t>0</w:t>
            </w:r>
          </w:p>
        </w:tc>
        <w:tc>
          <w:tcPr>
            <w:tcW w:w="1710" w:type="dxa"/>
          </w:tcPr>
          <w:p w14:paraId="49AD3801" w14:textId="77777777" w:rsidR="00462BBF" w:rsidRPr="00E31A5B" w:rsidRDefault="00462BBF" w:rsidP="0068330F">
            <w:pPr>
              <w:jc w:val="center"/>
              <w:rPr>
                <w:color w:val="000000" w:themeColor="text1"/>
                <w:sz w:val="22"/>
                <w:szCs w:val="22"/>
              </w:rPr>
            </w:pPr>
            <w:r w:rsidRPr="00E31A5B">
              <w:rPr>
                <w:color w:val="000000" w:themeColor="text1"/>
                <w:sz w:val="22"/>
                <w:szCs w:val="22"/>
              </w:rPr>
              <w:t>0.994770</w:t>
            </w:r>
          </w:p>
        </w:tc>
        <w:tc>
          <w:tcPr>
            <w:tcW w:w="1710" w:type="dxa"/>
          </w:tcPr>
          <w:p w14:paraId="154A5F06" w14:textId="77777777" w:rsidR="00462BBF" w:rsidRPr="00E31A5B" w:rsidRDefault="00462BBF" w:rsidP="0068330F">
            <w:pPr>
              <w:jc w:val="center"/>
              <w:rPr>
                <w:color w:val="000000" w:themeColor="text1"/>
                <w:sz w:val="22"/>
                <w:szCs w:val="22"/>
              </w:rPr>
            </w:pPr>
            <w:r w:rsidRPr="00E31A5B">
              <w:rPr>
                <w:color w:val="000000" w:themeColor="text1"/>
                <w:sz w:val="22"/>
                <w:szCs w:val="22"/>
              </w:rPr>
              <w:t>94.671</w:t>
            </w:r>
          </w:p>
        </w:tc>
        <w:tc>
          <w:tcPr>
            <w:tcW w:w="1710" w:type="dxa"/>
          </w:tcPr>
          <w:p w14:paraId="612C28CB"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c>
          <w:tcPr>
            <w:tcW w:w="1440" w:type="dxa"/>
          </w:tcPr>
          <w:p w14:paraId="7625D5C0" w14:textId="77777777" w:rsidR="00462BBF" w:rsidRPr="00E31A5B" w:rsidRDefault="00462BBF" w:rsidP="0068330F">
            <w:pPr>
              <w:jc w:val="center"/>
              <w:rPr>
                <w:color w:val="000000" w:themeColor="text1"/>
                <w:sz w:val="22"/>
                <w:szCs w:val="22"/>
              </w:rPr>
            </w:pPr>
            <w:r w:rsidRPr="00E31A5B">
              <w:rPr>
                <w:color w:val="000000" w:themeColor="text1"/>
                <w:sz w:val="22"/>
                <w:szCs w:val="22"/>
              </w:rPr>
              <w:t>94.55800</w:t>
            </w:r>
          </w:p>
        </w:tc>
        <w:tc>
          <w:tcPr>
            <w:tcW w:w="1175" w:type="dxa"/>
          </w:tcPr>
          <w:p w14:paraId="24861712"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r>
      <w:tr w:rsidR="00462BBF" w:rsidRPr="00E31A5B" w14:paraId="4C3C83A9" w14:textId="77777777" w:rsidTr="00A9142C">
        <w:tc>
          <w:tcPr>
            <w:tcW w:w="1165" w:type="dxa"/>
          </w:tcPr>
          <w:p w14:paraId="0FAA7581" w14:textId="77777777" w:rsidR="00462BBF" w:rsidRPr="00E31A5B" w:rsidRDefault="00462BBF" w:rsidP="0068330F">
            <w:pPr>
              <w:jc w:val="center"/>
              <w:rPr>
                <w:color w:val="000000" w:themeColor="text1"/>
                <w:sz w:val="22"/>
                <w:szCs w:val="22"/>
              </w:rPr>
            </w:pPr>
            <w:r w:rsidRPr="00E31A5B">
              <w:rPr>
                <w:color w:val="000000" w:themeColor="text1"/>
                <w:sz w:val="22"/>
                <w:szCs w:val="22"/>
              </w:rPr>
              <w:t>1</w:t>
            </w:r>
          </w:p>
        </w:tc>
        <w:tc>
          <w:tcPr>
            <w:tcW w:w="1710" w:type="dxa"/>
          </w:tcPr>
          <w:p w14:paraId="196A9D46" w14:textId="77777777" w:rsidR="00462BBF" w:rsidRPr="00E31A5B" w:rsidRDefault="00462BBF" w:rsidP="0068330F">
            <w:pPr>
              <w:jc w:val="center"/>
              <w:rPr>
                <w:color w:val="000000" w:themeColor="text1"/>
                <w:sz w:val="22"/>
                <w:szCs w:val="22"/>
              </w:rPr>
            </w:pPr>
            <w:r w:rsidRPr="00E31A5B">
              <w:rPr>
                <w:color w:val="000000" w:themeColor="text1"/>
                <w:sz w:val="22"/>
                <w:szCs w:val="22"/>
              </w:rPr>
              <w:t>0.006206</w:t>
            </w:r>
          </w:p>
        </w:tc>
        <w:tc>
          <w:tcPr>
            <w:tcW w:w="1710" w:type="dxa"/>
          </w:tcPr>
          <w:p w14:paraId="2A203DE1" w14:textId="77777777" w:rsidR="00462BBF" w:rsidRPr="00E31A5B" w:rsidRDefault="00462BBF" w:rsidP="0068330F">
            <w:pPr>
              <w:jc w:val="center"/>
              <w:rPr>
                <w:color w:val="000000" w:themeColor="text1"/>
                <w:sz w:val="22"/>
                <w:szCs w:val="22"/>
              </w:rPr>
            </w:pPr>
            <w:r w:rsidRPr="00E31A5B">
              <w:rPr>
                <w:color w:val="000000" w:themeColor="text1"/>
                <w:sz w:val="22"/>
                <w:szCs w:val="22"/>
              </w:rPr>
              <w:t>0.11206</w:t>
            </w:r>
          </w:p>
        </w:tc>
        <w:tc>
          <w:tcPr>
            <w:tcW w:w="1710" w:type="dxa"/>
          </w:tcPr>
          <w:p w14:paraId="31F2A41A" w14:textId="77777777" w:rsidR="00462BBF" w:rsidRPr="00E31A5B" w:rsidRDefault="00462BBF" w:rsidP="0068330F">
            <w:pPr>
              <w:jc w:val="center"/>
              <w:rPr>
                <w:color w:val="000000" w:themeColor="text1"/>
                <w:sz w:val="22"/>
                <w:szCs w:val="22"/>
              </w:rPr>
            </w:pPr>
            <w:r w:rsidRPr="00E31A5B">
              <w:rPr>
                <w:color w:val="000000" w:themeColor="text1"/>
                <w:sz w:val="22"/>
                <w:szCs w:val="22"/>
              </w:rPr>
              <w:t>[0.7378]</w:t>
            </w:r>
          </w:p>
        </w:tc>
        <w:tc>
          <w:tcPr>
            <w:tcW w:w="1440" w:type="dxa"/>
          </w:tcPr>
          <w:p w14:paraId="448E383C" w14:textId="77777777" w:rsidR="00462BBF" w:rsidRPr="00E31A5B" w:rsidRDefault="00462BBF" w:rsidP="0068330F">
            <w:pPr>
              <w:jc w:val="center"/>
              <w:rPr>
                <w:color w:val="000000" w:themeColor="text1"/>
                <w:sz w:val="22"/>
                <w:szCs w:val="22"/>
              </w:rPr>
            </w:pPr>
            <w:r w:rsidRPr="00E31A5B">
              <w:rPr>
                <w:color w:val="000000" w:themeColor="text1"/>
                <w:sz w:val="22"/>
                <w:szCs w:val="22"/>
              </w:rPr>
              <w:t>0.11206</w:t>
            </w:r>
          </w:p>
        </w:tc>
        <w:tc>
          <w:tcPr>
            <w:tcW w:w="1175" w:type="dxa"/>
          </w:tcPr>
          <w:p w14:paraId="1F1037E1" w14:textId="77777777" w:rsidR="00462BBF" w:rsidRPr="00E31A5B" w:rsidRDefault="00462BBF" w:rsidP="0068330F">
            <w:pPr>
              <w:jc w:val="center"/>
              <w:rPr>
                <w:color w:val="000000" w:themeColor="text1"/>
                <w:sz w:val="22"/>
                <w:szCs w:val="22"/>
              </w:rPr>
            </w:pPr>
            <w:r w:rsidRPr="00E31A5B">
              <w:rPr>
                <w:color w:val="000000" w:themeColor="text1"/>
                <w:sz w:val="22"/>
                <w:szCs w:val="22"/>
              </w:rPr>
              <w:t>[0.7378]</w:t>
            </w:r>
          </w:p>
        </w:tc>
      </w:tr>
    </w:tbl>
    <w:p w14:paraId="68D8F816" w14:textId="42B63DC6" w:rsidR="00462BBF" w:rsidRPr="00E31A5B" w:rsidRDefault="00462BBF" w:rsidP="0068330F">
      <w:pPr>
        <w:pStyle w:val="MyTables"/>
      </w:pPr>
      <w:bookmarkStart w:id="42" w:name="_Toc79604542"/>
      <w:r w:rsidRPr="00E31A5B">
        <w:t xml:space="preserve">Table </w:t>
      </w:r>
      <w:bookmarkEnd w:id="42"/>
      <w:r w:rsidR="00155203">
        <w:t>15</w:t>
      </w:r>
      <w:r w:rsidRPr="00E31A5B">
        <w:t xml:space="preserve"> </w:t>
      </w:r>
    </w:p>
    <w:p w14:paraId="66B2525C" w14:textId="77777777" w:rsidR="00462BBF" w:rsidRPr="00D53689" w:rsidRDefault="00462BBF" w:rsidP="0068330F">
      <w:pPr>
        <w:pStyle w:val="MyTables"/>
        <w:rPr>
          <w:rFonts w:cs="Times New Roman"/>
          <w:b w:val="0"/>
          <w:bCs w:val="0"/>
          <w:i/>
          <w:szCs w:val="24"/>
        </w:rPr>
      </w:pPr>
      <w:bookmarkStart w:id="43" w:name="_Toc79604543"/>
      <w:r w:rsidRPr="00D53689">
        <w:rPr>
          <w:rFonts w:cs="Times New Roman"/>
          <w:b w:val="0"/>
          <w:bCs w:val="0"/>
          <w:i/>
          <w:szCs w:val="24"/>
        </w:rPr>
        <w:t>JC test results for GNDIpc and IEF with unrestricted constant and trend.</w:t>
      </w:r>
      <w:bookmarkEnd w:id="43"/>
    </w:p>
    <w:tbl>
      <w:tblPr>
        <w:tblStyle w:val="TableGrid"/>
        <w:tblW w:w="8910" w:type="dxa"/>
        <w:tblBorders>
          <w:insideV w:val="none" w:sz="0" w:space="0" w:color="auto"/>
        </w:tblBorders>
        <w:tblLayout w:type="fixed"/>
        <w:tblLook w:val="04A0" w:firstRow="1" w:lastRow="0" w:firstColumn="1" w:lastColumn="0" w:noHBand="0" w:noVBand="1"/>
      </w:tblPr>
      <w:tblGrid>
        <w:gridCol w:w="1165"/>
        <w:gridCol w:w="1710"/>
        <w:gridCol w:w="1710"/>
        <w:gridCol w:w="1710"/>
        <w:gridCol w:w="1440"/>
        <w:gridCol w:w="1175"/>
      </w:tblGrid>
      <w:tr w:rsidR="00462BBF" w:rsidRPr="00E31A5B" w14:paraId="25EB0FE3" w14:textId="77777777" w:rsidTr="00A9142C">
        <w:trPr>
          <w:trHeight w:val="431"/>
        </w:trPr>
        <w:tc>
          <w:tcPr>
            <w:tcW w:w="1165" w:type="dxa"/>
            <w:vAlign w:val="center"/>
          </w:tcPr>
          <w:p w14:paraId="620E829D"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Rank</w:t>
            </w:r>
          </w:p>
        </w:tc>
        <w:tc>
          <w:tcPr>
            <w:tcW w:w="1710" w:type="dxa"/>
            <w:vAlign w:val="center"/>
          </w:tcPr>
          <w:p w14:paraId="61B5B027"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Eigenvalue</w:t>
            </w:r>
          </w:p>
        </w:tc>
        <w:tc>
          <w:tcPr>
            <w:tcW w:w="1710" w:type="dxa"/>
            <w:vAlign w:val="center"/>
          </w:tcPr>
          <w:p w14:paraId="1233B052"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Trace Test</w:t>
            </w:r>
          </w:p>
        </w:tc>
        <w:tc>
          <w:tcPr>
            <w:tcW w:w="1710" w:type="dxa"/>
            <w:vAlign w:val="center"/>
          </w:tcPr>
          <w:p w14:paraId="63FFFFB2"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(Trace)</w:t>
            </w:r>
          </w:p>
        </w:tc>
        <w:tc>
          <w:tcPr>
            <w:tcW w:w="1440" w:type="dxa"/>
            <w:vAlign w:val="center"/>
          </w:tcPr>
          <w:p w14:paraId="6F013B8F"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Lmax Test</w:t>
            </w:r>
          </w:p>
        </w:tc>
        <w:tc>
          <w:tcPr>
            <w:tcW w:w="1175" w:type="dxa"/>
            <w:vAlign w:val="center"/>
          </w:tcPr>
          <w:p w14:paraId="1D56CC5F"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(Lmax)</w:t>
            </w:r>
          </w:p>
        </w:tc>
      </w:tr>
      <w:tr w:rsidR="00462BBF" w:rsidRPr="00E31A5B" w14:paraId="419A5C29" w14:textId="77777777" w:rsidTr="00A9142C">
        <w:tc>
          <w:tcPr>
            <w:tcW w:w="1165" w:type="dxa"/>
          </w:tcPr>
          <w:p w14:paraId="45CD33DB" w14:textId="77777777" w:rsidR="00462BBF" w:rsidRPr="00E31A5B" w:rsidRDefault="00462BBF" w:rsidP="0068330F">
            <w:pPr>
              <w:jc w:val="center"/>
              <w:rPr>
                <w:color w:val="000000" w:themeColor="text1"/>
                <w:sz w:val="22"/>
                <w:szCs w:val="22"/>
              </w:rPr>
            </w:pPr>
            <w:r w:rsidRPr="00E31A5B">
              <w:rPr>
                <w:color w:val="000000" w:themeColor="text1"/>
                <w:sz w:val="22"/>
                <w:szCs w:val="22"/>
              </w:rPr>
              <w:t>0</w:t>
            </w:r>
          </w:p>
        </w:tc>
        <w:tc>
          <w:tcPr>
            <w:tcW w:w="1710" w:type="dxa"/>
          </w:tcPr>
          <w:p w14:paraId="6C4B41D5" w14:textId="77777777" w:rsidR="00462BBF" w:rsidRPr="00E31A5B" w:rsidRDefault="00462BBF" w:rsidP="0068330F">
            <w:pPr>
              <w:jc w:val="center"/>
              <w:rPr>
                <w:color w:val="000000" w:themeColor="text1"/>
                <w:sz w:val="22"/>
                <w:szCs w:val="22"/>
              </w:rPr>
            </w:pPr>
            <w:r w:rsidRPr="00E31A5B">
              <w:rPr>
                <w:color w:val="000000" w:themeColor="text1"/>
                <w:sz w:val="22"/>
                <w:szCs w:val="22"/>
              </w:rPr>
              <w:t>0.999790</w:t>
            </w:r>
          </w:p>
        </w:tc>
        <w:tc>
          <w:tcPr>
            <w:tcW w:w="1710" w:type="dxa"/>
          </w:tcPr>
          <w:p w14:paraId="1E296A16" w14:textId="77777777" w:rsidR="00462BBF" w:rsidRPr="00E31A5B" w:rsidRDefault="00462BBF" w:rsidP="0068330F">
            <w:pPr>
              <w:jc w:val="center"/>
              <w:rPr>
                <w:color w:val="000000" w:themeColor="text1"/>
                <w:sz w:val="22"/>
                <w:szCs w:val="22"/>
              </w:rPr>
            </w:pPr>
            <w:r w:rsidRPr="00E31A5B">
              <w:rPr>
                <w:color w:val="000000" w:themeColor="text1"/>
                <w:sz w:val="22"/>
                <w:szCs w:val="22"/>
              </w:rPr>
              <w:t>198.270</w:t>
            </w:r>
          </w:p>
        </w:tc>
        <w:tc>
          <w:tcPr>
            <w:tcW w:w="1710" w:type="dxa"/>
          </w:tcPr>
          <w:p w14:paraId="35D7A270"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c>
          <w:tcPr>
            <w:tcW w:w="1440" w:type="dxa"/>
          </w:tcPr>
          <w:p w14:paraId="2C7F715D" w14:textId="77777777" w:rsidR="00462BBF" w:rsidRPr="00E31A5B" w:rsidRDefault="00462BBF" w:rsidP="0068330F">
            <w:pPr>
              <w:jc w:val="center"/>
              <w:rPr>
                <w:color w:val="000000" w:themeColor="text1"/>
                <w:sz w:val="22"/>
                <w:szCs w:val="22"/>
              </w:rPr>
            </w:pPr>
            <w:r w:rsidRPr="00E31A5B">
              <w:rPr>
                <w:color w:val="000000" w:themeColor="text1"/>
                <w:sz w:val="22"/>
                <w:szCs w:val="22"/>
              </w:rPr>
              <w:t>152.26000</w:t>
            </w:r>
          </w:p>
        </w:tc>
        <w:tc>
          <w:tcPr>
            <w:tcW w:w="1175" w:type="dxa"/>
          </w:tcPr>
          <w:p w14:paraId="302CCBFC"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r>
      <w:tr w:rsidR="00462BBF" w:rsidRPr="00E31A5B" w14:paraId="096D47C3" w14:textId="77777777" w:rsidTr="00A9142C">
        <w:tc>
          <w:tcPr>
            <w:tcW w:w="1165" w:type="dxa"/>
          </w:tcPr>
          <w:p w14:paraId="59CE7406" w14:textId="77777777" w:rsidR="00462BBF" w:rsidRPr="00E31A5B" w:rsidRDefault="00462BBF" w:rsidP="0068330F">
            <w:pPr>
              <w:jc w:val="center"/>
              <w:rPr>
                <w:color w:val="000000" w:themeColor="text1"/>
                <w:sz w:val="22"/>
                <w:szCs w:val="22"/>
              </w:rPr>
            </w:pPr>
            <w:r w:rsidRPr="00E31A5B">
              <w:rPr>
                <w:color w:val="000000" w:themeColor="text1"/>
                <w:sz w:val="22"/>
                <w:szCs w:val="22"/>
              </w:rPr>
              <w:t>1</w:t>
            </w:r>
          </w:p>
        </w:tc>
        <w:tc>
          <w:tcPr>
            <w:tcW w:w="1710" w:type="dxa"/>
          </w:tcPr>
          <w:p w14:paraId="6045EFEE" w14:textId="77777777" w:rsidR="00462BBF" w:rsidRPr="00E31A5B" w:rsidRDefault="00462BBF" w:rsidP="0068330F">
            <w:pPr>
              <w:jc w:val="center"/>
              <w:rPr>
                <w:color w:val="000000" w:themeColor="text1"/>
                <w:sz w:val="22"/>
                <w:szCs w:val="22"/>
              </w:rPr>
            </w:pPr>
            <w:r w:rsidRPr="00E31A5B">
              <w:rPr>
                <w:color w:val="000000" w:themeColor="text1"/>
                <w:sz w:val="22"/>
                <w:szCs w:val="22"/>
              </w:rPr>
              <w:t>0.922380</w:t>
            </w:r>
          </w:p>
        </w:tc>
        <w:tc>
          <w:tcPr>
            <w:tcW w:w="1710" w:type="dxa"/>
          </w:tcPr>
          <w:p w14:paraId="761270EC" w14:textId="77777777" w:rsidR="00462BBF" w:rsidRPr="00E31A5B" w:rsidRDefault="00462BBF" w:rsidP="0068330F">
            <w:pPr>
              <w:jc w:val="center"/>
              <w:rPr>
                <w:color w:val="000000" w:themeColor="text1"/>
                <w:sz w:val="22"/>
                <w:szCs w:val="22"/>
              </w:rPr>
            </w:pPr>
            <w:r w:rsidRPr="00E31A5B">
              <w:rPr>
                <w:color w:val="000000" w:themeColor="text1"/>
                <w:sz w:val="22"/>
                <w:szCs w:val="22"/>
              </w:rPr>
              <w:t>46.008</w:t>
            </w:r>
          </w:p>
        </w:tc>
        <w:tc>
          <w:tcPr>
            <w:tcW w:w="1710" w:type="dxa"/>
          </w:tcPr>
          <w:p w14:paraId="3C830A6A"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c>
          <w:tcPr>
            <w:tcW w:w="1440" w:type="dxa"/>
          </w:tcPr>
          <w:p w14:paraId="0A3367F1" w14:textId="77777777" w:rsidR="00462BBF" w:rsidRPr="00E31A5B" w:rsidRDefault="00462BBF" w:rsidP="0068330F">
            <w:pPr>
              <w:jc w:val="center"/>
              <w:rPr>
                <w:color w:val="000000" w:themeColor="text1"/>
                <w:sz w:val="22"/>
                <w:szCs w:val="22"/>
              </w:rPr>
            </w:pPr>
            <w:r w:rsidRPr="00E31A5B">
              <w:rPr>
                <w:color w:val="000000" w:themeColor="text1"/>
                <w:sz w:val="22"/>
                <w:szCs w:val="22"/>
              </w:rPr>
              <w:t>46.00800</w:t>
            </w:r>
          </w:p>
        </w:tc>
        <w:tc>
          <w:tcPr>
            <w:tcW w:w="1175" w:type="dxa"/>
          </w:tcPr>
          <w:p w14:paraId="71273D73"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r>
    </w:tbl>
    <w:p w14:paraId="4066B55E" w14:textId="77777777" w:rsidR="00462BBF" w:rsidRPr="00E31A5B" w:rsidRDefault="00462BBF" w:rsidP="0068330F">
      <w:pPr>
        <w:spacing w:after="0" w:line="240" w:lineRule="auto"/>
        <w:rPr>
          <w:rFonts w:ascii="Times New Roman" w:hAnsi="Times New Roman" w:cs="Times New Roman"/>
          <w:color w:val="000000" w:themeColor="text1"/>
          <w:sz w:val="24"/>
          <w:szCs w:val="24"/>
        </w:rPr>
      </w:pPr>
    </w:p>
    <w:p w14:paraId="6052130C" w14:textId="14669E1A" w:rsidR="00462BBF" w:rsidRPr="00E31A5B" w:rsidRDefault="00462BBF" w:rsidP="0068330F">
      <w:pPr>
        <w:pStyle w:val="MyTables"/>
      </w:pPr>
      <w:bookmarkStart w:id="44" w:name="_Toc79604548"/>
      <w:r w:rsidRPr="00E31A5B">
        <w:t xml:space="preserve">Table </w:t>
      </w:r>
      <w:bookmarkEnd w:id="44"/>
      <w:r w:rsidR="00155203">
        <w:t>16</w:t>
      </w:r>
      <w:r w:rsidRPr="00E31A5B">
        <w:t xml:space="preserve"> </w:t>
      </w:r>
    </w:p>
    <w:p w14:paraId="47B18ACD" w14:textId="77777777" w:rsidR="00462BBF" w:rsidRPr="00D53689" w:rsidRDefault="00462BBF" w:rsidP="0068330F">
      <w:pPr>
        <w:pStyle w:val="MyTables"/>
        <w:rPr>
          <w:rFonts w:cs="Times New Roman"/>
          <w:b w:val="0"/>
          <w:bCs w:val="0"/>
          <w:i/>
          <w:szCs w:val="24"/>
        </w:rPr>
      </w:pPr>
      <w:bookmarkStart w:id="45" w:name="_Toc79604549"/>
      <w:r w:rsidRPr="00D53689">
        <w:rPr>
          <w:rFonts w:cs="Times New Roman"/>
          <w:b w:val="0"/>
          <w:bCs w:val="0"/>
          <w:i/>
          <w:szCs w:val="24"/>
        </w:rPr>
        <w:t>JC test results for HDI and IEF with unrestricted constant.</w:t>
      </w:r>
      <w:bookmarkEnd w:id="45"/>
      <w:r w:rsidRPr="00D53689">
        <w:rPr>
          <w:rFonts w:cs="Times New Roman"/>
          <w:b w:val="0"/>
          <w:bCs w:val="0"/>
          <w:i/>
          <w:szCs w:val="24"/>
        </w:rPr>
        <w:t xml:space="preserve"> </w:t>
      </w:r>
    </w:p>
    <w:tbl>
      <w:tblPr>
        <w:tblStyle w:val="TableGrid"/>
        <w:tblW w:w="8910" w:type="dxa"/>
        <w:tblBorders>
          <w:insideV w:val="none" w:sz="0" w:space="0" w:color="auto"/>
        </w:tblBorders>
        <w:tblLayout w:type="fixed"/>
        <w:tblLook w:val="04A0" w:firstRow="1" w:lastRow="0" w:firstColumn="1" w:lastColumn="0" w:noHBand="0" w:noVBand="1"/>
      </w:tblPr>
      <w:tblGrid>
        <w:gridCol w:w="1165"/>
        <w:gridCol w:w="1710"/>
        <w:gridCol w:w="1710"/>
        <w:gridCol w:w="1710"/>
        <w:gridCol w:w="1440"/>
        <w:gridCol w:w="1175"/>
      </w:tblGrid>
      <w:tr w:rsidR="00462BBF" w:rsidRPr="00E31A5B" w14:paraId="6139D113" w14:textId="77777777" w:rsidTr="00A9142C">
        <w:trPr>
          <w:trHeight w:val="431"/>
        </w:trPr>
        <w:tc>
          <w:tcPr>
            <w:tcW w:w="1165" w:type="dxa"/>
            <w:vAlign w:val="center"/>
          </w:tcPr>
          <w:p w14:paraId="0126B357"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Rank</w:t>
            </w:r>
          </w:p>
        </w:tc>
        <w:tc>
          <w:tcPr>
            <w:tcW w:w="1710" w:type="dxa"/>
            <w:vAlign w:val="center"/>
          </w:tcPr>
          <w:p w14:paraId="44BAD46A"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Eigenvalue</w:t>
            </w:r>
          </w:p>
        </w:tc>
        <w:tc>
          <w:tcPr>
            <w:tcW w:w="1710" w:type="dxa"/>
            <w:vAlign w:val="center"/>
          </w:tcPr>
          <w:p w14:paraId="4E73CF1C"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Trace Test</w:t>
            </w:r>
          </w:p>
        </w:tc>
        <w:tc>
          <w:tcPr>
            <w:tcW w:w="1710" w:type="dxa"/>
            <w:vAlign w:val="center"/>
          </w:tcPr>
          <w:p w14:paraId="4BDD39FE"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(Trace)</w:t>
            </w:r>
          </w:p>
        </w:tc>
        <w:tc>
          <w:tcPr>
            <w:tcW w:w="1440" w:type="dxa"/>
            <w:vAlign w:val="center"/>
          </w:tcPr>
          <w:p w14:paraId="0106906E"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Lmax Test</w:t>
            </w:r>
          </w:p>
        </w:tc>
        <w:tc>
          <w:tcPr>
            <w:tcW w:w="1175" w:type="dxa"/>
            <w:vAlign w:val="center"/>
          </w:tcPr>
          <w:p w14:paraId="73DF868D"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(Lmax)</w:t>
            </w:r>
          </w:p>
        </w:tc>
      </w:tr>
      <w:tr w:rsidR="00462BBF" w:rsidRPr="00E31A5B" w14:paraId="439E36D9" w14:textId="77777777" w:rsidTr="00A9142C">
        <w:tc>
          <w:tcPr>
            <w:tcW w:w="1165" w:type="dxa"/>
          </w:tcPr>
          <w:p w14:paraId="0216A30B" w14:textId="77777777" w:rsidR="00462BBF" w:rsidRPr="00E31A5B" w:rsidRDefault="00462BBF" w:rsidP="0068330F">
            <w:pPr>
              <w:jc w:val="center"/>
              <w:rPr>
                <w:color w:val="000000" w:themeColor="text1"/>
                <w:sz w:val="22"/>
                <w:szCs w:val="22"/>
              </w:rPr>
            </w:pPr>
            <w:r w:rsidRPr="00E31A5B">
              <w:rPr>
                <w:color w:val="000000" w:themeColor="text1"/>
                <w:sz w:val="22"/>
                <w:szCs w:val="22"/>
              </w:rPr>
              <w:t>0</w:t>
            </w:r>
          </w:p>
        </w:tc>
        <w:tc>
          <w:tcPr>
            <w:tcW w:w="1710" w:type="dxa"/>
          </w:tcPr>
          <w:p w14:paraId="39798801" w14:textId="77777777" w:rsidR="00462BBF" w:rsidRPr="00E31A5B" w:rsidRDefault="00462BBF" w:rsidP="0068330F">
            <w:pPr>
              <w:jc w:val="center"/>
              <w:rPr>
                <w:color w:val="000000" w:themeColor="text1"/>
                <w:sz w:val="22"/>
                <w:szCs w:val="22"/>
              </w:rPr>
            </w:pPr>
            <w:r w:rsidRPr="00E31A5B">
              <w:rPr>
                <w:color w:val="000000" w:themeColor="text1"/>
                <w:sz w:val="22"/>
                <w:szCs w:val="22"/>
              </w:rPr>
              <w:t>0.809060</w:t>
            </w:r>
          </w:p>
        </w:tc>
        <w:tc>
          <w:tcPr>
            <w:tcW w:w="1710" w:type="dxa"/>
          </w:tcPr>
          <w:p w14:paraId="06637240" w14:textId="77777777" w:rsidR="00462BBF" w:rsidRPr="00E31A5B" w:rsidRDefault="00462BBF" w:rsidP="0068330F">
            <w:pPr>
              <w:jc w:val="center"/>
              <w:rPr>
                <w:color w:val="000000" w:themeColor="text1"/>
                <w:sz w:val="22"/>
                <w:szCs w:val="22"/>
              </w:rPr>
            </w:pPr>
            <w:r w:rsidRPr="00E31A5B">
              <w:rPr>
                <w:color w:val="000000" w:themeColor="text1"/>
                <w:sz w:val="22"/>
                <w:szCs w:val="22"/>
              </w:rPr>
              <w:t>30.323</w:t>
            </w:r>
          </w:p>
        </w:tc>
        <w:tc>
          <w:tcPr>
            <w:tcW w:w="1710" w:type="dxa"/>
          </w:tcPr>
          <w:p w14:paraId="3022AA3D" w14:textId="77777777" w:rsidR="00462BBF" w:rsidRPr="00E31A5B" w:rsidRDefault="00462BBF" w:rsidP="0068330F">
            <w:pPr>
              <w:jc w:val="center"/>
              <w:rPr>
                <w:color w:val="000000" w:themeColor="text1"/>
                <w:sz w:val="22"/>
                <w:szCs w:val="22"/>
              </w:rPr>
            </w:pPr>
            <w:r w:rsidRPr="00E31A5B">
              <w:rPr>
                <w:color w:val="000000" w:themeColor="text1"/>
                <w:sz w:val="22"/>
                <w:szCs w:val="22"/>
              </w:rPr>
              <w:t>[0.0001]</w:t>
            </w:r>
          </w:p>
        </w:tc>
        <w:tc>
          <w:tcPr>
            <w:tcW w:w="1440" w:type="dxa"/>
          </w:tcPr>
          <w:p w14:paraId="3CE9A759" w14:textId="77777777" w:rsidR="00462BBF" w:rsidRPr="00E31A5B" w:rsidRDefault="00462BBF" w:rsidP="0068330F">
            <w:pPr>
              <w:jc w:val="center"/>
              <w:rPr>
                <w:color w:val="000000" w:themeColor="text1"/>
                <w:sz w:val="22"/>
                <w:szCs w:val="22"/>
              </w:rPr>
            </w:pPr>
            <w:r w:rsidRPr="00E31A5B">
              <w:rPr>
                <w:color w:val="000000" w:themeColor="text1"/>
                <w:sz w:val="22"/>
                <w:szCs w:val="22"/>
              </w:rPr>
              <w:t>29.80400</w:t>
            </w:r>
          </w:p>
        </w:tc>
        <w:tc>
          <w:tcPr>
            <w:tcW w:w="1175" w:type="dxa"/>
          </w:tcPr>
          <w:p w14:paraId="6AC5DC38"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r>
      <w:tr w:rsidR="00462BBF" w:rsidRPr="00E31A5B" w14:paraId="60C74C44" w14:textId="77777777" w:rsidTr="00A9142C">
        <w:tc>
          <w:tcPr>
            <w:tcW w:w="1165" w:type="dxa"/>
          </w:tcPr>
          <w:p w14:paraId="27AAE8E4" w14:textId="77777777" w:rsidR="00462BBF" w:rsidRPr="00E31A5B" w:rsidRDefault="00462BBF" w:rsidP="0068330F">
            <w:pPr>
              <w:jc w:val="center"/>
              <w:rPr>
                <w:color w:val="000000" w:themeColor="text1"/>
                <w:sz w:val="22"/>
                <w:szCs w:val="22"/>
              </w:rPr>
            </w:pPr>
            <w:r w:rsidRPr="00E31A5B">
              <w:rPr>
                <w:color w:val="000000" w:themeColor="text1"/>
                <w:sz w:val="22"/>
                <w:szCs w:val="22"/>
              </w:rPr>
              <w:t>1</w:t>
            </w:r>
          </w:p>
        </w:tc>
        <w:tc>
          <w:tcPr>
            <w:tcW w:w="1710" w:type="dxa"/>
          </w:tcPr>
          <w:p w14:paraId="62B5464C" w14:textId="77777777" w:rsidR="00462BBF" w:rsidRPr="00E31A5B" w:rsidRDefault="00462BBF" w:rsidP="0068330F">
            <w:pPr>
              <w:jc w:val="center"/>
              <w:rPr>
                <w:color w:val="000000" w:themeColor="text1"/>
                <w:sz w:val="22"/>
                <w:szCs w:val="22"/>
              </w:rPr>
            </w:pPr>
            <w:r w:rsidRPr="00E31A5B">
              <w:rPr>
                <w:color w:val="000000" w:themeColor="text1"/>
                <w:sz w:val="22"/>
                <w:szCs w:val="22"/>
              </w:rPr>
              <w:t>0.028422</w:t>
            </w:r>
          </w:p>
        </w:tc>
        <w:tc>
          <w:tcPr>
            <w:tcW w:w="1710" w:type="dxa"/>
          </w:tcPr>
          <w:p w14:paraId="5F56B8C9" w14:textId="77777777" w:rsidR="00462BBF" w:rsidRPr="00E31A5B" w:rsidRDefault="00462BBF" w:rsidP="0068330F">
            <w:pPr>
              <w:jc w:val="center"/>
              <w:rPr>
                <w:color w:val="000000" w:themeColor="text1"/>
                <w:sz w:val="22"/>
                <w:szCs w:val="22"/>
              </w:rPr>
            </w:pPr>
            <w:r w:rsidRPr="00E31A5B">
              <w:rPr>
                <w:color w:val="000000" w:themeColor="text1"/>
                <w:sz w:val="22"/>
                <w:szCs w:val="22"/>
              </w:rPr>
              <w:t>0.519</w:t>
            </w:r>
          </w:p>
        </w:tc>
        <w:tc>
          <w:tcPr>
            <w:tcW w:w="1710" w:type="dxa"/>
          </w:tcPr>
          <w:p w14:paraId="1CFBD56F" w14:textId="77777777" w:rsidR="00462BBF" w:rsidRPr="00E31A5B" w:rsidRDefault="00462BBF" w:rsidP="0068330F">
            <w:pPr>
              <w:jc w:val="center"/>
              <w:rPr>
                <w:color w:val="000000" w:themeColor="text1"/>
                <w:sz w:val="22"/>
                <w:szCs w:val="22"/>
              </w:rPr>
            </w:pPr>
            <w:r w:rsidRPr="00E31A5B">
              <w:rPr>
                <w:color w:val="000000" w:themeColor="text1"/>
                <w:sz w:val="22"/>
                <w:szCs w:val="22"/>
              </w:rPr>
              <w:t>[0.4713]</w:t>
            </w:r>
          </w:p>
        </w:tc>
        <w:tc>
          <w:tcPr>
            <w:tcW w:w="1440" w:type="dxa"/>
          </w:tcPr>
          <w:p w14:paraId="0437B1B5" w14:textId="77777777" w:rsidR="00462BBF" w:rsidRPr="00E31A5B" w:rsidRDefault="00462BBF" w:rsidP="0068330F">
            <w:pPr>
              <w:jc w:val="center"/>
              <w:rPr>
                <w:color w:val="000000" w:themeColor="text1"/>
                <w:sz w:val="22"/>
                <w:szCs w:val="22"/>
              </w:rPr>
            </w:pPr>
            <w:r w:rsidRPr="00E31A5B">
              <w:rPr>
                <w:color w:val="000000" w:themeColor="text1"/>
                <w:sz w:val="22"/>
                <w:szCs w:val="22"/>
              </w:rPr>
              <w:t>0.51900</w:t>
            </w:r>
          </w:p>
        </w:tc>
        <w:tc>
          <w:tcPr>
            <w:tcW w:w="1175" w:type="dxa"/>
          </w:tcPr>
          <w:p w14:paraId="67A930F0" w14:textId="77777777" w:rsidR="00462BBF" w:rsidRPr="00E31A5B" w:rsidRDefault="00462BBF" w:rsidP="0068330F">
            <w:pPr>
              <w:jc w:val="center"/>
              <w:rPr>
                <w:color w:val="000000" w:themeColor="text1"/>
                <w:sz w:val="22"/>
                <w:szCs w:val="22"/>
              </w:rPr>
            </w:pPr>
            <w:r w:rsidRPr="00E31A5B">
              <w:rPr>
                <w:color w:val="000000" w:themeColor="text1"/>
                <w:sz w:val="22"/>
                <w:szCs w:val="22"/>
              </w:rPr>
              <w:t>[0.4713]</w:t>
            </w:r>
          </w:p>
        </w:tc>
      </w:tr>
    </w:tbl>
    <w:p w14:paraId="58C5A7D1" w14:textId="77777777" w:rsidR="00462BBF" w:rsidRPr="00E31A5B" w:rsidRDefault="00462BBF" w:rsidP="0068330F">
      <w:pPr>
        <w:spacing w:after="0" w:line="240" w:lineRule="auto"/>
        <w:rPr>
          <w:rFonts w:ascii="Times New Roman" w:hAnsi="Times New Roman" w:cs="Times New Roman"/>
          <w:color w:val="000000" w:themeColor="text1"/>
        </w:rPr>
      </w:pPr>
    </w:p>
    <w:p w14:paraId="31C3D1F8" w14:textId="24C9D8DE" w:rsidR="00462BBF" w:rsidRPr="00E31A5B" w:rsidRDefault="00462BBF" w:rsidP="0068330F">
      <w:pPr>
        <w:pStyle w:val="MyTables"/>
      </w:pPr>
      <w:bookmarkStart w:id="46" w:name="_Toc79604550"/>
      <w:r w:rsidRPr="00E31A5B">
        <w:lastRenderedPageBreak/>
        <w:t xml:space="preserve">Table </w:t>
      </w:r>
      <w:bookmarkEnd w:id="46"/>
      <w:r w:rsidR="00155203">
        <w:t>17</w:t>
      </w:r>
      <w:r w:rsidRPr="00E31A5B">
        <w:t xml:space="preserve"> </w:t>
      </w:r>
    </w:p>
    <w:p w14:paraId="405AF727" w14:textId="77777777" w:rsidR="00462BBF" w:rsidRPr="00D53689" w:rsidRDefault="00462BBF" w:rsidP="0068330F">
      <w:pPr>
        <w:pStyle w:val="MyTables"/>
        <w:rPr>
          <w:rFonts w:cs="Times New Roman"/>
          <w:b w:val="0"/>
          <w:bCs w:val="0"/>
          <w:i/>
          <w:szCs w:val="24"/>
        </w:rPr>
      </w:pPr>
      <w:bookmarkStart w:id="47" w:name="_Toc79604551"/>
      <w:r w:rsidRPr="00D53689">
        <w:rPr>
          <w:rFonts w:cs="Times New Roman"/>
          <w:b w:val="0"/>
          <w:bCs w:val="0"/>
          <w:i/>
          <w:szCs w:val="24"/>
        </w:rPr>
        <w:t>JC test results for HDI and IEF with unrestricted constant and trend.</w:t>
      </w:r>
      <w:bookmarkEnd w:id="47"/>
    </w:p>
    <w:tbl>
      <w:tblPr>
        <w:tblStyle w:val="TableGrid"/>
        <w:tblW w:w="8910" w:type="dxa"/>
        <w:tblBorders>
          <w:insideV w:val="none" w:sz="0" w:space="0" w:color="auto"/>
        </w:tblBorders>
        <w:tblLayout w:type="fixed"/>
        <w:tblLook w:val="04A0" w:firstRow="1" w:lastRow="0" w:firstColumn="1" w:lastColumn="0" w:noHBand="0" w:noVBand="1"/>
      </w:tblPr>
      <w:tblGrid>
        <w:gridCol w:w="1165"/>
        <w:gridCol w:w="1710"/>
        <w:gridCol w:w="1710"/>
        <w:gridCol w:w="1710"/>
        <w:gridCol w:w="1440"/>
        <w:gridCol w:w="1175"/>
      </w:tblGrid>
      <w:tr w:rsidR="00462BBF" w:rsidRPr="00E31A5B" w14:paraId="22E1966A" w14:textId="77777777" w:rsidTr="00A9142C">
        <w:trPr>
          <w:trHeight w:val="431"/>
        </w:trPr>
        <w:tc>
          <w:tcPr>
            <w:tcW w:w="1165" w:type="dxa"/>
            <w:vAlign w:val="center"/>
          </w:tcPr>
          <w:p w14:paraId="7CC867C2"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Rank</w:t>
            </w:r>
          </w:p>
        </w:tc>
        <w:tc>
          <w:tcPr>
            <w:tcW w:w="1710" w:type="dxa"/>
            <w:vAlign w:val="center"/>
          </w:tcPr>
          <w:p w14:paraId="2F418074"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Eigenvalue</w:t>
            </w:r>
          </w:p>
        </w:tc>
        <w:tc>
          <w:tcPr>
            <w:tcW w:w="1710" w:type="dxa"/>
            <w:vAlign w:val="center"/>
          </w:tcPr>
          <w:p w14:paraId="7EE9A918"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Trace Test</w:t>
            </w:r>
          </w:p>
        </w:tc>
        <w:tc>
          <w:tcPr>
            <w:tcW w:w="1710" w:type="dxa"/>
            <w:vAlign w:val="center"/>
          </w:tcPr>
          <w:p w14:paraId="6508FE72"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(Trace)</w:t>
            </w:r>
          </w:p>
        </w:tc>
        <w:tc>
          <w:tcPr>
            <w:tcW w:w="1440" w:type="dxa"/>
            <w:vAlign w:val="center"/>
          </w:tcPr>
          <w:p w14:paraId="251637A7"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Lmax Test</w:t>
            </w:r>
          </w:p>
        </w:tc>
        <w:tc>
          <w:tcPr>
            <w:tcW w:w="1175" w:type="dxa"/>
            <w:vAlign w:val="center"/>
          </w:tcPr>
          <w:p w14:paraId="6061CC25"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p-value (Lmax)</w:t>
            </w:r>
          </w:p>
        </w:tc>
      </w:tr>
      <w:tr w:rsidR="00462BBF" w:rsidRPr="00E31A5B" w14:paraId="28997CA1" w14:textId="77777777" w:rsidTr="00A9142C">
        <w:tc>
          <w:tcPr>
            <w:tcW w:w="1165" w:type="dxa"/>
          </w:tcPr>
          <w:p w14:paraId="4354145C" w14:textId="77777777" w:rsidR="00462BBF" w:rsidRPr="00E31A5B" w:rsidRDefault="00462BBF" w:rsidP="0068330F">
            <w:pPr>
              <w:jc w:val="center"/>
              <w:rPr>
                <w:color w:val="000000" w:themeColor="text1"/>
                <w:sz w:val="22"/>
                <w:szCs w:val="22"/>
              </w:rPr>
            </w:pPr>
            <w:r w:rsidRPr="00E31A5B">
              <w:rPr>
                <w:color w:val="000000" w:themeColor="text1"/>
                <w:sz w:val="22"/>
                <w:szCs w:val="22"/>
              </w:rPr>
              <w:t>0</w:t>
            </w:r>
          </w:p>
        </w:tc>
        <w:tc>
          <w:tcPr>
            <w:tcW w:w="1710" w:type="dxa"/>
          </w:tcPr>
          <w:p w14:paraId="0B9DDB93" w14:textId="77777777" w:rsidR="00462BBF" w:rsidRPr="00E31A5B" w:rsidRDefault="00462BBF" w:rsidP="0068330F">
            <w:pPr>
              <w:jc w:val="center"/>
              <w:rPr>
                <w:color w:val="000000" w:themeColor="text1"/>
                <w:sz w:val="22"/>
                <w:szCs w:val="22"/>
              </w:rPr>
            </w:pPr>
            <w:r w:rsidRPr="00E31A5B">
              <w:rPr>
                <w:color w:val="000000" w:themeColor="text1"/>
                <w:sz w:val="22"/>
                <w:szCs w:val="22"/>
              </w:rPr>
              <w:t>0.906690</w:t>
            </w:r>
          </w:p>
        </w:tc>
        <w:tc>
          <w:tcPr>
            <w:tcW w:w="1710" w:type="dxa"/>
          </w:tcPr>
          <w:p w14:paraId="41FD5B30" w14:textId="77777777" w:rsidR="00462BBF" w:rsidRPr="00E31A5B" w:rsidRDefault="00462BBF" w:rsidP="0068330F">
            <w:pPr>
              <w:jc w:val="center"/>
              <w:rPr>
                <w:color w:val="000000" w:themeColor="text1"/>
                <w:sz w:val="22"/>
                <w:szCs w:val="22"/>
              </w:rPr>
            </w:pPr>
            <w:r w:rsidRPr="00E31A5B">
              <w:rPr>
                <w:color w:val="000000" w:themeColor="text1"/>
                <w:sz w:val="22"/>
                <w:szCs w:val="22"/>
              </w:rPr>
              <w:t>47.347</w:t>
            </w:r>
          </w:p>
        </w:tc>
        <w:tc>
          <w:tcPr>
            <w:tcW w:w="1710" w:type="dxa"/>
          </w:tcPr>
          <w:p w14:paraId="2FA0108A"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c>
          <w:tcPr>
            <w:tcW w:w="1440" w:type="dxa"/>
          </w:tcPr>
          <w:p w14:paraId="2AA73847" w14:textId="77777777" w:rsidR="00462BBF" w:rsidRPr="00E31A5B" w:rsidRDefault="00462BBF" w:rsidP="0068330F">
            <w:pPr>
              <w:jc w:val="center"/>
              <w:rPr>
                <w:color w:val="000000" w:themeColor="text1"/>
                <w:sz w:val="22"/>
                <w:szCs w:val="22"/>
              </w:rPr>
            </w:pPr>
            <w:r w:rsidRPr="00E31A5B">
              <w:rPr>
                <w:color w:val="000000" w:themeColor="text1"/>
                <w:sz w:val="22"/>
                <w:szCs w:val="22"/>
              </w:rPr>
              <w:t>42.69300</w:t>
            </w:r>
          </w:p>
        </w:tc>
        <w:tc>
          <w:tcPr>
            <w:tcW w:w="1175" w:type="dxa"/>
          </w:tcPr>
          <w:p w14:paraId="6C26D3D5" w14:textId="77777777" w:rsidR="00462BBF" w:rsidRPr="00E31A5B" w:rsidRDefault="00462BBF" w:rsidP="0068330F">
            <w:pPr>
              <w:jc w:val="center"/>
              <w:rPr>
                <w:color w:val="000000" w:themeColor="text1"/>
                <w:sz w:val="22"/>
                <w:szCs w:val="22"/>
              </w:rPr>
            </w:pPr>
            <w:r w:rsidRPr="00E31A5B">
              <w:rPr>
                <w:color w:val="000000" w:themeColor="text1"/>
                <w:sz w:val="22"/>
                <w:szCs w:val="22"/>
              </w:rPr>
              <w:t>[0.0000]</w:t>
            </w:r>
          </w:p>
        </w:tc>
      </w:tr>
      <w:tr w:rsidR="00462BBF" w:rsidRPr="00E31A5B" w14:paraId="477DC478" w14:textId="77777777" w:rsidTr="00A9142C">
        <w:tc>
          <w:tcPr>
            <w:tcW w:w="1165" w:type="dxa"/>
          </w:tcPr>
          <w:p w14:paraId="234EF5D8" w14:textId="77777777" w:rsidR="00462BBF" w:rsidRPr="00E31A5B" w:rsidRDefault="00462BBF" w:rsidP="0068330F">
            <w:pPr>
              <w:jc w:val="center"/>
              <w:rPr>
                <w:color w:val="000000" w:themeColor="text1"/>
                <w:sz w:val="22"/>
                <w:szCs w:val="22"/>
              </w:rPr>
            </w:pPr>
            <w:r w:rsidRPr="00E31A5B">
              <w:rPr>
                <w:color w:val="000000" w:themeColor="text1"/>
                <w:sz w:val="22"/>
                <w:szCs w:val="22"/>
              </w:rPr>
              <w:t>1</w:t>
            </w:r>
          </w:p>
        </w:tc>
        <w:tc>
          <w:tcPr>
            <w:tcW w:w="1710" w:type="dxa"/>
          </w:tcPr>
          <w:p w14:paraId="273A32A4" w14:textId="77777777" w:rsidR="00462BBF" w:rsidRPr="00E31A5B" w:rsidRDefault="00462BBF" w:rsidP="0068330F">
            <w:pPr>
              <w:jc w:val="center"/>
              <w:rPr>
                <w:color w:val="000000" w:themeColor="text1"/>
                <w:sz w:val="22"/>
                <w:szCs w:val="22"/>
              </w:rPr>
            </w:pPr>
            <w:r w:rsidRPr="00E31A5B">
              <w:rPr>
                <w:color w:val="000000" w:themeColor="text1"/>
                <w:sz w:val="22"/>
                <w:szCs w:val="22"/>
              </w:rPr>
              <w:t>0.227830</w:t>
            </w:r>
          </w:p>
        </w:tc>
        <w:tc>
          <w:tcPr>
            <w:tcW w:w="1710" w:type="dxa"/>
          </w:tcPr>
          <w:p w14:paraId="7EB588E1" w14:textId="77777777" w:rsidR="00462BBF" w:rsidRPr="00E31A5B" w:rsidRDefault="00462BBF" w:rsidP="0068330F">
            <w:pPr>
              <w:jc w:val="center"/>
              <w:rPr>
                <w:color w:val="000000" w:themeColor="text1"/>
                <w:sz w:val="22"/>
                <w:szCs w:val="22"/>
              </w:rPr>
            </w:pPr>
            <w:r w:rsidRPr="00E31A5B">
              <w:rPr>
                <w:color w:val="000000" w:themeColor="text1"/>
                <w:sz w:val="22"/>
                <w:szCs w:val="22"/>
              </w:rPr>
              <w:t>4.6539</w:t>
            </w:r>
          </w:p>
        </w:tc>
        <w:tc>
          <w:tcPr>
            <w:tcW w:w="1710" w:type="dxa"/>
          </w:tcPr>
          <w:p w14:paraId="15510EA3" w14:textId="77777777" w:rsidR="00462BBF" w:rsidRPr="00E31A5B" w:rsidRDefault="00462BBF" w:rsidP="0068330F">
            <w:pPr>
              <w:jc w:val="center"/>
              <w:rPr>
                <w:color w:val="000000" w:themeColor="text1"/>
                <w:sz w:val="22"/>
                <w:szCs w:val="22"/>
              </w:rPr>
            </w:pPr>
            <w:r w:rsidRPr="00E31A5B">
              <w:rPr>
                <w:color w:val="000000" w:themeColor="text1"/>
                <w:sz w:val="22"/>
                <w:szCs w:val="22"/>
              </w:rPr>
              <w:t>[0.0310]</w:t>
            </w:r>
          </w:p>
        </w:tc>
        <w:tc>
          <w:tcPr>
            <w:tcW w:w="1440" w:type="dxa"/>
          </w:tcPr>
          <w:p w14:paraId="61AB3018" w14:textId="77777777" w:rsidR="00462BBF" w:rsidRPr="00E31A5B" w:rsidRDefault="00462BBF" w:rsidP="0068330F">
            <w:pPr>
              <w:jc w:val="center"/>
              <w:rPr>
                <w:color w:val="000000" w:themeColor="text1"/>
                <w:sz w:val="22"/>
                <w:szCs w:val="22"/>
              </w:rPr>
            </w:pPr>
            <w:r w:rsidRPr="00E31A5B">
              <w:rPr>
                <w:color w:val="000000" w:themeColor="text1"/>
                <w:sz w:val="22"/>
                <w:szCs w:val="22"/>
              </w:rPr>
              <w:t>4.65390</w:t>
            </w:r>
          </w:p>
        </w:tc>
        <w:tc>
          <w:tcPr>
            <w:tcW w:w="1175" w:type="dxa"/>
          </w:tcPr>
          <w:p w14:paraId="7F61015A" w14:textId="77777777" w:rsidR="00462BBF" w:rsidRPr="00E31A5B" w:rsidRDefault="00462BBF" w:rsidP="0068330F">
            <w:pPr>
              <w:jc w:val="center"/>
              <w:rPr>
                <w:color w:val="000000" w:themeColor="text1"/>
                <w:sz w:val="22"/>
                <w:szCs w:val="22"/>
              </w:rPr>
            </w:pPr>
            <w:r w:rsidRPr="00E31A5B">
              <w:rPr>
                <w:color w:val="000000" w:themeColor="text1"/>
                <w:sz w:val="22"/>
                <w:szCs w:val="22"/>
              </w:rPr>
              <w:t>[0.0310]</w:t>
            </w:r>
          </w:p>
        </w:tc>
      </w:tr>
    </w:tbl>
    <w:p w14:paraId="3EE7034A" w14:textId="77777777" w:rsidR="00462BBF" w:rsidRPr="00E31A5B" w:rsidRDefault="00462BBF" w:rsidP="0068330F">
      <w:pPr>
        <w:spacing w:after="0" w:line="240" w:lineRule="auto"/>
        <w:rPr>
          <w:rFonts w:ascii="Times New Roman" w:hAnsi="Times New Roman" w:cs="Times New Roman"/>
          <w:color w:val="000000" w:themeColor="text1"/>
          <w:sz w:val="24"/>
          <w:szCs w:val="24"/>
        </w:rPr>
      </w:pPr>
    </w:p>
    <w:p w14:paraId="19CDEFFD" w14:textId="04C0DC78" w:rsidR="00462BBF" w:rsidRPr="00E31A5B" w:rsidRDefault="00462BBF" w:rsidP="0068330F">
      <w:pPr>
        <w:pStyle w:val="MyTables"/>
      </w:pPr>
      <w:bookmarkStart w:id="48" w:name="_Toc79604562"/>
      <w:r w:rsidRPr="00155203">
        <w:t xml:space="preserve">Table </w:t>
      </w:r>
      <w:bookmarkEnd w:id="48"/>
      <w:r w:rsidR="00155203" w:rsidRPr="00155203">
        <w:t>18</w:t>
      </w:r>
      <w:r w:rsidRPr="00E31A5B">
        <w:t xml:space="preserve"> </w:t>
      </w:r>
    </w:p>
    <w:p w14:paraId="0C7C6A18" w14:textId="77777777" w:rsidR="00462BBF" w:rsidRPr="00087FEF" w:rsidRDefault="00462BBF" w:rsidP="0068330F">
      <w:pPr>
        <w:pStyle w:val="MyTables"/>
        <w:rPr>
          <w:rFonts w:cs="Times New Roman"/>
          <w:b w:val="0"/>
          <w:bCs w:val="0"/>
          <w:i/>
          <w:szCs w:val="24"/>
        </w:rPr>
      </w:pPr>
      <w:bookmarkStart w:id="49" w:name="_Toc79604563"/>
      <w:r w:rsidRPr="00087FEF">
        <w:rPr>
          <w:rFonts w:cs="Times New Roman"/>
          <w:b w:val="0"/>
          <w:bCs w:val="0"/>
          <w:i/>
          <w:szCs w:val="24"/>
        </w:rPr>
        <w:t>Summary of GDP and growth indicators paired variables JC testing.</w:t>
      </w:r>
      <w:bookmarkEnd w:id="49"/>
    </w:p>
    <w:tbl>
      <w:tblPr>
        <w:tblStyle w:val="TableGrid"/>
        <w:tblW w:w="7915" w:type="dxa"/>
        <w:tblBorders>
          <w:insideV w:val="none" w:sz="0" w:space="0" w:color="auto"/>
        </w:tblBorders>
        <w:tblLayout w:type="fixed"/>
        <w:tblLook w:val="04A0" w:firstRow="1" w:lastRow="0" w:firstColumn="1" w:lastColumn="0" w:noHBand="0" w:noVBand="1"/>
      </w:tblPr>
      <w:tblGrid>
        <w:gridCol w:w="1885"/>
        <w:gridCol w:w="3600"/>
        <w:gridCol w:w="2430"/>
      </w:tblGrid>
      <w:tr w:rsidR="00462BBF" w:rsidRPr="00E31A5B" w14:paraId="3C3D3987" w14:textId="77777777" w:rsidTr="00A9142C">
        <w:trPr>
          <w:trHeight w:val="431"/>
        </w:trPr>
        <w:tc>
          <w:tcPr>
            <w:tcW w:w="1885" w:type="dxa"/>
            <w:vAlign w:val="center"/>
          </w:tcPr>
          <w:p w14:paraId="1BFEE281"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Variables</w:t>
            </w:r>
          </w:p>
        </w:tc>
        <w:tc>
          <w:tcPr>
            <w:tcW w:w="3600" w:type="dxa"/>
            <w:vAlign w:val="center"/>
          </w:tcPr>
          <w:p w14:paraId="1C4422CB"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Scenario</w:t>
            </w:r>
          </w:p>
        </w:tc>
        <w:tc>
          <w:tcPr>
            <w:tcW w:w="2430" w:type="dxa"/>
            <w:vAlign w:val="center"/>
          </w:tcPr>
          <w:p w14:paraId="7CF7747F"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Cointegrated?</w:t>
            </w:r>
          </w:p>
        </w:tc>
      </w:tr>
      <w:tr w:rsidR="00462BBF" w:rsidRPr="00E31A5B" w14:paraId="5B5CE3DF" w14:textId="77777777" w:rsidTr="00A9142C">
        <w:tc>
          <w:tcPr>
            <w:tcW w:w="1885" w:type="dxa"/>
            <w:vMerge w:val="restart"/>
            <w:vAlign w:val="center"/>
          </w:tcPr>
          <w:p w14:paraId="13D4C098" w14:textId="77777777" w:rsidR="00462BBF" w:rsidRPr="00E31A5B" w:rsidRDefault="00462BBF" w:rsidP="0068330F">
            <w:pPr>
              <w:jc w:val="center"/>
              <w:rPr>
                <w:color w:val="000000" w:themeColor="text1"/>
                <w:sz w:val="22"/>
                <w:szCs w:val="22"/>
              </w:rPr>
            </w:pPr>
            <w:r w:rsidRPr="00E31A5B">
              <w:rPr>
                <w:color w:val="000000" w:themeColor="text1"/>
                <w:sz w:val="22"/>
                <w:szCs w:val="22"/>
              </w:rPr>
              <w:t>GDPpc vs GNDIpc</w:t>
            </w:r>
          </w:p>
        </w:tc>
        <w:tc>
          <w:tcPr>
            <w:tcW w:w="3600" w:type="dxa"/>
            <w:vAlign w:val="center"/>
          </w:tcPr>
          <w:p w14:paraId="63ED44CF" w14:textId="77777777" w:rsidR="00462BBF" w:rsidRPr="00E31A5B" w:rsidRDefault="00462BBF" w:rsidP="0068330F">
            <w:pPr>
              <w:jc w:val="center"/>
              <w:rPr>
                <w:color w:val="000000" w:themeColor="text1"/>
                <w:sz w:val="22"/>
                <w:szCs w:val="22"/>
              </w:rPr>
            </w:pPr>
            <w:r w:rsidRPr="00E31A5B">
              <w:rPr>
                <w:color w:val="000000" w:themeColor="text1"/>
                <w:sz w:val="22"/>
                <w:szCs w:val="22"/>
              </w:rPr>
              <w:t>No constant</w:t>
            </w:r>
          </w:p>
        </w:tc>
        <w:tc>
          <w:tcPr>
            <w:tcW w:w="2430" w:type="dxa"/>
            <w:vAlign w:val="center"/>
          </w:tcPr>
          <w:p w14:paraId="20759EE1" w14:textId="77777777" w:rsidR="00462BBF" w:rsidRPr="00E31A5B" w:rsidRDefault="00462BBF" w:rsidP="0068330F">
            <w:pPr>
              <w:jc w:val="center"/>
              <w:rPr>
                <w:color w:val="000000" w:themeColor="text1"/>
                <w:sz w:val="22"/>
                <w:szCs w:val="22"/>
              </w:rPr>
            </w:pPr>
            <w:r w:rsidRPr="00E31A5B">
              <w:rPr>
                <w:color w:val="000000" w:themeColor="text1"/>
                <w:sz w:val="22"/>
                <w:szCs w:val="22"/>
              </w:rPr>
              <w:t>No</w:t>
            </w:r>
          </w:p>
        </w:tc>
      </w:tr>
      <w:tr w:rsidR="00462BBF" w:rsidRPr="00E31A5B" w14:paraId="6C19B87A" w14:textId="77777777" w:rsidTr="00A9142C">
        <w:tc>
          <w:tcPr>
            <w:tcW w:w="1885" w:type="dxa"/>
            <w:vMerge/>
            <w:vAlign w:val="center"/>
          </w:tcPr>
          <w:p w14:paraId="159EBC74" w14:textId="77777777" w:rsidR="00462BBF" w:rsidRPr="00E31A5B" w:rsidRDefault="00462BBF" w:rsidP="0068330F">
            <w:pPr>
              <w:jc w:val="center"/>
              <w:rPr>
                <w:color w:val="000000" w:themeColor="text1"/>
                <w:sz w:val="22"/>
                <w:szCs w:val="22"/>
              </w:rPr>
            </w:pPr>
          </w:p>
        </w:tc>
        <w:tc>
          <w:tcPr>
            <w:tcW w:w="3600" w:type="dxa"/>
            <w:vAlign w:val="center"/>
          </w:tcPr>
          <w:p w14:paraId="05B06AD6" w14:textId="77777777" w:rsidR="00462BBF" w:rsidRPr="00E31A5B" w:rsidRDefault="00462BBF" w:rsidP="0068330F">
            <w:pPr>
              <w:jc w:val="center"/>
              <w:rPr>
                <w:color w:val="000000" w:themeColor="text1"/>
                <w:sz w:val="22"/>
                <w:szCs w:val="22"/>
              </w:rPr>
            </w:pPr>
            <w:r w:rsidRPr="00E31A5B">
              <w:rPr>
                <w:color w:val="000000" w:themeColor="text1"/>
                <w:sz w:val="22"/>
                <w:szCs w:val="22"/>
              </w:rPr>
              <w:t xml:space="preserve">Restricted constant </w:t>
            </w:r>
          </w:p>
        </w:tc>
        <w:tc>
          <w:tcPr>
            <w:tcW w:w="2430" w:type="dxa"/>
            <w:vAlign w:val="center"/>
          </w:tcPr>
          <w:p w14:paraId="5BFF4C29"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39B1AD91" w14:textId="77777777" w:rsidTr="00A9142C">
        <w:tc>
          <w:tcPr>
            <w:tcW w:w="1885" w:type="dxa"/>
            <w:vMerge/>
            <w:vAlign w:val="center"/>
          </w:tcPr>
          <w:p w14:paraId="31C71CA1" w14:textId="77777777" w:rsidR="00462BBF" w:rsidRPr="00E31A5B" w:rsidRDefault="00462BBF" w:rsidP="0068330F">
            <w:pPr>
              <w:jc w:val="center"/>
              <w:rPr>
                <w:color w:val="000000" w:themeColor="text1"/>
                <w:sz w:val="22"/>
                <w:szCs w:val="22"/>
              </w:rPr>
            </w:pPr>
          </w:p>
        </w:tc>
        <w:tc>
          <w:tcPr>
            <w:tcW w:w="3600" w:type="dxa"/>
            <w:vAlign w:val="center"/>
          </w:tcPr>
          <w:p w14:paraId="3EA20D27" w14:textId="66EAFE97" w:rsidR="00462BBF" w:rsidRPr="00E31A5B" w:rsidRDefault="00462BBF" w:rsidP="0068330F">
            <w:pPr>
              <w:jc w:val="center"/>
              <w:rPr>
                <w:color w:val="000000" w:themeColor="text1"/>
                <w:sz w:val="22"/>
                <w:szCs w:val="22"/>
              </w:rPr>
            </w:pPr>
            <w:r w:rsidRPr="00E31A5B">
              <w:rPr>
                <w:color w:val="000000" w:themeColor="text1"/>
                <w:sz w:val="22"/>
                <w:szCs w:val="22"/>
              </w:rPr>
              <w:t>Unrestricted constant</w:t>
            </w:r>
          </w:p>
        </w:tc>
        <w:tc>
          <w:tcPr>
            <w:tcW w:w="2430" w:type="dxa"/>
            <w:vAlign w:val="center"/>
          </w:tcPr>
          <w:p w14:paraId="69DF61A4"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5737B26C" w14:textId="77777777" w:rsidTr="00A9142C">
        <w:tc>
          <w:tcPr>
            <w:tcW w:w="1885" w:type="dxa"/>
            <w:vMerge/>
            <w:vAlign w:val="center"/>
          </w:tcPr>
          <w:p w14:paraId="705C571C" w14:textId="77777777" w:rsidR="00462BBF" w:rsidRPr="00E31A5B" w:rsidRDefault="00462BBF" w:rsidP="0068330F">
            <w:pPr>
              <w:jc w:val="center"/>
              <w:rPr>
                <w:color w:val="000000" w:themeColor="text1"/>
                <w:sz w:val="22"/>
                <w:szCs w:val="22"/>
              </w:rPr>
            </w:pPr>
          </w:p>
        </w:tc>
        <w:tc>
          <w:tcPr>
            <w:tcW w:w="3600" w:type="dxa"/>
            <w:vAlign w:val="center"/>
          </w:tcPr>
          <w:p w14:paraId="2186B94C" w14:textId="77777777" w:rsidR="00462BBF" w:rsidRPr="00E31A5B" w:rsidRDefault="00462BBF" w:rsidP="0068330F">
            <w:pPr>
              <w:jc w:val="center"/>
              <w:rPr>
                <w:color w:val="000000" w:themeColor="text1"/>
                <w:sz w:val="22"/>
                <w:szCs w:val="22"/>
              </w:rPr>
            </w:pPr>
            <w:r w:rsidRPr="00E31A5B">
              <w:rPr>
                <w:color w:val="000000" w:themeColor="text1"/>
                <w:sz w:val="22"/>
                <w:szCs w:val="22"/>
              </w:rPr>
              <w:t>Restricted trend</w:t>
            </w:r>
          </w:p>
        </w:tc>
        <w:tc>
          <w:tcPr>
            <w:tcW w:w="2430" w:type="dxa"/>
            <w:vAlign w:val="center"/>
          </w:tcPr>
          <w:p w14:paraId="487F5048"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1A683023" w14:textId="77777777" w:rsidTr="00A9142C">
        <w:tc>
          <w:tcPr>
            <w:tcW w:w="1885" w:type="dxa"/>
            <w:vMerge/>
            <w:vAlign w:val="center"/>
          </w:tcPr>
          <w:p w14:paraId="0EC4B207" w14:textId="77777777" w:rsidR="00462BBF" w:rsidRPr="00E31A5B" w:rsidRDefault="00462BBF" w:rsidP="0068330F">
            <w:pPr>
              <w:jc w:val="center"/>
              <w:rPr>
                <w:color w:val="000000" w:themeColor="text1"/>
                <w:sz w:val="22"/>
                <w:szCs w:val="22"/>
              </w:rPr>
            </w:pPr>
          </w:p>
        </w:tc>
        <w:tc>
          <w:tcPr>
            <w:tcW w:w="3600" w:type="dxa"/>
            <w:vAlign w:val="center"/>
          </w:tcPr>
          <w:p w14:paraId="2AEE7363" w14:textId="77777777" w:rsidR="00462BBF" w:rsidRPr="00E31A5B" w:rsidRDefault="00462BBF" w:rsidP="0068330F">
            <w:pPr>
              <w:jc w:val="center"/>
              <w:rPr>
                <w:color w:val="000000" w:themeColor="text1"/>
                <w:sz w:val="22"/>
                <w:szCs w:val="22"/>
              </w:rPr>
            </w:pPr>
            <w:r w:rsidRPr="00E31A5B">
              <w:rPr>
                <w:color w:val="000000" w:themeColor="text1"/>
                <w:sz w:val="22"/>
                <w:szCs w:val="22"/>
              </w:rPr>
              <w:t>Unrestricted trend</w:t>
            </w:r>
          </w:p>
        </w:tc>
        <w:tc>
          <w:tcPr>
            <w:tcW w:w="2430" w:type="dxa"/>
            <w:vAlign w:val="center"/>
          </w:tcPr>
          <w:p w14:paraId="18CD6353" w14:textId="77777777" w:rsidR="00462BBF" w:rsidRPr="00E31A5B" w:rsidRDefault="00462BBF" w:rsidP="0068330F">
            <w:pPr>
              <w:jc w:val="center"/>
              <w:rPr>
                <w:color w:val="000000" w:themeColor="text1"/>
                <w:sz w:val="22"/>
                <w:szCs w:val="22"/>
              </w:rPr>
            </w:pPr>
            <w:r w:rsidRPr="00E31A5B">
              <w:rPr>
                <w:color w:val="000000" w:themeColor="text1"/>
                <w:sz w:val="22"/>
                <w:szCs w:val="22"/>
              </w:rPr>
              <w:t>No</w:t>
            </w:r>
          </w:p>
        </w:tc>
      </w:tr>
      <w:tr w:rsidR="00462BBF" w:rsidRPr="00E31A5B" w14:paraId="3CFA460B" w14:textId="77777777" w:rsidTr="00A9142C">
        <w:tc>
          <w:tcPr>
            <w:tcW w:w="1885" w:type="dxa"/>
            <w:vMerge w:val="restart"/>
            <w:vAlign w:val="center"/>
          </w:tcPr>
          <w:p w14:paraId="2A0B5F0C" w14:textId="77777777" w:rsidR="00462BBF" w:rsidRPr="00E31A5B" w:rsidRDefault="00462BBF" w:rsidP="0068330F">
            <w:pPr>
              <w:jc w:val="center"/>
              <w:rPr>
                <w:color w:val="000000" w:themeColor="text1"/>
                <w:sz w:val="22"/>
                <w:szCs w:val="22"/>
              </w:rPr>
            </w:pPr>
            <w:r w:rsidRPr="00E31A5B">
              <w:rPr>
                <w:color w:val="000000" w:themeColor="text1"/>
                <w:sz w:val="22"/>
                <w:szCs w:val="22"/>
              </w:rPr>
              <w:t>GDPpc vs HDI</w:t>
            </w:r>
          </w:p>
        </w:tc>
        <w:tc>
          <w:tcPr>
            <w:tcW w:w="3600" w:type="dxa"/>
            <w:vAlign w:val="center"/>
          </w:tcPr>
          <w:p w14:paraId="114A08E8" w14:textId="77777777" w:rsidR="00462BBF" w:rsidRPr="00E31A5B" w:rsidRDefault="00462BBF" w:rsidP="0068330F">
            <w:pPr>
              <w:jc w:val="center"/>
              <w:rPr>
                <w:color w:val="000000" w:themeColor="text1"/>
                <w:sz w:val="22"/>
                <w:szCs w:val="22"/>
              </w:rPr>
            </w:pPr>
            <w:r w:rsidRPr="00E31A5B">
              <w:rPr>
                <w:color w:val="000000" w:themeColor="text1"/>
                <w:sz w:val="22"/>
                <w:szCs w:val="22"/>
              </w:rPr>
              <w:t>No constant</w:t>
            </w:r>
          </w:p>
        </w:tc>
        <w:tc>
          <w:tcPr>
            <w:tcW w:w="2430" w:type="dxa"/>
            <w:vAlign w:val="center"/>
          </w:tcPr>
          <w:p w14:paraId="604472F0" w14:textId="77777777" w:rsidR="00462BBF" w:rsidRPr="00E31A5B" w:rsidRDefault="00462BBF" w:rsidP="0068330F">
            <w:pPr>
              <w:jc w:val="center"/>
              <w:rPr>
                <w:color w:val="000000" w:themeColor="text1"/>
                <w:sz w:val="22"/>
                <w:szCs w:val="22"/>
              </w:rPr>
            </w:pPr>
            <w:r w:rsidRPr="00E31A5B">
              <w:rPr>
                <w:color w:val="000000" w:themeColor="text1"/>
                <w:sz w:val="22"/>
                <w:szCs w:val="22"/>
              </w:rPr>
              <w:t>No</w:t>
            </w:r>
          </w:p>
        </w:tc>
      </w:tr>
      <w:tr w:rsidR="00462BBF" w:rsidRPr="00E31A5B" w14:paraId="7119FBBA" w14:textId="77777777" w:rsidTr="00A9142C">
        <w:tc>
          <w:tcPr>
            <w:tcW w:w="1885" w:type="dxa"/>
            <w:vMerge/>
            <w:vAlign w:val="center"/>
          </w:tcPr>
          <w:p w14:paraId="685DDA34" w14:textId="77777777" w:rsidR="00462BBF" w:rsidRPr="00E31A5B" w:rsidRDefault="00462BBF" w:rsidP="0068330F">
            <w:pPr>
              <w:jc w:val="center"/>
              <w:rPr>
                <w:color w:val="000000" w:themeColor="text1"/>
                <w:sz w:val="22"/>
                <w:szCs w:val="22"/>
              </w:rPr>
            </w:pPr>
          </w:p>
        </w:tc>
        <w:tc>
          <w:tcPr>
            <w:tcW w:w="3600" w:type="dxa"/>
            <w:vAlign w:val="center"/>
          </w:tcPr>
          <w:p w14:paraId="7388DE4B" w14:textId="77777777" w:rsidR="00462BBF" w:rsidRPr="00E31A5B" w:rsidRDefault="00462BBF" w:rsidP="0068330F">
            <w:pPr>
              <w:jc w:val="center"/>
              <w:rPr>
                <w:color w:val="000000" w:themeColor="text1"/>
                <w:sz w:val="22"/>
                <w:szCs w:val="22"/>
              </w:rPr>
            </w:pPr>
            <w:r w:rsidRPr="00E31A5B">
              <w:rPr>
                <w:color w:val="000000" w:themeColor="text1"/>
                <w:sz w:val="22"/>
                <w:szCs w:val="22"/>
              </w:rPr>
              <w:t xml:space="preserve">Restricted constant </w:t>
            </w:r>
          </w:p>
        </w:tc>
        <w:tc>
          <w:tcPr>
            <w:tcW w:w="2430" w:type="dxa"/>
            <w:vAlign w:val="center"/>
          </w:tcPr>
          <w:p w14:paraId="64C4E88B" w14:textId="77777777" w:rsidR="00462BBF" w:rsidRPr="00E31A5B" w:rsidRDefault="00462BBF" w:rsidP="0068330F">
            <w:pPr>
              <w:jc w:val="center"/>
              <w:rPr>
                <w:color w:val="000000" w:themeColor="text1"/>
                <w:sz w:val="22"/>
                <w:szCs w:val="22"/>
              </w:rPr>
            </w:pPr>
            <w:r w:rsidRPr="00E31A5B">
              <w:rPr>
                <w:color w:val="000000" w:themeColor="text1"/>
                <w:sz w:val="22"/>
                <w:szCs w:val="22"/>
              </w:rPr>
              <w:t>No</w:t>
            </w:r>
          </w:p>
        </w:tc>
      </w:tr>
      <w:tr w:rsidR="00462BBF" w:rsidRPr="00E31A5B" w14:paraId="282C6B42" w14:textId="77777777" w:rsidTr="00A9142C">
        <w:tc>
          <w:tcPr>
            <w:tcW w:w="1885" w:type="dxa"/>
            <w:vMerge/>
            <w:vAlign w:val="center"/>
          </w:tcPr>
          <w:p w14:paraId="0CDB099B" w14:textId="77777777" w:rsidR="00462BBF" w:rsidRPr="00E31A5B" w:rsidRDefault="00462BBF" w:rsidP="0068330F">
            <w:pPr>
              <w:jc w:val="center"/>
              <w:rPr>
                <w:color w:val="000000" w:themeColor="text1"/>
                <w:sz w:val="22"/>
                <w:szCs w:val="22"/>
              </w:rPr>
            </w:pPr>
          </w:p>
        </w:tc>
        <w:tc>
          <w:tcPr>
            <w:tcW w:w="3600" w:type="dxa"/>
            <w:vAlign w:val="center"/>
          </w:tcPr>
          <w:p w14:paraId="4A0C3CAD" w14:textId="77777777" w:rsidR="00462BBF" w:rsidRPr="00E31A5B" w:rsidRDefault="00462BBF" w:rsidP="0068330F">
            <w:pPr>
              <w:jc w:val="center"/>
              <w:rPr>
                <w:color w:val="000000" w:themeColor="text1"/>
                <w:sz w:val="22"/>
                <w:szCs w:val="22"/>
              </w:rPr>
            </w:pPr>
            <w:r w:rsidRPr="00E31A5B">
              <w:rPr>
                <w:color w:val="000000" w:themeColor="text1"/>
                <w:sz w:val="22"/>
                <w:szCs w:val="22"/>
              </w:rPr>
              <w:t>Unrestricted constant</w:t>
            </w:r>
          </w:p>
        </w:tc>
        <w:tc>
          <w:tcPr>
            <w:tcW w:w="2430" w:type="dxa"/>
            <w:vAlign w:val="center"/>
          </w:tcPr>
          <w:p w14:paraId="5280899F" w14:textId="77777777" w:rsidR="00462BBF" w:rsidRPr="00E31A5B" w:rsidRDefault="00462BBF" w:rsidP="0068330F">
            <w:pPr>
              <w:jc w:val="center"/>
              <w:rPr>
                <w:color w:val="000000" w:themeColor="text1"/>
                <w:sz w:val="22"/>
                <w:szCs w:val="22"/>
              </w:rPr>
            </w:pPr>
            <w:r w:rsidRPr="00E31A5B">
              <w:rPr>
                <w:color w:val="000000" w:themeColor="text1"/>
                <w:sz w:val="22"/>
                <w:szCs w:val="22"/>
              </w:rPr>
              <w:t>No</w:t>
            </w:r>
          </w:p>
        </w:tc>
      </w:tr>
      <w:tr w:rsidR="00462BBF" w:rsidRPr="00E31A5B" w14:paraId="55676269" w14:textId="77777777" w:rsidTr="00A9142C">
        <w:tc>
          <w:tcPr>
            <w:tcW w:w="1885" w:type="dxa"/>
            <w:vMerge/>
            <w:vAlign w:val="center"/>
          </w:tcPr>
          <w:p w14:paraId="4B1B9C4A" w14:textId="77777777" w:rsidR="00462BBF" w:rsidRPr="00E31A5B" w:rsidRDefault="00462BBF" w:rsidP="0068330F">
            <w:pPr>
              <w:jc w:val="center"/>
              <w:rPr>
                <w:color w:val="000000" w:themeColor="text1"/>
                <w:sz w:val="22"/>
                <w:szCs w:val="22"/>
              </w:rPr>
            </w:pPr>
          </w:p>
        </w:tc>
        <w:tc>
          <w:tcPr>
            <w:tcW w:w="3600" w:type="dxa"/>
            <w:vAlign w:val="center"/>
          </w:tcPr>
          <w:p w14:paraId="7D47B080" w14:textId="6035CDF5" w:rsidR="00462BBF" w:rsidRPr="00E31A5B" w:rsidRDefault="00462BBF" w:rsidP="0068330F">
            <w:pPr>
              <w:jc w:val="center"/>
              <w:rPr>
                <w:color w:val="000000" w:themeColor="text1"/>
                <w:sz w:val="22"/>
                <w:szCs w:val="22"/>
              </w:rPr>
            </w:pPr>
            <w:r w:rsidRPr="00E31A5B">
              <w:rPr>
                <w:color w:val="000000" w:themeColor="text1"/>
                <w:sz w:val="22"/>
                <w:szCs w:val="22"/>
              </w:rPr>
              <w:t>Restricted trend</w:t>
            </w:r>
          </w:p>
        </w:tc>
        <w:tc>
          <w:tcPr>
            <w:tcW w:w="2430" w:type="dxa"/>
            <w:vAlign w:val="center"/>
          </w:tcPr>
          <w:p w14:paraId="424B14BD"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69EF5DB2" w14:textId="77777777" w:rsidTr="00A9142C">
        <w:tc>
          <w:tcPr>
            <w:tcW w:w="1885" w:type="dxa"/>
            <w:vMerge/>
            <w:vAlign w:val="center"/>
          </w:tcPr>
          <w:p w14:paraId="7A37487B" w14:textId="77777777" w:rsidR="00462BBF" w:rsidRPr="00E31A5B" w:rsidRDefault="00462BBF" w:rsidP="0068330F">
            <w:pPr>
              <w:jc w:val="center"/>
              <w:rPr>
                <w:color w:val="000000" w:themeColor="text1"/>
                <w:sz w:val="22"/>
                <w:szCs w:val="22"/>
              </w:rPr>
            </w:pPr>
          </w:p>
        </w:tc>
        <w:tc>
          <w:tcPr>
            <w:tcW w:w="3600" w:type="dxa"/>
            <w:vAlign w:val="center"/>
          </w:tcPr>
          <w:p w14:paraId="35E49DEE" w14:textId="77777777" w:rsidR="00462BBF" w:rsidRPr="00E31A5B" w:rsidRDefault="00462BBF" w:rsidP="0068330F">
            <w:pPr>
              <w:jc w:val="center"/>
              <w:rPr>
                <w:color w:val="000000" w:themeColor="text1"/>
                <w:sz w:val="22"/>
                <w:szCs w:val="22"/>
              </w:rPr>
            </w:pPr>
            <w:r w:rsidRPr="00E31A5B">
              <w:rPr>
                <w:color w:val="000000" w:themeColor="text1"/>
                <w:sz w:val="22"/>
                <w:szCs w:val="22"/>
              </w:rPr>
              <w:t>Unrestricted trend</w:t>
            </w:r>
          </w:p>
        </w:tc>
        <w:tc>
          <w:tcPr>
            <w:tcW w:w="2430" w:type="dxa"/>
            <w:vAlign w:val="center"/>
          </w:tcPr>
          <w:p w14:paraId="1E8B880F"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43D7A3E2" w14:textId="77777777" w:rsidTr="00A9142C">
        <w:tc>
          <w:tcPr>
            <w:tcW w:w="1885" w:type="dxa"/>
            <w:vMerge w:val="restart"/>
            <w:vAlign w:val="center"/>
          </w:tcPr>
          <w:p w14:paraId="518B7F79" w14:textId="77777777" w:rsidR="00462BBF" w:rsidRPr="00E31A5B" w:rsidRDefault="00462BBF" w:rsidP="0068330F">
            <w:pPr>
              <w:jc w:val="center"/>
              <w:rPr>
                <w:color w:val="000000" w:themeColor="text1"/>
                <w:sz w:val="22"/>
                <w:szCs w:val="22"/>
              </w:rPr>
            </w:pPr>
            <w:r w:rsidRPr="00E31A5B">
              <w:rPr>
                <w:color w:val="000000" w:themeColor="text1"/>
                <w:sz w:val="22"/>
                <w:szCs w:val="22"/>
              </w:rPr>
              <w:t>GDPpc vs IEF</w:t>
            </w:r>
          </w:p>
        </w:tc>
        <w:tc>
          <w:tcPr>
            <w:tcW w:w="3600" w:type="dxa"/>
            <w:vAlign w:val="center"/>
          </w:tcPr>
          <w:p w14:paraId="6FA61341" w14:textId="77777777" w:rsidR="00462BBF" w:rsidRPr="00E31A5B" w:rsidRDefault="00462BBF" w:rsidP="0068330F">
            <w:pPr>
              <w:jc w:val="center"/>
              <w:rPr>
                <w:color w:val="000000" w:themeColor="text1"/>
                <w:sz w:val="22"/>
                <w:szCs w:val="22"/>
              </w:rPr>
            </w:pPr>
            <w:r w:rsidRPr="00E31A5B">
              <w:rPr>
                <w:color w:val="000000" w:themeColor="text1"/>
                <w:sz w:val="22"/>
                <w:szCs w:val="22"/>
              </w:rPr>
              <w:t>No constant</w:t>
            </w:r>
          </w:p>
        </w:tc>
        <w:tc>
          <w:tcPr>
            <w:tcW w:w="2430" w:type="dxa"/>
            <w:vAlign w:val="center"/>
          </w:tcPr>
          <w:p w14:paraId="513D9DB2"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11923263" w14:textId="77777777" w:rsidTr="00A9142C">
        <w:tc>
          <w:tcPr>
            <w:tcW w:w="1885" w:type="dxa"/>
            <w:vMerge/>
            <w:vAlign w:val="center"/>
          </w:tcPr>
          <w:p w14:paraId="42B6F65C" w14:textId="77777777" w:rsidR="00462BBF" w:rsidRPr="00E31A5B" w:rsidRDefault="00462BBF" w:rsidP="0068330F">
            <w:pPr>
              <w:jc w:val="center"/>
              <w:rPr>
                <w:color w:val="000000" w:themeColor="text1"/>
                <w:sz w:val="22"/>
                <w:szCs w:val="22"/>
              </w:rPr>
            </w:pPr>
          </w:p>
        </w:tc>
        <w:tc>
          <w:tcPr>
            <w:tcW w:w="3600" w:type="dxa"/>
            <w:vAlign w:val="center"/>
          </w:tcPr>
          <w:p w14:paraId="0015F86C" w14:textId="77777777" w:rsidR="00462BBF" w:rsidRPr="00E31A5B" w:rsidRDefault="00462BBF" w:rsidP="0068330F">
            <w:pPr>
              <w:jc w:val="center"/>
              <w:rPr>
                <w:color w:val="000000" w:themeColor="text1"/>
                <w:sz w:val="22"/>
                <w:szCs w:val="22"/>
              </w:rPr>
            </w:pPr>
            <w:r w:rsidRPr="00E31A5B">
              <w:rPr>
                <w:color w:val="000000" w:themeColor="text1"/>
                <w:sz w:val="22"/>
                <w:szCs w:val="22"/>
              </w:rPr>
              <w:t xml:space="preserve">Restricted constant </w:t>
            </w:r>
          </w:p>
        </w:tc>
        <w:tc>
          <w:tcPr>
            <w:tcW w:w="2430" w:type="dxa"/>
            <w:vAlign w:val="center"/>
          </w:tcPr>
          <w:p w14:paraId="65E80845"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377F0A78" w14:textId="77777777" w:rsidTr="00A9142C">
        <w:tc>
          <w:tcPr>
            <w:tcW w:w="1885" w:type="dxa"/>
            <w:vMerge/>
            <w:vAlign w:val="center"/>
          </w:tcPr>
          <w:p w14:paraId="30A3AF9F" w14:textId="77777777" w:rsidR="00462BBF" w:rsidRPr="00E31A5B" w:rsidRDefault="00462BBF" w:rsidP="0068330F">
            <w:pPr>
              <w:jc w:val="center"/>
              <w:rPr>
                <w:color w:val="000000" w:themeColor="text1"/>
                <w:sz w:val="22"/>
                <w:szCs w:val="22"/>
              </w:rPr>
            </w:pPr>
          </w:p>
        </w:tc>
        <w:tc>
          <w:tcPr>
            <w:tcW w:w="3600" w:type="dxa"/>
            <w:vAlign w:val="center"/>
          </w:tcPr>
          <w:p w14:paraId="12952E52" w14:textId="77777777" w:rsidR="00462BBF" w:rsidRPr="00E31A5B" w:rsidRDefault="00462BBF" w:rsidP="0068330F">
            <w:pPr>
              <w:jc w:val="center"/>
              <w:rPr>
                <w:color w:val="000000" w:themeColor="text1"/>
                <w:sz w:val="22"/>
                <w:szCs w:val="22"/>
              </w:rPr>
            </w:pPr>
            <w:r w:rsidRPr="00E31A5B">
              <w:rPr>
                <w:color w:val="000000" w:themeColor="text1"/>
                <w:sz w:val="22"/>
                <w:szCs w:val="22"/>
              </w:rPr>
              <w:t>Unrestricted constant</w:t>
            </w:r>
          </w:p>
        </w:tc>
        <w:tc>
          <w:tcPr>
            <w:tcW w:w="2430" w:type="dxa"/>
            <w:vAlign w:val="center"/>
          </w:tcPr>
          <w:p w14:paraId="001EC52D" w14:textId="77777777" w:rsidR="00462BBF" w:rsidRPr="00E31A5B" w:rsidRDefault="00462BBF" w:rsidP="0068330F">
            <w:pPr>
              <w:jc w:val="center"/>
              <w:rPr>
                <w:color w:val="000000" w:themeColor="text1"/>
                <w:sz w:val="22"/>
                <w:szCs w:val="22"/>
              </w:rPr>
            </w:pPr>
            <w:r w:rsidRPr="00E31A5B">
              <w:rPr>
                <w:color w:val="000000" w:themeColor="text1"/>
                <w:sz w:val="22"/>
                <w:szCs w:val="22"/>
              </w:rPr>
              <w:t>No</w:t>
            </w:r>
          </w:p>
        </w:tc>
      </w:tr>
      <w:tr w:rsidR="00462BBF" w:rsidRPr="00E31A5B" w14:paraId="6DEDBC9A" w14:textId="77777777" w:rsidTr="00A9142C">
        <w:tc>
          <w:tcPr>
            <w:tcW w:w="1885" w:type="dxa"/>
            <w:vMerge/>
            <w:vAlign w:val="center"/>
          </w:tcPr>
          <w:p w14:paraId="1FC15D23" w14:textId="77777777" w:rsidR="00462BBF" w:rsidRPr="00E31A5B" w:rsidRDefault="00462BBF" w:rsidP="0068330F">
            <w:pPr>
              <w:jc w:val="center"/>
              <w:rPr>
                <w:color w:val="000000" w:themeColor="text1"/>
                <w:sz w:val="22"/>
                <w:szCs w:val="22"/>
              </w:rPr>
            </w:pPr>
          </w:p>
        </w:tc>
        <w:tc>
          <w:tcPr>
            <w:tcW w:w="3600" w:type="dxa"/>
            <w:vAlign w:val="center"/>
          </w:tcPr>
          <w:p w14:paraId="581ECAC6" w14:textId="0B2B0773" w:rsidR="00462BBF" w:rsidRPr="00E31A5B" w:rsidRDefault="00462BBF" w:rsidP="0068330F">
            <w:pPr>
              <w:jc w:val="center"/>
              <w:rPr>
                <w:color w:val="000000" w:themeColor="text1"/>
                <w:sz w:val="22"/>
                <w:szCs w:val="22"/>
              </w:rPr>
            </w:pPr>
            <w:r w:rsidRPr="00E31A5B">
              <w:rPr>
                <w:color w:val="000000" w:themeColor="text1"/>
                <w:sz w:val="22"/>
                <w:szCs w:val="22"/>
              </w:rPr>
              <w:t>Restricted trend</w:t>
            </w:r>
          </w:p>
        </w:tc>
        <w:tc>
          <w:tcPr>
            <w:tcW w:w="2430" w:type="dxa"/>
            <w:vAlign w:val="center"/>
          </w:tcPr>
          <w:p w14:paraId="3055FD93"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0C3C4029" w14:textId="77777777" w:rsidTr="00A9142C">
        <w:tc>
          <w:tcPr>
            <w:tcW w:w="1885" w:type="dxa"/>
            <w:vMerge/>
            <w:vAlign w:val="center"/>
          </w:tcPr>
          <w:p w14:paraId="546955BB" w14:textId="77777777" w:rsidR="00462BBF" w:rsidRPr="00E31A5B" w:rsidRDefault="00462BBF" w:rsidP="0068330F">
            <w:pPr>
              <w:jc w:val="center"/>
              <w:rPr>
                <w:color w:val="000000" w:themeColor="text1"/>
                <w:sz w:val="22"/>
                <w:szCs w:val="22"/>
              </w:rPr>
            </w:pPr>
          </w:p>
        </w:tc>
        <w:tc>
          <w:tcPr>
            <w:tcW w:w="3600" w:type="dxa"/>
            <w:vAlign w:val="center"/>
          </w:tcPr>
          <w:p w14:paraId="680AD573" w14:textId="77777777" w:rsidR="00462BBF" w:rsidRPr="00E31A5B" w:rsidRDefault="00462BBF" w:rsidP="0068330F">
            <w:pPr>
              <w:jc w:val="center"/>
              <w:rPr>
                <w:color w:val="000000" w:themeColor="text1"/>
                <w:sz w:val="22"/>
                <w:szCs w:val="22"/>
              </w:rPr>
            </w:pPr>
            <w:r w:rsidRPr="00E31A5B">
              <w:rPr>
                <w:color w:val="000000" w:themeColor="text1"/>
                <w:sz w:val="22"/>
                <w:szCs w:val="22"/>
              </w:rPr>
              <w:t>Unrestricted trend</w:t>
            </w:r>
          </w:p>
        </w:tc>
        <w:tc>
          <w:tcPr>
            <w:tcW w:w="2430" w:type="dxa"/>
            <w:vAlign w:val="center"/>
          </w:tcPr>
          <w:p w14:paraId="02AB99E9"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bl>
    <w:p w14:paraId="7E76276E" w14:textId="65AA8492" w:rsidR="00462BBF" w:rsidRPr="00E31A5B" w:rsidRDefault="00462BBF" w:rsidP="0068330F">
      <w:pPr>
        <w:spacing w:after="0" w:line="240" w:lineRule="auto"/>
        <w:rPr>
          <w:rFonts w:ascii="Times New Roman" w:hAnsi="Times New Roman" w:cs="Times New Roman"/>
          <w:color w:val="000000" w:themeColor="text1"/>
        </w:rPr>
      </w:pPr>
      <w:r w:rsidRPr="00E31A5B">
        <w:rPr>
          <w:rFonts w:ascii="Times New Roman" w:hAnsi="Times New Roman" w:cs="Times New Roman"/>
          <w:i/>
          <w:iCs/>
          <w:color w:val="000000" w:themeColor="text1"/>
        </w:rPr>
        <w:t>Note:</w:t>
      </w:r>
      <w:r w:rsidRPr="00E31A5B">
        <w:rPr>
          <w:rFonts w:ascii="Times New Roman" w:hAnsi="Times New Roman" w:cs="Times New Roman"/>
          <w:color w:val="000000" w:themeColor="text1"/>
        </w:rPr>
        <w:t xml:space="preserve"> (a) The maximum number of cointegrating vectors is given by n-1 where n is the number of variables </w:t>
      </w:r>
      <w:proofErr w:type="gramStart"/>
      <w:r w:rsidRPr="00E31A5B">
        <w:rPr>
          <w:rFonts w:ascii="Times New Roman" w:hAnsi="Times New Roman" w:cs="Times New Roman"/>
          <w:color w:val="000000" w:themeColor="text1"/>
        </w:rPr>
        <w:t>tested</w:t>
      </w:r>
      <w:proofErr w:type="gramEnd"/>
      <w:r w:rsidRPr="00E31A5B">
        <w:rPr>
          <w:rFonts w:ascii="Times New Roman" w:hAnsi="Times New Roman" w:cs="Times New Roman"/>
          <w:color w:val="000000" w:themeColor="text1"/>
        </w:rPr>
        <w:t xml:space="preserve">. (b) The “Restricted trend” scenario corresponds to a test with a restricted trend and an unrestricted constant. (c) The “Unrestricted trend” scenario corresponds to a test with an unrestricted trend and an unrestricted constant. </w:t>
      </w:r>
      <w:r w:rsidR="003A3A33">
        <w:rPr>
          <w:rFonts w:ascii="Times New Roman" w:hAnsi="Times New Roman" w:cs="Times New Roman"/>
          <w:color w:val="000000" w:themeColor="text1"/>
        </w:rPr>
        <w:t>(d) This note also applies to Tables 19 and 20.</w:t>
      </w:r>
    </w:p>
    <w:p w14:paraId="15D3A330" w14:textId="77777777" w:rsidR="00462BBF" w:rsidRPr="00E31A5B" w:rsidRDefault="00462BBF" w:rsidP="0068330F">
      <w:pPr>
        <w:spacing w:after="0" w:line="240" w:lineRule="auto"/>
        <w:rPr>
          <w:rFonts w:ascii="Times New Roman" w:hAnsi="Times New Roman" w:cs="Times New Roman"/>
          <w:color w:val="000000" w:themeColor="text1"/>
        </w:rPr>
      </w:pPr>
    </w:p>
    <w:p w14:paraId="732812EB" w14:textId="369332D2" w:rsidR="00462BBF" w:rsidRPr="00E31A5B" w:rsidRDefault="00462BBF" w:rsidP="0068330F">
      <w:pPr>
        <w:pStyle w:val="MyTables"/>
      </w:pPr>
      <w:bookmarkStart w:id="50" w:name="_Toc79604564"/>
      <w:r w:rsidRPr="00E31A5B">
        <w:t xml:space="preserve">Table </w:t>
      </w:r>
      <w:bookmarkEnd w:id="50"/>
      <w:r w:rsidR="00155203">
        <w:t>19</w:t>
      </w:r>
      <w:r w:rsidRPr="00E31A5B">
        <w:t xml:space="preserve"> </w:t>
      </w:r>
    </w:p>
    <w:p w14:paraId="636AC132" w14:textId="77777777" w:rsidR="00462BBF" w:rsidRPr="00087FEF" w:rsidRDefault="00462BBF" w:rsidP="0068330F">
      <w:pPr>
        <w:pStyle w:val="MyTables"/>
        <w:rPr>
          <w:rFonts w:cs="Times New Roman"/>
          <w:b w:val="0"/>
          <w:bCs w:val="0"/>
          <w:i/>
          <w:szCs w:val="24"/>
        </w:rPr>
      </w:pPr>
      <w:bookmarkStart w:id="51" w:name="_Toc79604565"/>
      <w:r w:rsidRPr="00087FEF">
        <w:rPr>
          <w:rFonts w:cs="Times New Roman"/>
          <w:b w:val="0"/>
          <w:bCs w:val="0"/>
          <w:i/>
          <w:szCs w:val="24"/>
        </w:rPr>
        <w:t>Summary of GNDI and other growth indicators paired variables JC testing.</w:t>
      </w:r>
      <w:bookmarkEnd w:id="51"/>
    </w:p>
    <w:tbl>
      <w:tblPr>
        <w:tblStyle w:val="TableGrid"/>
        <w:tblW w:w="7915" w:type="dxa"/>
        <w:tblBorders>
          <w:insideV w:val="none" w:sz="0" w:space="0" w:color="auto"/>
        </w:tblBorders>
        <w:tblLayout w:type="fixed"/>
        <w:tblLook w:val="04A0" w:firstRow="1" w:lastRow="0" w:firstColumn="1" w:lastColumn="0" w:noHBand="0" w:noVBand="1"/>
      </w:tblPr>
      <w:tblGrid>
        <w:gridCol w:w="1885"/>
        <w:gridCol w:w="3600"/>
        <w:gridCol w:w="2430"/>
      </w:tblGrid>
      <w:tr w:rsidR="00462BBF" w:rsidRPr="00E31A5B" w14:paraId="67B2E845" w14:textId="77777777" w:rsidTr="00A9142C">
        <w:trPr>
          <w:trHeight w:val="431"/>
        </w:trPr>
        <w:tc>
          <w:tcPr>
            <w:tcW w:w="1885" w:type="dxa"/>
            <w:vAlign w:val="center"/>
          </w:tcPr>
          <w:p w14:paraId="118296E0"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Variables</w:t>
            </w:r>
          </w:p>
        </w:tc>
        <w:tc>
          <w:tcPr>
            <w:tcW w:w="3600" w:type="dxa"/>
            <w:vAlign w:val="center"/>
          </w:tcPr>
          <w:p w14:paraId="59E2BE94"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Scenario</w:t>
            </w:r>
          </w:p>
        </w:tc>
        <w:tc>
          <w:tcPr>
            <w:tcW w:w="2430" w:type="dxa"/>
            <w:vAlign w:val="center"/>
          </w:tcPr>
          <w:p w14:paraId="6AB61E3D"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Cointegrated?</w:t>
            </w:r>
          </w:p>
        </w:tc>
      </w:tr>
      <w:tr w:rsidR="00462BBF" w:rsidRPr="00E31A5B" w14:paraId="3CEC66CE" w14:textId="77777777" w:rsidTr="00A9142C">
        <w:tc>
          <w:tcPr>
            <w:tcW w:w="1885" w:type="dxa"/>
            <w:vMerge w:val="restart"/>
            <w:vAlign w:val="center"/>
          </w:tcPr>
          <w:p w14:paraId="55857E4D" w14:textId="77777777" w:rsidR="00462BBF" w:rsidRPr="00E31A5B" w:rsidRDefault="00462BBF" w:rsidP="0068330F">
            <w:pPr>
              <w:jc w:val="center"/>
              <w:rPr>
                <w:color w:val="000000" w:themeColor="text1"/>
                <w:sz w:val="22"/>
                <w:szCs w:val="22"/>
              </w:rPr>
            </w:pPr>
            <w:r w:rsidRPr="00E31A5B">
              <w:rPr>
                <w:color w:val="000000" w:themeColor="text1"/>
                <w:sz w:val="22"/>
                <w:szCs w:val="22"/>
              </w:rPr>
              <w:t>GNDIpc vs HDI</w:t>
            </w:r>
          </w:p>
        </w:tc>
        <w:tc>
          <w:tcPr>
            <w:tcW w:w="3600" w:type="dxa"/>
            <w:vAlign w:val="center"/>
          </w:tcPr>
          <w:p w14:paraId="7D4B24A3" w14:textId="77777777" w:rsidR="00462BBF" w:rsidRPr="00E31A5B" w:rsidRDefault="00462BBF" w:rsidP="0068330F">
            <w:pPr>
              <w:jc w:val="center"/>
              <w:rPr>
                <w:color w:val="000000" w:themeColor="text1"/>
                <w:sz w:val="22"/>
                <w:szCs w:val="22"/>
              </w:rPr>
            </w:pPr>
            <w:r w:rsidRPr="00E31A5B">
              <w:rPr>
                <w:color w:val="000000" w:themeColor="text1"/>
                <w:sz w:val="22"/>
                <w:szCs w:val="22"/>
              </w:rPr>
              <w:t>No constant</w:t>
            </w:r>
          </w:p>
        </w:tc>
        <w:tc>
          <w:tcPr>
            <w:tcW w:w="2430" w:type="dxa"/>
            <w:vAlign w:val="center"/>
          </w:tcPr>
          <w:p w14:paraId="46C98B28"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4D3C2A6B" w14:textId="77777777" w:rsidTr="00A9142C">
        <w:tc>
          <w:tcPr>
            <w:tcW w:w="1885" w:type="dxa"/>
            <w:vMerge/>
            <w:vAlign w:val="center"/>
          </w:tcPr>
          <w:p w14:paraId="5430CE8B" w14:textId="77777777" w:rsidR="00462BBF" w:rsidRPr="00E31A5B" w:rsidRDefault="00462BBF" w:rsidP="0068330F">
            <w:pPr>
              <w:jc w:val="center"/>
              <w:rPr>
                <w:color w:val="000000" w:themeColor="text1"/>
                <w:sz w:val="22"/>
                <w:szCs w:val="22"/>
              </w:rPr>
            </w:pPr>
          </w:p>
        </w:tc>
        <w:tc>
          <w:tcPr>
            <w:tcW w:w="3600" w:type="dxa"/>
            <w:vAlign w:val="center"/>
          </w:tcPr>
          <w:p w14:paraId="6F707EF0" w14:textId="77777777" w:rsidR="00462BBF" w:rsidRPr="00E31A5B" w:rsidRDefault="00462BBF" w:rsidP="0068330F">
            <w:pPr>
              <w:jc w:val="center"/>
              <w:rPr>
                <w:color w:val="000000" w:themeColor="text1"/>
                <w:sz w:val="22"/>
                <w:szCs w:val="22"/>
              </w:rPr>
            </w:pPr>
            <w:r w:rsidRPr="00E31A5B">
              <w:rPr>
                <w:color w:val="000000" w:themeColor="text1"/>
                <w:sz w:val="22"/>
                <w:szCs w:val="22"/>
              </w:rPr>
              <w:t xml:space="preserve">Restricted constant </w:t>
            </w:r>
          </w:p>
        </w:tc>
        <w:tc>
          <w:tcPr>
            <w:tcW w:w="2430" w:type="dxa"/>
            <w:vAlign w:val="center"/>
          </w:tcPr>
          <w:p w14:paraId="49C2B23A" w14:textId="77777777" w:rsidR="00462BBF" w:rsidRPr="00E31A5B" w:rsidRDefault="00462BBF" w:rsidP="0068330F">
            <w:pPr>
              <w:jc w:val="center"/>
              <w:rPr>
                <w:color w:val="000000" w:themeColor="text1"/>
                <w:sz w:val="22"/>
                <w:szCs w:val="22"/>
              </w:rPr>
            </w:pPr>
            <w:r w:rsidRPr="00E31A5B">
              <w:rPr>
                <w:color w:val="000000" w:themeColor="text1"/>
                <w:sz w:val="22"/>
                <w:szCs w:val="22"/>
              </w:rPr>
              <w:t>No</w:t>
            </w:r>
          </w:p>
        </w:tc>
      </w:tr>
      <w:tr w:rsidR="00462BBF" w:rsidRPr="00E31A5B" w14:paraId="316F7843" w14:textId="77777777" w:rsidTr="00A9142C">
        <w:tc>
          <w:tcPr>
            <w:tcW w:w="1885" w:type="dxa"/>
            <w:vMerge/>
            <w:vAlign w:val="center"/>
          </w:tcPr>
          <w:p w14:paraId="1834326D" w14:textId="77777777" w:rsidR="00462BBF" w:rsidRPr="00E31A5B" w:rsidRDefault="00462BBF" w:rsidP="0068330F">
            <w:pPr>
              <w:jc w:val="center"/>
              <w:rPr>
                <w:color w:val="000000" w:themeColor="text1"/>
                <w:sz w:val="22"/>
                <w:szCs w:val="22"/>
              </w:rPr>
            </w:pPr>
          </w:p>
        </w:tc>
        <w:tc>
          <w:tcPr>
            <w:tcW w:w="3600" w:type="dxa"/>
            <w:vAlign w:val="center"/>
          </w:tcPr>
          <w:p w14:paraId="257F3420" w14:textId="77777777" w:rsidR="00462BBF" w:rsidRPr="00E31A5B" w:rsidRDefault="00462BBF" w:rsidP="0068330F">
            <w:pPr>
              <w:jc w:val="center"/>
              <w:rPr>
                <w:color w:val="000000" w:themeColor="text1"/>
                <w:sz w:val="22"/>
                <w:szCs w:val="22"/>
              </w:rPr>
            </w:pPr>
            <w:r w:rsidRPr="00E31A5B">
              <w:rPr>
                <w:color w:val="000000" w:themeColor="text1"/>
                <w:sz w:val="22"/>
                <w:szCs w:val="22"/>
              </w:rPr>
              <w:t>Unrestricted constant</w:t>
            </w:r>
          </w:p>
        </w:tc>
        <w:tc>
          <w:tcPr>
            <w:tcW w:w="2430" w:type="dxa"/>
            <w:vAlign w:val="center"/>
          </w:tcPr>
          <w:p w14:paraId="1BFF6FC4" w14:textId="77777777" w:rsidR="00462BBF" w:rsidRPr="00E31A5B" w:rsidRDefault="00462BBF" w:rsidP="0068330F">
            <w:pPr>
              <w:jc w:val="center"/>
              <w:rPr>
                <w:color w:val="000000" w:themeColor="text1"/>
                <w:sz w:val="22"/>
                <w:szCs w:val="22"/>
              </w:rPr>
            </w:pPr>
            <w:r w:rsidRPr="00E31A5B">
              <w:rPr>
                <w:color w:val="000000" w:themeColor="text1"/>
                <w:sz w:val="22"/>
                <w:szCs w:val="22"/>
              </w:rPr>
              <w:t>No</w:t>
            </w:r>
          </w:p>
        </w:tc>
      </w:tr>
      <w:tr w:rsidR="00462BBF" w:rsidRPr="00E31A5B" w14:paraId="16BFF744" w14:textId="77777777" w:rsidTr="00A9142C">
        <w:tc>
          <w:tcPr>
            <w:tcW w:w="1885" w:type="dxa"/>
            <w:vMerge/>
            <w:vAlign w:val="center"/>
          </w:tcPr>
          <w:p w14:paraId="1C6575D0" w14:textId="77777777" w:rsidR="00462BBF" w:rsidRPr="00E31A5B" w:rsidRDefault="00462BBF" w:rsidP="0068330F">
            <w:pPr>
              <w:jc w:val="center"/>
              <w:rPr>
                <w:color w:val="000000" w:themeColor="text1"/>
                <w:sz w:val="22"/>
                <w:szCs w:val="22"/>
              </w:rPr>
            </w:pPr>
          </w:p>
        </w:tc>
        <w:tc>
          <w:tcPr>
            <w:tcW w:w="3600" w:type="dxa"/>
            <w:vAlign w:val="center"/>
          </w:tcPr>
          <w:p w14:paraId="7B656D5F" w14:textId="36EE16BC" w:rsidR="00462BBF" w:rsidRPr="00E31A5B" w:rsidRDefault="00462BBF" w:rsidP="0068330F">
            <w:pPr>
              <w:jc w:val="center"/>
              <w:rPr>
                <w:color w:val="000000" w:themeColor="text1"/>
                <w:sz w:val="22"/>
                <w:szCs w:val="22"/>
              </w:rPr>
            </w:pPr>
            <w:r w:rsidRPr="00E31A5B">
              <w:rPr>
                <w:color w:val="000000" w:themeColor="text1"/>
                <w:sz w:val="22"/>
                <w:szCs w:val="22"/>
              </w:rPr>
              <w:t>Restricted trend</w:t>
            </w:r>
          </w:p>
        </w:tc>
        <w:tc>
          <w:tcPr>
            <w:tcW w:w="2430" w:type="dxa"/>
            <w:vAlign w:val="center"/>
          </w:tcPr>
          <w:p w14:paraId="7D21DA48"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0BAD74EC" w14:textId="77777777" w:rsidTr="00A9142C">
        <w:trPr>
          <w:trHeight w:val="485"/>
        </w:trPr>
        <w:tc>
          <w:tcPr>
            <w:tcW w:w="1885" w:type="dxa"/>
            <w:vMerge/>
            <w:vAlign w:val="center"/>
          </w:tcPr>
          <w:p w14:paraId="5D7DAFF6" w14:textId="77777777" w:rsidR="00462BBF" w:rsidRPr="00E31A5B" w:rsidRDefault="00462BBF" w:rsidP="0068330F">
            <w:pPr>
              <w:jc w:val="center"/>
              <w:rPr>
                <w:color w:val="000000" w:themeColor="text1"/>
                <w:sz w:val="22"/>
                <w:szCs w:val="22"/>
              </w:rPr>
            </w:pPr>
          </w:p>
        </w:tc>
        <w:tc>
          <w:tcPr>
            <w:tcW w:w="3600" w:type="dxa"/>
            <w:vAlign w:val="center"/>
          </w:tcPr>
          <w:p w14:paraId="39D45C6A" w14:textId="77777777" w:rsidR="00462BBF" w:rsidRPr="00E31A5B" w:rsidRDefault="00462BBF" w:rsidP="0068330F">
            <w:pPr>
              <w:jc w:val="center"/>
              <w:rPr>
                <w:color w:val="000000" w:themeColor="text1"/>
                <w:sz w:val="22"/>
                <w:szCs w:val="22"/>
              </w:rPr>
            </w:pPr>
            <w:r w:rsidRPr="00E31A5B">
              <w:rPr>
                <w:color w:val="000000" w:themeColor="text1"/>
                <w:sz w:val="22"/>
                <w:szCs w:val="22"/>
              </w:rPr>
              <w:t>Unrestricted trend</w:t>
            </w:r>
          </w:p>
        </w:tc>
        <w:tc>
          <w:tcPr>
            <w:tcW w:w="2430" w:type="dxa"/>
            <w:vAlign w:val="center"/>
          </w:tcPr>
          <w:p w14:paraId="22EA2580"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061EC196" w14:textId="77777777" w:rsidTr="00A9142C">
        <w:tc>
          <w:tcPr>
            <w:tcW w:w="1885" w:type="dxa"/>
            <w:vMerge w:val="restart"/>
            <w:vAlign w:val="center"/>
          </w:tcPr>
          <w:p w14:paraId="53A4A2EF" w14:textId="77777777" w:rsidR="00462BBF" w:rsidRPr="00E31A5B" w:rsidRDefault="00462BBF" w:rsidP="0068330F">
            <w:pPr>
              <w:jc w:val="center"/>
              <w:rPr>
                <w:color w:val="000000" w:themeColor="text1"/>
                <w:sz w:val="22"/>
                <w:szCs w:val="22"/>
              </w:rPr>
            </w:pPr>
            <w:r w:rsidRPr="00E31A5B">
              <w:rPr>
                <w:color w:val="000000" w:themeColor="text1"/>
                <w:sz w:val="22"/>
                <w:szCs w:val="22"/>
              </w:rPr>
              <w:t>GNDIpc vs IEF</w:t>
            </w:r>
          </w:p>
        </w:tc>
        <w:tc>
          <w:tcPr>
            <w:tcW w:w="3600" w:type="dxa"/>
            <w:vAlign w:val="center"/>
          </w:tcPr>
          <w:p w14:paraId="6E0B9C7D" w14:textId="77777777" w:rsidR="00462BBF" w:rsidRPr="00E31A5B" w:rsidRDefault="00462BBF" w:rsidP="0068330F">
            <w:pPr>
              <w:jc w:val="center"/>
              <w:rPr>
                <w:color w:val="000000" w:themeColor="text1"/>
                <w:sz w:val="22"/>
                <w:szCs w:val="22"/>
              </w:rPr>
            </w:pPr>
            <w:r w:rsidRPr="00E31A5B">
              <w:rPr>
                <w:color w:val="000000" w:themeColor="text1"/>
                <w:sz w:val="22"/>
                <w:szCs w:val="22"/>
              </w:rPr>
              <w:t>No constant</w:t>
            </w:r>
          </w:p>
        </w:tc>
        <w:tc>
          <w:tcPr>
            <w:tcW w:w="2430" w:type="dxa"/>
            <w:vAlign w:val="center"/>
          </w:tcPr>
          <w:p w14:paraId="4E7F564E"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0ED5CDF8" w14:textId="77777777" w:rsidTr="00A9142C">
        <w:tc>
          <w:tcPr>
            <w:tcW w:w="1885" w:type="dxa"/>
            <w:vMerge/>
            <w:vAlign w:val="center"/>
          </w:tcPr>
          <w:p w14:paraId="64F54366" w14:textId="77777777" w:rsidR="00462BBF" w:rsidRPr="00E31A5B" w:rsidRDefault="00462BBF" w:rsidP="0068330F">
            <w:pPr>
              <w:jc w:val="center"/>
              <w:rPr>
                <w:color w:val="000000" w:themeColor="text1"/>
                <w:sz w:val="22"/>
                <w:szCs w:val="22"/>
              </w:rPr>
            </w:pPr>
          </w:p>
        </w:tc>
        <w:tc>
          <w:tcPr>
            <w:tcW w:w="3600" w:type="dxa"/>
            <w:vAlign w:val="center"/>
          </w:tcPr>
          <w:p w14:paraId="30278AD4" w14:textId="77777777" w:rsidR="00462BBF" w:rsidRPr="00E31A5B" w:rsidRDefault="00462BBF" w:rsidP="0068330F">
            <w:pPr>
              <w:jc w:val="center"/>
              <w:rPr>
                <w:color w:val="000000" w:themeColor="text1"/>
                <w:sz w:val="22"/>
                <w:szCs w:val="22"/>
              </w:rPr>
            </w:pPr>
            <w:r w:rsidRPr="00E31A5B">
              <w:rPr>
                <w:color w:val="000000" w:themeColor="text1"/>
                <w:sz w:val="22"/>
                <w:szCs w:val="22"/>
              </w:rPr>
              <w:t xml:space="preserve">Restricted constant </w:t>
            </w:r>
          </w:p>
        </w:tc>
        <w:tc>
          <w:tcPr>
            <w:tcW w:w="2430" w:type="dxa"/>
            <w:vAlign w:val="center"/>
          </w:tcPr>
          <w:p w14:paraId="7805BAA2"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6E4EF2B7" w14:textId="77777777" w:rsidTr="00A9142C">
        <w:tc>
          <w:tcPr>
            <w:tcW w:w="1885" w:type="dxa"/>
            <w:vMerge/>
            <w:vAlign w:val="center"/>
          </w:tcPr>
          <w:p w14:paraId="3B4B52F9" w14:textId="77777777" w:rsidR="00462BBF" w:rsidRPr="00E31A5B" w:rsidRDefault="00462BBF" w:rsidP="0068330F">
            <w:pPr>
              <w:jc w:val="center"/>
              <w:rPr>
                <w:color w:val="000000" w:themeColor="text1"/>
                <w:sz w:val="22"/>
                <w:szCs w:val="22"/>
              </w:rPr>
            </w:pPr>
          </w:p>
        </w:tc>
        <w:tc>
          <w:tcPr>
            <w:tcW w:w="3600" w:type="dxa"/>
            <w:vAlign w:val="center"/>
          </w:tcPr>
          <w:p w14:paraId="53BAF6EB" w14:textId="77777777" w:rsidR="00462BBF" w:rsidRPr="00E31A5B" w:rsidRDefault="00462BBF" w:rsidP="0068330F">
            <w:pPr>
              <w:jc w:val="center"/>
              <w:rPr>
                <w:color w:val="000000" w:themeColor="text1"/>
                <w:sz w:val="22"/>
                <w:szCs w:val="22"/>
              </w:rPr>
            </w:pPr>
            <w:r w:rsidRPr="00E31A5B">
              <w:rPr>
                <w:color w:val="000000" w:themeColor="text1"/>
                <w:sz w:val="22"/>
                <w:szCs w:val="22"/>
              </w:rPr>
              <w:t>Unrestricted constant</w:t>
            </w:r>
          </w:p>
        </w:tc>
        <w:tc>
          <w:tcPr>
            <w:tcW w:w="2430" w:type="dxa"/>
            <w:vAlign w:val="center"/>
          </w:tcPr>
          <w:p w14:paraId="469F74C1" w14:textId="77777777" w:rsidR="00462BBF" w:rsidRPr="00E31A5B" w:rsidRDefault="00462BBF" w:rsidP="0068330F">
            <w:pPr>
              <w:jc w:val="center"/>
              <w:rPr>
                <w:color w:val="000000" w:themeColor="text1"/>
                <w:sz w:val="22"/>
                <w:szCs w:val="22"/>
              </w:rPr>
            </w:pPr>
            <w:r w:rsidRPr="00E31A5B">
              <w:rPr>
                <w:color w:val="000000" w:themeColor="text1"/>
                <w:sz w:val="22"/>
                <w:szCs w:val="22"/>
              </w:rPr>
              <w:t>No</w:t>
            </w:r>
          </w:p>
        </w:tc>
      </w:tr>
      <w:tr w:rsidR="00462BBF" w:rsidRPr="00E31A5B" w14:paraId="7D2B531C" w14:textId="77777777" w:rsidTr="00A9142C">
        <w:tc>
          <w:tcPr>
            <w:tcW w:w="1885" w:type="dxa"/>
            <w:vMerge/>
            <w:vAlign w:val="center"/>
          </w:tcPr>
          <w:p w14:paraId="65C2582E" w14:textId="77777777" w:rsidR="00462BBF" w:rsidRPr="00E31A5B" w:rsidRDefault="00462BBF" w:rsidP="0068330F">
            <w:pPr>
              <w:jc w:val="center"/>
              <w:rPr>
                <w:color w:val="000000" w:themeColor="text1"/>
                <w:sz w:val="22"/>
                <w:szCs w:val="22"/>
              </w:rPr>
            </w:pPr>
          </w:p>
        </w:tc>
        <w:tc>
          <w:tcPr>
            <w:tcW w:w="3600" w:type="dxa"/>
            <w:vAlign w:val="center"/>
          </w:tcPr>
          <w:p w14:paraId="6BBDC6BB" w14:textId="15A684E7" w:rsidR="00462BBF" w:rsidRPr="00E31A5B" w:rsidRDefault="00462BBF" w:rsidP="0068330F">
            <w:pPr>
              <w:jc w:val="center"/>
              <w:rPr>
                <w:color w:val="000000" w:themeColor="text1"/>
                <w:sz w:val="22"/>
                <w:szCs w:val="22"/>
              </w:rPr>
            </w:pPr>
            <w:r w:rsidRPr="00E31A5B">
              <w:rPr>
                <w:color w:val="000000" w:themeColor="text1"/>
                <w:sz w:val="22"/>
                <w:szCs w:val="22"/>
              </w:rPr>
              <w:t>Restricted trend</w:t>
            </w:r>
          </w:p>
        </w:tc>
        <w:tc>
          <w:tcPr>
            <w:tcW w:w="2430" w:type="dxa"/>
            <w:vAlign w:val="center"/>
          </w:tcPr>
          <w:p w14:paraId="6A7DF4F5"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4C3E26E6" w14:textId="77777777" w:rsidTr="00A9142C">
        <w:tc>
          <w:tcPr>
            <w:tcW w:w="1885" w:type="dxa"/>
            <w:vMerge/>
            <w:vAlign w:val="center"/>
          </w:tcPr>
          <w:p w14:paraId="02205FE6" w14:textId="77777777" w:rsidR="00462BBF" w:rsidRPr="00E31A5B" w:rsidRDefault="00462BBF" w:rsidP="0068330F">
            <w:pPr>
              <w:jc w:val="center"/>
              <w:rPr>
                <w:color w:val="000000" w:themeColor="text1"/>
                <w:sz w:val="22"/>
                <w:szCs w:val="22"/>
              </w:rPr>
            </w:pPr>
          </w:p>
        </w:tc>
        <w:tc>
          <w:tcPr>
            <w:tcW w:w="3600" w:type="dxa"/>
            <w:vAlign w:val="center"/>
          </w:tcPr>
          <w:p w14:paraId="2F0B9E72" w14:textId="77777777" w:rsidR="00462BBF" w:rsidRPr="00E31A5B" w:rsidRDefault="00462BBF" w:rsidP="0068330F">
            <w:pPr>
              <w:jc w:val="center"/>
              <w:rPr>
                <w:color w:val="000000" w:themeColor="text1"/>
                <w:sz w:val="22"/>
                <w:szCs w:val="22"/>
              </w:rPr>
            </w:pPr>
            <w:r w:rsidRPr="00E31A5B">
              <w:rPr>
                <w:color w:val="000000" w:themeColor="text1"/>
                <w:sz w:val="22"/>
                <w:szCs w:val="22"/>
              </w:rPr>
              <w:t>Unrestricted trend</w:t>
            </w:r>
          </w:p>
        </w:tc>
        <w:tc>
          <w:tcPr>
            <w:tcW w:w="2430" w:type="dxa"/>
            <w:vAlign w:val="center"/>
          </w:tcPr>
          <w:p w14:paraId="6BCA557A"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bl>
    <w:p w14:paraId="07672FE2" w14:textId="5222407A" w:rsidR="00462BBF" w:rsidRPr="00E31A5B" w:rsidRDefault="00462BBF" w:rsidP="0068330F">
      <w:pPr>
        <w:spacing w:after="0" w:line="240" w:lineRule="auto"/>
        <w:rPr>
          <w:rFonts w:ascii="Times New Roman" w:hAnsi="Times New Roman" w:cs="Times New Roman"/>
          <w:color w:val="000000" w:themeColor="text1"/>
        </w:rPr>
      </w:pPr>
      <w:r w:rsidRPr="00E31A5B">
        <w:rPr>
          <w:rFonts w:ascii="Times New Roman" w:hAnsi="Times New Roman" w:cs="Times New Roman"/>
          <w:i/>
          <w:iCs/>
          <w:color w:val="000000" w:themeColor="text1"/>
        </w:rPr>
        <w:t>Note:</w:t>
      </w:r>
      <w:r w:rsidRPr="00E31A5B">
        <w:rPr>
          <w:rFonts w:ascii="Times New Roman" w:hAnsi="Times New Roman" w:cs="Times New Roman"/>
          <w:color w:val="000000" w:themeColor="text1"/>
        </w:rPr>
        <w:t xml:space="preserve"> (a) The results of the cointegration test for GNDI with GDP </w:t>
      </w:r>
      <w:proofErr w:type="gramStart"/>
      <w:r w:rsidRPr="00E31A5B">
        <w:rPr>
          <w:rFonts w:ascii="Times New Roman" w:hAnsi="Times New Roman" w:cs="Times New Roman"/>
          <w:color w:val="000000" w:themeColor="text1"/>
        </w:rPr>
        <w:t>are reported</w:t>
      </w:r>
      <w:proofErr w:type="gramEnd"/>
      <w:r w:rsidRPr="00E31A5B">
        <w:rPr>
          <w:rFonts w:ascii="Times New Roman" w:hAnsi="Times New Roman" w:cs="Times New Roman"/>
          <w:color w:val="000000" w:themeColor="text1"/>
        </w:rPr>
        <w:t xml:space="preserve"> in Table </w:t>
      </w:r>
      <w:r w:rsidR="00361477">
        <w:rPr>
          <w:rFonts w:ascii="Times New Roman" w:hAnsi="Times New Roman" w:cs="Times New Roman"/>
          <w:color w:val="000000" w:themeColor="text1"/>
        </w:rPr>
        <w:t>18</w:t>
      </w:r>
      <w:r w:rsidRPr="00E31A5B">
        <w:rPr>
          <w:rFonts w:ascii="Times New Roman" w:hAnsi="Times New Roman" w:cs="Times New Roman"/>
          <w:color w:val="000000" w:themeColor="text1"/>
        </w:rPr>
        <w:t>.</w:t>
      </w:r>
    </w:p>
    <w:p w14:paraId="1CA49AEA" w14:textId="77777777" w:rsidR="00462BBF" w:rsidRPr="00E31A5B" w:rsidRDefault="00462BBF" w:rsidP="0068330F">
      <w:pPr>
        <w:spacing w:after="0" w:line="240" w:lineRule="auto"/>
        <w:rPr>
          <w:rFonts w:ascii="Times New Roman" w:hAnsi="Times New Roman" w:cs="Times New Roman"/>
          <w:color w:val="000000" w:themeColor="text1"/>
        </w:rPr>
      </w:pPr>
    </w:p>
    <w:p w14:paraId="71D7C41E" w14:textId="2B97F83D" w:rsidR="00462BBF" w:rsidRPr="00E31A5B" w:rsidRDefault="00462BBF" w:rsidP="0068330F">
      <w:pPr>
        <w:pStyle w:val="MyTables"/>
      </w:pPr>
      <w:bookmarkStart w:id="52" w:name="_Toc79604566"/>
      <w:r w:rsidRPr="00E31A5B">
        <w:t xml:space="preserve">Table </w:t>
      </w:r>
      <w:bookmarkEnd w:id="52"/>
      <w:r w:rsidR="00155203">
        <w:t>20</w:t>
      </w:r>
      <w:r w:rsidRPr="00E31A5B">
        <w:t xml:space="preserve"> </w:t>
      </w:r>
    </w:p>
    <w:p w14:paraId="7D8BAD2E" w14:textId="0365065D" w:rsidR="00462BBF" w:rsidRPr="00087FEF" w:rsidRDefault="00462BBF" w:rsidP="0068330F">
      <w:pPr>
        <w:pStyle w:val="MyTables"/>
        <w:rPr>
          <w:rFonts w:cs="Times New Roman"/>
          <w:b w:val="0"/>
          <w:bCs w:val="0"/>
          <w:i/>
          <w:szCs w:val="24"/>
        </w:rPr>
      </w:pPr>
      <w:bookmarkStart w:id="53" w:name="_Toc79604567"/>
      <w:r w:rsidRPr="00087FEF">
        <w:rPr>
          <w:rFonts w:cs="Times New Roman"/>
          <w:b w:val="0"/>
          <w:bCs w:val="0"/>
          <w:i/>
          <w:szCs w:val="24"/>
        </w:rPr>
        <w:t>Summary of HDI</w:t>
      </w:r>
      <w:r w:rsidR="00786712">
        <w:rPr>
          <w:rFonts w:cs="Times New Roman"/>
          <w:b w:val="0"/>
          <w:bCs w:val="0"/>
          <w:i/>
          <w:szCs w:val="24"/>
        </w:rPr>
        <w:t xml:space="preserve"> </w:t>
      </w:r>
      <w:r w:rsidRPr="00087FEF">
        <w:rPr>
          <w:rFonts w:cs="Times New Roman"/>
          <w:b w:val="0"/>
          <w:bCs w:val="0"/>
          <w:i/>
          <w:szCs w:val="24"/>
        </w:rPr>
        <w:t>and IEF paired variables JC testing.</w:t>
      </w:r>
      <w:bookmarkEnd w:id="53"/>
    </w:p>
    <w:tbl>
      <w:tblPr>
        <w:tblStyle w:val="TableGrid"/>
        <w:tblW w:w="7915" w:type="dxa"/>
        <w:tblBorders>
          <w:insideV w:val="none" w:sz="0" w:space="0" w:color="auto"/>
        </w:tblBorders>
        <w:tblLayout w:type="fixed"/>
        <w:tblLook w:val="04A0" w:firstRow="1" w:lastRow="0" w:firstColumn="1" w:lastColumn="0" w:noHBand="0" w:noVBand="1"/>
      </w:tblPr>
      <w:tblGrid>
        <w:gridCol w:w="1885"/>
        <w:gridCol w:w="3600"/>
        <w:gridCol w:w="2430"/>
      </w:tblGrid>
      <w:tr w:rsidR="00462BBF" w:rsidRPr="00E31A5B" w14:paraId="1757D08A" w14:textId="77777777" w:rsidTr="00A9142C">
        <w:trPr>
          <w:trHeight w:val="431"/>
        </w:trPr>
        <w:tc>
          <w:tcPr>
            <w:tcW w:w="1885" w:type="dxa"/>
            <w:vAlign w:val="center"/>
          </w:tcPr>
          <w:p w14:paraId="727FA855"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Variables</w:t>
            </w:r>
          </w:p>
        </w:tc>
        <w:tc>
          <w:tcPr>
            <w:tcW w:w="3600" w:type="dxa"/>
            <w:vAlign w:val="center"/>
          </w:tcPr>
          <w:p w14:paraId="2669B101"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Scenario</w:t>
            </w:r>
          </w:p>
        </w:tc>
        <w:tc>
          <w:tcPr>
            <w:tcW w:w="2430" w:type="dxa"/>
            <w:vAlign w:val="center"/>
          </w:tcPr>
          <w:p w14:paraId="3FB82B09"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Cointegrated?</w:t>
            </w:r>
          </w:p>
        </w:tc>
      </w:tr>
      <w:tr w:rsidR="00462BBF" w:rsidRPr="00E31A5B" w14:paraId="47198053" w14:textId="77777777" w:rsidTr="00A9142C">
        <w:tc>
          <w:tcPr>
            <w:tcW w:w="1885" w:type="dxa"/>
            <w:vMerge w:val="restart"/>
            <w:vAlign w:val="center"/>
          </w:tcPr>
          <w:p w14:paraId="068E0FCB" w14:textId="77777777" w:rsidR="00462BBF" w:rsidRPr="00E31A5B" w:rsidRDefault="00462BBF" w:rsidP="0068330F">
            <w:pPr>
              <w:jc w:val="center"/>
              <w:rPr>
                <w:color w:val="000000" w:themeColor="text1"/>
                <w:sz w:val="22"/>
                <w:szCs w:val="22"/>
              </w:rPr>
            </w:pPr>
            <w:r w:rsidRPr="00E31A5B">
              <w:rPr>
                <w:color w:val="000000" w:themeColor="text1"/>
                <w:sz w:val="22"/>
                <w:szCs w:val="22"/>
              </w:rPr>
              <w:t>HDI vs IEF</w:t>
            </w:r>
          </w:p>
        </w:tc>
        <w:tc>
          <w:tcPr>
            <w:tcW w:w="3600" w:type="dxa"/>
            <w:vAlign w:val="center"/>
          </w:tcPr>
          <w:p w14:paraId="130095DC" w14:textId="77777777" w:rsidR="00462BBF" w:rsidRPr="00E31A5B" w:rsidRDefault="00462BBF" w:rsidP="0068330F">
            <w:pPr>
              <w:jc w:val="center"/>
              <w:rPr>
                <w:color w:val="000000" w:themeColor="text1"/>
                <w:sz w:val="22"/>
                <w:szCs w:val="22"/>
              </w:rPr>
            </w:pPr>
            <w:r w:rsidRPr="00E31A5B">
              <w:rPr>
                <w:color w:val="000000" w:themeColor="text1"/>
                <w:sz w:val="22"/>
                <w:szCs w:val="22"/>
              </w:rPr>
              <w:t>No constant</w:t>
            </w:r>
          </w:p>
        </w:tc>
        <w:tc>
          <w:tcPr>
            <w:tcW w:w="2430" w:type="dxa"/>
            <w:vAlign w:val="center"/>
          </w:tcPr>
          <w:p w14:paraId="1881D01C"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69DE3C3F" w14:textId="77777777" w:rsidTr="00A9142C">
        <w:tc>
          <w:tcPr>
            <w:tcW w:w="1885" w:type="dxa"/>
            <w:vMerge/>
            <w:vAlign w:val="center"/>
          </w:tcPr>
          <w:p w14:paraId="385CD08C" w14:textId="77777777" w:rsidR="00462BBF" w:rsidRPr="00E31A5B" w:rsidRDefault="00462BBF" w:rsidP="0068330F">
            <w:pPr>
              <w:jc w:val="center"/>
              <w:rPr>
                <w:color w:val="000000" w:themeColor="text1"/>
                <w:sz w:val="22"/>
                <w:szCs w:val="22"/>
              </w:rPr>
            </w:pPr>
          </w:p>
        </w:tc>
        <w:tc>
          <w:tcPr>
            <w:tcW w:w="3600" w:type="dxa"/>
            <w:vAlign w:val="center"/>
          </w:tcPr>
          <w:p w14:paraId="5BB96BAA" w14:textId="77777777" w:rsidR="00462BBF" w:rsidRPr="00E31A5B" w:rsidRDefault="00462BBF" w:rsidP="0068330F">
            <w:pPr>
              <w:jc w:val="center"/>
              <w:rPr>
                <w:color w:val="000000" w:themeColor="text1"/>
                <w:sz w:val="22"/>
                <w:szCs w:val="22"/>
              </w:rPr>
            </w:pPr>
            <w:r w:rsidRPr="00E31A5B">
              <w:rPr>
                <w:color w:val="000000" w:themeColor="text1"/>
                <w:sz w:val="22"/>
                <w:szCs w:val="22"/>
              </w:rPr>
              <w:t xml:space="preserve">Restricted constant </w:t>
            </w:r>
          </w:p>
        </w:tc>
        <w:tc>
          <w:tcPr>
            <w:tcW w:w="2430" w:type="dxa"/>
            <w:vAlign w:val="center"/>
          </w:tcPr>
          <w:p w14:paraId="73644CAB"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74E0BC7E" w14:textId="77777777" w:rsidTr="00A9142C">
        <w:tc>
          <w:tcPr>
            <w:tcW w:w="1885" w:type="dxa"/>
            <w:vMerge/>
            <w:vAlign w:val="center"/>
          </w:tcPr>
          <w:p w14:paraId="0DBA2E1B" w14:textId="77777777" w:rsidR="00462BBF" w:rsidRPr="00E31A5B" w:rsidRDefault="00462BBF" w:rsidP="0068330F">
            <w:pPr>
              <w:jc w:val="center"/>
              <w:rPr>
                <w:color w:val="000000" w:themeColor="text1"/>
                <w:sz w:val="22"/>
                <w:szCs w:val="22"/>
              </w:rPr>
            </w:pPr>
          </w:p>
        </w:tc>
        <w:tc>
          <w:tcPr>
            <w:tcW w:w="3600" w:type="dxa"/>
            <w:vAlign w:val="center"/>
          </w:tcPr>
          <w:p w14:paraId="3A8786E5" w14:textId="77777777" w:rsidR="00462BBF" w:rsidRPr="00E31A5B" w:rsidRDefault="00462BBF" w:rsidP="0068330F">
            <w:pPr>
              <w:jc w:val="center"/>
              <w:rPr>
                <w:color w:val="000000" w:themeColor="text1"/>
                <w:sz w:val="22"/>
                <w:szCs w:val="22"/>
              </w:rPr>
            </w:pPr>
            <w:r w:rsidRPr="00E31A5B">
              <w:rPr>
                <w:color w:val="000000" w:themeColor="text1"/>
                <w:sz w:val="22"/>
                <w:szCs w:val="22"/>
              </w:rPr>
              <w:t>Unrestricted constant</w:t>
            </w:r>
          </w:p>
        </w:tc>
        <w:tc>
          <w:tcPr>
            <w:tcW w:w="2430" w:type="dxa"/>
            <w:vAlign w:val="center"/>
          </w:tcPr>
          <w:p w14:paraId="7C4EC4CC" w14:textId="77777777" w:rsidR="00462BBF" w:rsidRPr="00E31A5B" w:rsidRDefault="00462BBF" w:rsidP="0068330F">
            <w:pPr>
              <w:jc w:val="center"/>
              <w:rPr>
                <w:color w:val="000000" w:themeColor="text1"/>
                <w:sz w:val="22"/>
                <w:szCs w:val="22"/>
              </w:rPr>
            </w:pPr>
            <w:r w:rsidRPr="00E31A5B">
              <w:rPr>
                <w:color w:val="000000" w:themeColor="text1"/>
                <w:sz w:val="22"/>
                <w:szCs w:val="22"/>
              </w:rPr>
              <w:t>No</w:t>
            </w:r>
          </w:p>
        </w:tc>
      </w:tr>
      <w:tr w:rsidR="00462BBF" w:rsidRPr="00E31A5B" w14:paraId="779B7A6E" w14:textId="77777777" w:rsidTr="00A9142C">
        <w:tc>
          <w:tcPr>
            <w:tcW w:w="1885" w:type="dxa"/>
            <w:vMerge/>
            <w:vAlign w:val="center"/>
          </w:tcPr>
          <w:p w14:paraId="6CAC2DAC" w14:textId="77777777" w:rsidR="00462BBF" w:rsidRPr="00E31A5B" w:rsidRDefault="00462BBF" w:rsidP="0068330F">
            <w:pPr>
              <w:jc w:val="center"/>
              <w:rPr>
                <w:color w:val="000000" w:themeColor="text1"/>
                <w:sz w:val="22"/>
                <w:szCs w:val="22"/>
              </w:rPr>
            </w:pPr>
          </w:p>
        </w:tc>
        <w:tc>
          <w:tcPr>
            <w:tcW w:w="3600" w:type="dxa"/>
            <w:vAlign w:val="center"/>
          </w:tcPr>
          <w:p w14:paraId="24612216" w14:textId="304542C6" w:rsidR="00462BBF" w:rsidRPr="00E31A5B" w:rsidRDefault="00462BBF" w:rsidP="0068330F">
            <w:pPr>
              <w:jc w:val="center"/>
              <w:rPr>
                <w:color w:val="000000" w:themeColor="text1"/>
                <w:sz w:val="22"/>
                <w:szCs w:val="22"/>
              </w:rPr>
            </w:pPr>
            <w:r w:rsidRPr="00E31A5B">
              <w:rPr>
                <w:color w:val="000000" w:themeColor="text1"/>
                <w:sz w:val="22"/>
                <w:szCs w:val="22"/>
              </w:rPr>
              <w:t>Restricted trend</w:t>
            </w:r>
          </w:p>
        </w:tc>
        <w:tc>
          <w:tcPr>
            <w:tcW w:w="2430" w:type="dxa"/>
            <w:vAlign w:val="center"/>
          </w:tcPr>
          <w:p w14:paraId="3D65708C"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r w:rsidR="00462BBF" w:rsidRPr="00E31A5B" w14:paraId="72C2D22C" w14:textId="77777777" w:rsidTr="00A9142C">
        <w:tc>
          <w:tcPr>
            <w:tcW w:w="1885" w:type="dxa"/>
            <w:vMerge/>
            <w:vAlign w:val="center"/>
          </w:tcPr>
          <w:p w14:paraId="22B4CA6B" w14:textId="77777777" w:rsidR="00462BBF" w:rsidRPr="00E31A5B" w:rsidRDefault="00462BBF" w:rsidP="0068330F">
            <w:pPr>
              <w:jc w:val="center"/>
              <w:rPr>
                <w:color w:val="000000" w:themeColor="text1"/>
                <w:sz w:val="22"/>
                <w:szCs w:val="22"/>
              </w:rPr>
            </w:pPr>
          </w:p>
        </w:tc>
        <w:tc>
          <w:tcPr>
            <w:tcW w:w="3600" w:type="dxa"/>
            <w:vAlign w:val="center"/>
          </w:tcPr>
          <w:p w14:paraId="0CC63979" w14:textId="77777777" w:rsidR="00462BBF" w:rsidRPr="00E31A5B" w:rsidRDefault="00462BBF" w:rsidP="0068330F">
            <w:pPr>
              <w:jc w:val="center"/>
              <w:rPr>
                <w:color w:val="000000" w:themeColor="text1"/>
                <w:sz w:val="22"/>
                <w:szCs w:val="22"/>
              </w:rPr>
            </w:pPr>
            <w:r w:rsidRPr="00E31A5B">
              <w:rPr>
                <w:color w:val="000000" w:themeColor="text1"/>
                <w:sz w:val="22"/>
                <w:szCs w:val="22"/>
              </w:rPr>
              <w:t>Unrestricted trend</w:t>
            </w:r>
          </w:p>
        </w:tc>
        <w:tc>
          <w:tcPr>
            <w:tcW w:w="2430" w:type="dxa"/>
            <w:vAlign w:val="center"/>
          </w:tcPr>
          <w:p w14:paraId="2B979F31" w14:textId="77777777" w:rsidR="00462BBF" w:rsidRPr="00E31A5B" w:rsidRDefault="00462BBF" w:rsidP="0068330F">
            <w:pPr>
              <w:jc w:val="center"/>
              <w:rPr>
                <w:color w:val="000000" w:themeColor="text1"/>
                <w:sz w:val="22"/>
                <w:szCs w:val="22"/>
              </w:rPr>
            </w:pPr>
            <w:r w:rsidRPr="00E31A5B">
              <w:rPr>
                <w:color w:val="000000" w:themeColor="text1"/>
                <w:sz w:val="22"/>
                <w:szCs w:val="22"/>
              </w:rPr>
              <w:t>Yes</w:t>
            </w:r>
          </w:p>
        </w:tc>
      </w:tr>
    </w:tbl>
    <w:p w14:paraId="515C9779" w14:textId="6D078249" w:rsidR="00462BBF" w:rsidRPr="00E31A5B" w:rsidRDefault="00462BBF" w:rsidP="0068330F">
      <w:pPr>
        <w:spacing w:after="0" w:line="240" w:lineRule="auto"/>
        <w:rPr>
          <w:rFonts w:ascii="Times New Roman" w:hAnsi="Times New Roman" w:cs="Times New Roman"/>
          <w:color w:val="000000" w:themeColor="text1"/>
        </w:rPr>
      </w:pPr>
      <w:r w:rsidRPr="00E31A5B">
        <w:rPr>
          <w:rFonts w:ascii="Times New Roman" w:hAnsi="Times New Roman" w:cs="Times New Roman"/>
          <w:i/>
          <w:iCs/>
          <w:color w:val="000000" w:themeColor="text1"/>
        </w:rPr>
        <w:t>Note:</w:t>
      </w:r>
      <w:r w:rsidRPr="00E31A5B">
        <w:rPr>
          <w:rFonts w:ascii="Times New Roman" w:hAnsi="Times New Roman" w:cs="Times New Roman"/>
          <w:color w:val="000000" w:themeColor="text1"/>
        </w:rPr>
        <w:t xml:space="preserve"> (a) The results of the cointegration test for </w:t>
      </w:r>
      <w:r w:rsidR="00EE6A50">
        <w:rPr>
          <w:rFonts w:ascii="Times New Roman" w:hAnsi="Times New Roman" w:cs="Times New Roman"/>
          <w:color w:val="000000" w:themeColor="text1"/>
        </w:rPr>
        <w:t xml:space="preserve">GDPpc vs </w:t>
      </w:r>
      <w:r w:rsidRPr="00E31A5B">
        <w:rPr>
          <w:rFonts w:ascii="Times New Roman" w:hAnsi="Times New Roman" w:cs="Times New Roman"/>
          <w:color w:val="000000" w:themeColor="text1"/>
        </w:rPr>
        <w:t>HDI,</w:t>
      </w:r>
      <w:r w:rsidR="00EE6A50">
        <w:rPr>
          <w:rFonts w:ascii="Times New Roman" w:hAnsi="Times New Roman" w:cs="Times New Roman"/>
          <w:color w:val="000000" w:themeColor="text1"/>
        </w:rPr>
        <w:t xml:space="preserve"> GNDIpc vs HDI,</w:t>
      </w:r>
      <w:r w:rsidRPr="00E31A5B">
        <w:rPr>
          <w:rFonts w:ascii="Times New Roman" w:hAnsi="Times New Roman" w:cs="Times New Roman"/>
          <w:color w:val="000000" w:themeColor="text1"/>
        </w:rPr>
        <w:t xml:space="preserve"> </w:t>
      </w:r>
      <w:r w:rsidR="00EE6A50">
        <w:rPr>
          <w:rFonts w:ascii="Times New Roman" w:hAnsi="Times New Roman" w:cs="Times New Roman"/>
          <w:color w:val="000000" w:themeColor="text1"/>
        </w:rPr>
        <w:t xml:space="preserve">GDPpc vs </w:t>
      </w:r>
      <w:r w:rsidRPr="00E31A5B">
        <w:rPr>
          <w:rFonts w:ascii="Times New Roman" w:hAnsi="Times New Roman" w:cs="Times New Roman"/>
          <w:color w:val="000000" w:themeColor="text1"/>
        </w:rPr>
        <w:t>IEF</w:t>
      </w:r>
      <w:r w:rsidR="00EE6A50">
        <w:rPr>
          <w:rFonts w:ascii="Times New Roman" w:hAnsi="Times New Roman" w:cs="Times New Roman"/>
          <w:color w:val="000000" w:themeColor="text1"/>
        </w:rPr>
        <w:t>, and GNDIpc vs IEFs</w:t>
      </w:r>
      <w:r w:rsidRPr="00E31A5B">
        <w:rPr>
          <w:rFonts w:ascii="Times New Roman" w:hAnsi="Times New Roman" w:cs="Times New Roman"/>
          <w:color w:val="000000" w:themeColor="text1"/>
        </w:rPr>
        <w:t xml:space="preserve"> </w:t>
      </w:r>
      <w:proofErr w:type="gramStart"/>
      <w:r w:rsidRPr="00E31A5B">
        <w:rPr>
          <w:rFonts w:ascii="Times New Roman" w:hAnsi="Times New Roman" w:cs="Times New Roman"/>
          <w:color w:val="000000" w:themeColor="text1"/>
        </w:rPr>
        <w:t>are reported</w:t>
      </w:r>
      <w:proofErr w:type="gramEnd"/>
      <w:r w:rsidRPr="00E31A5B">
        <w:rPr>
          <w:rFonts w:ascii="Times New Roman" w:hAnsi="Times New Roman" w:cs="Times New Roman"/>
          <w:color w:val="000000" w:themeColor="text1"/>
        </w:rPr>
        <w:t xml:space="preserve"> in Tables </w:t>
      </w:r>
      <w:r w:rsidR="002570E6">
        <w:rPr>
          <w:rFonts w:ascii="Times New Roman" w:hAnsi="Times New Roman" w:cs="Times New Roman"/>
          <w:color w:val="000000" w:themeColor="text1"/>
        </w:rPr>
        <w:t>18</w:t>
      </w:r>
      <w:r w:rsidRPr="00E31A5B">
        <w:rPr>
          <w:rFonts w:ascii="Times New Roman" w:hAnsi="Times New Roman" w:cs="Times New Roman"/>
          <w:color w:val="000000" w:themeColor="text1"/>
        </w:rPr>
        <w:t xml:space="preserve"> and </w:t>
      </w:r>
      <w:r w:rsidR="002570E6">
        <w:rPr>
          <w:rFonts w:ascii="Times New Roman" w:hAnsi="Times New Roman" w:cs="Times New Roman"/>
          <w:color w:val="000000" w:themeColor="text1"/>
        </w:rPr>
        <w:t>19</w:t>
      </w:r>
      <w:r w:rsidRPr="00E31A5B">
        <w:rPr>
          <w:rFonts w:ascii="Times New Roman" w:hAnsi="Times New Roman" w:cs="Times New Roman"/>
          <w:color w:val="000000" w:themeColor="text1"/>
        </w:rPr>
        <w:t>.</w:t>
      </w:r>
    </w:p>
    <w:p w14:paraId="682BEAE0" w14:textId="77777777" w:rsidR="00462BBF" w:rsidRPr="00E31A5B" w:rsidRDefault="00462BBF" w:rsidP="0068330F">
      <w:pPr>
        <w:spacing w:after="0" w:line="240" w:lineRule="auto"/>
        <w:rPr>
          <w:rFonts w:ascii="Times New Roman" w:hAnsi="Times New Roman" w:cs="Times New Roman"/>
          <w:color w:val="000000" w:themeColor="text1"/>
        </w:rPr>
      </w:pPr>
    </w:p>
    <w:p w14:paraId="77DE7F1E" w14:textId="7C90B013" w:rsidR="00462BBF" w:rsidRPr="00E31A5B" w:rsidRDefault="00462BBF" w:rsidP="0068330F">
      <w:pPr>
        <w:pStyle w:val="MyTables"/>
      </w:pPr>
      <w:bookmarkStart w:id="54" w:name="_Toc79604568"/>
      <w:r w:rsidRPr="00E31A5B">
        <w:t xml:space="preserve">Table </w:t>
      </w:r>
      <w:bookmarkEnd w:id="54"/>
      <w:r w:rsidR="00155203">
        <w:t>21</w:t>
      </w:r>
      <w:r w:rsidRPr="00E31A5B">
        <w:t xml:space="preserve"> </w:t>
      </w:r>
    </w:p>
    <w:p w14:paraId="2DBFA9BF" w14:textId="77777777" w:rsidR="00462BBF" w:rsidRPr="00087FEF" w:rsidRDefault="00462BBF" w:rsidP="0068330F">
      <w:pPr>
        <w:pStyle w:val="MyTables"/>
        <w:rPr>
          <w:rFonts w:cs="Times New Roman"/>
          <w:b w:val="0"/>
          <w:bCs w:val="0"/>
          <w:i/>
          <w:szCs w:val="24"/>
        </w:rPr>
      </w:pPr>
      <w:bookmarkStart w:id="55" w:name="_Toc79604569"/>
      <w:r w:rsidRPr="00087FEF">
        <w:rPr>
          <w:rFonts w:cs="Times New Roman"/>
          <w:b w:val="0"/>
          <w:bCs w:val="0"/>
          <w:i/>
          <w:szCs w:val="24"/>
        </w:rPr>
        <w:t>Summary of cointegrated scenarios for paired growth indicators JC testing.</w:t>
      </w:r>
      <w:bookmarkEnd w:id="55"/>
    </w:p>
    <w:tbl>
      <w:tblPr>
        <w:tblStyle w:val="TableGrid"/>
        <w:tblW w:w="6385" w:type="dxa"/>
        <w:tblBorders>
          <w:insideV w:val="none" w:sz="0" w:space="0" w:color="auto"/>
        </w:tblBorders>
        <w:tblLayout w:type="fixed"/>
        <w:tblLook w:val="04A0" w:firstRow="1" w:lastRow="0" w:firstColumn="1" w:lastColumn="0" w:noHBand="0" w:noVBand="1"/>
      </w:tblPr>
      <w:tblGrid>
        <w:gridCol w:w="2605"/>
        <w:gridCol w:w="3780"/>
      </w:tblGrid>
      <w:tr w:rsidR="00462BBF" w:rsidRPr="00E31A5B" w14:paraId="03AC14AF" w14:textId="77777777" w:rsidTr="00A9142C">
        <w:trPr>
          <w:trHeight w:val="431"/>
        </w:trPr>
        <w:tc>
          <w:tcPr>
            <w:tcW w:w="2605" w:type="dxa"/>
            <w:vAlign w:val="center"/>
          </w:tcPr>
          <w:p w14:paraId="2CDFC401"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Variables</w:t>
            </w:r>
          </w:p>
        </w:tc>
        <w:tc>
          <w:tcPr>
            <w:tcW w:w="3780" w:type="dxa"/>
            <w:vAlign w:val="center"/>
          </w:tcPr>
          <w:p w14:paraId="1F6F1602" w14:textId="77777777" w:rsidR="00462BBF" w:rsidRPr="00E31A5B" w:rsidRDefault="00462BBF" w:rsidP="0068330F">
            <w:pPr>
              <w:jc w:val="center"/>
              <w:rPr>
                <w:b/>
                <w:bCs/>
                <w:color w:val="000000" w:themeColor="text1"/>
                <w:sz w:val="23"/>
                <w:szCs w:val="23"/>
              </w:rPr>
            </w:pPr>
            <w:r w:rsidRPr="00E31A5B">
              <w:rPr>
                <w:b/>
                <w:bCs/>
                <w:color w:val="000000" w:themeColor="text1"/>
                <w:sz w:val="23"/>
                <w:szCs w:val="23"/>
              </w:rPr>
              <w:t>Number of Cointegrated Scenarios</w:t>
            </w:r>
          </w:p>
        </w:tc>
      </w:tr>
      <w:tr w:rsidR="00462BBF" w:rsidRPr="00E31A5B" w14:paraId="196BCF86" w14:textId="77777777" w:rsidTr="00A9142C">
        <w:tc>
          <w:tcPr>
            <w:tcW w:w="2605" w:type="dxa"/>
            <w:vAlign w:val="center"/>
          </w:tcPr>
          <w:p w14:paraId="7BA23BC3" w14:textId="77777777" w:rsidR="00462BBF" w:rsidRPr="00E31A5B" w:rsidRDefault="00462BBF" w:rsidP="0068330F">
            <w:pPr>
              <w:jc w:val="center"/>
              <w:rPr>
                <w:color w:val="000000" w:themeColor="text1"/>
                <w:sz w:val="22"/>
                <w:szCs w:val="22"/>
              </w:rPr>
            </w:pPr>
            <w:r w:rsidRPr="00E31A5B">
              <w:rPr>
                <w:color w:val="000000" w:themeColor="text1"/>
                <w:sz w:val="22"/>
                <w:szCs w:val="22"/>
              </w:rPr>
              <w:t>GDPpc vs GNDIpc</w:t>
            </w:r>
          </w:p>
        </w:tc>
        <w:tc>
          <w:tcPr>
            <w:tcW w:w="3780" w:type="dxa"/>
            <w:vAlign w:val="center"/>
          </w:tcPr>
          <w:p w14:paraId="19DB9EE7" w14:textId="77777777" w:rsidR="00462BBF" w:rsidRPr="00E31A5B" w:rsidRDefault="00462BBF" w:rsidP="0068330F">
            <w:pPr>
              <w:jc w:val="center"/>
              <w:rPr>
                <w:color w:val="000000" w:themeColor="text1"/>
                <w:sz w:val="22"/>
                <w:szCs w:val="22"/>
              </w:rPr>
            </w:pPr>
            <w:r w:rsidRPr="00E31A5B">
              <w:rPr>
                <w:color w:val="000000" w:themeColor="text1"/>
                <w:sz w:val="22"/>
                <w:szCs w:val="22"/>
              </w:rPr>
              <w:t>3</w:t>
            </w:r>
          </w:p>
        </w:tc>
      </w:tr>
      <w:tr w:rsidR="00462BBF" w:rsidRPr="00E31A5B" w14:paraId="06CA99DE" w14:textId="77777777" w:rsidTr="00A9142C">
        <w:tc>
          <w:tcPr>
            <w:tcW w:w="2605" w:type="dxa"/>
            <w:vAlign w:val="center"/>
          </w:tcPr>
          <w:p w14:paraId="580505B8" w14:textId="77777777" w:rsidR="00462BBF" w:rsidRPr="00E31A5B" w:rsidRDefault="00462BBF" w:rsidP="0068330F">
            <w:pPr>
              <w:jc w:val="center"/>
              <w:rPr>
                <w:color w:val="000000" w:themeColor="text1"/>
                <w:sz w:val="22"/>
                <w:szCs w:val="22"/>
              </w:rPr>
            </w:pPr>
            <w:r w:rsidRPr="00E31A5B">
              <w:rPr>
                <w:color w:val="000000" w:themeColor="text1"/>
                <w:sz w:val="22"/>
                <w:szCs w:val="22"/>
              </w:rPr>
              <w:t>GDPpc vs HDI</w:t>
            </w:r>
          </w:p>
        </w:tc>
        <w:tc>
          <w:tcPr>
            <w:tcW w:w="3780" w:type="dxa"/>
            <w:vAlign w:val="center"/>
          </w:tcPr>
          <w:p w14:paraId="53B94CF8" w14:textId="77777777" w:rsidR="00462BBF" w:rsidRPr="00E31A5B" w:rsidRDefault="00462BBF" w:rsidP="0068330F">
            <w:pPr>
              <w:jc w:val="center"/>
              <w:rPr>
                <w:color w:val="000000" w:themeColor="text1"/>
                <w:sz w:val="22"/>
                <w:szCs w:val="22"/>
              </w:rPr>
            </w:pPr>
            <w:r w:rsidRPr="00E31A5B">
              <w:rPr>
                <w:color w:val="000000" w:themeColor="text1"/>
                <w:sz w:val="22"/>
                <w:szCs w:val="22"/>
              </w:rPr>
              <w:t>2</w:t>
            </w:r>
          </w:p>
        </w:tc>
      </w:tr>
      <w:tr w:rsidR="00462BBF" w:rsidRPr="00E31A5B" w14:paraId="11290A27" w14:textId="77777777" w:rsidTr="00A9142C">
        <w:tc>
          <w:tcPr>
            <w:tcW w:w="2605" w:type="dxa"/>
            <w:vAlign w:val="center"/>
          </w:tcPr>
          <w:p w14:paraId="7695E4ED" w14:textId="77777777" w:rsidR="00462BBF" w:rsidRPr="00E31A5B" w:rsidRDefault="00462BBF" w:rsidP="0068330F">
            <w:pPr>
              <w:jc w:val="center"/>
              <w:rPr>
                <w:color w:val="000000" w:themeColor="text1"/>
                <w:sz w:val="22"/>
                <w:szCs w:val="22"/>
              </w:rPr>
            </w:pPr>
            <w:r w:rsidRPr="00E31A5B">
              <w:rPr>
                <w:color w:val="000000" w:themeColor="text1"/>
                <w:sz w:val="22"/>
                <w:szCs w:val="22"/>
              </w:rPr>
              <w:t>GDPpc vs IEF</w:t>
            </w:r>
          </w:p>
        </w:tc>
        <w:tc>
          <w:tcPr>
            <w:tcW w:w="3780" w:type="dxa"/>
            <w:vAlign w:val="center"/>
          </w:tcPr>
          <w:p w14:paraId="6F7C5DD8" w14:textId="77777777" w:rsidR="00462BBF" w:rsidRPr="00E31A5B" w:rsidRDefault="00462BBF" w:rsidP="0068330F">
            <w:pPr>
              <w:jc w:val="center"/>
              <w:rPr>
                <w:color w:val="000000" w:themeColor="text1"/>
                <w:sz w:val="22"/>
                <w:szCs w:val="22"/>
              </w:rPr>
            </w:pPr>
            <w:r w:rsidRPr="00E31A5B">
              <w:rPr>
                <w:color w:val="000000" w:themeColor="text1"/>
                <w:sz w:val="22"/>
                <w:szCs w:val="22"/>
              </w:rPr>
              <w:t>4</w:t>
            </w:r>
          </w:p>
        </w:tc>
      </w:tr>
      <w:tr w:rsidR="00462BBF" w:rsidRPr="00E31A5B" w14:paraId="70905BF5" w14:textId="77777777" w:rsidTr="00A9142C">
        <w:tc>
          <w:tcPr>
            <w:tcW w:w="2605" w:type="dxa"/>
            <w:vAlign w:val="center"/>
          </w:tcPr>
          <w:p w14:paraId="6E77362F" w14:textId="77777777" w:rsidR="00462BBF" w:rsidRPr="00E31A5B" w:rsidRDefault="00462BBF" w:rsidP="0068330F">
            <w:pPr>
              <w:jc w:val="center"/>
              <w:rPr>
                <w:color w:val="000000" w:themeColor="text1"/>
              </w:rPr>
            </w:pPr>
            <w:r w:rsidRPr="00E31A5B">
              <w:rPr>
                <w:color w:val="000000" w:themeColor="text1"/>
                <w:sz w:val="22"/>
                <w:szCs w:val="22"/>
              </w:rPr>
              <w:t>GNDIpc vs HDI</w:t>
            </w:r>
          </w:p>
        </w:tc>
        <w:tc>
          <w:tcPr>
            <w:tcW w:w="3780" w:type="dxa"/>
            <w:vAlign w:val="center"/>
          </w:tcPr>
          <w:p w14:paraId="6E6695DE" w14:textId="77777777" w:rsidR="00462BBF" w:rsidRPr="00E31A5B" w:rsidRDefault="00462BBF" w:rsidP="0068330F">
            <w:pPr>
              <w:jc w:val="center"/>
              <w:rPr>
                <w:color w:val="000000" w:themeColor="text1"/>
              </w:rPr>
            </w:pPr>
            <w:r w:rsidRPr="00E31A5B">
              <w:rPr>
                <w:color w:val="000000" w:themeColor="text1"/>
              </w:rPr>
              <w:t>3</w:t>
            </w:r>
          </w:p>
        </w:tc>
      </w:tr>
      <w:tr w:rsidR="00462BBF" w:rsidRPr="00E31A5B" w14:paraId="7A90709F" w14:textId="77777777" w:rsidTr="00A9142C">
        <w:tc>
          <w:tcPr>
            <w:tcW w:w="2605" w:type="dxa"/>
            <w:vAlign w:val="center"/>
          </w:tcPr>
          <w:p w14:paraId="3E18B8EE" w14:textId="77777777" w:rsidR="00462BBF" w:rsidRPr="00E31A5B" w:rsidRDefault="00462BBF" w:rsidP="0068330F">
            <w:pPr>
              <w:jc w:val="center"/>
              <w:rPr>
                <w:color w:val="000000" w:themeColor="text1"/>
              </w:rPr>
            </w:pPr>
            <w:r w:rsidRPr="00E31A5B">
              <w:rPr>
                <w:color w:val="000000" w:themeColor="text1"/>
                <w:sz w:val="22"/>
                <w:szCs w:val="22"/>
              </w:rPr>
              <w:t>GNDIpc vs IEF</w:t>
            </w:r>
          </w:p>
        </w:tc>
        <w:tc>
          <w:tcPr>
            <w:tcW w:w="3780" w:type="dxa"/>
            <w:vAlign w:val="center"/>
          </w:tcPr>
          <w:p w14:paraId="557B69A3" w14:textId="77777777" w:rsidR="00462BBF" w:rsidRPr="00E31A5B" w:rsidRDefault="00462BBF" w:rsidP="0068330F">
            <w:pPr>
              <w:jc w:val="center"/>
              <w:rPr>
                <w:color w:val="000000" w:themeColor="text1"/>
              </w:rPr>
            </w:pPr>
            <w:r w:rsidRPr="00E31A5B">
              <w:rPr>
                <w:color w:val="000000" w:themeColor="text1"/>
              </w:rPr>
              <w:t>4</w:t>
            </w:r>
          </w:p>
        </w:tc>
      </w:tr>
      <w:tr w:rsidR="00462BBF" w:rsidRPr="00E31A5B" w14:paraId="21919668" w14:textId="77777777" w:rsidTr="00A9142C">
        <w:tc>
          <w:tcPr>
            <w:tcW w:w="2605" w:type="dxa"/>
            <w:vAlign w:val="center"/>
          </w:tcPr>
          <w:p w14:paraId="270FE387" w14:textId="77777777" w:rsidR="00462BBF" w:rsidRPr="00E31A5B" w:rsidRDefault="00462BBF" w:rsidP="0068330F">
            <w:pPr>
              <w:jc w:val="center"/>
              <w:rPr>
                <w:color w:val="000000" w:themeColor="text1"/>
              </w:rPr>
            </w:pPr>
            <w:r w:rsidRPr="00E31A5B">
              <w:rPr>
                <w:color w:val="000000" w:themeColor="text1"/>
                <w:sz w:val="22"/>
                <w:szCs w:val="22"/>
              </w:rPr>
              <w:t>HDI vs IEF</w:t>
            </w:r>
          </w:p>
        </w:tc>
        <w:tc>
          <w:tcPr>
            <w:tcW w:w="3780" w:type="dxa"/>
            <w:vAlign w:val="center"/>
          </w:tcPr>
          <w:p w14:paraId="27988777" w14:textId="77777777" w:rsidR="00462BBF" w:rsidRPr="00E31A5B" w:rsidRDefault="00462BBF" w:rsidP="0068330F">
            <w:pPr>
              <w:jc w:val="center"/>
              <w:rPr>
                <w:color w:val="000000" w:themeColor="text1"/>
              </w:rPr>
            </w:pPr>
            <w:r w:rsidRPr="00E31A5B">
              <w:rPr>
                <w:color w:val="000000" w:themeColor="text1"/>
              </w:rPr>
              <w:t>4</w:t>
            </w:r>
          </w:p>
        </w:tc>
      </w:tr>
    </w:tbl>
    <w:p w14:paraId="525A01C0" w14:textId="76A59405" w:rsidR="00462BBF" w:rsidRPr="00E31A5B" w:rsidRDefault="00462BBF" w:rsidP="0068330F">
      <w:pPr>
        <w:spacing w:after="0" w:line="240" w:lineRule="auto"/>
        <w:rPr>
          <w:rFonts w:ascii="Times New Roman" w:hAnsi="Times New Roman" w:cs="Times New Roman"/>
          <w:color w:val="000000" w:themeColor="text1"/>
        </w:rPr>
      </w:pPr>
      <w:r w:rsidRPr="00E31A5B">
        <w:rPr>
          <w:rFonts w:ascii="Times New Roman" w:hAnsi="Times New Roman" w:cs="Times New Roman"/>
          <w:i/>
          <w:iCs/>
          <w:color w:val="000000" w:themeColor="text1"/>
        </w:rPr>
        <w:t>Note:</w:t>
      </w:r>
      <w:r w:rsidRPr="00E31A5B">
        <w:rPr>
          <w:rFonts w:ascii="Times New Roman" w:hAnsi="Times New Roman" w:cs="Times New Roman"/>
          <w:color w:val="000000" w:themeColor="text1"/>
        </w:rPr>
        <w:t xml:space="preserve"> This summary table </w:t>
      </w:r>
      <w:proofErr w:type="gramStart"/>
      <w:r w:rsidRPr="00E31A5B">
        <w:rPr>
          <w:rFonts w:ascii="Times New Roman" w:hAnsi="Times New Roman" w:cs="Times New Roman"/>
          <w:color w:val="000000" w:themeColor="text1"/>
        </w:rPr>
        <w:t>was derived</w:t>
      </w:r>
      <w:proofErr w:type="gramEnd"/>
      <w:r w:rsidRPr="00E31A5B">
        <w:rPr>
          <w:rFonts w:ascii="Times New Roman" w:hAnsi="Times New Roman" w:cs="Times New Roman"/>
          <w:color w:val="000000" w:themeColor="text1"/>
        </w:rPr>
        <w:t xml:space="preserve"> from </w:t>
      </w:r>
      <w:r w:rsidRPr="00FC1C6C">
        <w:rPr>
          <w:rFonts w:ascii="Times New Roman" w:hAnsi="Times New Roman" w:cs="Times New Roman"/>
          <w:color w:val="000000" w:themeColor="text1"/>
        </w:rPr>
        <w:t>Tables 1</w:t>
      </w:r>
      <w:r w:rsidR="00FC1C6C" w:rsidRPr="00FC1C6C">
        <w:rPr>
          <w:rFonts w:ascii="Times New Roman" w:hAnsi="Times New Roman" w:cs="Times New Roman"/>
          <w:color w:val="000000" w:themeColor="text1"/>
        </w:rPr>
        <w:t>8</w:t>
      </w:r>
      <w:r w:rsidRPr="00FC1C6C">
        <w:rPr>
          <w:rFonts w:ascii="Times New Roman" w:hAnsi="Times New Roman" w:cs="Times New Roman"/>
          <w:color w:val="000000" w:themeColor="text1"/>
        </w:rPr>
        <w:t>, 1</w:t>
      </w:r>
      <w:r w:rsidR="00FC1C6C" w:rsidRPr="00FC1C6C">
        <w:rPr>
          <w:rFonts w:ascii="Times New Roman" w:hAnsi="Times New Roman" w:cs="Times New Roman"/>
          <w:color w:val="000000" w:themeColor="text1"/>
        </w:rPr>
        <w:t>9</w:t>
      </w:r>
      <w:r w:rsidRPr="00FC1C6C">
        <w:rPr>
          <w:rFonts w:ascii="Times New Roman" w:hAnsi="Times New Roman" w:cs="Times New Roman"/>
          <w:color w:val="000000" w:themeColor="text1"/>
        </w:rPr>
        <w:t xml:space="preserve">, and </w:t>
      </w:r>
      <w:r w:rsidR="00FC1C6C" w:rsidRPr="00FC1C6C">
        <w:rPr>
          <w:rFonts w:ascii="Times New Roman" w:hAnsi="Times New Roman" w:cs="Times New Roman"/>
          <w:color w:val="000000" w:themeColor="text1"/>
        </w:rPr>
        <w:t>20</w:t>
      </w:r>
      <w:r w:rsidRPr="00E31A5B">
        <w:rPr>
          <w:rFonts w:ascii="Times New Roman" w:hAnsi="Times New Roman" w:cs="Times New Roman"/>
          <w:color w:val="000000" w:themeColor="text1"/>
        </w:rPr>
        <w:t>.</w:t>
      </w:r>
      <w:r w:rsidR="00F414F2">
        <w:rPr>
          <w:rFonts w:ascii="Times New Roman" w:hAnsi="Times New Roman" w:cs="Times New Roman"/>
          <w:color w:val="000000" w:themeColor="text1"/>
        </w:rPr>
        <w:t xml:space="preserve"> The cointegrated scenarios refer to the scenarios referred to as the “No constant”, “Restricted constant”, “Unrestricted constant”, “Restricted trend”, “Unrestricted trend”</w:t>
      </w:r>
      <w:r w:rsidR="00C92A4F">
        <w:rPr>
          <w:rFonts w:ascii="Times New Roman" w:hAnsi="Times New Roman" w:cs="Times New Roman"/>
          <w:color w:val="000000" w:themeColor="text1"/>
        </w:rPr>
        <w:t xml:space="preserve"> scenarios</w:t>
      </w:r>
      <w:r w:rsidR="00573404">
        <w:rPr>
          <w:rFonts w:ascii="Times New Roman" w:hAnsi="Times New Roman" w:cs="Times New Roman"/>
          <w:color w:val="000000" w:themeColor="text1"/>
        </w:rPr>
        <w:t>,</w:t>
      </w:r>
      <w:r w:rsidR="00C92A4F">
        <w:rPr>
          <w:rFonts w:ascii="Times New Roman" w:hAnsi="Times New Roman" w:cs="Times New Roman"/>
          <w:color w:val="000000" w:themeColor="text1"/>
        </w:rPr>
        <w:t xml:space="preserve"> respectively</w:t>
      </w:r>
      <w:r w:rsidR="00F414F2">
        <w:rPr>
          <w:rFonts w:ascii="Times New Roman" w:hAnsi="Times New Roman" w:cs="Times New Roman"/>
          <w:color w:val="000000" w:themeColor="text1"/>
        </w:rPr>
        <w:t>.</w:t>
      </w:r>
    </w:p>
    <w:p w14:paraId="3FE27C8D" w14:textId="5425D703" w:rsidR="00FC5850" w:rsidRDefault="00FC5850" w:rsidP="0068330F">
      <w:pPr>
        <w:spacing w:after="0" w:line="240" w:lineRule="auto"/>
        <w:rPr>
          <w:rFonts w:ascii="Times New Roman" w:hAnsi="Times New Roman" w:cs="Times New Roman"/>
          <w:b/>
          <w:bCs/>
          <w:color w:val="000000" w:themeColor="text1"/>
          <w:sz w:val="24"/>
          <w:szCs w:val="24"/>
        </w:rPr>
      </w:pPr>
      <w:bookmarkStart w:id="56" w:name="_Toc85149363"/>
    </w:p>
    <w:p w14:paraId="5C22EF31" w14:textId="21399109" w:rsidR="00FC5850" w:rsidRPr="00E31A5B" w:rsidRDefault="00FC5850" w:rsidP="0068330F">
      <w:pPr>
        <w:pStyle w:val="Heading2"/>
        <w:spacing w:before="0" w:after="24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Time Series Plots</w:t>
      </w:r>
    </w:p>
    <w:p w14:paraId="2A6F87E3" w14:textId="021D01D5" w:rsidR="00D15737" w:rsidRDefault="002623F6" w:rsidP="0068330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From</w:t>
      </w:r>
      <w:r w:rsidR="005D364C">
        <w:rPr>
          <w:rFonts w:ascii="Times New Roman" w:hAnsi="Times New Roman" w:cs="Times New Roman"/>
          <w:sz w:val="24"/>
          <w:szCs w:val="24"/>
        </w:rPr>
        <w:t xml:space="preserve"> the time series plots</w:t>
      </w:r>
      <w:r w:rsidR="00D15737">
        <w:rPr>
          <w:rFonts w:ascii="Times New Roman" w:hAnsi="Times New Roman" w:cs="Times New Roman"/>
          <w:sz w:val="24"/>
          <w:szCs w:val="24"/>
        </w:rPr>
        <w:t xml:space="preserve"> (Figure 1)</w:t>
      </w:r>
      <w:r>
        <w:rPr>
          <w:rFonts w:ascii="Times New Roman" w:hAnsi="Times New Roman" w:cs="Times New Roman"/>
          <w:sz w:val="24"/>
          <w:szCs w:val="24"/>
        </w:rPr>
        <w:t xml:space="preserve">, </w:t>
      </w:r>
      <w:r w:rsidR="00D15737">
        <w:rPr>
          <w:rFonts w:ascii="Times New Roman" w:hAnsi="Times New Roman" w:cs="Times New Roman"/>
          <w:sz w:val="24"/>
          <w:szCs w:val="24"/>
        </w:rPr>
        <w:t xml:space="preserve">GDPpc, GNDIpc, and HDI show an increasing trend throughout the period studied. </w:t>
      </w:r>
      <w:r w:rsidR="00BF2AEE">
        <w:rPr>
          <w:rFonts w:ascii="Times New Roman" w:hAnsi="Times New Roman" w:cs="Times New Roman"/>
          <w:sz w:val="24"/>
          <w:szCs w:val="24"/>
        </w:rPr>
        <w:t>The 2008</w:t>
      </w:r>
      <w:r w:rsidR="008A10CD">
        <w:rPr>
          <w:rFonts w:ascii="Times New Roman" w:hAnsi="Times New Roman" w:cs="Times New Roman"/>
          <w:sz w:val="24"/>
          <w:szCs w:val="24"/>
        </w:rPr>
        <w:t xml:space="preserve"> </w:t>
      </w:r>
      <w:r w:rsidR="00BF2AEE">
        <w:rPr>
          <w:rFonts w:ascii="Times New Roman" w:hAnsi="Times New Roman" w:cs="Times New Roman"/>
          <w:sz w:val="24"/>
          <w:szCs w:val="24"/>
        </w:rPr>
        <w:t>-</w:t>
      </w:r>
      <w:r w:rsidR="008A10CD">
        <w:rPr>
          <w:rFonts w:ascii="Times New Roman" w:hAnsi="Times New Roman" w:cs="Times New Roman"/>
          <w:sz w:val="24"/>
          <w:szCs w:val="24"/>
        </w:rPr>
        <w:t xml:space="preserve"> </w:t>
      </w:r>
      <w:r w:rsidR="00BF2AEE">
        <w:rPr>
          <w:rFonts w:ascii="Times New Roman" w:hAnsi="Times New Roman" w:cs="Times New Roman"/>
          <w:sz w:val="24"/>
          <w:szCs w:val="24"/>
        </w:rPr>
        <w:t xml:space="preserve">2009 global </w:t>
      </w:r>
      <w:proofErr w:type="gramStart"/>
      <w:r w:rsidR="00BF2AEE">
        <w:rPr>
          <w:rFonts w:ascii="Times New Roman" w:hAnsi="Times New Roman" w:cs="Times New Roman"/>
          <w:sz w:val="24"/>
          <w:szCs w:val="24"/>
        </w:rPr>
        <w:t>financial crisis</w:t>
      </w:r>
      <w:proofErr w:type="gramEnd"/>
      <w:r w:rsidR="00BF2AEE">
        <w:rPr>
          <w:rFonts w:ascii="Times New Roman" w:hAnsi="Times New Roman" w:cs="Times New Roman"/>
          <w:sz w:val="24"/>
          <w:szCs w:val="24"/>
        </w:rPr>
        <w:t xml:space="preserve"> resulted in a short</w:t>
      </w:r>
      <w:r w:rsidR="005F307F">
        <w:rPr>
          <w:rFonts w:ascii="Times New Roman" w:hAnsi="Times New Roman" w:cs="Times New Roman"/>
          <w:sz w:val="24"/>
          <w:szCs w:val="24"/>
        </w:rPr>
        <w:t>-</w:t>
      </w:r>
      <w:r w:rsidR="00BF2AEE">
        <w:rPr>
          <w:rFonts w:ascii="Times New Roman" w:hAnsi="Times New Roman" w:cs="Times New Roman"/>
          <w:sz w:val="24"/>
          <w:szCs w:val="24"/>
        </w:rPr>
        <w:t xml:space="preserve">duration decrease in both </w:t>
      </w:r>
      <w:r w:rsidR="00D15737">
        <w:rPr>
          <w:rFonts w:ascii="Times New Roman" w:hAnsi="Times New Roman" w:cs="Times New Roman"/>
          <w:sz w:val="24"/>
          <w:szCs w:val="24"/>
        </w:rPr>
        <w:t>GDPpc and GNDIpc</w:t>
      </w:r>
      <w:r w:rsidR="00BF2AEE">
        <w:rPr>
          <w:rFonts w:ascii="Times New Roman" w:hAnsi="Times New Roman" w:cs="Times New Roman"/>
          <w:sz w:val="24"/>
          <w:szCs w:val="24"/>
        </w:rPr>
        <w:t>.</w:t>
      </w:r>
      <w:r w:rsidR="0050633A">
        <w:rPr>
          <w:rFonts w:ascii="Times New Roman" w:hAnsi="Times New Roman" w:cs="Times New Roman"/>
          <w:sz w:val="24"/>
          <w:szCs w:val="24"/>
        </w:rPr>
        <w:t xml:space="preserve"> Although the IEF shows an overall increase during the study period, it decreases post</w:t>
      </w:r>
      <w:r w:rsidR="00B17A18">
        <w:rPr>
          <w:rFonts w:ascii="Times New Roman" w:hAnsi="Times New Roman" w:cs="Times New Roman"/>
          <w:sz w:val="24"/>
          <w:szCs w:val="24"/>
        </w:rPr>
        <w:t>-</w:t>
      </w:r>
      <w:r w:rsidR="0050633A">
        <w:rPr>
          <w:rFonts w:ascii="Times New Roman" w:hAnsi="Times New Roman" w:cs="Times New Roman"/>
          <w:sz w:val="24"/>
          <w:szCs w:val="24"/>
        </w:rPr>
        <w:t>201</w:t>
      </w:r>
      <w:r w:rsidR="00D1746B">
        <w:rPr>
          <w:rFonts w:ascii="Times New Roman" w:hAnsi="Times New Roman" w:cs="Times New Roman"/>
          <w:sz w:val="24"/>
          <w:szCs w:val="24"/>
        </w:rPr>
        <w:t>4</w:t>
      </w:r>
      <w:r w:rsidR="0050633A">
        <w:rPr>
          <w:rFonts w:ascii="Times New Roman" w:hAnsi="Times New Roman" w:cs="Times New Roman"/>
          <w:sz w:val="24"/>
          <w:szCs w:val="24"/>
        </w:rPr>
        <w:t xml:space="preserve"> indicating a </w:t>
      </w:r>
      <w:proofErr w:type="gramStart"/>
      <w:r w:rsidR="00B17A18">
        <w:rPr>
          <w:rFonts w:ascii="Times New Roman" w:hAnsi="Times New Roman" w:cs="Times New Roman"/>
          <w:sz w:val="24"/>
          <w:szCs w:val="24"/>
        </w:rPr>
        <w:t xml:space="preserve">possible </w:t>
      </w:r>
      <w:r w:rsidR="0050633A">
        <w:rPr>
          <w:rFonts w:ascii="Times New Roman" w:hAnsi="Times New Roman" w:cs="Times New Roman"/>
          <w:sz w:val="24"/>
          <w:szCs w:val="24"/>
        </w:rPr>
        <w:t>decline</w:t>
      </w:r>
      <w:proofErr w:type="gramEnd"/>
      <w:r w:rsidR="0050633A">
        <w:rPr>
          <w:rFonts w:ascii="Times New Roman" w:hAnsi="Times New Roman" w:cs="Times New Roman"/>
          <w:sz w:val="24"/>
          <w:szCs w:val="24"/>
        </w:rPr>
        <w:t xml:space="preserve"> in economic freedom</w:t>
      </w:r>
      <w:r w:rsidR="00D1746B">
        <w:rPr>
          <w:rFonts w:ascii="Times New Roman" w:hAnsi="Times New Roman" w:cs="Times New Roman"/>
          <w:sz w:val="24"/>
          <w:szCs w:val="24"/>
        </w:rPr>
        <w:t xml:space="preserve"> </w:t>
      </w:r>
      <w:r w:rsidR="0050633A">
        <w:rPr>
          <w:rFonts w:ascii="Times New Roman" w:hAnsi="Times New Roman" w:cs="Times New Roman"/>
          <w:sz w:val="24"/>
          <w:szCs w:val="24"/>
        </w:rPr>
        <w:t>in Canada</w:t>
      </w:r>
      <w:r w:rsidR="001A3FA5">
        <w:rPr>
          <w:rFonts w:ascii="Times New Roman" w:hAnsi="Times New Roman" w:cs="Times New Roman"/>
          <w:sz w:val="24"/>
          <w:szCs w:val="24"/>
        </w:rPr>
        <w:t xml:space="preserve">, despite the </w:t>
      </w:r>
      <w:r w:rsidR="00F17527">
        <w:rPr>
          <w:rFonts w:ascii="Times New Roman" w:hAnsi="Times New Roman" w:cs="Times New Roman"/>
          <w:sz w:val="24"/>
          <w:szCs w:val="24"/>
        </w:rPr>
        <w:t xml:space="preserve">overall </w:t>
      </w:r>
      <w:r w:rsidR="001A3FA5">
        <w:rPr>
          <w:rFonts w:ascii="Times New Roman" w:hAnsi="Times New Roman" w:cs="Times New Roman"/>
          <w:sz w:val="24"/>
          <w:szCs w:val="24"/>
        </w:rPr>
        <w:t>increase in output, gross disposable income and improvement in human development</w:t>
      </w:r>
      <w:r w:rsidR="0050633A">
        <w:rPr>
          <w:rFonts w:ascii="Times New Roman" w:hAnsi="Times New Roman" w:cs="Times New Roman"/>
          <w:sz w:val="24"/>
          <w:szCs w:val="24"/>
        </w:rPr>
        <w:t>.</w:t>
      </w:r>
      <w:r w:rsidR="00754A08">
        <w:rPr>
          <w:rFonts w:ascii="Times New Roman" w:hAnsi="Times New Roman" w:cs="Times New Roman"/>
          <w:sz w:val="24"/>
          <w:szCs w:val="24"/>
        </w:rPr>
        <w:t xml:space="preserve"> </w:t>
      </w:r>
    </w:p>
    <w:p w14:paraId="4CD8CD98" w14:textId="2DDBEFCB" w:rsidR="00B04264" w:rsidRDefault="00B45E27" w:rsidP="0068330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Figure 2 shows that there are no trends in the </w:t>
      </w:r>
      <w:r w:rsidR="00913449">
        <w:rPr>
          <w:rFonts w:ascii="Times New Roman" w:hAnsi="Times New Roman" w:cs="Times New Roman"/>
          <w:sz w:val="24"/>
          <w:szCs w:val="24"/>
        </w:rPr>
        <w:t>growth level (</w:t>
      </w:r>
      <w:r>
        <w:rPr>
          <w:rFonts w:ascii="Times New Roman" w:hAnsi="Times New Roman" w:cs="Times New Roman"/>
          <w:sz w:val="24"/>
          <w:szCs w:val="24"/>
        </w:rPr>
        <w:t>first difference</w:t>
      </w:r>
      <w:r w:rsidR="00913449">
        <w:rPr>
          <w:rFonts w:ascii="Times New Roman" w:hAnsi="Times New Roman" w:cs="Times New Roman"/>
          <w:sz w:val="24"/>
          <w:szCs w:val="24"/>
        </w:rPr>
        <w:t>)</w:t>
      </w:r>
      <w:r>
        <w:rPr>
          <w:rFonts w:ascii="Times New Roman" w:hAnsi="Times New Roman" w:cs="Times New Roman"/>
          <w:sz w:val="24"/>
          <w:szCs w:val="24"/>
        </w:rPr>
        <w:t xml:space="preserve"> of the time series</w:t>
      </w:r>
      <w:r w:rsidR="00D2440F">
        <w:rPr>
          <w:rFonts w:ascii="Times New Roman" w:hAnsi="Times New Roman" w:cs="Times New Roman"/>
          <w:sz w:val="24"/>
          <w:szCs w:val="24"/>
        </w:rPr>
        <w:t xml:space="preserve"> of the economic progress indicators</w:t>
      </w:r>
      <w:r>
        <w:rPr>
          <w:rFonts w:ascii="Times New Roman" w:hAnsi="Times New Roman" w:cs="Times New Roman"/>
          <w:sz w:val="24"/>
          <w:szCs w:val="24"/>
        </w:rPr>
        <w:t xml:space="preserve">. </w:t>
      </w:r>
      <w:r w:rsidR="00913449">
        <w:rPr>
          <w:rFonts w:ascii="Times New Roman" w:hAnsi="Times New Roman" w:cs="Times New Roman"/>
          <w:sz w:val="24"/>
          <w:szCs w:val="24"/>
        </w:rPr>
        <w:t xml:space="preserve">A </w:t>
      </w:r>
      <w:r w:rsidR="007558B9">
        <w:rPr>
          <w:rFonts w:ascii="Times New Roman" w:hAnsi="Times New Roman" w:cs="Times New Roman"/>
          <w:sz w:val="24"/>
          <w:szCs w:val="24"/>
        </w:rPr>
        <w:t>short</w:t>
      </w:r>
      <w:r w:rsidR="00B836E2">
        <w:rPr>
          <w:rFonts w:ascii="Times New Roman" w:hAnsi="Times New Roman" w:cs="Times New Roman"/>
          <w:sz w:val="24"/>
          <w:szCs w:val="24"/>
        </w:rPr>
        <w:t>-</w:t>
      </w:r>
      <w:r w:rsidR="007558B9">
        <w:rPr>
          <w:rFonts w:ascii="Times New Roman" w:hAnsi="Times New Roman" w:cs="Times New Roman"/>
          <w:sz w:val="24"/>
          <w:szCs w:val="24"/>
        </w:rPr>
        <w:t>duration</w:t>
      </w:r>
      <w:r w:rsidR="0012320D">
        <w:rPr>
          <w:rFonts w:ascii="Times New Roman" w:hAnsi="Times New Roman" w:cs="Times New Roman"/>
          <w:sz w:val="24"/>
          <w:szCs w:val="24"/>
        </w:rPr>
        <w:t xml:space="preserve"> </w:t>
      </w:r>
      <w:r w:rsidR="00913449">
        <w:rPr>
          <w:rFonts w:ascii="Times New Roman" w:hAnsi="Times New Roman" w:cs="Times New Roman"/>
          <w:sz w:val="24"/>
          <w:szCs w:val="24"/>
        </w:rPr>
        <w:t>decr</w:t>
      </w:r>
      <w:r w:rsidR="00B04264">
        <w:rPr>
          <w:rFonts w:ascii="Times New Roman" w:hAnsi="Times New Roman" w:cs="Times New Roman"/>
          <w:sz w:val="24"/>
          <w:szCs w:val="24"/>
        </w:rPr>
        <w:t>e</w:t>
      </w:r>
      <w:r w:rsidR="00913449">
        <w:rPr>
          <w:rFonts w:ascii="Times New Roman" w:hAnsi="Times New Roman" w:cs="Times New Roman"/>
          <w:sz w:val="24"/>
          <w:szCs w:val="24"/>
        </w:rPr>
        <w:t>ase in the growth level</w:t>
      </w:r>
      <w:r w:rsidR="00B04264">
        <w:rPr>
          <w:rFonts w:ascii="Times New Roman" w:hAnsi="Times New Roman" w:cs="Times New Roman"/>
          <w:sz w:val="24"/>
          <w:szCs w:val="24"/>
        </w:rPr>
        <w:t xml:space="preserve"> </w:t>
      </w:r>
      <w:r w:rsidR="00913449">
        <w:rPr>
          <w:rFonts w:ascii="Times New Roman" w:hAnsi="Times New Roman" w:cs="Times New Roman"/>
          <w:sz w:val="24"/>
          <w:szCs w:val="24"/>
        </w:rPr>
        <w:t>related to the 2008</w:t>
      </w:r>
      <w:r w:rsidR="00B17A18">
        <w:rPr>
          <w:rFonts w:ascii="Times New Roman" w:hAnsi="Times New Roman" w:cs="Times New Roman"/>
          <w:sz w:val="24"/>
          <w:szCs w:val="24"/>
        </w:rPr>
        <w:t>-</w:t>
      </w:r>
      <w:r w:rsidR="00913449">
        <w:rPr>
          <w:rFonts w:ascii="Times New Roman" w:hAnsi="Times New Roman" w:cs="Times New Roman"/>
          <w:sz w:val="24"/>
          <w:szCs w:val="24"/>
        </w:rPr>
        <w:t xml:space="preserve">2009 global </w:t>
      </w:r>
      <w:proofErr w:type="gramStart"/>
      <w:r w:rsidR="0012320D">
        <w:rPr>
          <w:rFonts w:ascii="Times New Roman" w:hAnsi="Times New Roman" w:cs="Times New Roman"/>
          <w:sz w:val="24"/>
          <w:szCs w:val="24"/>
        </w:rPr>
        <w:t>financial crisis</w:t>
      </w:r>
      <w:proofErr w:type="gramEnd"/>
      <w:r w:rsidR="00913449">
        <w:rPr>
          <w:rFonts w:ascii="Times New Roman" w:hAnsi="Times New Roman" w:cs="Times New Roman"/>
          <w:sz w:val="24"/>
          <w:szCs w:val="24"/>
        </w:rPr>
        <w:t xml:space="preserve"> is</w:t>
      </w:r>
      <w:r w:rsidR="00B17A18">
        <w:rPr>
          <w:rFonts w:ascii="Times New Roman" w:hAnsi="Times New Roman" w:cs="Times New Roman"/>
          <w:sz w:val="24"/>
          <w:szCs w:val="24"/>
        </w:rPr>
        <w:t xml:space="preserve"> </w:t>
      </w:r>
      <w:r w:rsidR="00913449">
        <w:rPr>
          <w:rFonts w:ascii="Times New Roman" w:hAnsi="Times New Roman" w:cs="Times New Roman"/>
          <w:sz w:val="24"/>
          <w:szCs w:val="24"/>
        </w:rPr>
        <w:t>reflected in GDPpc, GNDI</w:t>
      </w:r>
      <w:r w:rsidR="0012320D">
        <w:rPr>
          <w:rFonts w:ascii="Times New Roman" w:hAnsi="Times New Roman" w:cs="Times New Roman"/>
          <w:sz w:val="24"/>
          <w:szCs w:val="24"/>
        </w:rPr>
        <w:t>pc,</w:t>
      </w:r>
      <w:r w:rsidR="00913449">
        <w:rPr>
          <w:rFonts w:ascii="Times New Roman" w:hAnsi="Times New Roman" w:cs="Times New Roman"/>
          <w:sz w:val="24"/>
          <w:szCs w:val="24"/>
        </w:rPr>
        <w:t xml:space="preserve"> and HDI. </w:t>
      </w:r>
      <w:r w:rsidR="0012320D">
        <w:rPr>
          <w:rFonts w:ascii="Times New Roman" w:hAnsi="Times New Roman" w:cs="Times New Roman"/>
          <w:sz w:val="24"/>
          <w:szCs w:val="24"/>
        </w:rPr>
        <w:t>For IEF, post the 2008</w:t>
      </w:r>
      <w:r w:rsidR="008A10CD">
        <w:rPr>
          <w:rFonts w:ascii="Times New Roman" w:hAnsi="Times New Roman" w:cs="Times New Roman"/>
          <w:sz w:val="24"/>
          <w:szCs w:val="24"/>
        </w:rPr>
        <w:t xml:space="preserve"> </w:t>
      </w:r>
      <w:r w:rsidR="0012320D">
        <w:rPr>
          <w:rFonts w:ascii="Times New Roman" w:hAnsi="Times New Roman" w:cs="Times New Roman"/>
          <w:sz w:val="24"/>
          <w:szCs w:val="24"/>
        </w:rPr>
        <w:t>-</w:t>
      </w:r>
      <w:r w:rsidR="008A10CD">
        <w:rPr>
          <w:rFonts w:ascii="Times New Roman" w:hAnsi="Times New Roman" w:cs="Times New Roman"/>
          <w:sz w:val="24"/>
          <w:szCs w:val="24"/>
        </w:rPr>
        <w:t xml:space="preserve"> </w:t>
      </w:r>
      <w:r w:rsidR="0012320D">
        <w:rPr>
          <w:rFonts w:ascii="Times New Roman" w:hAnsi="Times New Roman" w:cs="Times New Roman"/>
          <w:sz w:val="24"/>
          <w:szCs w:val="24"/>
        </w:rPr>
        <w:t xml:space="preserve">2009 global </w:t>
      </w:r>
      <w:proofErr w:type="gramStart"/>
      <w:r w:rsidR="0012320D">
        <w:rPr>
          <w:rFonts w:ascii="Times New Roman" w:hAnsi="Times New Roman" w:cs="Times New Roman"/>
          <w:sz w:val="24"/>
          <w:szCs w:val="24"/>
        </w:rPr>
        <w:t>financial crisis</w:t>
      </w:r>
      <w:proofErr w:type="gramEnd"/>
      <w:r w:rsidR="0012320D">
        <w:rPr>
          <w:rFonts w:ascii="Times New Roman" w:hAnsi="Times New Roman" w:cs="Times New Roman"/>
          <w:sz w:val="24"/>
          <w:szCs w:val="24"/>
        </w:rPr>
        <w:t xml:space="preserve">, the growth level fluctuates around a mean of zero. </w:t>
      </w:r>
    </w:p>
    <w:p w14:paraId="33AA7EC3" w14:textId="14A91F9B" w:rsidR="005D364C" w:rsidRDefault="003D3DC0" w:rsidP="0068330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0633A">
        <w:rPr>
          <w:rFonts w:ascii="Times New Roman" w:hAnsi="Times New Roman" w:cs="Times New Roman"/>
          <w:sz w:val="24"/>
          <w:szCs w:val="24"/>
        </w:rPr>
        <w:t>paired variables</w:t>
      </w:r>
      <w:r>
        <w:rPr>
          <w:rFonts w:ascii="Times New Roman" w:hAnsi="Times New Roman" w:cs="Times New Roman"/>
          <w:sz w:val="24"/>
          <w:szCs w:val="24"/>
        </w:rPr>
        <w:t xml:space="preserve"> time series plots (Figure 3) provided a hint of </w:t>
      </w:r>
      <w:proofErr w:type="gramStart"/>
      <w:r>
        <w:rPr>
          <w:rFonts w:ascii="Times New Roman" w:hAnsi="Times New Roman" w:cs="Times New Roman"/>
          <w:sz w:val="24"/>
          <w:szCs w:val="24"/>
        </w:rPr>
        <w:t>possible co-movement</w:t>
      </w:r>
      <w:proofErr w:type="gramEnd"/>
      <w:r>
        <w:rPr>
          <w:rFonts w:ascii="Times New Roman" w:hAnsi="Times New Roman" w:cs="Times New Roman"/>
          <w:sz w:val="24"/>
          <w:szCs w:val="24"/>
        </w:rPr>
        <w:t xml:space="preserve"> between the growth metrics</w:t>
      </w:r>
      <w:r w:rsidR="00B04264">
        <w:rPr>
          <w:rFonts w:ascii="Times New Roman" w:hAnsi="Times New Roman" w:cs="Times New Roman"/>
          <w:sz w:val="24"/>
          <w:szCs w:val="24"/>
        </w:rPr>
        <w:t xml:space="preserve"> of varying degrees</w:t>
      </w:r>
      <w:r>
        <w:rPr>
          <w:rFonts w:ascii="Times New Roman" w:hAnsi="Times New Roman" w:cs="Times New Roman"/>
          <w:sz w:val="24"/>
          <w:szCs w:val="24"/>
        </w:rPr>
        <w:t xml:space="preserve">, more strongly evidenced between GDPpc and GNDIpc which are </w:t>
      </w:r>
      <w:r w:rsidR="0017010D">
        <w:rPr>
          <w:rFonts w:ascii="Times New Roman" w:hAnsi="Times New Roman" w:cs="Times New Roman"/>
          <w:sz w:val="24"/>
          <w:szCs w:val="24"/>
        </w:rPr>
        <w:t>the more monetary-based indicators</w:t>
      </w:r>
      <w:r w:rsidR="005D364C">
        <w:rPr>
          <w:rFonts w:ascii="Times New Roman" w:hAnsi="Times New Roman" w:cs="Times New Roman"/>
          <w:sz w:val="24"/>
          <w:szCs w:val="24"/>
        </w:rPr>
        <w:t xml:space="preserve">. As a result, the </w:t>
      </w:r>
      <w:r w:rsidR="0017010D">
        <w:rPr>
          <w:rFonts w:ascii="Times New Roman" w:hAnsi="Times New Roman" w:cs="Times New Roman"/>
          <w:sz w:val="24"/>
          <w:szCs w:val="24"/>
        </w:rPr>
        <w:t>JC test</w:t>
      </w:r>
      <w:r w:rsidR="005D364C">
        <w:rPr>
          <w:rFonts w:ascii="Times New Roman" w:hAnsi="Times New Roman" w:cs="Times New Roman"/>
          <w:sz w:val="24"/>
          <w:szCs w:val="24"/>
        </w:rPr>
        <w:t xml:space="preserve"> </w:t>
      </w:r>
      <w:r w:rsidR="0017010D">
        <w:rPr>
          <w:rFonts w:ascii="Times New Roman" w:hAnsi="Times New Roman" w:cs="Times New Roman"/>
          <w:sz w:val="24"/>
          <w:szCs w:val="24"/>
        </w:rPr>
        <w:t>was performed to further evaluate the existence</w:t>
      </w:r>
      <w:r w:rsidR="005D364C">
        <w:rPr>
          <w:rFonts w:ascii="Times New Roman" w:hAnsi="Times New Roman" w:cs="Times New Roman"/>
          <w:sz w:val="24"/>
          <w:szCs w:val="24"/>
        </w:rPr>
        <w:t xml:space="preserve"> </w:t>
      </w:r>
      <w:r w:rsidR="0017010D">
        <w:rPr>
          <w:rFonts w:ascii="Times New Roman" w:hAnsi="Times New Roman" w:cs="Times New Roman"/>
          <w:sz w:val="24"/>
          <w:szCs w:val="24"/>
        </w:rPr>
        <w:t xml:space="preserve">of </w:t>
      </w:r>
      <w:r w:rsidR="005D364C">
        <w:rPr>
          <w:rFonts w:ascii="Times New Roman" w:hAnsi="Times New Roman" w:cs="Times New Roman"/>
          <w:sz w:val="24"/>
          <w:szCs w:val="24"/>
        </w:rPr>
        <w:t>cointegration</w:t>
      </w:r>
      <w:r w:rsidR="00B04264">
        <w:rPr>
          <w:rFonts w:ascii="Times New Roman" w:hAnsi="Times New Roman" w:cs="Times New Roman"/>
          <w:sz w:val="24"/>
          <w:szCs w:val="24"/>
        </w:rPr>
        <w:t xml:space="preserve"> between the paired variables</w:t>
      </w:r>
      <w:proofErr w:type="gramStart"/>
      <w:r w:rsidR="005D364C">
        <w:rPr>
          <w:rFonts w:ascii="Times New Roman" w:hAnsi="Times New Roman" w:cs="Times New Roman"/>
          <w:sz w:val="24"/>
          <w:szCs w:val="24"/>
        </w:rPr>
        <w:t xml:space="preserve">.  </w:t>
      </w:r>
      <w:proofErr w:type="gramEnd"/>
    </w:p>
    <w:p w14:paraId="372E410B" w14:textId="698B070D" w:rsidR="007558B9" w:rsidRDefault="007558B9" w:rsidP="0068330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decision to </w:t>
      </w:r>
      <w:proofErr w:type="gramStart"/>
      <w:r>
        <w:rPr>
          <w:rFonts w:ascii="Times New Roman" w:hAnsi="Times New Roman" w:cs="Times New Roman"/>
          <w:sz w:val="24"/>
          <w:szCs w:val="24"/>
        </w:rPr>
        <w:t>test</w:t>
      </w:r>
      <w:proofErr w:type="gramEnd"/>
      <w:r>
        <w:rPr>
          <w:rFonts w:ascii="Times New Roman" w:hAnsi="Times New Roman" w:cs="Times New Roman"/>
          <w:sz w:val="24"/>
          <w:szCs w:val="24"/>
        </w:rPr>
        <w:t xml:space="preserve"> multiple scenarios (e.g., “constant”</w:t>
      </w:r>
      <w:r w:rsidR="00D2440F">
        <w:rPr>
          <w:rFonts w:ascii="Times New Roman" w:hAnsi="Times New Roman" w:cs="Times New Roman"/>
          <w:sz w:val="24"/>
          <w:szCs w:val="24"/>
        </w:rPr>
        <w:t xml:space="preserve">, </w:t>
      </w:r>
      <w:r>
        <w:rPr>
          <w:rFonts w:ascii="Times New Roman" w:hAnsi="Times New Roman" w:cs="Times New Roman"/>
          <w:sz w:val="24"/>
          <w:szCs w:val="24"/>
        </w:rPr>
        <w:t>“constant and trend”</w:t>
      </w:r>
      <w:r w:rsidR="00D2440F">
        <w:rPr>
          <w:rFonts w:ascii="Times New Roman" w:hAnsi="Times New Roman" w:cs="Times New Roman"/>
          <w:sz w:val="24"/>
          <w:szCs w:val="24"/>
        </w:rPr>
        <w:t>, etc.</w:t>
      </w:r>
      <w:r>
        <w:rPr>
          <w:rFonts w:ascii="Times New Roman" w:hAnsi="Times New Roman" w:cs="Times New Roman"/>
          <w:sz w:val="24"/>
          <w:szCs w:val="24"/>
        </w:rPr>
        <w:t>) in this research was informed by variations in the time series trends observed upon visual assessment of the time series plots (Figures 1 and 2).</w:t>
      </w:r>
    </w:p>
    <w:p w14:paraId="4AB6666E" w14:textId="67F7DC35" w:rsidR="00FC5850" w:rsidRDefault="00FC5850" w:rsidP="0068330F">
      <w:pPr>
        <w:spacing w:after="0" w:line="240" w:lineRule="auto"/>
        <w:ind w:firstLine="720"/>
        <w:rPr>
          <w:rFonts w:ascii="Times New Roman" w:hAnsi="Times New Roman" w:cs="Times New Roman"/>
          <w:b/>
          <w:bCs/>
          <w:color w:val="000000" w:themeColor="text1"/>
          <w:sz w:val="24"/>
          <w:szCs w:val="24"/>
        </w:rPr>
      </w:pPr>
    </w:p>
    <w:p w14:paraId="2E71AE98" w14:textId="1800B566" w:rsidR="003979C0" w:rsidRPr="00E31A5B" w:rsidRDefault="003979C0" w:rsidP="0068330F">
      <w:pPr>
        <w:pStyle w:val="Heading2"/>
        <w:spacing w:after="24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Descriptive Statistics</w:t>
      </w:r>
      <w:bookmarkEnd w:id="56"/>
    </w:p>
    <w:p w14:paraId="7639BC28" w14:textId="1296E38D" w:rsidR="003979C0" w:rsidRDefault="003979C0" w:rsidP="0068330F">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Over the 1995 - 2019 time series period, Canada’s mean and median population </w:t>
      </w:r>
      <w:r w:rsidR="00921AC3">
        <w:rPr>
          <w:rFonts w:ascii="Times New Roman" w:hAnsi="Times New Roman" w:cs="Times New Roman"/>
          <w:color w:val="000000" w:themeColor="text1"/>
          <w:sz w:val="24"/>
          <w:szCs w:val="24"/>
        </w:rPr>
        <w:t>were</w:t>
      </w:r>
      <w:r>
        <w:rPr>
          <w:rFonts w:ascii="Times New Roman" w:hAnsi="Times New Roman" w:cs="Times New Roman"/>
          <w:color w:val="000000" w:themeColor="text1"/>
          <w:sz w:val="24"/>
          <w:szCs w:val="24"/>
        </w:rPr>
        <w:t xml:space="preserve"> about 33</w:t>
      </w:r>
      <w:r w:rsidR="00921AC3">
        <w:rPr>
          <w:rFonts w:ascii="Times New Roman" w:hAnsi="Times New Roman" w:cs="Times New Roman"/>
          <w:color w:val="000000" w:themeColor="text1"/>
          <w:sz w:val="24"/>
          <w:szCs w:val="24"/>
        </w:rPr>
        <w:t xml:space="preserve">.1 million and 32.9 </w:t>
      </w:r>
      <w:r>
        <w:rPr>
          <w:rFonts w:ascii="Times New Roman" w:hAnsi="Times New Roman" w:cs="Times New Roman"/>
          <w:color w:val="000000" w:themeColor="text1"/>
          <w:sz w:val="24"/>
          <w:szCs w:val="24"/>
        </w:rPr>
        <w:t>million</w:t>
      </w:r>
      <w:r w:rsidR="00921AC3">
        <w:rPr>
          <w:rFonts w:ascii="Times New Roman" w:hAnsi="Times New Roman" w:cs="Times New Roman"/>
          <w:color w:val="000000" w:themeColor="text1"/>
          <w:sz w:val="24"/>
          <w:szCs w:val="24"/>
        </w:rPr>
        <w:t>, respectively</w:t>
      </w:r>
      <w:r>
        <w:rPr>
          <w:rFonts w:ascii="Times New Roman" w:hAnsi="Times New Roman" w:cs="Times New Roman"/>
          <w:color w:val="000000" w:themeColor="text1"/>
          <w:sz w:val="24"/>
          <w:szCs w:val="24"/>
        </w:rPr>
        <w:t xml:space="preserve"> (Table </w:t>
      </w:r>
      <w:r w:rsidR="009005A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rPr>
        <w:t xml:space="preserve">.  </w:t>
      </w:r>
      <w:proofErr w:type="gramEnd"/>
      <w:r w:rsidR="005517D4">
        <w:rPr>
          <w:rFonts w:ascii="Times New Roman" w:hAnsi="Times New Roman" w:cs="Times New Roman"/>
          <w:color w:val="000000" w:themeColor="text1"/>
          <w:sz w:val="24"/>
          <w:szCs w:val="24"/>
        </w:rPr>
        <w:t>The mean (</w:t>
      </w:r>
      <w:r>
        <w:rPr>
          <w:rFonts w:ascii="Times New Roman" w:hAnsi="Times New Roman" w:cs="Times New Roman"/>
          <w:color w:val="000000" w:themeColor="text1"/>
          <w:sz w:val="24"/>
          <w:szCs w:val="24"/>
        </w:rPr>
        <w:t xml:space="preserve">$44, 439) </w:t>
      </w:r>
      <w:r w:rsidR="001A7788">
        <w:rPr>
          <w:rFonts w:ascii="Times New Roman" w:hAnsi="Times New Roman" w:cs="Times New Roman"/>
          <w:color w:val="000000" w:themeColor="text1"/>
          <w:sz w:val="24"/>
          <w:szCs w:val="24"/>
        </w:rPr>
        <w:t>GN</w:t>
      </w:r>
      <w:r w:rsidR="005517D4">
        <w:rPr>
          <w:rFonts w:ascii="Times New Roman" w:hAnsi="Times New Roman" w:cs="Times New Roman"/>
          <w:color w:val="000000" w:themeColor="text1"/>
          <w:sz w:val="24"/>
          <w:szCs w:val="24"/>
        </w:rPr>
        <w:t xml:space="preserve">DIpc </w:t>
      </w:r>
      <w:r w:rsidR="001A7788">
        <w:rPr>
          <w:rFonts w:ascii="Times New Roman" w:hAnsi="Times New Roman" w:cs="Times New Roman"/>
          <w:color w:val="000000" w:themeColor="text1"/>
          <w:sz w:val="24"/>
          <w:szCs w:val="24"/>
        </w:rPr>
        <w:t xml:space="preserve">is </w:t>
      </w:r>
      <w:r>
        <w:rPr>
          <w:rFonts w:ascii="Times New Roman" w:hAnsi="Times New Roman" w:cs="Times New Roman"/>
          <w:color w:val="000000" w:themeColor="text1"/>
          <w:sz w:val="24"/>
          <w:szCs w:val="24"/>
        </w:rPr>
        <w:t xml:space="preserve">lower than </w:t>
      </w:r>
      <w:r w:rsidR="005517D4">
        <w:rPr>
          <w:rFonts w:ascii="Times New Roman" w:hAnsi="Times New Roman" w:cs="Times New Roman"/>
          <w:color w:val="000000" w:themeColor="text1"/>
          <w:sz w:val="24"/>
          <w:szCs w:val="24"/>
        </w:rPr>
        <w:t xml:space="preserve">the corresponding value for </w:t>
      </w:r>
      <w:r>
        <w:rPr>
          <w:rFonts w:ascii="Times New Roman" w:hAnsi="Times New Roman" w:cs="Times New Roman"/>
          <w:color w:val="000000" w:themeColor="text1"/>
          <w:sz w:val="24"/>
          <w:szCs w:val="24"/>
        </w:rPr>
        <w:t>GDPpc</w:t>
      </w:r>
      <w:r w:rsidR="005517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(Table </w:t>
      </w:r>
      <w:r w:rsidR="005517D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1A7788">
        <w:rPr>
          <w:rFonts w:ascii="Times New Roman" w:hAnsi="Times New Roman" w:cs="Times New Roman"/>
          <w:color w:val="000000" w:themeColor="text1"/>
          <w:sz w:val="24"/>
          <w:szCs w:val="24"/>
        </w:rPr>
        <w:t>, indicating that the mean per capita national disposable income is approximately 97% of the average national output ($45, 382).</w:t>
      </w:r>
    </w:p>
    <w:p w14:paraId="1FF43036" w14:textId="57B74B39" w:rsidR="003979C0" w:rsidRDefault="003979C0" w:rsidP="0068330F">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Canada’s HDI value of greater than 0.8 throughout the time series period studied </w:t>
      </w:r>
      <w:r w:rsidR="00395F01">
        <w:rPr>
          <w:rFonts w:ascii="Times New Roman" w:hAnsi="Times New Roman" w:cs="Times New Roman"/>
          <w:color w:val="000000" w:themeColor="text1"/>
          <w:sz w:val="24"/>
          <w:szCs w:val="24"/>
        </w:rPr>
        <w:t xml:space="preserve">(Table </w:t>
      </w:r>
      <w:r w:rsidR="00395F01" w:rsidRPr="002105AA">
        <w:rPr>
          <w:rFonts w:ascii="Times New Roman" w:hAnsi="Times New Roman" w:cs="Times New Roman"/>
          <w:color w:val="000000" w:themeColor="text1"/>
          <w:sz w:val="24"/>
          <w:szCs w:val="24"/>
        </w:rPr>
        <w:t xml:space="preserve">2) </w:t>
      </w:r>
      <w:r w:rsidRPr="002105AA">
        <w:rPr>
          <w:rFonts w:ascii="Times New Roman" w:hAnsi="Times New Roman" w:cs="Times New Roman"/>
          <w:color w:val="000000" w:themeColor="text1"/>
          <w:sz w:val="24"/>
          <w:szCs w:val="24"/>
        </w:rPr>
        <w:t xml:space="preserve">places it in the </w:t>
      </w:r>
      <w:r w:rsidRPr="002105AA">
        <w:rPr>
          <w:rFonts w:ascii="Times New Roman" w:hAnsi="Times New Roman" w:cs="Times New Roman"/>
          <w:sz w:val="24"/>
          <w:szCs w:val="24"/>
        </w:rPr>
        <w:t xml:space="preserve">UNDP </w:t>
      </w:r>
      <w:r w:rsidRPr="002105AA">
        <w:rPr>
          <w:rFonts w:ascii="Times New Roman" w:hAnsi="Times New Roman" w:cs="Times New Roman"/>
          <w:color w:val="000000" w:themeColor="text1"/>
          <w:sz w:val="24"/>
          <w:szCs w:val="24"/>
        </w:rPr>
        <w:t>category of countries with a “very high” level of human development (</w:t>
      </w:r>
      <w:r w:rsidRPr="002105AA">
        <w:rPr>
          <w:rFonts w:ascii="Times New Roman" w:hAnsi="Times New Roman" w:cs="Times New Roman"/>
          <w:sz w:val="24"/>
          <w:szCs w:val="24"/>
        </w:rPr>
        <w:t>UNDP 2020)</w:t>
      </w:r>
      <w:r w:rsidRPr="002105AA">
        <w:rPr>
          <w:rFonts w:ascii="Times New Roman" w:hAnsi="Times New Roman" w:cs="Times New Roman"/>
          <w:color w:val="000000" w:themeColor="text1"/>
          <w:sz w:val="24"/>
          <w:szCs w:val="24"/>
        </w:rPr>
        <w:t xml:space="preserve">. With the maximum HDI of 0.93 in 2019, Canada </w:t>
      </w:r>
      <w:proofErr w:type="gramStart"/>
      <w:r w:rsidRPr="002105AA">
        <w:rPr>
          <w:rFonts w:ascii="Times New Roman" w:hAnsi="Times New Roman" w:cs="Times New Roman"/>
          <w:color w:val="000000" w:themeColor="text1"/>
          <w:sz w:val="24"/>
          <w:szCs w:val="24"/>
        </w:rPr>
        <w:t>was ranked</w:t>
      </w:r>
      <w:proofErr w:type="gramEnd"/>
      <w:r w:rsidRPr="002105AA">
        <w:rPr>
          <w:rFonts w:ascii="Times New Roman" w:hAnsi="Times New Roman" w:cs="Times New Roman"/>
          <w:color w:val="000000" w:themeColor="text1"/>
          <w:sz w:val="24"/>
          <w:szCs w:val="24"/>
        </w:rPr>
        <w:t xml:space="preserve"> 16</w:t>
      </w:r>
      <w:r w:rsidRPr="002105AA">
        <w:rPr>
          <w:rFonts w:ascii="Times New Roman" w:hAnsi="Times New Roman" w:cs="Times New Roman"/>
          <w:color w:val="000000" w:themeColor="text1"/>
          <w:sz w:val="24"/>
          <w:szCs w:val="24"/>
          <w:vertAlign w:val="superscript"/>
        </w:rPr>
        <w:t>th</w:t>
      </w:r>
      <w:r w:rsidRPr="002105AA">
        <w:rPr>
          <w:rFonts w:ascii="Times New Roman" w:hAnsi="Times New Roman" w:cs="Times New Roman"/>
          <w:color w:val="000000" w:themeColor="text1"/>
          <w:sz w:val="24"/>
          <w:szCs w:val="24"/>
        </w:rPr>
        <w:t xml:space="preserve"> in the UNDP’s 2020 Human Development</w:t>
      </w:r>
      <w:r>
        <w:rPr>
          <w:rFonts w:ascii="Times New Roman" w:hAnsi="Times New Roman" w:cs="Times New Roman"/>
          <w:color w:val="000000" w:themeColor="text1"/>
          <w:sz w:val="24"/>
          <w:szCs w:val="24"/>
        </w:rPr>
        <w:t xml:space="preserve"> Report for “very high” levels of achievement in health/life expectancy, the standard of living, and </w:t>
      </w:r>
      <w:r w:rsidR="00395F01">
        <w:rPr>
          <w:rFonts w:ascii="Times New Roman" w:hAnsi="Times New Roman" w:cs="Times New Roman"/>
          <w:color w:val="000000" w:themeColor="text1"/>
          <w:sz w:val="24"/>
          <w:szCs w:val="24"/>
        </w:rPr>
        <w:t>education (</w:t>
      </w:r>
      <w:r w:rsidRPr="002105AA">
        <w:rPr>
          <w:rFonts w:ascii="Times New Roman" w:hAnsi="Times New Roman" w:cs="Times New Roman"/>
          <w:sz w:val="24"/>
          <w:szCs w:val="24"/>
        </w:rPr>
        <w:t>UNDP</w:t>
      </w:r>
      <w:r w:rsidR="00395F01" w:rsidRPr="002105AA">
        <w:rPr>
          <w:rFonts w:ascii="Times New Roman" w:hAnsi="Times New Roman" w:cs="Times New Roman"/>
          <w:sz w:val="24"/>
          <w:szCs w:val="24"/>
        </w:rPr>
        <w:t xml:space="preserve"> </w:t>
      </w:r>
      <w:r w:rsidRPr="002105AA">
        <w:rPr>
          <w:rFonts w:ascii="Times New Roman" w:hAnsi="Times New Roman" w:cs="Times New Roman"/>
          <w:sz w:val="24"/>
          <w:szCs w:val="24"/>
        </w:rPr>
        <w:t>2020). Canada’s</w:t>
      </w:r>
      <w:r>
        <w:rPr>
          <w:rFonts w:ascii="Times New Roman" w:hAnsi="Times New Roman" w:cs="Times New Roman"/>
          <w:sz w:val="24"/>
          <w:szCs w:val="24"/>
        </w:rPr>
        <w:t xml:space="preserve"> HDI increased through the period studied from a minimum of 0.86 in 1998 to a maximum of 0.9</w:t>
      </w:r>
      <w:r w:rsidR="0044386D">
        <w:rPr>
          <w:rFonts w:ascii="Times New Roman" w:hAnsi="Times New Roman" w:cs="Times New Roman"/>
          <w:sz w:val="24"/>
          <w:szCs w:val="24"/>
        </w:rPr>
        <w:t>3</w:t>
      </w:r>
      <w:r>
        <w:rPr>
          <w:rFonts w:ascii="Times New Roman" w:hAnsi="Times New Roman" w:cs="Times New Roman"/>
          <w:sz w:val="24"/>
          <w:szCs w:val="24"/>
        </w:rPr>
        <w:t xml:space="preserve"> in 2019 (</w:t>
      </w:r>
      <w:r w:rsidR="00395F01">
        <w:rPr>
          <w:rFonts w:ascii="Times New Roman" w:hAnsi="Times New Roman" w:cs="Times New Roman"/>
          <w:sz w:val="24"/>
          <w:szCs w:val="24"/>
        </w:rPr>
        <w:t>Figure</w:t>
      </w:r>
      <w:r w:rsidR="00B44CA5">
        <w:rPr>
          <w:rFonts w:ascii="Times New Roman" w:hAnsi="Times New Roman" w:cs="Times New Roman"/>
          <w:sz w:val="24"/>
          <w:szCs w:val="24"/>
        </w:rPr>
        <w:t xml:space="preserve"> </w:t>
      </w:r>
      <w:r w:rsidR="00395F01">
        <w:rPr>
          <w:rFonts w:ascii="Times New Roman" w:hAnsi="Times New Roman" w:cs="Times New Roman"/>
          <w:sz w:val="24"/>
          <w:szCs w:val="24"/>
        </w:rPr>
        <w:t>1</w:t>
      </w:r>
      <w:r w:rsidR="00B44CA5">
        <w:rPr>
          <w:rFonts w:ascii="Times New Roman" w:hAnsi="Times New Roman" w:cs="Times New Roman"/>
          <w:sz w:val="24"/>
          <w:szCs w:val="24"/>
        </w:rPr>
        <w:t xml:space="preserve"> </w:t>
      </w:r>
      <w:r w:rsidR="0044386D">
        <w:rPr>
          <w:rFonts w:ascii="Times New Roman" w:hAnsi="Times New Roman" w:cs="Times New Roman"/>
          <w:sz w:val="24"/>
          <w:szCs w:val="24"/>
        </w:rPr>
        <w:t xml:space="preserve">and </w:t>
      </w:r>
      <w:r>
        <w:rPr>
          <w:rFonts w:ascii="Times New Roman" w:hAnsi="Times New Roman" w:cs="Times New Roman"/>
          <w:color w:val="000000" w:themeColor="text1"/>
          <w:sz w:val="24"/>
          <w:szCs w:val="24"/>
        </w:rPr>
        <w:t xml:space="preserve">Table </w:t>
      </w:r>
      <w:r w:rsidR="0044386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p>
    <w:p w14:paraId="2F3975C3" w14:textId="445620C9" w:rsidR="003979C0" w:rsidRDefault="003979C0" w:rsidP="0068330F">
      <w:pPr>
        <w:spacing w:line="24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 xml:space="preserve">Higher values of IEF signify greater economic </w:t>
      </w:r>
      <w:r w:rsidRPr="00FF2BA5">
        <w:rPr>
          <w:rFonts w:ascii="Times New Roman" w:hAnsi="Times New Roman" w:cs="Times New Roman"/>
          <w:color w:val="000000" w:themeColor="text1"/>
          <w:sz w:val="24"/>
          <w:szCs w:val="24"/>
        </w:rPr>
        <w:t>freedom (</w:t>
      </w:r>
      <w:r w:rsidRPr="00FF2BA5">
        <w:rPr>
          <w:rFonts w:ascii="Times New Roman" w:hAnsi="Times New Roman" w:cs="Times New Roman"/>
          <w:sz w:val="24"/>
          <w:szCs w:val="24"/>
        </w:rPr>
        <w:t>Miller et al. 2021a, 2021c)</w:t>
      </w:r>
      <w:r w:rsidRPr="00FF2BA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Canada’s minimum IEF of 67.9 in 1997 </w:t>
      </w:r>
      <w:r w:rsidR="008A10CD">
        <w:rPr>
          <w:rFonts w:ascii="Times New Roman" w:hAnsi="Times New Roman" w:cs="Times New Roman"/>
          <w:color w:val="000000" w:themeColor="text1"/>
          <w:sz w:val="24"/>
          <w:szCs w:val="24"/>
        </w:rPr>
        <w:t xml:space="preserve">(Table 2) </w:t>
      </w:r>
      <w:r>
        <w:rPr>
          <w:rFonts w:ascii="Times New Roman" w:hAnsi="Times New Roman" w:cs="Times New Roman"/>
          <w:color w:val="000000" w:themeColor="text1"/>
          <w:sz w:val="24"/>
          <w:szCs w:val="24"/>
        </w:rPr>
        <w:t xml:space="preserve">indicated a country that enjoyed “moderate” </w:t>
      </w:r>
      <w:r w:rsidRPr="002105AA">
        <w:rPr>
          <w:rFonts w:ascii="Times New Roman" w:hAnsi="Times New Roman" w:cs="Times New Roman"/>
          <w:color w:val="000000" w:themeColor="text1"/>
          <w:sz w:val="24"/>
          <w:szCs w:val="24"/>
        </w:rPr>
        <w:t>economic freedom according to Miller et al. (2021b). During the post-199</w:t>
      </w:r>
      <w:r w:rsidR="009934E3" w:rsidRPr="002105AA">
        <w:rPr>
          <w:rFonts w:ascii="Times New Roman" w:hAnsi="Times New Roman" w:cs="Times New Roman"/>
          <w:color w:val="000000" w:themeColor="text1"/>
          <w:sz w:val="24"/>
          <w:szCs w:val="24"/>
        </w:rPr>
        <w:t>7</w:t>
      </w:r>
      <w:r w:rsidRPr="002105AA">
        <w:rPr>
          <w:rFonts w:ascii="Times New Roman" w:hAnsi="Times New Roman" w:cs="Times New Roman"/>
          <w:color w:val="000000" w:themeColor="text1"/>
          <w:sz w:val="24"/>
          <w:szCs w:val="24"/>
        </w:rPr>
        <w:t xml:space="preserve"> period, the IEF values remained greater than 70 </w:t>
      </w:r>
      <w:r w:rsidR="008A10CD" w:rsidRPr="002105AA">
        <w:rPr>
          <w:rFonts w:ascii="Times New Roman" w:hAnsi="Times New Roman" w:cs="Times New Roman"/>
          <w:color w:val="000000" w:themeColor="text1"/>
          <w:sz w:val="24"/>
          <w:szCs w:val="24"/>
        </w:rPr>
        <w:t xml:space="preserve">(Figure 1) </w:t>
      </w:r>
      <w:r w:rsidRPr="002105AA">
        <w:rPr>
          <w:rFonts w:ascii="Times New Roman" w:hAnsi="Times New Roman" w:cs="Times New Roman"/>
          <w:color w:val="000000" w:themeColor="text1"/>
          <w:sz w:val="24"/>
          <w:szCs w:val="24"/>
        </w:rPr>
        <w:t>connoting a system that is “mostly economically free” (</w:t>
      </w:r>
      <w:r w:rsidRPr="002105AA">
        <w:rPr>
          <w:rFonts w:ascii="Times New Roman" w:hAnsi="Times New Roman" w:cs="Times New Roman"/>
          <w:sz w:val="24"/>
          <w:szCs w:val="24"/>
        </w:rPr>
        <w:t>Miller et al. 2021b) with periods</w:t>
      </w:r>
      <w:r>
        <w:rPr>
          <w:rFonts w:ascii="Times New Roman" w:hAnsi="Times New Roman" w:cs="Times New Roman"/>
          <w:sz w:val="24"/>
          <w:szCs w:val="24"/>
        </w:rPr>
        <w:t xml:space="preserve"> where greater than 80 IEF values were achieved (2008 - 2011 and 2014), signifying a “free economic system” based on four pillars of economic freedom, namely, the rule of law, government size, regulatory efficiency, and open markets (Figure </w:t>
      </w:r>
      <w:r w:rsidR="008A10CD">
        <w:rPr>
          <w:rFonts w:ascii="Times New Roman" w:hAnsi="Times New Roman" w:cs="Times New Roman"/>
          <w:sz w:val="24"/>
          <w:szCs w:val="24"/>
        </w:rPr>
        <w:t>1</w:t>
      </w:r>
      <w:r>
        <w:rPr>
          <w:rFonts w:ascii="Times New Roman" w:hAnsi="Times New Roman" w:cs="Times New Roman"/>
          <w:sz w:val="24"/>
          <w:szCs w:val="24"/>
        </w:rPr>
        <w:t>).</w:t>
      </w:r>
    </w:p>
    <w:p w14:paraId="3734AA65" w14:textId="6A5A01C8" w:rsidR="00F17527" w:rsidRDefault="00F17527" w:rsidP="0068330F">
      <w:pPr>
        <w:spacing w:line="240" w:lineRule="auto"/>
        <w:ind w:firstLine="720"/>
        <w:rPr>
          <w:rFonts w:ascii="Times New Roman" w:hAnsi="Times New Roman" w:cs="Times New Roman"/>
          <w:sz w:val="24"/>
          <w:szCs w:val="24"/>
        </w:rPr>
      </w:pPr>
      <w:r>
        <w:rPr>
          <w:rFonts w:ascii="Times New Roman" w:hAnsi="Times New Roman" w:cs="Times New Roman"/>
          <w:sz w:val="24"/>
          <w:szCs w:val="24"/>
        </w:rPr>
        <w:t>Table 3 shows that</w:t>
      </w:r>
      <w:r w:rsidR="00520E70">
        <w:rPr>
          <w:rFonts w:ascii="Times New Roman" w:hAnsi="Times New Roman" w:cs="Times New Roman"/>
          <w:sz w:val="24"/>
          <w:szCs w:val="24"/>
        </w:rPr>
        <w:t xml:space="preserve"> the time series of</w:t>
      </w:r>
      <w:r>
        <w:rPr>
          <w:rFonts w:ascii="Times New Roman" w:hAnsi="Times New Roman" w:cs="Times New Roman"/>
          <w:sz w:val="24"/>
          <w:szCs w:val="24"/>
        </w:rPr>
        <w:t xml:space="preserve"> population and the growth measures are </w:t>
      </w:r>
      <w:proofErr w:type="gramStart"/>
      <w:r>
        <w:rPr>
          <w:rFonts w:ascii="Times New Roman" w:hAnsi="Times New Roman" w:cs="Times New Roman"/>
          <w:sz w:val="24"/>
          <w:szCs w:val="24"/>
        </w:rPr>
        <w:t>fairly symmetrical</w:t>
      </w:r>
      <w:proofErr w:type="gramEnd"/>
      <w:r w:rsidR="00520E70">
        <w:rPr>
          <w:rFonts w:ascii="Times New Roman" w:hAnsi="Times New Roman" w:cs="Times New Roman"/>
          <w:sz w:val="24"/>
          <w:szCs w:val="24"/>
        </w:rPr>
        <w:t>,</w:t>
      </w:r>
      <w:r>
        <w:rPr>
          <w:rFonts w:ascii="Times New Roman" w:hAnsi="Times New Roman" w:cs="Times New Roman"/>
          <w:sz w:val="24"/>
          <w:szCs w:val="24"/>
        </w:rPr>
        <w:t xml:space="preserve"> </w:t>
      </w:r>
      <w:r w:rsidR="00016B25">
        <w:rPr>
          <w:rFonts w:ascii="Times New Roman" w:hAnsi="Times New Roman" w:cs="Times New Roman"/>
          <w:sz w:val="24"/>
          <w:szCs w:val="24"/>
        </w:rPr>
        <w:t>except for</w:t>
      </w:r>
      <w:r w:rsidR="005F2F2E">
        <w:rPr>
          <w:rFonts w:ascii="Times New Roman" w:hAnsi="Times New Roman" w:cs="Times New Roman"/>
          <w:sz w:val="24"/>
          <w:szCs w:val="24"/>
        </w:rPr>
        <w:t xml:space="preserve"> IEF which is moderately negatively skewed. All the datasets have excess negative kurtosis</w:t>
      </w:r>
      <w:r>
        <w:rPr>
          <w:rFonts w:ascii="Times New Roman" w:hAnsi="Times New Roman" w:cs="Times New Roman"/>
          <w:sz w:val="24"/>
          <w:szCs w:val="24"/>
        </w:rPr>
        <w:t xml:space="preserve"> </w:t>
      </w:r>
      <w:r w:rsidR="005F2F2E">
        <w:rPr>
          <w:rFonts w:ascii="Times New Roman" w:hAnsi="Times New Roman" w:cs="Times New Roman"/>
          <w:sz w:val="24"/>
          <w:szCs w:val="24"/>
        </w:rPr>
        <w:t>(Table 3).</w:t>
      </w:r>
    </w:p>
    <w:p w14:paraId="0EFA2C81" w14:textId="77777777" w:rsidR="003979C0" w:rsidRPr="00E31A5B" w:rsidRDefault="003979C0" w:rsidP="0068330F">
      <w:pPr>
        <w:pStyle w:val="Heading2"/>
        <w:spacing w:after="240" w:line="240" w:lineRule="auto"/>
        <w:rPr>
          <w:rFonts w:ascii="Times New Roman" w:hAnsi="Times New Roman" w:cs="Times New Roman"/>
          <w:b/>
          <w:bCs/>
          <w:color w:val="000000" w:themeColor="text1"/>
          <w:sz w:val="24"/>
          <w:szCs w:val="24"/>
        </w:rPr>
      </w:pPr>
      <w:bookmarkStart w:id="57" w:name="_Toc85149365"/>
      <w:r>
        <w:rPr>
          <w:rFonts w:ascii="Times New Roman" w:hAnsi="Times New Roman" w:cs="Times New Roman"/>
          <w:b/>
          <w:bCs/>
          <w:color w:val="000000" w:themeColor="text1"/>
          <w:sz w:val="24"/>
          <w:szCs w:val="24"/>
        </w:rPr>
        <w:t>Stationarity</w:t>
      </w:r>
      <w:bookmarkEnd w:id="57"/>
    </w:p>
    <w:p w14:paraId="2E8A18B9" w14:textId="5E380BAC" w:rsidR="003979C0" w:rsidRDefault="00DE56B1" w:rsidP="0068330F">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3979C0" w:rsidRPr="00E31A5B">
        <w:rPr>
          <w:rFonts w:ascii="Times New Roman" w:hAnsi="Times New Roman" w:cs="Times New Roman"/>
          <w:color w:val="000000" w:themeColor="text1"/>
          <w:sz w:val="24"/>
          <w:szCs w:val="24"/>
        </w:rPr>
        <w:t xml:space="preserve">he null hypothesis of the </w:t>
      </w:r>
      <w:r w:rsidR="003979C0">
        <w:rPr>
          <w:rFonts w:ascii="Times New Roman" w:hAnsi="Times New Roman" w:cs="Times New Roman"/>
          <w:color w:val="000000" w:themeColor="text1"/>
          <w:sz w:val="24"/>
          <w:szCs w:val="24"/>
        </w:rPr>
        <w:t xml:space="preserve">ADF unit root </w:t>
      </w:r>
      <w:r w:rsidR="003979C0" w:rsidRPr="00E31A5B">
        <w:rPr>
          <w:rFonts w:ascii="Times New Roman" w:hAnsi="Times New Roman" w:cs="Times New Roman"/>
          <w:color w:val="000000" w:themeColor="text1"/>
          <w:sz w:val="24"/>
          <w:szCs w:val="24"/>
        </w:rPr>
        <w:t xml:space="preserve">test is that </w:t>
      </w:r>
      <w:r w:rsidR="003979C0">
        <w:rPr>
          <w:rFonts w:ascii="Times New Roman" w:hAnsi="Times New Roman" w:cs="Times New Roman"/>
          <w:color w:val="000000" w:themeColor="text1"/>
          <w:sz w:val="24"/>
          <w:szCs w:val="24"/>
        </w:rPr>
        <w:t xml:space="preserve">the time series is non-stationary. The ADF test results reported in </w:t>
      </w:r>
      <w:r w:rsidR="003979C0" w:rsidRPr="00DC3491">
        <w:rPr>
          <w:rFonts w:ascii="Times New Roman" w:hAnsi="Times New Roman" w:cs="Times New Roman"/>
          <w:color w:val="000000" w:themeColor="text1"/>
          <w:sz w:val="24"/>
          <w:szCs w:val="24"/>
        </w:rPr>
        <w:t>Table 4,</w:t>
      </w:r>
      <w:r w:rsidR="003979C0">
        <w:rPr>
          <w:rFonts w:ascii="Times New Roman" w:hAnsi="Times New Roman" w:cs="Times New Roman"/>
          <w:color w:val="000000" w:themeColor="text1"/>
          <w:sz w:val="24"/>
          <w:szCs w:val="24"/>
        </w:rPr>
        <w:t xml:space="preserve"> therefore, demonstrate that all the variables were integrated of order </w:t>
      </w:r>
      <w:proofErr w:type="gramStart"/>
      <w:r w:rsidR="003979C0">
        <w:rPr>
          <w:rFonts w:ascii="Times New Roman" w:hAnsi="Times New Roman" w:cs="Times New Roman"/>
          <w:color w:val="000000" w:themeColor="text1"/>
          <w:sz w:val="24"/>
          <w:szCs w:val="24"/>
        </w:rPr>
        <w:t>1</w:t>
      </w:r>
      <w:proofErr w:type="gramEnd"/>
      <w:r w:rsidR="003979C0">
        <w:rPr>
          <w:rFonts w:ascii="Times New Roman" w:hAnsi="Times New Roman" w:cs="Times New Roman"/>
          <w:color w:val="000000" w:themeColor="text1"/>
          <w:sz w:val="24"/>
          <w:szCs w:val="24"/>
        </w:rPr>
        <w:t xml:space="preserve">, i.e., I(1), indicating that the time series were non-stationary at level and stationary when first-differenced. HDI </w:t>
      </w:r>
      <w:r w:rsidR="00165F06">
        <w:rPr>
          <w:rFonts w:ascii="Times New Roman" w:hAnsi="Times New Roman" w:cs="Times New Roman"/>
          <w:color w:val="000000" w:themeColor="text1"/>
          <w:sz w:val="24"/>
          <w:szCs w:val="24"/>
        </w:rPr>
        <w:t xml:space="preserve">and IEF were </w:t>
      </w:r>
      <w:r w:rsidR="003979C0">
        <w:rPr>
          <w:rFonts w:ascii="Times New Roman" w:hAnsi="Times New Roman" w:cs="Times New Roman"/>
          <w:color w:val="000000" w:themeColor="text1"/>
          <w:sz w:val="24"/>
          <w:szCs w:val="24"/>
        </w:rPr>
        <w:t>I(1) in a “constant only” scenario</w:t>
      </w:r>
      <w:r w:rsidR="00165F06">
        <w:rPr>
          <w:rFonts w:ascii="Times New Roman" w:hAnsi="Times New Roman" w:cs="Times New Roman"/>
          <w:color w:val="000000" w:themeColor="text1"/>
          <w:sz w:val="24"/>
          <w:szCs w:val="24"/>
        </w:rPr>
        <w:t xml:space="preserve"> while GDPpc and GNDIpc were I(1) </w:t>
      </w:r>
      <w:r w:rsidR="005A584C">
        <w:rPr>
          <w:rFonts w:ascii="Times New Roman" w:hAnsi="Times New Roman" w:cs="Times New Roman"/>
          <w:color w:val="000000" w:themeColor="text1"/>
          <w:sz w:val="24"/>
          <w:szCs w:val="24"/>
        </w:rPr>
        <w:t xml:space="preserve">in </w:t>
      </w:r>
      <w:r w:rsidR="003979C0">
        <w:rPr>
          <w:rFonts w:ascii="Times New Roman" w:hAnsi="Times New Roman" w:cs="Times New Roman"/>
          <w:color w:val="000000" w:themeColor="text1"/>
          <w:sz w:val="24"/>
          <w:szCs w:val="24"/>
        </w:rPr>
        <w:t xml:space="preserve">a “constant and trend” scenario. The confirmation of the I(1) status allowed for the </w:t>
      </w:r>
      <w:r w:rsidR="0045082B">
        <w:rPr>
          <w:rFonts w:ascii="Times New Roman" w:hAnsi="Times New Roman" w:cs="Times New Roman"/>
          <w:color w:val="000000" w:themeColor="text1"/>
          <w:sz w:val="24"/>
          <w:szCs w:val="24"/>
        </w:rPr>
        <w:t xml:space="preserve">cointegration </w:t>
      </w:r>
      <w:r w:rsidR="003979C0">
        <w:rPr>
          <w:rFonts w:ascii="Times New Roman" w:hAnsi="Times New Roman" w:cs="Times New Roman"/>
          <w:color w:val="000000" w:themeColor="text1"/>
          <w:sz w:val="24"/>
          <w:szCs w:val="24"/>
        </w:rPr>
        <w:t xml:space="preserve">test to </w:t>
      </w:r>
      <w:proofErr w:type="gramStart"/>
      <w:r w:rsidR="003979C0">
        <w:rPr>
          <w:rFonts w:ascii="Times New Roman" w:hAnsi="Times New Roman" w:cs="Times New Roman"/>
          <w:color w:val="000000" w:themeColor="text1"/>
          <w:sz w:val="24"/>
          <w:szCs w:val="24"/>
        </w:rPr>
        <w:t>be performed</w:t>
      </w:r>
      <w:proofErr w:type="gramEnd"/>
      <w:r w:rsidR="003979C0">
        <w:rPr>
          <w:rFonts w:ascii="Times New Roman" w:hAnsi="Times New Roman" w:cs="Times New Roman"/>
          <w:color w:val="000000" w:themeColor="text1"/>
          <w:sz w:val="24"/>
          <w:szCs w:val="24"/>
        </w:rPr>
        <w:t xml:space="preserve"> between the paired growth indicators</w:t>
      </w:r>
      <w:r w:rsidR="0045082B">
        <w:rPr>
          <w:rFonts w:ascii="Times New Roman" w:hAnsi="Times New Roman" w:cs="Times New Roman"/>
          <w:color w:val="000000" w:themeColor="text1"/>
          <w:sz w:val="24"/>
          <w:szCs w:val="24"/>
        </w:rPr>
        <w:t>.</w:t>
      </w:r>
    </w:p>
    <w:p w14:paraId="02E32C1B" w14:textId="77777777" w:rsidR="003979C0" w:rsidRPr="00E31A5B" w:rsidRDefault="003979C0" w:rsidP="0068330F">
      <w:pPr>
        <w:pStyle w:val="Heading2"/>
        <w:spacing w:after="240" w:line="240" w:lineRule="auto"/>
        <w:rPr>
          <w:rFonts w:ascii="Times New Roman" w:hAnsi="Times New Roman" w:cs="Times New Roman"/>
          <w:b/>
          <w:bCs/>
          <w:color w:val="000000" w:themeColor="text1"/>
          <w:sz w:val="24"/>
          <w:szCs w:val="24"/>
        </w:rPr>
      </w:pPr>
      <w:bookmarkStart w:id="58" w:name="_Toc85149366"/>
      <w:r w:rsidRPr="00E31A5B">
        <w:rPr>
          <w:rFonts w:ascii="Times New Roman" w:hAnsi="Times New Roman" w:cs="Times New Roman"/>
          <w:b/>
          <w:bCs/>
          <w:color w:val="000000" w:themeColor="text1"/>
          <w:sz w:val="24"/>
          <w:szCs w:val="24"/>
        </w:rPr>
        <w:t>Cointegration</w:t>
      </w:r>
      <w:bookmarkEnd w:id="58"/>
      <w:r w:rsidRPr="00E31A5B">
        <w:rPr>
          <w:rFonts w:ascii="Times New Roman" w:hAnsi="Times New Roman" w:cs="Times New Roman"/>
          <w:b/>
          <w:bCs/>
          <w:color w:val="000000" w:themeColor="text1"/>
          <w:sz w:val="24"/>
          <w:szCs w:val="24"/>
        </w:rPr>
        <w:t xml:space="preserve"> </w:t>
      </w:r>
    </w:p>
    <w:p w14:paraId="43945DC0" w14:textId="77777777" w:rsidR="00DC6F01" w:rsidRDefault="00A16B27" w:rsidP="0068330F">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E31A5B">
        <w:rPr>
          <w:rFonts w:ascii="Times New Roman" w:hAnsi="Times New Roman" w:cs="Times New Roman"/>
          <w:color w:val="000000" w:themeColor="text1"/>
          <w:sz w:val="24"/>
          <w:szCs w:val="24"/>
        </w:rPr>
        <w:t xml:space="preserve">he optimal lag length for cointegration testing </w:t>
      </w:r>
      <w:r>
        <w:rPr>
          <w:rFonts w:ascii="Times New Roman" w:hAnsi="Times New Roman" w:cs="Times New Roman"/>
          <w:color w:val="000000" w:themeColor="text1"/>
          <w:sz w:val="24"/>
          <w:szCs w:val="24"/>
        </w:rPr>
        <w:t xml:space="preserve">is </w:t>
      </w:r>
      <w:proofErr w:type="gramStart"/>
      <w:r>
        <w:rPr>
          <w:rFonts w:ascii="Times New Roman" w:hAnsi="Times New Roman" w:cs="Times New Roman"/>
          <w:color w:val="000000" w:themeColor="text1"/>
          <w:sz w:val="24"/>
          <w:szCs w:val="24"/>
        </w:rPr>
        <w:t>7</w:t>
      </w:r>
      <w:proofErr w:type="gramEnd"/>
      <w:r>
        <w:rPr>
          <w:rFonts w:ascii="Times New Roman" w:hAnsi="Times New Roman" w:cs="Times New Roman"/>
          <w:color w:val="000000" w:themeColor="text1"/>
          <w:sz w:val="24"/>
          <w:szCs w:val="24"/>
        </w:rPr>
        <w:t xml:space="preserve">, </w:t>
      </w:r>
      <w:r w:rsidRPr="00A86B2F">
        <w:rPr>
          <w:rFonts w:ascii="Times New Roman" w:hAnsi="Times New Roman" w:cs="Times New Roman"/>
          <w:color w:val="000000" w:themeColor="text1"/>
          <w:sz w:val="24"/>
          <w:szCs w:val="24"/>
        </w:rPr>
        <w:t>based on the Akaike Information Criterion (AIC)</w:t>
      </w:r>
      <w:r>
        <w:rPr>
          <w:rFonts w:ascii="Times New Roman" w:hAnsi="Times New Roman" w:cs="Times New Roman"/>
          <w:color w:val="000000" w:themeColor="text1"/>
          <w:sz w:val="24"/>
          <w:szCs w:val="24"/>
        </w:rPr>
        <w:t xml:space="preserve"> </w:t>
      </w:r>
      <w:r w:rsidRPr="00F822C8">
        <w:rPr>
          <w:rFonts w:ascii="Times New Roman" w:hAnsi="Times New Roman" w:cs="Times New Roman"/>
          <w:color w:val="000000" w:themeColor="text1"/>
          <w:sz w:val="24"/>
          <w:szCs w:val="24"/>
        </w:rPr>
        <w:t xml:space="preserve">(Table </w:t>
      </w:r>
      <w:r w:rsidR="00F822C8" w:rsidRPr="00F822C8">
        <w:rPr>
          <w:rFonts w:ascii="Times New Roman" w:hAnsi="Times New Roman" w:cs="Times New Roman"/>
          <w:color w:val="000000" w:themeColor="text1"/>
          <w:sz w:val="24"/>
          <w:szCs w:val="24"/>
        </w:rPr>
        <w:t>5</w:t>
      </w:r>
      <w:r w:rsidRPr="00F822C8">
        <w:rPr>
          <w:rFonts w:ascii="Times New Roman" w:hAnsi="Times New Roman" w:cs="Times New Roman"/>
          <w:color w:val="000000" w:themeColor="text1"/>
          <w:sz w:val="24"/>
          <w:szCs w:val="24"/>
        </w:rPr>
        <w:t>).</w:t>
      </w:r>
      <w:r w:rsidR="0045082B">
        <w:rPr>
          <w:rFonts w:ascii="Times New Roman" w:hAnsi="Times New Roman" w:cs="Times New Roman"/>
          <w:color w:val="000000" w:themeColor="text1"/>
          <w:sz w:val="24"/>
          <w:szCs w:val="24"/>
        </w:rPr>
        <w:t xml:space="preserve"> </w:t>
      </w:r>
      <w:r w:rsidR="003979C0" w:rsidRPr="00E31A5B">
        <w:rPr>
          <w:rFonts w:ascii="Times New Roman" w:hAnsi="Times New Roman" w:cs="Times New Roman"/>
          <w:color w:val="000000" w:themeColor="text1"/>
          <w:sz w:val="24"/>
          <w:szCs w:val="24"/>
        </w:rPr>
        <w:t xml:space="preserve">The null hypothesis of the JC test is that a unit root exists. As such, a p-value &lt; 0.05 obtained from the unit root test of the error term </w:t>
      </w:r>
      <w:r w:rsidR="0045082B">
        <w:rPr>
          <w:rFonts w:ascii="Times New Roman" w:hAnsi="Times New Roman" w:cs="Times New Roman"/>
          <w:color w:val="000000" w:themeColor="text1"/>
          <w:sz w:val="24"/>
          <w:szCs w:val="24"/>
        </w:rPr>
        <w:t>of</w:t>
      </w:r>
      <w:r w:rsidR="003979C0" w:rsidRPr="00E31A5B">
        <w:rPr>
          <w:rFonts w:ascii="Times New Roman" w:hAnsi="Times New Roman" w:cs="Times New Roman"/>
          <w:color w:val="000000" w:themeColor="text1"/>
          <w:sz w:val="24"/>
          <w:szCs w:val="24"/>
        </w:rPr>
        <w:t xml:space="preserve"> the cointegrating regression would lead to the rejection of the null hypothesis. This would indicate that the variables </w:t>
      </w:r>
      <w:proofErr w:type="gramStart"/>
      <w:r w:rsidR="003979C0" w:rsidRPr="00E31A5B">
        <w:rPr>
          <w:rFonts w:ascii="Times New Roman" w:hAnsi="Times New Roman" w:cs="Times New Roman"/>
          <w:color w:val="000000" w:themeColor="text1"/>
          <w:sz w:val="24"/>
          <w:szCs w:val="24"/>
        </w:rPr>
        <w:t>being evaluated</w:t>
      </w:r>
      <w:proofErr w:type="gramEnd"/>
      <w:r w:rsidR="003979C0" w:rsidRPr="00E31A5B">
        <w:rPr>
          <w:rFonts w:ascii="Times New Roman" w:hAnsi="Times New Roman" w:cs="Times New Roman"/>
          <w:color w:val="000000" w:themeColor="text1"/>
          <w:sz w:val="24"/>
          <w:szCs w:val="24"/>
        </w:rPr>
        <w:t xml:space="preserve"> are cointegrated</w:t>
      </w:r>
      <w:r w:rsidR="00DC6F01">
        <w:rPr>
          <w:rFonts w:ascii="Times New Roman" w:hAnsi="Times New Roman" w:cs="Times New Roman"/>
          <w:color w:val="000000" w:themeColor="text1"/>
          <w:sz w:val="24"/>
          <w:szCs w:val="24"/>
        </w:rPr>
        <w:t>.</w:t>
      </w:r>
    </w:p>
    <w:p w14:paraId="0CFE1444" w14:textId="02700C99" w:rsidR="005A584C" w:rsidRDefault="003979C0" w:rsidP="0068330F">
      <w:pPr>
        <w:spacing w:line="240" w:lineRule="auto"/>
        <w:ind w:firstLine="720"/>
        <w:rPr>
          <w:rFonts w:ascii="Times New Roman" w:hAnsi="Times New Roman" w:cs="Times New Roman"/>
          <w:b/>
          <w:bCs/>
          <w:color w:val="000000" w:themeColor="text1"/>
          <w:sz w:val="28"/>
          <w:szCs w:val="28"/>
        </w:rPr>
      </w:pPr>
      <w:r w:rsidRPr="00E31A5B">
        <w:rPr>
          <w:rFonts w:ascii="Times New Roman" w:hAnsi="Times New Roman" w:cs="Times New Roman"/>
          <w:color w:val="000000" w:themeColor="text1"/>
          <w:sz w:val="24"/>
          <w:szCs w:val="24"/>
        </w:rPr>
        <w:t xml:space="preserve">The cointegration test results for paired growth variables demonstrate for the first time in the literature (to the best of </w:t>
      </w:r>
      <w:r w:rsidR="00E01624">
        <w:rPr>
          <w:rFonts w:ascii="Times New Roman" w:hAnsi="Times New Roman" w:cs="Times New Roman"/>
          <w:color w:val="000000" w:themeColor="text1"/>
          <w:sz w:val="24"/>
          <w:szCs w:val="24"/>
        </w:rPr>
        <w:t>our</w:t>
      </w:r>
      <w:r w:rsidRPr="00E31A5B">
        <w:rPr>
          <w:rFonts w:ascii="Times New Roman" w:hAnsi="Times New Roman" w:cs="Times New Roman"/>
          <w:color w:val="000000" w:themeColor="text1"/>
          <w:sz w:val="24"/>
          <w:szCs w:val="24"/>
        </w:rPr>
        <w:t xml:space="preserve"> knowledge) that the growth indices are cointegrated with one another</w:t>
      </w:r>
      <w:r w:rsidR="00DC6F01">
        <w:rPr>
          <w:rFonts w:ascii="Times New Roman" w:hAnsi="Times New Roman" w:cs="Times New Roman"/>
          <w:color w:val="000000" w:themeColor="text1"/>
          <w:sz w:val="24"/>
          <w:szCs w:val="24"/>
        </w:rPr>
        <w:t xml:space="preserve"> (Table 6 - </w:t>
      </w:r>
      <w:r w:rsidR="001B2627">
        <w:rPr>
          <w:rFonts w:ascii="Times New Roman" w:hAnsi="Times New Roman" w:cs="Times New Roman"/>
          <w:color w:val="000000" w:themeColor="text1"/>
          <w:sz w:val="24"/>
          <w:szCs w:val="24"/>
        </w:rPr>
        <w:t>20</w:t>
      </w:r>
      <w:r w:rsidR="00DC6F01">
        <w:rPr>
          <w:rFonts w:ascii="Times New Roman" w:hAnsi="Times New Roman" w:cs="Times New Roman"/>
          <w:color w:val="000000" w:themeColor="text1"/>
          <w:sz w:val="24"/>
          <w:szCs w:val="24"/>
        </w:rPr>
        <w:t>)</w:t>
      </w:r>
      <w:r w:rsidRPr="00E31A5B">
        <w:rPr>
          <w:rFonts w:ascii="Times New Roman" w:hAnsi="Times New Roman" w:cs="Times New Roman"/>
          <w:color w:val="000000" w:themeColor="text1"/>
          <w:sz w:val="24"/>
          <w:szCs w:val="24"/>
        </w:rPr>
        <w:t xml:space="preserve">. Up to </w:t>
      </w:r>
      <w:r w:rsidR="005053B8">
        <w:rPr>
          <w:rFonts w:ascii="Times New Roman" w:hAnsi="Times New Roman" w:cs="Times New Roman"/>
          <w:color w:val="000000" w:themeColor="text1"/>
          <w:sz w:val="24"/>
          <w:szCs w:val="24"/>
        </w:rPr>
        <w:t>four</w:t>
      </w:r>
      <w:r w:rsidRPr="00E31A5B">
        <w:rPr>
          <w:rFonts w:ascii="Times New Roman" w:hAnsi="Times New Roman" w:cs="Times New Roman"/>
          <w:color w:val="000000" w:themeColor="text1"/>
          <w:sz w:val="24"/>
          <w:szCs w:val="24"/>
        </w:rPr>
        <w:t xml:space="preserve"> cointegrating vectors </w:t>
      </w:r>
      <w:proofErr w:type="gramStart"/>
      <w:r w:rsidRPr="00E31A5B">
        <w:rPr>
          <w:rFonts w:ascii="Times New Roman" w:hAnsi="Times New Roman" w:cs="Times New Roman"/>
          <w:color w:val="000000" w:themeColor="text1"/>
          <w:sz w:val="24"/>
          <w:szCs w:val="24"/>
        </w:rPr>
        <w:t>were observed</w:t>
      </w:r>
      <w:proofErr w:type="gramEnd"/>
      <w:r w:rsidRPr="00E31A5B">
        <w:rPr>
          <w:rFonts w:ascii="Times New Roman" w:hAnsi="Times New Roman" w:cs="Times New Roman"/>
          <w:color w:val="000000" w:themeColor="text1"/>
          <w:sz w:val="24"/>
          <w:szCs w:val="24"/>
        </w:rPr>
        <w:t xml:space="preserve"> for the relationship between</w:t>
      </w:r>
      <w:r w:rsidR="005053B8">
        <w:rPr>
          <w:rFonts w:ascii="Times New Roman" w:hAnsi="Times New Roman" w:cs="Times New Roman"/>
          <w:color w:val="000000" w:themeColor="text1"/>
          <w:sz w:val="24"/>
          <w:szCs w:val="24"/>
        </w:rPr>
        <w:t xml:space="preserve"> GDPpc and IEF, GNDIpc and IEF, and HDI and IEF (Table 21). Three cointegrating vectors </w:t>
      </w:r>
      <w:proofErr w:type="gramStart"/>
      <w:r w:rsidR="005053B8">
        <w:rPr>
          <w:rFonts w:ascii="Times New Roman" w:hAnsi="Times New Roman" w:cs="Times New Roman"/>
          <w:color w:val="000000" w:themeColor="text1"/>
          <w:sz w:val="24"/>
          <w:szCs w:val="24"/>
        </w:rPr>
        <w:t>were found</w:t>
      </w:r>
      <w:proofErr w:type="gramEnd"/>
      <w:r w:rsidR="005053B8">
        <w:rPr>
          <w:rFonts w:ascii="Times New Roman" w:hAnsi="Times New Roman" w:cs="Times New Roman"/>
          <w:color w:val="000000" w:themeColor="text1"/>
          <w:sz w:val="24"/>
          <w:szCs w:val="24"/>
        </w:rPr>
        <w:t xml:space="preserve"> for the relationship between GDPpc and GNDIpc</w:t>
      </w:r>
      <w:r w:rsidR="00D4464E">
        <w:rPr>
          <w:rFonts w:ascii="Times New Roman" w:hAnsi="Times New Roman" w:cs="Times New Roman"/>
          <w:color w:val="000000" w:themeColor="text1"/>
          <w:sz w:val="24"/>
          <w:szCs w:val="24"/>
        </w:rPr>
        <w:t>,</w:t>
      </w:r>
      <w:r w:rsidR="005053B8">
        <w:rPr>
          <w:rFonts w:ascii="Times New Roman" w:hAnsi="Times New Roman" w:cs="Times New Roman"/>
          <w:color w:val="000000" w:themeColor="text1"/>
          <w:sz w:val="24"/>
          <w:szCs w:val="24"/>
        </w:rPr>
        <w:t xml:space="preserve"> and </w:t>
      </w:r>
      <w:r w:rsidR="005A584C">
        <w:rPr>
          <w:rFonts w:ascii="Times New Roman" w:hAnsi="Times New Roman" w:cs="Times New Roman"/>
          <w:color w:val="000000" w:themeColor="text1"/>
          <w:sz w:val="24"/>
          <w:szCs w:val="24"/>
        </w:rPr>
        <w:t xml:space="preserve">for the relationship </w:t>
      </w:r>
      <w:r w:rsidR="005A584C">
        <w:rPr>
          <w:rFonts w:ascii="Times New Roman" w:hAnsi="Times New Roman" w:cs="Times New Roman"/>
          <w:color w:val="000000" w:themeColor="text1"/>
          <w:sz w:val="24"/>
          <w:szCs w:val="24"/>
        </w:rPr>
        <w:lastRenderedPageBreak/>
        <w:t xml:space="preserve">between </w:t>
      </w:r>
      <w:r w:rsidR="005053B8">
        <w:rPr>
          <w:rFonts w:ascii="Times New Roman" w:hAnsi="Times New Roman" w:cs="Times New Roman"/>
          <w:color w:val="000000" w:themeColor="text1"/>
          <w:sz w:val="24"/>
          <w:szCs w:val="24"/>
        </w:rPr>
        <w:t xml:space="preserve">GNDIpc and HDI. </w:t>
      </w:r>
      <w:r w:rsidRPr="00E31A5B">
        <w:rPr>
          <w:rFonts w:ascii="Times New Roman" w:hAnsi="Times New Roman" w:cs="Times New Roman"/>
          <w:color w:val="000000" w:themeColor="text1"/>
          <w:sz w:val="24"/>
          <w:szCs w:val="24"/>
        </w:rPr>
        <w:t xml:space="preserve">The least number of cointegrating vectors (2) </w:t>
      </w:r>
      <w:proofErr w:type="gramStart"/>
      <w:r w:rsidRPr="00E31A5B">
        <w:rPr>
          <w:rFonts w:ascii="Times New Roman" w:hAnsi="Times New Roman" w:cs="Times New Roman"/>
          <w:color w:val="000000" w:themeColor="text1"/>
          <w:sz w:val="24"/>
          <w:szCs w:val="24"/>
        </w:rPr>
        <w:t>was found</w:t>
      </w:r>
      <w:proofErr w:type="gramEnd"/>
      <w:r w:rsidRPr="00E31A5B">
        <w:rPr>
          <w:rFonts w:ascii="Times New Roman" w:hAnsi="Times New Roman" w:cs="Times New Roman"/>
          <w:color w:val="000000" w:themeColor="text1"/>
          <w:sz w:val="24"/>
          <w:szCs w:val="24"/>
        </w:rPr>
        <w:t xml:space="preserve"> for the </w:t>
      </w:r>
      <w:r w:rsidR="005A584C">
        <w:rPr>
          <w:rFonts w:ascii="Times New Roman" w:hAnsi="Times New Roman" w:cs="Times New Roman"/>
          <w:color w:val="000000" w:themeColor="text1"/>
          <w:sz w:val="24"/>
          <w:szCs w:val="24"/>
        </w:rPr>
        <w:t xml:space="preserve">relationship between </w:t>
      </w:r>
      <w:r w:rsidRPr="00E31A5B">
        <w:rPr>
          <w:rFonts w:ascii="Times New Roman" w:hAnsi="Times New Roman" w:cs="Times New Roman"/>
          <w:color w:val="000000" w:themeColor="text1"/>
          <w:sz w:val="24"/>
          <w:szCs w:val="24"/>
        </w:rPr>
        <w:t xml:space="preserve">GDPpc </w:t>
      </w:r>
      <w:r w:rsidR="005A584C">
        <w:rPr>
          <w:rFonts w:ascii="Times New Roman" w:hAnsi="Times New Roman" w:cs="Times New Roman"/>
          <w:color w:val="000000" w:themeColor="text1"/>
          <w:sz w:val="24"/>
          <w:szCs w:val="24"/>
        </w:rPr>
        <w:t xml:space="preserve">and </w:t>
      </w:r>
      <w:r w:rsidRPr="00E31A5B">
        <w:rPr>
          <w:rFonts w:ascii="Times New Roman" w:hAnsi="Times New Roman" w:cs="Times New Roman"/>
          <w:color w:val="000000" w:themeColor="text1"/>
          <w:sz w:val="24"/>
          <w:szCs w:val="24"/>
        </w:rPr>
        <w:t>HDI</w:t>
      </w:r>
      <w:r w:rsidR="005A584C">
        <w:rPr>
          <w:rFonts w:ascii="Times New Roman" w:hAnsi="Times New Roman" w:cs="Times New Roman"/>
          <w:color w:val="000000" w:themeColor="text1"/>
          <w:sz w:val="24"/>
          <w:szCs w:val="24"/>
        </w:rPr>
        <w:t xml:space="preserve">. </w:t>
      </w:r>
    </w:p>
    <w:p w14:paraId="292EF671" w14:textId="15DE520A" w:rsidR="00A62C06" w:rsidRPr="001B2627" w:rsidRDefault="00A62C06" w:rsidP="0068330F">
      <w:pPr>
        <w:pStyle w:val="Heading1"/>
        <w:spacing w:after="240" w:line="240" w:lineRule="auto"/>
        <w:rPr>
          <w:rFonts w:ascii="Times New Roman" w:hAnsi="Times New Roman" w:cs="Times New Roman"/>
          <w:b/>
          <w:bCs/>
          <w:color w:val="000000" w:themeColor="text1"/>
          <w:sz w:val="28"/>
          <w:szCs w:val="28"/>
        </w:rPr>
      </w:pPr>
      <w:r w:rsidRPr="001B2627">
        <w:rPr>
          <w:rFonts w:ascii="Times New Roman" w:hAnsi="Times New Roman" w:cs="Times New Roman"/>
          <w:b/>
          <w:bCs/>
          <w:color w:val="000000" w:themeColor="text1"/>
          <w:sz w:val="28"/>
          <w:szCs w:val="28"/>
        </w:rPr>
        <w:t>Summary and Conclusion</w:t>
      </w:r>
    </w:p>
    <w:p w14:paraId="1EC5826A" w14:textId="7D713FCF" w:rsidR="000306A7" w:rsidRDefault="00A62C06" w:rsidP="0068330F">
      <w:pPr>
        <w:spacing w:line="240" w:lineRule="auto"/>
        <w:ind w:firstLine="720"/>
        <w:rPr>
          <w:rFonts w:ascii="Times New Roman" w:hAnsi="Times New Roman" w:cs="Times New Roman"/>
          <w:sz w:val="24"/>
          <w:szCs w:val="24"/>
        </w:rPr>
      </w:pPr>
      <w:r w:rsidRPr="00A62C06">
        <w:rPr>
          <w:rFonts w:ascii="Times New Roman" w:hAnsi="Times New Roman" w:cs="Times New Roman"/>
          <w:sz w:val="24"/>
          <w:szCs w:val="24"/>
        </w:rPr>
        <w:t>This evaluation provide</w:t>
      </w:r>
      <w:r>
        <w:rPr>
          <w:rFonts w:ascii="Times New Roman" w:hAnsi="Times New Roman" w:cs="Times New Roman"/>
          <w:sz w:val="24"/>
          <w:szCs w:val="24"/>
        </w:rPr>
        <w:t>s</w:t>
      </w:r>
      <w:r w:rsidRPr="00A62C06">
        <w:rPr>
          <w:rFonts w:ascii="Times New Roman" w:hAnsi="Times New Roman" w:cs="Times New Roman"/>
          <w:sz w:val="24"/>
          <w:szCs w:val="24"/>
        </w:rPr>
        <w:t xml:space="preserve"> a perspective of </w:t>
      </w:r>
      <w:r>
        <w:rPr>
          <w:rFonts w:ascii="Times New Roman" w:hAnsi="Times New Roman" w:cs="Times New Roman"/>
          <w:sz w:val="24"/>
          <w:szCs w:val="24"/>
        </w:rPr>
        <w:t xml:space="preserve">the time series characteristics of </w:t>
      </w:r>
      <w:r w:rsidRPr="00A62C06">
        <w:rPr>
          <w:rFonts w:ascii="Times New Roman" w:hAnsi="Times New Roman" w:cs="Times New Roman"/>
          <w:sz w:val="24"/>
          <w:szCs w:val="24"/>
        </w:rPr>
        <w:t xml:space="preserve">Canada’s </w:t>
      </w:r>
      <w:r w:rsidR="00FD2217">
        <w:rPr>
          <w:rFonts w:ascii="Times New Roman" w:hAnsi="Times New Roman" w:cs="Times New Roman"/>
          <w:sz w:val="24"/>
          <w:szCs w:val="24"/>
        </w:rPr>
        <w:t>Beyond-GDP (</w:t>
      </w:r>
      <w:r w:rsidRPr="00A62C06">
        <w:rPr>
          <w:rFonts w:ascii="Times New Roman" w:hAnsi="Times New Roman" w:cs="Times New Roman"/>
          <w:sz w:val="24"/>
          <w:szCs w:val="24"/>
        </w:rPr>
        <w:t>BGDP</w:t>
      </w:r>
      <w:r w:rsidR="00FD2217">
        <w:rPr>
          <w:rFonts w:ascii="Times New Roman" w:hAnsi="Times New Roman" w:cs="Times New Roman"/>
          <w:sz w:val="24"/>
          <w:szCs w:val="24"/>
        </w:rPr>
        <w:t>)</w:t>
      </w:r>
      <w:r w:rsidRPr="00A62C06">
        <w:rPr>
          <w:rFonts w:ascii="Times New Roman" w:hAnsi="Times New Roman" w:cs="Times New Roman"/>
          <w:sz w:val="24"/>
          <w:szCs w:val="24"/>
        </w:rPr>
        <w:t xml:space="preserve"> growth indicators. </w:t>
      </w:r>
      <w:r w:rsidR="000306A7">
        <w:rPr>
          <w:rFonts w:ascii="Times New Roman" w:hAnsi="Times New Roman" w:cs="Times New Roman"/>
          <w:sz w:val="24"/>
          <w:szCs w:val="24"/>
        </w:rPr>
        <w:t>The BGDP measures were evaluated in tandem with the more popular growth measure GDP</w:t>
      </w:r>
      <w:proofErr w:type="gramStart"/>
      <w:r w:rsidR="000306A7">
        <w:rPr>
          <w:rFonts w:ascii="Times New Roman" w:hAnsi="Times New Roman" w:cs="Times New Roman"/>
          <w:sz w:val="24"/>
          <w:szCs w:val="24"/>
        </w:rPr>
        <w:t xml:space="preserve">. </w:t>
      </w:r>
      <w:r w:rsidR="00FD2217">
        <w:rPr>
          <w:rFonts w:ascii="Times New Roman" w:hAnsi="Times New Roman" w:cs="Times New Roman"/>
          <w:sz w:val="24"/>
          <w:szCs w:val="24"/>
        </w:rPr>
        <w:t xml:space="preserve"> </w:t>
      </w:r>
      <w:proofErr w:type="gramEnd"/>
      <w:r w:rsidR="001C3497">
        <w:rPr>
          <w:rFonts w:ascii="Times New Roman" w:hAnsi="Times New Roman" w:cs="Times New Roman"/>
          <w:sz w:val="24"/>
          <w:szCs w:val="24"/>
        </w:rPr>
        <w:t xml:space="preserve">GDPpc, GNDIpc, </w:t>
      </w:r>
      <w:r w:rsidR="0050243F">
        <w:rPr>
          <w:rFonts w:ascii="Times New Roman" w:hAnsi="Times New Roman" w:cs="Times New Roman"/>
          <w:sz w:val="24"/>
          <w:szCs w:val="24"/>
        </w:rPr>
        <w:t xml:space="preserve">and </w:t>
      </w:r>
      <w:r w:rsidR="001C3497">
        <w:rPr>
          <w:rFonts w:ascii="Times New Roman" w:hAnsi="Times New Roman" w:cs="Times New Roman"/>
          <w:sz w:val="24"/>
          <w:szCs w:val="24"/>
        </w:rPr>
        <w:t>HDI</w:t>
      </w:r>
      <w:r w:rsidR="0050243F">
        <w:rPr>
          <w:rFonts w:ascii="Times New Roman" w:hAnsi="Times New Roman" w:cs="Times New Roman"/>
          <w:sz w:val="24"/>
          <w:szCs w:val="24"/>
        </w:rPr>
        <w:t xml:space="preserve"> </w:t>
      </w:r>
      <w:r w:rsidR="001C3497">
        <w:rPr>
          <w:rFonts w:ascii="Times New Roman" w:hAnsi="Times New Roman" w:cs="Times New Roman"/>
          <w:sz w:val="24"/>
          <w:szCs w:val="24"/>
        </w:rPr>
        <w:t>show</w:t>
      </w:r>
      <w:r w:rsidR="00FD2217">
        <w:rPr>
          <w:rFonts w:ascii="Times New Roman" w:hAnsi="Times New Roman" w:cs="Times New Roman"/>
          <w:sz w:val="24"/>
          <w:szCs w:val="24"/>
        </w:rPr>
        <w:t xml:space="preserve">, respectively, </w:t>
      </w:r>
      <w:r w:rsidR="001C3497">
        <w:rPr>
          <w:rFonts w:ascii="Times New Roman" w:hAnsi="Times New Roman" w:cs="Times New Roman"/>
          <w:sz w:val="24"/>
          <w:szCs w:val="24"/>
        </w:rPr>
        <w:t>an overall increase during the study period (1995 - 2019)</w:t>
      </w:r>
      <w:r w:rsidR="0050243F">
        <w:rPr>
          <w:rFonts w:ascii="Times New Roman" w:hAnsi="Times New Roman" w:cs="Times New Roman"/>
          <w:sz w:val="24"/>
          <w:szCs w:val="24"/>
        </w:rPr>
        <w:t xml:space="preserve">, suggesting an overall increase in output, disposable </w:t>
      </w:r>
      <w:r w:rsidR="00016B25">
        <w:rPr>
          <w:rFonts w:ascii="Times New Roman" w:hAnsi="Times New Roman" w:cs="Times New Roman"/>
          <w:sz w:val="24"/>
          <w:szCs w:val="24"/>
        </w:rPr>
        <w:t>income,</w:t>
      </w:r>
      <w:r w:rsidR="0050243F">
        <w:rPr>
          <w:rFonts w:ascii="Times New Roman" w:hAnsi="Times New Roman" w:cs="Times New Roman"/>
          <w:sz w:val="24"/>
          <w:szCs w:val="24"/>
        </w:rPr>
        <w:t xml:space="preserve"> and an improvement in human development. IEF, the indicator of economic freedom, does increase overall from a moderately</w:t>
      </w:r>
      <w:r w:rsidR="00FD2217">
        <w:rPr>
          <w:rFonts w:ascii="Times New Roman" w:hAnsi="Times New Roman" w:cs="Times New Roman"/>
          <w:sz w:val="24"/>
          <w:szCs w:val="24"/>
        </w:rPr>
        <w:t>-</w:t>
      </w:r>
      <w:r w:rsidR="0050243F">
        <w:rPr>
          <w:rFonts w:ascii="Times New Roman" w:hAnsi="Times New Roman" w:cs="Times New Roman"/>
          <w:sz w:val="24"/>
          <w:szCs w:val="24"/>
        </w:rPr>
        <w:t xml:space="preserve">free </w:t>
      </w:r>
      <w:r w:rsidR="00354EE4">
        <w:rPr>
          <w:rFonts w:ascii="Times New Roman" w:hAnsi="Times New Roman" w:cs="Times New Roman"/>
          <w:sz w:val="24"/>
          <w:szCs w:val="24"/>
        </w:rPr>
        <w:t xml:space="preserve">to a free </w:t>
      </w:r>
      <w:r w:rsidR="0050243F">
        <w:rPr>
          <w:rFonts w:ascii="Times New Roman" w:hAnsi="Times New Roman" w:cs="Times New Roman"/>
          <w:sz w:val="24"/>
          <w:szCs w:val="24"/>
        </w:rPr>
        <w:t xml:space="preserve">economy </w:t>
      </w:r>
      <w:r w:rsidR="00354EE4">
        <w:rPr>
          <w:rFonts w:ascii="Times New Roman" w:hAnsi="Times New Roman" w:cs="Times New Roman"/>
          <w:sz w:val="24"/>
          <w:szCs w:val="24"/>
        </w:rPr>
        <w:t xml:space="preserve">from 1997 </w:t>
      </w:r>
      <w:r w:rsidR="00FD2217">
        <w:rPr>
          <w:rFonts w:ascii="Times New Roman" w:hAnsi="Times New Roman" w:cs="Times New Roman"/>
          <w:sz w:val="24"/>
          <w:szCs w:val="24"/>
        </w:rPr>
        <w:t>to</w:t>
      </w:r>
      <w:r w:rsidR="00354EE4">
        <w:rPr>
          <w:rFonts w:ascii="Times New Roman" w:hAnsi="Times New Roman" w:cs="Times New Roman"/>
          <w:sz w:val="24"/>
          <w:szCs w:val="24"/>
        </w:rPr>
        <w:t xml:space="preserve"> 2014. The economy declines to a mostly</w:t>
      </w:r>
      <w:r w:rsidR="00FD2217">
        <w:rPr>
          <w:rFonts w:ascii="Times New Roman" w:hAnsi="Times New Roman" w:cs="Times New Roman"/>
          <w:sz w:val="24"/>
          <w:szCs w:val="24"/>
        </w:rPr>
        <w:t>-</w:t>
      </w:r>
      <w:r w:rsidR="00354EE4">
        <w:rPr>
          <w:rFonts w:ascii="Times New Roman" w:hAnsi="Times New Roman" w:cs="Times New Roman"/>
          <w:sz w:val="24"/>
          <w:szCs w:val="24"/>
        </w:rPr>
        <w:t xml:space="preserve">free economy subsequently, despite the continued increase in Canadian output, disposable </w:t>
      </w:r>
      <w:r w:rsidR="00016B25">
        <w:rPr>
          <w:rFonts w:ascii="Times New Roman" w:hAnsi="Times New Roman" w:cs="Times New Roman"/>
          <w:sz w:val="24"/>
          <w:szCs w:val="24"/>
        </w:rPr>
        <w:t>income,</w:t>
      </w:r>
      <w:r w:rsidR="00354EE4">
        <w:rPr>
          <w:rFonts w:ascii="Times New Roman" w:hAnsi="Times New Roman" w:cs="Times New Roman"/>
          <w:sz w:val="24"/>
          <w:szCs w:val="24"/>
        </w:rPr>
        <w:t xml:space="preserve"> and improvement in human development.</w:t>
      </w:r>
    </w:p>
    <w:p w14:paraId="7892874D" w14:textId="215A9CA6" w:rsidR="000C5734" w:rsidRPr="00C449C9" w:rsidRDefault="000306A7" w:rsidP="0068330F">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assessment show</w:t>
      </w:r>
      <w:r w:rsidR="00354EE4">
        <w:rPr>
          <w:rFonts w:ascii="Times New Roman" w:hAnsi="Times New Roman" w:cs="Times New Roman"/>
          <w:sz w:val="24"/>
          <w:szCs w:val="24"/>
        </w:rPr>
        <w:t>ed</w:t>
      </w:r>
      <w:r>
        <w:rPr>
          <w:rFonts w:ascii="Times New Roman" w:hAnsi="Times New Roman" w:cs="Times New Roman"/>
          <w:sz w:val="24"/>
          <w:szCs w:val="24"/>
        </w:rPr>
        <w:t xml:space="preserve"> that </w:t>
      </w:r>
      <w:bookmarkStart w:id="59" w:name="_Hlk105858760"/>
      <w:r w:rsidR="00354EE4">
        <w:rPr>
          <w:rFonts w:ascii="Times New Roman" w:hAnsi="Times New Roman" w:cs="Times New Roman"/>
          <w:sz w:val="24"/>
          <w:szCs w:val="24"/>
        </w:rPr>
        <w:t>GDPpc</w:t>
      </w:r>
      <w:r w:rsidR="00C449C9">
        <w:rPr>
          <w:rFonts w:ascii="Times New Roman" w:hAnsi="Times New Roman" w:cs="Times New Roman"/>
          <w:sz w:val="24"/>
          <w:szCs w:val="24"/>
        </w:rPr>
        <w:t xml:space="preserve"> is cointegrated with the BGDP indicators</w:t>
      </w:r>
      <w:bookmarkEnd w:id="59"/>
      <w:r w:rsidR="00C449C9">
        <w:rPr>
          <w:rFonts w:ascii="Times New Roman" w:hAnsi="Times New Roman" w:cs="Times New Roman"/>
          <w:sz w:val="24"/>
          <w:szCs w:val="24"/>
        </w:rPr>
        <w:t>. This finding, however,</w:t>
      </w:r>
      <w:r w:rsidR="00A16B27" w:rsidRPr="00D27E23">
        <w:rPr>
          <w:rFonts w:ascii="Times New Roman" w:hAnsi="Times New Roman" w:cs="Times New Roman"/>
          <w:sz w:val="24"/>
          <w:szCs w:val="24"/>
        </w:rPr>
        <w:t xml:space="preserve"> does not preclude the use of BGDP indicators </w:t>
      </w:r>
      <w:r w:rsidR="00C449C9">
        <w:rPr>
          <w:rFonts w:ascii="Times New Roman" w:hAnsi="Times New Roman" w:cs="Times New Roman"/>
          <w:sz w:val="24"/>
          <w:szCs w:val="24"/>
        </w:rPr>
        <w:t xml:space="preserve">in Canada, </w:t>
      </w:r>
      <w:r w:rsidR="00A16B27">
        <w:rPr>
          <w:rFonts w:ascii="Times New Roman" w:hAnsi="Times New Roman" w:cs="Times New Roman"/>
          <w:sz w:val="24"/>
          <w:szCs w:val="24"/>
        </w:rPr>
        <w:t xml:space="preserve">as they </w:t>
      </w:r>
      <w:r w:rsidR="00A16B27" w:rsidRPr="00D27E23">
        <w:rPr>
          <w:rFonts w:ascii="Times New Roman" w:hAnsi="Times New Roman" w:cs="Times New Roman"/>
          <w:sz w:val="24"/>
          <w:szCs w:val="24"/>
        </w:rPr>
        <w:t xml:space="preserve">are able to </w:t>
      </w:r>
      <w:r w:rsidR="00A16B27">
        <w:rPr>
          <w:rFonts w:ascii="Times New Roman" w:hAnsi="Times New Roman" w:cs="Times New Roman"/>
          <w:sz w:val="24"/>
          <w:szCs w:val="24"/>
        </w:rPr>
        <w:t>account for</w:t>
      </w:r>
      <w:r w:rsidR="00A16B27" w:rsidRPr="00D27E23">
        <w:rPr>
          <w:rFonts w:ascii="Times New Roman" w:hAnsi="Times New Roman" w:cs="Times New Roman"/>
          <w:sz w:val="24"/>
          <w:szCs w:val="24"/>
        </w:rPr>
        <w:t xml:space="preserve"> </w:t>
      </w:r>
      <w:r w:rsidR="00A16B27">
        <w:rPr>
          <w:rFonts w:ascii="Times New Roman" w:hAnsi="Times New Roman" w:cs="Times New Roman"/>
          <w:sz w:val="24"/>
          <w:szCs w:val="24"/>
        </w:rPr>
        <w:t xml:space="preserve">aspects of the overall economic wellbeing that GDP by virtue of its composition is unable </w:t>
      </w:r>
      <w:r w:rsidR="00FD2217">
        <w:rPr>
          <w:rFonts w:ascii="Times New Roman" w:hAnsi="Times New Roman" w:cs="Times New Roman"/>
          <w:sz w:val="24"/>
          <w:szCs w:val="24"/>
        </w:rPr>
        <w:t xml:space="preserve">to </w:t>
      </w:r>
      <w:r w:rsidR="00A16B27">
        <w:rPr>
          <w:rFonts w:ascii="Times New Roman" w:hAnsi="Times New Roman" w:cs="Times New Roman"/>
          <w:sz w:val="24"/>
          <w:szCs w:val="24"/>
        </w:rPr>
        <w:t xml:space="preserve">capture </w:t>
      </w:r>
      <w:r w:rsidR="00A16B27" w:rsidRPr="00772C3E">
        <w:rPr>
          <w:rFonts w:ascii="Times New Roman" w:hAnsi="Times New Roman" w:cs="Times New Roman"/>
          <w:sz w:val="24"/>
          <w:szCs w:val="24"/>
        </w:rPr>
        <w:t>(</w:t>
      </w:r>
      <w:r w:rsidR="00A16B27" w:rsidRPr="00772C3E">
        <w:rPr>
          <w:rFonts w:ascii="Times New Roman" w:hAnsi="Times New Roman" w:cs="Times New Roman"/>
          <w:sz w:val="24"/>
          <w:szCs w:val="24"/>
        </w:rPr>
        <w:fldChar w:fldCharType="begin"/>
      </w:r>
      <w:r w:rsidR="00A16B27">
        <w:rPr>
          <w:rFonts w:ascii="Times New Roman" w:hAnsi="Times New Roman" w:cs="Times New Roman"/>
          <w:sz w:val="24"/>
          <w:szCs w:val="24"/>
        </w:rPr>
        <w:instrText xml:space="preserve"> ADDIN ZOTERO_ITEM CSL_CITATION {"citationID":"CMtXAx1W","properties":{"formattedCitation":"(Capelli &amp; Vaggi, 2013)","plainCitation":"(Capelli &amp; Vaggi, 2013)","dontUpdate":true,"noteIndex":0},"citationItems":[{"id":932,"uris":["http://zotero.org/users/5016855/items/ER5ZE46S"],"itemData":{"id":932,"type":"article-journal","abstract":"The Gross National Income (GNI) is often regarded as the best indicator for a country’s standard of living. Yet, it does not record unilateral transfers (notably remittances), which in the previous decades have been amongst the largest types of income inﬂows for developing countries.","collection-title":"DEM Working Paper Series","container-title":"Università di Pavia, Department of Economics and Management","ISSN":"2281-1346","language":"en","page":"43","source":"Zotero","title":"A better indicator for standard of living: The Gross National Disposable Income","author":[{"family":"Capelli","given":"Clara"},{"family":"Vaggi","given":"Gianni"}],"issued":{"date-parts":[["2013"]]}}}],"schema":"https://github.com/citation-style-language/schema/raw/master/csl-citation.json"} </w:instrText>
      </w:r>
      <w:r w:rsidR="00A16B27" w:rsidRPr="00772C3E">
        <w:rPr>
          <w:rFonts w:ascii="Times New Roman" w:hAnsi="Times New Roman" w:cs="Times New Roman"/>
          <w:sz w:val="24"/>
          <w:szCs w:val="24"/>
        </w:rPr>
        <w:fldChar w:fldCharType="separate"/>
      </w:r>
      <w:r w:rsidR="00A16B27" w:rsidRPr="00772C3E">
        <w:rPr>
          <w:rFonts w:ascii="Times New Roman" w:hAnsi="Times New Roman" w:cs="Times New Roman"/>
          <w:sz w:val="24"/>
          <w:szCs w:val="24"/>
        </w:rPr>
        <w:t>Capelli &amp; Vaggi, 2013)</w:t>
      </w:r>
      <w:r w:rsidR="00A16B27" w:rsidRPr="00772C3E">
        <w:rPr>
          <w:rFonts w:ascii="Times New Roman" w:hAnsi="Times New Roman" w:cs="Times New Roman"/>
          <w:sz w:val="24"/>
          <w:szCs w:val="24"/>
        </w:rPr>
        <w:fldChar w:fldCharType="end"/>
      </w:r>
      <w:r w:rsidR="00A16B27" w:rsidRPr="00772C3E">
        <w:rPr>
          <w:rFonts w:ascii="Times New Roman" w:hAnsi="Times New Roman" w:cs="Times New Roman"/>
          <w:sz w:val="24"/>
          <w:szCs w:val="24"/>
        </w:rPr>
        <w:t>.</w:t>
      </w:r>
      <w:r w:rsidR="00A16B27" w:rsidRPr="00D27E23">
        <w:rPr>
          <w:rFonts w:ascii="Times New Roman" w:hAnsi="Times New Roman" w:cs="Times New Roman"/>
          <w:sz w:val="24"/>
          <w:szCs w:val="24"/>
        </w:rPr>
        <w:t xml:space="preserve"> </w:t>
      </w:r>
      <w:r w:rsidR="000C5734" w:rsidRPr="003B6C2E">
        <w:rPr>
          <w:rFonts w:ascii="Times New Roman" w:hAnsi="Times New Roman" w:cs="Times New Roman"/>
          <w:b/>
          <w:bCs/>
          <w:sz w:val="24"/>
          <w:szCs w:val="24"/>
          <w:highlight w:val="yellow"/>
        </w:rPr>
        <w:br w:type="page"/>
      </w:r>
    </w:p>
    <w:p w14:paraId="070C85DD" w14:textId="2C093712" w:rsidR="007E0A3A" w:rsidRPr="003823BD" w:rsidRDefault="007E0A3A" w:rsidP="0068330F">
      <w:pPr>
        <w:pStyle w:val="Heading1"/>
        <w:spacing w:line="240" w:lineRule="auto"/>
        <w:jc w:val="center"/>
        <w:rPr>
          <w:rFonts w:ascii="Times New Roman" w:hAnsi="Times New Roman" w:cs="Times New Roman"/>
          <w:b/>
          <w:bCs/>
          <w:color w:val="auto"/>
          <w:sz w:val="24"/>
          <w:szCs w:val="24"/>
        </w:rPr>
      </w:pPr>
      <w:bookmarkStart w:id="60" w:name="_Toc64618634"/>
      <w:r w:rsidRPr="003823BD">
        <w:rPr>
          <w:rFonts w:ascii="Times New Roman" w:hAnsi="Times New Roman" w:cs="Times New Roman"/>
          <w:b/>
          <w:bCs/>
          <w:color w:val="auto"/>
          <w:sz w:val="24"/>
          <w:szCs w:val="24"/>
        </w:rPr>
        <w:lastRenderedPageBreak/>
        <w:t>References</w:t>
      </w:r>
      <w:bookmarkEnd w:id="60"/>
    </w:p>
    <w:p w14:paraId="7277B4DB" w14:textId="77777777" w:rsidR="002105AA" w:rsidRPr="002105AA" w:rsidRDefault="00D541F7" w:rsidP="0068330F">
      <w:pPr>
        <w:pStyle w:val="Bibliography"/>
        <w:spacing w:line="240" w:lineRule="auto"/>
        <w:rPr>
          <w:rFonts w:ascii="Times New Roman" w:hAnsi="Times New Roman" w:cs="Times New Roman"/>
          <w:sz w:val="24"/>
        </w:rPr>
      </w:pPr>
      <w:r w:rsidRPr="008F4020">
        <w:rPr>
          <w:color w:val="000000" w:themeColor="text1"/>
          <w:highlight w:val="yellow"/>
          <w:shd w:val="clear" w:color="auto" w:fill="FFFFFF"/>
        </w:rPr>
        <w:fldChar w:fldCharType="begin"/>
      </w:r>
      <w:r w:rsidR="002105AA">
        <w:rPr>
          <w:color w:val="000000" w:themeColor="text1"/>
          <w:highlight w:val="yellow"/>
          <w:shd w:val="clear" w:color="auto" w:fill="FFFFFF"/>
        </w:rPr>
        <w:instrText xml:space="preserve"> ADDIN ZOTERO_BIBL {"uncited":[],"omitted":[],"custom":[]} CSL_BIBLIOGRAPHY </w:instrText>
      </w:r>
      <w:r w:rsidRPr="008F4020">
        <w:rPr>
          <w:color w:val="000000" w:themeColor="text1"/>
          <w:highlight w:val="yellow"/>
          <w:shd w:val="clear" w:color="auto" w:fill="FFFFFF"/>
        </w:rPr>
        <w:fldChar w:fldCharType="separate"/>
      </w:r>
      <w:r w:rsidR="002105AA" w:rsidRPr="002105AA">
        <w:rPr>
          <w:rFonts w:ascii="Times New Roman" w:hAnsi="Times New Roman" w:cs="Times New Roman"/>
          <w:sz w:val="24"/>
        </w:rPr>
        <w:t xml:space="preserve">Boarini, R., &amp; D’Ercole, M. M. (2013). Going beyond GDP: An OECD Perspective. </w:t>
      </w:r>
      <w:r w:rsidR="002105AA" w:rsidRPr="002105AA">
        <w:rPr>
          <w:rFonts w:ascii="Times New Roman" w:hAnsi="Times New Roman" w:cs="Times New Roman"/>
          <w:i/>
          <w:iCs/>
          <w:sz w:val="24"/>
        </w:rPr>
        <w:t>Fiscal Studies</w:t>
      </w:r>
      <w:r w:rsidR="002105AA" w:rsidRPr="002105AA">
        <w:rPr>
          <w:rFonts w:ascii="Times New Roman" w:hAnsi="Times New Roman" w:cs="Times New Roman"/>
          <w:sz w:val="24"/>
        </w:rPr>
        <w:t xml:space="preserve">, </w:t>
      </w:r>
      <w:r w:rsidR="002105AA" w:rsidRPr="002105AA">
        <w:rPr>
          <w:rFonts w:ascii="Times New Roman" w:hAnsi="Times New Roman" w:cs="Times New Roman"/>
          <w:i/>
          <w:iCs/>
          <w:sz w:val="24"/>
        </w:rPr>
        <w:t>34</w:t>
      </w:r>
      <w:r w:rsidR="002105AA" w:rsidRPr="002105AA">
        <w:rPr>
          <w:rFonts w:ascii="Times New Roman" w:hAnsi="Times New Roman" w:cs="Times New Roman"/>
          <w:sz w:val="24"/>
        </w:rPr>
        <w:t>(3), 289–314. https://doi.org/10.1111/j.1475-5890.2013.12007.x</w:t>
      </w:r>
    </w:p>
    <w:p w14:paraId="756220A1"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Bohlmann, J. A., &amp; Inglesi-Lotz, R. (2021). Examining the determinants of electricity demand by South African households per income level. </w:t>
      </w:r>
      <w:r w:rsidRPr="002105AA">
        <w:rPr>
          <w:rFonts w:ascii="Times New Roman" w:hAnsi="Times New Roman" w:cs="Times New Roman"/>
          <w:i/>
          <w:iCs/>
          <w:sz w:val="24"/>
        </w:rPr>
        <w:t>Energy Policy</w:t>
      </w:r>
      <w:r w:rsidRPr="002105AA">
        <w:rPr>
          <w:rFonts w:ascii="Times New Roman" w:hAnsi="Times New Roman" w:cs="Times New Roman"/>
          <w:sz w:val="24"/>
        </w:rPr>
        <w:t xml:space="preserve">, </w:t>
      </w:r>
      <w:r w:rsidRPr="002105AA">
        <w:rPr>
          <w:rFonts w:ascii="Times New Roman" w:hAnsi="Times New Roman" w:cs="Times New Roman"/>
          <w:i/>
          <w:iCs/>
          <w:sz w:val="24"/>
        </w:rPr>
        <w:t>148</w:t>
      </w:r>
      <w:r w:rsidRPr="002105AA">
        <w:rPr>
          <w:rFonts w:ascii="Times New Roman" w:hAnsi="Times New Roman" w:cs="Times New Roman"/>
          <w:sz w:val="24"/>
        </w:rPr>
        <w:t>, 111901. https://doi.org/10.1016/j.enpol.2020.111901</w:t>
      </w:r>
    </w:p>
    <w:p w14:paraId="508AB00E"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Capelli, C., &amp; Vaggi, G. (2013). A better indicator for standard of living: The Gross National Disposable Income. </w:t>
      </w:r>
      <w:r w:rsidRPr="002105AA">
        <w:rPr>
          <w:rFonts w:ascii="Times New Roman" w:hAnsi="Times New Roman" w:cs="Times New Roman"/>
          <w:i/>
          <w:iCs/>
          <w:sz w:val="24"/>
        </w:rPr>
        <w:t>Università Di Pavia, Department of Economics and Management</w:t>
      </w:r>
      <w:r w:rsidRPr="002105AA">
        <w:rPr>
          <w:rFonts w:ascii="Times New Roman" w:hAnsi="Times New Roman" w:cs="Times New Roman"/>
          <w:sz w:val="24"/>
        </w:rPr>
        <w:t>, 43.</w:t>
      </w:r>
    </w:p>
    <w:p w14:paraId="7390F4C1"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Capelli, C., &amp; Vaggi, G. (2014). Why Gross National Disposable Income should substitute Gross National Income. In </w:t>
      </w:r>
      <w:r w:rsidRPr="002105AA">
        <w:rPr>
          <w:rFonts w:ascii="Times New Roman" w:hAnsi="Times New Roman" w:cs="Times New Roman"/>
          <w:i/>
          <w:iCs/>
          <w:sz w:val="24"/>
        </w:rPr>
        <w:t>DEM Working Papers Series</w:t>
      </w:r>
      <w:r w:rsidRPr="002105AA">
        <w:rPr>
          <w:rFonts w:ascii="Times New Roman" w:hAnsi="Times New Roman" w:cs="Times New Roman"/>
          <w:sz w:val="24"/>
        </w:rPr>
        <w:t xml:space="preserve"> (No. 091; DEM Working Papers Series). University of Pavia, Department of Economics and Management. https://ideas.repec.org/p/pav/demwpp/demwp0091.html</w:t>
      </w:r>
    </w:p>
    <w:p w14:paraId="1B0A90FE"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Chancel, L., Thiry, G., &amp; Demailly, D. (2014). Beyond-GDP indicators: To what end? Lessons learnt from six national experiences. </w:t>
      </w:r>
      <w:r w:rsidRPr="002105AA">
        <w:rPr>
          <w:rFonts w:ascii="Times New Roman" w:hAnsi="Times New Roman" w:cs="Times New Roman"/>
          <w:i/>
          <w:iCs/>
          <w:sz w:val="24"/>
        </w:rPr>
        <w:t>IDDRI</w:t>
      </w:r>
      <w:r w:rsidRPr="002105AA">
        <w:rPr>
          <w:rFonts w:ascii="Times New Roman" w:hAnsi="Times New Roman" w:cs="Times New Roman"/>
          <w:sz w:val="24"/>
        </w:rPr>
        <w:t xml:space="preserve">, </w:t>
      </w:r>
      <w:r w:rsidRPr="002105AA">
        <w:rPr>
          <w:rFonts w:ascii="Times New Roman" w:hAnsi="Times New Roman" w:cs="Times New Roman"/>
          <w:i/>
          <w:iCs/>
          <w:sz w:val="24"/>
        </w:rPr>
        <w:t>4</w:t>
      </w:r>
      <w:r w:rsidRPr="002105AA">
        <w:rPr>
          <w:rFonts w:ascii="Times New Roman" w:hAnsi="Times New Roman" w:cs="Times New Roman"/>
          <w:sz w:val="24"/>
        </w:rPr>
        <w:t>(14). https://www.agorarsc.org/wp-content/uploads/2015/05/ST0414EN.pdf</w:t>
      </w:r>
    </w:p>
    <w:p w14:paraId="7F6923EE"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Coyle, D. (2017). Rethinking GDP. </w:t>
      </w:r>
      <w:r w:rsidRPr="002105AA">
        <w:rPr>
          <w:rFonts w:ascii="Times New Roman" w:hAnsi="Times New Roman" w:cs="Times New Roman"/>
          <w:i/>
          <w:iCs/>
          <w:sz w:val="24"/>
        </w:rPr>
        <w:t>IMF Finance and Development</w:t>
      </w:r>
      <w:r w:rsidRPr="002105AA">
        <w:rPr>
          <w:rFonts w:ascii="Times New Roman" w:hAnsi="Times New Roman" w:cs="Times New Roman"/>
          <w:sz w:val="24"/>
        </w:rPr>
        <w:t xml:space="preserve">, </w:t>
      </w:r>
      <w:r w:rsidRPr="002105AA">
        <w:rPr>
          <w:rFonts w:ascii="Times New Roman" w:hAnsi="Times New Roman" w:cs="Times New Roman"/>
          <w:i/>
          <w:iCs/>
          <w:sz w:val="24"/>
        </w:rPr>
        <w:t>54</w:t>
      </w:r>
      <w:r w:rsidRPr="002105AA">
        <w:rPr>
          <w:rFonts w:ascii="Times New Roman" w:hAnsi="Times New Roman" w:cs="Times New Roman"/>
          <w:sz w:val="24"/>
        </w:rPr>
        <w:t>(1), 16–19.</w:t>
      </w:r>
    </w:p>
    <w:p w14:paraId="7F94627C"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Deb, S. (2015). Gap between GDP and HDI: Are the Rich Country Experiences Different from the Poor? </w:t>
      </w:r>
      <w:r w:rsidRPr="002105AA">
        <w:rPr>
          <w:rFonts w:ascii="Times New Roman" w:hAnsi="Times New Roman" w:cs="Times New Roman"/>
          <w:i/>
          <w:iCs/>
          <w:sz w:val="24"/>
        </w:rPr>
        <w:t>I.A.R.I.W</w:t>
      </w:r>
      <w:r w:rsidRPr="002105AA">
        <w:rPr>
          <w:rFonts w:ascii="Times New Roman" w:hAnsi="Times New Roman" w:cs="Times New Roman"/>
          <w:sz w:val="24"/>
        </w:rPr>
        <w:t>, 26. http://old.iariw.org/papers/2015/deb.pdf</w:t>
      </w:r>
    </w:p>
    <w:p w14:paraId="7A932727" w14:textId="02614C52"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European Commission. (2013). </w:t>
      </w:r>
      <w:r w:rsidRPr="002105AA">
        <w:rPr>
          <w:rFonts w:ascii="Times New Roman" w:hAnsi="Times New Roman" w:cs="Times New Roman"/>
          <w:i/>
          <w:iCs/>
          <w:sz w:val="24"/>
        </w:rPr>
        <w:t>Progress on “GDP and beyond” actions</w:t>
      </w:r>
      <w:r w:rsidRPr="002105AA">
        <w:rPr>
          <w:rFonts w:ascii="Times New Roman" w:hAnsi="Times New Roman" w:cs="Times New Roman"/>
          <w:sz w:val="24"/>
        </w:rPr>
        <w:t xml:space="preserve"> (Commission Staff Working Document SWD</w:t>
      </w:r>
      <w:r>
        <w:rPr>
          <w:rFonts w:ascii="Times New Roman" w:hAnsi="Times New Roman" w:cs="Times New Roman"/>
          <w:sz w:val="24"/>
        </w:rPr>
        <w:t xml:space="preserve"> </w:t>
      </w:r>
      <w:r w:rsidRPr="002105AA">
        <w:rPr>
          <w:rFonts w:ascii="Times New Roman" w:hAnsi="Times New Roman" w:cs="Times New Roman"/>
          <w:sz w:val="24"/>
        </w:rPr>
        <w:t>(2013) 303). European Commission. https://ec.europa.eu/environment/enveco/pdf/SWD_2013_303.pdf</w:t>
      </w:r>
    </w:p>
    <w:p w14:paraId="7A5209F6"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Fraumeni, B. M. (2017). Gross domestic product: Are other measures needed? </w:t>
      </w:r>
      <w:r w:rsidRPr="002105AA">
        <w:rPr>
          <w:rFonts w:ascii="Times New Roman" w:hAnsi="Times New Roman" w:cs="Times New Roman"/>
          <w:i/>
          <w:iCs/>
          <w:sz w:val="24"/>
        </w:rPr>
        <w:t>IZA World of Labor</w:t>
      </w:r>
      <w:r w:rsidRPr="002105AA">
        <w:rPr>
          <w:rFonts w:ascii="Times New Roman" w:hAnsi="Times New Roman" w:cs="Times New Roman"/>
          <w:sz w:val="24"/>
        </w:rPr>
        <w:t>. https://doi.org/10.15185/izawol.368</w:t>
      </w:r>
    </w:p>
    <w:p w14:paraId="385519E1"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IMF. (2011, July 19). </w:t>
      </w:r>
      <w:r w:rsidRPr="002105AA">
        <w:rPr>
          <w:rFonts w:ascii="Times New Roman" w:hAnsi="Times New Roman" w:cs="Times New Roman"/>
          <w:i/>
          <w:iCs/>
          <w:sz w:val="24"/>
        </w:rPr>
        <w:t>Beyond GDP - Measuring Progress in a Changing World</w:t>
      </w:r>
      <w:r w:rsidRPr="002105AA">
        <w:rPr>
          <w:rFonts w:ascii="Times New Roman" w:hAnsi="Times New Roman" w:cs="Times New Roman"/>
          <w:sz w:val="24"/>
        </w:rPr>
        <w:t xml:space="preserve"> [Text]. Collaboration in Research and Methodology for Official Statistics (CROS) - European Commission. https://ec.europa.eu/eurostat/cros/content/38-beyond-gdp_en</w:t>
      </w:r>
    </w:p>
    <w:p w14:paraId="33CE9BCA"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Kimmerer, R. W. (2020). </w:t>
      </w:r>
      <w:r w:rsidRPr="002105AA">
        <w:rPr>
          <w:rFonts w:ascii="Times New Roman" w:hAnsi="Times New Roman" w:cs="Times New Roman"/>
          <w:i/>
          <w:iCs/>
          <w:sz w:val="24"/>
        </w:rPr>
        <w:t>Centering First Nations Concepts of Wellbeing: Toward a GDP-Alternative Index in British Columbia</w:t>
      </w:r>
      <w:r w:rsidRPr="002105AA">
        <w:rPr>
          <w:rFonts w:ascii="Times New Roman" w:hAnsi="Times New Roman" w:cs="Times New Roman"/>
          <w:sz w:val="24"/>
        </w:rPr>
        <w:t xml:space="preserve"> (p. 72). British Columbia Assembly of First Nations. https://www.bcafn.ca/sites/default/files/docs/reports-presentations/BC%20AFN%20FINAL%20PRINT%202020-11-23.pdf</w:t>
      </w:r>
    </w:p>
    <w:p w14:paraId="183B6010"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Kubiszewski, I., Costanza, R., Franco, C., Lawn, P., Talberth, J., Jackson, T., &amp; Aylmer, C. (2013). Beyond GDP: Measuring and achieving global genuine progress. </w:t>
      </w:r>
      <w:r w:rsidRPr="002105AA">
        <w:rPr>
          <w:rFonts w:ascii="Times New Roman" w:hAnsi="Times New Roman" w:cs="Times New Roman"/>
          <w:i/>
          <w:iCs/>
          <w:sz w:val="24"/>
        </w:rPr>
        <w:t>Ecological Economics</w:t>
      </w:r>
      <w:r w:rsidRPr="002105AA">
        <w:rPr>
          <w:rFonts w:ascii="Times New Roman" w:hAnsi="Times New Roman" w:cs="Times New Roman"/>
          <w:sz w:val="24"/>
        </w:rPr>
        <w:t xml:space="preserve">, </w:t>
      </w:r>
      <w:r w:rsidRPr="002105AA">
        <w:rPr>
          <w:rFonts w:ascii="Times New Roman" w:hAnsi="Times New Roman" w:cs="Times New Roman"/>
          <w:i/>
          <w:iCs/>
          <w:sz w:val="24"/>
        </w:rPr>
        <w:t>93</w:t>
      </w:r>
      <w:r w:rsidRPr="002105AA">
        <w:rPr>
          <w:rFonts w:ascii="Times New Roman" w:hAnsi="Times New Roman" w:cs="Times New Roman"/>
          <w:sz w:val="24"/>
        </w:rPr>
        <w:t>, 57–68. https://doi.org/10.1016/j.ecolecon.2013.04.019</w:t>
      </w:r>
    </w:p>
    <w:p w14:paraId="38E10AD2"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Lange, G.-M., Wodon, Q., &amp; Carey, K. (2018). </w:t>
      </w:r>
      <w:r w:rsidRPr="002105AA">
        <w:rPr>
          <w:rFonts w:ascii="Times New Roman" w:hAnsi="Times New Roman" w:cs="Times New Roman"/>
          <w:i/>
          <w:iCs/>
          <w:sz w:val="24"/>
        </w:rPr>
        <w:t>The Changing Wealth of Nations 2018: Building a Sustainable Future</w:t>
      </w:r>
      <w:r w:rsidRPr="002105AA">
        <w:rPr>
          <w:rFonts w:ascii="Times New Roman" w:hAnsi="Times New Roman" w:cs="Times New Roman"/>
          <w:sz w:val="24"/>
        </w:rPr>
        <w:t>. World Bank. https://doi.org/10.1596/978-1-4648-1046-6</w:t>
      </w:r>
    </w:p>
    <w:p w14:paraId="2C68FF4B"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Miller, T., Kim, A. B., &amp; Roberts, J. M. (2021a). </w:t>
      </w:r>
      <w:r w:rsidRPr="002105AA">
        <w:rPr>
          <w:rFonts w:ascii="Times New Roman" w:hAnsi="Times New Roman" w:cs="Times New Roman"/>
          <w:i/>
          <w:iCs/>
          <w:sz w:val="24"/>
        </w:rPr>
        <w:t>2021 Index of Economic Freedom</w:t>
      </w:r>
      <w:r w:rsidRPr="002105AA">
        <w:rPr>
          <w:rFonts w:ascii="Times New Roman" w:hAnsi="Times New Roman" w:cs="Times New Roman"/>
          <w:sz w:val="24"/>
        </w:rPr>
        <w:t>. The Heritage Foundation. https://www.heritage.org/index/pdf/2021/book/index_2021.pdf</w:t>
      </w:r>
    </w:p>
    <w:p w14:paraId="5316B464"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Miller, T., Kim, A. B., &amp; Roberts, J. M. (2021b). </w:t>
      </w:r>
      <w:r w:rsidRPr="002105AA">
        <w:rPr>
          <w:rFonts w:ascii="Times New Roman" w:hAnsi="Times New Roman" w:cs="Times New Roman"/>
          <w:i/>
          <w:iCs/>
          <w:sz w:val="24"/>
        </w:rPr>
        <w:t>Index of Economic Freedom: Promoting Economic Opportunity and Prosperity by Country</w:t>
      </w:r>
      <w:r w:rsidRPr="002105AA">
        <w:rPr>
          <w:rFonts w:ascii="Times New Roman" w:hAnsi="Times New Roman" w:cs="Times New Roman"/>
          <w:sz w:val="24"/>
        </w:rPr>
        <w:t>. The Heritage Foundation. //www.heritage.org/index/</w:t>
      </w:r>
    </w:p>
    <w:p w14:paraId="2913397F"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Miller, T., Kim, A. B., &amp; Roberts, J. M. (2021c). The 12 Economic Freedoms: Policies for Lasting Economic Progress and Prosperity. In </w:t>
      </w:r>
      <w:r w:rsidRPr="002105AA">
        <w:rPr>
          <w:rFonts w:ascii="Times New Roman" w:hAnsi="Times New Roman" w:cs="Times New Roman"/>
          <w:i/>
          <w:iCs/>
          <w:sz w:val="24"/>
        </w:rPr>
        <w:t>2021 Index of Economic Freedom</w:t>
      </w:r>
      <w:r w:rsidRPr="002105AA">
        <w:rPr>
          <w:rFonts w:ascii="Times New Roman" w:hAnsi="Times New Roman" w:cs="Times New Roman"/>
          <w:sz w:val="24"/>
        </w:rPr>
        <w:t xml:space="preserve"> (pp. 11–18). The Heritage Foundation. https://www.heritage.org/index/pdf/2021/book/2021_IndexofEconomicFreedom_CHAPTER02.pdf</w:t>
      </w:r>
    </w:p>
    <w:p w14:paraId="61917675"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lastRenderedPageBreak/>
        <w:t xml:space="preserve">Ngepah, N. (2017). A review of theories and evidence of inclusive growth: An economic perspective for Africa. </w:t>
      </w:r>
      <w:r w:rsidRPr="002105AA">
        <w:rPr>
          <w:rFonts w:ascii="Times New Roman" w:hAnsi="Times New Roman" w:cs="Times New Roman"/>
          <w:i/>
          <w:iCs/>
          <w:sz w:val="24"/>
        </w:rPr>
        <w:t>Current Opinion in Environmental Sustainability</w:t>
      </w:r>
      <w:r w:rsidRPr="002105AA">
        <w:rPr>
          <w:rFonts w:ascii="Times New Roman" w:hAnsi="Times New Roman" w:cs="Times New Roman"/>
          <w:sz w:val="24"/>
        </w:rPr>
        <w:t xml:space="preserve">, </w:t>
      </w:r>
      <w:r w:rsidRPr="002105AA">
        <w:rPr>
          <w:rFonts w:ascii="Times New Roman" w:hAnsi="Times New Roman" w:cs="Times New Roman"/>
          <w:i/>
          <w:iCs/>
          <w:sz w:val="24"/>
        </w:rPr>
        <w:t>24</w:t>
      </w:r>
      <w:r w:rsidRPr="002105AA">
        <w:rPr>
          <w:rFonts w:ascii="Times New Roman" w:hAnsi="Times New Roman" w:cs="Times New Roman"/>
          <w:sz w:val="24"/>
        </w:rPr>
        <w:t>, 52–57. https://doi.org/10.1016/j.cosust.2017.01.008</w:t>
      </w:r>
    </w:p>
    <w:p w14:paraId="247A3E9F"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Pais, D. F., Afonso, T. L., Marques, A. C., &amp; Fuinhas, J. A. (2019). Are Economic Growth and Sustainable Development Converging? Evidence from the Comparable Genuine Progress Indicator for Organisation for Economic Co-operation and Development Countries. </w:t>
      </w:r>
      <w:r w:rsidRPr="002105AA">
        <w:rPr>
          <w:rFonts w:ascii="Times New Roman" w:hAnsi="Times New Roman" w:cs="Times New Roman"/>
          <w:i/>
          <w:iCs/>
          <w:sz w:val="24"/>
        </w:rPr>
        <w:t>International Journal of Energy Economics and Policy</w:t>
      </w:r>
      <w:r w:rsidRPr="002105AA">
        <w:rPr>
          <w:rFonts w:ascii="Times New Roman" w:hAnsi="Times New Roman" w:cs="Times New Roman"/>
          <w:sz w:val="24"/>
        </w:rPr>
        <w:t xml:space="preserve">, </w:t>
      </w:r>
      <w:r w:rsidRPr="002105AA">
        <w:rPr>
          <w:rFonts w:ascii="Times New Roman" w:hAnsi="Times New Roman" w:cs="Times New Roman"/>
          <w:i/>
          <w:iCs/>
          <w:sz w:val="24"/>
        </w:rPr>
        <w:t>9</w:t>
      </w:r>
      <w:r w:rsidRPr="002105AA">
        <w:rPr>
          <w:rFonts w:ascii="Times New Roman" w:hAnsi="Times New Roman" w:cs="Times New Roman"/>
          <w:sz w:val="24"/>
        </w:rPr>
        <w:t>(4), 202–213.</w:t>
      </w:r>
    </w:p>
    <w:p w14:paraId="00C1249F"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Pettinger, T. (2019, July 8). Difference between GNP, GDP and GNI. </w:t>
      </w:r>
      <w:r w:rsidRPr="002105AA">
        <w:rPr>
          <w:rFonts w:ascii="Times New Roman" w:hAnsi="Times New Roman" w:cs="Times New Roman"/>
          <w:i/>
          <w:iCs/>
          <w:sz w:val="24"/>
        </w:rPr>
        <w:t>Economics Help</w:t>
      </w:r>
      <w:r w:rsidRPr="002105AA">
        <w:rPr>
          <w:rFonts w:ascii="Times New Roman" w:hAnsi="Times New Roman" w:cs="Times New Roman"/>
          <w:sz w:val="24"/>
        </w:rPr>
        <w:t>. https://www.economicshelp.org/blog/3491/economics/difference-between-gnp-gdp-and-gni/</w:t>
      </w:r>
    </w:p>
    <w:p w14:paraId="0CA6867C"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Rani, N., &amp; Mandal, A. (2020, August 6). </w:t>
      </w:r>
      <w:r w:rsidRPr="002105AA">
        <w:rPr>
          <w:rFonts w:ascii="Times New Roman" w:hAnsi="Times New Roman" w:cs="Times New Roman"/>
          <w:i/>
          <w:iCs/>
          <w:sz w:val="24"/>
        </w:rPr>
        <w:t>All Inclusive Economic Development: The GDP alternative offers a better measure of progress | Policy Circle</w:t>
      </w:r>
      <w:r w:rsidRPr="002105AA">
        <w:rPr>
          <w:rFonts w:ascii="Times New Roman" w:hAnsi="Times New Roman" w:cs="Times New Roman"/>
          <w:sz w:val="24"/>
        </w:rPr>
        <w:t xml:space="preserve"> [Article]. Policy Circle. https://www.policycircle.org/economy/all-inclusive-economic-development-why-this-gdp-alternative-is-a-better-measure-of-progress/</w:t>
      </w:r>
    </w:p>
    <w:p w14:paraId="6B8208A7"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Seaford, C. (2014). </w:t>
      </w:r>
      <w:r w:rsidRPr="002105AA">
        <w:rPr>
          <w:rFonts w:ascii="Times New Roman" w:hAnsi="Times New Roman" w:cs="Times New Roman"/>
          <w:i/>
          <w:iCs/>
          <w:sz w:val="24"/>
        </w:rPr>
        <w:t>Beyond GDP: From measurement to European economic governance</w:t>
      </w:r>
      <w:r w:rsidRPr="002105AA">
        <w:rPr>
          <w:rFonts w:ascii="Times New Roman" w:hAnsi="Times New Roman" w:cs="Times New Roman"/>
          <w:sz w:val="24"/>
        </w:rPr>
        <w:t>. New Economics Foundation.</w:t>
      </w:r>
    </w:p>
    <w:p w14:paraId="7692F08E"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UNDP. (2020). </w:t>
      </w:r>
      <w:r w:rsidRPr="002105AA">
        <w:rPr>
          <w:rFonts w:ascii="Times New Roman" w:hAnsi="Times New Roman" w:cs="Times New Roman"/>
          <w:i/>
          <w:iCs/>
          <w:sz w:val="24"/>
        </w:rPr>
        <w:t>UNDP Human Development Reports 2020: Human Development Index (HDI)</w:t>
      </w:r>
      <w:r w:rsidRPr="002105AA">
        <w:rPr>
          <w:rFonts w:ascii="Times New Roman" w:hAnsi="Times New Roman" w:cs="Times New Roman"/>
          <w:sz w:val="24"/>
        </w:rPr>
        <w:t>. United Nations Development Programme. http://hdr.undp.org/en/indicators/137506</w:t>
      </w:r>
    </w:p>
    <w:p w14:paraId="7E235FCF"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Volejníková, J., &amp; Řezníček, J. (2016). Alternatives for evaluating a country’s economic development. </w:t>
      </w:r>
      <w:r w:rsidRPr="002105AA">
        <w:rPr>
          <w:rFonts w:ascii="Times New Roman" w:hAnsi="Times New Roman" w:cs="Times New Roman"/>
          <w:i/>
          <w:iCs/>
          <w:sz w:val="24"/>
        </w:rPr>
        <w:t>Scientific Papers of the University of Pardubice. Series D. Faculty of Economics and Administration</w:t>
      </w:r>
      <w:r w:rsidRPr="002105AA">
        <w:rPr>
          <w:rFonts w:ascii="Times New Roman" w:hAnsi="Times New Roman" w:cs="Times New Roman"/>
          <w:sz w:val="24"/>
        </w:rPr>
        <w:t xml:space="preserve">, </w:t>
      </w:r>
      <w:r w:rsidRPr="002105AA">
        <w:rPr>
          <w:rFonts w:ascii="Times New Roman" w:hAnsi="Times New Roman" w:cs="Times New Roman"/>
          <w:i/>
          <w:iCs/>
          <w:sz w:val="24"/>
        </w:rPr>
        <w:t>37</w:t>
      </w:r>
      <w:r w:rsidRPr="002105AA">
        <w:rPr>
          <w:rFonts w:ascii="Times New Roman" w:hAnsi="Times New Roman" w:cs="Times New Roman"/>
          <w:sz w:val="24"/>
        </w:rPr>
        <w:t>, 164–175.</w:t>
      </w:r>
    </w:p>
    <w:p w14:paraId="2E1F7B84" w14:textId="77777777" w:rsidR="002105AA" w:rsidRPr="002105AA" w:rsidRDefault="002105AA" w:rsidP="0068330F">
      <w:pPr>
        <w:pStyle w:val="Bibliography"/>
        <w:spacing w:line="240" w:lineRule="auto"/>
        <w:rPr>
          <w:rFonts w:ascii="Times New Roman" w:hAnsi="Times New Roman" w:cs="Times New Roman"/>
          <w:sz w:val="24"/>
        </w:rPr>
      </w:pPr>
      <w:r w:rsidRPr="002105AA">
        <w:rPr>
          <w:rFonts w:ascii="Times New Roman" w:hAnsi="Times New Roman" w:cs="Times New Roman"/>
          <w:sz w:val="24"/>
        </w:rPr>
        <w:t xml:space="preserve">Whitby, A. (WFC), Seaford, C., &amp; Berry, C. (2014). </w:t>
      </w:r>
      <w:r w:rsidRPr="002105AA">
        <w:rPr>
          <w:rFonts w:ascii="Times New Roman" w:hAnsi="Times New Roman" w:cs="Times New Roman"/>
          <w:i/>
          <w:iCs/>
          <w:sz w:val="24"/>
        </w:rPr>
        <w:t>BRAINPOol Project: Beyond GDP - From Measurement to Politics and Policy Deliverable</w:t>
      </w:r>
      <w:r w:rsidRPr="002105AA">
        <w:rPr>
          <w:rFonts w:ascii="Times New Roman" w:hAnsi="Times New Roman" w:cs="Times New Roman"/>
          <w:sz w:val="24"/>
        </w:rPr>
        <w:t xml:space="preserve"> (Project Report D5.2; p. 68). European Union. https://neweconomics.org/uploads/images/2018/01/BRAINPOoL-Project-Final-Report.pdf</w:t>
      </w:r>
    </w:p>
    <w:p w14:paraId="131B3B67" w14:textId="04D76B6D" w:rsidR="009C0D0D" w:rsidRPr="009D6E1B" w:rsidRDefault="00D541F7" w:rsidP="0068330F">
      <w:pPr>
        <w:pStyle w:val="Bibliography"/>
        <w:spacing w:line="240" w:lineRule="auto"/>
        <w:rPr>
          <w:rFonts w:ascii="Times New Roman" w:hAnsi="Times New Roman" w:cs="Times New Roman"/>
          <w:sz w:val="24"/>
          <w:szCs w:val="24"/>
        </w:rPr>
      </w:pPr>
      <w:r w:rsidRPr="008F4020">
        <w:rPr>
          <w:rFonts w:ascii="Times New Roman" w:hAnsi="Times New Roman" w:cs="Times New Roman"/>
          <w:color w:val="000000" w:themeColor="text1"/>
          <w:sz w:val="24"/>
          <w:szCs w:val="24"/>
          <w:highlight w:val="yellow"/>
          <w:shd w:val="clear" w:color="auto" w:fill="FFFFFF"/>
        </w:rPr>
        <w:fldChar w:fldCharType="end"/>
      </w:r>
    </w:p>
    <w:sectPr w:rsidR="009C0D0D" w:rsidRPr="009D6E1B" w:rsidSect="003A5DE4">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2A89" w14:textId="77777777" w:rsidR="004D3CC9" w:rsidRDefault="004D3CC9">
      <w:pPr>
        <w:spacing w:after="0" w:line="240" w:lineRule="auto"/>
      </w:pPr>
      <w:r>
        <w:separator/>
      </w:r>
    </w:p>
  </w:endnote>
  <w:endnote w:type="continuationSeparator" w:id="0">
    <w:p w14:paraId="4FF23045" w14:textId="77777777" w:rsidR="004D3CC9" w:rsidRDefault="004D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976C" w14:textId="4B7A457B" w:rsidR="006E0AA0" w:rsidRDefault="006E0AA0">
    <w:pPr>
      <w:pStyle w:val="Footer"/>
      <w:jc w:val="right"/>
    </w:pPr>
  </w:p>
  <w:p w14:paraId="66F602D5" w14:textId="77777777" w:rsidR="006E0AA0" w:rsidRDefault="006E0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5079" w14:textId="77777777" w:rsidR="006E0AA0" w:rsidRDefault="006E0AA0" w:rsidP="00B160F4">
    <w:pPr>
      <w:pStyle w:val="Footer"/>
      <w:jc w:val="center"/>
    </w:pPr>
  </w:p>
  <w:p w14:paraId="5FDBED60" w14:textId="77777777" w:rsidR="006E0AA0" w:rsidRDefault="006E0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0991" w14:textId="77777777" w:rsidR="004D3CC9" w:rsidRDefault="004D3CC9">
      <w:pPr>
        <w:spacing w:after="0" w:line="240" w:lineRule="auto"/>
      </w:pPr>
      <w:r>
        <w:separator/>
      </w:r>
    </w:p>
  </w:footnote>
  <w:footnote w:type="continuationSeparator" w:id="0">
    <w:p w14:paraId="1FFEA373" w14:textId="77777777" w:rsidR="004D3CC9" w:rsidRDefault="004D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75C2" w14:textId="7C2F93A8" w:rsidR="006E0AA0" w:rsidRPr="00CB3FAC" w:rsidRDefault="006E0AA0" w:rsidP="00CB3FAC">
    <w:pPr>
      <w:pStyle w:val="Header"/>
      <w:jc w:val="center"/>
      <w:rPr>
        <w:rFonts w:ascii="Times New Roman" w:hAnsi="Times New Roman"/>
        <w:i/>
        <w:sz w:val="18"/>
        <w:szCs w:val="18"/>
      </w:rPr>
    </w:pPr>
    <w:r w:rsidRPr="00CB3FAC">
      <w:rPr>
        <w:rFonts w:ascii="Times New Roman" w:hAnsi="Times New Roman"/>
        <w:i/>
        <w:sz w:val="18"/>
        <w:szCs w:val="18"/>
      </w:rPr>
      <w:t>Sochi</w:t>
    </w:r>
    <w:r>
      <w:rPr>
        <w:rFonts w:ascii="Times New Roman" w:hAnsi="Times New Roman"/>
        <w:i/>
        <w:sz w:val="18"/>
        <w:szCs w:val="18"/>
      </w:rPr>
      <w:t xml:space="preserve"> </w:t>
    </w:r>
    <w:r w:rsidRPr="00CB3FAC">
      <w:rPr>
        <w:rFonts w:ascii="Times New Roman" w:hAnsi="Times New Roman"/>
        <w:i/>
        <w:sz w:val="18"/>
        <w:szCs w:val="18"/>
      </w:rPr>
      <w:t>Iwuoha</w:t>
    </w:r>
    <w:r>
      <w:rPr>
        <w:rFonts w:ascii="Times New Roman" w:hAnsi="Times New Roman"/>
        <w:i/>
        <w:sz w:val="18"/>
        <w:szCs w:val="18"/>
      </w:rPr>
      <w:t xml:space="preserve"> and Joseph Onochie</w:t>
    </w:r>
  </w:p>
  <w:p w14:paraId="0FE76B09" w14:textId="2FE7D86B" w:rsidR="006E0AA0" w:rsidRPr="00CB3FAC" w:rsidRDefault="007918EF" w:rsidP="00CB3FAC">
    <w:pPr>
      <w:pStyle w:val="Header"/>
      <w:jc w:val="center"/>
      <w:rPr>
        <w:rFonts w:ascii="Times New Roman" w:hAnsi="Times New Roman"/>
        <w:sz w:val="18"/>
        <w:szCs w:val="18"/>
      </w:rPr>
    </w:pPr>
    <w:r>
      <w:rPr>
        <w:rFonts w:ascii="Times New Roman" w:hAnsi="Times New Roman"/>
        <w:i/>
        <w:sz w:val="18"/>
        <w:szCs w:val="18"/>
      </w:rPr>
      <w:t>Time Series Characteristics of Canada’s Beyond-GDP Indicators</w:t>
    </w:r>
  </w:p>
  <w:sdt>
    <w:sdtPr>
      <w:id w:val="768824159"/>
      <w:docPartObj>
        <w:docPartGallery w:val="Page Numbers (Top of Page)"/>
        <w:docPartUnique/>
      </w:docPartObj>
    </w:sdtPr>
    <w:sdtEndPr>
      <w:rPr>
        <w:noProof/>
      </w:rPr>
    </w:sdtEndPr>
    <w:sdtContent>
      <w:p w14:paraId="6A70E7EB" w14:textId="0EFE579B" w:rsidR="006E0AA0" w:rsidRPr="00CB3FAC" w:rsidRDefault="006E0AA0" w:rsidP="00CB3FAC">
        <w:pPr>
          <w:pStyle w:val="Header"/>
          <w:jc w:val="right"/>
        </w:pPr>
        <w:r w:rsidRPr="00C22D4B">
          <w:rPr>
            <w:rFonts w:ascii="Times New Roman" w:hAnsi="Times New Roman" w:cs="Times New Roman"/>
            <w:sz w:val="24"/>
            <w:szCs w:val="24"/>
          </w:rPr>
          <w:fldChar w:fldCharType="begin"/>
        </w:r>
        <w:r w:rsidRPr="00C22D4B">
          <w:rPr>
            <w:rFonts w:ascii="Times New Roman" w:hAnsi="Times New Roman" w:cs="Times New Roman"/>
            <w:sz w:val="24"/>
            <w:szCs w:val="24"/>
          </w:rPr>
          <w:instrText xml:space="preserve"> PAGE   \* MERGEFORMAT </w:instrText>
        </w:r>
        <w:r w:rsidRPr="00C22D4B">
          <w:rPr>
            <w:rFonts w:ascii="Times New Roman" w:hAnsi="Times New Roman" w:cs="Times New Roman"/>
            <w:sz w:val="24"/>
            <w:szCs w:val="24"/>
          </w:rPr>
          <w:fldChar w:fldCharType="separate"/>
        </w:r>
        <w:r>
          <w:rPr>
            <w:rFonts w:ascii="Times New Roman" w:hAnsi="Times New Roman" w:cs="Times New Roman"/>
            <w:noProof/>
            <w:sz w:val="24"/>
            <w:szCs w:val="24"/>
          </w:rPr>
          <w:t>11</w:t>
        </w:r>
        <w:r w:rsidRPr="00C22D4B">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5EF7" w14:textId="11054510" w:rsidR="006E0AA0" w:rsidRDefault="006E0AA0">
    <w:pPr>
      <w:pStyle w:val="Header"/>
      <w:jc w:val="right"/>
    </w:pPr>
  </w:p>
  <w:p w14:paraId="1C790CE2" w14:textId="77777777" w:rsidR="006E0AA0" w:rsidRDefault="006E0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B82"/>
    <w:multiLevelType w:val="hybridMultilevel"/>
    <w:tmpl w:val="EA16D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9945D7"/>
    <w:multiLevelType w:val="hybridMultilevel"/>
    <w:tmpl w:val="38184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280FED"/>
    <w:multiLevelType w:val="hybridMultilevel"/>
    <w:tmpl w:val="E22A12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670836"/>
    <w:multiLevelType w:val="hybridMultilevel"/>
    <w:tmpl w:val="5BC02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345610">
    <w:abstractNumId w:val="3"/>
  </w:num>
  <w:num w:numId="2" w16cid:durableId="1030571639">
    <w:abstractNumId w:val="0"/>
  </w:num>
  <w:num w:numId="3" w16cid:durableId="175924843">
    <w:abstractNumId w:val="2"/>
  </w:num>
  <w:num w:numId="4" w16cid:durableId="16165930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wNjIyB2IDS1MTCyUdpeDU4uLM/DyQAiPDWgAF6bVbLQAAAA=="/>
  </w:docVars>
  <w:rsids>
    <w:rsidRoot w:val="00551B19"/>
    <w:rsid w:val="00000610"/>
    <w:rsid w:val="00000CD0"/>
    <w:rsid w:val="00000CEC"/>
    <w:rsid w:val="00001440"/>
    <w:rsid w:val="000014A6"/>
    <w:rsid w:val="000017C8"/>
    <w:rsid w:val="0000196F"/>
    <w:rsid w:val="00001E5A"/>
    <w:rsid w:val="00001F46"/>
    <w:rsid w:val="00002437"/>
    <w:rsid w:val="000024F8"/>
    <w:rsid w:val="00002D0D"/>
    <w:rsid w:val="0000331C"/>
    <w:rsid w:val="00003354"/>
    <w:rsid w:val="000034AE"/>
    <w:rsid w:val="000037E5"/>
    <w:rsid w:val="00003A70"/>
    <w:rsid w:val="00003C15"/>
    <w:rsid w:val="000046DF"/>
    <w:rsid w:val="0000501E"/>
    <w:rsid w:val="00005331"/>
    <w:rsid w:val="00005BA9"/>
    <w:rsid w:val="00005BC4"/>
    <w:rsid w:val="00005BE7"/>
    <w:rsid w:val="00005C61"/>
    <w:rsid w:val="00005CB3"/>
    <w:rsid w:val="00005F7C"/>
    <w:rsid w:val="00006625"/>
    <w:rsid w:val="00006B77"/>
    <w:rsid w:val="00006EBD"/>
    <w:rsid w:val="000076BC"/>
    <w:rsid w:val="0000775F"/>
    <w:rsid w:val="000079D0"/>
    <w:rsid w:val="000079EF"/>
    <w:rsid w:val="00007D6A"/>
    <w:rsid w:val="00007E36"/>
    <w:rsid w:val="0001017C"/>
    <w:rsid w:val="00010281"/>
    <w:rsid w:val="00010CB1"/>
    <w:rsid w:val="00010F3B"/>
    <w:rsid w:val="00011562"/>
    <w:rsid w:val="0001157C"/>
    <w:rsid w:val="0001160D"/>
    <w:rsid w:val="00011A4C"/>
    <w:rsid w:val="000122E2"/>
    <w:rsid w:val="0001247B"/>
    <w:rsid w:val="00012725"/>
    <w:rsid w:val="0001287A"/>
    <w:rsid w:val="0001288C"/>
    <w:rsid w:val="00012D02"/>
    <w:rsid w:val="00012D0D"/>
    <w:rsid w:val="00013003"/>
    <w:rsid w:val="000138DF"/>
    <w:rsid w:val="00013964"/>
    <w:rsid w:val="00014624"/>
    <w:rsid w:val="00014D24"/>
    <w:rsid w:val="00014D29"/>
    <w:rsid w:val="0001532D"/>
    <w:rsid w:val="00015535"/>
    <w:rsid w:val="0001557F"/>
    <w:rsid w:val="0001561E"/>
    <w:rsid w:val="000158E1"/>
    <w:rsid w:val="00015CE9"/>
    <w:rsid w:val="000169E5"/>
    <w:rsid w:val="00016B25"/>
    <w:rsid w:val="00016E86"/>
    <w:rsid w:val="0001701D"/>
    <w:rsid w:val="0001710D"/>
    <w:rsid w:val="0001742E"/>
    <w:rsid w:val="00017AAF"/>
    <w:rsid w:val="000200F3"/>
    <w:rsid w:val="00020213"/>
    <w:rsid w:val="000202C2"/>
    <w:rsid w:val="00020A23"/>
    <w:rsid w:val="00021279"/>
    <w:rsid w:val="000214E4"/>
    <w:rsid w:val="000214E9"/>
    <w:rsid w:val="000218A8"/>
    <w:rsid w:val="000220C3"/>
    <w:rsid w:val="0002243B"/>
    <w:rsid w:val="000227B5"/>
    <w:rsid w:val="00022D4A"/>
    <w:rsid w:val="00022E09"/>
    <w:rsid w:val="00022E31"/>
    <w:rsid w:val="00022E94"/>
    <w:rsid w:val="00023059"/>
    <w:rsid w:val="000232BF"/>
    <w:rsid w:val="000234EA"/>
    <w:rsid w:val="00023876"/>
    <w:rsid w:val="00023A34"/>
    <w:rsid w:val="00023D34"/>
    <w:rsid w:val="00023D58"/>
    <w:rsid w:val="00023E72"/>
    <w:rsid w:val="00024692"/>
    <w:rsid w:val="00024806"/>
    <w:rsid w:val="00024E4E"/>
    <w:rsid w:val="00025524"/>
    <w:rsid w:val="00025E26"/>
    <w:rsid w:val="00025F3F"/>
    <w:rsid w:val="000262D3"/>
    <w:rsid w:val="0002705F"/>
    <w:rsid w:val="0002712E"/>
    <w:rsid w:val="00027741"/>
    <w:rsid w:val="00027FE8"/>
    <w:rsid w:val="00030172"/>
    <w:rsid w:val="00030285"/>
    <w:rsid w:val="00030355"/>
    <w:rsid w:val="000306A7"/>
    <w:rsid w:val="00030E63"/>
    <w:rsid w:val="00030F7E"/>
    <w:rsid w:val="00031054"/>
    <w:rsid w:val="0003114E"/>
    <w:rsid w:val="000311B0"/>
    <w:rsid w:val="00031589"/>
    <w:rsid w:val="00031621"/>
    <w:rsid w:val="00031CD1"/>
    <w:rsid w:val="00031CF7"/>
    <w:rsid w:val="000322AC"/>
    <w:rsid w:val="0003267A"/>
    <w:rsid w:val="00032910"/>
    <w:rsid w:val="00032CC5"/>
    <w:rsid w:val="00033377"/>
    <w:rsid w:val="00033386"/>
    <w:rsid w:val="000333C3"/>
    <w:rsid w:val="00033470"/>
    <w:rsid w:val="00033503"/>
    <w:rsid w:val="00033798"/>
    <w:rsid w:val="00033B45"/>
    <w:rsid w:val="00034093"/>
    <w:rsid w:val="000340CF"/>
    <w:rsid w:val="00034DB3"/>
    <w:rsid w:val="00034ECC"/>
    <w:rsid w:val="000351E8"/>
    <w:rsid w:val="00035498"/>
    <w:rsid w:val="00035F25"/>
    <w:rsid w:val="000363BE"/>
    <w:rsid w:val="00036588"/>
    <w:rsid w:val="000371E5"/>
    <w:rsid w:val="0003727E"/>
    <w:rsid w:val="0003742D"/>
    <w:rsid w:val="0003744B"/>
    <w:rsid w:val="000377DC"/>
    <w:rsid w:val="000377E1"/>
    <w:rsid w:val="000379C8"/>
    <w:rsid w:val="00037D51"/>
    <w:rsid w:val="00040012"/>
    <w:rsid w:val="000406D4"/>
    <w:rsid w:val="00040C14"/>
    <w:rsid w:val="00040CCC"/>
    <w:rsid w:val="00040E91"/>
    <w:rsid w:val="00040F59"/>
    <w:rsid w:val="00040FFF"/>
    <w:rsid w:val="000411BA"/>
    <w:rsid w:val="000414E6"/>
    <w:rsid w:val="00041571"/>
    <w:rsid w:val="0004171F"/>
    <w:rsid w:val="00041C2D"/>
    <w:rsid w:val="00041C4D"/>
    <w:rsid w:val="000421A1"/>
    <w:rsid w:val="00042204"/>
    <w:rsid w:val="00042B17"/>
    <w:rsid w:val="00042F43"/>
    <w:rsid w:val="000432F4"/>
    <w:rsid w:val="000435F0"/>
    <w:rsid w:val="000438A1"/>
    <w:rsid w:val="00043B76"/>
    <w:rsid w:val="00044242"/>
    <w:rsid w:val="0004482E"/>
    <w:rsid w:val="00044A79"/>
    <w:rsid w:val="00044F09"/>
    <w:rsid w:val="000450D0"/>
    <w:rsid w:val="0004525A"/>
    <w:rsid w:val="00045384"/>
    <w:rsid w:val="00045601"/>
    <w:rsid w:val="00045FFF"/>
    <w:rsid w:val="000464CB"/>
    <w:rsid w:val="00046715"/>
    <w:rsid w:val="0004673E"/>
    <w:rsid w:val="000473B5"/>
    <w:rsid w:val="0004754D"/>
    <w:rsid w:val="00047825"/>
    <w:rsid w:val="00047C4C"/>
    <w:rsid w:val="00047D9A"/>
    <w:rsid w:val="00050482"/>
    <w:rsid w:val="0005064C"/>
    <w:rsid w:val="00050A08"/>
    <w:rsid w:val="00050B2E"/>
    <w:rsid w:val="00050C79"/>
    <w:rsid w:val="00050D14"/>
    <w:rsid w:val="00050DAA"/>
    <w:rsid w:val="0005101C"/>
    <w:rsid w:val="00051825"/>
    <w:rsid w:val="00052057"/>
    <w:rsid w:val="00052BD1"/>
    <w:rsid w:val="000531E9"/>
    <w:rsid w:val="000534B8"/>
    <w:rsid w:val="0005379B"/>
    <w:rsid w:val="000537A2"/>
    <w:rsid w:val="00053A74"/>
    <w:rsid w:val="00053B09"/>
    <w:rsid w:val="00053D05"/>
    <w:rsid w:val="000543C7"/>
    <w:rsid w:val="00054CB5"/>
    <w:rsid w:val="0005511D"/>
    <w:rsid w:val="0005527F"/>
    <w:rsid w:val="00055357"/>
    <w:rsid w:val="00055410"/>
    <w:rsid w:val="0005545B"/>
    <w:rsid w:val="000554C9"/>
    <w:rsid w:val="00055531"/>
    <w:rsid w:val="000555AB"/>
    <w:rsid w:val="00055770"/>
    <w:rsid w:val="00055797"/>
    <w:rsid w:val="00055F4C"/>
    <w:rsid w:val="00056412"/>
    <w:rsid w:val="000566CD"/>
    <w:rsid w:val="0005672E"/>
    <w:rsid w:val="00057248"/>
    <w:rsid w:val="00057C7C"/>
    <w:rsid w:val="00057CF5"/>
    <w:rsid w:val="00057E27"/>
    <w:rsid w:val="000600E8"/>
    <w:rsid w:val="000603D4"/>
    <w:rsid w:val="00060540"/>
    <w:rsid w:val="000610A1"/>
    <w:rsid w:val="000610A5"/>
    <w:rsid w:val="000614D4"/>
    <w:rsid w:val="00061A53"/>
    <w:rsid w:val="0006226C"/>
    <w:rsid w:val="00062384"/>
    <w:rsid w:val="0006242D"/>
    <w:rsid w:val="00062FD5"/>
    <w:rsid w:val="00063337"/>
    <w:rsid w:val="0006348C"/>
    <w:rsid w:val="000637F4"/>
    <w:rsid w:val="00063810"/>
    <w:rsid w:val="000638EA"/>
    <w:rsid w:val="000639E8"/>
    <w:rsid w:val="00064214"/>
    <w:rsid w:val="00064784"/>
    <w:rsid w:val="00064C1D"/>
    <w:rsid w:val="00064E00"/>
    <w:rsid w:val="00064FBE"/>
    <w:rsid w:val="00065212"/>
    <w:rsid w:val="000655A8"/>
    <w:rsid w:val="00065810"/>
    <w:rsid w:val="00065EF3"/>
    <w:rsid w:val="00065FD3"/>
    <w:rsid w:val="000661C9"/>
    <w:rsid w:val="00066398"/>
    <w:rsid w:val="000663D4"/>
    <w:rsid w:val="00066E4C"/>
    <w:rsid w:val="0006725F"/>
    <w:rsid w:val="00067701"/>
    <w:rsid w:val="00067799"/>
    <w:rsid w:val="00067D3B"/>
    <w:rsid w:val="00067DCF"/>
    <w:rsid w:val="00067EB5"/>
    <w:rsid w:val="0007000A"/>
    <w:rsid w:val="0007039F"/>
    <w:rsid w:val="000703E3"/>
    <w:rsid w:val="000706DC"/>
    <w:rsid w:val="000706FA"/>
    <w:rsid w:val="00070A6A"/>
    <w:rsid w:val="000717AF"/>
    <w:rsid w:val="000718FD"/>
    <w:rsid w:val="00071D38"/>
    <w:rsid w:val="00071EDC"/>
    <w:rsid w:val="00072750"/>
    <w:rsid w:val="00072B49"/>
    <w:rsid w:val="0007378F"/>
    <w:rsid w:val="00073844"/>
    <w:rsid w:val="00073A21"/>
    <w:rsid w:val="00073CC8"/>
    <w:rsid w:val="00073E3B"/>
    <w:rsid w:val="00074088"/>
    <w:rsid w:val="0007412E"/>
    <w:rsid w:val="00074624"/>
    <w:rsid w:val="00074D37"/>
    <w:rsid w:val="00075681"/>
    <w:rsid w:val="000756D5"/>
    <w:rsid w:val="000761A2"/>
    <w:rsid w:val="000762A0"/>
    <w:rsid w:val="000763D1"/>
    <w:rsid w:val="000764AD"/>
    <w:rsid w:val="00076A85"/>
    <w:rsid w:val="000777EE"/>
    <w:rsid w:val="000779B3"/>
    <w:rsid w:val="00080114"/>
    <w:rsid w:val="00080322"/>
    <w:rsid w:val="000807A4"/>
    <w:rsid w:val="0008145B"/>
    <w:rsid w:val="00081A5B"/>
    <w:rsid w:val="00081C98"/>
    <w:rsid w:val="00081F37"/>
    <w:rsid w:val="00082236"/>
    <w:rsid w:val="0008231C"/>
    <w:rsid w:val="00082506"/>
    <w:rsid w:val="00082CF3"/>
    <w:rsid w:val="00082D03"/>
    <w:rsid w:val="00082D11"/>
    <w:rsid w:val="00082D5B"/>
    <w:rsid w:val="000837D1"/>
    <w:rsid w:val="0008387D"/>
    <w:rsid w:val="00083A49"/>
    <w:rsid w:val="00083DB6"/>
    <w:rsid w:val="00084D83"/>
    <w:rsid w:val="00085354"/>
    <w:rsid w:val="00085FFB"/>
    <w:rsid w:val="0008694D"/>
    <w:rsid w:val="00086D3F"/>
    <w:rsid w:val="00086E97"/>
    <w:rsid w:val="00087F71"/>
    <w:rsid w:val="00090709"/>
    <w:rsid w:val="00090C2B"/>
    <w:rsid w:val="00090C9E"/>
    <w:rsid w:val="000915EC"/>
    <w:rsid w:val="00091E34"/>
    <w:rsid w:val="00091F7C"/>
    <w:rsid w:val="0009201D"/>
    <w:rsid w:val="0009201F"/>
    <w:rsid w:val="0009213C"/>
    <w:rsid w:val="0009240F"/>
    <w:rsid w:val="00092784"/>
    <w:rsid w:val="000928C8"/>
    <w:rsid w:val="00092BAA"/>
    <w:rsid w:val="00093750"/>
    <w:rsid w:val="00093841"/>
    <w:rsid w:val="00093A67"/>
    <w:rsid w:val="00093B79"/>
    <w:rsid w:val="00093ED1"/>
    <w:rsid w:val="000941F4"/>
    <w:rsid w:val="00094B50"/>
    <w:rsid w:val="000953B3"/>
    <w:rsid w:val="00095728"/>
    <w:rsid w:val="00095A7D"/>
    <w:rsid w:val="00095AA8"/>
    <w:rsid w:val="00095CF3"/>
    <w:rsid w:val="00095DF4"/>
    <w:rsid w:val="00095E76"/>
    <w:rsid w:val="0009606F"/>
    <w:rsid w:val="000960C3"/>
    <w:rsid w:val="000960F5"/>
    <w:rsid w:val="00096D8C"/>
    <w:rsid w:val="00097159"/>
    <w:rsid w:val="000972A3"/>
    <w:rsid w:val="00097CC1"/>
    <w:rsid w:val="00097E35"/>
    <w:rsid w:val="000A0192"/>
    <w:rsid w:val="000A04F6"/>
    <w:rsid w:val="000A07EC"/>
    <w:rsid w:val="000A09CC"/>
    <w:rsid w:val="000A0BB5"/>
    <w:rsid w:val="000A11AD"/>
    <w:rsid w:val="000A12E2"/>
    <w:rsid w:val="000A1784"/>
    <w:rsid w:val="000A298B"/>
    <w:rsid w:val="000A2AFF"/>
    <w:rsid w:val="000A365A"/>
    <w:rsid w:val="000A388C"/>
    <w:rsid w:val="000A3E44"/>
    <w:rsid w:val="000A452E"/>
    <w:rsid w:val="000A4A21"/>
    <w:rsid w:val="000A4C6C"/>
    <w:rsid w:val="000A5249"/>
    <w:rsid w:val="000A5421"/>
    <w:rsid w:val="000A550D"/>
    <w:rsid w:val="000A55EF"/>
    <w:rsid w:val="000A5882"/>
    <w:rsid w:val="000A6096"/>
    <w:rsid w:val="000A6373"/>
    <w:rsid w:val="000A6775"/>
    <w:rsid w:val="000A6E9E"/>
    <w:rsid w:val="000A6FD4"/>
    <w:rsid w:val="000A7760"/>
    <w:rsid w:val="000A791E"/>
    <w:rsid w:val="000A79FD"/>
    <w:rsid w:val="000A7AC5"/>
    <w:rsid w:val="000B019A"/>
    <w:rsid w:val="000B02FA"/>
    <w:rsid w:val="000B056F"/>
    <w:rsid w:val="000B087D"/>
    <w:rsid w:val="000B0993"/>
    <w:rsid w:val="000B1051"/>
    <w:rsid w:val="000B119B"/>
    <w:rsid w:val="000B197A"/>
    <w:rsid w:val="000B1B1A"/>
    <w:rsid w:val="000B2425"/>
    <w:rsid w:val="000B28D0"/>
    <w:rsid w:val="000B2C14"/>
    <w:rsid w:val="000B3162"/>
    <w:rsid w:val="000B3216"/>
    <w:rsid w:val="000B366F"/>
    <w:rsid w:val="000B3BEE"/>
    <w:rsid w:val="000B3FFF"/>
    <w:rsid w:val="000B403D"/>
    <w:rsid w:val="000B405E"/>
    <w:rsid w:val="000B4190"/>
    <w:rsid w:val="000B42D8"/>
    <w:rsid w:val="000B466F"/>
    <w:rsid w:val="000B4A68"/>
    <w:rsid w:val="000B4B23"/>
    <w:rsid w:val="000B51F0"/>
    <w:rsid w:val="000B52E8"/>
    <w:rsid w:val="000B59C4"/>
    <w:rsid w:val="000B5CEE"/>
    <w:rsid w:val="000B5D40"/>
    <w:rsid w:val="000B621B"/>
    <w:rsid w:val="000B630B"/>
    <w:rsid w:val="000B668A"/>
    <w:rsid w:val="000B6ABC"/>
    <w:rsid w:val="000B6C8E"/>
    <w:rsid w:val="000B6E88"/>
    <w:rsid w:val="000B6F9F"/>
    <w:rsid w:val="000B788D"/>
    <w:rsid w:val="000C02AE"/>
    <w:rsid w:val="000C02EC"/>
    <w:rsid w:val="000C0366"/>
    <w:rsid w:val="000C0932"/>
    <w:rsid w:val="000C0AD0"/>
    <w:rsid w:val="000C0D09"/>
    <w:rsid w:val="000C0D53"/>
    <w:rsid w:val="000C0EB3"/>
    <w:rsid w:val="000C10A6"/>
    <w:rsid w:val="000C1179"/>
    <w:rsid w:val="000C13E3"/>
    <w:rsid w:val="000C150F"/>
    <w:rsid w:val="000C1ADA"/>
    <w:rsid w:val="000C26CB"/>
    <w:rsid w:val="000C2949"/>
    <w:rsid w:val="000C2C57"/>
    <w:rsid w:val="000C2CFE"/>
    <w:rsid w:val="000C2E1E"/>
    <w:rsid w:val="000C3500"/>
    <w:rsid w:val="000C3C27"/>
    <w:rsid w:val="000C3C88"/>
    <w:rsid w:val="000C418E"/>
    <w:rsid w:val="000C434C"/>
    <w:rsid w:val="000C43E3"/>
    <w:rsid w:val="000C4B70"/>
    <w:rsid w:val="000C4CED"/>
    <w:rsid w:val="000C5622"/>
    <w:rsid w:val="000C5734"/>
    <w:rsid w:val="000C58FF"/>
    <w:rsid w:val="000C59E0"/>
    <w:rsid w:val="000C5B53"/>
    <w:rsid w:val="000C5B85"/>
    <w:rsid w:val="000C60B8"/>
    <w:rsid w:val="000C6A74"/>
    <w:rsid w:val="000C6CDE"/>
    <w:rsid w:val="000C6FC5"/>
    <w:rsid w:val="000C75D4"/>
    <w:rsid w:val="000C7BBE"/>
    <w:rsid w:val="000C7D72"/>
    <w:rsid w:val="000D01DC"/>
    <w:rsid w:val="000D04B6"/>
    <w:rsid w:val="000D06EA"/>
    <w:rsid w:val="000D0B3A"/>
    <w:rsid w:val="000D1BCB"/>
    <w:rsid w:val="000D1D69"/>
    <w:rsid w:val="000D1DE6"/>
    <w:rsid w:val="000D1FC6"/>
    <w:rsid w:val="000D200C"/>
    <w:rsid w:val="000D2F8C"/>
    <w:rsid w:val="000D3335"/>
    <w:rsid w:val="000D386A"/>
    <w:rsid w:val="000D3977"/>
    <w:rsid w:val="000D3CB1"/>
    <w:rsid w:val="000D4DBE"/>
    <w:rsid w:val="000D4FEA"/>
    <w:rsid w:val="000D561C"/>
    <w:rsid w:val="000D5875"/>
    <w:rsid w:val="000D592F"/>
    <w:rsid w:val="000D5B50"/>
    <w:rsid w:val="000D5E6D"/>
    <w:rsid w:val="000D6442"/>
    <w:rsid w:val="000D6739"/>
    <w:rsid w:val="000D6D2C"/>
    <w:rsid w:val="000D6D46"/>
    <w:rsid w:val="000D7014"/>
    <w:rsid w:val="000D7069"/>
    <w:rsid w:val="000D7268"/>
    <w:rsid w:val="000E00A1"/>
    <w:rsid w:val="000E06BD"/>
    <w:rsid w:val="000E088B"/>
    <w:rsid w:val="000E0EA8"/>
    <w:rsid w:val="000E0FD1"/>
    <w:rsid w:val="000E108B"/>
    <w:rsid w:val="000E17C4"/>
    <w:rsid w:val="000E2695"/>
    <w:rsid w:val="000E29D9"/>
    <w:rsid w:val="000E2CD6"/>
    <w:rsid w:val="000E33DF"/>
    <w:rsid w:val="000E3622"/>
    <w:rsid w:val="000E3A2B"/>
    <w:rsid w:val="000E3D4B"/>
    <w:rsid w:val="000E3F10"/>
    <w:rsid w:val="000E4071"/>
    <w:rsid w:val="000E44B4"/>
    <w:rsid w:val="000E46D7"/>
    <w:rsid w:val="000E4AEA"/>
    <w:rsid w:val="000E4B66"/>
    <w:rsid w:val="000E6486"/>
    <w:rsid w:val="000E6AA0"/>
    <w:rsid w:val="000E6CB7"/>
    <w:rsid w:val="000E7259"/>
    <w:rsid w:val="000E72B3"/>
    <w:rsid w:val="000E7332"/>
    <w:rsid w:val="000E7864"/>
    <w:rsid w:val="000E7A2C"/>
    <w:rsid w:val="000E7DF4"/>
    <w:rsid w:val="000F04B0"/>
    <w:rsid w:val="000F0762"/>
    <w:rsid w:val="000F143D"/>
    <w:rsid w:val="000F164A"/>
    <w:rsid w:val="000F19E3"/>
    <w:rsid w:val="000F1C9B"/>
    <w:rsid w:val="000F1E4D"/>
    <w:rsid w:val="000F1E73"/>
    <w:rsid w:val="000F1F4B"/>
    <w:rsid w:val="000F2621"/>
    <w:rsid w:val="000F271F"/>
    <w:rsid w:val="000F3020"/>
    <w:rsid w:val="000F3379"/>
    <w:rsid w:val="000F3AAE"/>
    <w:rsid w:val="000F3E3F"/>
    <w:rsid w:val="000F3F84"/>
    <w:rsid w:val="000F4049"/>
    <w:rsid w:val="000F42F4"/>
    <w:rsid w:val="000F4313"/>
    <w:rsid w:val="000F4C4A"/>
    <w:rsid w:val="000F4F9F"/>
    <w:rsid w:val="000F5130"/>
    <w:rsid w:val="000F5234"/>
    <w:rsid w:val="000F5454"/>
    <w:rsid w:val="000F54F1"/>
    <w:rsid w:val="000F5607"/>
    <w:rsid w:val="000F569D"/>
    <w:rsid w:val="000F56B3"/>
    <w:rsid w:val="000F598E"/>
    <w:rsid w:val="000F5EE2"/>
    <w:rsid w:val="000F5FC9"/>
    <w:rsid w:val="000F6541"/>
    <w:rsid w:val="000F65B9"/>
    <w:rsid w:val="000F6E3E"/>
    <w:rsid w:val="000F7639"/>
    <w:rsid w:val="000F7784"/>
    <w:rsid w:val="000F7FFB"/>
    <w:rsid w:val="001001A7"/>
    <w:rsid w:val="0010042C"/>
    <w:rsid w:val="00100C21"/>
    <w:rsid w:val="00100F64"/>
    <w:rsid w:val="00101A52"/>
    <w:rsid w:val="00101D3B"/>
    <w:rsid w:val="00101DEE"/>
    <w:rsid w:val="00102B17"/>
    <w:rsid w:val="00103601"/>
    <w:rsid w:val="001036F0"/>
    <w:rsid w:val="00103BC7"/>
    <w:rsid w:val="00104191"/>
    <w:rsid w:val="00104C78"/>
    <w:rsid w:val="0010595D"/>
    <w:rsid w:val="00105A03"/>
    <w:rsid w:val="00105AD6"/>
    <w:rsid w:val="00106029"/>
    <w:rsid w:val="0010621B"/>
    <w:rsid w:val="00106619"/>
    <w:rsid w:val="00106D42"/>
    <w:rsid w:val="001075A2"/>
    <w:rsid w:val="00107A23"/>
    <w:rsid w:val="0011034A"/>
    <w:rsid w:val="001109F1"/>
    <w:rsid w:val="00110B58"/>
    <w:rsid w:val="00111A68"/>
    <w:rsid w:val="00111CC9"/>
    <w:rsid w:val="00112EA0"/>
    <w:rsid w:val="00113696"/>
    <w:rsid w:val="001136E8"/>
    <w:rsid w:val="00113E32"/>
    <w:rsid w:val="00113E7F"/>
    <w:rsid w:val="00113E8B"/>
    <w:rsid w:val="0011483C"/>
    <w:rsid w:val="00114FF8"/>
    <w:rsid w:val="0011527B"/>
    <w:rsid w:val="00116169"/>
    <w:rsid w:val="0011628E"/>
    <w:rsid w:val="001166D6"/>
    <w:rsid w:val="00116897"/>
    <w:rsid w:val="00116E5C"/>
    <w:rsid w:val="00117112"/>
    <w:rsid w:val="00117890"/>
    <w:rsid w:val="001179BF"/>
    <w:rsid w:val="00117A23"/>
    <w:rsid w:val="00117ADC"/>
    <w:rsid w:val="00117EA3"/>
    <w:rsid w:val="0012018D"/>
    <w:rsid w:val="0012028F"/>
    <w:rsid w:val="001208A3"/>
    <w:rsid w:val="001208B3"/>
    <w:rsid w:val="00121850"/>
    <w:rsid w:val="00121F69"/>
    <w:rsid w:val="00122204"/>
    <w:rsid w:val="00122695"/>
    <w:rsid w:val="0012320D"/>
    <w:rsid w:val="001234D1"/>
    <w:rsid w:val="001236D2"/>
    <w:rsid w:val="00123E86"/>
    <w:rsid w:val="00124312"/>
    <w:rsid w:val="001248DB"/>
    <w:rsid w:val="00124E50"/>
    <w:rsid w:val="0012533D"/>
    <w:rsid w:val="00125571"/>
    <w:rsid w:val="00125920"/>
    <w:rsid w:val="00125C0E"/>
    <w:rsid w:val="00125E90"/>
    <w:rsid w:val="00125F59"/>
    <w:rsid w:val="001266D3"/>
    <w:rsid w:val="001268C7"/>
    <w:rsid w:val="00126A6A"/>
    <w:rsid w:val="00126F3F"/>
    <w:rsid w:val="00126F74"/>
    <w:rsid w:val="0012713B"/>
    <w:rsid w:val="0012734D"/>
    <w:rsid w:val="00127437"/>
    <w:rsid w:val="001279F1"/>
    <w:rsid w:val="00127ADF"/>
    <w:rsid w:val="00127E49"/>
    <w:rsid w:val="00127E7C"/>
    <w:rsid w:val="00130892"/>
    <w:rsid w:val="00130A40"/>
    <w:rsid w:val="00130F68"/>
    <w:rsid w:val="001321E6"/>
    <w:rsid w:val="001322B8"/>
    <w:rsid w:val="0013262A"/>
    <w:rsid w:val="001328E6"/>
    <w:rsid w:val="00132C3B"/>
    <w:rsid w:val="00132E4D"/>
    <w:rsid w:val="00132ED5"/>
    <w:rsid w:val="001330AE"/>
    <w:rsid w:val="00133254"/>
    <w:rsid w:val="001339CC"/>
    <w:rsid w:val="001341CE"/>
    <w:rsid w:val="0013447C"/>
    <w:rsid w:val="001344D4"/>
    <w:rsid w:val="0013497F"/>
    <w:rsid w:val="00134995"/>
    <w:rsid w:val="0013501A"/>
    <w:rsid w:val="001352A3"/>
    <w:rsid w:val="0013535D"/>
    <w:rsid w:val="00135509"/>
    <w:rsid w:val="00135DDC"/>
    <w:rsid w:val="00136004"/>
    <w:rsid w:val="001379BA"/>
    <w:rsid w:val="00137B08"/>
    <w:rsid w:val="00137C21"/>
    <w:rsid w:val="00137DFE"/>
    <w:rsid w:val="001401F3"/>
    <w:rsid w:val="00140414"/>
    <w:rsid w:val="001408D9"/>
    <w:rsid w:val="00141C4D"/>
    <w:rsid w:val="00142235"/>
    <w:rsid w:val="00142306"/>
    <w:rsid w:val="001423FE"/>
    <w:rsid w:val="00143047"/>
    <w:rsid w:val="001431FA"/>
    <w:rsid w:val="00143368"/>
    <w:rsid w:val="00143730"/>
    <w:rsid w:val="0014381B"/>
    <w:rsid w:val="00143823"/>
    <w:rsid w:val="00143AA6"/>
    <w:rsid w:val="00143AAD"/>
    <w:rsid w:val="00143BED"/>
    <w:rsid w:val="0014407F"/>
    <w:rsid w:val="00144B6C"/>
    <w:rsid w:val="00144E87"/>
    <w:rsid w:val="00144FA6"/>
    <w:rsid w:val="0014500E"/>
    <w:rsid w:val="00145015"/>
    <w:rsid w:val="0014505A"/>
    <w:rsid w:val="00145A25"/>
    <w:rsid w:val="00145FBC"/>
    <w:rsid w:val="001464DB"/>
    <w:rsid w:val="0014699E"/>
    <w:rsid w:val="00146B56"/>
    <w:rsid w:val="00146CF5"/>
    <w:rsid w:val="00146E84"/>
    <w:rsid w:val="001470B7"/>
    <w:rsid w:val="0014731A"/>
    <w:rsid w:val="00147323"/>
    <w:rsid w:val="0014778A"/>
    <w:rsid w:val="00147896"/>
    <w:rsid w:val="00147AA5"/>
    <w:rsid w:val="00147DEE"/>
    <w:rsid w:val="00147DFA"/>
    <w:rsid w:val="00150115"/>
    <w:rsid w:val="00150DB4"/>
    <w:rsid w:val="001515DA"/>
    <w:rsid w:val="00151748"/>
    <w:rsid w:val="00151C30"/>
    <w:rsid w:val="00151CDB"/>
    <w:rsid w:val="00151FFF"/>
    <w:rsid w:val="001526EA"/>
    <w:rsid w:val="001531A6"/>
    <w:rsid w:val="00153634"/>
    <w:rsid w:val="00154040"/>
    <w:rsid w:val="001541D6"/>
    <w:rsid w:val="001547B0"/>
    <w:rsid w:val="00154879"/>
    <w:rsid w:val="001549E4"/>
    <w:rsid w:val="00154E07"/>
    <w:rsid w:val="00155203"/>
    <w:rsid w:val="00155DDF"/>
    <w:rsid w:val="0015644A"/>
    <w:rsid w:val="00156652"/>
    <w:rsid w:val="00156A4B"/>
    <w:rsid w:val="00156E9D"/>
    <w:rsid w:val="001574CC"/>
    <w:rsid w:val="00157A33"/>
    <w:rsid w:val="00160669"/>
    <w:rsid w:val="001606C8"/>
    <w:rsid w:val="001610B4"/>
    <w:rsid w:val="00161F70"/>
    <w:rsid w:val="00161FF0"/>
    <w:rsid w:val="001623C6"/>
    <w:rsid w:val="00162517"/>
    <w:rsid w:val="0016288A"/>
    <w:rsid w:val="00162A2D"/>
    <w:rsid w:val="00162B17"/>
    <w:rsid w:val="00162DA2"/>
    <w:rsid w:val="001631C3"/>
    <w:rsid w:val="0016337B"/>
    <w:rsid w:val="00163A17"/>
    <w:rsid w:val="00163A5B"/>
    <w:rsid w:val="00163B2E"/>
    <w:rsid w:val="00163D5D"/>
    <w:rsid w:val="00163F45"/>
    <w:rsid w:val="00164557"/>
    <w:rsid w:val="0016466C"/>
    <w:rsid w:val="0016481B"/>
    <w:rsid w:val="00165ADE"/>
    <w:rsid w:val="00165CF9"/>
    <w:rsid w:val="00165F06"/>
    <w:rsid w:val="00166542"/>
    <w:rsid w:val="00166E11"/>
    <w:rsid w:val="001675FD"/>
    <w:rsid w:val="001676FA"/>
    <w:rsid w:val="001677A4"/>
    <w:rsid w:val="00167F5A"/>
    <w:rsid w:val="00167F7C"/>
    <w:rsid w:val="0017003A"/>
    <w:rsid w:val="001700EB"/>
    <w:rsid w:val="0017010D"/>
    <w:rsid w:val="001701D4"/>
    <w:rsid w:val="0017057C"/>
    <w:rsid w:val="00170725"/>
    <w:rsid w:val="00170743"/>
    <w:rsid w:val="00170B4A"/>
    <w:rsid w:val="00170E88"/>
    <w:rsid w:val="00170E9E"/>
    <w:rsid w:val="00170EA2"/>
    <w:rsid w:val="001711C9"/>
    <w:rsid w:val="00171A2D"/>
    <w:rsid w:val="001720E8"/>
    <w:rsid w:val="00172B20"/>
    <w:rsid w:val="00172D5E"/>
    <w:rsid w:val="00172DAD"/>
    <w:rsid w:val="00173022"/>
    <w:rsid w:val="0017307C"/>
    <w:rsid w:val="0017387B"/>
    <w:rsid w:val="00173E46"/>
    <w:rsid w:val="0017411C"/>
    <w:rsid w:val="00174EF9"/>
    <w:rsid w:val="001759BC"/>
    <w:rsid w:val="00175AC5"/>
    <w:rsid w:val="00176E3F"/>
    <w:rsid w:val="00176F22"/>
    <w:rsid w:val="00177283"/>
    <w:rsid w:val="001775F4"/>
    <w:rsid w:val="00177DF6"/>
    <w:rsid w:val="00177E3A"/>
    <w:rsid w:val="0018017D"/>
    <w:rsid w:val="001801CD"/>
    <w:rsid w:val="001802BB"/>
    <w:rsid w:val="00180ADE"/>
    <w:rsid w:val="00180DE1"/>
    <w:rsid w:val="00180DF7"/>
    <w:rsid w:val="001810B3"/>
    <w:rsid w:val="001813FE"/>
    <w:rsid w:val="001816E1"/>
    <w:rsid w:val="00181814"/>
    <w:rsid w:val="00181AAF"/>
    <w:rsid w:val="00181C41"/>
    <w:rsid w:val="00181CBC"/>
    <w:rsid w:val="00182384"/>
    <w:rsid w:val="001825F8"/>
    <w:rsid w:val="00182C7C"/>
    <w:rsid w:val="00183695"/>
    <w:rsid w:val="00183ED1"/>
    <w:rsid w:val="0018476A"/>
    <w:rsid w:val="00184943"/>
    <w:rsid w:val="00184DF9"/>
    <w:rsid w:val="001852E7"/>
    <w:rsid w:val="00185408"/>
    <w:rsid w:val="00185431"/>
    <w:rsid w:val="001854EC"/>
    <w:rsid w:val="0018562B"/>
    <w:rsid w:val="0018576A"/>
    <w:rsid w:val="00185980"/>
    <w:rsid w:val="00185A04"/>
    <w:rsid w:val="00185AC0"/>
    <w:rsid w:val="00186303"/>
    <w:rsid w:val="0018647F"/>
    <w:rsid w:val="0018649E"/>
    <w:rsid w:val="00186756"/>
    <w:rsid w:val="001867E7"/>
    <w:rsid w:val="0018695A"/>
    <w:rsid w:val="00187A1B"/>
    <w:rsid w:val="00187EAD"/>
    <w:rsid w:val="00187F31"/>
    <w:rsid w:val="00187FF6"/>
    <w:rsid w:val="00190164"/>
    <w:rsid w:val="00190290"/>
    <w:rsid w:val="001904E8"/>
    <w:rsid w:val="00190AA3"/>
    <w:rsid w:val="0019108F"/>
    <w:rsid w:val="0019118C"/>
    <w:rsid w:val="001913CE"/>
    <w:rsid w:val="001914BB"/>
    <w:rsid w:val="00191CCB"/>
    <w:rsid w:val="00191E16"/>
    <w:rsid w:val="0019286A"/>
    <w:rsid w:val="00192A43"/>
    <w:rsid w:val="00193354"/>
    <w:rsid w:val="00193918"/>
    <w:rsid w:val="0019396C"/>
    <w:rsid w:val="00193B30"/>
    <w:rsid w:val="00193EF2"/>
    <w:rsid w:val="0019407F"/>
    <w:rsid w:val="0019413F"/>
    <w:rsid w:val="00194443"/>
    <w:rsid w:val="00194557"/>
    <w:rsid w:val="00194C28"/>
    <w:rsid w:val="001950FC"/>
    <w:rsid w:val="00195169"/>
    <w:rsid w:val="001952FD"/>
    <w:rsid w:val="00195B88"/>
    <w:rsid w:val="00195E7E"/>
    <w:rsid w:val="001963B8"/>
    <w:rsid w:val="00196D3E"/>
    <w:rsid w:val="001A0302"/>
    <w:rsid w:val="001A05F5"/>
    <w:rsid w:val="001A060F"/>
    <w:rsid w:val="001A06E3"/>
    <w:rsid w:val="001A086C"/>
    <w:rsid w:val="001A08FB"/>
    <w:rsid w:val="001A0DDF"/>
    <w:rsid w:val="001A15F0"/>
    <w:rsid w:val="001A1BA0"/>
    <w:rsid w:val="001A1D07"/>
    <w:rsid w:val="001A1FE7"/>
    <w:rsid w:val="001A2316"/>
    <w:rsid w:val="001A2334"/>
    <w:rsid w:val="001A3933"/>
    <w:rsid w:val="001A3FA5"/>
    <w:rsid w:val="001A4607"/>
    <w:rsid w:val="001A58CE"/>
    <w:rsid w:val="001A5C87"/>
    <w:rsid w:val="001A6A03"/>
    <w:rsid w:val="001A6BEC"/>
    <w:rsid w:val="001A6DDD"/>
    <w:rsid w:val="001A6E33"/>
    <w:rsid w:val="001A7084"/>
    <w:rsid w:val="001A72F6"/>
    <w:rsid w:val="001A7788"/>
    <w:rsid w:val="001A7917"/>
    <w:rsid w:val="001A7A61"/>
    <w:rsid w:val="001A7C48"/>
    <w:rsid w:val="001A7E11"/>
    <w:rsid w:val="001B0502"/>
    <w:rsid w:val="001B0787"/>
    <w:rsid w:val="001B0963"/>
    <w:rsid w:val="001B0C59"/>
    <w:rsid w:val="001B16B2"/>
    <w:rsid w:val="001B16B8"/>
    <w:rsid w:val="001B1A33"/>
    <w:rsid w:val="001B2027"/>
    <w:rsid w:val="001B2627"/>
    <w:rsid w:val="001B2E1D"/>
    <w:rsid w:val="001B2E7C"/>
    <w:rsid w:val="001B34A6"/>
    <w:rsid w:val="001B397C"/>
    <w:rsid w:val="001B399E"/>
    <w:rsid w:val="001B3B26"/>
    <w:rsid w:val="001B3BF6"/>
    <w:rsid w:val="001B3EBC"/>
    <w:rsid w:val="001B461A"/>
    <w:rsid w:val="001B48CD"/>
    <w:rsid w:val="001B48F6"/>
    <w:rsid w:val="001B5318"/>
    <w:rsid w:val="001B5321"/>
    <w:rsid w:val="001B566A"/>
    <w:rsid w:val="001B5CCB"/>
    <w:rsid w:val="001B6048"/>
    <w:rsid w:val="001B6076"/>
    <w:rsid w:val="001B6651"/>
    <w:rsid w:val="001B7017"/>
    <w:rsid w:val="001B7435"/>
    <w:rsid w:val="001B74BA"/>
    <w:rsid w:val="001B7BD5"/>
    <w:rsid w:val="001C00D1"/>
    <w:rsid w:val="001C0417"/>
    <w:rsid w:val="001C0DA3"/>
    <w:rsid w:val="001C127B"/>
    <w:rsid w:val="001C12B1"/>
    <w:rsid w:val="001C15F2"/>
    <w:rsid w:val="001C15F7"/>
    <w:rsid w:val="001C1712"/>
    <w:rsid w:val="001C1CEA"/>
    <w:rsid w:val="001C1D6D"/>
    <w:rsid w:val="001C24FB"/>
    <w:rsid w:val="001C280D"/>
    <w:rsid w:val="001C29DB"/>
    <w:rsid w:val="001C2A3C"/>
    <w:rsid w:val="001C2D67"/>
    <w:rsid w:val="001C3497"/>
    <w:rsid w:val="001C3834"/>
    <w:rsid w:val="001C3922"/>
    <w:rsid w:val="001C3EAD"/>
    <w:rsid w:val="001C3F39"/>
    <w:rsid w:val="001C3F6A"/>
    <w:rsid w:val="001C4736"/>
    <w:rsid w:val="001C49AA"/>
    <w:rsid w:val="001C4C3F"/>
    <w:rsid w:val="001C4E43"/>
    <w:rsid w:val="001C50C0"/>
    <w:rsid w:val="001C55E3"/>
    <w:rsid w:val="001C5ADF"/>
    <w:rsid w:val="001C5BB2"/>
    <w:rsid w:val="001C62D2"/>
    <w:rsid w:val="001C6A1B"/>
    <w:rsid w:val="001C6B8D"/>
    <w:rsid w:val="001C6D09"/>
    <w:rsid w:val="001C768D"/>
    <w:rsid w:val="001C7877"/>
    <w:rsid w:val="001C798C"/>
    <w:rsid w:val="001C7DBD"/>
    <w:rsid w:val="001C7E3C"/>
    <w:rsid w:val="001C7F82"/>
    <w:rsid w:val="001D01F0"/>
    <w:rsid w:val="001D0303"/>
    <w:rsid w:val="001D0898"/>
    <w:rsid w:val="001D0ED1"/>
    <w:rsid w:val="001D12B5"/>
    <w:rsid w:val="001D18B7"/>
    <w:rsid w:val="001D1CA8"/>
    <w:rsid w:val="001D323D"/>
    <w:rsid w:val="001D33A5"/>
    <w:rsid w:val="001D3FDB"/>
    <w:rsid w:val="001D4017"/>
    <w:rsid w:val="001D47FB"/>
    <w:rsid w:val="001D4B76"/>
    <w:rsid w:val="001D4B8D"/>
    <w:rsid w:val="001D4DCD"/>
    <w:rsid w:val="001D4F2A"/>
    <w:rsid w:val="001D5364"/>
    <w:rsid w:val="001D5551"/>
    <w:rsid w:val="001D57E4"/>
    <w:rsid w:val="001D6026"/>
    <w:rsid w:val="001D61A6"/>
    <w:rsid w:val="001D65DE"/>
    <w:rsid w:val="001D67DB"/>
    <w:rsid w:val="001D6960"/>
    <w:rsid w:val="001D6AE8"/>
    <w:rsid w:val="001D7BDE"/>
    <w:rsid w:val="001D7E6B"/>
    <w:rsid w:val="001E06F0"/>
    <w:rsid w:val="001E0DB0"/>
    <w:rsid w:val="001E0F8D"/>
    <w:rsid w:val="001E1435"/>
    <w:rsid w:val="001E1693"/>
    <w:rsid w:val="001E1D26"/>
    <w:rsid w:val="001E1F3B"/>
    <w:rsid w:val="001E28F8"/>
    <w:rsid w:val="001E2ACB"/>
    <w:rsid w:val="001E30B4"/>
    <w:rsid w:val="001E3390"/>
    <w:rsid w:val="001E346F"/>
    <w:rsid w:val="001E39CF"/>
    <w:rsid w:val="001E4288"/>
    <w:rsid w:val="001E430C"/>
    <w:rsid w:val="001E45E5"/>
    <w:rsid w:val="001E5659"/>
    <w:rsid w:val="001E565D"/>
    <w:rsid w:val="001E574F"/>
    <w:rsid w:val="001E5870"/>
    <w:rsid w:val="001E59AD"/>
    <w:rsid w:val="001E5DC5"/>
    <w:rsid w:val="001E5E0F"/>
    <w:rsid w:val="001E6535"/>
    <w:rsid w:val="001E678A"/>
    <w:rsid w:val="001E6EEA"/>
    <w:rsid w:val="001E7D30"/>
    <w:rsid w:val="001E7F6C"/>
    <w:rsid w:val="001F0B22"/>
    <w:rsid w:val="001F0BAD"/>
    <w:rsid w:val="001F0FC9"/>
    <w:rsid w:val="001F13C4"/>
    <w:rsid w:val="001F1572"/>
    <w:rsid w:val="001F16CB"/>
    <w:rsid w:val="001F1A53"/>
    <w:rsid w:val="001F1E98"/>
    <w:rsid w:val="001F2387"/>
    <w:rsid w:val="001F3885"/>
    <w:rsid w:val="001F3C68"/>
    <w:rsid w:val="001F3E5B"/>
    <w:rsid w:val="001F4046"/>
    <w:rsid w:val="001F4528"/>
    <w:rsid w:val="001F4538"/>
    <w:rsid w:val="001F51B0"/>
    <w:rsid w:val="001F540A"/>
    <w:rsid w:val="001F54BE"/>
    <w:rsid w:val="001F5766"/>
    <w:rsid w:val="001F5860"/>
    <w:rsid w:val="001F5DAF"/>
    <w:rsid w:val="001F5F02"/>
    <w:rsid w:val="001F5F8D"/>
    <w:rsid w:val="001F6C83"/>
    <w:rsid w:val="001F6F73"/>
    <w:rsid w:val="001F75A3"/>
    <w:rsid w:val="001F7C0C"/>
    <w:rsid w:val="00200564"/>
    <w:rsid w:val="002005F4"/>
    <w:rsid w:val="0020087E"/>
    <w:rsid w:val="00200980"/>
    <w:rsid w:val="00200A88"/>
    <w:rsid w:val="0020129B"/>
    <w:rsid w:val="0020159E"/>
    <w:rsid w:val="00201644"/>
    <w:rsid w:val="002018A0"/>
    <w:rsid w:val="00201A9C"/>
    <w:rsid w:val="002026D8"/>
    <w:rsid w:val="00203208"/>
    <w:rsid w:val="00203467"/>
    <w:rsid w:val="00203905"/>
    <w:rsid w:val="00203AEC"/>
    <w:rsid w:val="00203F7A"/>
    <w:rsid w:val="00203F7D"/>
    <w:rsid w:val="002041E5"/>
    <w:rsid w:val="002042C1"/>
    <w:rsid w:val="00204F6B"/>
    <w:rsid w:val="00205DC0"/>
    <w:rsid w:val="00205FCD"/>
    <w:rsid w:val="00206456"/>
    <w:rsid w:val="00206C46"/>
    <w:rsid w:val="00206DD9"/>
    <w:rsid w:val="002073D4"/>
    <w:rsid w:val="00207896"/>
    <w:rsid w:val="002079D9"/>
    <w:rsid w:val="00207A3C"/>
    <w:rsid w:val="00207A82"/>
    <w:rsid w:val="00207AE0"/>
    <w:rsid w:val="0021020E"/>
    <w:rsid w:val="0021040F"/>
    <w:rsid w:val="002104D9"/>
    <w:rsid w:val="002105AA"/>
    <w:rsid w:val="00210889"/>
    <w:rsid w:val="002108E6"/>
    <w:rsid w:val="0021098F"/>
    <w:rsid w:val="00210DB4"/>
    <w:rsid w:val="002110BF"/>
    <w:rsid w:val="0021151B"/>
    <w:rsid w:val="00211700"/>
    <w:rsid w:val="0021182B"/>
    <w:rsid w:val="002119B9"/>
    <w:rsid w:val="00212228"/>
    <w:rsid w:val="0021250B"/>
    <w:rsid w:val="00212E7C"/>
    <w:rsid w:val="002134D6"/>
    <w:rsid w:val="00213964"/>
    <w:rsid w:val="00213DCC"/>
    <w:rsid w:val="00213EAE"/>
    <w:rsid w:val="002142C1"/>
    <w:rsid w:val="002143CC"/>
    <w:rsid w:val="0021446F"/>
    <w:rsid w:val="00214747"/>
    <w:rsid w:val="00214BD9"/>
    <w:rsid w:val="00215C66"/>
    <w:rsid w:val="002166FC"/>
    <w:rsid w:val="00216B06"/>
    <w:rsid w:val="002170AF"/>
    <w:rsid w:val="0021729A"/>
    <w:rsid w:val="00217322"/>
    <w:rsid w:val="002177DD"/>
    <w:rsid w:val="002178CA"/>
    <w:rsid w:val="00217B5E"/>
    <w:rsid w:val="00217E9C"/>
    <w:rsid w:val="00217F62"/>
    <w:rsid w:val="00217FCA"/>
    <w:rsid w:val="00220007"/>
    <w:rsid w:val="00220117"/>
    <w:rsid w:val="002205ED"/>
    <w:rsid w:val="0022080D"/>
    <w:rsid w:val="00221187"/>
    <w:rsid w:val="00221433"/>
    <w:rsid w:val="00221B49"/>
    <w:rsid w:val="00221CB2"/>
    <w:rsid w:val="00222020"/>
    <w:rsid w:val="00222287"/>
    <w:rsid w:val="00222956"/>
    <w:rsid w:val="00222AF0"/>
    <w:rsid w:val="00222D96"/>
    <w:rsid w:val="00222F4C"/>
    <w:rsid w:val="002230E9"/>
    <w:rsid w:val="002234F8"/>
    <w:rsid w:val="002234FD"/>
    <w:rsid w:val="00223BC2"/>
    <w:rsid w:val="00224528"/>
    <w:rsid w:val="002249AE"/>
    <w:rsid w:val="002253B3"/>
    <w:rsid w:val="00225503"/>
    <w:rsid w:val="002259C9"/>
    <w:rsid w:val="00225A1D"/>
    <w:rsid w:val="00225BE7"/>
    <w:rsid w:val="00225FF3"/>
    <w:rsid w:val="002262D1"/>
    <w:rsid w:val="0022648E"/>
    <w:rsid w:val="00226885"/>
    <w:rsid w:val="002269BC"/>
    <w:rsid w:val="00226C99"/>
    <w:rsid w:val="00226F35"/>
    <w:rsid w:val="002278C5"/>
    <w:rsid w:val="00227B2E"/>
    <w:rsid w:val="00230009"/>
    <w:rsid w:val="0023129A"/>
    <w:rsid w:val="00231300"/>
    <w:rsid w:val="00231749"/>
    <w:rsid w:val="00231DB8"/>
    <w:rsid w:val="00231FCF"/>
    <w:rsid w:val="00232347"/>
    <w:rsid w:val="0023256F"/>
    <w:rsid w:val="002327EE"/>
    <w:rsid w:val="002329B4"/>
    <w:rsid w:val="002329D0"/>
    <w:rsid w:val="00232DEE"/>
    <w:rsid w:val="00233281"/>
    <w:rsid w:val="00233AA0"/>
    <w:rsid w:val="00233E2E"/>
    <w:rsid w:val="002342A7"/>
    <w:rsid w:val="0023439A"/>
    <w:rsid w:val="00234681"/>
    <w:rsid w:val="00234C0E"/>
    <w:rsid w:val="00234C77"/>
    <w:rsid w:val="00234EDF"/>
    <w:rsid w:val="00235255"/>
    <w:rsid w:val="00235C58"/>
    <w:rsid w:val="00235E1C"/>
    <w:rsid w:val="002361FC"/>
    <w:rsid w:val="0023687B"/>
    <w:rsid w:val="00236BD4"/>
    <w:rsid w:val="00237268"/>
    <w:rsid w:val="002376B2"/>
    <w:rsid w:val="00237F16"/>
    <w:rsid w:val="002403A0"/>
    <w:rsid w:val="002404A6"/>
    <w:rsid w:val="0024096E"/>
    <w:rsid w:val="00240B01"/>
    <w:rsid w:val="00240BE5"/>
    <w:rsid w:val="00241380"/>
    <w:rsid w:val="00241562"/>
    <w:rsid w:val="002415BF"/>
    <w:rsid w:val="002419ED"/>
    <w:rsid w:val="00241A7E"/>
    <w:rsid w:val="00241B55"/>
    <w:rsid w:val="00242385"/>
    <w:rsid w:val="002428A9"/>
    <w:rsid w:val="00242A75"/>
    <w:rsid w:val="00242D4D"/>
    <w:rsid w:val="00243A9E"/>
    <w:rsid w:val="00243B6D"/>
    <w:rsid w:val="00244598"/>
    <w:rsid w:val="002446AE"/>
    <w:rsid w:val="00244957"/>
    <w:rsid w:val="00244B88"/>
    <w:rsid w:val="0024516A"/>
    <w:rsid w:val="00245E22"/>
    <w:rsid w:val="00246575"/>
    <w:rsid w:val="002467B3"/>
    <w:rsid w:val="00246866"/>
    <w:rsid w:val="002469CF"/>
    <w:rsid w:val="00246A70"/>
    <w:rsid w:val="0024707C"/>
    <w:rsid w:val="002476DE"/>
    <w:rsid w:val="00247871"/>
    <w:rsid w:val="002478DF"/>
    <w:rsid w:val="00247B2B"/>
    <w:rsid w:val="00250144"/>
    <w:rsid w:val="002503BB"/>
    <w:rsid w:val="00250CFE"/>
    <w:rsid w:val="00250DAE"/>
    <w:rsid w:val="002528DD"/>
    <w:rsid w:val="00252AB5"/>
    <w:rsid w:val="0025328E"/>
    <w:rsid w:val="0025330D"/>
    <w:rsid w:val="002536B8"/>
    <w:rsid w:val="00253A77"/>
    <w:rsid w:val="00254887"/>
    <w:rsid w:val="00254A50"/>
    <w:rsid w:val="0025503A"/>
    <w:rsid w:val="002551D8"/>
    <w:rsid w:val="00255668"/>
    <w:rsid w:val="0025593E"/>
    <w:rsid w:val="00255BB0"/>
    <w:rsid w:val="00255C1B"/>
    <w:rsid w:val="00255ECB"/>
    <w:rsid w:val="00256222"/>
    <w:rsid w:val="00256D66"/>
    <w:rsid w:val="002570E6"/>
    <w:rsid w:val="002572AB"/>
    <w:rsid w:val="002572F2"/>
    <w:rsid w:val="00257AE5"/>
    <w:rsid w:val="002603CB"/>
    <w:rsid w:val="0026050E"/>
    <w:rsid w:val="00260948"/>
    <w:rsid w:val="00261908"/>
    <w:rsid w:val="0026192A"/>
    <w:rsid w:val="002623F6"/>
    <w:rsid w:val="0026245F"/>
    <w:rsid w:val="00262C2B"/>
    <w:rsid w:val="00262D76"/>
    <w:rsid w:val="00262E37"/>
    <w:rsid w:val="00263193"/>
    <w:rsid w:val="0026350B"/>
    <w:rsid w:val="00263515"/>
    <w:rsid w:val="0026395F"/>
    <w:rsid w:val="00263C38"/>
    <w:rsid w:val="00264461"/>
    <w:rsid w:val="002646AD"/>
    <w:rsid w:val="00264734"/>
    <w:rsid w:val="00264AD6"/>
    <w:rsid w:val="00264CF2"/>
    <w:rsid w:val="002652EE"/>
    <w:rsid w:val="00265395"/>
    <w:rsid w:val="00265BB2"/>
    <w:rsid w:val="00265BF2"/>
    <w:rsid w:val="00266797"/>
    <w:rsid w:val="002667C0"/>
    <w:rsid w:val="00267185"/>
    <w:rsid w:val="00267378"/>
    <w:rsid w:val="0027013F"/>
    <w:rsid w:val="002703C6"/>
    <w:rsid w:val="002705FA"/>
    <w:rsid w:val="00270D97"/>
    <w:rsid w:val="00270E81"/>
    <w:rsid w:val="00270EC8"/>
    <w:rsid w:val="00271582"/>
    <w:rsid w:val="00271A45"/>
    <w:rsid w:val="00271B4B"/>
    <w:rsid w:val="002726F5"/>
    <w:rsid w:val="00272AE0"/>
    <w:rsid w:val="00272B7C"/>
    <w:rsid w:val="00272E75"/>
    <w:rsid w:val="00272EC4"/>
    <w:rsid w:val="00272F43"/>
    <w:rsid w:val="002733D4"/>
    <w:rsid w:val="00273735"/>
    <w:rsid w:val="00273EB0"/>
    <w:rsid w:val="00274B51"/>
    <w:rsid w:val="00274C7F"/>
    <w:rsid w:val="00274D96"/>
    <w:rsid w:val="0027518A"/>
    <w:rsid w:val="00275CB4"/>
    <w:rsid w:val="00276115"/>
    <w:rsid w:val="00276414"/>
    <w:rsid w:val="00276435"/>
    <w:rsid w:val="0027663C"/>
    <w:rsid w:val="0027690A"/>
    <w:rsid w:val="00276B5B"/>
    <w:rsid w:val="00276E75"/>
    <w:rsid w:val="0027722B"/>
    <w:rsid w:val="00277757"/>
    <w:rsid w:val="0027787E"/>
    <w:rsid w:val="002779B5"/>
    <w:rsid w:val="00280A2A"/>
    <w:rsid w:val="00280A4B"/>
    <w:rsid w:val="00281375"/>
    <w:rsid w:val="002816F9"/>
    <w:rsid w:val="00282051"/>
    <w:rsid w:val="002826E8"/>
    <w:rsid w:val="00282F88"/>
    <w:rsid w:val="002836EC"/>
    <w:rsid w:val="00284A27"/>
    <w:rsid w:val="00284E76"/>
    <w:rsid w:val="002859B9"/>
    <w:rsid w:val="00285A8B"/>
    <w:rsid w:val="00285D64"/>
    <w:rsid w:val="00286362"/>
    <w:rsid w:val="00286496"/>
    <w:rsid w:val="002865E8"/>
    <w:rsid w:val="0028676D"/>
    <w:rsid w:val="00286E07"/>
    <w:rsid w:val="00287572"/>
    <w:rsid w:val="00287656"/>
    <w:rsid w:val="00287CAB"/>
    <w:rsid w:val="00287F52"/>
    <w:rsid w:val="002900FC"/>
    <w:rsid w:val="00290121"/>
    <w:rsid w:val="00290775"/>
    <w:rsid w:val="00290821"/>
    <w:rsid w:val="00290E0D"/>
    <w:rsid w:val="00290F71"/>
    <w:rsid w:val="00291082"/>
    <w:rsid w:val="002915E9"/>
    <w:rsid w:val="0029167E"/>
    <w:rsid w:val="00291E16"/>
    <w:rsid w:val="002920B1"/>
    <w:rsid w:val="00292519"/>
    <w:rsid w:val="00292725"/>
    <w:rsid w:val="0029287B"/>
    <w:rsid w:val="002934BC"/>
    <w:rsid w:val="002936FA"/>
    <w:rsid w:val="0029378F"/>
    <w:rsid w:val="002939C8"/>
    <w:rsid w:val="002942C0"/>
    <w:rsid w:val="0029487F"/>
    <w:rsid w:val="00294AA5"/>
    <w:rsid w:val="00294BBD"/>
    <w:rsid w:val="00294DC7"/>
    <w:rsid w:val="00294E08"/>
    <w:rsid w:val="00294EBB"/>
    <w:rsid w:val="0029662D"/>
    <w:rsid w:val="00297151"/>
    <w:rsid w:val="002975EC"/>
    <w:rsid w:val="00297AC9"/>
    <w:rsid w:val="00297DE1"/>
    <w:rsid w:val="00297E42"/>
    <w:rsid w:val="002A0592"/>
    <w:rsid w:val="002A0A28"/>
    <w:rsid w:val="002A0FEB"/>
    <w:rsid w:val="002A1512"/>
    <w:rsid w:val="002A17B5"/>
    <w:rsid w:val="002A195E"/>
    <w:rsid w:val="002A19C8"/>
    <w:rsid w:val="002A1B33"/>
    <w:rsid w:val="002A206E"/>
    <w:rsid w:val="002A22E4"/>
    <w:rsid w:val="002A2591"/>
    <w:rsid w:val="002A25D6"/>
    <w:rsid w:val="002A2746"/>
    <w:rsid w:val="002A2A08"/>
    <w:rsid w:val="002A2BA2"/>
    <w:rsid w:val="002A350B"/>
    <w:rsid w:val="002A37C7"/>
    <w:rsid w:val="002A3A5B"/>
    <w:rsid w:val="002A3F7D"/>
    <w:rsid w:val="002A41B0"/>
    <w:rsid w:val="002A454B"/>
    <w:rsid w:val="002A49C4"/>
    <w:rsid w:val="002A4C49"/>
    <w:rsid w:val="002A5012"/>
    <w:rsid w:val="002A52CF"/>
    <w:rsid w:val="002A5531"/>
    <w:rsid w:val="002A5580"/>
    <w:rsid w:val="002A5990"/>
    <w:rsid w:val="002A5C72"/>
    <w:rsid w:val="002A61EA"/>
    <w:rsid w:val="002A65A1"/>
    <w:rsid w:val="002A6621"/>
    <w:rsid w:val="002A679E"/>
    <w:rsid w:val="002A692B"/>
    <w:rsid w:val="002A6E4A"/>
    <w:rsid w:val="002A747B"/>
    <w:rsid w:val="002A775F"/>
    <w:rsid w:val="002A7B42"/>
    <w:rsid w:val="002A7DCF"/>
    <w:rsid w:val="002A7FE7"/>
    <w:rsid w:val="002B030C"/>
    <w:rsid w:val="002B0364"/>
    <w:rsid w:val="002B0625"/>
    <w:rsid w:val="002B10A5"/>
    <w:rsid w:val="002B1516"/>
    <w:rsid w:val="002B1642"/>
    <w:rsid w:val="002B18EC"/>
    <w:rsid w:val="002B1940"/>
    <w:rsid w:val="002B1A6F"/>
    <w:rsid w:val="002B20D7"/>
    <w:rsid w:val="002B2883"/>
    <w:rsid w:val="002B28E1"/>
    <w:rsid w:val="002B2922"/>
    <w:rsid w:val="002B29A6"/>
    <w:rsid w:val="002B2D0A"/>
    <w:rsid w:val="002B334E"/>
    <w:rsid w:val="002B358A"/>
    <w:rsid w:val="002B3B44"/>
    <w:rsid w:val="002B4107"/>
    <w:rsid w:val="002B43C4"/>
    <w:rsid w:val="002B45C4"/>
    <w:rsid w:val="002B4A1D"/>
    <w:rsid w:val="002B4D7A"/>
    <w:rsid w:val="002B4DED"/>
    <w:rsid w:val="002B5020"/>
    <w:rsid w:val="002B56BC"/>
    <w:rsid w:val="002B5BBB"/>
    <w:rsid w:val="002B61C1"/>
    <w:rsid w:val="002B63B0"/>
    <w:rsid w:val="002B63D4"/>
    <w:rsid w:val="002B6467"/>
    <w:rsid w:val="002B683E"/>
    <w:rsid w:val="002B68DE"/>
    <w:rsid w:val="002B7483"/>
    <w:rsid w:val="002B7B57"/>
    <w:rsid w:val="002C002D"/>
    <w:rsid w:val="002C05D4"/>
    <w:rsid w:val="002C0FDD"/>
    <w:rsid w:val="002C10B7"/>
    <w:rsid w:val="002C114E"/>
    <w:rsid w:val="002C13BF"/>
    <w:rsid w:val="002C16FB"/>
    <w:rsid w:val="002C183C"/>
    <w:rsid w:val="002C1988"/>
    <w:rsid w:val="002C1D81"/>
    <w:rsid w:val="002C234C"/>
    <w:rsid w:val="002C32C0"/>
    <w:rsid w:val="002C3653"/>
    <w:rsid w:val="002C396B"/>
    <w:rsid w:val="002C4423"/>
    <w:rsid w:val="002C44D3"/>
    <w:rsid w:val="002C4720"/>
    <w:rsid w:val="002C4939"/>
    <w:rsid w:val="002C4AA3"/>
    <w:rsid w:val="002C535D"/>
    <w:rsid w:val="002C547A"/>
    <w:rsid w:val="002C5946"/>
    <w:rsid w:val="002C5A82"/>
    <w:rsid w:val="002C5AB7"/>
    <w:rsid w:val="002C5DB3"/>
    <w:rsid w:val="002C65DA"/>
    <w:rsid w:val="002C696C"/>
    <w:rsid w:val="002C697B"/>
    <w:rsid w:val="002C6B1D"/>
    <w:rsid w:val="002D04A7"/>
    <w:rsid w:val="002D05BB"/>
    <w:rsid w:val="002D0797"/>
    <w:rsid w:val="002D07F2"/>
    <w:rsid w:val="002D0FA2"/>
    <w:rsid w:val="002D131F"/>
    <w:rsid w:val="002D133D"/>
    <w:rsid w:val="002D2275"/>
    <w:rsid w:val="002D2294"/>
    <w:rsid w:val="002D26B5"/>
    <w:rsid w:val="002D293A"/>
    <w:rsid w:val="002D2B08"/>
    <w:rsid w:val="002D2CE1"/>
    <w:rsid w:val="002D355C"/>
    <w:rsid w:val="002D38FC"/>
    <w:rsid w:val="002D3926"/>
    <w:rsid w:val="002D3AAB"/>
    <w:rsid w:val="002D4CA8"/>
    <w:rsid w:val="002D4F2C"/>
    <w:rsid w:val="002D50A4"/>
    <w:rsid w:val="002D5A44"/>
    <w:rsid w:val="002D5D1F"/>
    <w:rsid w:val="002D5DD1"/>
    <w:rsid w:val="002D6068"/>
    <w:rsid w:val="002D6B5A"/>
    <w:rsid w:val="002D6F59"/>
    <w:rsid w:val="002D7050"/>
    <w:rsid w:val="002D796C"/>
    <w:rsid w:val="002D7B2B"/>
    <w:rsid w:val="002D7D14"/>
    <w:rsid w:val="002E00EC"/>
    <w:rsid w:val="002E0542"/>
    <w:rsid w:val="002E076F"/>
    <w:rsid w:val="002E07C9"/>
    <w:rsid w:val="002E0E4E"/>
    <w:rsid w:val="002E0FB4"/>
    <w:rsid w:val="002E1175"/>
    <w:rsid w:val="002E13F7"/>
    <w:rsid w:val="002E14AF"/>
    <w:rsid w:val="002E196B"/>
    <w:rsid w:val="002E1FBD"/>
    <w:rsid w:val="002E2457"/>
    <w:rsid w:val="002E2868"/>
    <w:rsid w:val="002E2A0A"/>
    <w:rsid w:val="002E2B39"/>
    <w:rsid w:val="002E2EE2"/>
    <w:rsid w:val="002E2FC5"/>
    <w:rsid w:val="002E32AE"/>
    <w:rsid w:val="002E338B"/>
    <w:rsid w:val="002E33CC"/>
    <w:rsid w:val="002E3434"/>
    <w:rsid w:val="002E383F"/>
    <w:rsid w:val="002E3B5E"/>
    <w:rsid w:val="002E3DEE"/>
    <w:rsid w:val="002E3FEE"/>
    <w:rsid w:val="002E40F7"/>
    <w:rsid w:val="002E418F"/>
    <w:rsid w:val="002E41A7"/>
    <w:rsid w:val="002E41C0"/>
    <w:rsid w:val="002E4506"/>
    <w:rsid w:val="002E4A3A"/>
    <w:rsid w:val="002E5395"/>
    <w:rsid w:val="002E5D08"/>
    <w:rsid w:val="002E638C"/>
    <w:rsid w:val="002E695F"/>
    <w:rsid w:val="002E7119"/>
    <w:rsid w:val="002E73D6"/>
    <w:rsid w:val="002E7523"/>
    <w:rsid w:val="002E752D"/>
    <w:rsid w:val="002E7A7B"/>
    <w:rsid w:val="002E7AFC"/>
    <w:rsid w:val="002E7F1D"/>
    <w:rsid w:val="002F010C"/>
    <w:rsid w:val="002F01CA"/>
    <w:rsid w:val="002F03C0"/>
    <w:rsid w:val="002F0663"/>
    <w:rsid w:val="002F09F1"/>
    <w:rsid w:val="002F0C08"/>
    <w:rsid w:val="002F152B"/>
    <w:rsid w:val="002F1CD9"/>
    <w:rsid w:val="002F203B"/>
    <w:rsid w:val="002F23CF"/>
    <w:rsid w:val="002F2FC5"/>
    <w:rsid w:val="002F3C0D"/>
    <w:rsid w:val="002F41C1"/>
    <w:rsid w:val="002F46A6"/>
    <w:rsid w:val="002F4763"/>
    <w:rsid w:val="002F4E08"/>
    <w:rsid w:val="002F50AB"/>
    <w:rsid w:val="002F5497"/>
    <w:rsid w:val="002F5963"/>
    <w:rsid w:val="002F5C34"/>
    <w:rsid w:val="002F5F50"/>
    <w:rsid w:val="002F61E4"/>
    <w:rsid w:val="002F6D94"/>
    <w:rsid w:val="002F7159"/>
    <w:rsid w:val="002F71CB"/>
    <w:rsid w:val="002F7319"/>
    <w:rsid w:val="002F74F6"/>
    <w:rsid w:val="002F755E"/>
    <w:rsid w:val="002F759F"/>
    <w:rsid w:val="002F75ED"/>
    <w:rsid w:val="002F7709"/>
    <w:rsid w:val="002F7EB1"/>
    <w:rsid w:val="002F7F62"/>
    <w:rsid w:val="00300338"/>
    <w:rsid w:val="00300412"/>
    <w:rsid w:val="00300623"/>
    <w:rsid w:val="00300A47"/>
    <w:rsid w:val="00300C5F"/>
    <w:rsid w:val="00300E43"/>
    <w:rsid w:val="00301173"/>
    <w:rsid w:val="00301609"/>
    <w:rsid w:val="00301665"/>
    <w:rsid w:val="0030194C"/>
    <w:rsid w:val="00302752"/>
    <w:rsid w:val="003028AC"/>
    <w:rsid w:val="00302F49"/>
    <w:rsid w:val="00302F86"/>
    <w:rsid w:val="00303332"/>
    <w:rsid w:val="0030338C"/>
    <w:rsid w:val="00303FF8"/>
    <w:rsid w:val="003043D0"/>
    <w:rsid w:val="003048BE"/>
    <w:rsid w:val="00304B57"/>
    <w:rsid w:val="00305119"/>
    <w:rsid w:val="003057BE"/>
    <w:rsid w:val="00305FD0"/>
    <w:rsid w:val="00306032"/>
    <w:rsid w:val="003060B9"/>
    <w:rsid w:val="003065CB"/>
    <w:rsid w:val="00306D88"/>
    <w:rsid w:val="00307327"/>
    <w:rsid w:val="003075CF"/>
    <w:rsid w:val="00307601"/>
    <w:rsid w:val="00307BAB"/>
    <w:rsid w:val="00307E08"/>
    <w:rsid w:val="003100B7"/>
    <w:rsid w:val="00310134"/>
    <w:rsid w:val="00310931"/>
    <w:rsid w:val="00310CBB"/>
    <w:rsid w:val="00310EAD"/>
    <w:rsid w:val="00310F96"/>
    <w:rsid w:val="00311E29"/>
    <w:rsid w:val="00311F72"/>
    <w:rsid w:val="003120E6"/>
    <w:rsid w:val="003123F3"/>
    <w:rsid w:val="0031292C"/>
    <w:rsid w:val="00312AB1"/>
    <w:rsid w:val="00312D13"/>
    <w:rsid w:val="00312DB5"/>
    <w:rsid w:val="00313DCC"/>
    <w:rsid w:val="00313DE6"/>
    <w:rsid w:val="00313F6B"/>
    <w:rsid w:val="00313FC2"/>
    <w:rsid w:val="00314AE0"/>
    <w:rsid w:val="00314F7F"/>
    <w:rsid w:val="0031526A"/>
    <w:rsid w:val="0031532D"/>
    <w:rsid w:val="0031548B"/>
    <w:rsid w:val="0031576B"/>
    <w:rsid w:val="00315975"/>
    <w:rsid w:val="00316096"/>
    <w:rsid w:val="00316213"/>
    <w:rsid w:val="0031621E"/>
    <w:rsid w:val="00316480"/>
    <w:rsid w:val="00316490"/>
    <w:rsid w:val="00316864"/>
    <w:rsid w:val="00316A7F"/>
    <w:rsid w:val="00316C18"/>
    <w:rsid w:val="00317701"/>
    <w:rsid w:val="00317735"/>
    <w:rsid w:val="00317CFF"/>
    <w:rsid w:val="00317D86"/>
    <w:rsid w:val="00317E94"/>
    <w:rsid w:val="00317EF6"/>
    <w:rsid w:val="003204E8"/>
    <w:rsid w:val="003205B5"/>
    <w:rsid w:val="00320630"/>
    <w:rsid w:val="00320B8D"/>
    <w:rsid w:val="00320BEE"/>
    <w:rsid w:val="00320C13"/>
    <w:rsid w:val="00321386"/>
    <w:rsid w:val="00321F95"/>
    <w:rsid w:val="003221AC"/>
    <w:rsid w:val="00322308"/>
    <w:rsid w:val="0032250F"/>
    <w:rsid w:val="0032293E"/>
    <w:rsid w:val="00322ADF"/>
    <w:rsid w:val="00322C29"/>
    <w:rsid w:val="00322CFB"/>
    <w:rsid w:val="00322E39"/>
    <w:rsid w:val="00323520"/>
    <w:rsid w:val="00323A56"/>
    <w:rsid w:val="00323E5B"/>
    <w:rsid w:val="00323EE0"/>
    <w:rsid w:val="00324CA2"/>
    <w:rsid w:val="00325318"/>
    <w:rsid w:val="0032581A"/>
    <w:rsid w:val="0032594A"/>
    <w:rsid w:val="003259DB"/>
    <w:rsid w:val="00327331"/>
    <w:rsid w:val="00327F92"/>
    <w:rsid w:val="003305AA"/>
    <w:rsid w:val="003305EB"/>
    <w:rsid w:val="00330744"/>
    <w:rsid w:val="003307D2"/>
    <w:rsid w:val="003308C0"/>
    <w:rsid w:val="00330AE5"/>
    <w:rsid w:val="003310B8"/>
    <w:rsid w:val="00331155"/>
    <w:rsid w:val="00331172"/>
    <w:rsid w:val="0033162A"/>
    <w:rsid w:val="00331F30"/>
    <w:rsid w:val="0033212B"/>
    <w:rsid w:val="00332261"/>
    <w:rsid w:val="00332499"/>
    <w:rsid w:val="00333345"/>
    <w:rsid w:val="00333510"/>
    <w:rsid w:val="003336D1"/>
    <w:rsid w:val="00333874"/>
    <w:rsid w:val="00333A43"/>
    <w:rsid w:val="00333A8C"/>
    <w:rsid w:val="00333D0F"/>
    <w:rsid w:val="00333F10"/>
    <w:rsid w:val="00334A6B"/>
    <w:rsid w:val="00334ADD"/>
    <w:rsid w:val="00334F6F"/>
    <w:rsid w:val="003352A1"/>
    <w:rsid w:val="0033570E"/>
    <w:rsid w:val="0033584F"/>
    <w:rsid w:val="003364C3"/>
    <w:rsid w:val="00336A81"/>
    <w:rsid w:val="00336C11"/>
    <w:rsid w:val="00336EEA"/>
    <w:rsid w:val="003373B4"/>
    <w:rsid w:val="00337891"/>
    <w:rsid w:val="003379F5"/>
    <w:rsid w:val="00337E77"/>
    <w:rsid w:val="00337FAE"/>
    <w:rsid w:val="00340760"/>
    <w:rsid w:val="003407D9"/>
    <w:rsid w:val="00340993"/>
    <w:rsid w:val="00340B66"/>
    <w:rsid w:val="00340D96"/>
    <w:rsid w:val="00341039"/>
    <w:rsid w:val="003413A4"/>
    <w:rsid w:val="0034141E"/>
    <w:rsid w:val="003416DD"/>
    <w:rsid w:val="003417D4"/>
    <w:rsid w:val="0034247B"/>
    <w:rsid w:val="0034267C"/>
    <w:rsid w:val="00342FC1"/>
    <w:rsid w:val="003433E5"/>
    <w:rsid w:val="003434D0"/>
    <w:rsid w:val="003441FB"/>
    <w:rsid w:val="00344248"/>
    <w:rsid w:val="00344803"/>
    <w:rsid w:val="00344AAB"/>
    <w:rsid w:val="00344E75"/>
    <w:rsid w:val="00345045"/>
    <w:rsid w:val="00345132"/>
    <w:rsid w:val="003451A2"/>
    <w:rsid w:val="00345320"/>
    <w:rsid w:val="003463F7"/>
    <w:rsid w:val="003466A5"/>
    <w:rsid w:val="00346B55"/>
    <w:rsid w:val="00346FCB"/>
    <w:rsid w:val="0034720C"/>
    <w:rsid w:val="00347242"/>
    <w:rsid w:val="003473D0"/>
    <w:rsid w:val="00347657"/>
    <w:rsid w:val="003477E0"/>
    <w:rsid w:val="003477EA"/>
    <w:rsid w:val="00347E44"/>
    <w:rsid w:val="003501AC"/>
    <w:rsid w:val="0035060F"/>
    <w:rsid w:val="003506B9"/>
    <w:rsid w:val="00350A0F"/>
    <w:rsid w:val="00350A36"/>
    <w:rsid w:val="00350ED2"/>
    <w:rsid w:val="0035292D"/>
    <w:rsid w:val="00352C1B"/>
    <w:rsid w:val="00353044"/>
    <w:rsid w:val="00353266"/>
    <w:rsid w:val="003537C3"/>
    <w:rsid w:val="00354490"/>
    <w:rsid w:val="00354581"/>
    <w:rsid w:val="003546B1"/>
    <w:rsid w:val="00354B17"/>
    <w:rsid w:val="00354B35"/>
    <w:rsid w:val="00354B4E"/>
    <w:rsid w:val="00354CA4"/>
    <w:rsid w:val="00354EE4"/>
    <w:rsid w:val="0035504C"/>
    <w:rsid w:val="003552E7"/>
    <w:rsid w:val="0035548D"/>
    <w:rsid w:val="003555A1"/>
    <w:rsid w:val="0035648B"/>
    <w:rsid w:val="0035663C"/>
    <w:rsid w:val="0035772A"/>
    <w:rsid w:val="00357FE3"/>
    <w:rsid w:val="00360273"/>
    <w:rsid w:val="003602C8"/>
    <w:rsid w:val="003603F9"/>
    <w:rsid w:val="00360BF8"/>
    <w:rsid w:val="00361477"/>
    <w:rsid w:val="00361A04"/>
    <w:rsid w:val="00362096"/>
    <w:rsid w:val="0036285C"/>
    <w:rsid w:val="0036321E"/>
    <w:rsid w:val="00363231"/>
    <w:rsid w:val="003632F0"/>
    <w:rsid w:val="0036343E"/>
    <w:rsid w:val="0036368B"/>
    <w:rsid w:val="00363D7B"/>
    <w:rsid w:val="003643CC"/>
    <w:rsid w:val="00364473"/>
    <w:rsid w:val="0036463F"/>
    <w:rsid w:val="003646F0"/>
    <w:rsid w:val="00364CD0"/>
    <w:rsid w:val="00366720"/>
    <w:rsid w:val="00366DEB"/>
    <w:rsid w:val="00367023"/>
    <w:rsid w:val="00367104"/>
    <w:rsid w:val="00367231"/>
    <w:rsid w:val="00367657"/>
    <w:rsid w:val="0036790A"/>
    <w:rsid w:val="00367ADC"/>
    <w:rsid w:val="00367C66"/>
    <w:rsid w:val="00367D5E"/>
    <w:rsid w:val="00367FA9"/>
    <w:rsid w:val="003706B9"/>
    <w:rsid w:val="0037096A"/>
    <w:rsid w:val="00370E90"/>
    <w:rsid w:val="0037105B"/>
    <w:rsid w:val="0037121F"/>
    <w:rsid w:val="00371D24"/>
    <w:rsid w:val="00371F02"/>
    <w:rsid w:val="00372955"/>
    <w:rsid w:val="00372A0A"/>
    <w:rsid w:val="00372AC9"/>
    <w:rsid w:val="00373440"/>
    <w:rsid w:val="0037368E"/>
    <w:rsid w:val="00373F16"/>
    <w:rsid w:val="0037414E"/>
    <w:rsid w:val="00374700"/>
    <w:rsid w:val="00374A96"/>
    <w:rsid w:val="00374AF1"/>
    <w:rsid w:val="00374ED4"/>
    <w:rsid w:val="003755F3"/>
    <w:rsid w:val="0037564B"/>
    <w:rsid w:val="00375898"/>
    <w:rsid w:val="00376CE6"/>
    <w:rsid w:val="00376CFE"/>
    <w:rsid w:val="003778A8"/>
    <w:rsid w:val="0037795D"/>
    <w:rsid w:val="00380030"/>
    <w:rsid w:val="00380414"/>
    <w:rsid w:val="00380AE3"/>
    <w:rsid w:val="0038188E"/>
    <w:rsid w:val="0038220A"/>
    <w:rsid w:val="0038223D"/>
    <w:rsid w:val="003823BD"/>
    <w:rsid w:val="003826A6"/>
    <w:rsid w:val="003828F6"/>
    <w:rsid w:val="00382A1F"/>
    <w:rsid w:val="003846E4"/>
    <w:rsid w:val="00384B24"/>
    <w:rsid w:val="00384C73"/>
    <w:rsid w:val="003856E1"/>
    <w:rsid w:val="003857C1"/>
    <w:rsid w:val="003858CE"/>
    <w:rsid w:val="003858E6"/>
    <w:rsid w:val="00385D8A"/>
    <w:rsid w:val="0038632F"/>
    <w:rsid w:val="00386659"/>
    <w:rsid w:val="00386B68"/>
    <w:rsid w:val="0038721D"/>
    <w:rsid w:val="0038777B"/>
    <w:rsid w:val="003878D7"/>
    <w:rsid w:val="00387B33"/>
    <w:rsid w:val="0039006C"/>
    <w:rsid w:val="00390A04"/>
    <w:rsid w:val="00390B14"/>
    <w:rsid w:val="003913BE"/>
    <w:rsid w:val="00391988"/>
    <w:rsid w:val="00391BFC"/>
    <w:rsid w:val="00391E1D"/>
    <w:rsid w:val="00392661"/>
    <w:rsid w:val="003929EF"/>
    <w:rsid w:val="00392FF7"/>
    <w:rsid w:val="00393071"/>
    <w:rsid w:val="003939A9"/>
    <w:rsid w:val="00393A78"/>
    <w:rsid w:val="00393B93"/>
    <w:rsid w:val="00393C62"/>
    <w:rsid w:val="003948B9"/>
    <w:rsid w:val="00394D55"/>
    <w:rsid w:val="003955C1"/>
    <w:rsid w:val="003957DD"/>
    <w:rsid w:val="00395996"/>
    <w:rsid w:val="00395F01"/>
    <w:rsid w:val="00396438"/>
    <w:rsid w:val="003964A0"/>
    <w:rsid w:val="00396618"/>
    <w:rsid w:val="00396A2C"/>
    <w:rsid w:val="00396ECD"/>
    <w:rsid w:val="003979C0"/>
    <w:rsid w:val="00397D6C"/>
    <w:rsid w:val="00397F6C"/>
    <w:rsid w:val="00397FDA"/>
    <w:rsid w:val="003A104A"/>
    <w:rsid w:val="003A1470"/>
    <w:rsid w:val="003A19C6"/>
    <w:rsid w:val="003A1A80"/>
    <w:rsid w:val="003A2385"/>
    <w:rsid w:val="003A2F38"/>
    <w:rsid w:val="003A303F"/>
    <w:rsid w:val="003A3A33"/>
    <w:rsid w:val="003A3A5A"/>
    <w:rsid w:val="003A4548"/>
    <w:rsid w:val="003A4569"/>
    <w:rsid w:val="003A4ACC"/>
    <w:rsid w:val="003A4CB5"/>
    <w:rsid w:val="003A4FF1"/>
    <w:rsid w:val="003A54DE"/>
    <w:rsid w:val="003A5DE4"/>
    <w:rsid w:val="003A61C3"/>
    <w:rsid w:val="003A6203"/>
    <w:rsid w:val="003A6426"/>
    <w:rsid w:val="003A6845"/>
    <w:rsid w:val="003A6CB8"/>
    <w:rsid w:val="003A7231"/>
    <w:rsid w:val="003A7359"/>
    <w:rsid w:val="003A7533"/>
    <w:rsid w:val="003A775D"/>
    <w:rsid w:val="003A7788"/>
    <w:rsid w:val="003A7BC2"/>
    <w:rsid w:val="003A7FFB"/>
    <w:rsid w:val="003B0117"/>
    <w:rsid w:val="003B0340"/>
    <w:rsid w:val="003B05B5"/>
    <w:rsid w:val="003B08C2"/>
    <w:rsid w:val="003B0DB9"/>
    <w:rsid w:val="003B15C5"/>
    <w:rsid w:val="003B1731"/>
    <w:rsid w:val="003B1B52"/>
    <w:rsid w:val="003B1C0C"/>
    <w:rsid w:val="003B1CC8"/>
    <w:rsid w:val="003B1F41"/>
    <w:rsid w:val="003B1F65"/>
    <w:rsid w:val="003B1F9E"/>
    <w:rsid w:val="003B1FB5"/>
    <w:rsid w:val="003B244B"/>
    <w:rsid w:val="003B27BF"/>
    <w:rsid w:val="003B2C07"/>
    <w:rsid w:val="003B2E83"/>
    <w:rsid w:val="003B2EAC"/>
    <w:rsid w:val="003B3212"/>
    <w:rsid w:val="003B32D6"/>
    <w:rsid w:val="003B38CD"/>
    <w:rsid w:val="003B3D40"/>
    <w:rsid w:val="003B4146"/>
    <w:rsid w:val="003B420C"/>
    <w:rsid w:val="003B430D"/>
    <w:rsid w:val="003B4337"/>
    <w:rsid w:val="003B441B"/>
    <w:rsid w:val="003B4755"/>
    <w:rsid w:val="003B4765"/>
    <w:rsid w:val="003B50A3"/>
    <w:rsid w:val="003B5110"/>
    <w:rsid w:val="003B5154"/>
    <w:rsid w:val="003B5265"/>
    <w:rsid w:val="003B569A"/>
    <w:rsid w:val="003B5885"/>
    <w:rsid w:val="003B5AA6"/>
    <w:rsid w:val="003B5D94"/>
    <w:rsid w:val="003B5F43"/>
    <w:rsid w:val="003B6C2E"/>
    <w:rsid w:val="003B71F7"/>
    <w:rsid w:val="003B73B3"/>
    <w:rsid w:val="003B75FF"/>
    <w:rsid w:val="003C038C"/>
    <w:rsid w:val="003C0701"/>
    <w:rsid w:val="003C0853"/>
    <w:rsid w:val="003C0A8E"/>
    <w:rsid w:val="003C0ABE"/>
    <w:rsid w:val="003C0BBA"/>
    <w:rsid w:val="003C0BE7"/>
    <w:rsid w:val="003C0E40"/>
    <w:rsid w:val="003C0EF6"/>
    <w:rsid w:val="003C0F6F"/>
    <w:rsid w:val="003C1073"/>
    <w:rsid w:val="003C1163"/>
    <w:rsid w:val="003C18EF"/>
    <w:rsid w:val="003C1AF6"/>
    <w:rsid w:val="003C1F68"/>
    <w:rsid w:val="003C2401"/>
    <w:rsid w:val="003C2963"/>
    <w:rsid w:val="003C2E1D"/>
    <w:rsid w:val="003C349F"/>
    <w:rsid w:val="003C36B1"/>
    <w:rsid w:val="003C372B"/>
    <w:rsid w:val="003C39BC"/>
    <w:rsid w:val="003C3B93"/>
    <w:rsid w:val="003C3D92"/>
    <w:rsid w:val="003C3DB9"/>
    <w:rsid w:val="003C40D7"/>
    <w:rsid w:val="003C4783"/>
    <w:rsid w:val="003C4C22"/>
    <w:rsid w:val="003C5526"/>
    <w:rsid w:val="003C5A98"/>
    <w:rsid w:val="003C5BA1"/>
    <w:rsid w:val="003C5DEA"/>
    <w:rsid w:val="003C5DF9"/>
    <w:rsid w:val="003C603D"/>
    <w:rsid w:val="003C6B31"/>
    <w:rsid w:val="003C6B52"/>
    <w:rsid w:val="003C6B6B"/>
    <w:rsid w:val="003C6C3D"/>
    <w:rsid w:val="003C6D30"/>
    <w:rsid w:val="003C736E"/>
    <w:rsid w:val="003C7C44"/>
    <w:rsid w:val="003C7E32"/>
    <w:rsid w:val="003D0153"/>
    <w:rsid w:val="003D05CC"/>
    <w:rsid w:val="003D0770"/>
    <w:rsid w:val="003D1147"/>
    <w:rsid w:val="003D154C"/>
    <w:rsid w:val="003D1737"/>
    <w:rsid w:val="003D1AB9"/>
    <w:rsid w:val="003D1AEA"/>
    <w:rsid w:val="003D1BCD"/>
    <w:rsid w:val="003D24F5"/>
    <w:rsid w:val="003D250D"/>
    <w:rsid w:val="003D2529"/>
    <w:rsid w:val="003D2862"/>
    <w:rsid w:val="003D2D57"/>
    <w:rsid w:val="003D312A"/>
    <w:rsid w:val="003D3309"/>
    <w:rsid w:val="003D335C"/>
    <w:rsid w:val="003D3D14"/>
    <w:rsid w:val="003D3DC0"/>
    <w:rsid w:val="003D3E09"/>
    <w:rsid w:val="003D410B"/>
    <w:rsid w:val="003D437A"/>
    <w:rsid w:val="003D43E1"/>
    <w:rsid w:val="003D4402"/>
    <w:rsid w:val="003D448E"/>
    <w:rsid w:val="003D4B13"/>
    <w:rsid w:val="003D4B2C"/>
    <w:rsid w:val="003D508F"/>
    <w:rsid w:val="003D51CA"/>
    <w:rsid w:val="003D52AD"/>
    <w:rsid w:val="003D57F6"/>
    <w:rsid w:val="003D5BAD"/>
    <w:rsid w:val="003D5D21"/>
    <w:rsid w:val="003D5FD0"/>
    <w:rsid w:val="003D6071"/>
    <w:rsid w:val="003D61DF"/>
    <w:rsid w:val="003D65AA"/>
    <w:rsid w:val="003D6647"/>
    <w:rsid w:val="003D68F1"/>
    <w:rsid w:val="003D69CC"/>
    <w:rsid w:val="003D6A04"/>
    <w:rsid w:val="003D6DFC"/>
    <w:rsid w:val="003D73AA"/>
    <w:rsid w:val="003D747B"/>
    <w:rsid w:val="003D7E4C"/>
    <w:rsid w:val="003E0395"/>
    <w:rsid w:val="003E08B4"/>
    <w:rsid w:val="003E0FBB"/>
    <w:rsid w:val="003E151B"/>
    <w:rsid w:val="003E1B80"/>
    <w:rsid w:val="003E1E40"/>
    <w:rsid w:val="003E20B1"/>
    <w:rsid w:val="003E22D9"/>
    <w:rsid w:val="003E24CC"/>
    <w:rsid w:val="003E26FA"/>
    <w:rsid w:val="003E2AB1"/>
    <w:rsid w:val="003E2B3C"/>
    <w:rsid w:val="003E377F"/>
    <w:rsid w:val="003E38B6"/>
    <w:rsid w:val="003E3C91"/>
    <w:rsid w:val="003E41C2"/>
    <w:rsid w:val="003E48C3"/>
    <w:rsid w:val="003E517D"/>
    <w:rsid w:val="003E5D9F"/>
    <w:rsid w:val="003E5E38"/>
    <w:rsid w:val="003E5EE1"/>
    <w:rsid w:val="003E65BC"/>
    <w:rsid w:val="003E6BBD"/>
    <w:rsid w:val="003E6D18"/>
    <w:rsid w:val="003E733F"/>
    <w:rsid w:val="003E77FB"/>
    <w:rsid w:val="003E7ECD"/>
    <w:rsid w:val="003E7F8F"/>
    <w:rsid w:val="003F0250"/>
    <w:rsid w:val="003F07A6"/>
    <w:rsid w:val="003F08A7"/>
    <w:rsid w:val="003F0BB7"/>
    <w:rsid w:val="003F0C2F"/>
    <w:rsid w:val="003F10F6"/>
    <w:rsid w:val="003F113E"/>
    <w:rsid w:val="003F1572"/>
    <w:rsid w:val="003F16B0"/>
    <w:rsid w:val="003F16C9"/>
    <w:rsid w:val="003F1B99"/>
    <w:rsid w:val="003F20E1"/>
    <w:rsid w:val="003F24BE"/>
    <w:rsid w:val="003F27EA"/>
    <w:rsid w:val="003F28F1"/>
    <w:rsid w:val="003F2A61"/>
    <w:rsid w:val="003F33A0"/>
    <w:rsid w:val="003F3860"/>
    <w:rsid w:val="003F38EB"/>
    <w:rsid w:val="003F3D2D"/>
    <w:rsid w:val="003F3E09"/>
    <w:rsid w:val="003F46C4"/>
    <w:rsid w:val="003F477E"/>
    <w:rsid w:val="003F478A"/>
    <w:rsid w:val="003F50B8"/>
    <w:rsid w:val="003F537F"/>
    <w:rsid w:val="003F58B8"/>
    <w:rsid w:val="003F68AD"/>
    <w:rsid w:val="003F69FD"/>
    <w:rsid w:val="003F6B71"/>
    <w:rsid w:val="003F71A2"/>
    <w:rsid w:val="003F735E"/>
    <w:rsid w:val="003F73CE"/>
    <w:rsid w:val="003F7526"/>
    <w:rsid w:val="003F7690"/>
    <w:rsid w:val="003F79A0"/>
    <w:rsid w:val="003F7A1F"/>
    <w:rsid w:val="00400182"/>
    <w:rsid w:val="0040019C"/>
    <w:rsid w:val="00400748"/>
    <w:rsid w:val="00400764"/>
    <w:rsid w:val="004009A5"/>
    <w:rsid w:val="00401214"/>
    <w:rsid w:val="00401293"/>
    <w:rsid w:val="00401CEE"/>
    <w:rsid w:val="00401D5E"/>
    <w:rsid w:val="00401E79"/>
    <w:rsid w:val="00401F04"/>
    <w:rsid w:val="0040230E"/>
    <w:rsid w:val="00402738"/>
    <w:rsid w:val="004027AB"/>
    <w:rsid w:val="004029BC"/>
    <w:rsid w:val="00402A71"/>
    <w:rsid w:val="00402B7F"/>
    <w:rsid w:val="004030F8"/>
    <w:rsid w:val="004037ED"/>
    <w:rsid w:val="004039C9"/>
    <w:rsid w:val="00403BBD"/>
    <w:rsid w:val="00403C1B"/>
    <w:rsid w:val="00403C3A"/>
    <w:rsid w:val="00403CF9"/>
    <w:rsid w:val="00403E75"/>
    <w:rsid w:val="00405245"/>
    <w:rsid w:val="0040544B"/>
    <w:rsid w:val="00405989"/>
    <w:rsid w:val="00405A6D"/>
    <w:rsid w:val="004062B6"/>
    <w:rsid w:val="004062CB"/>
    <w:rsid w:val="0040634E"/>
    <w:rsid w:val="0040678C"/>
    <w:rsid w:val="00406EBA"/>
    <w:rsid w:val="00407537"/>
    <w:rsid w:val="0040762E"/>
    <w:rsid w:val="00407A5B"/>
    <w:rsid w:val="00407AB6"/>
    <w:rsid w:val="00407AFF"/>
    <w:rsid w:val="00407E7B"/>
    <w:rsid w:val="00407FBA"/>
    <w:rsid w:val="00411301"/>
    <w:rsid w:val="0041139D"/>
    <w:rsid w:val="00411506"/>
    <w:rsid w:val="00411C8B"/>
    <w:rsid w:val="004127C3"/>
    <w:rsid w:val="00412F8D"/>
    <w:rsid w:val="004139FF"/>
    <w:rsid w:val="00413A00"/>
    <w:rsid w:val="00413DC9"/>
    <w:rsid w:val="00414003"/>
    <w:rsid w:val="0041439F"/>
    <w:rsid w:val="004146A4"/>
    <w:rsid w:val="0041472E"/>
    <w:rsid w:val="00414A8F"/>
    <w:rsid w:val="00414AE5"/>
    <w:rsid w:val="00414C45"/>
    <w:rsid w:val="00415715"/>
    <w:rsid w:val="0041584E"/>
    <w:rsid w:val="00415929"/>
    <w:rsid w:val="00415AC5"/>
    <w:rsid w:val="00415BF7"/>
    <w:rsid w:val="00415C72"/>
    <w:rsid w:val="004160DF"/>
    <w:rsid w:val="00416236"/>
    <w:rsid w:val="00417C51"/>
    <w:rsid w:val="00417DAB"/>
    <w:rsid w:val="00417DFB"/>
    <w:rsid w:val="00417F3C"/>
    <w:rsid w:val="00420105"/>
    <w:rsid w:val="004203B8"/>
    <w:rsid w:val="00420622"/>
    <w:rsid w:val="00420785"/>
    <w:rsid w:val="004207F6"/>
    <w:rsid w:val="00420A2B"/>
    <w:rsid w:val="00420F74"/>
    <w:rsid w:val="004214FA"/>
    <w:rsid w:val="004216A2"/>
    <w:rsid w:val="0042177E"/>
    <w:rsid w:val="00422087"/>
    <w:rsid w:val="00422100"/>
    <w:rsid w:val="004228E0"/>
    <w:rsid w:val="00423481"/>
    <w:rsid w:val="0042390C"/>
    <w:rsid w:val="00423EA8"/>
    <w:rsid w:val="00424359"/>
    <w:rsid w:val="0042441C"/>
    <w:rsid w:val="0042485B"/>
    <w:rsid w:val="004249F4"/>
    <w:rsid w:val="00424DFF"/>
    <w:rsid w:val="00424F6D"/>
    <w:rsid w:val="0042505A"/>
    <w:rsid w:val="004251FF"/>
    <w:rsid w:val="004254E6"/>
    <w:rsid w:val="00425C8B"/>
    <w:rsid w:val="00425F24"/>
    <w:rsid w:val="00426366"/>
    <w:rsid w:val="0042636D"/>
    <w:rsid w:val="00426691"/>
    <w:rsid w:val="00426CEC"/>
    <w:rsid w:val="0042736C"/>
    <w:rsid w:val="004276C5"/>
    <w:rsid w:val="00427A4E"/>
    <w:rsid w:val="00427CCD"/>
    <w:rsid w:val="00427E36"/>
    <w:rsid w:val="00427FD0"/>
    <w:rsid w:val="0043068B"/>
    <w:rsid w:val="00430D19"/>
    <w:rsid w:val="00430E6C"/>
    <w:rsid w:val="00431C11"/>
    <w:rsid w:val="00431E10"/>
    <w:rsid w:val="00431F16"/>
    <w:rsid w:val="00431F4E"/>
    <w:rsid w:val="00431F94"/>
    <w:rsid w:val="004320DE"/>
    <w:rsid w:val="004323BA"/>
    <w:rsid w:val="004324DE"/>
    <w:rsid w:val="00432AB9"/>
    <w:rsid w:val="004332EA"/>
    <w:rsid w:val="004334D6"/>
    <w:rsid w:val="00433610"/>
    <w:rsid w:val="00433CA6"/>
    <w:rsid w:val="00433F51"/>
    <w:rsid w:val="00433FBD"/>
    <w:rsid w:val="0043423E"/>
    <w:rsid w:val="004348D2"/>
    <w:rsid w:val="00434A1E"/>
    <w:rsid w:val="004359FC"/>
    <w:rsid w:val="00435D5D"/>
    <w:rsid w:val="004360BE"/>
    <w:rsid w:val="004362E3"/>
    <w:rsid w:val="004366A5"/>
    <w:rsid w:val="00436C29"/>
    <w:rsid w:val="00437A17"/>
    <w:rsid w:val="00437AAA"/>
    <w:rsid w:val="004404AF"/>
    <w:rsid w:val="00440748"/>
    <w:rsid w:val="004409E4"/>
    <w:rsid w:val="00441540"/>
    <w:rsid w:val="0044166D"/>
    <w:rsid w:val="00441ABD"/>
    <w:rsid w:val="00441B01"/>
    <w:rsid w:val="0044261E"/>
    <w:rsid w:val="004428CD"/>
    <w:rsid w:val="00442BD8"/>
    <w:rsid w:val="00442BFF"/>
    <w:rsid w:val="00442D7A"/>
    <w:rsid w:val="0044378C"/>
    <w:rsid w:val="0044386D"/>
    <w:rsid w:val="004447A2"/>
    <w:rsid w:val="00444B67"/>
    <w:rsid w:val="00444BC0"/>
    <w:rsid w:val="00444E83"/>
    <w:rsid w:val="0044502F"/>
    <w:rsid w:val="00446280"/>
    <w:rsid w:val="004463DC"/>
    <w:rsid w:val="00446509"/>
    <w:rsid w:val="004467EB"/>
    <w:rsid w:val="004468F5"/>
    <w:rsid w:val="004469AE"/>
    <w:rsid w:val="004471B8"/>
    <w:rsid w:val="004471E9"/>
    <w:rsid w:val="004474EB"/>
    <w:rsid w:val="004478B2"/>
    <w:rsid w:val="004500B5"/>
    <w:rsid w:val="00450392"/>
    <w:rsid w:val="004507AD"/>
    <w:rsid w:val="0045082B"/>
    <w:rsid w:val="004509FC"/>
    <w:rsid w:val="00450C5C"/>
    <w:rsid w:val="00450FDB"/>
    <w:rsid w:val="00451532"/>
    <w:rsid w:val="00451A50"/>
    <w:rsid w:val="00451A91"/>
    <w:rsid w:val="00452095"/>
    <w:rsid w:val="004521B6"/>
    <w:rsid w:val="00452374"/>
    <w:rsid w:val="00452428"/>
    <w:rsid w:val="0045289D"/>
    <w:rsid w:val="00452A17"/>
    <w:rsid w:val="00452CAC"/>
    <w:rsid w:val="004535B5"/>
    <w:rsid w:val="00453963"/>
    <w:rsid w:val="00453C4C"/>
    <w:rsid w:val="00453DF2"/>
    <w:rsid w:val="00454877"/>
    <w:rsid w:val="00454AF8"/>
    <w:rsid w:val="00454B3B"/>
    <w:rsid w:val="00454DA9"/>
    <w:rsid w:val="00454DC8"/>
    <w:rsid w:val="00454FF6"/>
    <w:rsid w:val="004551C3"/>
    <w:rsid w:val="00455D65"/>
    <w:rsid w:val="0045622F"/>
    <w:rsid w:val="004564D9"/>
    <w:rsid w:val="00456915"/>
    <w:rsid w:val="00456AB2"/>
    <w:rsid w:val="00456BFF"/>
    <w:rsid w:val="00456C13"/>
    <w:rsid w:val="0045795C"/>
    <w:rsid w:val="00457A21"/>
    <w:rsid w:val="004603EB"/>
    <w:rsid w:val="00460945"/>
    <w:rsid w:val="00460F9F"/>
    <w:rsid w:val="00461022"/>
    <w:rsid w:val="0046195D"/>
    <w:rsid w:val="00461CFE"/>
    <w:rsid w:val="00462AE8"/>
    <w:rsid w:val="00462BBF"/>
    <w:rsid w:val="00463358"/>
    <w:rsid w:val="0046449B"/>
    <w:rsid w:val="004650F0"/>
    <w:rsid w:val="0046534A"/>
    <w:rsid w:val="0046560E"/>
    <w:rsid w:val="00465D10"/>
    <w:rsid w:val="00465E18"/>
    <w:rsid w:val="004661D8"/>
    <w:rsid w:val="004667E9"/>
    <w:rsid w:val="00466A3A"/>
    <w:rsid w:val="00466C30"/>
    <w:rsid w:val="00466F32"/>
    <w:rsid w:val="00467277"/>
    <w:rsid w:val="00467494"/>
    <w:rsid w:val="00467751"/>
    <w:rsid w:val="00467AB6"/>
    <w:rsid w:val="00467B76"/>
    <w:rsid w:val="00470294"/>
    <w:rsid w:val="00470368"/>
    <w:rsid w:val="004704C3"/>
    <w:rsid w:val="00470545"/>
    <w:rsid w:val="004707DE"/>
    <w:rsid w:val="00470D8B"/>
    <w:rsid w:val="004712E7"/>
    <w:rsid w:val="00471894"/>
    <w:rsid w:val="004719D5"/>
    <w:rsid w:val="00471CA1"/>
    <w:rsid w:val="00472DF7"/>
    <w:rsid w:val="004735BE"/>
    <w:rsid w:val="00473AED"/>
    <w:rsid w:val="00473CE5"/>
    <w:rsid w:val="0047459B"/>
    <w:rsid w:val="00474966"/>
    <w:rsid w:val="00474A4D"/>
    <w:rsid w:val="00474DF0"/>
    <w:rsid w:val="00475AC3"/>
    <w:rsid w:val="00475BA3"/>
    <w:rsid w:val="00475D7C"/>
    <w:rsid w:val="00475D8A"/>
    <w:rsid w:val="00475DA3"/>
    <w:rsid w:val="004760C5"/>
    <w:rsid w:val="00476279"/>
    <w:rsid w:val="00476568"/>
    <w:rsid w:val="0047665D"/>
    <w:rsid w:val="00476B23"/>
    <w:rsid w:val="004770A0"/>
    <w:rsid w:val="004772D9"/>
    <w:rsid w:val="0047741D"/>
    <w:rsid w:val="00477548"/>
    <w:rsid w:val="00480877"/>
    <w:rsid w:val="004809DF"/>
    <w:rsid w:val="00480BCF"/>
    <w:rsid w:val="0048162E"/>
    <w:rsid w:val="00481AD2"/>
    <w:rsid w:val="00482433"/>
    <w:rsid w:val="0048297F"/>
    <w:rsid w:val="00482CE9"/>
    <w:rsid w:val="00482F9E"/>
    <w:rsid w:val="00483250"/>
    <w:rsid w:val="0048366C"/>
    <w:rsid w:val="00483B25"/>
    <w:rsid w:val="0048445F"/>
    <w:rsid w:val="00484EB5"/>
    <w:rsid w:val="00485341"/>
    <w:rsid w:val="00485598"/>
    <w:rsid w:val="00485AC2"/>
    <w:rsid w:val="00486C8F"/>
    <w:rsid w:val="00486CED"/>
    <w:rsid w:val="0048709A"/>
    <w:rsid w:val="00487856"/>
    <w:rsid w:val="00487AF9"/>
    <w:rsid w:val="00487D5D"/>
    <w:rsid w:val="00487D9F"/>
    <w:rsid w:val="004905D8"/>
    <w:rsid w:val="004905F4"/>
    <w:rsid w:val="004908BD"/>
    <w:rsid w:val="004908CB"/>
    <w:rsid w:val="00490EB7"/>
    <w:rsid w:val="004913E2"/>
    <w:rsid w:val="00491AE5"/>
    <w:rsid w:val="00491FED"/>
    <w:rsid w:val="00492153"/>
    <w:rsid w:val="00492465"/>
    <w:rsid w:val="00492717"/>
    <w:rsid w:val="00492A81"/>
    <w:rsid w:val="00493449"/>
    <w:rsid w:val="00493594"/>
    <w:rsid w:val="004935C8"/>
    <w:rsid w:val="004936F4"/>
    <w:rsid w:val="00493843"/>
    <w:rsid w:val="00493ADC"/>
    <w:rsid w:val="00493F82"/>
    <w:rsid w:val="0049428A"/>
    <w:rsid w:val="0049430F"/>
    <w:rsid w:val="00494371"/>
    <w:rsid w:val="00494895"/>
    <w:rsid w:val="004949E7"/>
    <w:rsid w:val="00494ADF"/>
    <w:rsid w:val="00494BF2"/>
    <w:rsid w:val="00494FDF"/>
    <w:rsid w:val="0049521B"/>
    <w:rsid w:val="00495333"/>
    <w:rsid w:val="004955F9"/>
    <w:rsid w:val="004958A6"/>
    <w:rsid w:val="00495A16"/>
    <w:rsid w:val="00495B1D"/>
    <w:rsid w:val="00495C9E"/>
    <w:rsid w:val="00495E84"/>
    <w:rsid w:val="00496692"/>
    <w:rsid w:val="004969CB"/>
    <w:rsid w:val="00497180"/>
    <w:rsid w:val="00497975"/>
    <w:rsid w:val="00497C57"/>
    <w:rsid w:val="004A03FD"/>
    <w:rsid w:val="004A04D8"/>
    <w:rsid w:val="004A06B0"/>
    <w:rsid w:val="004A073D"/>
    <w:rsid w:val="004A0A00"/>
    <w:rsid w:val="004A10CD"/>
    <w:rsid w:val="004A11FB"/>
    <w:rsid w:val="004A1278"/>
    <w:rsid w:val="004A1AF3"/>
    <w:rsid w:val="004A2287"/>
    <w:rsid w:val="004A22E2"/>
    <w:rsid w:val="004A2721"/>
    <w:rsid w:val="004A2AA6"/>
    <w:rsid w:val="004A2B86"/>
    <w:rsid w:val="004A2BBA"/>
    <w:rsid w:val="004A3DAB"/>
    <w:rsid w:val="004A4284"/>
    <w:rsid w:val="004A4316"/>
    <w:rsid w:val="004A4576"/>
    <w:rsid w:val="004A4795"/>
    <w:rsid w:val="004A47D0"/>
    <w:rsid w:val="004A51EF"/>
    <w:rsid w:val="004A5241"/>
    <w:rsid w:val="004A5363"/>
    <w:rsid w:val="004A55C1"/>
    <w:rsid w:val="004A5728"/>
    <w:rsid w:val="004A5D0D"/>
    <w:rsid w:val="004A6470"/>
    <w:rsid w:val="004A69E4"/>
    <w:rsid w:val="004A6E7F"/>
    <w:rsid w:val="004A7008"/>
    <w:rsid w:val="004A746E"/>
    <w:rsid w:val="004A7C11"/>
    <w:rsid w:val="004B022F"/>
    <w:rsid w:val="004B0630"/>
    <w:rsid w:val="004B075E"/>
    <w:rsid w:val="004B083F"/>
    <w:rsid w:val="004B08FD"/>
    <w:rsid w:val="004B0A21"/>
    <w:rsid w:val="004B1226"/>
    <w:rsid w:val="004B140B"/>
    <w:rsid w:val="004B1912"/>
    <w:rsid w:val="004B2205"/>
    <w:rsid w:val="004B2D44"/>
    <w:rsid w:val="004B302C"/>
    <w:rsid w:val="004B35D4"/>
    <w:rsid w:val="004B3B66"/>
    <w:rsid w:val="004B3C8E"/>
    <w:rsid w:val="004B4234"/>
    <w:rsid w:val="004B4830"/>
    <w:rsid w:val="004B4B18"/>
    <w:rsid w:val="004B4D4A"/>
    <w:rsid w:val="004B4F27"/>
    <w:rsid w:val="004B6030"/>
    <w:rsid w:val="004B619A"/>
    <w:rsid w:val="004B6485"/>
    <w:rsid w:val="004B65DD"/>
    <w:rsid w:val="004B65F7"/>
    <w:rsid w:val="004B68B3"/>
    <w:rsid w:val="004B6CAD"/>
    <w:rsid w:val="004B75C4"/>
    <w:rsid w:val="004B75E6"/>
    <w:rsid w:val="004B7D90"/>
    <w:rsid w:val="004B7DC7"/>
    <w:rsid w:val="004B7EC9"/>
    <w:rsid w:val="004C04D0"/>
    <w:rsid w:val="004C059A"/>
    <w:rsid w:val="004C0C6D"/>
    <w:rsid w:val="004C0F8F"/>
    <w:rsid w:val="004C1D3A"/>
    <w:rsid w:val="004C1E97"/>
    <w:rsid w:val="004C1F14"/>
    <w:rsid w:val="004C20CD"/>
    <w:rsid w:val="004C2FA8"/>
    <w:rsid w:val="004C34FB"/>
    <w:rsid w:val="004C3656"/>
    <w:rsid w:val="004C418E"/>
    <w:rsid w:val="004C4382"/>
    <w:rsid w:val="004C4762"/>
    <w:rsid w:val="004C47B0"/>
    <w:rsid w:val="004C50B1"/>
    <w:rsid w:val="004C51AC"/>
    <w:rsid w:val="004C51BD"/>
    <w:rsid w:val="004C5B47"/>
    <w:rsid w:val="004C6397"/>
    <w:rsid w:val="004C660E"/>
    <w:rsid w:val="004C6717"/>
    <w:rsid w:val="004C6CC9"/>
    <w:rsid w:val="004C6ED6"/>
    <w:rsid w:val="004C7473"/>
    <w:rsid w:val="004C764E"/>
    <w:rsid w:val="004C78DE"/>
    <w:rsid w:val="004D01E1"/>
    <w:rsid w:val="004D0255"/>
    <w:rsid w:val="004D0404"/>
    <w:rsid w:val="004D0B3B"/>
    <w:rsid w:val="004D1B73"/>
    <w:rsid w:val="004D1C26"/>
    <w:rsid w:val="004D1C80"/>
    <w:rsid w:val="004D1DE0"/>
    <w:rsid w:val="004D2C4D"/>
    <w:rsid w:val="004D2E54"/>
    <w:rsid w:val="004D3296"/>
    <w:rsid w:val="004D349A"/>
    <w:rsid w:val="004D3CC9"/>
    <w:rsid w:val="004D43D0"/>
    <w:rsid w:val="004D447F"/>
    <w:rsid w:val="004D5663"/>
    <w:rsid w:val="004D5B53"/>
    <w:rsid w:val="004D5FB7"/>
    <w:rsid w:val="004D6335"/>
    <w:rsid w:val="004D65C1"/>
    <w:rsid w:val="004D6D79"/>
    <w:rsid w:val="004D6EE6"/>
    <w:rsid w:val="004D7221"/>
    <w:rsid w:val="004D72C2"/>
    <w:rsid w:val="004D736D"/>
    <w:rsid w:val="004D73AC"/>
    <w:rsid w:val="004D75F6"/>
    <w:rsid w:val="004D76CF"/>
    <w:rsid w:val="004D7D79"/>
    <w:rsid w:val="004D7F26"/>
    <w:rsid w:val="004E068B"/>
    <w:rsid w:val="004E11EB"/>
    <w:rsid w:val="004E1681"/>
    <w:rsid w:val="004E16F9"/>
    <w:rsid w:val="004E1BAF"/>
    <w:rsid w:val="004E1FCE"/>
    <w:rsid w:val="004E2E26"/>
    <w:rsid w:val="004E30B0"/>
    <w:rsid w:val="004E3AFC"/>
    <w:rsid w:val="004E4546"/>
    <w:rsid w:val="004E46E1"/>
    <w:rsid w:val="004E4BF8"/>
    <w:rsid w:val="004E4D89"/>
    <w:rsid w:val="004E4E06"/>
    <w:rsid w:val="004E5BE6"/>
    <w:rsid w:val="004E5CA7"/>
    <w:rsid w:val="004E6347"/>
    <w:rsid w:val="004E7040"/>
    <w:rsid w:val="004E7509"/>
    <w:rsid w:val="004E781B"/>
    <w:rsid w:val="004E7E42"/>
    <w:rsid w:val="004E7F84"/>
    <w:rsid w:val="004F0194"/>
    <w:rsid w:val="004F0565"/>
    <w:rsid w:val="004F0E1F"/>
    <w:rsid w:val="004F0F17"/>
    <w:rsid w:val="004F0F33"/>
    <w:rsid w:val="004F1D3F"/>
    <w:rsid w:val="004F1FBC"/>
    <w:rsid w:val="004F2176"/>
    <w:rsid w:val="004F2683"/>
    <w:rsid w:val="004F284A"/>
    <w:rsid w:val="004F288A"/>
    <w:rsid w:val="004F2E80"/>
    <w:rsid w:val="004F360B"/>
    <w:rsid w:val="004F3698"/>
    <w:rsid w:val="004F372D"/>
    <w:rsid w:val="004F39D5"/>
    <w:rsid w:val="004F3AA4"/>
    <w:rsid w:val="004F3B17"/>
    <w:rsid w:val="004F3B27"/>
    <w:rsid w:val="004F3C55"/>
    <w:rsid w:val="004F3FF2"/>
    <w:rsid w:val="004F459F"/>
    <w:rsid w:val="004F47EA"/>
    <w:rsid w:val="004F4D27"/>
    <w:rsid w:val="004F4F50"/>
    <w:rsid w:val="004F5590"/>
    <w:rsid w:val="004F5727"/>
    <w:rsid w:val="004F5886"/>
    <w:rsid w:val="004F5B76"/>
    <w:rsid w:val="004F5ED7"/>
    <w:rsid w:val="004F665C"/>
    <w:rsid w:val="004F67A5"/>
    <w:rsid w:val="004F68A5"/>
    <w:rsid w:val="004F6907"/>
    <w:rsid w:val="004F6DB0"/>
    <w:rsid w:val="004F7064"/>
    <w:rsid w:val="004F7AB5"/>
    <w:rsid w:val="004F7AE6"/>
    <w:rsid w:val="004F7BAB"/>
    <w:rsid w:val="004F7F06"/>
    <w:rsid w:val="004F7FDB"/>
    <w:rsid w:val="00500CF1"/>
    <w:rsid w:val="00500D16"/>
    <w:rsid w:val="00501A7C"/>
    <w:rsid w:val="00501FEB"/>
    <w:rsid w:val="0050243F"/>
    <w:rsid w:val="005025B1"/>
    <w:rsid w:val="00502D1C"/>
    <w:rsid w:val="0050397A"/>
    <w:rsid w:val="005042E8"/>
    <w:rsid w:val="005044E8"/>
    <w:rsid w:val="00504652"/>
    <w:rsid w:val="00504668"/>
    <w:rsid w:val="00504B06"/>
    <w:rsid w:val="00505101"/>
    <w:rsid w:val="00505201"/>
    <w:rsid w:val="005053B8"/>
    <w:rsid w:val="0050633A"/>
    <w:rsid w:val="00506AFE"/>
    <w:rsid w:val="00506B8F"/>
    <w:rsid w:val="00506CF4"/>
    <w:rsid w:val="00506DE5"/>
    <w:rsid w:val="00506E43"/>
    <w:rsid w:val="00507AA2"/>
    <w:rsid w:val="005102C4"/>
    <w:rsid w:val="0051072E"/>
    <w:rsid w:val="0051079C"/>
    <w:rsid w:val="00510808"/>
    <w:rsid w:val="00511072"/>
    <w:rsid w:val="005111AD"/>
    <w:rsid w:val="00511392"/>
    <w:rsid w:val="005116E9"/>
    <w:rsid w:val="0051196F"/>
    <w:rsid w:val="005121E4"/>
    <w:rsid w:val="005122A1"/>
    <w:rsid w:val="00512321"/>
    <w:rsid w:val="005127EA"/>
    <w:rsid w:val="00512B7E"/>
    <w:rsid w:val="00513243"/>
    <w:rsid w:val="00513294"/>
    <w:rsid w:val="00513909"/>
    <w:rsid w:val="00513CB0"/>
    <w:rsid w:val="00514320"/>
    <w:rsid w:val="0051437A"/>
    <w:rsid w:val="0051438F"/>
    <w:rsid w:val="0051466D"/>
    <w:rsid w:val="00514B6A"/>
    <w:rsid w:val="00514BD1"/>
    <w:rsid w:val="00514D75"/>
    <w:rsid w:val="005160B7"/>
    <w:rsid w:val="005163D2"/>
    <w:rsid w:val="00516994"/>
    <w:rsid w:val="005179B6"/>
    <w:rsid w:val="0052002D"/>
    <w:rsid w:val="0052018E"/>
    <w:rsid w:val="0052052A"/>
    <w:rsid w:val="00520542"/>
    <w:rsid w:val="00520D37"/>
    <w:rsid w:val="00520E70"/>
    <w:rsid w:val="00520EBF"/>
    <w:rsid w:val="00520EC9"/>
    <w:rsid w:val="00521BE5"/>
    <w:rsid w:val="00521C29"/>
    <w:rsid w:val="00522238"/>
    <w:rsid w:val="00522538"/>
    <w:rsid w:val="005228F0"/>
    <w:rsid w:val="00522A82"/>
    <w:rsid w:val="00522FD9"/>
    <w:rsid w:val="0052311E"/>
    <w:rsid w:val="0052374B"/>
    <w:rsid w:val="0052375A"/>
    <w:rsid w:val="005239B5"/>
    <w:rsid w:val="00523EFA"/>
    <w:rsid w:val="00523F8B"/>
    <w:rsid w:val="00524562"/>
    <w:rsid w:val="00524D46"/>
    <w:rsid w:val="0052500F"/>
    <w:rsid w:val="00525289"/>
    <w:rsid w:val="005252BB"/>
    <w:rsid w:val="005252CB"/>
    <w:rsid w:val="005255E3"/>
    <w:rsid w:val="00525EEC"/>
    <w:rsid w:val="0052635C"/>
    <w:rsid w:val="00526654"/>
    <w:rsid w:val="0052676E"/>
    <w:rsid w:val="00526FAD"/>
    <w:rsid w:val="005278E0"/>
    <w:rsid w:val="00527B85"/>
    <w:rsid w:val="00527DD7"/>
    <w:rsid w:val="00530140"/>
    <w:rsid w:val="00530C39"/>
    <w:rsid w:val="00530E6F"/>
    <w:rsid w:val="00531761"/>
    <w:rsid w:val="00531B09"/>
    <w:rsid w:val="00531D48"/>
    <w:rsid w:val="005320A3"/>
    <w:rsid w:val="005327BC"/>
    <w:rsid w:val="005328C3"/>
    <w:rsid w:val="00532955"/>
    <w:rsid w:val="005329E2"/>
    <w:rsid w:val="00532D91"/>
    <w:rsid w:val="005332B1"/>
    <w:rsid w:val="00533991"/>
    <w:rsid w:val="00533AE5"/>
    <w:rsid w:val="00533B04"/>
    <w:rsid w:val="00533C0E"/>
    <w:rsid w:val="005340C9"/>
    <w:rsid w:val="00534453"/>
    <w:rsid w:val="0053446F"/>
    <w:rsid w:val="005345B3"/>
    <w:rsid w:val="0053496A"/>
    <w:rsid w:val="005349A0"/>
    <w:rsid w:val="00535851"/>
    <w:rsid w:val="00535E96"/>
    <w:rsid w:val="00535F54"/>
    <w:rsid w:val="00536CB0"/>
    <w:rsid w:val="00536D73"/>
    <w:rsid w:val="005376A4"/>
    <w:rsid w:val="00540331"/>
    <w:rsid w:val="00540407"/>
    <w:rsid w:val="00540847"/>
    <w:rsid w:val="00540C62"/>
    <w:rsid w:val="00540E1E"/>
    <w:rsid w:val="00541076"/>
    <w:rsid w:val="0054157E"/>
    <w:rsid w:val="005419F2"/>
    <w:rsid w:val="00541E84"/>
    <w:rsid w:val="00542260"/>
    <w:rsid w:val="005423D9"/>
    <w:rsid w:val="00542438"/>
    <w:rsid w:val="00542520"/>
    <w:rsid w:val="00542D4E"/>
    <w:rsid w:val="00542E0D"/>
    <w:rsid w:val="00543079"/>
    <w:rsid w:val="005435E5"/>
    <w:rsid w:val="00543ACC"/>
    <w:rsid w:val="00543C67"/>
    <w:rsid w:val="00543D18"/>
    <w:rsid w:val="0054404D"/>
    <w:rsid w:val="00544109"/>
    <w:rsid w:val="0054466B"/>
    <w:rsid w:val="00544B95"/>
    <w:rsid w:val="00544D12"/>
    <w:rsid w:val="00544FA9"/>
    <w:rsid w:val="00545118"/>
    <w:rsid w:val="00545139"/>
    <w:rsid w:val="00545214"/>
    <w:rsid w:val="00545D91"/>
    <w:rsid w:val="00546772"/>
    <w:rsid w:val="005467D9"/>
    <w:rsid w:val="0054694A"/>
    <w:rsid w:val="005471B8"/>
    <w:rsid w:val="005471CE"/>
    <w:rsid w:val="00547469"/>
    <w:rsid w:val="00547DC0"/>
    <w:rsid w:val="00550167"/>
    <w:rsid w:val="0055018C"/>
    <w:rsid w:val="005509A8"/>
    <w:rsid w:val="00550D9A"/>
    <w:rsid w:val="00550F4C"/>
    <w:rsid w:val="00551218"/>
    <w:rsid w:val="005512CA"/>
    <w:rsid w:val="00551546"/>
    <w:rsid w:val="0055159B"/>
    <w:rsid w:val="005516F8"/>
    <w:rsid w:val="005517D4"/>
    <w:rsid w:val="00551B19"/>
    <w:rsid w:val="00553918"/>
    <w:rsid w:val="005551B1"/>
    <w:rsid w:val="00555963"/>
    <w:rsid w:val="00555D8E"/>
    <w:rsid w:val="0055641E"/>
    <w:rsid w:val="00556EE2"/>
    <w:rsid w:val="005575CC"/>
    <w:rsid w:val="00557678"/>
    <w:rsid w:val="00557A57"/>
    <w:rsid w:val="00557BA6"/>
    <w:rsid w:val="0056048F"/>
    <w:rsid w:val="0056052A"/>
    <w:rsid w:val="00560617"/>
    <w:rsid w:val="005607F8"/>
    <w:rsid w:val="00560815"/>
    <w:rsid w:val="00560BE8"/>
    <w:rsid w:val="00561368"/>
    <w:rsid w:val="00561409"/>
    <w:rsid w:val="005614C2"/>
    <w:rsid w:val="00561BA9"/>
    <w:rsid w:val="00561BF2"/>
    <w:rsid w:val="00561E6C"/>
    <w:rsid w:val="005624FD"/>
    <w:rsid w:val="00562B64"/>
    <w:rsid w:val="00563387"/>
    <w:rsid w:val="00563487"/>
    <w:rsid w:val="00563CEF"/>
    <w:rsid w:val="00564646"/>
    <w:rsid w:val="0056477B"/>
    <w:rsid w:val="00564B2D"/>
    <w:rsid w:val="00564FB7"/>
    <w:rsid w:val="0056507F"/>
    <w:rsid w:val="005657E0"/>
    <w:rsid w:val="00565A6A"/>
    <w:rsid w:val="00565BEE"/>
    <w:rsid w:val="00565DCC"/>
    <w:rsid w:val="00566493"/>
    <w:rsid w:val="00566B61"/>
    <w:rsid w:val="00566DCB"/>
    <w:rsid w:val="0056700B"/>
    <w:rsid w:val="005673C4"/>
    <w:rsid w:val="0056772E"/>
    <w:rsid w:val="00567BF0"/>
    <w:rsid w:val="005702E5"/>
    <w:rsid w:val="00570B4E"/>
    <w:rsid w:val="00570CCD"/>
    <w:rsid w:val="00571A2E"/>
    <w:rsid w:val="00571C62"/>
    <w:rsid w:val="00572363"/>
    <w:rsid w:val="0057263C"/>
    <w:rsid w:val="00572802"/>
    <w:rsid w:val="00572CBA"/>
    <w:rsid w:val="0057306E"/>
    <w:rsid w:val="0057327C"/>
    <w:rsid w:val="00573404"/>
    <w:rsid w:val="00573556"/>
    <w:rsid w:val="00573754"/>
    <w:rsid w:val="005739A2"/>
    <w:rsid w:val="00573AF1"/>
    <w:rsid w:val="00573DDC"/>
    <w:rsid w:val="005745ED"/>
    <w:rsid w:val="005746BE"/>
    <w:rsid w:val="00574B9A"/>
    <w:rsid w:val="00574C2D"/>
    <w:rsid w:val="00574EE3"/>
    <w:rsid w:val="005752E5"/>
    <w:rsid w:val="005753A1"/>
    <w:rsid w:val="0057656B"/>
    <w:rsid w:val="005766C0"/>
    <w:rsid w:val="005768B7"/>
    <w:rsid w:val="00577181"/>
    <w:rsid w:val="005772BA"/>
    <w:rsid w:val="00577C95"/>
    <w:rsid w:val="005807C4"/>
    <w:rsid w:val="005816B9"/>
    <w:rsid w:val="005818E0"/>
    <w:rsid w:val="00581B03"/>
    <w:rsid w:val="00581C72"/>
    <w:rsid w:val="005820F5"/>
    <w:rsid w:val="00582EAA"/>
    <w:rsid w:val="00582F2D"/>
    <w:rsid w:val="00583F7A"/>
    <w:rsid w:val="005843B9"/>
    <w:rsid w:val="00584ABC"/>
    <w:rsid w:val="00584FC5"/>
    <w:rsid w:val="005852A5"/>
    <w:rsid w:val="0058540D"/>
    <w:rsid w:val="00585842"/>
    <w:rsid w:val="00585C0A"/>
    <w:rsid w:val="00585E24"/>
    <w:rsid w:val="00585F2B"/>
    <w:rsid w:val="00586AA4"/>
    <w:rsid w:val="00586F52"/>
    <w:rsid w:val="005871FF"/>
    <w:rsid w:val="0058753B"/>
    <w:rsid w:val="00587DAE"/>
    <w:rsid w:val="005903F8"/>
    <w:rsid w:val="005907AE"/>
    <w:rsid w:val="00590A69"/>
    <w:rsid w:val="005914C8"/>
    <w:rsid w:val="005915E5"/>
    <w:rsid w:val="005918DF"/>
    <w:rsid w:val="00591F2D"/>
    <w:rsid w:val="00591F85"/>
    <w:rsid w:val="00591F94"/>
    <w:rsid w:val="00592860"/>
    <w:rsid w:val="00592BF3"/>
    <w:rsid w:val="005930DB"/>
    <w:rsid w:val="00593445"/>
    <w:rsid w:val="00593FB6"/>
    <w:rsid w:val="005940BA"/>
    <w:rsid w:val="00594250"/>
    <w:rsid w:val="0059426E"/>
    <w:rsid w:val="005945B0"/>
    <w:rsid w:val="00594640"/>
    <w:rsid w:val="005946E4"/>
    <w:rsid w:val="00594FD9"/>
    <w:rsid w:val="0059507E"/>
    <w:rsid w:val="005955D8"/>
    <w:rsid w:val="00595A8A"/>
    <w:rsid w:val="00595B75"/>
    <w:rsid w:val="00596432"/>
    <w:rsid w:val="00596453"/>
    <w:rsid w:val="0059649D"/>
    <w:rsid w:val="0059666F"/>
    <w:rsid w:val="005967E1"/>
    <w:rsid w:val="00596B15"/>
    <w:rsid w:val="00596BE5"/>
    <w:rsid w:val="00596C35"/>
    <w:rsid w:val="00596E6F"/>
    <w:rsid w:val="00597004"/>
    <w:rsid w:val="00597EDE"/>
    <w:rsid w:val="005A01E7"/>
    <w:rsid w:val="005A03BD"/>
    <w:rsid w:val="005A0F64"/>
    <w:rsid w:val="005A13AE"/>
    <w:rsid w:val="005A1459"/>
    <w:rsid w:val="005A1C8D"/>
    <w:rsid w:val="005A26D9"/>
    <w:rsid w:val="005A276C"/>
    <w:rsid w:val="005A277E"/>
    <w:rsid w:val="005A2DD7"/>
    <w:rsid w:val="005A2E19"/>
    <w:rsid w:val="005A2E8F"/>
    <w:rsid w:val="005A3068"/>
    <w:rsid w:val="005A3380"/>
    <w:rsid w:val="005A3598"/>
    <w:rsid w:val="005A36A5"/>
    <w:rsid w:val="005A508D"/>
    <w:rsid w:val="005A5600"/>
    <w:rsid w:val="005A584C"/>
    <w:rsid w:val="005A5FD4"/>
    <w:rsid w:val="005A61BF"/>
    <w:rsid w:val="005A65A3"/>
    <w:rsid w:val="005A6772"/>
    <w:rsid w:val="005A70A0"/>
    <w:rsid w:val="005A7308"/>
    <w:rsid w:val="005A7F71"/>
    <w:rsid w:val="005B04CC"/>
    <w:rsid w:val="005B0926"/>
    <w:rsid w:val="005B0C8E"/>
    <w:rsid w:val="005B1165"/>
    <w:rsid w:val="005B132C"/>
    <w:rsid w:val="005B1E6E"/>
    <w:rsid w:val="005B1F10"/>
    <w:rsid w:val="005B2513"/>
    <w:rsid w:val="005B29D4"/>
    <w:rsid w:val="005B2B7C"/>
    <w:rsid w:val="005B327E"/>
    <w:rsid w:val="005B3801"/>
    <w:rsid w:val="005B384C"/>
    <w:rsid w:val="005B3C36"/>
    <w:rsid w:val="005B3D01"/>
    <w:rsid w:val="005B3E53"/>
    <w:rsid w:val="005B3FA9"/>
    <w:rsid w:val="005B4012"/>
    <w:rsid w:val="005B4191"/>
    <w:rsid w:val="005B43C9"/>
    <w:rsid w:val="005B449A"/>
    <w:rsid w:val="005B4934"/>
    <w:rsid w:val="005B4B6B"/>
    <w:rsid w:val="005B4C9B"/>
    <w:rsid w:val="005B4D0C"/>
    <w:rsid w:val="005B524D"/>
    <w:rsid w:val="005B5F97"/>
    <w:rsid w:val="005B6007"/>
    <w:rsid w:val="005B66B9"/>
    <w:rsid w:val="005B6BCB"/>
    <w:rsid w:val="005B6CCF"/>
    <w:rsid w:val="005B6D1F"/>
    <w:rsid w:val="005B7658"/>
    <w:rsid w:val="005B7CE0"/>
    <w:rsid w:val="005C03D4"/>
    <w:rsid w:val="005C0543"/>
    <w:rsid w:val="005C0E55"/>
    <w:rsid w:val="005C0E9C"/>
    <w:rsid w:val="005C159B"/>
    <w:rsid w:val="005C1973"/>
    <w:rsid w:val="005C19C0"/>
    <w:rsid w:val="005C24B8"/>
    <w:rsid w:val="005C26F1"/>
    <w:rsid w:val="005C2A60"/>
    <w:rsid w:val="005C2B71"/>
    <w:rsid w:val="005C2D64"/>
    <w:rsid w:val="005C330D"/>
    <w:rsid w:val="005C336C"/>
    <w:rsid w:val="005C35D2"/>
    <w:rsid w:val="005C44A4"/>
    <w:rsid w:val="005C4825"/>
    <w:rsid w:val="005C486C"/>
    <w:rsid w:val="005C4933"/>
    <w:rsid w:val="005C4F05"/>
    <w:rsid w:val="005C4F7C"/>
    <w:rsid w:val="005C503D"/>
    <w:rsid w:val="005C520A"/>
    <w:rsid w:val="005C555D"/>
    <w:rsid w:val="005C55E7"/>
    <w:rsid w:val="005C5680"/>
    <w:rsid w:val="005C5873"/>
    <w:rsid w:val="005C5905"/>
    <w:rsid w:val="005C5990"/>
    <w:rsid w:val="005C6855"/>
    <w:rsid w:val="005C696D"/>
    <w:rsid w:val="005C69DE"/>
    <w:rsid w:val="005C6CCF"/>
    <w:rsid w:val="005C6E41"/>
    <w:rsid w:val="005C70C7"/>
    <w:rsid w:val="005C7A54"/>
    <w:rsid w:val="005C7D4D"/>
    <w:rsid w:val="005D01EE"/>
    <w:rsid w:val="005D03E7"/>
    <w:rsid w:val="005D05C0"/>
    <w:rsid w:val="005D0832"/>
    <w:rsid w:val="005D09CD"/>
    <w:rsid w:val="005D0FD8"/>
    <w:rsid w:val="005D0FE2"/>
    <w:rsid w:val="005D10E6"/>
    <w:rsid w:val="005D12EB"/>
    <w:rsid w:val="005D1519"/>
    <w:rsid w:val="005D164C"/>
    <w:rsid w:val="005D16F3"/>
    <w:rsid w:val="005D1CEC"/>
    <w:rsid w:val="005D24FA"/>
    <w:rsid w:val="005D2A3D"/>
    <w:rsid w:val="005D2B79"/>
    <w:rsid w:val="005D35A9"/>
    <w:rsid w:val="005D364C"/>
    <w:rsid w:val="005D3C9C"/>
    <w:rsid w:val="005D3E25"/>
    <w:rsid w:val="005D3F3A"/>
    <w:rsid w:val="005D4163"/>
    <w:rsid w:val="005D42D2"/>
    <w:rsid w:val="005D51C3"/>
    <w:rsid w:val="005D561E"/>
    <w:rsid w:val="005D561F"/>
    <w:rsid w:val="005D5823"/>
    <w:rsid w:val="005D5AA7"/>
    <w:rsid w:val="005D5E0D"/>
    <w:rsid w:val="005D6001"/>
    <w:rsid w:val="005D63CE"/>
    <w:rsid w:val="005D65AB"/>
    <w:rsid w:val="005D7250"/>
    <w:rsid w:val="005D7318"/>
    <w:rsid w:val="005E03A6"/>
    <w:rsid w:val="005E1AD6"/>
    <w:rsid w:val="005E1E0A"/>
    <w:rsid w:val="005E1F33"/>
    <w:rsid w:val="005E2A61"/>
    <w:rsid w:val="005E2E5A"/>
    <w:rsid w:val="005E3583"/>
    <w:rsid w:val="005E3698"/>
    <w:rsid w:val="005E3789"/>
    <w:rsid w:val="005E40EB"/>
    <w:rsid w:val="005E4396"/>
    <w:rsid w:val="005E4BED"/>
    <w:rsid w:val="005E5103"/>
    <w:rsid w:val="005E560A"/>
    <w:rsid w:val="005E58A3"/>
    <w:rsid w:val="005E5E46"/>
    <w:rsid w:val="005E6148"/>
    <w:rsid w:val="005E660D"/>
    <w:rsid w:val="005E6A7A"/>
    <w:rsid w:val="005E6C14"/>
    <w:rsid w:val="005E6ED5"/>
    <w:rsid w:val="005E7058"/>
    <w:rsid w:val="005E73B9"/>
    <w:rsid w:val="005E7CF5"/>
    <w:rsid w:val="005E7F31"/>
    <w:rsid w:val="005F0196"/>
    <w:rsid w:val="005F01D3"/>
    <w:rsid w:val="005F04CE"/>
    <w:rsid w:val="005F063C"/>
    <w:rsid w:val="005F0830"/>
    <w:rsid w:val="005F0CAC"/>
    <w:rsid w:val="005F0E7B"/>
    <w:rsid w:val="005F1291"/>
    <w:rsid w:val="005F12C3"/>
    <w:rsid w:val="005F15C2"/>
    <w:rsid w:val="005F21F3"/>
    <w:rsid w:val="005F2842"/>
    <w:rsid w:val="005F2AB7"/>
    <w:rsid w:val="005F2F2E"/>
    <w:rsid w:val="005F307F"/>
    <w:rsid w:val="005F3258"/>
    <w:rsid w:val="005F352E"/>
    <w:rsid w:val="005F388B"/>
    <w:rsid w:val="005F424E"/>
    <w:rsid w:val="005F52C8"/>
    <w:rsid w:val="005F57C1"/>
    <w:rsid w:val="005F5937"/>
    <w:rsid w:val="005F6516"/>
    <w:rsid w:val="005F65C6"/>
    <w:rsid w:val="005F6DCE"/>
    <w:rsid w:val="005F7045"/>
    <w:rsid w:val="005F71AD"/>
    <w:rsid w:val="005F76E1"/>
    <w:rsid w:val="00600012"/>
    <w:rsid w:val="006003F6"/>
    <w:rsid w:val="00600889"/>
    <w:rsid w:val="006010C7"/>
    <w:rsid w:val="006016B2"/>
    <w:rsid w:val="0060185D"/>
    <w:rsid w:val="00601A0D"/>
    <w:rsid w:val="00602322"/>
    <w:rsid w:val="006025A6"/>
    <w:rsid w:val="00602864"/>
    <w:rsid w:val="00602CCB"/>
    <w:rsid w:val="00602CE8"/>
    <w:rsid w:val="00602D37"/>
    <w:rsid w:val="006030CF"/>
    <w:rsid w:val="006031C2"/>
    <w:rsid w:val="00603586"/>
    <w:rsid w:val="00604580"/>
    <w:rsid w:val="00604629"/>
    <w:rsid w:val="00604B5C"/>
    <w:rsid w:val="00604FCB"/>
    <w:rsid w:val="006053FE"/>
    <w:rsid w:val="00605AE1"/>
    <w:rsid w:val="00605B1D"/>
    <w:rsid w:val="0060655F"/>
    <w:rsid w:val="00606E90"/>
    <w:rsid w:val="0060753D"/>
    <w:rsid w:val="006075F7"/>
    <w:rsid w:val="00607D85"/>
    <w:rsid w:val="006102B8"/>
    <w:rsid w:val="00610485"/>
    <w:rsid w:val="00610923"/>
    <w:rsid w:val="00610CE3"/>
    <w:rsid w:val="006110A4"/>
    <w:rsid w:val="006113FE"/>
    <w:rsid w:val="00611ADA"/>
    <w:rsid w:val="00611CE3"/>
    <w:rsid w:val="006121FD"/>
    <w:rsid w:val="0061234B"/>
    <w:rsid w:val="0061260E"/>
    <w:rsid w:val="0061266F"/>
    <w:rsid w:val="00612A8F"/>
    <w:rsid w:val="00612FE4"/>
    <w:rsid w:val="006132E4"/>
    <w:rsid w:val="006145C0"/>
    <w:rsid w:val="006147AB"/>
    <w:rsid w:val="006148D4"/>
    <w:rsid w:val="00614DE1"/>
    <w:rsid w:val="006151CC"/>
    <w:rsid w:val="00615304"/>
    <w:rsid w:val="00615659"/>
    <w:rsid w:val="00615A49"/>
    <w:rsid w:val="00615D7A"/>
    <w:rsid w:val="006163FE"/>
    <w:rsid w:val="00616460"/>
    <w:rsid w:val="0061683A"/>
    <w:rsid w:val="00616EE4"/>
    <w:rsid w:val="0061740C"/>
    <w:rsid w:val="00617476"/>
    <w:rsid w:val="006175EE"/>
    <w:rsid w:val="00617689"/>
    <w:rsid w:val="006179A3"/>
    <w:rsid w:val="00617EA8"/>
    <w:rsid w:val="00620054"/>
    <w:rsid w:val="006202BA"/>
    <w:rsid w:val="00620708"/>
    <w:rsid w:val="00620877"/>
    <w:rsid w:val="00620B8B"/>
    <w:rsid w:val="00620CFB"/>
    <w:rsid w:val="006211A9"/>
    <w:rsid w:val="00621319"/>
    <w:rsid w:val="0062189D"/>
    <w:rsid w:val="00621B57"/>
    <w:rsid w:val="006220D9"/>
    <w:rsid w:val="0062213C"/>
    <w:rsid w:val="006221D5"/>
    <w:rsid w:val="006222E1"/>
    <w:rsid w:val="006225B8"/>
    <w:rsid w:val="006228A0"/>
    <w:rsid w:val="00622B3D"/>
    <w:rsid w:val="00622EDC"/>
    <w:rsid w:val="00624A81"/>
    <w:rsid w:val="00624F90"/>
    <w:rsid w:val="006250AF"/>
    <w:rsid w:val="0062519E"/>
    <w:rsid w:val="006252CF"/>
    <w:rsid w:val="00625C14"/>
    <w:rsid w:val="00625FA3"/>
    <w:rsid w:val="006261E4"/>
    <w:rsid w:val="0062640B"/>
    <w:rsid w:val="00626534"/>
    <w:rsid w:val="00626843"/>
    <w:rsid w:val="00626CA7"/>
    <w:rsid w:val="00627180"/>
    <w:rsid w:val="0063058E"/>
    <w:rsid w:val="00630B1B"/>
    <w:rsid w:val="00630C56"/>
    <w:rsid w:val="00630F15"/>
    <w:rsid w:val="0063152A"/>
    <w:rsid w:val="00631549"/>
    <w:rsid w:val="00631B8B"/>
    <w:rsid w:val="00631CC3"/>
    <w:rsid w:val="00631DF0"/>
    <w:rsid w:val="006321BF"/>
    <w:rsid w:val="00632382"/>
    <w:rsid w:val="006325BF"/>
    <w:rsid w:val="006328F7"/>
    <w:rsid w:val="006329D3"/>
    <w:rsid w:val="00632AFB"/>
    <w:rsid w:val="00632BDA"/>
    <w:rsid w:val="00632CD4"/>
    <w:rsid w:val="00632FB1"/>
    <w:rsid w:val="006330CD"/>
    <w:rsid w:val="0063332C"/>
    <w:rsid w:val="00633403"/>
    <w:rsid w:val="00633A08"/>
    <w:rsid w:val="00633E12"/>
    <w:rsid w:val="006341F7"/>
    <w:rsid w:val="0063472F"/>
    <w:rsid w:val="00634AB5"/>
    <w:rsid w:val="00634DE3"/>
    <w:rsid w:val="00634E92"/>
    <w:rsid w:val="006350D6"/>
    <w:rsid w:val="0063512B"/>
    <w:rsid w:val="00635D1F"/>
    <w:rsid w:val="00636851"/>
    <w:rsid w:val="0063732E"/>
    <w:rsid w:val="0063781E"/>
    <w:rsid w:val="006400FF"/>
    <w:rsid w:val="00640407"/>
    <w:rsid w:val="0064048B"/>
    <w:rsid w:val="0064192E"/>
    <w:rsid w:val="00641A26"/>
    <w:rsid w:val="00641C9D"/>
    <w:rsid w:val="00641CAF"/>
    <w:rsid w:val="00641E92"/>
    <w:rsid w:val="006422C1"/>
    <w:rsid w:val="00642A29"/>
    <w:rsid w:val="00642AF5"/>
    <w:rsid w:val="00642BBF"/>
    <w:rsid w:val="00642F4C"/>
    <w:rsid w:val="0064301D"/>
    <w:rsid w:val="00643243"/>
    <w:rsid w:val="00643D73"/>
    <w:rsid w:val="0064461B"/>
    <w:rsid w:val="00644827"/>
    <w:rsid w:val="00644A32"/>
    <w:rsid w:val="00644A45"/>
    <w:rsid w:val="006452B2"/>
    <w:rsid w:val="0064594F"/>
    <w:rsid w:val="00645BD0"/>
    <w:rsid w:val="00645EBF"/>
    <w:rsid w:val="0064603B"/>
    <w:rsid w:val="006460B5"/>
    <w:rsid w:val="00646108"/>
    <w:rsid w:val="00646525"/>
    <w:rsid w:val="00646771"/>
    <w:rsid w:val="00646B04"/>
    <w:rsid w:val="00646D22"/>
    <w:rsid w:val="006474AD"/>
    <w:rsid w:val="0064769A"/>
    <w:rsid w:val="00647909"/>
    <w:rsid w:val="00647CE9"/>
    <w:rsid w:val="00647D86"/>
    <w:rsid w:val="0065029B"/>
    <w:rsid w:val="00650544"/>
    <w:rsid w:val="00650AC0"/>
    <w:rsid w:val="00651253"/>
    <w:rsid w:val="00651FA8"/>
    <w:rsid w:val="00652499"/>
    <w:rsid w:val="006524A9"/>
    <w:rsid w:val="006525CE"/>
    <w:rsid w:val="0065299C"/>
    <w:rsid w:val="00652BA4"/>
    <w:rsid w:val="00652CE6"/>
    <w:rsid w:val="00652CFB"/>
    <w:rsid w:val="00653425"/>
    <w:rsid w:val="006535CD"/>
    <w:rsid w:val="006538D3"/>
    <w:rsid w:val="0065425D"/>
    <w:rsid w:val="006543C8"/>
    <w:rsid w:val="00654AB9"/>
    <w:rsid w:val="00654B7D"/>
    <w:rsid w:val="00654CB0"/>
    <w:rsid w:val="00654FCB"/>
    <w:rsid w:val="006550F8"/>
    <w:rsid w:val="00655519"/>
    <w:rsid w:val="0065597C"/>
    <w:rsid w:val="00655BF3"/>
    <w:rsid w:val="00655C48"/>
    <w:rsid w:val="00655CE2"/>
    <w:rsid w:val="006562D7"/>
    <w:rsid w:val="006563A8"/>
    <w:rsid w:val="0065650B"/>
    <w:rsid w:val="00656617"/>
    <w:rsid w:val="00656F5F"/>
    <w:rsid w:val="00657049"/>
    <w:rsid w:val="00657385"/>
    <w:rsid w:val="00657709"/>
    <w:rsid w:val="0066038E"/>
    <w:rsid w:val="00661063"/>
    <w:rsid w:val="0066122D"/>
    <w:rsid w:val="0066130D"/>
    <w:rsid w:val="0066167D"/>
    <w:rsid w:val="006617B4"/>
    <w:rsid w:val="00661967"/>
    <w:rsid w:val="0066200B"/>
    <w:rsid w:val="00662B47"/>
    <w:rsid w:val="006630F4"/>
    <w:rsid w:val="00663196"/>
    <w:rsid w:val="00663369"/>
    <w:rsid w:val="00663406"/>
    <w:rsid w:val="00663682"/>
    <w:rsid w:val="00663C8E"/>
    <w:rsid w:val="00663CDA"/>
    <w:rsid w:val="00663D72"/>
    <w:rsid w:val="00664353"/>
    <w:rsid w:val="00664D75"/>
    <w:rsid w:val="00664E8B"/>
    <w:rsid w:val="006651CD"/>
    <w:rsid w:val="00665686"/>
    <w:rsid w:val="0066580A"/>
    <w:rsid w:val="0066582F"/>
    <w:rsid w:val="00665C87"/>
    <w:rsid w:val="006660DE"/>
    <w:rsid w:val="00666131"/>
    <w:rsid w:val="00666169"/>
    <w:rsid w:val="0066678C"/>
    <w:rsid w:val="00666E3E"/>
    <w:rsid w:val="00667391"/>
    <w:rsid w:val="00667579"/>
    <w:rsid w:val="00667747"/>
    <w:rsid w:val="0066788B"/>
    <w:rsid w:val="00667D51"/>
    <w:rsid w:val="00670169"/>
    <w:rsid w:val="006702C9"/>
    <w:rsid w:val="00670390"/>
    <w:rsid w:val="00670403"/>
    <w:rsid w:val="00670405"/>
    <w:rsid w:val="0067077C"/>
    <w:rsid w:val="006708A5"/>
    <w:rsid w:val="006715D3"/>
    <w:rsid w:val="00671B3E"/>
    <w:rsid w:val="00671BB2"/>
    <w:rsid w:val="0067228F"/>
    <w:rsid w:val="00672A59"/>
    <w:rsid w:val="00672D38"/>
    <w:rsid w:val="00672E3E"/>
    <w:rsid w:val="00672F07"/>
    <w:rsid w:val="006731B4"/>
    <w:rsid w:val="006732B5"/>
    <w:rsid w:val="0067333B"/>
    <w:rsid w:val="006738F8"/>
    <w:rsid w:val="00673B0B"/>
    <w:rsid w:val="00673C34"/>
    <w:rsid w:val="00673D0B"/>
    <w:rsid w:val="0067433C"/>
    <w:rsid w:val="00674400"/>
    <w:rsid w:val="00674A02"/>
    <w:rsid w:val="00675118"/>
    <w:rsid w:val="00675ECC"/>
    <w:rsid w:val="00675F0E"/>
    <w:rsid w:val="00675F45"/>
    <w:rsid w:val="00676096"/>
    <w:rsid w:val="00676276"/>
    <w:rsid w:val="00676487"/>
    <w:rsid w:val="00676557"/>
    <w:rsid w:val="0067684A"/>
    <w:rsid w:val="0067692C"/>
    <w:rsid w:val="00676A67"/>
    <w:rsid w:val="00676BB6"/>
    <w:rsid w:val="00676D56"/>
    <w:rsid w:val="00676DC8"/>
    <w:rsid w:val="00677200"/>
    <w:rsid w:val="006777D3"/>
    <w:rsid w:val="00677891"/>
    <w:rsid w:val="00677930"/>
    <w:rsid w:val="00677D6E"/>
    <w:rsid w:val="00677D8C"/>
    <w:rsid w:val="006801FC"/>
    <w:rsid w:val="006804D7"/>
    <w:rsid w:val="006808DB"/>
    <w:rsid w:val="00680982"/>
    <w:rsid w:val="0068122B"/>
    <w:rsid w:val="0068139B"/>
    <w:rsid w:val="0068155C"/>
    <w:rsid w:val="006818AF"/>
    <w:rsid w:val="006818F2"/>
    <w:rsid w:val="00681B32"/>
    <w:rsid w:val="00681C3F"/>
    <w:rsid w:val="00681DE0"/>
    <w:rsid w:val="00682155"/>
    <w:rsid w:val="0068217F"/>
    <w:rsid w:val="00682470"/>
    <w:rsid w:val="006826BD"/>
    <w:rsid w:val="00682795"/>
    <w:rsid w:val="00682801"/>
    <w:rsid w:val="00682CE7"/>
    <w:rsid w:val="00683140"/>
    <w:rsid w:val="0068330F"/>
    <w:rsid w:val="006833A1"/>
    <w:rsid w:val="00683461"/>
    <w:rsid w:val="0068356E"/>
    <w:rsid w:val="00683C1C"/>
    <w:rsid w:val="006841B1"/>
    <w:rsid w:val="006849E4"/>
    <w:rsid w:val="006851A1"/>
    <w:rsid w:val="00685F4F"/>
    <w:rsid w:val="006863E1"/>
    <w:rsid w:val="00686877"/>
    <w:rsid w:val="00687150"/>
    <w:rsid w:val="00687451"/>
    <w:rsid w:val="00687640"/>
    <w:rsid w:val="00687757"/>
    <w:rsid w:val="00687973"/>
    <w:rsid w:val="00687EB9"/>
    <w:rsid w:val="0069013D"/>
    <w:rsid w:val="006904D8"/>
    <w:rsid w:val="00690608"/>
    <w:rsid w:val="006907B0"/>
    <w:rsid w:val="00690B49"/>
    <w:rsid w:val="00690C29"/>
    <w:rsid w:val="006911C7"/>
    <w:rsid w:val="00691718"/>
    <w:rsid w:val="00691DC6"/>
    <w:rsid w:val="00691DCF"/>
    <w:rsid w:val="00691F8F"/>
    <w:rsid w:val="0069219C"/>
    <w:rsid w:val="006921EF"/>
    <w:rsid w:val="006925C8"/>
    <w:rsid w:val="00692900"/>
    <w:rsid w:val="00692FFB"/>
    <w:rsid w:val="006930F7"/>
    <w:rsid w:val="00693197"/>
    <w:rsid w:val="00693B00"/>
    <w:rsid w:val="00694701"/>
    <w:rsid w:val="006948A9"/>
    <w:rsid w:val="00694CF4"/>
    <w:rsid w:val="00694D17"/>
    <w:rsid w:val="00694D84"/>
    <w:rsid w:val="0069510C"/>
    <w:rsid w:val="0069548B"/>
    <w:rsid w:val="006954BB"/>
    <w:rsid w:val="0069550B"/>
    <w:rsid w:val="0069564B"/>
    <w:rsid w:val="006958B4"/>
    <w:rsid w:val="00696345"/>
    <w:rsid w:val="006966E7"/>
    <w:rsid w:val="00696887"/>
    <w:rsid w:val="00696A3D"/>
    <w:rsid w:val="00696AE2"/>
    <w:rsid w:val="00696BFD"/>
    <w:rsid w:val="00696C68"/>
    <w:rsid w:val="00697C37"/>
    <w:rsid w:val="006A002D"/>
    <w:rsid w:val="006A02FF"/>
    <w:rsid w:val="006A07FA"/>
    <w:rsid w:val="006A0B54"/>
    <w:rsid w:val="006A0CD5"/>
    <w:rsid w:val="006A1021"/>
    <w:rsid w:val="006A12BD"/>
    <w:rsid w:val="006A12F7"/>
    <w:rsid w:val="006A13F2"/>
    <w:rsid w:val="006A1DEB"/>
    <w:rsid w:val="006A2A7B"/>
    <w:rsid w:val="006A2A8F"/>
    <w:rsid w:val="006A3F95"/>
    <w:rsid w:val="006A47D8"/>
    <w:rsid w:val="006A4C45"/>
    <w:rsid w:val="006A4FE1"/>
    <w:rsid w:val="006A5716"/>
    <w:rsid w:val="006A5A72"/>
    <w:rsid w:val="006A5EC8"/>
    <w:rsid w:val="006A5ED2"/>
    <w:rsid w:val="006A6037"/>
    <w:rsid w:val="006A6429"/>
    <w:rsid w:val="006A6D5F"/>
    <w:rsid w:val="006A73D0"/>
    <w:rsid w:val="006A74D9"/>
    <w:rsid w:val="006A77EA"/>
    <w:rsid w:val="006A7813"/>
    <w:rsid w:val="006A7C8C"/>
    <w:rsid w:val="006A7F8D"/>
    <w:rsid w:val="006B0777"/>
    <w:rsid w:val="006B15F9"/>
    <w:rsid w:val="006B1AD2"/>
    <w:rsid w:val="006B1CD5"/>
    <w:rsid w:val="006B21E8"/>
    <w:rsid w:val="006B2414"/>
    <w:rsid w:val="006B2555"/>
    <w:rsid w:val="006B2FE8"/>
    <w:rsid w:val="006B3467"/>
    <w:rsid w:val="006B364B"/>
    <w:rsid w:val="006B36F7"/>
    <w:rsid w:val="006B3BA5"/>
    <w:rsid w:val="006B3CFE"/>
    <w:rsid w:val="006B4122"/>
    <w:rsid w:val="006B4614"/>
    <w:rsid w:val="006B4618"/>
    <w:rsid w:val="006B4D0C"/>
    <w:rsid w:val="006B529E"/>
    <w:rsid w:val="006B52D9"/>
    <w:rsid w:val="006B530F"/>
    <w:rsid w:val="006B5DA6"/>
    <w:rsid w:val="006B5F54"/>
    <w:rsid w:val="006B60DD"/>
    <w:rsid w:val="006B6928"/>
    <w:rsid w:val="006B701C"/>
    <w:rsid w:val="006B709E"/>
    <w:rsid w:val="006B71CE"/>
    <w:rsid w:val="006B7858"/>
    <w:rsid w:val="006B78EF"/>
    <w:rsid w:val="006B7FA3"/>
    <w:rsid w:val="006C01BC"/>
    <w:rsid w:val="006C02AB"/>
    <w:rsid w:val="006C032E"/>
    <w:rsid w:val="006C06C5"/>
    <w:rsid w:val="006C08D6"/>
    <w:rsid w:val="006C0963"/>
    <w:rsid w:val="006C0C41"/>
    <w:rsid w:val="006C12F1"/>
    <w:rsid w:val="006C1770"/>
    <w:rsid w:val="006C1B91"/>
    <w:rsid w:val="006C1F01"/>
    <w:rsid w:val="006C2079"/>
    <w:rsid w:val="006C2784"/>
    <w:rsid w:val="006C2EF6"/>
    <w:rsid w:val="006C3379"/>
    <w:rsid w:val="006C33B1"/>
    <w:rsid w:val="006C3CAC"/>
    <w:rsid w:val="006C40C6"/>
    <w:rsid w:val="006C4E97"/>
    <w:rsid w:val="006C5457"/>
    <w:rsid w:val="006C546E"/>
    <w:rsid w:val="006C54CD"/>
    <w:rsid w:val="006C58C6"/>
    <w:rsid w:val="006C5DFD"/>
    <w:rsid w:val="006C5F1E"/>
    <w:rsid w:val="006C67AB"/>
    <w:rsid w:val="006D0313"/>
    <w:rsid w:val="006D09D0"/>
    <w:rsid w:val="006D0F6A"/>
    <w:rsid w:val="006D13D4"/>
    <w:rsid w:val="006D1446"/>
    <w:rsid w:val="006D146C"/>
    <w:rsid w:val="006D17BD"/>
    <w:rsid w:val="006D18BA"/>
    <w:rsid w:val="006D18BD"/>
    <w:rsid w:val="006D2278"/>
    <w:rsid w:val="006D26BF"/>
    <w:rsid w:val="006D2BEC"/>
    <w:rsid w:val="006D33EB"/>
    <w:rsid w:val="006D3664"/>
    <w:rsid w:val="006D39AB"/>
    <w:rsid w:val="006D3B26"/>
    <w:rsid w:val="006D441D"/>
    <w:rsid w:val="006D4D04"/>
    <w:rsid w:val="006D4E46"/>
    <w:rsid w:val="006D538A"/>
    <w:rsid w:val="006D5A72"/>
    <w:rsid w:val="006D5AB1"/>
    <w:rsid w:val="006D5E2E"/>
    <w:rsid w:val="006D5EB5"/>
    <w:rsid w:val="006D60D0"/>
    <w:rsid w:val="006D65D2"/>
    <w:rsid w:val="006D68EC"/>
    <w:rsid w:val="006D73B7"/>
    <w:rsid w:val="006D75B8"/>
    <w:rsid w:val="006D7645"/>
    <w:rsid w:val="006D7C71"/>
    <w:rsid w:val="006D7DF4"/>
    <w:rsid w:val="006D7E38"/>
    <w:rsid w:val="006E012A"/>
    <w:rsid w:val="006E04A4"/>
    <w:rsid w:val="006E05F5"/>
    <w:rsid w:val="006E0AA0"/>
    <w:rsid w:val="006E0D54"/>
    <w:rsid w:val="006E138A"/>
    <w:rsid w:val="006E1476"/>
    <w:rsid w:val="006E1A4A"/>
    <w:rsid w:val="006E1B19"/>
    <w:rsid w:val="006E1B98"/>
    <w:rsid w:val="006E1C4B"/>
    <w:rsid w:val="006E1E8F"/>
    <w:rsid w:val="006E231A"/>
    <w:rsid w:val="006E239C"/>
    <w:rsid w:val="006E30F0"/>
    <w:rsid w:val="006E3AAE"/>
    <w:rsid w:val="006E46AC"/>
    <w:rsid w:val="006E4890"/>
    <w:rsid w:val="006E5341"/>
    <w:rsid w:val="006E5368"/>
    <w:rsid w:val="006E53C4"/>
    <w:rsid w:val="006E541C"/>
    <w:rsid w:val="006E58AA"/>
    <w:rsid w:val="006E59DF"/>
    <w:rsid w:val="006E69A4"/>
    <w:rsid w:val="006E72E5"/>
    <w:rsid w:val="006E74FB"/>
    <w:rsid w:val="006F00BA"/>
    <w:rsid w:val="006F013E"/>
    <w:rsid w:val="006F05C8"/>
    <w:rsid w:val="006F184E"/>
    <w:rsid w:val="006F19CB"/>
    <w:rsid w:val="006F1B78"/>
    <w:rsid w:val="006F1F94"/>
    <w:rsid w:val="006F2102"/>
    <w:rsid w:val="006F27D2"/>
    <w:rsid w:val="006F3EAA"/>
    <w:rsid w:val="006F3F8C"/>
    <w:rsid w:val="006F4440"/>
    <w:rsid w:val="006F4550"/>
    <w:rsid w:val="006F4597"/>
    <w:rsid w:val="006F4C8C"/>
    <w:rsid w:val="006F4C97"/>
    <w:rsid w:val="006F4E49"/>
    <w:rsid w:val="006F4E7E"/>
    <w:rsid w:val="006F4F53"/>
    <w:rsid w:val="006F5287"/>
    <w:rsid w:val="006F53B6"/>
    <w:rsid w:val="006F5670"/>
    <w:rsid w:val="006F5931"/>
    <w:rsid w:val="006F60F4"/>
    <w:rsid w:val="006F64DA"/>
    <w:rsid w:val="006F6B3F"/>
    <w:rsid w:val="006F6B82"/>
    <w:rsid w:val="006F7195"/>
    <w:rsid w:val="006F7277"/>
    <w:rsid w:val="006F74D1"/>
    <w:rsid w:val="006F765C"/>
    <w:rsid w:val="006F76FB"/>
    <w:rsid w:val="007000F9"/>
    <w:rsid w:val="007001A2"/>
    <w:rsid w:val="00700BAB"/>
    <w:rsid w:val="00700CF0"/>
    <w:rsid w:val="00700E01"/>
    <w:rsid w:val="00700F7E"/>
    <w:rsid w:val="00701078"/>
    <w:rsid w:val="00701E82"/>
    <w:rsid w:val="00701EAE"/>
    <w:rsid w:val="007022C2"/>
    <w:rsid w:val="007027CF"/>
    <w:rsid w:val="0070310B"/>
    <w:rsid w:val="0070387C"/>
    <w:rsid w:val="00703C66"/>
    <w:rsid w:val="0070432B"/>
    <w:rsid w:val="00704384"/>
    <w:rsid w:val="00704B39"/>
    <w:rsid w:val="00705198"/>
    <w:rsid w:val="0070522C"/>
    <w:rsid w:val="0070533C"/>
    <w:rsid w:val="00705873"/>
    <w:rsid w:val="00705AC9"/>
    <w:rsid w:val="00705DD3"/>
    <w:rsid w:val="00706B16"/>
    <w:rsid w:val="00706B87"/>
    <w:rsid w:val="00706F9E"/>
    <w:rsid w:val="007071AA"/>
    <w:rsid w:val="007077EC"/>
    <w:rsid w:val="00707A40"/>
    <w:rsid w:val="00707C16"/>
    <w:rsid w:val="00707C72"/>
    <w:rsid w:val="00710288"/>
    <w:rsid w:val="007102DA"/>
    <w:rsid w:val="00710BF9"/>
    <w:rsid w:val="00710F08"/>
    <w:rsid w:val="00711439"/>
    <w:rsid w:val="007121F1"/>
    <w:rsid w:val="007126D0"/>
    <w:rsid w:val="00713345"/>
    <w:rsid w:val="00713589"/>
    <w:rsid w:val="00713696"/>
    <w:rsid w:val="007137C7"/>
    <w:rsid w:val="0071484C"/>
    <w:rsid w:val="00714C7D"/>
    <w:rsid w:val="00714C88"/>
    <w:rsid w:val="00714CB9"/>
    <w:rsid w:val="00714F33"/>
    <w:rsid w:val="007154A7"/>
    <w:rsid w:val="00715657"/>
    <w:rsid w:val="00715A21"/>
    <w:rsid w:val="00715C31"/>
    <w:rsid w:val="00715CAC"/>
    <w:rsid w:val="00715E5E"/>
    <w:rsid w:val="007160BA"/>
    <w:rsid w:val="00716264"/>
    <w:rsid w:val="007167F4"/>
    <w:rsid w:val="00716A90"/>
    <w:rsid w:val="00716D87"/>
    <w:rsid w:val="007170A2"/>
    <w:rsid w:val="00717F16"/>
    <w:rsid w:val="007203E1"/>
    <w:rsid w:val="0072040B"/>
    <w:rsid w:val="00720718"/>
    <w:rsid w:val="00720804"/>
    <w:rsid w:val="007214BA"/>
    <w:rsid w:val="00721506"/>
    <w:rsid w:val="00721790"/>
    <w:rsid w:val="00721878"/>
    <w:rsid w:val="0072188A"/>
    <w:rsid w:val="00721FEE"/>
    <w:rsid w:val="007222C7"/>
    <w:rsid w:val="007226AF"/>
    <w:rsid w:val="00722FE1"/>
    <w:rsid w:val="0072333D"/>
    <w:rsid w:val="007236C5"/>
    <w:rsid w:val="007237A5"/>
    <w:rsid w:val="00723D7F"/>
    <w:rsid w:val="007246CE"/>
    <w:rsid w:val="00724F9F"/>
    <w:rsid w:val="0072505F"/>
    <w:rsid w:val="00725335"/>
    <w:rsid w:val="007259FF"/>
    <w:rsid w:val="00725E06"/>
    <w:rsid w:val="00725F32"/>
    <w:rsid w:val="00726149"/>
    <w:rsid w:val="00726185"/>
    <w:rsid w:val="007261AB"/>
    <w:rsid w:val="00726472"/>
    <w:rsid w:val="00726893"/>
    <w:rsid w:val="00726894"/>
    <w:rsid w:val="00726981"/>
    <w:rsid w:val="00726C85"/>
    <w:rsid w:val="00727D90"/>
    <w:rsid w:val="007303BB"/>
    <w:rsid w:val="00730872"/>
    <w:rsid w:val="00730C3E"/>
    <w:rsid w:val="00730FF8"/>
    <w:rsid w:val="0073122B"/>
    <w:rsid w:val="00731E08"/>
    <w:rsid w:val="00731EDE"/>
    <w:rsid w:val="00731EE4"/>
    <w:rsid w:val="00731F9B"/>
    <w:rsid w:val="0073240F"/>
    <w:rsid w:val="007325DA"/>
    <w:rsid w:val="007328DE"/>
    <w:rsid w:val="00732BA5"/>
    <w:rsid w:val="00732C98"/>
    <w:rsid w:val="00732F19"/>
    <w:rsid w:val="00732FF3"/>
    <w:rsid w:val="00733436"/>
    <w:rsid w:val="00733659"/>
    <w:rsid w:val="00733890"/>
    <w:rsid w:val="007338D0"/>
    <w:rsid w:val="00733B24"/>
    <w:rsid w:val="00734069"/>
    <w:rsid w:val="007340A8"/>
    <w:rsid w:val="00734131"/>
    <w:rsid w:val="00734538"/>
    <w:rsid w:val="007347C4"/>
    <w:rsid w:val="0073483C"/>
    <w:rsid w:val="00734904"/>
    <w:rsid w:val="0073492B"/>
    <w:rsid w:val="007349BC"/>
    <w:rsid w:val="00734C25"/>
    <w:rsid w:val="00734F75"/>
    <w:rsid w:val="007353AA"/>
    <w:rsid w:val="0073581F"/>
    <w:rsid w:val="007359F7"/>
    <w:rsid w:val="00735B8C"/>
    <w:rsid w:val="007363B0"/>
    <w:rsid w:val="00736420"/>
    <w:rsid w:val="007365B4"/>
    <w:rsid w:val="007373C9"/>
    <w:rsid w:val="00740455"/>
    <w:rsid w:val="00740A81"/>
    <w:rsid w:val="0074122A"/>
    <w:rsid w:val="00741524"/>
    <w:rsid w:val="007417ED"/>
    <w:rsid w:val="00741F4E"/>
    <w:rsid w:val="007422AB"/>
    <w:rsid w:val="007424CC"/>
    <w:rsid w:val="00742648"/>
    <w:rsid w:val="007427CD"/>
    <w:rsid w:val="0074282F"/>
    <w:rsid w:val="00743D6D"/>
    <w:rsid w:val="00743FB4"/>
    <w:rsid w:val="0074400B"/>
    <w:rsid w:val="00744055"/>
    <w:rsid w:val="00744208"/>
    <w:rsid w:val="0074478B"/>
    <w:rsid w:val="0074488B"/>
    <w:rsid w:val="00744910"/>
    <w:rsid w:val="0074524B"/>
    <w:rsid w:val="0074553D"/>
    <w:rsid w:val="00745639"/>
    <w:rsid w:val="00745ADD"/>
    <w:rsid w:val="0074604B"/>
    <w:rsid w:val="007460A7"/>
    <w:rsid w:val="00746359"/>
    <w:rsid w:val="00746B90"/>
    <w:rsid w:val="00746DC3"/>
    <w:rsid w:val="007474A4"/>
    <w:rsid w:val="00747806"/>
    <w:rsid w:val="00747B50"/>
    <w:rsid w:val="00747DEA"/>
    <w:rsid w:val="007500DF"/>
    <w:rsid w:val="00750291"/>
    <w:rsid w:val="0075032E"/>
    <w:rsid w:val="007513EF"/>
    <w:rsid w:val="00751A1A"/>
    <w:rsid w:val="00752288"/>
    <w:rsid w:val="00752290"/>
    <w:rsid w:val="00752375"/>
    <w:rsid w:val="0075244B"/>
    <w:rsid w:val="00752781"/>
    <w:rsid w:val="00752BF6"/>
    <w:rsid w:val="00752CF0"/>
    <w:rsid w:val="0075333C"/>
    <w:rsid w:val="00753421"/>
    <w:rsid w:val="00753EED"/>
    <w:rsid w:val="00753F9C"/>
    <w:rsid w:val="007541A2"/>
    <w:rsid w:val="007544AE"/>
    <w:rsid w:val="00754526"/>
    <w:rsid w:val="0075454F"/>
    <w:rsid w:val="007549AA"/>
    <w:rsid w:val="00754A08"/>
    <w:rsid w:val="00754AF9"/>
    <w:rsid w:val="007554A3"/>
    <w:rsid w:val="007558B9"/>
    <w:rsid w:val="00755FA9"/>
    <w:rsid w:val="00756370"/>
    <w:rsid w:val="00756715"/>
    <w:rsid w:val="007569B6"/>
    <w:rsid w:val="00756A4E"/>
    <w:rsid w:val="00756CD6"/>
    <w:rsid w:val="00756D94"/>
    <w:rsid w:val="00756DC3"/>
    <w:rsid w:val="00756E35"/>
    <w:rsid w:val="00756E43"/>
    <w:rsid w:val="00757185"/>
    <w:rsid w:val="00760124"/>
    <w:rsid w:val="00760233"/>
    <w:rsid w:val="00760E91"/>
    <w:rsid w:val="00761722"/>
    <w:rsid w:val="007618D9"/>
    <w:rsid w:val="00761941"/>
    <w:rsid w:val="00761A29"/>
    <w:rsid w:val="007620B2"/>
    <w:rsid w:val="007622B9"/>
    <w:rsid w:val="007624D3"/>
    <w:rsid w:val="00763152"/>
    <w:rsid w:val="00763CF4"/>
    <w:rsid w:val="00763D32"/>
    <w:rsid w:val="0076437F"/>
    <w:rsid w:val="00764404"/>
    <w:rsid w:val="0076445C"/>
    <w:rsid w:val="00764BE3"/>
    <w:rsid w:val="00764C0C"/>
    <w:rsid w:val="00764C4F"/>
    <w:rsid w:val="00765326"/>
    <w:rsid w:val="0076558E"/>
    <w:rsid w:val="00765758"/>
    <w:rsid w:val="007658D7"/>
    <w:rsid w:val="00765BE0"/>
    <w:rsid w:val="00766558"/>
    <w:rsid w:val="007668E5"/>
    <w:rsid w:val="00766C14"/>
    <w:rsid w:val="00766C1D"/>
    <w:rsid w:val="00766FEB"/>
    <w:rsid w:val="00767899"/>
    <w:rsid w:val="007679DF"/>
    <w:rsid w:val="00767C45"/>
    <w:rsid w:val="00767F64"/>
    <w:rsid w:val="00770277"/>
    <w:rsid w:val="00770894"/>
    <w:rsid w:val="00770972"/>
    <w:rsid w:val="00770C04"/>
    <w:rsid w:val="00770DF5"/>
    <w:rsid w:val="007712E0"/>
    <w:rsid w:val="007715E1"/>
    <w:rsid w:val="0077168D"/>
    <w:rsid w:val="00771C77"/>
    <w:rsid w:val="00771F76"/>
    <w:rsid w:val="00771FA2"/>
    <w:rsid w:val="00772B19"/>
    <w:rsid w:val="00772C3E"/>
    <w:rsid w:val="00772DAB"/>
    <w:rsid w:val="007733C7"/>
    <w:rsid w:val="007736FB"/>
    <w:rsid w:val="00773AC7"/>
    <w:rsid w:val="00773D02"/>
    <w:rsid w:val="007747E1"/>
    <w:rsid w:val="00774D44"/>
    <w:rsid w:val="007751C2"/>
    <w:rsid w:val="00775362"/>
    <w:rsid w:val="0077598E"/>
    <w:rsid w:val="007760D9"/>
    <w:rsid w:val="007760E8"/>
    <w:rsid w:val="00776B00"/>
    <w:rsid w:val="00776E84"/>
    <w:rsid w:val="0077718F"/>
    <w:rsid w:val="007771A2"/>
    <w:rsid w:val="0077756F"/>
    <w:rsid w:val="00777826"/>
    <w:rsid w:val="00777926"/>
    <w:rsid w:val="00777E43"/>
    <w:rsid w:val="00777F72"/>
    <w:rsid w:val="00780FA7"/>
    <w:rsid w:val="00781146"/>
    <w:rsid w:val="0078159F"/>
    <w:rsid w:val="00781631"/>
    <w:rsid w:val="0078184F"/>
    <w:rsid w:val="00781904"/>
    <w:rsid w:val="00781B54"/>
    <w:rsid w:val="00782993"/>
    <w:rsid w:val="00782B2C"/>
    <w:rsid w:val="00783388"/>
    <w:rsid w:val="007835BB"/>
    <w:rsid w:val="007835C4"/>
    <w:rsid w:val="007837CE"/>
    <w:rsid w:val="00783930"/>
    <w:rsid w:val="00783AFE"/>
    <w:rsid w:val="00783DB3"/>
    <w:rsid w:val="00783E3C"/>
    <w:rsid w:val="00783FA2"/>
    <w:rsid w:val="00784267"/>
    <w:rsid w:val="00784401"/>
    <w:rsid w:val="00785904"/>
    <w:rsid w:val="00785BC5"/>
    <w:rsid w:val="00786712"/>
    <w:rsid w:val="007872A8"/>
    <w:rsid w:val="007877E1"/>
    <w:rsid w:val="007877F6"/>
    <w:rsid w:val="00787819"/>
    <w:rsid w:val="00790064"/>
    <w:rsid w:val="007904D2"/>
    <w:rsid w:val="0079080F"/>
    <w:rsid w:val="00790A8E"/>
    <w:rsid w:val="0079105E"/>
    <w:rsid w:val="0079167F"/>
    <w:rsid w:val="007918B1"/>
    <w:rsid w:val="007918EF"/>
    <w:rsid w:val="00791912"/>
    <w:rsid w:val="007922BA"/>
    <w:rsid w:val="00792444"/>
    <w:rsid w:val="00792C25"/>
    <w:rsid w:val="00792C72"/>
    <w:rsid w:val="00792D6B"/>
    <w:rsid w:val="00792D6D"/>
    <w:rsid w:val="00793382"/>
    <w:rsid w:val="0079354E"/>
    <w:rsid w:val="00793C31"/>
    <w:rsid w:val="00793CAB"/>
    <w:rsid w:val="00793CB9"/>
    <w:rsid w:val="00793CF5"/>
    <w:rsid w:val="00793CF8"/>
    <w:rsid w:val="007948F9"/>
    <w:rsid w:val="00794E3E"/>
    <w:rsid w:val="00795284"/>
    <w:rsid w:val="007959A8"/>
    <w:rsid w:val="0079617C"/>
    <w:rsid w:val="007967B2"/>
    <w:rsid w:val="00796899"/>
    <w:rsid w:val="00796B58"/>
    <w:rsid w:val="00796BD2"/>
    <w:rsid w:val="0079745A"/>
    <w:rsid w:val="007974EC"/>
    <w:rsid w:val="00797BC1"/>
    <w:rsid w:val="00797CEF"/>
    <w:rsid w:val="00797FB8"/>
    <w:rsid w:val="007A0054"/>
    <w:rsid w:val="007A006E"/>
    <w:rsid w:val="007A00C8"/>
    <w:rsid w:val="007A059A"/>
    <w:rsid w:val="007A05A0"/>
    <w:rsid w:val="007A0A2F"/>
    <w:rsid w:val="007A1005"/>
    <w:rsid w:val="007A11E7"/>
    <w:rsid w:val="007A1847"/>
    <w:rsid w:val="007A1DA4"/>
    <w:rsid w:val="007A20CF"/>
    <w:rsid w:val="007A2481"/>
    <w:rsid w:val="007A2C5F"/>
    <w:rsid w:val="007A37AB"/>
    <w:rsid w:val="007A3F25"/>
    <w:rsid w:val="007A3F8F"/>
    <w:rsid w:val="007A44D7"/>
    <w:rsid w:val="007A494A"/>
    <w:rsid w:val="007A4ADC"/>
    <w:rsid w:val="007A4C87"/>
    <w:rsid w:val="007A4DB7"/>
    <w:rsid w:val="007A4E49"/>
    <w:rsid w:val="007A4FE5"/>
    <w:rsid w:val="007A5417"/>
    <w:rsid w:val="007A5D29"/>
    <w:rsid w:val="007A618B"/>
    <w:rsid w:val="007A61A4"/>
    <w:rsid w:val="007A66D7"/>
    <w:rsid w:val="007A69C7"/>
    <w:rsid w:val="007A6C8A"/>
    <w:rsid w:val="007A6D7E"/>
    <w:rsid w:val="007A7158"/>
    <w:rsid w:val="007A79A4"/>
    <w:rsid w:val="007A7A2F"/>
    <w:rsid w:val="007A7C03"/>
    <w:rsid w:val="007B011A"/>
    <w:rsid w:val="007B014D"/>
    <w:rsid w:val="007B15B2"/>
    <w:rsid w:val="007B1B56"/>
    <w:rsid w:val="007B2197"/>
    <w:rsid w:val="007B32D9"/>
    <w:rsid w:val="007B37F9"/>
    <w:rsid w:val="007B3AC5"/>
    <w:rsid w:val="007B3C1C"/>
    <w:rsid w:val="007B3E27"/>
    <w:rsid w:val="007B3EA4"/>
    <w:rsid w:val="007B40CA"/>
    <w:rsid w:val="007B42AC"/>
    <w:rsid w:val="007B45EA"/>
    <w:rsid w:val="007B464B"/>
    <w:rsid w:val="007B47EB"/>
    <w:rsid w:val="007B4F88"/>
    <w:rsid w:val="007B5241"/>
    <w:rsid w:val="007B563A"/>
    <w:rsid w:val="007B597C"/>
    <w:rsid w:val="007B5B00"/>
    <w:rsid w:val="007B624A"/>
    <w:rsid w:val="007B6259"/>
    <w:rsid w:val="007B6291"/>
    <w:rsid w:val="007B62E7"/>
    <w:rsid w:val="007B6485"/>
    <w:rsid w:val="007B72A1"/>
    <w:rsid w:val="007B73A0"/>
    <w:rsid w:val="007B7760"/>
    <w:rsid w:val="007B7AA4"/>
    <w:rsid w:val="007B7C0F"/>
    <w:rsid w:val="007C0631"/>
    <w:rsid w:val="007C06BB"/>
    <w:rsid w:val="007C07E5"/>
    <w:rsid w:val="007C0D10"/>
    <w:rsid w:val="007C0DE4"/>
    <w:rsid w:val="007C0F30"/>
    <w:rsid w:val="007C1157"/>
    <w:rsid w:val="007C162E"/>
    <w:rsid w:val="007C1D36"/>
    <w:rsid w:val="007C1E6D"/>
    <w:rsid w:val="007C243B"/>
    <w:rsid w:val="007C285E"/>
    <w:rsid w:val="007C29B7"/>
    <w:rsid w:val="007C2E69"/>
    <w:rsid w:val="007C318F"/>
    <w:rsid w:val="007C323F"/>
    <w:rsid w:val="007C3376"/>
    <w:rsid w:val="007C3907"/>
    <w:rsid w:val="007C3AC9"/>
    <w:rsid w:val="007C3AD3"/>
    <w:rsid w:val="007C3B12"/>
    <w:rsid w:val="007C3B45"/>
    <w:rsid w:val="007C3CE2"/>
    <w:rsid w:val="007C3EDF"/>
    <w:rsid w:val="007C4994"/>
    <w:rsid w:val="007C50B9"/>
    <w:rsid w:val="007C5100"/>
    <w:rsid w:val="007C54A0"/>
    <w:rsid w:val="007C6214"/>
    <w:rsid w:val="007C69DD"/>
    <w:rsid w:val="007C6A76"/>
    <w:rsid w:val="007C6D0F"/>
    <w:rsid w:val="007C6DF1"/>
    <w:rsid w:val="007C74E7"/>
    <w:rsid w:val="007C7779"/>
    <w:rsid w:val="007C7B97"/>
    <w:rsid w:val="007C7D54"/>
    <w:rsid w:val="007D08AA"/>
    <w:rsid w:val="007D08C5"/>
    <w:rsid w:val="007D0920"/>
    <w:rsid w:val="007D0D51"/>
    <w:rsid w:val="007D0EF9"/>
    <w:rsid w:val="007D128C"/>
    <w:rsid w:val="007D195C"/>
    <w:rsid w:val="007D1CD9"/>
    <w:rsid w:val="007D1D6F"/>
    <w:rsid w:val="007D2084"/>
    <w:rsid w:val="007D2C19"/>
    <w:rsid w:val="007D2C39"/>
    <w:rsid w:val="007D2CE5"/>
    <w:rsid w:val="007D2CF9"/>
    <w:rsid w:val="007D35E5"/>
    <w:rsid w:val="007D3615"/>
    <w:rsid w:val="007D45B6"/>
    <w:rsid w:val="007D48E9"/>
    <w:rsid w:val="007D4B49"/>
    <w:rsid w:val="007D4F34"/>
    <w:rsid w:val="007D5028"/>
    <w:rsid w:val="007D530C"/>
    <w:rsid w:val="007D5592"/>
    <w:rsid w:val="007D5787"/>
    <w:rsid w:val="007D58CA"/>
    <w:rsid w:val="007D63BF"/>
    <w:rsid w:val="007D6D18"/>
    <w:rsid w:val="007D6E9F"/>
    <w:rsid w:val="007D7F3C"/>
    <w:rsid w:val="007E0459"/>
    <w:rsid w:val="007E0A3A"/>
    <w:rsid w:val="007E0D0B"/>
    <w:rsid w:val="007E10A3"/>
    <w:rsid w:val="007E203A"/>
    <w:rsid w:val="007E24FC"/>
    <w:rsid w:val="007E2A61"/>
    <w:rsid w:val="007E2B7E"/>
    <w:rsid w:val="007E307F"/>
    <w:rsid w:val="007E30FE"/>
    <w:rsid w:val="007E312C"/>
    <w:rsid w:val="007E3AD9"/>
    <w:rsid w:val="007E3BCD"/>
    <w:rsid w:val="007E3E66"/>
    <w:rsid w:val="007E4747"/>
    <w:rsid w:val="007E49E2"/>
    <w:rsid w:val="007E4A7E"/>
    <w:rsid w:val="007E4C3B"/>
    <w:rsid w:val="007E580D"/>
    <w:rsid w:val="007E589B"/>
    <w:rsid w:val="007E5A26"/>
    <w:rsid w:val="007E5CF6"/>
    <w:rsid w:val="007E6823"/>
    <w:rsid w:val="007E6A1E"/>
    <w:rsid w:val="007E6F89"/>
    <w:rsid w:val="007E6FA9"/>
    <w:rsid w:val="007E741E"/>
    <w:rsid w:val="007E7AA9"/>
    <w:rsid w:val="007F0501"/>
    <w:rsid w:val="007F057C"/>
    <w:rsid w:val="007F0B88"/>
    <w:rsid w:val="007F0CD3"/>
    <w:rsid w:val="007F10DC"/>
    <w:rsid w:val="007F111F"/>
    <w:rsid w:val="007F14C3"/>
    <w:rsid w:val="007F1C00"/>
    <w:rsid w:val="007F2478"/>
    <w:rsid w:val="007F24C0"/>
    <w:rsid w:val="007F2706"/>
    <w:rsid w:val="007F2AA4"/>
    <w:rsid w:val="007F2AC1"/>
    <w:rsid w:val="007F3538"/>
    <w:rsid w:val="007F395E"/>
    <w:rsid w:val="007F4003"/>
    <w:rsid w:val="007F46C7"/>
    <w:rsid w:val="007F496E"/>
    <w:rsid w:val="007F4B56"/>
    <w:rsid w:val="007F4CCD"/>
    <w:rsid w:val="007F4FF9"/>
    <w:rsid w:val="007F532D"/>
    <w:rsid w:val="007F543D"/>
    <w:rsid w:val="007F5815"/>
    <w:rsid w:val="007F5954"/>
    <w:rsid w:val="007F5BFE"/>
    <w:rsid w:val="007F60E1"/>
    <w:rsid w:val="007F63C1"/>
    <w:rsid w:val="007F64F5"/>
    <w:rsid w:val="007F6AA7"/>
    <w:rsid w:val="007F6BB8"/>
    <w:rsid w:val="007F75B3"/>
    <w:rsid w:val="007F7995"/>
    <w:rsid w:val="007F7BD0"/>
    <w:rsid w:val="007F7F43"/>
    <w:rsid w:val="00800189"/>
    <w:rsid w:val="008008CB"/>
    <w:rsid w:val="0080125E"/>
    <w:rsid w:val="0080133D"/>
    <w:rsid w:val="008016E5"/>
    <w:rsid w:val="00801B3C"/>
    <w:rsid w:val="00802357"/>
    <w:rsid w:val="008026D4"/>
    <w:rsid w:val="00802E25"/>
    <w:rsid w:val="0080338F"/>
    <w:rsid w:val="008033B2"/>
    <w:rsid w:val="008035F7"/>
    <w:rsid w:val="00803A9C"/>
    <w:rsid w:val="00803FC3"/>
    <w:rsid w:val="00804110"/>
    <w:rsid w:val="0080418B"/>
    <w:rsid w:val="008041F6"/>
    <w:rsid w:val="00804493"/>
    <w:rsid w:val="00804A3A"/>
    <w:rsid w:val="00804F3A"/>
    <w:rsid w:val="0080525D"/>
    <w:rsid w:val="008055EE"/>
    <w:rsid w:val="0080585C"/>
    <w:rsid w:val="00805ACA"/>
    <w:rsid w:val="008061FA"/>
    <w:rsid w:val="008062F5"/>
    <w:rsid w:val="00806509"/>
    <w:rsid w:val="00806754"/>
    <w:rsid w:val="00806C74"/>
    <w:rsid w:val="00807122"/>
    <w:rsid w:val="00807325"/>
    <w:rsid w:val="00807624"/>
    <w:rsid w:val="008103F1"/>
    <w:rsid w:val="00810BF0"/>
    <w:rsid w:val="00810EDE"/>
    <w:rsid w:val="00810F5A"/>
    <w:rsid w:val="00811328"/>
    <w:rsid w:val="008115F7"/>
    <w:rsid w:val="00811848"/>
    <w:rsid w:val="00811849"/>
    <w:rsid w:val="00811867"/>
    <w:rsid w:val="00811967"/>
    <w:rsid w:val="0081217D"/>
    <w:rsid w:val="00812381"/>
    <w:rsid w:val="00812B12"/>
    <w:rsid w:val="00812DEE"/>
    <w:rsid w:val="00812F5B"/>
    <w:rsid w:val="00812FC2"/>
    <w:rsid w:val="0081364E"/>
    <w:rsid w:val="008137E2"/>
    <w:rsid w:val="00813EF4"/>
    <w:rsid w:val="00814710"/>
    <w:rsid w:val="00814BA4"/>
    <w:rsid w:val="00814FD5"/>
    <w:rsid w:val="0081559D"/>
    <w:rsid w:val="00815A02"/>
    <w:rsid w:val="00815A2A"/>
    <w:rsid w:val="00815F44"/>
    <w:rsid w:val="00815F9A"/>
    <w:rsid w:val="00816488"/>
    <w:rsid w:val="0081679C"/>
    <w:rsid w:val="00816B20"/>
    <w:rsid w:val="00816D48"/>
    <w:rsid w:val="0081701E"/>
    <w:rsid w:val="00817208"/>
    <w:rsid w:val="0081729B"/>
    <w:rsid w:val="0081744C"/>
    <w:rsid w:val="008176DB"/>
    <w:rsid w:val="00817FDD"/>
    <w:rsid w:val="00820BE4"/>
    <w:rsid w:val="00820C2B"/>
    <w:rsid w:val="00820F17"/>
    <w:rsid w:val="00820F86"/>
    <w:rsid w:val="00820FB8"/>
    <w:rsid w:val="0082192B"/>
    <w:rsid w:val="00821A42"/>
    <w:rsid w:val="00821C28"/>
    <w:rsid w:val="00821D73"/>
    <w:rsid w:val="00821F78"/>
    <w:rsid w:val="00822038"/>
    <w:rsid w:val="008227CD"/>
    <w:rsid w:val="00823262"/>
    <w:rsid w:val="00823C09"/>
    <w:rsid w:val="00823F10"/>
    <w:rsid w:val="00824153"/>
    <w:rsid w:val="008249EC"/>
    <w:rsid w:val="00824B09"/>
    <w:rsid w:val="00824E54"/>
    <w:rsid w:val="00825151"/>
    <w:rsid w:val="0082533C"/>
    <w:rsid w:val="00825A55"/>
    <w:rsid w:val="00825C25"/>
    <w:rsid w:val="00825C7F"/>
    <w:rsid w:val="0082640D"/>
    <w:rsid w:val="00826E23"/>
    <w:rsid w:val="00826F09"/>
    <w:rsid w:val="00827217"/>
    <w:rsid w:val="00827B9F"/>
    <w:rsid w:val="00827C6B"/>
    <w:rsid w:val="00827E3E"/>
    <w:rsid w:val="00827F39"/>
    <w:rsid w:val="008309E8"/>
    <w:rsid w:val="00830FC0"/>
    <w:rsid w:val="0083123E"/>
    <w:rsid w:val="008314F2"/>
    <w:rsid w:val="00831719"/>
    <w:rsid w:val="0083184A"/>
    <w:rsid w:val="00831B2F"/>
    <w:rsid w:val="00831C15"/>
    <w:rsid w:val="00831D70"/>
    <w:rsid w:val="00831F06"/>
    <w:rsid w:val="00832246"/>
    <w:rsid w:val="008323C3"/>
    <w:rsid w:val="0083245A"/>
    <w:rsid w:val="00832544"/>
    <w:rsid w:val="008328F3"/>
    <w:rsid w:val="00832988"/>
    <w:rsid w:val="00832DD1"/>
    <w:rsid w:val="00833545"/>
    <w:rsid w:val="008335D0"/>
    <w:rsid w:val="00833AD3"/>
    <w:rsid w:val="00833C85"/>
    <w:rsid w:val="00833E57"/>
    <w:rsid w:val="0083494A"/>
    <w:rsid w:val="00834B9B"/>
    <w:rsid w:val="00834FF7"/>
    <w:rsid w:val="008353FD"/>
    <w:rsid w:val="0083572C"/>
    <w:rsid w:val="00835C29"/>
    <w:rsid w:val="00835D8B"/>
    <w:rsid w:val="00835F60"/>
    <w:rsid w:val="00836251"/>
    <w:rsid w:val="008367B3"/>
    <w:rsid w:val="00836A77"/>
    <w:rsid w:val="00836AE5"/>
    <w:rsid w:val="00836C54"/>
    <w:rsid w:val="00837B2B"/>
    <w:rsid w:val="008403E0"/>
    <w:rsid w:val="00840B81"/>
    <w:rsid w:val="00840CB9"/>
    <w:rsid w:val="008415E8"/>
    <w:rsid w:val="00841E14"/>
    <w:rsid w:val="00841E9C"/>
    <w:rsid w:val="00842061"/>
    <w:rsid w:val="008428C6"/>
    <w:rsid w:val="00842A5D"/>
    <w:rsid w:val="0084351E"/>
    <w:rsid w:val="008441EE"/>
    <w:rsid w:val="00844370"/>
    <w:rsid w:val="0084484F"/>
    <w:rsid w:val="00844954"/>
    <w:rsid w:val="00844F80"/>
    <w:rsid w:val="00845837"/>
    <w:rsid w:val="008463AB"/>
    <w:rsid w:val="008466F8"/>
    <w:rsid w:val="00846AA8"/>
    <w:rsid w:val="00846F4B"/>
    <w:rsid w:val="008475BC"/>
    <w:rsid w:val="00847878"/>
    <w:rsid w:val="00847947"/>
    <w:rsid w:val="00847FAB"/>
    <w:rsid w:val="00850647"/>
    <w:rsid w:val="00850FFE"/>
    <w:rsid w:val="008514F1"/>
    <w:rsid w:val="00851A58"/>
    <w:rsid w:val="00851B64"/>
    <w:rsid w:val="0085238A"/>
    <w:rsid w:val="00852564"/>
    <w:rsid w:val="008529E2"/>
    <w:rsid w:val="00852AD5"/>
    <w:rsid w:val="00852D8E"/>
    <w:rsid w:val="0085302B"/>
    <w:rsid w:val="00853623"/>
    <w:rsid w:val="008540C8"/>
    <w:rsid w:val="008542DD"/>
    <w:rsid w:val="008543ED"/>
    <w:rsid w:val="00854753"/>
    <w:rsid w:val="00854B39"/>
    <w:rsid w:val="00854E20"/>
    <w:rsid w:val="00855B7C"/>
    <w:rsid w:val="00856590"/>
    <w:rsid w:val="00856741"/>
    <w:rsid w:val="00856912"/>
    <w:rsid w:val="0085697A"/>
    <w:rsid w:val="00857150"/>
    <w:rsid w:val="008577B0"/>
    <w:rsid w:val="00857B5A"/>
    <w:rsid w:val="00857FFE"/>
    <w:rsid w:val="008602FF"/>
    <w:rsid w:val="00860492"/>
    <w:rsid w:val="00860B6A"/>
    <w:rsid w:val="00860C8B"/>
    <w:rsid w:val="00860EBE"/>
    <w:rsid w:val="008611FF"/>
    <w:rsid w:val="00861649"/>
    <w:rsid w:val="00861A03"/>
    <w:rsid w:val="00861B03"/>
    <w:rsid w:val="00861C0A"/>
    <w:rsid w:val="00861CC6"/>
    <w:rsid w:val="008621EE"/>
    <w:rsid w:val="008626EA"/>
    <w:rsid w:val="0086297A"/>
    <w:rsid w:val="00862A4A"/>
    <w:rsid w:val="00862B07"/>
    <w:rsid w:val="00862D4A"/>
    <w:rsid w:val="008637FE"/>
    <w:rsid w:val="008638EC"/>
    <w:rsid w:val="00863A53"/>
    <w:rsid w:val="00863F89"/>
    <w:rsid w:val="00863FF3"/>
    <w:rsid w:val="00864118"/>
    <w:rsid w:val="008652A2"/>
    <w:rsid w:val="008664DC"/>
    <w:rsid w:val="008665EE"/>
    <w:rsid w:val="00866616"/>
    <w:rsid w:val="00866E75"/>
    <w:rsid w:val="00866F6E"/>
    <w:rsid w:val="0086742E"/>
    <w:rsid w:val="008675A4"/>
    <w:rsid w:val="00867690"/>
    <w:rsid w:val="00867781"/>
    <w:rsid w:val="00867936"/>
    <w:rsid w:val="0087010F"/>
    <w:rsid w:val="0087029B"/>
    <w:rsid w:val="008703FA"/>
    <w:rsid w:val="00870533"/>
    <w:rsid w:val="00870618"/>
    <w:rsid w:val="0087195B"/>
    <w:rsid w:val="008724DE"/>
    <w:rsid w:val="00872EA6"/>
    <w:rsid w:val="008730CD"/>
    <w:rsid w:val="008734B8"/>
    <w:rsid w:val="0087351F"/>
    <w:rsid w:val="00873952"/>
    <w:rsid w:val="00873A71"/>
    <w:rsid w:val="00873BE2"/>
    <w:rsid w:val="008741D1"/>
    <w:rsid w:val="008743CC"/>
    <w:rsid w:val="008745BB"/>
    <w:rsid w:val="00875053"/>
    <w:rsid w:val="008754C5"/>
    <w:rsid w:val="00875C55"/>
    <w:rsid w:val="008763C6"/>
    <w:rsid w:val="00876D34"/>
    <w:rsid w:val="00876DA3"/>
    <w:rsid w:val="0087739C"/>
    <w:rsid w:val="00877415"/>
    <w:rsid w:val="0087768D"/>
    <w:rsid w:val="00877A84"/>
    <w:rsid w:val="00877F33"/>
    <w:rsid w:val="0088002C"/>
    <w:rsid w:val="00880835"/>
    <w:rsid w:val="00880BB8"/>
    <w:rsid w:val="00880E69"/>
    <w:rsid w:val="0088108F"/>
    <w:rsid w:val="00881A38"/>
    <w:rsid w:val="00882127"/>
    <w:rsid w:val="00882289"/>
    <w:rsid w:val="00882E3D"/>
    <w:rsid w:val="008831A4"/>
    <w:rsid w:val="008839D7"/>
    <w:rsid w:val="00883ABF"/>
    <w:rsid w:val="00883B84"/>
    <w:rsid w:val="00883CBB"/>
    <w:rsid w:val="008841A5"/>
    <w:rsid w:val="008842D6"/>
    <w:rsid w:val="00884923"/>
    <w:rsid w:val="00884B7D"/>
    <w:rsid w:val="00884C2D"/>
    <w:rsid w:val="00884EF3"/>
    <w:rsid w:val="00886076"/>
    <w:rsid w:val="0088628B"/>
    <w:rsid w:val="00886563"/>
    <w:rsid w:val="008870F6"/>
    <w:rsid w:val="00887781"/>
    <w:rsid w:val="00887B0D"/>
    <w:rsid w:val="00887BEE"/>
    <w:rsid w:val="00887CAA"/>
    <w:rsid w:val="00887E19"/>
    <w:rsid w:val="0089031C"/>
    <w:rsid w:val="008904BF"/>
    <w:rsid w:val="00890E01"/>
    <w:rsid w:val="008910E5"/>
    <w:rsid w:val="00891149"/>
    <w:rsid w:val="00891834"/>
    <w:rsid w:val="0089192F"/>
    <w:rsid w:val="00891D57"/>
    <w:rsid w:val="008921C1"/>
    <w:rsid w:val="0089256B"/>
    <w:rsid w:val="00892BE5"/>
    <w:rsid w:val="00892CC3"/>
    <w:rsid w:val="00892FB6"/>
    <w:rsid w:val="00893185"/>
    <w:rsid w:val="008931DA"/>
    <w:rsid w:val="00893A0A"/>
    <w:rsid w:val="00893ADA"/>
    <w:rsid w:val="00893EC7"/>
    <w:rsid w:val="00894334"/>
    <w:rsid w:val="0089457B"/>
    <w:rsid w:val="00894B81"/>
    <w:rsid w:val="00894CD9"/>
    <w:rsid w:val="00894CEF"/>
    <w:rsid w:val="00894E3D"/>
    <w:rsid w:val="0089531D"/>
    <w:rsid w:val="00895A95"/>
    <w:rsid w:val="00895F1C"/>
    <w:rsid w:val="00896827"/>
    <w:rsid w:val="00896842"/>
    <w:rsid w:val="008968DF"/>
    <w:rsid w:val="00896C17"/>
    <w:rsid w:val="008975A6"/>
    <w:rsid w:val="00897B91"/>
    <w:rsid w:val="008A007D"/>
    <w:rsid w:val="008A0340"/>
    <w:rsid w:val="008A034B"/>
    <w:rsid w:val="008A06F8"/>
    <w:rsid w:val="008A0809"/>
    <w:rsid w:val="008A0C13"/>
    <w:rsid w:val="008A0C37"/>
    <w:rsid w:val="008A0FFF"/>
    <w:rsid w:val="008A10CD"/>
    <w:rsid w:val="008A112B"/>
    <w:rsid w:val="008A1436"/>
    <w:rsid w:val="008A1CC3"/>
    <w:rsid w:val="008A1D65"/>
    <w:rsid w:val="008A1EEA"/>
    <w:rsid w:val="008A1FAE"/>
    <w:rsid w:val="008A21AF"/>
    <w:rsid w:val="008A21D0"/>
    <w:rsid w:val="008A2652"/>
    <w:rsid w:val="008A302B"/>
    <w:rsid w:val="008A3167"/>
    <w:rsid w:val="008A3311"/>
    <w:rsid w:val="008A355F"/>
    <w:rsid w:val="008A368D"/>
    <w:rsid w:val="008A3A7B"/>
    <w:rsid w:val="008A480C"/>
    <w:rsid w:val="008A4942"/>
    <w:rsid w:val="008A5427"/>
    <w:rsid w:val="008A54F1"/>
    <w:rsid w:val="008A552D"/>
    <w:rsid w:val="008A55B9"/>
    <w:rsid w:val="008A5EE4"/>
    <w:rsid w:val="008A6404"/>
    <w:rsid w:val="008A6E66"/>
    <w:rsid w:val="008A7861"/>
    <w:rsid w:val="008A7C63"/>
    <w:rsid w:val="008B00D9"/>
    <w:rsid w:val="008B01C9"/>
    <w:rsid w:val="008B0BC9"/>
    <w:rsid w:val="008B1805"/>
    <w:rsid w:val="008B1CE6"/>
    <w:rsid w:val="008B24B1"/>
    <w:rsid w:val="008B298E"/>
    <w:rsid w:val="008B2DB0"/>
    <w:rsid w:val="008B2E28"/>
    <w:rsid w:val="008B2E58"/>
    <w:rsid w:val="008B3841"/>
    <w:rsid w:val="008B3E79"/>
    <w:rsid w:val="008B4869"/>
    <w:rsid w:val="008B4EF1"/>
    <w:rsid w:val="008B5B3C"/>
    <w:rsid w:val="008B5BF8"/>
    <w:rsid w:val="008B5E07"/>
    <w:rsid w:val="008B6221"/>
    <w:rsid w:val="008B6304"/>
    <w:rsid w:val="008B6573"/>
    <w:rsid w:val="008B6593"/>
    <w:rsid w:val="008B6737"/>
    <w:rsid w:val="008B6D4E"/>
    <w:rsid w:val="008B7113"/>
    <w:rsid w:val="008B733A"/>
    <w:rsid w:val="008B785F"/>
    <w:rsid w:val="008B7F0F"/>
    <w:rsid w:val="008C04BC"/>
    <w:rsid w:val="008C04D5"/>
    <w:rsid w:val="008C06A1"/>
    <w:rsid w:val="008C0A1D"/>
    <w:rsid w:val="008C0B2B"/>
    <w:rsid w:val="008C0FBF"/>
    <w:rsid w:val="008C110B"/>
    <w:rsid w:val="008C1380"/>
    <w:rsid w:val="008C2281"/>
    <w:rsid w:val="008C247E"/>
    <w:rsid w:val="008C2688"/>
    <w:rsid w:val="008C2756"/>
    <w:rsid w:val="008C27BE"/>
    <w:rsid w:val="008C27DD"/>
    <w:rsid w:val="008C298C"/>
    <w:rsid w:val="008C3472"/>
    <w:rsid w:val="008C3AEC"/>
    <w:rsid w:val="008C4109"/>
    <w:rsid w:val="008C43D5"/>
    <w:rsid w:val="008C4CBA"/>
    <w:rsid w:val="008C4DA0"/>
    <w:rsid w:val="008C51A3"/>
    <w:rsid w:val="008C523B"/>
    <w:rsid w:val="008C5874"/>
    <w:rsid w:val="008C6433"/>
    <w:rsid w:val="008C65AF"/>
    <w:rsid w:val="008C67C3"/>
    <w:rsid w:val="008C69C5"/>
    <w:rsid w:val="008C6D68"/>
    <w:rsid w:val="008C706D"/>
    <w:rsid w:val="008C73EF"/>
    <w:rsid w:val="008C75A3"/>
    <w:rsid w:val="008C7E31"/>
    <w:rsid w:val="008D0470"/>
    <w:rsid w:val="008D05B1"/>
    <w:rsid w:val="008D0B9B"/>
    <w:rsid w:val="008D0BE4"/>
    <w:rsid w:val="008D0D45"/>
    <w:rsid w:val="008D0DBF"/>
    <w:rsid w:val="008D0E11"/>
    <w:rsid w:val="008D0F57"/>
    <w:rsid w:val="008D1978"/>
    <w:rsid w:val="008D1E97"/>
    <w:rsid w:val="008D27E0"/>
    <w:rsid w:val="008D28B2"/>
    <w:rsid w:val="008D2DFC"/>
    <w:rsid w:val="008D31E9"/>
    <w:rsid w:val="008D341E"/>
    <w:rsid w:val="008D37C9"/>
    <w:rsid w:val="008D3A14"/>
    <w:rsid w:val="008D4339"/>
    <w:rsid w:val="008D441A"/>
    <w:rsid w:val="008D47E8"/>
    <w:rsid w:val="008D4C92"/>
    <w:rsid w:val="008D4E96"/>
    <w:rsid w:val="008D4F53"/>
    <w:rsid w:val="008D553B"/>
    <w:rsid w:val="008D5653"/>
    <w:rsid w:val="008D5EC4"/>
    <w:rsid w:val="008D5ECC"/>
    <w:rsid w:val="008D630F"/>
    <w:rsid w:val="008D7175"/>
    <w:rsid w:val="008D743B"/>
    <w:rsid w:val="008D755E"/>
    <w:rsid w:val="008D768D"/>
    <w:rsid w:val="008D77E4"/>
    <w:rsid w:val="008D79D6"/>
    <w:rsid w:val="008D7DB8"/>
    <w:rsid w:val="008D7E31"/>
    <w:rsid w:val="008E021A"/>
    <w:rsid w:val="008E0416"/>
    <w:rsid w:val="008E05A5"/>
    <w:rsid w:val="008E0860"/>
    <w:rsid w:val="008E0C56"/>
    <w:rsid w:val="008E0D25"/>
    <w:rsid w:val="008E0F70"/>
    <w:rsid w:val="008E1E42"/>
    <w:rsid w:val="008E20EF"/>
    <w:rsid w:val="008E21D8"/>
    <w:rsid w:val="008E2665"/>
    <w:rsid w:val="008E2FC4"/>
    <w:rsid w:val="008E3845"/>
    <w:rsid w:val="008E3AA1"/>
    <w:rsid w:val="008E3DE2"/>
    <w:rsid w:val="008E3FB9"/>
    <w:rsid w:val="008E4000"/>
    <w:rsid w:val="008E4087"/>
    <w:rsid w:val="008E4583"/>
    <w:rsid w:val="008E48DE"/>
    <w:rsid w:val="008E4C75"/>
    <w:rsid w:val="008E4CBE"/>
    <w:rsid w:val="008E52A3"/>
    <w:rsid w:val="008E54E7"/>
    <w:rsid w:val="008E57C2"/>
    <w:rsid w:val="008E5EC0"/>
    <w:rsid w:val="008E62C4"/>
    <w:rsid w:val="008E66C8"/>
    <w:rsid w:val="008E695B"/>
    <w:rsid w:val="008E6A86"/>
    <w:rsid w:val="008E7564"/>
    <w:rsid w:val="008E7965"/>
    <w:rsid w:val="008E7CB4"/>
    <w:rsid w:val="008E7D92"/>
    <w:rsid w:val="008E7F38"/>
    <w:rsid w:val="008F02EE"/>
    <w:rsid w:val="008F11AC"/>
    <w:rsid w:val="008F189B"/>
    <w:rsid w:val="008F1C60"/>
    <w:rsid w:val="008F1E46"/>
    <w:rsid w:val="008F25B1"/>
    <w:rsid w:val="008F2774"/>
    <w:rsid w:val="008F2E92"/>
    <w:rsid w:val="008F3607"/>
    <w:rsid w:val="008F3912"/>
    <w:rsid w:val="008F3A86"/>
    <w:rsid w:val="008F3CB7"/>
    <w:rsid w:val="008F4020"/>
    <w:rsid w:val="008F414F"/>
    <w:rsid w:val="008F4667"/>
    <w:rsid w:val="008F47DC"/>
    <w:rsid w:val="008F61BC"/>
    <w:rsid w:val="008F6249"/>
    <w:rsid w:val="008F639D"/>
    <w:rsid w:val="008F664B"/>
    <w:rsid w:val="008F68D4"/>
    <w:rsid w:val="008F6A74"/>
    <w:rsid w:val="008F6D62"/>
    <w:rsid w:val="008F6E70"/>
    <w:rsid w:val="008F71BA"/>
    <w:rsid w:val="008F78CB"/>
    <w:rsid w:val="008F78F7"/>
    <w:rsid w:val="00900452"/>
    <w:rsid w:val="009005A9"/>
    <w:rsid w:val="009009E8"/>
    <w:rsid w:val="00900F0C"/>
    <w:rsid w:val="0090121A"/>
    <w:rsid w:val="009012E2"/>
    <w:rsid w:val="009014B0"/>
    <w:rsid w:val="009017E7"/>
    <w:rsid w:val="00901F41"/>
    <w:rsid w:val="0090209F"/>
    <w:rsid w:val="00903361"/>
    <w:rsid w:val="00903AA4"/>
    <w:rsid w:val="00903BF4"/>
    <w:rsid w:val="0090418D"/>
    <w:rsid w:val="009043CA"/>
    <w:rsid w:val="00904CE9"/>
    <w:rsid w:val="00904D46"/>
    <w:rsid w:val="00905856"/>
    <w:rsid w:val="0090651F"/>
    <w:rsid w:val="009066CE"/>
    <w:rsid w:val="00906A12"/>
    <w:rsid w:val="009072E7"/>
    <w:rsid w:val="0090755D"/>
    <w:rsid w:val="009079B2"/>
    <w:rsid w:val="0091001F"/>
    <w:rsid w:val="009100F4"/>
    <w:rsid w:val="009102D5"/>
    <w:rsid w:val="00910947"/>
    <w:rsid w:val="009115BE"/>
    <w:rsid w:val="0091167B"/>
    <w:rsid w:val="009116D4"/>
    <w:rsid w:val="00911CD3"/>
    <w:rsid w:val="009121EB"/>
    <w:rsid w:val="00912764"/>
    <w:rsid w:val="00912BEA"/>
    <w:rsid w:val="00912EB5"/>
    <w:rsid w:val="009132FA"/>
    <w:rsid w:val="00913449"/>
    <w:rsid w:val="00913747"/>
    <w:rsid w:val="009137C2"/>
    <w:rsid w:val="00913926"/>
    <w:rsid w:val="00913BE5"/>
    <w:rsid w:val="00913C92"/>
    <w:rsid w:val="00913CA4"/>
    <w:rsid w:val="00913D2E"/>
    <w:rsid w:val="009148C1"/>
    <w:rsid w:val="009153EE"/>
    <w:rsid w:val="009157D7"/>
    <w:rsid w:val="00915AA3"/>
    <w:rsid w:val="00915E7A"/>
    <w:rsid w:val="0091606F"/>
    <w:rsid w:val="00916669"/>
    <w:rsid w:val="009166F3"/>
    <w:rsid w:val="0091691F"/>
    <w:rsid w:val="00916CD6"/>
    <w:rsid w:val="00916EA2"/>
    <w:rsid w:val="00917107"/>
    <w:rsid w:val="009176EE"/>
    <w:rsid w:val="00917D30"/>
    <w:rsid w:val="00917E70"/>
    <w:rsid w:val="009208D9"/>
    <w:rsid w:val="00920FB0"/>
    <w:rsid w:val="00921121"/>
    <w:rsid w:val="00921134"/>
    <w:rsid w:val="00921297"/>
    <w:rsid w:val="0092170C"/>
    <w:rsid w:val="009218F2"/>
    <w:rsid w:val="00921AC3"/>
    <w:rsid w:val="00921DA7"/>
    <w:rsid w:val="00922954"/>
    <w:rsid w:val="00922E58"/>
    <w:rsid w:val="0092318A"/>
    <w:rsid w:val="0092329C"/>
    <w:rsid w:val="0092330B"/>
    <w:rsid w:val="00923942"/>
    <w:rsid w:val="009240D4"/>
    <w:rsid w:val="0092476A"/>
    <w:rsid w:val="00924A21"/>
    <w:rsid w:val="0092520F"/>
    <w:rsid w:val="0092524E"/>
    <w:rsid w:val="009252B3"/>
    <w:rsid w:val="009256D3"/>
    <w:rsid w:val="00925D78"/>
    <w:rsid w:val="00926810"/>
    <w:rsid w:val="00927986"/>
    <w:rsid w:val="00927A50"/>
    <w:rsid w:val="00927A9A"/>
    <w:rsid w:val="0093011E"/>
    <w:rsid w:val="00930F15"/>
    <w:rsid w:val="0093127B"/>
    <w:rsid w:val="009313EC"/>
    <w:rsid w:val="009314BB"/>
    <w:rsid w:val="00931524"/>
    <w:rsid w:val="00931682"/>
    <w:rsid w:val="0093170E"/>
    <w:rsid w:val="009318EF"/>
    <w:rsid w:val="0093267C"/>
    <w:rsid w:val="00932F4A"/>
    <w:rsid w:val="00932FA4"/>
    <w:rsid w:val="009338E5"/>
    <w:rsid w:val="00933C1A"/>
    <w:rsid w:val="00933FA0"/>
    <w:rsid w:val="009346D3"/>
    <w:rsid w:val="00934E0E"/>
    <w:rsid w:val="0093547F"/>
    <w:rsid w:val="0093589C"/>
    <w:rsid w:val="0093590D"/>
    <w:rsid w:val="00936226"/>
    <w:rsid w:val="00936390"/>
    <w:rsid w:val="009376C4"/>
    <w:rsid w:val="009376CE"/>
    <w:rsid w:val="009376DA"/>
    <w:rsid w:val="0094099E"/>
    <w:rsid w:val="00940A08"/>
    <w:rsid w:val="00940E30"/>
    <w:rsid w:val="0094111E"/>
    <w:rsid w:val="009414B8"/>
    <w:rsid w:val="009416AC"/>
    <w:rsid w:val="00941B43"/>
    <w:rsid w:val="00942431"/>
    <w:rsid w:val="009428CF"/>
    <w:rsid w:val="00943297"/>
    <w:rsid w:val="00944574"/>
    <w:rsid w:val="00944885"/>
    <w:rsid w:val="00944CFF"/>
    <w:rsid w:val="00945369"/>
    <w:rsid w:val="009453FF"/>
    <w:rsid w:val="00945C71"/>
    <w:rsid w:val="009465E5"/>
    <w:rsid w:val="0094687A"/>
    <w:rsid w:val="009469ED"/>
    <w:rsid w:val="00946A95"/>
    <w:rsid w:val="00946DC7"/>
    <w:rsid w:val="00947422"/>
    <w:rsid w:val="00947649"/>
    <w:rsid w:val="0094772C"/>
    <w:rsid w:val="00947B9C"/>
    <w:rsid w:val="00947D78"/>
    <w:rsid w:val="00947E04"/>
    <w:rsid w:val="00950137"/>
    <w:rsid w:val="009505B5"/>
    <w:rsid w:val="009516B7"/>
    <w:rsid w:val="00951759"/>
    <w:rsid w:val="00951805"/>
    <w:rsid w:val="009519F6"/>
    <w:rsid w:val="00951D86"/>
    <w:rsid w:val="00952343"/>
    <w:rsid w:val="0095236A"/>
    <w:rsid w:val="009523D3"/>
    <w:rsid w:val="009527AF"/>
    <w:rsid w:val="00952F4C"/>
    <w:rsid w:val="00952FAB"/>
    <w:rsid w:val="00953159"/>
    <w:rsid w:val="0095335D"/>
    <w:rsid w:val="00953B83"/>
    <w:rsid w:val="00954432"/>
    <w:rsid w:val="00954656"/>
    <w:rsid w:val="009550FB"/>
    <w:rsid w:val="00955493"/>
    <w:rsid w:val="00956051"/>
    <w:rsid w:val="00956070"/>
    <w:rsid w:val="009560E1"/>
    <w:rsid w:val="009563F6"/>
    <w:rsid w:val="009564FE"/>
    <w:rsid w:val="00956B79"/>
    <w:rsid w:val="009575A6"/>
    <w:rsid w:val="00957645"/>
    <w:rsid w:val="009579C5"/>
    <w:rsid w:val="00960664"/>
    <w:rsid w:val="00960BB2"/>
    <w:rsid w:val="00961A45"/>
    <w:rsid w:val="00961AF6"/>
    <w:rsid w:val="00961D19"/>
    <w:rsid w:val="00961F25"/>
    <w:rsid w:val="00962A64"/>
    <w:rsid w:val="00962ABD"/>
    <w:rsid w:val="00962D58"/>
    <w:rsid w:val="00962E50"/>
    <w:rsid w:val="00962EEA"/>
    <w:rsid w:val="0096325F"/>
    <w:rsid w:val="00963F0F"/>
    <w:rsid w:val="00963F8B"/>
    <w:rsid w:val="00964040"/>
    <w:rsid w:val="0096486A"/>
    <w:rsid w:val="00964939"/>
    <w:rsid w:val="0096506E"/>
    <w:rsid w:val="00965A90"/>
    <w:rsid w:val="00965C4D"/>
    <w:rsid w:val="00965D1D"/>
    <w:rsid w:val="00965D54"/>
    <w:rsid w:val="00966911"/>
    <w:rsid w:val="00966945"/>
    <w:rsid w:val="00966BE4"/>
    <w:rsid w:val="009670A8"/>
    <w:rsid w:val="009674FA"/>
    <w:rsid w:val="0096788B"/>
    <w:rsid w:val="00967999"/>
    <w:rsid w:val="00967D02"/>
    <w:rsid w:val="00967E49"/>
    <w:rsid w:val="009703FF"/>
    <w:rsid w:val="00970938"/>
    <w:rsid w:val="00970AC9"/>
    <w:rsid w:val="00970F31"/>
    <w:rsid w:val="0097113B"/>
    <w:rsid w:val="009715E4"/>
    <w:rsid w:val="0097166E"/>
    <w:rsid w:val="009716EE"/>
    <w:rsid w:val="009718C4"/>
    <w:rsid w:val="00971992"/>
    <w:rsid w:val="00971AE0"/>
    <w:rsid w:val="0097228C"/>
    <w:rsid w:val="009728F3"/>
    <w:rsid w:val="00972F04"/>
    <w:rsid w:val="00973160"/>
    <w:rsid w:val="009731A1"/>
    <w:rsid w:val="00973712"/>
    <w:rsid w:val="009737A9"/>
    <w:rsid w:val="009739BF"/>
    <w:rsid w:val="00973B3A"/>
    <w:rsid w:val="00973C5B"/>
    <w:rsid w:val="00973EA5"/>
    <w:rsid w:val="00973F5E"/>
    <w:rsid w:val="00974118"/>
    <w:rsid w:val="00974174"/>
    <w:rsid w:val="00974238"/>
    <w:rsid w:val="009746E7"/>
    <w:rsid w:val="009746F9"/>
    <w:rsid w:val="009749D7"/>
    <w:rsid w:val="00974C09"/>
    <w:rsid w:val="009755AB"/>
    <w:rsid w:val="00975723"/>
    <w:rsid w:val="00975809"/>
    <w:rsid w:val="00975987"/>
    <w:rsid w:val="00975AA2"/>
    <w:rsid w:val="00975E3D"/>
    <w:rsid w:val="00976269"/>
    <w:rsid w:val="0097645B"/>
    <w:rsid w:val="00976840"/>
    <w:rsid w:val="00976A84"/>
    <w:rsid w:val="00976A96"/>
    <w:rsid w:val="0097756A"/>
    <w:rsid w:val="0097757A"/>
    <w:rsid w:val="00977AFF"/>
    <w:rsid w:val="00977C6F"/>
    <w:rsid w:val="00977CF8"/>
    <w:rsid w:val="009806C7"/>
    <w:rsid w:val="00980982"/>
    <w:rsid w:val="00980A4E"/>
    <w:rsid w:val="00980FB6"/>
    <w:rsid w:val="00981001"/>
    <w:rsid w:val="009811C2"/>
    <w:rsid w:val="009811D1"/>
    <w:rsid w:val="0098136C"/>
    <w:rsid w:val="00981596"/>
    <w:rsid w:val="0098181F"/>
    <w:rsid w:val="00981C31"/>
    <w:rsid w:val="009820B2"/>
    <w:rsid w:val="009821E0"/>
    <w:rsid w:val="009825A5"/>
    <w:rsid w:val="00983772"/>
    <w:rsid w:val="009839CF"/>
    <w:rsid w:val="009845D9"/>
    <w:rsid w:val="00985279"/>
    <w:rsid w:val="00985E87"/>
    <w:rsid w:val="00985F78"/>
    <w:rsid w:val="009862F2"/>
    <w:rsid w:val="009866C6"/>
    <w:rsid w:val="00986829"/>
    <w:rsid w:val="00986989"/>
    <w:rsid w:val="00986B00"/>
    <w:rsid w:val="00986CA0"/>
    <w:rsid w:val="00986E5B"/>
    <w:rsid w:val="009871E4"/>
    <w:rsid w:val="009878D7"/>
    <w:rsid w:val="00987B55"/>
    <w:rsid w:val="00987DBA"/>
    <w:rsid w:val="00987E9A"/>
    <w:rsid w:val="00987EC1"/>
    <w:rsid w:val="00987FD2"/>
    <w:rsid w:val="009901B1"/>
    <w:rsid w:val="00990406"/>
    <w:rsid w:val="00990C0B"/>
    <w:rsid w:val="00991B55"/>
    <w:rsid w:val="00991DB2"/>
    <w:rsid w:val="009920A1"/>
    <w:rsid w:val="00992AD6"/>
    <w:rsid w:val="0099324F"/>
    <w:rsid w:val="009934E3"/>
    <w:rsid w:val="00993747"/>
    <w:rsid w:val="009938EB"/>
    <w:rsid w:val="00993AE5"/>
    <w:rsid w:val="00993C84"/>
    <w:rsid w:val="00994547"/>
    <w:rsid w:val="00994DD4"/>
    <w:rsid w:val="0099505E"/>
    <w:rsid w:val="009950FB"/>
    <w:rsid w:val="00995CF4"/>
    <w:rsid w:val="00995ED0"/>
    <w:rsid w:val="009960D0"/>
    <w:rsid w:val="00996489"/>
    <w:rsid w:val="0099654D"/>
    <w:rsid w:val="00996C98"/>
    <w:rsid w:val="00997029"/>
    <w:rsid w:val="009974BC"/>
    <w:rsid w:val="00997762"/>
    <w:rsid w:val="00997E0C"/>
    <w:rsid w:val="009A02CB"/>
    <w:rsid w:val="009A093A"/>
    <w:rsid w:val="009A0D3F"/>
    <w:rsid w:val="009A0D59"/>
    <w:rsid w:val="009A1032"/>
    <w:rsid w:val="009A1214"/>
    <w:rsid w:val="009A1927"/>
    <w:rsid w:val="009A2049"/>
    <w:rsid w:val="009A25B8"/>
    <w:rsid w:val="009A278C"/>
    <w:rsid w:val="009A337A"/>
    <w:rsid w:val="009A349E"/>
    <w:rsid w:val="009A3942"/>
    <w:rsid w:val="009A397B"/>
    <w:rsid w:val="009A39D6"/>
    <w:rsid w:val="009A3AE4"/>
    <w:rsid w:val="009A407A"/>
    <w:rsid w:val="009A47E2"/>
    <w:rsid w:val="009A4B1D"/>
    <w:rsid w:val="009A4B43"/>
    <w:rsid w:val="009A4CD6"/>
    <w:rsid w:val="009A4EA6"/>
    <w:rsid w:val="009A5DAC"/>
    <w:rsid w:val="009A5F0D"/>
    <w:rsid w:val="009A5F74"/>
    <w:rsid w:val="009A600E"/>
    <w:rsid w:val="009A6115"/>
    <w:rsid w:val="009A64F7"/>
    <w:rsid w:val="009A67C4"/>
    <w:rsid w:val="009A67EE"/>
    <w:rsid w:val="009A68D4"/>
    <w:rsid w:val="009A6D27"/>
    <w:rsid w:val="009A6E35"/>
    <w:rsid w:val="009A7233"/>
    <w:rsid w:val="009A7B8E"/>
    <w:rsid w:val="009A7FDD"/>
    <w:rsid w:val="009B045F"/>
    <w:rsid w:val="009B0954"/>
    <w:rsid w:val="009B0E12"/>
    <w:rsid w:val="009B189E"/>
    <w:rsid w:val="009B1C9B"/>
    <w:rsid w:val="009B2AF2"/>
    <w:rsid w:val="009B2CDF"/>
    <w:rsid w:val="009B340A"/>
    <w:rsid w:val="009B3A79"/>
    <w:rsid w:val="009B3D85"/>
    <w:rsid w:val="009B409F"/>
    <w:rsid w:val="009B4192"/>
    <w:rsid w:val="009B4448"/>
    <w:rsid w:val="009B467D"/>
    <w:rsid w:val="009B4AF2"/>
    <w:rsid w:val="009B4C2C"/>
    <w:rsid w:val="009B518F"/>
    <w:rsid w:val="009B52E2"/>
    <w:rsid w:val="009B594C"/>
    <w:rsid w:val="009B5D22"/>
    <w:rsid w:val="009B5EA5"/>
    <w:rsid w:val="009B6A4B"/>
    <w:rsid w:val="009B7244"/>
    <w:rsid w:val="009B7A9D"/>
    <w:rsid w:val="009B7BF7"/>
    <w:rsid w:val="009B7CCF"/>
    <w:rsid w:val="009B7F8E"/>
    <w:rsid w:val="009C02FF"/>
    <w:rsid w:val="009C0387"/>
    <w:rsid w:val="009C03F6"/>
    <w:rsid w:val="009C0A7B"/>
    <w:rsid w:val="009C0BEC"/>
    <w:rsid w:val="009C0D0D"/>
    <w:rsid w:val="009C0F0A"/>
    <w:rsid w:val="009C0F23"/>
    <w:rsid w:val="009C0FD0"/>
    <w:rsid w:val="009C2810"/>
    <w:rsid w:val="009C290A"/>
    <w:rsid w:val="009C2A10"/>
    <w:rsid w:val="009C2D70"/>
    <w:rsid w:val="009C2E81"/>
    <w:rsid w:val="009C35AE"/>
    <w:rsid w:val="009C3880"/>
    <w:rsid w:val="009C388C"/>
    <w:rsid w:val="009C406B"/>
    <w:rsid w:val="009C4420"/>
    <w:rsid w:val="009C461C"/>
    <w:rsid w:val="009C46B4"/>
    <w:rsid w:val="009C4ED6"/>
    <w:rsid w:val="009C5079"/>
    <w:rsid w:val="009C520F"/>
    <w:rsid w:val="009C53EA"/>
    <w:rsid w:val="009C5555"/>
    <w:rsid w:val="009C5615"/>
    <w:rsid w:val="009C598D"/>
    <w:rsid w:val="009C59A4"/>
    <w:rsid w:val="009C5AF6"/>
    <w:rsid w:val="009C62FA"/>
    <w:rsid w:val="009D00B9"/>
    <w:rsid w:val="009D01AD"/>
    <w:rsid w:val="009D0353"/>
    <w:rsid w:val="009D07CB"/>
    <w:rsid w:val="009D09F3"/>
    <w:rsid w:val="009D1583"/>
    <w:rsid w:val="009D1631"/>
    <w:rsid w:val="009D19E8"/>
    <w:rsid w:val="009D2334"/>
    <w:rsid w:val="009D235D"/>
    <w:rsid w:val="009D24BB"/>
    <w:rsid w:val="009D282D"/>
    <w:rsid w:val="009D2EE6"/>
    <w:rsid w:val="009D2FF2"/>
    <w:rsid w:val="009D3CBF"/>
    <w:rsid w:val="009D3DAC"/>
    <w:rsid w:val="009D4679"/>
    <w:rsid w:val="009D5264"/>
    <w:rsid w:val="009D557A"/>
    <w:rsid w:val="009D57AE"/>
    <w:rsid w:val="009D5A90"/>
    <w:rsid w:val="009D5E5F"/>
    <w:rsid w:val="009D6031"/>
    <w:rsid w:val="009D6683"/>
    <w:rsid w:val="009D6732"/>
    <w:rsid w:val="009D6864"/>
    <w:rsid w:val="009D6D92"/>
    <w:rsid w:val="009D6E1B"/>
    <w:rsid w:val="009D71AF"/>
    <w:rsid w:val="009D7262"/>
    <w:rsid w:val="009D7557"/>
    <w:rsid w:val="009D7568"/>
    <w:rsid w:val="009D7863"/>
    <w:rsid w:val="009D7E75"/>
    <w:rsid w:val="009E041A"/>
    <w:rsid w:val="009E047A"/>
    <w:rsid w:val="009E064B"/>
    <w:rsid w:val="009E06B4"/>
    <w:rsid w:val="009E0795"/>
    <w:rsid w:val="009E0D17"/>
    <w:rsid w:val="009E0E2E"/>
    <w:rsid w:val="009E0FA1"/>
    <w:rsid w:val="009E1156"/>
    <w:rsid w:val="009E13D9"/>
    <w:rsid w:val="009E176F"/>
    <w:rsid w:val="009E198B"/>
    <w:rsid w:val="009E1ECE"/>
    <w:rsid w:val="009E222E"/>
    <w:rsid w:val="009E26EF"/>
    <w:rsid w:val="009E2E7B"/>
    <w:rsid w:val="009E3010"/>
    <w:rsid w:val="009E31FA"/>
    <w:rsid w:val="009E359A"/>
    <w:rsid w:val="009E36AC"/>
    <w:rsid w:val="009E38BB"/>
    <w:rsid w:val="009E3A70"/>
    <w:rsid w:val="009E3FF3"/>
    <w:rsid w:val="009E488C"/>
    <w:rsid w:val="009E4DA9"/>
    <w:rsid w:val="009E52A8"/>
    <w:rsid w:val="009E57F6"/>
    <w:rsid w:val="009E5C68"/>
    <w:rsid w:val="009E5F46"/>
    <w:rsid w:val="009E5FCA"/>
    <w:rsid w:val="009E6005"/>
    <w:rsid w:val="009E620F"/>
    <w:rsid w:val="009E64AF"/>
    <w:rsid w:val="009E685C"/>
    <w:rsid w:val="009E698B"/>
    <w:rsid w:val="009E6EB7"/>
    <w:rsid w:val="009E75CB"/>
    <w:rsid w:val="009E7EE1"/>
    <w:rsid w:val="009F0CF2"/>
    <w:rsid w:val="009F0E62"/>
    <w:rsid w:val="009F0ECE"/>
    <w:rsid w:val="009F15B8"/>
    <w:rsid w:val="009F1A63"/>
    <w:rsid w:val="009F1D83"/>
    <w:rsid w:val="009F1E71"/>
    <w:rsid w:val="009F1E75"/>
    <w:rsid w:val="009F1E88"/>
    <w:rsid w:val="009F20D2"/>
    <w:rsid w:val="009F2404"/>
    <w:rsid w:val="009F2E68"/>
    <w:rsid w:val="009F3671"/>
    <w:rsid w:val="009F3849"/>
    <w:rsid w:val="009F3C41"/>
    <w:rsid w:val="009F4AB3"/>
    <w:rsid w:val="009F4B35"/>
    <w:rsid w:val="009F4E9C"/>
    <w:rsid w:val="009F533B"/>
    <w:rsid w:val="009F5BF7"/>
    <w:rsid w:val="009F5D15"/>
    <w:rsid w:val="009F644B"/>
    <w:rsid w:val="009F679A"/>
    <w:rsid w:val="009F680E"/>
    <w:rsid w:val="009F7064"/>
    <w:rsid w:val="009F758C"/>
    <w:rsid w:val="009F7A33"/>
    <w:rsid w:val="009F7CDF"/>
    <w:rsid w:val="00A00CA4"/>
    <w:rsid w:val="00A01EEE"/>
    <w:rsid w:val="00A02238"/>
    <w:rsid w:val="00A02418"/>
    <w:rsid w:val="00A024C7"/>
    <w:rsid w:val="00A024F8"/>
    <w:rsid w:val="00A025B5"/>
    <w:rsid w:val="00A02648"/>
    <w:rsid w:val="00A026F3"/>
    <w:rsid w:val="00A02846"/>
    <w:rsid w:val="00A02CE7"/>
    <w:rsid w:val="00A03156"/>
    <w:rsid w:val="00A0327D"/>
    <w:rsid w:val="00A03780"/>
    <w:rsid w:val="00A03ACE"/>
    <w:rsid w:val="00A046DA"/>
    <w:rsid w:val="00A0486C"/>
    <w:rsid w:val="00A0493F"/>
    <w:rsid w:val="00A04CCE"/>
    <w:rsid w:val="00A05171"/>
    <w:rsid w:val="00A052CE"/>
    <w:rsid w:val="00A055C9"/>
    <w:rsid w:val="00A058BB"/>
    <w:rsid w:val="00A05CC4"/>
    <w:rsid w:val="00A060EB"/>
    <w:rsid w:val="00A06203"/>
    <w:rsid w:val="00A06277"/>
    <w:rsid w:val="00A0654A"/>
    <w:rsid w:val="00A06869"/>
    <w:rsid w:val="00A06EB9"/>
    <w:rsid w:val="00A072A0"/>
    <w:rsid w:val="00A0730B"/>
    <w:rsid w:val="00A07AD4"/>
    <w:rsid w:val="00A07B6F"/>
    <w:rsid w:val="00A07C9C"/>
    <w:rsid w:val="00A07EA0"/>
    <w:rsid w:val="00A07FDE"/>
    <w:rsid w:val="00A100A1"/>
    <w:rsid w:val="00A10289"/>
    <w:rsid w:val="00A1038C"/>
    <w:rsid w:val="00A103D7"/>
    <w:rsid w:val="00A10490"/>
    <w:rsid w:val="00A10520"/>
    <w:rsid w:val="00A10D72"/>
    <w:rsid w:val="00A11208"/>
    <w:rsid w:val="00A1137F"/>
    <w:rsid w:val="00A116BD"/>
    <w:rsid w:val="00A11B0F"/>
    <w:rsid w:val="00A11D3D"/>
    <w:rsid w:val="00A11DF9"/>
    <w:rsid w:val="00A12302"/>
    <w:rsid w:val="00A12523"/>
    <w:rsid w:val="00A126A9"/>
    <w:rsid w:val="00A12880"/>
    <w:rsid w:val="00A12ABB"/>
    <w:rsid w:val="00A12E55"/>
    <w:rsid w:val="00A12ECF"/>
    <w:rsid w:val="00A13127"/>
    <w:rsid w:val="00A13185"/>
    <w:rsid w:val="00A13199"/>
    <w:rsid w:val="00A13271"/>
    <w:rsid w:val="00A13381"/>
    <w:rsid w:val="00A13475"/>
    <w:rsid w:val="00A14CD4"/>
    <w:rsid w:val="00A14E33"/>
    <w:rsid w:val="00A155F2"/>
    <w:rsid w:val="00A157A6"/>
    <w:rsid w:val="00A1595D"/>
    <w:rsid w:val="00A159CF"/>
    <w:rsid w:val="00A15F5D"/>
    <w:rsid w:val="00A16154"/>
    <w:rsid w:val="00A16465"/>
    <w:rsid w:val="00A166BD"/>
    <w:rsid w:val="00A16B27"/>
    <w:rsid w:val="00A16D28"/>
    <w:rsid w:val="00A16E7C"/>
    <w:rsid w:val="00A170D5"/>
    <w:rsid w:val="00A17155"/>
    <w:rsid w:val="00A171FC"/>
    <w:rsid w:val="00A173B2"/>
    <w:rsid w:val="00A17590"/>
    <w:rsid w:val="00A17978"/>
    <w:rsid w:val="00A17B89"/>
    <w:rsid w:val="00A202AB"/>
    <w:rsid w:val="00A203F7"/>
    <w:rsid w:val="00A2090E"/>
    <w:rsid w:val="00A2091F"/>
    <w:rsid w:val="00A20DB7"/>
    <w:rsid w:val="00A20EA4"/>
    <w:rsid w:val="00A217CF"/>
    <w:rsid w:val="00A218D2"/>
    <w:rsid w:val="00A21BB5"/>
    <w:rsid w:val="00A21E38"/>
    <w:rsid w:val="00A22F8B"/>
    <w:rsid w:val="00A23EDA"/>
    <w:rsid w:val="00A2404D"/>
    <w:rsid w:val="00A2432B"/>
    <w:rsid w:val="00A245EB"/>
    <w:rsid w:val="00A25453"/>
    <w:rsid w:val="00A25751"/>
    <w:rsid w:val="00A257C7"/>
    <w:rsid w:val="00A260F3"/>
    <w:rsid w:val="00A267F8"/>
    <w:rsid w:val="00A26874"/>
    <w:rsid w:val="00A26948"/>
    <w:rsid w:val="00A26A19"/>
    <w:rsid w:val="00A26B3D"/>
    <w:rsid w:val="00A26E2E"/>
    <w:rsid w:val="00A26FD4"/>
    <w:rsid w:val="00A27784"/>
    <w:rsid w:val="00A277AF"/>
    <w:rsid w:val="00A27B8E"/>
    <w:rsid w:val="00A27CA6"/>
    <w:rsid w:val="00A27E49"/>
    <w:rsid w:val="00A27ED7"/>
    <w:rsid w:val="00A3064E"/>
    <w:rsid w:val="00A309C9"/>
    <w:rsid w:val="00A30E03"/>
    <w:rsid w:val="00A31A77"/>
    <w:rsid w:val="00A322DA"/>
    <w:rsid w:val="00A3258B"/>
    <w:rsid w:val="00A336D7"/>
    <w:rsid w:val="00A339EB"/>
    <w:rsid w:val="00A33A75"/>
    <w:rsid w:val="00A33C79"/>
    <w:rsid w:val="00A33E36"/>
    <w:rsid w:val="00A342A5"/>
    <w:rsid w:val="00A3437E"/>
    <w:rsid w:val="00A3489A"/>
    <w:rsid w:val="00A349D2"/>
    <w:rsid w:val="00A34C61"/>
    <w:rsid w:val="00A35074"/>
    <w:rsid w:val="00A35524"/>
    <w:rsid w:val="00A357BA"/>
    <w:rsid w:val="00A35AAC"/>
    <w:rsid w:val="00A3605A"/>
    <w:rsid w:val="00A364BA"/>
    <w:rsid w:val="00A36A4F"/>
    <w:rsid w:val="00A36DE9"/>
    <w:rsid w:val="00A370E4"/>
    <w:rsid w:val="00A373B6"/>
    <w:rsid w:val="00A3742C"/>
    <w:rsid w:val="00A375E0"/>
    <w:rsid w:val="00A37963"/>
    <w:rsid w:val="00A37D59"/>
    <w:rsid w:val="00A37ED4"/>
    <w:rsid w:val="00A37EDC"/>
    <w:rsid w:val="00A37F04"/>
    <w:rsid w:val="00A40636"/>
    <w:rsid w:val="00A4078B"/>
    <w:rsid w:val="00A41453"/>
    <w:rsid w:val="00A415C9"/>
    <w:rsid w:val="00A41954"/>
    <w:rsid w:val="00A41C89"/>
    <w:rsid w:val="00A422AA"/>
    <w:rsid w:val="00A424A9"/>
    <w:rsid w:val="00A427EE"/>
    <w:rsid w:val="00A42C78"/>
    <w:rsid w:val="00A42D47"/>
    <w:rsid w:val="00A43137"/>
    <w:rsid w:val="00A433CB"/>
    <w:rsid w:val="00A433DD"/>
    <w:rsid w:val="00A4357F"/>
    <w:rsid w:val="00A437AC"/>
    <w:rsid w:val="00A43B23"/>
    <w:rsid w:val="00A43B3E"/>
    <w:rsid w:val="00A43B42"/>
    <w:rsid w:val="00A43BF7"/>
    <w:rsid w:val="00A43D88"/>
    <w:rsid w:val="00A440B0"/>
    <w:rsid w:val="00A44B8F"/>
    <w:rsid w:val="00A44D37"/>
    <w:rsid w:val="00A44DFB"/>
    <w:rsid w:val="00A4506A"/>
    <w:rsid w:val="00A4511D"/>
    <w:rsid w:val="00A45AC9"/>
    <w:rsid w:val="00A45D07"/>
    <w:rsid w:val="00A45FCB"/>
    <w:rsid w:val="00A460B8"/>
    <w:rsid w:val="00A462C0"/>
    <w:rsid w:val="00A46DA5"/>
    <w:rsid w:val="00A46E2F"/>
    <w:rsid w:val="00A470B0"/>
    <w:rsid w:val="00A474F8"/>
    <w:rsid w:val="00A47D78"/>
    <w:rsid w:val="00A5025D"/>
    <w:rsid w:val="00A509A8"/>
    <w:rsid w:val="00A51058"/>
    <w:rsid w:val="00A51A5F"/>
    <w:rsid w:val="00A52295"/>
    <w:rsid w:val="00A52446"/>
    <w:rsid w:val="00A5263A"/>
    <w:rsid w:val="00A5289E"/>
    <w:rsid w:val="00A532D5"/>
    <w:rsid w:val="00A53ACA"/>
    <w:rsid w:val="00A53C16"/>
    <w:rsid w:val="00A53D46"/>
    <w:rsid w:val="00A53E4A"/>
    <w:rsid w:val="00A53EE2"/>
    <w:rsid w:val="00A54443"/>
    <w:rsid w:val="00A544D3"/>
    <w:rsid w:val="00A5515B"/>
    <w:rsid w:val="00A55659"/>
    <w:rsid w:val="00A556D0"/>
    <w:rsid w:val="00A55B14"/>
    <w:rsid w:val="00A55B70"/>
    <w:rsid w:val="00A55F56"/>
    <w:rsid w:val="00A56245"/>
    <w:rsid w:val="00A56869"/>
    <w:rsid w:val="00A56B38"/>
    <w:rsid w:val="00A57040"/>
    <w:rsid w:val="00A575C6"/>
    <w:rsid w:val="00A57620"/>
    <w:rsid w:val="00A57771"/>
    <w:rsid w:val="00A577B3"/>
    <w:rsid w:val="00A57D80"/>
    <w:rsid w:val="00A601C8"/>
    <w:rsid w:val="00A602A4"/>
    <w:rsid w:val="00A60722"/>
    <w:rsid w:val="00A609C2"/>
    <w:rsid w:val="00A61325"/>
    <w:rsid w:val="00A62324"/>
    <w:rsid w:val="00A62793"/>
    <w:rsid w:val="00A62925"/>
    <w:rsid w:val="00A62C06"/>
    <w:rsid w:val="00A62CED"/>
    <w:rsid w:val="00A636B9"/>
    <w:rsid w:val="00A63A02"/>
    <w:rsid w:val="00A63BF8"/>
    <w:rsid w:val="00A63E37"/>
    <w:rsid w:val="00A643B5"/>
    <w:rsid w:val="00A64770"/>
    <w:rsid w:val="00A65223"/>
    <w:rsid w:val="00A6528F"/>
    <w:rsid w:val="00A65638"/>
    <w:rsid w:val="00A65FDD"/>
    <w:rsid w:val="00A660F2"/>
    <w:rsid w:val="00A66139"/>
    <w:rsid w:val="00A666AD"/>
    <w:rsid w:val="00A66ADB"/>
    <w:rsid w:val="00A66EC9"/>
    <w:rsid w:val="00A66EEF"/>
    <w:rsid w:val="00A66F2C"/>
    <w:rsid w:val="00A6726C"/>
    <w:rsid w:val="00A70514"/>
    <w:rsid w:val="00A7079C"/>
    <w:rsid w:val="00A70C3D"/>
    <w:rsid w:val="00A71A51"/>
    <w:rsid w:val="00A71B2F"/>
    <w:rsid w:val="00A71E27"/>
    <w:rsid w:val="00A723BF"/>
    <w:rsid w:val="00A727EE"/>
    <w:rsid w:val="00A72AC5"/>
    <w:rsid w:val="00A72EC0"/>
    <w:rsid w:val="00A731CA"/>
    <w:rsid w:val="00A73AEB"/>
    <w:rsid w:val="00A73B81"/>
    <w:rsid w:val="00A743F1"/>
    <w:rsid w:val="00A74A49"/>
    <w:rsid w:val="00A74FC3"/>
    <w:rsid w:val="00A74FF9"/>
    <w:rsid w:val="00A756EF"/>
    <w:rsid w:val="00A75895"/>
    <w:rsid w:val="00A75DB0"/>
    <w:rsid w:val="00A75F07"/>
    <w:rsid w:val="00A76C54"/>
    <w:rsid w:val="00A76DCF"/>
    <w:rsid w:val="00A76E3C"/>
    <w:rsid w:val="00A7740F"/>
    <w:rsid w:val="00A7758A"/>
    <w:rsid w:val="00A77742"/>
    <w:rsid w:val="00A779BB"/>
    <w:rsid w:val="00A77B76"/>
    <w:rsid w:val="00A77C6B"/>
    <w:rsid w:val="00A8032A"/>
    <w:rsid w:val="00A8096F"/>
    <w:rsid w:val="00A80A0A"/>
    <w:rsid w:val="00A80B96"/>
    <w:rsid w:val="00A81200"/>
    <w:rsid w:val="00A81592"/>
    <w:rsid w:val="00A81B4A"/>
    <w:rsid w:val="00A81DF0"/>
    <w:rsid w:val="00A82252"/>
    <w:rsid w:val="00A8263B"/>
    <w:rsid w:val="00A8278D"/>
    <w:rsid w:val="00A829DD"/>
    <w:rsid w:val="00A82C8A"/>
    <w:rsid w:val="00A82D82"/>
    <w:rsid w:val="00A83423"/>
    <w:rsid w:val="00A8397E"/>
    <w:rsid w:val="00A83B08"/>
    <w:rsid w:val="00A83FFD"/>
    <w:rsid w:val="00A842D2"/>
    <w:rsid w:val="00A8463C"/>
    <w:rsid w:val="00A84BD2"/>
    <w:rsid w:val="00A8546D"/>
    <w:rsid w:val="00A8581D"/>
    <w:rsid w:val="00A85AAF"/>
    <w:rsid w:val="00A85B55"/>
    <w:rsid w:val="00A85D3B"/>
    <w:rsid w:val="00A85DCC"/>
    <w:rsid w:val="00A8606A"/>
    <w:rsid w:val="00A86799"/>
    <w:rsid w:val="00A86AB6"/>
    <w:rsid w:val="00A86B2F"/>
    <w:rsid w:val="00A86E99"/>
    <w:rsid w:val="00A87025"/>
    <w:rsid w:val="00A8745A"/>
    <w:rsid w:val="00A87593"/>
    <w:rsid w:val="00A9031F"/>
    <w:rsid w:val="00A90E46"/>
    <w:rsid w:val="00A90E5D"/>
    <w:rsid w:val="00A91E99"/>
    <w:rsid w:val="00A92026"/>
    <w:rsid w:val="00A92A9D"/>
    <w:rsid w:val="00A92ACD"/>
    <w:rsid w:val="00A930EB"/>
    <w:rsid w:val="00A930F9"/>
    <w:rsid w:val="00A93135"/>
    <w:rsid w:val="00A9317B"/>
    <w:rsid w:val="00A9324E"/>
    <w:rsid w:val="00A93631"/>
    <w:rsid w:val="00A93C29"/>
    <w:rsid w:val="00A93DC4"/>
    <w:rsid w:val="00A9451A"/>
    <w:rsid w:val="00A95514"/>
    <w:rsid w:val="00A9551E"/>
    <w:rsid w:val="00A95D9C"/>
    <w:rsid w:val="00A9601C"/>
    <w:rsid w:val="00A96431"/>
    <w:rsid w:val="00A966AA"/>
    <w:rsid w:val="00A96C5A"/>
    <w:rsid w:val="00A970C0"/>
    <w:rsid w:val="00A970FA"/>
    <w:rsid w:val="00A97130"/>
    <w:rsid w:val="00A9746A"/>
    <w:rsid w:val="00A9767A"/>
    <w:rsid w:val="00A97E77"/>
    <w:rsid w:val="00A97EF3"/>
    <w:rsid w:val="00A97F64"/>
    <w:rsid w:val="00A97FFA"/>
    <w:rsid w:val="00AA0079"/>
    <w:rsid w:val="00AA013E"/>
    <w:rsid w:val="00AA0334"/>
    <w:rsid w:val="00AA057C"/>
    <w:rsid w:val="00AA05B3"/>
    <w:rsid w:val="00AA17DC"/>
    <w:rsid w:val="00AA1B96"/>
    <w:rsid w:val="00AA2011"/>
    <w:rsid w:val="00AA2D74"/>
    <w:rsid w:val="00AA31C3"/>
    <w:rsid w:val="00AA3446"/>
    <w:rsid w:val="00AA3704"/>
    <w:rsid w:val="00AA37FD"/>
    <w:rsid w:val="00AA3C80"/>
    <w:rsid w:val="00AA3F3C"/>
    <w:rsid w:val="00AA51B1"/>
    <w:rsid w:val="00AA5942"/>
    <w:rsid w:val="00AA5BB3"/>
    <w:rsid w:val="00AA6408"/>
    <w:rsid w:val="00AA668D"/>
    <w:rsid w:val="00AA69A1"/>
    <w:rsid w:val="00AA6C39"/>
    <w:rsid w:val="00AA6D4D"/>
    <w:rsid w:val="00AA6DEA"/>
    <w:rsid w:val="00AA7738"/>
    <w:rsid w:val="00AA7B30"/>
    <w:rsid w:val="00AA7C60"/>
    <w:rsid w:val="00AB0C30"/>
    <w:rsid w:val="00AB1108"/>
    <w:rsid w:val="00AB125A"/>
    <w:rsid w:val="00AB12E1"/>
    <w:rsid w:val="00AB1434"/>
    <w:rsid w:val="00AB188A"/>
    <w:rsid w:val="00AB1AB1"/>
    <w:rsid w:val="00AB1E24"/>
    <w:rsid w:val="00AB2126"/>
    <w:rsid w:val="00AB2F62"/>
    <w:rsid w:val="00AB3117"/>
    <w:rsid w:val="00AB313C"/>
    <w:rsid w:val="00AB38FD"/>
    <w:rsid w:val="00AB3B3B"/>
    <w:rsid w:val="00AB3B7B"/>
    <w:rsid w:val="00AB3E4A"/>
    <w:rsid w:val="00AB3F83"/>
    <w:rsid w:val="00AB4231"/>
    <w:rsid w:val="00AB4706"/>
    <w:rsid w:val="00AB4FD5"/>
    <w:rsid w:val="00AB584D"/>
    <w:rsid w:val="00AB5B60"/>
    <w:rsid w:val="00AB5DED"/>
    <w:rsid w:val="00AB5E47"/>
    <w:rsid w:val="00AB6535"/>
    <w:rsid w:val="00AB6BF1"/>
    <w:rsid w:val="00AB6C53"/>
    <w:rsid w:val="00AB6ECD"/>
    <w:rsid w:val="00AB7F96"/>
    <w:rsid w:val="00AC0863"/>
    <w:rsid w:val="00AC0DF3"/>
    <w:rsid w:val="00AC16F6"/>
    <w:rsid w:val="00AC21E5"/>
    <w:rsid w:val="00AC23B3"/>
    <w:rsid w:val="00AC23FC"/>
    <w:rsid w:val="00AC3013"/>
    <w:rsid w:val="00AC3194"/>
    <w:rsid w:val="00AC3788"/>
    <w:rsid w:val="00AC3811"/>
    <w:rsid w:val="00AC39FB"/>
    <w:rsid w:val="00AC3F68"/>
    <w:rsid w:val="00AC400D"/>
    <w:rsid w:val="00AC402A"/>
    <w:rsid w:val="00AC4BFC"/>
    <w:rsid w:val="00AC5567"/>
    <w:rsid w:val="00AC5736"/>
    <w:rsid w:val="00AC5C01"/>
    <w:rsid w:val="00AC660D"/>
    <w:rsid w:val="00AC6805"/>
    <w:rsid w:val="00AC69C5"/>
    <w:rsid w:val="00AC6B2C"/>
    <w:rsid w:val="00AC6B59"/>
    <w:rsid w:val="00AC6ED0"/>
    <w:rsid w:val="00AC76EE"/>
    <w:rsid w:val="00AC78D4"/>
    <w:rsid w:val="00AC792F"/>
    <w:rsid w:val="00AC7966"/>
    <w:rsid w:val="00AC7C81"/>
    <w:rsid w:val="00AC7CAA"/>
    <w:rsid w:val="00AC7E5F"/>
    <w:rsid w:val="00AC7FBC"/>
    <w:rsid w:val="00AD020F"/>
    <w:rsid w:val="00AD04AF"/>
    <w:rsid w:val="00AD0CB3"/>
    <w:rsid w:val="00AD0CEB"/>
    <w:rsid w:val="00AD0E62"/>
    <w:rsid w:val="00AD0FCA"/>
    <w:rsid w:val="00AD11E7"/>
    <w:rsid w:val="00AD1758"/>
    <w:rsid w:val="00AD1896"/>
    <w:rsid w:val="00AD1D79"/>
    <w:rsid w:val="00AD2220"/>
    <w:rsid w:val="00AD2582"/>
    <w:rsid w:val="00AD289F"/>
    <w:rsid w:val="00AD2F6E"/>
    <w:rsid w:val="00AD2FA4"/>
    <w:rsid w:val="00AD300E"/>
    <w:rsid w:val="00AD342C"/>
    <w:rsid w:val="00AD34F1"/>
    <w:rsid w:val="00AD372D"/>
    <w:rsid w:val="00AD443C"/>
    <w:rsid w:val="00AD4449"/>
    <w:rsid w:val="00AD4CE2"/>
    <w:rsid w:val="00AD4D1A"/>
    <w:rsid w:val="00AD4DCD"/>
    <w:rsid w:val="00AD51D2"/>
    <w:rsid w:val="00AD52B9"/>
    <w:rsid w:val="00AD5673"/>
    <w:rsid w:val="00AD568E"/>
    <w:rsid w:val="00AD5F8F"/>
    <w:rsid w:val="00AD6044"/>
    <w:rsid w:val="00AD6150"/>
    <w:rsid w:val="00AD6440"/>
    <w:rsid w:val="00AD67FD"/>
    <w:rsid w:val="00AD6C9A"/>
    <w:rsid w:val="00AD7655"/>
    <w:rsid w:val="00AD795E"/>
    <w:rsid w:val="00AE025C"/>
    <w:rsid w:val="00AE07E3"/>
    <w:rsid w:val="00AE106A"/>
    <w:rsid w:val="00AE1189"/>
    <w:rsid w:val="00AE11B8"/>
    <w:rsid w:val="00AE1668"/>
    <w:rsid w:val="00AE1984"/>
    <w:rsid w:val="00AE1B2B"/>
    <w:rsid w:val="00AE1BC8"/>
    <w:rsid w:val="00AE1CA4"/>
    <w:rsid w:val="00AE20F5"/>
    <w:rsid w:val="00AE210B"/>
    <w:rsid w:val="00AE234F"/>
    <w:rsid w:val="00AE252B"/>
    <w:rsid w:val="00AE2D31"/>
    <w:rsid w:val="00AE3634"/>
    <w:rsid w:val="00AE37BB"/>
    <w:rsid w:val="00AE3BD1"/>
    <w:rsid w:val="00AE3E58"/>
    <w:rsid w:val="00AE3F51"/>
    <w:rsid w:val="00AE3FBE"/>
    <w:rsid w:val="00AE40A7"/>
    <w:rsid w:val="00AE43B0"/>
    <w:rsid w:val="00AE4A13"/>
    <w:rsid w:val="00AE4A6C"/>
    <w:rsid w:val="00AE4B1D"/>
    <w:rsid w:val="00AE4E11"/>
    <w:rsid w:val="00AE50B7"/>
    <w:rsid w:val="00AE5C81"/>
    <w:rsid w:val="00AE5F8E"/>
    <w:rsid w:val="00AE60FD"/>
    <w:rsid w:val="00AE6403"/>
    <w:rsid w:val="00AE6977"/>
    <w:rsid w:val="00AE6CD1"/>
    <w:rsid w:val="00AE6E1A"/>
    <w:rsid w:val="00AE72B3"/>
    <w:rsid w:val="00AE7443"/>
    <w:rsid w:val="00AE760D"/>
    <w:rsid w:val="00AE784E"/>
    <w:rsid w:val="00AE7894"/>
    <w:rsid w:val="00AE7CDE"/>
    <w:rsid w:val="00AE7D83"/>
    <w:rsid w:val="00AE7FB5"/>
    <w:rsid w:val="00AF0010"/>
    <w:rsid w:val="00AF0408"/>
    <w:rsid w:val="00AF07E9"/>
    <w:rsid w:val="00AF09A9"/>
    <w:rsid w:val="00AF0A9A"/>
    <w:rsid w:val="00AF1035"/>
    <w:rsid w:val="00AF1075"/>
    <w:rsid w:val="00AF10D3"/>
    <w:rsid w:val="00AF127C"/>
    <w:rsid w:val="00AF1642"/>
    <w:rsid w:val="00AF1902"/>
    <w:rsid w:val="00AF1BD0"/>
    <w:rsid w:val="00AF1F7A"/>
    <w:rsid w:val="00AF20F8"/>
    <w:rsid w:val="00AF2499"/>
    <w:rsid w:val="00AF2F5F"/>
    <w:rsid w:val="00AF3033"/>
    <w:rsid w:val="00AF34E0"/>
    <w:rsid w:val="00AF35C8"/>
    <w:rsid w:val="00AF3A5B"/>
    <w:rsid w:val="00AF3BB5"/>
    <w:rsid w:val="00AF3E21"/>
    <w:rsid w:val="00AF40FD"/>
    <w:rsid w:val="00AF4525"/>
    <w:rsid w:val="00AF4CC8"/>
    <w:rsid w:val="00AF5A37"/>
    <w:rsid w:val="00AF5C98"/>
    <w:rsid w:val="00AF5FD5"/>
    <w:rsid w:val="00AF618E"/>
    <w:rsid w:val="00AF61BF"/>
    <w:rsid w:val="00AF621E"/>
    <w:rsid w:val="00AF6529"/>
    <w:rsid w:val="00AF7143"/>
    <w:rsid w:val="00AF72AD"/>
    <w:rsid w:val="00AF73C6"/>
    <w:rsid w:val="00AF7405"/>
    <w:rsid w:val="00AF76C7"/>
    <w:rsid w:val="00B00426"/>
    <w:rsid w:val="00B009CB"/>
    <w:rsid w:val="00B00B86"/>
    <w:rsid w:val="00B00DAF"/>
    <w:rsid w:val="00B00F96"/>
    <w:rsid w:val="00B00FD7"/>
    <w:rsid w:val="00B01354"/>
    <w:rsid w:val="00B01518"/>
    <w:rsid w:val="00B016F2"/>
    <w:rsid w:val="00B01823"/>
    <w:rsid w:val="00B022DD"/>
    <w:rsid w:val="00B0275D"/>
    <w:rsid w:val="00B02837"/>
    <w:rsid w:val="00B02A5F"/>
    <w:rsid w:val="00B02B91"/>
    <w:rsid w:val="00B02D89"/>
    <w:rsid w:val="00B02FB3"/>
    <w:rsid w:val="00B033D0"/>
    <w:rsid w:val="00B03C4E"/>
    <w:rsid w:val="00B03D2A"/>
    <w:rsid w:val="00B04264"/>
    <w:rsid w:val="00B04379"/>
    <w:rsid w:val="00B049AD"/>
    <w:rsid w:val="00B049BF"/>
    <w:rsid w:val="00B04D31"/>
    <w:rsid w:val="00B051D6"/>
    <w:rsid w:val="00B05409"/>
    <w:rsid w:val="00B0593D"/>
    <w:rsid w:val="00B05F53"/>
    <w:rsid w:val="00B0689E"/>
    <w:rsid w:val="00B06E4B"/>
    <w:rsid w:val="00B06EB9"/>
    <w:rsid w:val="00B0718D"/>
    <w:rsid w:val="00B0729F"/>
    <w:rsid w:val="00B07885"/>
    <w:rsid w:val="00B07A67"/>
    <w:rsid w:val="00B07E16"/>
    <w:rsid w:val="00B10178"/>
    <w:rsid w:val="00B10921"/>
    <w:rsid w:val="00B10941"/>
    <w:rsid w:val="00B109F9"/>
    <w:rsid w:val="00B1119F"/>
    <w:rsid w:val="00B115B8"/>
    <w:rsid w:val="00B11901"/>
    <w:rsid w:val="00B11F45"/>
    <w:rsid w:val="00B12741"/>
    <w:rsid w:val="00B12D6F"/>
    <w:rsid w:val="00B1310E"/>
    <w:rsid w:val="00B134F9"/>
    <w:rsid w:val="00B137A4"/>
    <w:rsid w:val="00B13A0A"/>
    <w:rsid w:val="00B14096"/>
    <w:rsid w:val="00B141F9"/>
    <w:rsid w:val="00B14F14"/>
    <w:rsid w:val="00B15A2B"/>
    <w:rsid w:val="00B15C55"/>
    <w:rsid w:val="00B15F06"/>
    <w:rsid w:val="00B15F19"/>
    <w:rsid w:val="00B160F4"/>
    <w:rsid w:val="00B16494"/>
    <w:rsid w:val="00B169C5"/>
    <w:rsid w:val="00B16BD2"/>
    <w:rsid w:val="00B16E89"/>
    <w:rsid w:val="00B17497"/>
    <w:rsid w:val="00B17562"/>
    <w:rsid w:val="00B175C3"/>
    <w:rsid w:val="00B178FE"/>
    <w:rsid w:val="00B17A18"/>
    <w:rsid w:val="00B17DDC"/>
    <w:rsid w:val="00B20646"/>
    <w:rsid w:val="00B211B9"/>
    <w:rsid w:val="00B22BB0"/>
    <w:rsid w:val="00B22C90"/>
    <w:rsid w:val="00B230FB"/>
    <w:rsid w:val="00B2319E"/>
    <w:rsid w:val="00B23452"/>
    <w:rsid w:val="00B234BD"/>
    <w:rsid w:val="00B23D75"/>
    <w:rsid w:val="00B23F67"/>
    <w:rsid w:val="00B243B2"/>
    <w:rsid w:val="00B246B3"/>
    <w:rsid w:val="00B248AB"/>
    <w:rsid w:val="00B24D48"/>
    <w:rsid w:val="00B2516C"/>
    <w:rsid w:val="00B2530D"/>
    <w:rsid w:val="00B255A4"/>
    <w:rsid w:val="00B255F9"/>
    <w:rsid w:val="00B25A2F"/>
    <w:rsid w:val="00B268CE"/>
    <w:rsid w:val="00B26A02"/>
    <w:rsid w:val="00B26B55"/>
    <w:rsid w:val="00B26B5C"/>
    <w:rsid w:val="00B26C75"/>
    <w:rsid w:val="00B26EC3"/>
    <w:rsid w:val="00B278C5"/>
    <w:rsid w:val="00B279B5"/>
    <w:rsid w:val="00B30065"/>
    <w:rsid w:val="00B30323"/>
    <w:rsid w:val="00B305FA"/>
    <w:rsid w:val="00B30630"/>
    <w:rsid w:val="00B306E2"/>
    <w:rsid w:val="00B30799"/>
    <w:rsid w:val="00B30D95"/>
    <w:rsid w:val="00B3107F"/>
    <w:rsid w:val="00B31E07"/>
    <w:rsid w:val="00B320E9"/>
    <w:rsid w:val="00B32250"/>
    <w:rsid w:val="00B324FE"/>
    <w:rsid w:val="00B325FA"/>
    <w:rsid w:val="00B32741"/>
    <w:rsid w:val="00B32840"/>
    <w:rsid w:val="00B32B8B"/>
    <w:rsid w:val="00B32F65"/>
    <w:rsid w:val="00B3326B"/>
    <w:rsid w:val="00B33798"/>
    <w:rsid w:val="00B33BAA"/>
    <w:rsid w:val="00B344B1"/>
    <w:rsid w:val="00B344D6"/>
    <w:rsid w:val="00B345E1"/>
    <w:rsid w:val="00B34AC7"/>
    <w:rsid w:val="00B34AD9"/>
    <w:rsid w:val="00B34E32"/>
    <w:rsid w:val="00B3582C"/>
    <w:rsid w:val="00B35AC4"/>
    <w:rsid w:val="00B35DEB"/>
    <w:rsid w:val="00B35F5C"/>
    <w:rsid w:val="00B3678B"/>
    <w:rsid w:val="00B36A74"/>
    <w:rsid w:val="00B36ACB"/>
    <w:rsid w:val="00B36AD5"/>
    <w:rsid w:val="00B36BA5"/>
    <w:rsid w:val="00B36BFE"/>
    <w:rsid w:val="00B37ACE"/>
    <w:rsid w:val="00B37DCB"/>
    <w:rsid w:val="00B37DDA"/>
    <w:rsid w:val="00B40111"/>
    <w:rsid w:val="00B405E5"/>
    <w:rsid w:val="00B4079F"/>
    <w:rsid w:val="00B40A5D"/>
    <w:rsid w:val="00B40B8D"/>
    <w:rsid w:val="00B40DE8"/>
    <w:rsid w:val="00B40F77"/>
    <w:rsid w:val="00B40FB1"/>
    <w:rsid w:val="00B4107D"/>
    <w:rsid w:val="00B4109A"/>
    <w:rsid w:val="00B41520"/>
    <w:rsid w:val="00B41C4B"/>
    <w:rsid w:val="00B4268F"/>
    <w:rsid w:val="00B426B0"/>
    <w:rsid w:val="00B42A5D"/>
    <w:rsid w:val="00B42D18"/>
    <w:rsid w:val="00B42F20"/>
    <w:rsid w:val="00B4370B"/>
    <w:rsid w:val="00B439E3"/>
    <w:rsid w:val="00B43A50"/>
    <w:rsid w:val="00B43BE8"/>
    <w:rsid w:val="00B43D38"/>
    <w:rsid w:val="00B44544"/>
    <w:rsid w:val="00B4460D"/>
    <w:rsid w:val="00B44857"/>
    <w:rsid w:val="00B44BEA"/>
    <w:rsid w:val="00B44CA5"/>
    <w:rsid w:val="00B44D3A"/>
    <w:rsid w:val="00B44FB9"/>
    <w:rsid w:val="00B45E27"/>
    <w:rsid w:val="00B46018"/>
    <w:rsid w:val="00B46339"/>
    <w:rsid w:val="00B464A5"/>
    <w:rsid w:val="00B464C1"/>
    <w:rsid w:val="00B46675"/>
    <w:rsid w:val="00B466D1"/>
    <w:rsid w:val="00B46B00"/>
    <w:rsid w:val="00B4708E"/>
    <w:rsid w:val="00B471D9"/>
    <w:rsid w:val="00B472CD"/>
    <w:rsid w:val="00B476D3"/>
    <w:rsid w:val="00B479DA"/>
    <w:rsid w:val="00B47A5C"/>
    <w:rsid w:val="00B47FAA"/>
    <w:rsid w:val="00B47FF7"/>
    <w:rsid w:val="00B5010E"/>
    <w:rsid w:val="00B50BA8"/>
    <w:rsid w:val="00B50C90"/>
    <w:rsid w:val="00B50DFC"/>
    <w:rsid w:val="00B50E11"/>
    <w:rsid w:val="00B50EB3"/>
    <w:rsid w:val="00B5133A"/>
    <w:rsid w:val="00B5156D"/>
    <w:rsid w:val="00B5157F"/>
    <w:rsid w:val="00B517CB"/>
    <w:rsid w:val="00B518ED"/>
    <w:rsid w:val="00B51F57"/>
    <w:rsid w:val="00B52382"/>
    <w:rsid w:val="00B52E58"/>
    <w:rsid w:val="00B530CB"/>
    <w:rsid w:val="00B53788"/>
    <w:rsid w:val="00B53798"/>
    <w:rsid w:val="00B53A44"/>
    <w:rsid w:val="00B53BA9"/>
    <w:rsid w:val="00B546D8"/>
    <w:rsid w:val="00B5470A"/>
    <w:rsid w:val="00B55064"/>
    <w:rsid w:val="00B559B5"/>
    <w:rsid w:val="00B55A4F"/>
    <w:rsid w:val="00B55FEA"/>
    <w:rsid w:val="00B56229"/>
    <w:rsid w:val="00B56359"/>
    <w:rsid w:val="00B56C82"/>
    <w:rsid w:val="00B5739D"/>
    <w:rsid w:val="00B573A6"/>
    <w:rsid w:val="00B5789D"/>
    <w:rsid w:val="00B57ADA"/>
    <w:rsid w:val="00B57F12"/>
    <w:rsid w:val="00B61180"/>
    <w:rsid w:val="00B6137A"/>
    <w:rsid w:val="00B61F9A"/>
    <w:rsid w:val="00B6206D"/>
    <w:rsid w:val="00B62888"/>
    <w:rsid w:val="00B62951"/>
    <w:rsid w:val="00B62981"/>
    <w:rsid w:val="00B63211"/>
    <w:rsid w:val="00B635B5"/>
    <w:rsid w:val="00B6365A"/>
    <w:rsid w:val="00B63ECC"/>
    <w:rsid w:val="00B64260"/>
    <w:rsid w:val="00B647AB"/>
    <w:rsid w:val="00B64896"/>
    <w:rsid w:val="00B64DC3"/>
    <w:rsid w:val="00B6504B"/>
    <w:rsid w:val="00B6525D"/>
    <w:rsid w:val="00B652A1"/>
    <w:rsid w:val="00B65379"/>
    <w:rsid w:val="00B660BC"/>
    <w:rsid w:val="00B663E9"/>
    <w:rsid w:val="00B668BA"/>
    <w:rsid w:val="00B6751C"/>
    <w:rsid w:val="00B67630"/>
    <w:rsid w:val="00B67AB2"/>
    <w:rsid w:val="00B67B4B"/>
    <w:rsid w:val="00B67CF7"/>
    <w:rsid w:val="00B70065"/>
    <w:rsid w:val="00B70312"/>
    <w:rsid w:val="00B705F5"/>
    <w:rsid w:val="00B7070F"/>
    <w:rsid w:val="00B70D1E"/>
    <w:rsid w:val="00B70E49"/>
    <w:rsid w:val="00B714F0"/>
    <w:rsid w:val="00B71561"/>
    <w:rsid w:val="00B71758"/>
    <w:rsid w:val="00B71BEF"/>
    <w:rsid w:val="00B71D01"/>
    <w:rsid w:val="00B71FE9"/>
    <w:rsid w:val="00B721CF"/>
    <w:rsid w:val="00B72325"/>
    <w:rsid w:val="00B72EC2"/>
    <w:rsid w:val="00B73087"/>
    <w:rsid w:val="00B73154"/>
    <w:rsid w:val="00B74343"/>
    <w:rsid w:val="00B74497"/>
    <w:rsid w:val="00B7450F"/>
    <w:rsid w:val="00B7495A"/>
    <w:rsid w:val="00B74E21"/>
    <w:rsid w:val="00B75136"/>
    <w:rsid w:val="00B755E5"/>
    <w:rsid w:val="00B75CA9"/>
    <w:rsid w:val="00B75F17"/>
    <w:rsid w:val="00B760D8"/>
    <w:rsid w:val="00B762DE"/>
    <w:rsid w:val="00B76385"/>
    <w:rsid w:val="00B7654C"/>
    <w:rsid w:val="00B76703"/>
    <w:rsid w:val="00B7677D"/>
    <w:rsid w:val="00B76B72"/>
    <w:rsid w:val="00B76C7A"/>
    <w:rsid w:val="00B7717C"/>
    <w:rsid w:val="00B772CA"/>
    <w:rsid w:val="00B77F39"/>
    <w:rsid w:val="00B800EB"/>
    <w:rsid w:val="00B80467"/>
    <w:rsid w:val="00B8062A"/>
    <w:rsid w:val="00B80E01"/>
    <w:rsid w:val="00B80EB3"/>
    <w:rsid w:val="00B810B5"/>
    <w:rsid w:val="00B813B5"/>
    <w:rsid w:val="00B8156A"/>
    <w:rsid w:val="00B81E92"/>
    <w:rsid w:val="00B82B09"/>
    <w:rsid w:val="00B82B63"/>
    <w:rsid w:val="00B8320D"/>
    <w:rsid w:val="00B836E2"/>
    <w:rsid w:val="00B83BC0"/>
    <w:rsid w:val="00B840F9"/>
    <w:rsid w:val="00B8418D"/>
    <w:rsid w:val="00B84594"/>
    <w:rsid w:val="00B8500A"/>
    <w:rsid w:val="00B85039"/>
    <w:rsid w:val="00B85551"/>
    <w:rsid w:val="00B85908"/>
    <w:rsid w:val="00B860FF"/>
    <w:rsid w:val="00B865C7"/>
    <w:rsid w:val="00B87330"/>
    <w:rsid w:val="00B874FE"/>
    <w:rsid w:val="00B87664"/>
    <w:rsid w:val="00B878D9"/>
    <w:rsid w:val="00B87D15"/>
    <w:rsid w:val="00B90130"/>
    <w:rsid w:val="00B90361"/>
    <w:rsid w:val="00B90601"/>
    <w:rsid w:val="00B909DD"/>
    <w:rsid w:val="00B90B9F"/>
    <w:rsid w:val="00B90DE7"/>
    <w:rsid w:val="00B91257"/>
    <w:rsid w:val="00B91A04"/>
    <w:rsid w:val="00B9248B"/>
    <w:rsid w:val="00B92552"/>
    <w:rsid w:val="00B927CB"/>
    <w:rsid w:val="00B92A42"/>
    <w:rsid w:val="00B92A67"/>
    <w:rsid w:val="00B92BA8"/>
    <w:rsid w:val="00B92F09"/>
    <w:rsid w:val="00B93155"/>
    <w:rsid w:val="00B93B96"/>
    <w:rsid w:val="00B93E7E"/>
    <w:rsid w:val="00B93EEB"/>
    <w:rsid w:val="00B9420A"/>
    <w:rsid w:val="00B94529"/>
    <w:rsid w:val="00B94BC3"/>
    <w:rsid w:val="00B94EC8"/>
    <w:rsid w:val="00B9550F"/>
    <w:rsid w:val="00B96229"/>
    <w:rsid w:val="00B965C6"/>
    <w:rsid w:val="00B96A66"/>
    <w:rsid w:val="00B96D7E"/>
    <w:rsid w:val="00B96E53"/>
    <w:rsid w:val="00B96F62"/>
    <w:rsid w:val="00B96F6D"/>
    <w:rsid w:val="00B97209"/>
    <w:rsid w:val="00B97286"/>
    <w:rsid w:val="00BA019D"/>
    <w:rsid w:val="00BA0223"/>
    <w:rsid w:val="00BA0230"/>
    <w:rsid w:val="00BA0DAD"/>
    <w:rsid w:val="00BA12AC"/>
    <w:rsid w:val="00BA1800"/>
    <w:rsid w:val="00BA1B26"/>
    <w:rsid w:val="00BA1F75"/>
    <w:rsid w:val="00BA22F6"/>
    <w:rsid w:val="00BA2C4D"/>
    <w:rsid w:val="00BA2D27"/>
    <w:rsid w:val="00BA2FF9"/>
    <w:rsid w:val="00BA3A72"/>
    <w:rsid w:val="00BA3B8B"/>
    <w:rsid w:val="00BA3DC5"/>
    <w:rsid w:val="00BA4DB4"/>
    <w:rsid w:val="00BA509B"/>
    <w:rsid w:val="00BA5535"/>
    <w:rsid w:val="00BA56A1"/>
    <w:rsid w:val="00BA58B9"/>
    <w:rsid w:val="00BA5CB5"/>
    <w:rsid w:val="00BA5F98"/>
    <w:rsid w:val="00BA5FB2"/>
    <w:rsid w:val="00BA642B"/>
    <w:rsid w:val="00BA791D"/>
    <w:rsid w:val="00BA7A12"/>
    <w:rsid w:val="00BB0134"/>
    <w:rsid w:val="00BB0396"/>
    <w:rsid w:val="00BB0FBF"/>
    <w:rsid w:val="00BB1304"/>
    <w:rsid w:val="00BB1556"/>
    <w:rsid w:val="00BB1827"/>
    <w:rsid w:val="00BB1CD0"/>
    <w:rsid w:val="00BB1CEF"/>
    <w:rsid w:val="00BB1D0A"/>
    <w:rsid w:val="00BB24DC"/>
    <w:rsid w:val="00BB24E9"/>
    <w:rsid w:val="00BB25C4"/>
    <w:rsid w:val="00BB27CC"/>
    <w:rsid w:val="00BB2C8D"/>
    <w:rsid w:val="00BB2DD9"/>
    <w:rsid w:val="00BB2ED9"/>
    <w:rsid w:val="00BB345A"/>
    <w:rsid w:val="00BB392F"/>
    <w:rsid w:val="00BB39EB"/>
    <w:rsid w:val="00BB3A21"/>
    <w:rsid w:val="00BB3BED"/>
    <w:rsid w:val="00BB4368"/>
    <w:rsid w:val="00BB43B6"/>
    <w:rsid w:val="00BB43E4"/>
    <w:rsid w:val="00BB45E6"/>
    <w:rsid w:val="00BB4A7A"/>
    <w:rsid w:val="00BB4CBF"/>
    <w:rsid w:val="00BB4FF5"/>
    <w:rsid w:val="00BB5194"/>
    <w:rsid w:val="00BB55CB"/>
    <w:rsid w:val="00BB66AC"/>
    <w:rsid w:val="00BB67E3"/>
    <w:rsid w:val="00BB68B9"/>
    <w:rsid w:val="00BB6F9C"/>
    <w:rsid w:val="00BB7460"/>
    <w:rsid w:val="00BB76DB"/>
    <w:rsid w:val="00BB7CF8"/>
    <w:rsid w:val="00BC1B83"/>
    <w:rsid w:val="00BC1B95"/>
    <w:rsid w:val="00BC1BCD"/>
    <w:rsid w:val="00BC1C8B"/>
    <w:rsid w:val="00BC21F2"/>
    <w:rsid w:val="00BC24B5"/>
    <w:rsid w:val="00BC259C"/>
    <w:rsid w:val="00BC2639"/>
    <w:rsid w:val="00BC2949"/>
    <w:rsid w:val="00BC2ECF"/>
    <w:rsid w:val="00BC3103"/>
    <w:rsid w:val="00BC3431"/>
    <w:rsid w:val="00BC3800"/>
    <w:rsid w:val="00BC3803"/>
    <w:rsid w:val="00BC44CB"/>
    <w:rsid w:val="00BC46C6"/>
    <w:rsid w:val="00BC47C5"/>
    <w:rsid w:val="00BC4DCA"/>
    <w:rsid w:val="00BC4FAF"/>
    <w:rsid w:val="00BC5416"/>
    <w:rsid w:val="00BC58BB"/>
    <w:rsid w:val="00BC5D1E"/>
    <w:rsid w:val="00BC65C8"/>
    <w:rsid w:val="00BC6D6B"/>
    <w:rsid w:val="00BC736B"/>
    <w:rsid w:val="00BC7666"/>
    <w:rsid w:val="00BC79D3"/>
    <w:rsid w:val="00BC7A48"/>
    <w:rsid w:val="00BC7E95"/>
    <w:rsid w:val="00BC7EE8"/>
    <w:rsid w:val="00BD05D9"/>
    <w:rsid w:val="00BD07A7"/>
    <w:rsid w:val="00BD0D08"/>
    <w:rsid w:val="00BD0F13"/>
    <w:rsid w:val="00BD16A2"/>
    <w:rsid w:val="00BD16AC"/>
    <w:rsid w:val="00BD1975"/>
    <w:rsid w:val="00BD1AA2"/>
    <w:rsid w:val="00BD2000"/>
    <w:rsid w:val="00BD2231"/>
    <w:rsid w:val="00BD2844"/>
    <w:rsid w:val="00BD2A17"/>
    <w:rsid w:val="00BD2AC0"/>
    <w:rsid w:val="00BD2AFA"/>
    <w:rsid w:val="00BD2B20"/>
    <w:rsid w:val="00BD2C7F"/>
    <w:rsid w:val="00BD306E"/>
    <w:rsid w:val="00BD308A"/>
    <w:rsid w:val="00BD34DA"/>
    <w:rsid w:val="00BD3691"/>
    <w:rsid w:val="00BD3979"/>
    <w:rsid w:val="00BD3D29"/>
    <w:rsid w:val="00BD41F1"/>
    <w:rsid w:val="00BD4303"/>
    <w:rsid w:val="00BD4A0A"/>
    <w:rsid w:val="00BD4B6F"/>
    <w:rsid w:val="00BD4CA0"/>
    <w:rsid w:val="00BD5BF5"/>
    <w:rsid w:val="00BD61B4"/>
    <w:rsid w:val="00BD628C"/>
    <w:rsid w:val="00BD634A"/>
    <w:rsid w:val="00BD687C"/>
    <w:rsid w:val="00BD70DB"/>
    <w:rsid w:val="00BD771D"/>
    <w:rsid w:val="00BD777C"/>
    <w:rsid w:val="00BD7CB1"/>
    <w:rsid w:val="00BD7D1C"/>
    <w:rsid w:val="00BE00F5"/>
    <w:rsid w:val="00BE0B05"/>
    <w:rsid w:val="00BE0CA3"/>
    <w:rsid w:val="00BE0E9B"/>
    <w:rsid w:val="00BE10F1"/>
    <w:rsid w:val="00BE11DE"/>
    <w:rsid w:val="00BE150D"/>
    <w:rsid w:val="00BE1FD0"/>
    <w:rsid w:val="00BE1FD5"/>
    <w:rsid w:val="00BE2734"/>
    <w:rsid w:val="00BE2821"/>
    <w:rsid w:val="00BE2954"/>
    <w:rsid w:val="00BE2D0E"/>
    <w:rsid w:val="00BE2E51"/>
    <w:rsid w:val="00BE31A3"/>
    <w:rsid w:val="00BE33B2"/>
    <w:rsid w:val="00BE3735"/>
    <w:rsid w:val="00BE3A0A"/>
    <w:rsid w:val="00BE3EF0"/>
    <w:rsid w:val="00BE40A7"/>
    <w:rsid w:val="00BE40DB"/>
    <w:rsid w:val="00BE414C"/>
    <w:rsid w:val="00BE416D"/>
    <w:rsid w:val="00BE4620"/>
    <w:rsid w:val="00BE4814"/>
    <w:rsid w:val="00BE51CA"/>
    <w:rsid w:val="00BE52FB"/>
    <w:rsid w:val="00BE5407"/>
    <w:rsid w:val="00BE564B"/>
    <w:rsid w:val="00BE675B"/>
    <w:rsid w:val="00BE6860"/>
    <w:rsid w:val="00BE6CCB"/>
    <w:rsid w:val="00BE7300"/>
    <w:rsid w:val="00BE735F"/>
    <w:rsid w:val="00BE7613"/>
    <w:rsid w:val="00BE76D7"/>
    <w:rsid w:val="00BE7F73"/>
    <w:rsid w:val="00BF0030"/>
    <w:rsid w:val="00BF03A8"/>
    <w:rsid w:val="00BF0B92"/>
    <w:rsid w:val="00BF1EF1"/>
    <w:rsid w:val="00BF2236"/>
    <w:rsid w:val="00BF29AE"/>
    <w:rsid w:val="00BF2AEE"/>
    <w:rsid w:val="00BF387B"/>
    <w:rsid w:val="00BF39C8"/>
    <w:rsid w:val="00BF3DD9"/>
    <w:rsid w:val="00BF3FB3"/>
    <w:rsid w:val="00BF4157"/>
    <w:rsid w:val="00BF42A2"/>
    <w:rsid w:val="00BF4377"/>
    <w:rsid w:val="00BF47E6"/>
    <w:rsid w:val="00BF48DF"/>
    <w:rsid w:val="00BF4AF9"/>
    <w:rsid w:val="00BF51D2"/>
    <w:rsid w:val="00BF56F4"/>
    <w:rsid w:val="00BF5B96"/>
    <w:rsid w:val="00BF5E63"/>
    <w:rsid w:val="00BF6213"/>
    <w:rsid w:val="00BF627B"/>
    <w:rsid w:val="00BF63CB"/>
    <w:rsid w:val="00BF672B"/>
    <w:rsid w:val="00BF6A81"/>
    <w:rsid w:val="00BF7052"/>
    <w:rsid w:val="00BF7449"/>
    <w:rsid w:val="00BF75F1"/>
    <w:rsid w:val="00BF7EF8"/>
    <w:rsid w:val="00C0039E"/>
    <w:rsid w:val="00C007BC"/>
    <w:rsid w:val="00C00871"/>
    <w:rsid w:val="00C00A5D"/>
    <w:rsid w:val="00C00AD6"/>
    <w:rsid w:val="00C0124C"/>
    <w:rsid w:val="00C0126D"/>
    <w:rsid w:val="00C0151E"/>
    <w:rsid w:val="00C01A78"/>
    <w:rsid w:val="00C01FE5"/>
    <w:rsid w:val="00C021EB"/>
    <w:rsid w:val="00C024D7"/>
    <w:rsid w:val="00C0272D"/>
    <w:rsid w:val="00C02D1D"/>
    <w:rsid w:val="00C030EC"/>
    <w:rsid w:val="00C0341B"/>
    <w:rsid w:val="00C0353D"/>
    <w:rsid w:val="00C035E3"/>
    <w:rsid w:val="00C0378C"/>
    <w:rsid w:val="00C03EE8"/>
    <w:rsid w:val="00C0422A"/>
    <w:rsid w:val="00C04698"/>
    <w:rsid w:val="00C04D36"/>
    <w:rsid w:val="00C04FC4"/>
    <w:rsid w:val="00C056F7"/>
    <w:rsid w:val="00C05748"/>
    <w:rsid w:val="00C0574A"/>
    <w:rsid w:val="00C05F98"/>
    <w:rsid w:val="00C06847"/>
    <w:rsid w:val="00C068E9"/>
    <w:rsid w:val="00C06B0B"/>
    <w:rsid w:val="00C06CCE"/>
    <w:rsid w:val="00C07713"/>
    <w:rsid w:val="00C079C7"/>
    <w:rsid w:val="00C107A2"/>
    <w:rsid w:val="00C110E8"/>
    <w:rsid w:val="00C112EA"/>
    <w:rsid w:val="00C11808"/>
    <w:rsid w:val="00C11917"/>
    <w:rsid w:val="00C11C56"/>
    <w:rsid w:val="00C11C77"/>
    <w:rsid w:val="00C12445"/>
    <w:rsid w:val="00C12A6F"/>
    <w:rsid w:val="00C12A70"/>
    <w:rsid w:val="00C12FC8"/>
    <w:rsid w:val="00C1319C"/>
    <w:rsid w:val="00C13FA2"/>
    <w:rsid w:val="00C141A7"/>
    <w:rsid w:val="00C1442C"/>
    <w:rsid w:val="00C14654"/>
    <w:rsid w:val="00C14742"/>
    <w:rsid w:val="00C14CCF"/>
    <w:rsid w:val="00C15039"/>
    <w:rsid w:val="00C15AA5"/>
    <w:rsid w:val="00C15C11"/>
    <w:rsid w:val="00C16120"/>
    <w:rsid w:val="00C16D3B"/>
    <w:rsid w:val="00C172CC"/>
    <w:rsid w:val="00C17BE0"/>
    <w:rsid w:val="00C2045E"/>
    <w:rsid w:val="00C2059C"/>
    <w:rsid w:val="00C20D60"/>
    <w:rsid w:val="00C20FF3"/>
    <w:rsid w:val="00C211FC"/>
    <w:rsid w:val="00C21532"/>
    <w:rsid w:val="00C21BEC"/>
    <w:rsid w:val="00C21E06"/>
    <w:rsid w:val="00C21FCF"/>
    <w:rsid w:val="00C22347"/>
    <w:rsid w:val="00C22374"/>
    <w:rsid w:val="00C224AD"/>
    <w:rsid w:val="00C224D9"/>
    <w:rsid w:val="00C228BF"/>
    <w:rsid w:val="00C228C5"/>
    <w:rsid w:val="00C22A28"/>
    <w:rsid w:val="00C22CD3"/>
    <w:rsid w:val="00C22D02"/>
    <w:rsid w:val="00C22D4B"/>
    <w:rsid w:val="00C23A35"/>
    <w:rsid w:val="00C23C3D"/>
    <w:rsid w:val="00C23DF4"/>
    <w:rsid w:val="00C23F37"/>
    <w:rsid w:val="00C2412A"/>
    <w:rsid w:val="00C24345"/>
    <w:rsid w:val="00C24357"/>
    <w:rsid w:val="00C24926"/>
    <w:rsid w:val="00C24B4A"/>
    <w:rsid w:val="00C25112"/>
    <w:rsid w:val="00C25255"/>
    <w:rsid w:val="00C25622"/>
    <w:rsid w:val="00C258FE"/>
    <w:rsid w:val="00C25A26"/>
    <w:rsid w:val="00C25FC9"/>
    <w:rsid w:val="00C26022"/>
    <w:rsid w:val="00C26817"/>
    <w:rsid w:val="00C26A67"/>
    <w:rsid w:val="00C2797E"/>
    <w:rsid w:val="00C279EE"/>
    <w:rsid w:val="00C300AD"/>
    <w:rsid w:val="00C301F1"/>
    <w:rsid w:val="00C305F8"/>
    <w:rsid w:val="00C30808"/>
    <w:rsid w:val="00C308C3"/>
    <w:rsid w:val="00C309D4"/>
    <w:rsid w:val="00C30E5A"/>
    <w:rsid w:val="00C31056"/>
    <w:rsid w:val="00C3138B"/>
    <w:rsid w:val="00C31469"/>
    <w:rsid w:val="00C31580"/>
    <w:rsid w:val="00C3167B"/>
    <w:rsid w:val="00C31833"/>
    <w:rsid w:val="00C31B88"/>
    <w:rsid w:val="00C31D01"/>
    <w:rsid w:val="00C31DB9"/>
    <w:rsid w:val="00C31FDA"/>
    <w:rsid w:val="00C32972"/>
    <w:rsid w:val="00C32CF2"/>
    <w:rsid w:val="00C33239"/>
    <w:rsid w:val="00C33337"/>
    <w:rsid w:val="00C3389A"/>
    <w:rsid w:val="00C33C64"/>
    <w:rsid w:val="00C33C9B"/>
    <w:rsid w:val="00C3449B"/>
    <w:rsid w:val="00C3459C"/>
    <w:rsid w:val="00C34AF6"/>
    <w:rsid w:val="00C356B7"/>
    <w:rsid w:val="00C35A36"/>
    <w:rsid w:val="00C35A9C"/>
    <w:rsid w:val="00C35AD1"/>
    <w:rsid w:val="00C35F40"/>
    <w:rsid w:val="00C3626F"/>
    <w:rsid w:val="00C36A12"/>
    <w:rsid w:val="00C37EED"/>
    <w:rsid w:val="00C4044C"/>
    <w:rsid w:val="00C40723"/>
    <w:rsid w:val="00C41029"/>
    <w:rsid w:val="00C41698"/>
    <w:rsid w:val="00C41825"/>
    <w:rsid w:val="00C4200E"/>
    <w:rsid w:val="00C428F8"/>
    <w:rsid w:val="00C42FE2"/>
    <w:rsid w:val="00C43018"/>
    <w:rsid w:val="00C43340"/>
    <w:rsid w:val="00C43553"/>
    <w:rsid w:val="00C43693"/>
    <w:rsid w:val="00C43911"/>
    <w:rsid w:val="00C4392E"/>
    <w:rsid w:val="00C44183"/>
    <w:rsid w:val="00C449C9"/>
    <w:rsid w:val="00C44FC4"/>
    <w:rsid w:val="00C451BD"/>
    <w:rsid w:val="00C451CB"/>
    <w:rsid w:val="00C45C97"/>
    <w:rsid w:val="00C45F41"/>
    <w:rsid w:val="00C46544"/>
    <w:rsid w:val="00C465E7"/>
    <w:rsid w:val="00C46641"/>
    <w:rsid w:val="00C469AE"/>
    <w:rsid w:val="00C46AA9"/>
    <w:rsid w:val="00C47376"/>
    <w:rsid w:val="00C478FE"/>
    <w:rsid w:val="00C47C13"/>
    <w:rsid w:val="00C47D63"/>
    <w:rsid w:val="00C50389"/>
    <w:rsid w:val="00C5099D"/>
    <w:rsid w:val="00C510CA"/>
    <w:rsid w:val="00C51197"/>
    <w:rsid w:val="00C51352"/>
    <w:rsid w:val="00C51674"/>
    <w:rsid w:val="00C51832"/>
    <w:rsid w:val="00C519B5"/>
    <w:rsid w:val="00C519EF"/>
    <w:rsid w:val="00C52292"/>
    <w:rsid w:val="00C52CE5"/>
    <w:rsid w:val="00C53C00"/>
    <w:rsid w:val="00C53C39"/>
    <w:rsid w:val="00C53FA0"/>
    <w:rsid w:val="00C5410A"/>
    <w:rsid w:val="00C54583"/>
    <w:rsid w:val="00C54876"/>
    <w:rsid w:val="00C55826"/>
    <w:rsid w:val="00C55860"/>
    <w:rsid w:val="00C5595D"/>
    <w:rsid w:val="00C55B14"/>
    <w:rsid w:val="00C55BEC"/>
    <w:rsid w:val="00C55E25"/>
    <w:rsid w:val="00C56F35"/>
    <w:rsid w:val="00C57646"/>
    <w:rsid w:val="00C57C3D"/>
    <w:rsid w:val="00C60711"/>
    <w:rsid w:val="00C60772"/>
    <w:rsid w:val="00C608E9"/>
    <w:rsid w:val="00C6116C"/>
    <w:rsid w:val="00C6154B"/>
    <w:rsid w:val="00C617D5"/>
    <w:rsid w:val="00C617EB"/>
    <w:rsid w:val="00C621AA"/>
    <w:rsid w:val="00C62216"/>
    <w:rsid w:val="00C625DA"/>
    <w:rsid w:val="00C627EE"/>
    <w:rsid w:val="00C62903"/>
    <w:rsid w:val="00C62B22"/>
    <w:rsid w:val="00C63799"/>
    <w:rsid w:val="00C63D9D"/>
    <w:rsid w:val="00C6412E"/>
    <w:rsid w:val="00C6455F"/>
    <w:rsid w:val="00C648D6"/>
    <w:rsid w:val="00C64B9C"/>
    <w:rsid w:val="00C64D5E"/>
    <w:rsid w:val="00C6506D"/>
    <w:rsid w:val="00C6525E"/>
    <w:rsid w:val="00C65306"/>
    <w:rsid w:val="00C6628A"/>
    <w:rsid w:val="00C66401"/>
    <w:rsid w:val="00C667B1"/>
    <w:rsid w:val="00C6682B"/>
    <w:rsid w:val="00C66A15"/>
    <w:rsid w:val="00C66B66"/>
    <w:rsid w:val="00C670A8"/>
    <w:rsid w:val="00C6716E"/>
    <w:rsid w:val="00C67212"/>
    <w:rsid w:val="00C67E59"/>
    <w:rsid w:val="00C702CB"/>
    <w:rsid w:val="00C71074"/>
    <w:rsid w:val="00C720E5"/>
    <w:rsid w:val="00C725A7"/>
    <w:rsid w:val="00C725CA"/>
    <w:rsid w:val="00C72689"/>
    <w:rsid w:val="00C7289F"/>
    <w:rsid w:val="00C72915"/>
    <w:rsid w:val="00C72B14"/>
    <w:rsid w:val="00C72B32"/>
    <w:rsid w:val="00C72E17"/>
    <w:rsid w:val="00C72EB2"/>
    <w:rsid w:val="00C732E3"/>
    <w:rsid w:val="00C73346"/>
    <w:rsid w:val="00C73FD8"/>
    <w:rsid w:val="00C74069"/>
    <w:rsid w:val="00C7414D"/>
    <w:rsid w:val="00C744C1"/>
    <w:rsid w:val="00C745C3"/>
    <w:rsid w:val="00C7461B"/>
    <w:rsid w:val="00C74DF2"/>
    <w:rsid w:val="00C74F38"/>
    <w:rsid w:val="00C751F1"/>
    <w:rsid w:val="00C758E9"/>
    <w:rsid w:val="00C763C8"/>
    <w:rsid w:val="00C767C0"/>
    <w:rsid w:val="00C771FD"/>
    <w:rsid w:val="00C7768F"/>
    <w:rsid w:val="00C777E6"/>
    <w:rsid w:val="00C7780B"/>
    <w:rsid w:val="00C77C81"/>
    <w:rsid w:val="00C77F01"/>
    <w:rsid w:val="00C802AF"/>
    <w:rsid w:val="00C803FE"/>
    <w:rsid w:val="00C805D6"/>
    <w:rsid w:val="00C80772"/>
    <w:rsid w:val="00C80D9C"/>
    <w:rsid w:val="00C80DF2"/>
    <w:rsid w:val="00C80F84"/>
    <w:rsid w:val="00C81080"/>
    <w:rsid w:val="00C818E5"/>
    <w:rsid w:val="00C81CB4"/>
    <w:rsid w:val="00C81EA6"/>
    <w:rsid w:val="00C82700"/>
    <w:rsid w:val="00C82833"/>
    <w:rsid w:val="00C8299E"/>
    <w:rsid w:val="00C82CB8"/>
    <w:rsid w:val="00C832E4"/>
    <w:rsid w:val="00C83458"/>
    <w:rsid w:val="00C8358B"/>
    <w:rsid w:val="00C83A17"/>
    <w:rsid w:val="00C84856"/>
    <w:rsid w:val="00C84ED9"/>
    <w:rsid w:val="00C8527C"/>
    <w:rsid w:val="00C853A6"/>
    <w:rsid w:val="00C85452"/>
    <w:rsid w:val="00C856CA"/>
    <w:rsid w:val="00C85A8E"/>
    <w:rsid w:val="00C869F2"/>
    <w:rsid w:val="00C87056"/>
    <w:rsid w:val="00C8766A"/>
    <w:rsid w:val="00C87707"/>
    <w:rsid w:val="00C87D11"/>
    <w:rsid w:val="00C907D7"/>
    <w:rsid w:val="00C90865"/>
    <w:rsid w:val="00C909CE"/>
    <w:rsid w:val="00C90C15"/>
    <w:rsid w:val="00C90E35"/>
    <w:rsid w:val="00C9108F"/>
    <w:rsid w:val="00C91103"/>
    <w:rsid w:val="00C918D5"/>
    <w:rsid w:val="00C91D29"/>
    <w:rsid w:val="00C9231F"/>
    <w:rsid w:val="00C9244A"/>
    <w:rsid w:val="00C92A4F"/>
    <w:rsid w:val="00C92B91"/>
    <w:rsid w:val="00C92C8D"/>
    <w:rsid w:val="00C933F1"/>
    <w:rsid w:val="00C93A6B"/>
    <w:rsid w:val="00C93FE5"/>
    <w:rsid w:val="00C947A7"/>
    <w:rsid w:val="00C9498E"/>
    <w:rsid w:val="00C94E69"/>
    <w:rsid w:val="00C94F3D"/>
    <w:rsid w:val="00C951B3"/>
    <w:rsid w:val="00C952F1"/>
    <w:rsid w:val="00C9563C"/>
    <w:rsid w:val="00C96352"/>
    <w:rsid w:val="00C96998"/>
    <w:rsid w:val="00C96AC5"/>
    <w:rsid w:val="00C97000"/>
    <w:rsid w:val="00C97190"/>
    <w:rsid w:val="00C973B9"/>
    <w:rsid w:val="00C975EF"/>
    <w:rsid w:val="00C97E03"/>
    <w:rsid w:val="00C97F3B"/>
    <w:rsid w:val="00CA09D9"/>
    <w:rsid w:val="00CA0DCA"/>
    <w:rsid w:val="00CA1A8B"/>
    <w:rsid w:val="00CA1B60"/>
    <w:rsid w:val="00CA1CE6"/>
    <w:rsid w:val="00CA1CE8"/>
    <w:rsid w:val="00CA2B5D"/>
    <w:rsid w:val="00CA2D16"/>
    <w:rsid w:val="00CA2DCA"/>
    <w:rsid w:val="00CA3F87"/>
    <w:rsid w:val="00CA40E2"/>
    <w:rsid w:val="00CA4421"/>
    <w:rsid w:val="00CA4638"/>
    <w:rsid w:val="00CA4B67"/>
    <w:rsid w:val="00CA4B86"/>
    <w:rsid w:val="00CA4F98"/>
    <w:rsid w:val="00CA5023"/>
    <w:rsid w:val="00CA5048"/>
    <w:rsid w:val="00CA58FF"/>
    <w:rsid w:val="00CA5F84"/>
    <w:rsid w:val="00CA63C1"/>
    <w:rsid w:val="00CA6E42"/>
    <w:rsid w:val="00CA759E"/>
    <w:rsid w:val="00CA7902"/>
    <w:rsid w:val="00CA7E53"/>
    <w:rsid w:val="00CB0D43"/>
    <w:rsid w:val="00CB1089"/>
    <w:rsid w:val="00CB121B"/>
    <w:rsid w:val="00CB1B71"/>
    <w:rsid w:val="00CB272C"/>
    <w:rsid w:val="00CB28AD"/>
    <w:rsid w:val="00CB28E8"/>
    <w:rsid w:val="00CB3041"/>
    <w:rsid w:val="00CB3284"/>
    <w:rsid w:val="00CB341E"/>
    <w:rsid w:val="00CB373F"/>
    <w:rsid w:val="00CB37CF"/>
    <w:rsid w:val="00CB38C5"/>
    <w:rsid w:val="00CB38F4"/>
    <w:rsid w:val="00CB3C3A"/>
    <w:rsid w:val="00CB3E18"/>
    <w:rsid w:val="00CB3FAC"/>
    <w:rsid w:val="00CB4A9A"/>
    <w:rsid w:val="00CB51BF"/>
    <w:rsid w:val="00CB56E2"/>
    <w:rsid w:val="00CB5839"/>
    <w:rsid w:val="00CB5E37"/>
    <w:rsid w:val="00CB61DA"/>
    <w:rsid w:val="00CB6405"/>
    <w:rsid w:val="00CB6BD0"/>
    <w:rsid w:val="00CB6C19"/>
    <w:rsid w:val="00CB6E1C"/>
    <w:rsid w:val="00CB7456"/>
    <w:rsid w:val="00CB7DAF"/>
    <w:rsid w:val="00CB7E77"/>
    <w:rsid w:val="00CC01EB"/>
    <w:rsid w:val="00CC0434"/>
    <w:rsid w:val="00CC05D1"/>
    <w:rsid w:val="00CC0C70"/>
    <w:rsid w:val="00CC0FC1"/>
    <w:rsid w:val="00CC1261"/>
    <w:rsid w:val="00CC1490"/>
    <w:rsid w:val="00CC1913"/>
    <w:rsid w:val="00CC19EC"/>
    <w:rsid w:val="00CC1BAC"/>
    <w:rsid w:val="00CC1E7F"/>
    <w:rsid w:val="00CC222F"/>
    <w:rsid w:val="00CC25BD"/>
    <w:rsid w:val="00CC267F"/>
    <w:rsid w:val="00CC3011"/>
    <w:rsid w:val="00CC302D"/>
    <w:rsid w:val="00CC34FE"/>
    <w:rsid w:val="00CC4080"/>
    <w:rsid w:val="00CC4082"/>
    <w:rsid w:val="00CC40D4"/>
    <w:rsid w:val="00CC4179"/>
    <w:rsid w:val="00CC43C0"/>
    <w:rsid w:val="00CC443A"/>
    <w:rsid w:val="00CC452A"/>
    <w:rsid w:val="00CC4803"/>
    <w:rsid w:val="00CC4E1B"/>
    <w:rsid w:val="00CC52E9"/>
    <w:rsid w:val="00CC5573"/>
    <w:rsid w:val="00CC65B5"/>
    <w:rsid w:val="00CC67B8"/>
    <w:rsid w:val="00CC700B"/>
    <w:rsid w:val="00CC77F6"/>
    <w:rsid w:val="00CC7B83"/>
    <w:rsid w:val="00CD01A8"/>
    <w:rsid w:val="00CD02DC"/>
    <w:rsid w:val="00CD02E8"/>
    <w:rsid w:val="00CD03CB"/>
    <w:rsid w:val="00CD0B83"/>
    <w:rsid w:val="00CD15F6"/>
    <w:rsid w:val="00CD178D"/>
    <w:rsid w:val="00CD19F0"/>
    <w:rsid w:val="00CD19F9"/>
    <w:rsid w:val="00CD1CB3"/>
    <w:rsid w:val="00CD1FCF"/>
    <w:rsid w:val="00CD2030"/>
    <w:rsid w:val="00CD24AD"/>
    <w:rsid w:val="00CD2687"/>
    <w:rsid w:val="00CD272D"/>
    <w:rsid w:val="00CD2732"/>
    <w:rsid w:val="00CD2819"/>
    <w:rsid w:val="00CD28AC"/>
    <w:rsid w:val="00CD2928"/>
    <w:rsid w:val="00CD2C3A"/>
    <w:rsid w:val="00CD316D"/>
    <w:rsid w:val="00CD31AE"/>
    <w:rsid w:val="00CD34BC"/>
    <w:rsid w:val="00CD42F5"/>
    <w:rsid w:val="00CD48A7"/>
    <w:rsid w:val="00CD4B9F"/>
    <w:rsid w:val="00CD4BFC"/>
    <w:rsid w:val="00CD5228"/>
    <w:rsid w:val="00CD5316"/>
    <w:rsid w:val="00CD5A09"/>
    <w:rsid w:val="00CD5B01"/>
    <w:rsid w:val="00CD5CF2"/>
    <w:rsid w:val="00CD6049"/>
    <w:rsid w:val="00CD60E0"/>
    <w:rsid w:val="00CD6102"/>
    <w:rsid w:val="00CD6822"/>
    <w:rsid w:val="00CD691E"/>
    <w:rsid w:val="00CD7602"/>
    <w:rsid w:val="00CD7C13"/>
    <w:rsid w:val="00CE0619"/>
    <w:rsid w:val="00CE0A60"/>
    <w:rsid w:val="00CE0D48"/>
    <w:rsid w:val="00CE1254"/>
    <w:rsid w:val="00CE1519"/>
    <w:rsid w:val="00CE15EB"/>
    <w:rsid w:val="00CE16ED"/>
    <w:rsid w:val="00CE183C"/>
    <w:rsid w:val="00CE18F2"/>
    <w:rsid w:val="00CE1A08"/>
    <w:rsid w:val="00CE271D"/>
    <w:rsid w:val="00CE29F5"/>
    <w:rsid w:val="00CE2AB8"/>
    <w:rsid w:val="00CE2B10"/>
    <w:rsid w:val="00CE2BB5"/>
    <w:rsid w:val="00CE2F0D"/>
    <w:rsid w:val="00CE32BE"/>
    <w:rsid w:val="00CE380C"/>
    <w:rsid w:val="00CE3C11"/>
    <w:rsid w:val="00CE482F"/>
    <w:rsid w:val="00CE4ABE"/>
    <w:rsid w:val="00CE4FAB"/>
    <w:rsid w:val="00CE515D"/>
    <w:rsid w:val="00CE56FF"/>
    <w:rsid w:val="00CE571E"/>
    <w:rsid w:val="00CE6008"/>
    <w:rsid w:val="00CE6586"/>
    <w:rsid w:val="00CE6691"/>
    <w:rsid w:val="00CE6B30"/>
    <w:rsid w:val="00CE6FAF"/>
    <w:rsid w:val="00CE77EA"/>
    <w:rsid w:val="00CF023B"/>
    <w:rsid w:val="00CF025F"/>
    <w:rsid w:val="00CF0803"/>
    <w:rsid w:val="00CF0A89"/>
    <w:rsid w:val="00CF1058"/>
    <w:rsid w:val="00CF10AC"/>
    <w:rsid w:val="00CF12DA"/>
    <w:rsid w:val="00CF1F70"/>
    <w:rsid w:val="00CF28CF"/>
    <w:rsid w:val="00CF3426"/>
    <w:rsid w:val="00CF385A"/>
    <w:rsid w:val="00CF39A3"/>
    <w:rsid w:val="00CF3A8B"/>
    <w:rsid w:val="00CF3C71"/>
    <w:rsid w:val="00CF3DAF"/>
    <w:rsid w:val="00CF3F18"/>
    <w:rsid w:val="00CF4372"/>
    <w:rsid w:val="00CF4646"/>
    <w:rsid w:val="00CF46F2"/>
    <w:rsid w:val="00CF5080"/>
    <w:rsid w:val="00CF5098"/>
    <w:rsid w:val="00CF55E6"/>
    <w:rsid w:val="00CF5682"/>
    <w:rsid w:val="00CF68CA"/>
    <w:rsid w:val="00CF6C9C"/>
    <w:rsid w:val="00CF6E81"/>
    <w:rsid w:val="00CF7C5C"/>
    <w:rsid w:val="00CF7F42"/>
    <w:rsid w:val="00CF7F89"/>
    <w:rsid w:val="00D0009D"/>
    <w:rsid w:val="00D010AD"/>
    <w:rsid w:val="00D01308"/>
    <w:rsid w:val="00D01588"/>
    <w:rsid w:val="00D015A2"/>
    <w:rsid w:val="00D0282B"/>
    <w:rsid w:val="00D030EC"/>
    <w:rsid w:val="00D0331F"/>
    <w:rsid w:val="00D03429"/>
    <w:rsid w:val="00D036EE"/>
    <w:rsid w:val="00D038D9"/>
    <w:rsid w:val="00D040AD"/>
    <w:rsid w:val="00D0417D"/>
    <w:rsid w:val="00D0486D"/>
    <w:rsid w:val="00D04CB8"/>
    <w:rsid w:val="00D0509C"/>
    <w:rsid w:val="00D0527E"/>
    <w:rsid w:val="00D0528E"/>
    <w:rsid w:val="00D05512"/>
    <w:rsid w:val="00D05D92"/>
    <w:rsid w:val="00D060A8"/>
    <w:rsid w:val="00D061EC"/>
    <w:rsid w:val="00D06302"/>
    <w:rsid w:val="00D06B60"/>
    <w:rsid w:val="00D06E4C"/>
    <w:rsid w:val="00D06F72"/>
    <w:rsid w:val="00D07042"/>
    <w:rsid w:val="00D079F0"/>
    <w:rsid w:val="00D10222"/>
    <w:rsid w:val="00D103D7"/>
    <w:rsid w:val="00D106D8"/>
    <w:rsid w:val="00D10722"/>
    <w:rsid w:val="00D114B9"/>
    <w:rsid w:val="00D117F4"/>
    <w:rsid w:val="00D119F9"/>
    <w:rsid w:val="00D11ACD"/>
    <w:rsid w:val="00D122DC"/>
    <w:rsid w:val="00D1299A"/>
    <w:rsid w:val="00D13D15"/>
    <w:rsid w:val="00D13E6E"/>
    <w:rsid w:val="00D14055"/>
    <w:rsid w:val="00D140CF"/>
    <w:rsid w:val="00D14377"/>
    <w:rsid w:val="00D146BD"/>
    <w:rsid w:val="00D14729"/>
    <w:rsid w:val="00D14AC7"/>
    <w:rsid w:val="00D14B4D"/>
    <w:rsid w:val="00D15710"/>
    <w:rsid w:val="00D15737"/>
    <w:rsid w:val="00D1588E"/>
    <w:rsid w:val="00D163A0"/>
    <w:rsid w:val="00D16C46"/>
    <w:rsid w:val="00D1746B"/>
    <w:rsid w:val="00D174B6"/>
    <w:rsid w:val="00D20488"/>
    <w:rsid w:val="00D208E4"/>
    <w:rsid w:val="00D20AE4"/>
    <w:rsid w:val="00D21034"/>
    <w:rsid w:val="00D21127"/>
    <w:rsid w:val="00D2128D"/>
    <w:rsid w:val="00D220BD"/>
    <w:rsid w:val="00D223AC"/>
    <w:rsid w:val="00D2241C"/>
    <w:rsid w:val="00D22E86"/>
    <w:rsid w:val="00D237B7"/>
    <w:rsid w:val="00D23B67"/>
    <w:rsid w:val="00D23ECB"/>
    <w:rsid w:val="00D241F3"/>
    <w:rsid w:val="00D2440F"/>
    <w:rsid w:val="00D245D8"/>
    <w:rsid w:val="00D24AFF"/>
    <w:rsid w:val="00D251DA"/>
    <w:rsid w:val="00D25B69"/>
    <w:rsid w:val="00D25B75"/>
    <w:rsid w:val="00D25DE6"/>
    <w:rsid w:val="00D25F68"/>
    <w:rsid w:val="00D25FAB"/>
    <w:rsid w:val="00D26329"/>
    <w:rsid w:val="00D263DA"/>
    <w:rsid w:val="00D26786"/>
    <w:rsid w:val="00D268A3"/>
    <w:rsid w:val="00D26F61"/>
    <w:rsid w:val="00D27219"/>
    <w:rsid w:val="00D275EC"/>
    <w:rsid w:val="00D2760C"/>
    <w:rsid w:val="00D276CD"/>
    <w:rsid w:val="00D27B92"/>
    <w:rsid w:val="00D27E23"/>
    <w:rsid w:val="00D27F13"/>
    <w:rsid w:val="00D30057"/>
    <w:rsid w:val="00D302ED"/>
    <w:rsid w:val="00D30624"/>
    <w:rsid w:val="00D30935"/>
    <w:rsid w:val="00D309A6"/>
    <w:rsid w:val="00D312E9"/>
    <w:rsid w:val="00D313F1"/>
    <w:rsid w:val="00D31495"/>
    <w:rsid w:val="00D3155E"/>
    <w:rsid w:val="00D31D39"/>
    <w:rsid w:val="00D31ECF"/>
    <w:rsid w:val="00D32519"/>
    <w:rsid w:val="00D32977"/>
    <w:rsid w:val="00D329F8"/>
    <w:rsid w:val="00D330E3"/>
    <w:rsid w:val="00D330F1"/>
    <w:rsid w:val="00D3312D"/>
    <w:rsid w:val="00D33197"/>
    <w:rsid w:val="00D33865"/>
    <w:rsid w:val="00D3389B"/>
    <w:rsid w:val="00D33BEE"/>
    <w:rsid w:val="00D34A8D"/>
    <w:rsid w:val="00D35A6B"/>
    <w:rsid w:val="00D35B6B"/>
    <w:rsid w:val="00D35DFA"/>
    <w:rsid w:val="00D35E9E"/>
    <w:rsid w:val="00D35EE0"/>
    <w:rsid w:val="00D35FC9"/>
    <w:rsid w:val="00D36550"/>
    <w:rsid w:val="00D36850"/>
    <w:rsid w:val="00D371A1"/>
    <w:rsid w:val="00D37619"/>
    <w:rsid w:val="00D37770"/>
    <w:rsid w:val="00D37D35"/>
    <w:rsid w:val="00D401BA"/>
    <w:rsid w:val="00D404C6"/>
    <w:rsid w:val="00D40B09"/>
    <w:rsid w:val="00D40E61"/>
    <w:rsid w:val="00D411E6"/>
    <w:rsid w:val="00D419E5"/>
    <w:rsid w:val="00D42745"/>
    <w:rsid w:val="00D42902"/>
    <w:rsid w:val="00D42999"/>
    <w:rsid w:val="00D42A2A"/>
    <w:rsid w:val="00D42A2F"/>
    <w:rsid w:val="00D42AC4"/>
    <w:rsid w:val="00D4301B"/>
    <w:rsid w:val="00D4393E"/>
    <w:rsid w:val="00D43C5B"/>
    <w:rsid w:val="00D440CB"/>
    <w:rsid w:val="00D445A1"/>
    <w:rsid w:val="00D4464E"/>
    <w:rsid w:val="00D44A76"/>
    <w:rsid w:val="00D45148"/>
    <w:rsid w:val="00D4567B"/>
    <w:rsid w:val="00D4589C"/>
    <w:rsid w:val="00D45D57"/>
    <w:rsid w:val="00D4705E"/>
    <w:rsid w:val="00D470B7"/>
    <w:rsid w:val="00D476B8"/>
    <w:rsid w:val="00D477B5"/>
    <w:rsid w:val="00D478AA"/>
    <w:rsid w:val="00D47AC7"/>
    <w:rsid w:val="00D47BDE"/>
    <w:rsid w:val="00D47C3F"/>
    <w:rsid w:val="00D47C7B"/>
    <w:rsid w:val="00D5061B"/>
    <w:rsid w:val="00D5078F"/>
    <w:rsid w:val="00D507F6"/>
    <w:rsid w:val="00D50A51"/>
    <w:rsid w:val="00D50D09"/>
    <w:rsid w:val="00D50D8C"/>
    <w:rsid w:val="00D511C2"/>
    <w:rsid w:val="00D518F7"/>
    <w:rsid w:val="00D51D88"/>
    <w:rsid w:val="00D52400"/>
    <w:rsid w:val="00D5369A"/>
    <w:rsid w:val="00D536B0"/>
    <w:rsid w:val="00D5385F"/>
    <w:rsid w:val="00D53AD3"/>
    <w:rsid w:val="00D53F11"/>
    <w:rsid w:val="00D53F32"/>
    <w:rsid w:val="00D540CD"/>
    <w:rsid w:val="00D541F7"/>
    <w:rsid w:val="00D5436A"/>
    <w:rsid w:val="00D54990"/>
    <w:rsid w:val="00D54CCF"/>
    <w:rsid w:val="00D54ED2"/>
    <w:rsid w:val="00D54F1E"/>
    <w:rsid w:val="00D55460"/>
    <w:rsid w:val="00D555DD"/>
    <w:rsid w:val="00D559AE"/>
    <w:rsid w:val="00D55F42"/>
    <w:rsid w:val="00D56354"/>
    <w:rsid w:val="00D563F0"/>
    <w:rsid w:val="00D6032B"/>
    <w:rsid w:val="00D60545"/>
    <w:rsid w:val="00D60663"/>
    <w:rsid w:val="00D60834"/>
    <w:rsid w:val="00D60BA5"/>
    <w:rsid w:val="00D60C1B"/>
    <w:rsid w:val="00D60C82"/>
    <w:rsid w:val="00D611B6"/>
    <w:rsid w:val="00D613D9"/>
    <w:rsid w:val="00D61A58"/>
    <w:rsid w:val="00D61DDF"/>
    <w:rsid w:val="00D61EEA"/>
    <w:rsid w:val="00D62454"/>
    <w:rsid w:val="00D62931"/>
    <w:rsid w:val="00D62EAC"/>
    <w:rsid w:val="00D6300F"/>
    <w:rsid w:val="00D63597"/>
    <w:rsid w:val="00D63A11"/>
    <w:rsid w:val="00D63B8C"/>
    <w:rsid w:val="00D63C05"/>
    <w:rsid w:val="00D64067"/>
    <w:rsid w:val="00D645A5"/>
    <w:rsid w:val="00D647CD"/>
    <w:rsid w:val="00D648CF"/>
    <w:rsid w:val="00D64A1F"/>
    <w:rsid w:val="00D64B0F"/>
    <w:rsid w:val="00D64F3C"/>
    <w:rsid w:val="00D65003"/>
    <w:rsid w:val="00D65318"/>
    <w:rsid w:val="00D65675"/>
    <w:rsid w:val="00D65F87"/>
    <w:rsid w:val="00D66470"/>
    <w:rsid w:val="00D66A38"/>
    <w:rsid w:val="00D67040"/>
    <w:rsid w:val="00D674D6"/>
    <w:rsid w:val="00D6775B"/>
    <w:rsid w:val="00D67ACD"/>
    <w:rsid w:val="00D67FF9"/>
    <w:rsid w:val="00D70026"/>
    <w:rsid w:val="00D70771"/>
    <w:rsid w:val="00D70BC8"/>
    <w:rsid w:val="00D716CC"/>
    <w:rsid w:val="00D7175E"/>
    <w:rsid w:val="00D71771"/>
    <w:rsid w:val="00D71BF8"/>
    <w:rsid w:val="00D725A5"/>
    <w:rsid w:val="00D72744"/>
    <w:rsid w:val="00D72C5D"/>
    <w:rsid w:val="00D72C84"/>
    <w:rsid w:val="00D72E20"/>
    <w:rsid w:val="00D73222"/>
    <w:rsid w:val="00D733BD"/>
    <w:rsid w:val="00D73576"/>
    <w:rsid w:val="00D73AF6"/>
    <w:rsid w:val="00D7423A"/>
    <w:rsid w:val="00D7427E"/>
    <w:rsid w:val="00D74431"/>
    <w:rsid w:val="00D748A1"/>
    <w:rsid w:val="00D74A9D"/>
    <w:rsid w:val="00D74D26"/>
    <w:rsid w:val="00D75049"/>
    <w:rsid w:val="00D757F4"/>
    <w:rsid w:val="00D75E20"/>
    <w:rsid w:val="00D76036"/>
    <w:rsid w:val="00D760C7"/>
    <w:rsid w:val="00D76259"/>
    <w:rsid w:val="00D76774"/>
    <w:rsid w:val="00D77253"/>
    <w:rsid w:val="00D77488"/>
    <w:rsid w:val="00D77D95"/>
    <w:rsid w:val="00D80525"/>
    <w:rsid w:val="00D80660"/>
    <w:rsid w:val="00D8085E"/>
    <w:rsid w:val="00D8089D"/>
    <w:rsid w:val="00D809F4"/>
    <w:rsid w:val="00D80C82"/>
    <w:rsid w:val="00D80C93"/>
    <w:rsid w:val="00D80DB9"/>
    <w:rsid w:val="00D8125F"/>
    <w:rsid w:val="00D814AF"/>
    <w:rsid w:val="00D815E8"/>
    <w:rsid w:val="00D81E4E"/>
    <w:rsid w:val="00D8214D"/>
    <w:rsid w:val="00D8215A"/>
    <w:rsid w:val="00D822C1"/>
    <w:rsid w:val="00D824B0"/>
    <w:rsid w:val="00D8270C"/>
    <w:rsid w:val="00D82A0F"/>
    <w:rsid w:val="00D82C57"/>
    <w:rsid w:val="00D8326C"/>
    <w:rsid w:val="00D833B8"/>
    <w:rsid w:val="00D83D38"/>
    <w:rsid w:val="00D83DBD"/>
    <w:rsid w:val="00D83FF9"/>
    <w:rsid w:val="00D84023"/>
    <w:rsid w:val="00D84449"/>
    <w:rsid w:val="00D845D3"/>
    <w:rsid w:val="00D84B79"/>
    <w:rsid w:val="00D85225"/>
    <w:rsid w:val="00D858B1"/>
    <w:rsid w:val="00D86239"/>
    <w:rsid w:val="00D86327"/>
    <w:rsid w:val="00D87011"/>
    <w:rsid w:val="00D87281"/>
    <w:rsid w:val="00D8739D"/>
    <w:rsid w:val="00D8766C"/>
    <w:rsid w:val="00D877BD"/>
    <w:rsid w:val="00D878D0"/>
    <w:rsid w:val="00D87B7F"/>
    <w:rsid w:val="00D87BCE"/>
    <w:rsid w:val="00D87C21"/>
    <w:rsid w:val="00D902AE"/>
    <w:rsid w:val="00D90D3B"/>
    <w:rsid w:val="00D90F80"/>
    <w:rsid w:val="00D9109E"/>
    <w:rsid w:val="00D9133D"/>
    <w:rsid w:val="00D9139A"/>
    <w:rsid w:val="00D91532"/>
    <w:rsid w:val="00D9234D"/>
    <w:rsid w:val="00D92362"/>
    <w:rsid w:val="00D92572"/>
    <w:rsid w:val="00D9274E"/>
    <w:rsid w:val="00D92ED1"/>
    <w:rsid w:val="00D930EA"/>
    <w:rsid w:val="00D93189"/>
    <w:rsid w:val="00D931A6"/>
    <w:rsid w:val="00D9328C"/>
    <w:rsid w:val="00D93A80"/>
    <w:rsid w:val="00D93B79"/>
    <w:rsid w:val="00D93C95"/>
    <w:rsid w:val="00D94698"/>
    <w:rsid w:val="00D94CEE"/>
    <w:rsid w:val="00D9519D"/>
    <w:rsid w:val="00D9565E"/>
    <w:rsid w:val="00D9597F"/>
    <w:rsid w:val="00D95ADE"/>
    <w:rsid w:val="00D95CEE"/>
    <w:rsid w:val="00D95D7F"/>
    <w:rsid w:val="00D97B05"/>
    <w:rsid w:val="00DA00C1"/>
    <w:rsid w:val="00DA0B1C"/>
    <w:rsid w:val="00DA0EF8"/>
    <w:rsid w:val="00DA1139"/>
    <w:rsid w:val="00DA1182"/>
    <w:rsid w:val="00DA1BBC"/>
    <w:rsid w:val="00DA1D41"/>
    <w:rsid w:val="00DA2058"/>
    <w:rsid w:val="00DA25D9"/>
    <w:rsid w:val="00DA28BA"/>
    <w:rsid w:val="00DA2B93"/>
    <w:rsid w:val="00DA2C8E"/>
    <w:rsid w:val="00DA3163"/>
    <w:rsid w:val="00DA36A3"/>
    <w:rsid w:val="00DA40FD"/>
    <w:rsid w:val="00DA418E"/>
    <w:rsid w:val="00DA47AD"/>
    <w:rsid w:val="00DA495D"/>
    <w:rsid w:val="00DA496C"/>
    <w:rsid w:val="00DA4F67"/>
    <w:rsid w:val="00DA5077"/>
    <w:rsid w:val="00DA549E"/>
    <w:rsid w:val="00DA54A5"/>
    <w:rsid w:val="00DA54E4"/>
    <w:rsid w:val="00DA5540"/>
    <w:rsid w:val="00DA5575"/>
    <w:rsid w:val="00DA55B9"/>
    <w:rsid w:val="00DA5C33"/>
    <w:rsid w:val="00DA5FCB"/>
    <w:rsid w:val="00DA656E"/>
    <w:rsid w:val="00DA7A88"/>
    <w:rsid w:val="00DB0322"/>
    <w:rsid w:val="00DB166C"/>
    <w:rsid w:val="00DB1A31"/>
    <w:rsid w:val="00DB1E9E"/>
    <w:rsid w:val="00DB25B5"/>
    <w:rsid w:val="00DB2B7E"/>
    <w:rsid w:val="00DB35BA"/>
    <w:rsid w:val="00DB376E"/>
    <w:rsid w:val="00DB3D79"/>
    <w:rsid w:val="00DB4AD6"/>
    <w:rsid w:val="00DB5478"/>
    <w:rsid w:val="00DB55C5"/>
    <w:rsid w:val="00DB5601"/>
    <w:rsid w:val="00DB589F"/>
    <w:rsid w:val="00DB58C4"/>
    <w:rsid w:val="00DB5AFB"/>
    <w:rsid w:val="00DB5CAA"/>
    <w:rsid w:val="00DB6066"/>
    <w:rsid w:val="00DB628D"/>
    <w:rsid w:val="00DB713E"/>
    <w:rsid w:val="00DB73BB"/>
    <w:rsid w:val="00DB759B"/>
    <w:rsid w:val="00DB76D9"/>
    <w:rsid w:val="00DB774F"/>
    <w:rsid w:val="00DB7BFA"/>
    <w:rsid w:val="00DC008D"/>
    <w:rsid w:val="00DC017F"/>
    <w:rsid w:val="00DC059F"/>
    <w:rsid w:val="00DC075F"/>
    <w:rsid w:val="00DC081B"/>
    <w:rsid w:val="00DC0917"/>
    <w:rsid w:val="00DC0C38"/>
    <w:rsid w:val="00DC0EEB"/>
    <w:rsid w:val="00DC173B"/>
    <w:rsid w:val="00DC19F2"/>
    <w:rsid w:val="00DC1C7B"/>
    <w:rsid w:val="00DC1ED0"/>
    <w:rsid w:val="00DC2198"/>
    <w:rsid w:val="00DC258A"/>
    <w:rsid w:val="00DC2808"/>
    <w:rsid w:val="00DC2BE2"/>
    <w:rsid w:val="00DC3491"/>
    <w:rsid w:val="00DC34F1"/>
    <w:rsid w:val="00DC3845"/>
    <w:rsid w:val="00DC392D"/>
    <w:rsid w:val="00DC3D5E"/>
    <w:rsid w:val="00DC3DE2"/>
    <w:rsid w:val="00DC419C"/>
    <w:rsid w:val="00DC4472"/>
    <w:rsid w:val="00DC4671"/>
    <w:rsid w:val="00DC4921"/>
    <w:rsid w:val="00DC4AAD"/>
    <w:rsid w:val="00DC4E21"/>
    <w:rsid w:val="00DC5036"/>
    <w:rsid w:val="00DC5122"/>
    <w:rsid w:val="00DC5439"/>
    <w:rsid w:val="00DC5C66"/>
    <w:rsid w:val="00DC5F58"/>
    <w:rsid w:val="00DC5F64"/>
    <w:rsid w:val="00DC5F72"/>
    <w:rsid w:val="00DC6512"/>
    <w:rsid w:val="00DC6AA4"/>
    <w:rsid w:val="00DC6F01"/>
    <w:rsid w:val="00DD0380"/>
    <w:rsid w:val="00DD0980"/>
    <w:rsid w:val="00DD12A5"/>
    <w:rsid w:val="00DD14F5"/>
    <w:rsid w:val="00DD1852"/>
    <w:rsid w:val="00DD1A0B"/>
    <w:rsid w:val="00DD1FCF"/>
    <w:rsid w:val="00DD2D1C"/>
    <w:rsid w:val="00DD2D95"/>
    <w:rsid w:val="00DD2FE8"/>
    <w:rsid w:val="00DD3170"/>
    <w:rsid w:val="00DD31AD"/>
    <w:rsid w:val="00DD322B"/>
    <w:rsid w:val="00DD3747"/>
    <w:rsid w:val="00DD3805"/>
    <w:rsid w:val="00DD4352"/>
    <w:rsid w:val="00DD438D"/>
    <w:rsid w:val="00DD43B9"/>
    <w:rsid w:val="00DD4610"/>
    <w:rsid w:val="00DD4749"/>
    <w:rsid w:val="00DD517C"/>
    <w:rsid w:val="00DD53D3"/>
    <w:rsid w:val="00DD59A2"/>
    <w:rsid w:val="00DD5B1C"/>
    <w:rsid w:val="00DD5B3E"/>
    <w:rsid w:val="00DD6FC7"/>
    <w:rsid w:val="00DD7571"/>
    <w:rsid w:val="00DD7C47"/>
    <w:rsid w:val="00DD7DA2"/>
    <w:rsid w:val="00DD7DD1"/>
    <w:rsid w:val="00DD7F70"/>
    <w:rsid w:val="00DD7F71"/>
    <w:rsid w:val="00DE02D1"/>
    <w:rsid w:val="00DE0782"/>
    <w:rsid w:val="00DE08AE"/>
    <w:rsid w:val="00DE0FCA"/>
    <w:rsid w:val="00DE1529"/>
    <w:rsid w:val="00DE22AA"/>
    <w:rsid w:val="00DE24BC"/>
    <w:rsid w:val="00DE24DC"/>
    <w:rsid w:val="00DE2B14"/>
    <w:rsid w:val="00DE2B46"/>
    <w:rsid w:val="00DE2D14"/>
    <w:rsid w:val="00DE2ED5"/>
    <w:rsid w:val="00DE3586"/>
    <w:rsid w:val="00DE36AA"/>
    <w:rsid w:val="00DE38B4"/>
    <w:rsid w:val="00DE3A3F"/>
    <w:rsid w:val="00DE3B89"/>
    <w:rsid w:val="00DE3CE6"/>
    <w:rsid w:val="00DE4042"/>
    <w:rsid w:val="00DE42A4"/>
    <w:rsid w:val="00DE4349"/>
    <w:rsid w:val="00DE44EF"/>
    <w:rsid w:val="00DE45C2"/>
    <w:rsid w:val="00DE47DB"/>
    <w:rsid w:val="00DE47E4"/>
    <w:rsid w:val="00DE4AB3"/>
    <w:rsid w:val="00DE4C57"/>
    <w:rsid w:val="00DE4F36"/>
    <w:rsid w:val="00DE5283"/>
    <w:rsid w:val="00DE5649"/>
    <w:rsid w:val="00DE5698"/>
    <w:rsid w:val="00DE56B1"/>
    <w:rsid w:val="00DE56F4"/>
    <w:rsid w:val="00DE5913"/>
    <w:rsid w:val="00DE59A9"/>
    <w:rsid w:val="00DE5B37"/>
    <w:rsid w:val="00DE5CF3"/>
    <w:rsid w:val="00DE5FB9"/>
    <w:rsid w:val="00DE604E"/>
    <w:rsid w:val="00DE6334"/>
    <w:rsid w:val="00DE713A"/>
    <w:rsid w:val="00DE7252"/>
    <w:rsid w:val="00DF06C7"/>
    <w:rsid w:val="00DF0817"/>
    <w:rsid w:val="00DF0CD0"/>
    <w:rsid w:val="00DF1792"/>
    <w:rsid w:val="00DF17A1"/>
    <w:rsid w:val="00DF2524"/>
    <w:rsid w:val="00DF260D"/>
    <w:rsid w:val="00DF2A1E"/>
    <w:rsid w:val="00DF2B64"/>
    <w:rsid w:val="00DF3487"/>
    <w:rsid w:val="00DF42B6"/>
    <w:rsid w:val="00DF461B"/>
    <w:rsid w:val="00DF5987"/>
    <w:rsid w:val="00DF59EC"/>
    <w:rsid w:val="00DF5E29"/>
    <w:rsid w:val="00DF615C"/>
    <w:rsid w:val="00DF6390"/>
    <w:rsid w:val="00DF63BA"/>
    <w:rsid w:val="00DF6425"/>
    <w:rsid w:val="00DF70B1"/>
    <w:rsid w:val="00DF76E8"/>
    <w:rsid w:val="00DF7887"/>
    <w:rsid w:val="00DF78F2"/>
    <w:rsid w:val="00DF7BA4"/>
    <w:rsid w:val="00DF7F63"/>
    <w:rsid w:val="00E0005C"/>
    <w:rsid w:val="00E000EE"/>
    <w:rsid w:val="00E002A1"/>
    <w:rsid w:val="00E0037F"/>
    <w:rsid w:val="00E0066B"/>
    <w:rsid w:val="00E00B18"/>
    <w:rsid w:val="00E00B9A"/>
    <w:rsid w:val="00E00ED6"/>
    <w:rsid w:val="00E01516"/>
    <w:rsid w:val="00E01530"/>
    <w:rsid w:val="00E01624"/>
    <w:rsid w:val="00E01C69"/>
    <w:rsid w:val="00E01F24"/>
    <w:rsid w:val="00E02538"/>
    <w:rsid w:val="00E027C2"/>
    <w:rsid w:val="00E0301A"/>
    <w:rsid w:val="00E03159"/>
    <w:rsid w:val="00E031E6"/>
    <w:rsid w:val="00E033B3"/>
    <w:rsid w:val="00E03619"/>
    <w:rsid w:val="00E03F7A"/>
    <w:rsid w:val="00E040A8"/>
    <w:rsid w:val="00E04660"/>
    <w:rsid w:val="00E047CF"/>
    <w:rsid w:val="00E04C1A"/>
    <w:rsid w:val="00E05286"/>
    <w:rsid w:val="00E05376"/>
    <w:rsid w:val="00E05491"/>
    <w:rsid w:val="00E055CA"/>
    <w:rsid w:val="00E05966"/>
    <w:rsid w:val="00E05971"/>
    <w:rsid w:val="00E059E2"/>
    <w:rsid w:val="00E05D8F"/>
    <w:rsid w:val="00E05F94"/>
    <w:rsid w:val="00E067E1"/>
    <w:rsid w:val="00E06837"/>
    <w:rsid w:val="00E075DF"/>
    <w:rsid w:val="00E07CBB"/>
    <w:rsid w:val="00E1001A"/>
    <w:rsid w:val="00E1079B"/>
    <w:rsid w:val="00E10ACC"/>
    <w:rsid w:val="00E10CEB"/>
    <w:rsid w:val="00E11094"/>
    <w:rsid w:val="00E110FE"/>
    <w:rsid w:val="00E11117"/>
    <w:rsid w:val="00E1151D"/>
    <w:rsid w:val="00E1153F"/>
    <w:rsid w:val="00E116F2"/>
    <w:rsid w:val="00E11FCF"/>
    <w:rsid w:val="00E12173"/>
    <w:rsid w:val="00E1235C"/>
    <w:rsid w:val="00E12F07"/>
    <w:rsid w:val="00E1310E"/>
    <w:rsid w:val="00E13CEF"/>
    <w:rsid w:val="00E13E8C"/>
    <w:rsid w:val="00E13F1F"/>
    <w:rsid w:val="00E1486E"/>
    <w:rsid w:val="00E1497E"/>
    <w:rsid w:val="00E1519F"/>
    <w:rsid w:val="00E15589"/>
    <w:rsid w:val="00E157EA"/>
    <w:rsid w:val="00E157F2"/>
    <w:rsid w:val="00E15AF8"/>
    <w:rsid w:val="00E16407"/>
    <w:rsid w:val="00E16429"/>
    <w:rsid w:val="00E164B0"/>
    <w:rsid w:val="00E168D7"/>
    <w:rsid w:val="00E16B84"/>
    <w:rsid w:val="00E16BAB"/>
    <w:rsid w:val="00E16D00"/>
    <w:rsid w:val="00E16E1A"/>
    <w:rsid w:val="00E1715D"/>
    <w:rsid w:val="00E17450"/>
    <w:rsid w:val="00E1772E"/>
    <w:rsid w:val="00E17932"/>
    <w:rsid w:val="00E2036C"/>
    <w:rsid w:val="00E20867"/>
    <w:rsid w:val="00E21156"/>
    <w:rsid w:val="00E211C0"/>
    <w:rsid w:val="00E219A5"/>
    <w:rsid w:val="00E21A46"/>
    <w:rsid w:val="00E221C3"/>
    <w:rsid w:val="00E22380"/>
    <w:rsid w:val="00E22615"/>
    <w:rsid w:val="00E22A17"/>
    <w:rsid w:val="00E22A67"/>
    <w:rsid w:val="00E22A7C"/>
    <w:rsid w:val="00E24245"/>
    <w:rsid w:val="00E24478"/>
    <w:rsid w:val="00E24509"/>
    <w:rsid w:val="00E2462D"/>
    <w:rsid w:val="00E24806"/>
    <w:rsid w:val="00E2507D"/>
    <w:rsid w:val="00E25302"/>
    <w:rsid w:val="00E2566F"/>
    <w:rsid w:val="00E25808"/>
    <w:rsid w:val="00E25991"/>
    <w:rsid w:val="00E25AFF"/>
    <w:rsid w:val="00E25B34"/>
    <w:rsid w:val="00E25BBB"/>
    <w:rsid w:val="00E25DDF"/>
    <w:rsid w:val="00E25EBF"/>
    <w:rsid w:val="00E26436"/>
    <w:rsid w:val="00E26710"/>
    <w:rsid w:val="00E274DF"/>
    <w:rsid w:val="00E27585"/>
    <w:rsid w:val="00E27612"/>
    <w:rsid w:val="00E27967"/>
    <w:rsid w:val="00E302A5"/>
    <w:rsid w:val="00E30311"/>
    <w:rsid w:val="00E30BDE"/>
    <w:rsid w:val="00E30BF6"/>
    <w:rsid w:val="00E30C38"/>
    <w:rsid w:val="00E30D82"/>
    <w:rsid w:val="00E310A9"/>
    <w:rsid w:val="00E3134A"/>
    <w:rsid w:val="00E31FCE"/>
    <w:rsid w:val="00E32514"/>
    <w:rsid w:val="00E327DC"/>
    <w:rsid w:val="00E32899"/>
    <w:rsid w:val="00E32AE6"/>
    <w:rsid w:val="00E3313B"/>
    <w:rsid w:val="00E332AA"/>
    <w:rsid w:val="00E336EB"/>
    <w:rsid w:val="00E33A27"/>
    <w:rsid w:val="00E33A32"/>
    <w:rsid w:val="00E33AF6"/>
    <w:rsid w:val="00E3401C"/>
    <w:rsid w:val="00E34FB4"/>
    <w:rsid w:val="00E35020"/>
    <w:rsid w:val="00E35236"/>
    <w:rsid w:val="00E35578"/>
    <w:rsid w:val="00E355FB"/>
    <w:rsid w:val="00E35DD5"/>
    <w:rsid w:val="00E35FA5"/>
    <w:rsid w:val="00E37552"/>
    <w:rsid w:val="00E4000E"/>
    <w:rsid w:val="00E401E4"/>
    <w:rsid w:val="00E4026C"/>
    <w:rsid w:val="00E404AB"/>
    <w:rsid w:val="00E406E7"/>
    <w:rsid w:val="00E4105C"/>
    <w:rsid w:val="00E419BB"/>
    <w:rsid w:val="00E41BA2"/>
    <w:rsid w:val="00E41F17"/>
    <w:rsid w:val="00E41F65"/>
    <w:rsid w:val="00E41FAC"/>
    <w:rsid w:val="00E4200B"/>
    <w:rsid w:val="00E42B47"/>
    <w:rsid w:val="00E430DA"/>
    <w:rsid w:val="00E43345"/>
    <w:rsid w:val="00E43640"/>
    <w:rsid w:val="00E439D9"/>
    <w:rsid w:val="00E44420"/>
    <w:rsid w:val="00E44B6A"/>
    <w:rsid w:val="00E454A5"/>
    <w:rsid w:val="00E4637F"/>
    <w:rsid w:val="00E4669A"/>
    <w:rsid w:val="00E469DF"/>
    <w:rsid w:val="00E46CD8"/>
    <w:rsid w:val="00E46F08"/>
    <w:rsid w:val="00E47BD7"/>
    <w:rsid w:val="00E47F70"/>
    <w:rsid w:val="00E50747"/>
    <w:rsid w:val="00E5098F"/>
    <w:rsid w:val="00E50CFF"/>
    <w:rsid w:val="00E5101A"/>
    <w:rsid w:val="00E51175"/>
    <w:rsid w:val="00E51CDF"/>
    <w:rsid w:val="00E51E2D"/>
    <w:rsid w:val="00E52062"/>
    <w:rsid w:val="00E522AD"/>
    <w:rsid w:val="00E523A6"/>
    <w:rsid w:val="00E52EF0"/>
    <w:rsid w:val="00E52F6B"/>
    <w:rsid w:val="00E53004"/>
    <w:rsid w:val="00E534AE"/>
    <w:rsid w:val="00E536CF"/>
    <w:rsid w:val="00E53D33"/>
    <w:rsid w:val="00E53D9B"/>
    <w:rsid w:val="00E541F2"/>
    <w:rsid w:val="00E5483F"/>
    <w:rsid w:val="00E54DF6"/>
    <w:rsid w:val="00E5558D"/>
    <w:rsid w:val="00E55AE8"/>
    <w:rsid w:val="00E55B35"/>
    <w:rsid w:val="00E55C28"/>
    <w:rsid w:val="00E560CC"/>
    <w:rsid w:val="00E56116"/>
    <w:rsid w:val="00E56654"/>
    <w:rsid w:val="00E56B04"/>
    <w:rsid w:val="00E56B06"/>
    <w:rsid w:val="00E56F05"/>
    <w:rsid w:val="00E6017E"/>
    <w:rsid w:val="00E60446"/>
    <w:rsid w:val="00E60C79"/>
    <w:rsid w:val="00E61534"/>
    <w:rsid w:val="00E61E3F"/>
    <w:rsid w:val="00E61E47"/>
    <w:rsid w:val="00E61F13"/>
    <w:rsid w:val="00E6206E"/>
    <w:rsid w:val="00E6245F"/>
    <w:rsid w:val="00E624BC"/>
    <w:rsid w:val="00E6251E"/>
    <w:rsid w:val="00E62CF4"/>
    <w:rsid w:val="00E634C6"/>
    <w:rsid w:val="00E644F2"/>
    <w:rsid w:val="00E647A9"/>
    <w:rsid w:val="00E647E4"/>
    <w:rsid w:val="00E648C9"/>
    <w:rsid w:val="00E64C5C"/>
    <w:rsid w:val="00E65002"/>
    <w:rsid w:val="00E6590E"/>
    <w:rsid w:val="00E659AF"/>
    <w:rsid w:val="00E65C36"/>
    <w:rsid w:val="00E65DFB"/>
    <w:rsid w:val="00E667BC"/>
    <w:rsid w:val="00E667DE"/>
    <w:rsid w:val="00E66D68"/>
    <w:rsid w:val="00E66F7B"/>
    <w:rsid w:val="00E673F2"/>
    <w:rsid w:val="00E6765B"/>
    <w:rsid w:val="00E67A72"/>
    <w:rsid w:val="00E67BEA"/>
    <w:rsid w:val="00E67C3B"/>
    <w:rsid w:val="00E67E53"/>
    <w:rsid w:val="00E71109"/>
    <w:rsid w:val="00E712EF"/>
    <w:rsid w:val="00E7171B"/>
    <w:rsid w:val="00E71C00"/>
    <w:rsid w:val="00E720BD"/>
    <w:rsid w:val="00E7258C"/>
    <w:rsid w:val="00E7289A"/>
    <w:rsid w:val="00E72A01"/>
    <w:rsid w:val="00E72BA4"/>
    <w:rsid w:val="00E72EDD"/>
    <w:rsid w:val="00E730A4"/>
    <w:rsid w:val="00E73170"/>
    <w:rsid w:val="00E734F5"/>
    <w:rsid w:val="00E73620"/>
    <w:rsid w:val="00E73699"/>
    <w:rsid w:val="00E73873"/>
    <w:rsid w:val="00E73A22"/>
    <w:rsid w:val="00E73D90"/>
    <w:rsid w:val="00E73E8A"/>
    <w:rsid w:val="00E74084"/>
    <w:rsid w:val="00E747FF"/>
    <w:rsid w:val="00E74D6D"/>
    <w:rsid w:val="00E7502F"/>
    <w:rsid w:val="00E7512A"/>
    <w:rsid w:val="00E751A9"/>
    <w:rsid w:val="00E754CA"/>
    <w:rsid w:val="00E75778"/>
    <w:rsid w:val="00E757EA"/>
    <w:rsid w:val="00E75E44"/>
    <w:rsid w:val="00E7601B"/>
    <w:rsid w:val="00E767B7"/>
    <w:rsid w:val="00E76A6C"/>
    <w:rsid w:val="00E76F65"/>
    <w:rsid w:val="00E773E7"/>
    <w:rsid w:val="00E7763E"/>
    <w:rsid w:val="00E77C9A"/>
    <w:rsid w:val="00E77DFE"/>
    <w:rsid w:val="00E77F24"/>
    <w:rsid w:val="00E800A6"/>
    <w:rsid w:val="00E80640"/>
    <w:rsid w:val="00E806AD"/>
    <w:rsid w:val="00E80848"/>
    <w:rsid w:val="00E808DD"/>
    <w:rsid w:val="00E8107A"/>
    <w:rsid w:val="00E816AB"/>
    <w:rsid w:val="00E816E8"/>
    <w:rsid w:val="00E81984"/>
    <w:rsid w:val="00E81E15"/>
    <w:rsid w:val="00E81F43"/>
    <w:rsid w:val="00E81F5D"/>
    <w:rsid w:val="00E820D0"/>
    <w:rsid w:val="00E822A0"/>
    <w:rsid w:val="00E82552"/>
    <w:rsid w:val="00E825F4"/>
    <w:rsid w:val="00E82628"/>
    <w:rsid w:val="00E82E67"/>
    <w:rsid w:val="00E83976"/>
    <w:rsid w:val="00E83F97"/>
    <w:rsid w:val="00E84681"/>
    <w:rsid w:val="00E84BDA"/>
    <w:rsid w:val="00E84C13"/>
    <w:rsid w:val="00E84C15"/>
    <w:rsid w:val="00E84D07"/>
    <w:rsid w:val="00E85E26"/>
    <w:rsid w:val="00E85E52"/>
    <w:rsid w:val="00E86126"/>
    <w:rsid w:val="00E86322"/>
    <w:rsid w:val="00E867CE"/>
    <w:rsid w:val="00E8684D"/>
    <w:rsid w:val="00E86999"/>
    <w:rsid w:val="00E87246"/>
    <w:rsid w:val="00E87513"/>
    <w:rsid w:val="00E87666"/>
    <w:rsid w:val="00E87764"/>
    <w:rsid w:val="00E87A74"/>
    <w:rsid w:val="00E90355"/>
    <w:rsid w:val="00E907C6"/>
    <w:rsid w:val="00E90920"/>
    <w:rsid w:val="00E90972"/>
    <w:rsid w:val="00E90B5F"/>
    <w:rsid w:val="00E90BC6"/>
    <w:rsid w:val="00E90C8B"/>
    <w:rsid w:val="00E90FCC"/>
    <w:rsid w:val="00E912E0"/>
    <w:rsid w:val="00E91483"/>
    <w:rsid w:val="00E91799"/>
    <w:rsid w:val="00E91C1B"/>
    <w:rsid w:val="00E91E96"/>
    <w:rsid w:val="00E92811"/>
    <w:rsid w:val="00E92B1C"/>
    <w:rsid w:val="00E93029"/>
    <w:rsid w:val="00E9385D"/>
    <w:rsid w:val="00E93B56"/>
    <w:rsid w:val="00E93DAE"/>
    <w:rsid w:val="00E93FDE"/>
    <w:rsid w:val="00E94132"/>
    <w:rsid w:val="00E941B8"/>
    <w:rsid w:val="00E941E5"/>
    <w:rsid w:val="00E9439C"/>
    <w:rsid w:val="00E9495B"/>
    <w:rsid w:val="00E95245"/>
    <w:rsid w:val="00E952B2"/>
    <w:rsid w:val="00E956C6"/>
    <w:rsid w:val="00E956F3"/>
    <w:rsid w:val="00E9599A"/>
    <w:rsid w:val="00E95A99"/>
    <w:rsid w:val="00E95C72"/>
    <w:rsid w:val="00E95D0F"/>
    <w:rsid w:val="00E960A0"/>
    <w:rsid w:val="00E9640F"/>
    <w:rsid w:val="00E966E1"/>
    <w:rsid w:val="00E96E50"/>
    <w:rsid w:val="00E97DD6"/>
    <w:rsid w:val="00EA00E6"/>
    <w:rsid w:val="00EA0282"/>
    <w:rsid w:val="00EA08CF"/>
    <w:rsid w:val="00EA1953"/>
    <w:rsid w:val="00EA1D04"/>
    <w:rsid w:val="00EA1FF2"/>
    <w:rsid w:val="00EA2072"/>
    <w:rsid w:val="00EA2742"/>
    <w:rsid w:val="00EA2C10"/>
    <w:rsid w:val="00EA2FE5"/>
    <w:rsid w:val="00EA359A"/>
    <w:rsid w:val="00EA3AEC"/>
    <w:rsid w:val="00EA40EA"/>
    <w:rsid w:val="00EA41BE"/>
    <w:rsid w:val="00EA4485"/>
    <w:rsid w:val="00EA448F"/>
    <w:rsid w:val="00EA4979"/>
    <w:rsid w:val="00EA4E9D"/>
    <w:rsid w:val="00EA5832"/>
    <w:rsid w:val="00EA58B1"/>
    <w:rsid w:val="00EA5A8C"/>
    <w:rsid w:val="00EA5E97"/>
    <w:rsid w:val="00EA63B1"/>
    <w:rsid w:val="00EA6D57"/>
    <w:rsid w:val="00EA716C"/>
    <w:rsid w:val="00EA75D8"/>
    <w:rsid w:val="00EA7DB8"/>
    <w:rsid w:val="00EA7F91"/>
    <w:rsid w:val="00EB0098"/>
    <w:rsid w:val="00EB02F5"/>
    <w:rsid w:val="00EB13AF"/>
    <w:rsid w:val="00EB187F"/>
    <w:rsid w:val="00EB1BCD"/>
    <w:rsid w:val="00EB1BF6"/>
    <w:rsid w:val="00EB1DC7"/>
    <w:rsid w:val="00EB1F8E"/>
    <w:rsid w:val="00EB20FB"/>
    <w:rsid w:val="00EB27A8"/>
    <w:rsid w:val="00EB284C"/>
    <w:rsid w:val="00EB331C"/>
    <w:rsid w:val="00EB3A85"/>
    <w:rsid w:val="00EB3BB4"/>
    <w:rsid w:val="00EB3CE5"/>
    <w:rsid w:val="00EB3FA0"/>
    <w:rsid w:val="00EB4099"/>
    <w:rsid w:val="00EB41E5"/>
    <w:rsid w:val="00EB4454"/>
    <w:rsid w:val="00EB47D8"/>
    <w:rsid w:val="00EB4CBB"/>
    <w:rsid w:val="00EB4D8B"/>
    <w:rsid w:val="00EB4FC4"/>
    <w:rsid w:val="00EB649A"/>
    <w:rsid w:val="00EB67E5"/>
    <w:rsid w:val="00EB6AC3"/>
    <w:rsid w:val="00EB736C"/>
    <w:rsid w:val="00EB7677"/>
    <w:rsid w:val="00EB780F"/>
    <w:rsid w:val="00EB7860"/>
    <w:rsid w:val="00EB78AF"/>
    <w:rsid w:val="00EB7A43"/>
    <w:rsid w:val="00EB7F3C"/>
    <w:rsid w:val="00EC134C"/>
    <w:rsid w:val="00EC1742"/>
    <w:rsid w:val="00EC1BF8"/>
    <w:rsid w:val="00EC1C92"/>
    <w:rsid w:val="00EC1DFB"/>
    <w:rsid w:val="00EC21E2"/>
    <w:rsid w:val="00EC26AE"/>
    <w:rsid w:val="00EC3427"/>
    <w:rsid w:val="00EC3460"/>
    <w:rsid w:val="00EC3461"/>
    <w:rsid w:val="00EC3480"/>
    <w:rsid w:val="00EC3EB1"/>
    <w:rsid w:val="00EC40AD"/>
    <w:rsid w:val="00EC40EB"/>
    <w:rsid w:val="00EC4110"/>
    <w:rsid w:val="00EC4211"/>
    <w:rsid w:val="00EC4BE7"/>
    <w:rsid w:val="00EC4C57"/>
    <w:rsid w:val="00EC566D"/>
    <w:rsid w:val="00EC5674"/>
    <w:rsid w:val="00EC56B2"/>
    <w:rsid w:val="00EC58F2"/>
    <w:rsid w:val="00EC5CE9"/>
    <w:rsid w:val="00EC5D26"/>
    <w:rsid w:val="00EC5DF1"/>
    <w:rsid w:val="00EC60C5"/>
    <w:rsid w:val="00EC68B0"/>
    <w:rsid w:val="00EC6EC2"/>
    <w:rsid w:val="00EC7083"/>
    <w:rsid w:val="00EC714E"/>
    <w:rsid w:val="00EC7305"/>
    <w:rsid w:val="00EC7740"/>
    <w:rsid w:val="00EC798A"/>
    <w:rsid w:val="00EC7DC6"/>
    <w:rsid w:val="00ED0652"/>
    <w:rsid w:val="00ED0719"/>
    <w:rsid w:val="00ED08CE"/>
    <w:rsid w:val="00ED09AB"/>
    <w:rsid w:val="00ED0CFA"/>
    <w:rsid w:val="00ED1368"/>
    <w:rsid w:val="00ED191A"/>
    <w:rsid w:val="00ED1D8B"/>
    <w:rsid w:val="00ED1EEE"/>
    <w:rsid w:val="00ED28F9"/>
    <w:rsid w:val="00ED2913"/>
    <w:rsid w:val="00ED2ACA"/>
    <w:rsid w:val="00ED2FD6"/>
    <w:rsid w:val="00ED310D"/>
    <w:rsid w:val="00ED31E2"/>
    <w:rsid w:val="00ED32AB"/>
    <w:rsid w:val="00ED3341"/>
    <w:rsid w:val="00ED337B"/>
    <w:rsid w:val="00ED3462"/>
    <w:rsid w:val="00ED3716"/>
    <w:rsid w:val="00ED3974"/>
    <w:rsid w:val="00ED3A2B"/>
    <w:rsid w:val="00ED3D7D"/>
    <w:rsid w:val="00ED4087"/>
    <w:rsid w:val="00ED416D"/>
    <w:rsid w:val="00ED4B94"/>
    <w:rsid w:val="00ED4CDF"/>
    <w:rsid w:val="00ED5054"/>
    <w:rsid w:val="00ED509A"/>
    <w:rsid w:val="00ED50CC"/>
    <w:rsid w:val="00ED51E2"/>
    <w:rsid w:val="00ED5302"/>
    <w:rsid w:val="00ED54A6"/>
    <w:rsid w:val="00ED56E8"/>
    <w:rsid w:val="00ED580C"/>
    <w:rsid w:val="00ED5852"/>
    <w:rsid w:val="00ED59AF"/>
    <w:rsid w:val="00ED66FA"/>
    <w:rsid w:val="00ED670F"/>
    <w:rsid w:val="00ED6B98"/>
    <w:rsid w:val="00ED7129"/>
    <w:rsid w:val="00ED766B"/>
    <w:rsid w:val="00ED7A7A"/>
    <w:rsid w:val="00ED7B09"/>
    <w:rsid w:val="00EE09DE"/>
    <w:rsid w:val="00EE11D4"/>
    <w:rsid w:val="00EE1AB5"/>
    <w:rsid w:val="00EE1B39"/>
    <w:rsid w:val="00EE1DC4"/>
    <w:rsid w:val="00EE2769"/>
    <w:rsid w:val="00EE281C"/>
    <w:rsid w:val="00EE2B25"/>
    <w:rsid w:val="00EE3025"/>
    <w:rsid w:val="00EE30AC"/>
    <w:rsid w:val="00EE316C"/>
    <w:rsid w:val="00EE3AC2"/>
    <w:rsid w:val="00EE3C1C"/>
    <w:rsid w:val="00EE424D"/>
    <w:rsid w:val="00EE47E5"/>
    <w:rsid w:val="00EE4B4B"/>
    <w:rsid w:val="00EE4B8F"/>
    <w:rsid w:val="00EE4D4D"/>
    <w:rsid w:val="00EE52C5"/>
    <w:rsid w:val="00EE5334"/>
    <w:rsid w:val="00EE54A2"/>
    <w:rsid w:val="00EE5533"/>
    <w:rsid w:val="00EE5802"/>
    <w:rsid w:val="00EE595B"/>
    <w:rsid w:val="00EE5978"/>
    <w:rsid w:val="00EE599C"/>
    <w:rsid w:val="00EE5C80"/>
    <w:rsid w:val="00EE6221"/>
    <w:rsid w:val="00EE6341"/>
    <w:rsid w:val="00EE634B"/>
    <w:rsid w:val="00EE6635"/>
    <w:rsid w:val="00EE6A30"/>
    <w:rsid w:val="00EE6A44"/>
    <w:rsid w:val="00EE6A50"/>
    <w:rsid w:val="00EE6C09"/>
    <w:rsid w:val="00EE70C2"/>
    <w:rsid w:val="00EE7270"/>
    <w:rsid w:val="00EE7415"/>
    <w:rsid w:val="00EE7815"/>
    <w:rsid w:val="00EE7EF4"/>
    <w:rsid w:val="00EF0186"/>
    <w:rsid w:val="00EF0CEC"/>
    <w:rsid w:val="00EF0D90"/>
    <w:rsid w:val="00EF1004"/>
    <w:rsid w:val="00EF128C"/>
    <w:rsid w:val="00EF18B1"/>
    <w:rsid w:val="00EF196C"/>
    <w:rsid w:val="00EF1EE4"/>
    <w:rsid w:val="00EF2D44"/>
    <w:rsid w:val="00EF2E24"/>
    <w:rsid w:val="00EF31B1"/>
    <w:rsid w:val="00EF394B"/>
    <w:rsid w:val="00EF3971"/>
    <w:rsid w:val="00EF3A4F"/>
    <w:rsid w:val="00EF4105"/>
    <w:rsid w:val="00EF4511"/>
    <w:rsid w:val="00EF474C"/>
    <w:rsid w:val="00EF48B1"/>
    <w:rsid w:val="00EF4C40"/>
    <w:rsid w:val="00EF4E66"/>
    <w:rsid w:val="00EF582D"/>
    <w:rsid w:val="00EF58B3"/>
    <w:rsid w:val="00EF635A"/>
    <w:rsid w:val="00EF6794"/>
    <w:rsid w:val="00EF70E7"/>
    <w:rsid w:val="00EF71D8"/>
    <w:rsid w:val="00F002AA"/>
    <w:rsid w:val="00F00C6E"/>
    <w:rsid w:val="00F012E7"/>
    <w:rsid w:val="00F01385"/>
    <w:rsid w:val="00F015B4"/>
    <w:rsid w:val="00F01702"/>
    <w:rsid w:val="00F019E0"/>
    <w:rsid w:val="00F01AFF"/>
    <w:rsid w:val="00F01F4C"/>
    <w:rsid w:val="00F02008"/>
    <w:rsid w:val="00F023D0"/>
    <w:rsid w:val="00F02B62"/>
    <w:rsid w:val="00F02C90"/>
    <w:rsid w:val="00F02E8F"/>
    <w:rsid w:val="00F02F37"/>
    <w:rsid w:val="00F0386C"/>
    <w:rsid w:val="00F03B9C"/>
    <w:rsid w:val="00F03EE0"/>
    <w:rsid w:val="00F042BF"/>
    <w:rsid w:val="00F04A38"/>
    <w:rsid w:val="00F04CD6"/>
    <w:rsid w:val="00F05277"/>
    <w:rsid w:val="00F06C6F"/>
    <w:rsid w:val="00F06D20"/>
    <w:rsid w:val="00F06EA4"/>
    <w:rsid w:val="00F071EF"/>
    <w:rsid w:val="00F0731A"/>
    <w:rsid w:val="00F0734C"/>
    <w:rsid w:val="00F1023B"/>
    <w:rsid w:val="00F103C0"/>
    <w:rsid w:val="00F10BE8"/>
    <w:rsid w:val="00F10BFB"/>
    <w:rsid w:val="00F1189B"/>
    <w:rsid w:val="00F11AFF"/>
    <w:rsid w:val="00F11CC1"/>
    <w:rsid w:val="00F12043"/>
    <w:rsid w:val="00F121CC"/>
    <w:rsid w:val="00F12243"/>
    <w:rsid w:val="00F122F1"/>
    <w:rsid w:val="00F12AE5"/>
    <w:rsid w:val="00F13471"/>
    <w:rsid w:val="00F13EC6"/>
    <w:rsid w:val="00F145AC"/>
    <w:rsid w:val="00F14831"/>
    <w:rsid w:val="00F14D20"/>
    <w:rsid w:val="00F152F4"/>
    <w:rsid w:val="00F1530B"/>
    <w:rsid w:val="00F160D1"/>
    <w:rsid w:val="00F16331"/>
    <w:rsid w:val="00F16F6C"/>
    <w:rsid w:val="00F173ED"/>
    <w:rsid w:val="00F174CA"/>
    <w:rsid w:val="00F17527"/>
    <w:rsid w:val="00F1762A"/>
    <w:rsid w:val="00F17692"/>
    <w:rsid w:val="00F176B6"/>
    <w:rsid w:val="00F17861"/>
    <w:rsid w:val="00F20451"/>
    <w:rsid w:val="00F205CA"/>
    <w:rsid w:val="00F20DF5"/>
    <w:rsid w:val="00F20E7E"/>
    <w:rsid w:val="00F2152F"/>
    <w:rsid w:val="00F2162A"/>
    <w:rsid w:val="00F2169B"/>
    <w:rsid w:val="00F21D0F"/>
    <w:rsid w:val="00F21DB5"/>
    <w:rsid w:val="00F21F9D"/>
    <w:rsid w:val="00F22030"/>
    <w:rsid w:val="00F227D2"/>
    <w:rsid w:val="00F229D3"/>
    <w:rsid w:val="00F22F09"/>
    <w:rsid w:val="00F22F61"/>
    <w:rsid w:val="00F232BE"/>
    <w:rsid w:val="00F23335"/>
    <w:rsid w:val="00F23837"/>
    <w:rsid w:val="00F240ED"/>
    <w:rsid w:val="00F24310"/>
    <w:rsid w:val="00F2509F"/>
    <w:rsid w:val="00F25446"/>
    <w:rsid w:val="00F2546B"/>
    <w:rsid w:val="00F25485"/>
    <w:rsid w:val="00F2571C"/>
    <w:rsid w:val="00F25C13"/>
    <w:rsid w:val="00F25C38"/>
    <w:rsid w:val="00F25F1B"/>
    <w:rsid w:val="00F25FB9"/>
    <w:rsid w:val="00F263FB"/>
    <w:rsid w:val="00F265F6"/>
    <w:rsid w:val="00F2692B"/>
    <w:rsid w:val="00F26E56"/>
    <w:rsid w:val="00F27C8B"/>
    <w:rsid w:val="00F27FCE"/>
    <w:rsid w:val="00F300F4"/>
    <w:rsid w:val="00F30377"/>
    <w:rsid w:val="00F303B4"/>
    <w:rsid w:val="00F3042F"/>
    <w:rsid w:val="00F304BF"/>
    <w:rsid w:val="00F30E28"/>
    <w:rsid w:val="00F30EFB"/>
    <w:rsid w:val="00F31242"/>
    <w:rsid w:val="00F314F4"/>
    <w:rsid w:val="00F320A7"/>
    <w:rsid w:val="00F32E60"/>
    <w:rsid w:val="00F32F6E"/>
    <w:rsid w:val="00F3344A"/>
    <w:rsid w:val="00F33A9E"/>
    <w:rsid w:val="00F33BCA"/>
    <w:rsid w:val="00F33D35"/>
    <w:rsid w:val="00F33F08"/>
    <w:rsid w:val="00F34541"/>
    <w:rsid w:val="00F34566"/>
    <w:rsid w:val="00F34697"/>
    <w:rsid w:val="00F349E9"/>
    <w:rsid w:val="00F35100"/>
    <w:rsid w:val="00F35261"/>
    <w:rsid w:val="00F35435"/>
    <w:rsid w:val="00F35820"/>
    <w:rsid w:val="00F358DC"/>
    <w:rsid w:val="00F35ECA"/>
    <w:rsid w:val="00F3660D"/>
    <w:rsid w:val="00F37C83"/>
    <w:rsid w:val="00F37DAD"/>
    <w:rsid w:val="00F40045"/>
    <w:rsid w:val="00F40CE3"/>
    <w:rsid w:val="00F40F1C"/>
    <w:rsid w:val="00F40F47"/>
    <w:rsid w:val="00F412EC"/>
    <w:rsid w:val="00F41457"/>
    <w:rsid w:val="00F414F2"/>
    <w:rsid w:val="00F42772"/>
    <w:rsid w:val="00F42837"/>
    <w:rsid w:val="00F4288B"/>
    <w:rsid w:val="00F42FA4"/>
    <w:rsid w:val="00F44106"/>
    <w:rsid w:val="00F4414F"/>
    <w:rsid w:val="00F44339"/>
    <w:rsid w:val="00F451DD"/>
    <w:rsid w:val="00F454C4"/>
    <w:rsid w:val="00F4672D"/>
    <w:rsid w:val="00F46F40"/>
    <w:rsid w:val="00F47736"/>
    <w:rsid w:val="00F500DE"/>
    <w:rsid w:val="00F507FF"/>
    <w:rsid w:val="00F51B3D"/>
    <w:rsid w:val="00F52090"/>
    <w:rsid w:val="00F526A1"/>
    <w:rsid w:val="00F527F8"/>
    <w:rsid w:val="00F52CBE"/>
    <w:rsid w:val="00F532BF"/>
    <w:rsid w:val="00F532DB"/>
    <w:rsid w:val="00F53D98"/>
    <w:rsid w:val="00F53DC2"/>
    <w:rsid w:val="00F53E68"/>
    <w:rsid w:val="00F53EAD"/>
    <w:rsid w:val="00F540ED"/>
    <w:rsid w:val="00F54324"/>
    <w:rsid w:val="00F54565"/>
    <w:rsid w:val="00F545B4"/>
    <w:rsid w:val="00F54B03"/>
    <w:rsid w:val="00F54BDB"/>
    <w:rsid w:val="00F54F8D"/>
    <w:rsid w:val="00F55312"/>
    <w:rsid w:val="00F55424"/>
    <w:rsid w:val="00F555B8"/>
    <w:rsid w:val="00F558C6"/>
    <w:rsid w:val="00F5590C"/>
    <w:rsid w:val="00F5599F"/>
    <w:rsid w:val="00F55F5B"/>
    <w:rsid w:val="00F5679A"/>
    <w:rsid w:val="00F567C5"/>
    <w:rsid w:val="00F56F02"/>
    <w:rsid w:val="00F56F75"/>
    <w:rsid w:val="00F570D9"/>
    <w:rsid w:val="00F571D8"/>
    <w:rsid w:val="00F573E1"/>
    <w:rsid w:val="00F57846"/>
    <w:rsid w:val="00F6029F"/>
    <w:rsid w:val="00F603F1"/>
    <w:rsid w:val="00F60954"/>
    <w:rsid w:val="00F60D1F"/>
    <w:rsid w:val="00F612C3"/>
    <w:rsid w:val="00F6184F"/>
    <w:rsid w:val="00F61897"/>
    <w:rsid w:val="00F61B03"/>
    <w:rsid w:val="00F61EFD"/>
    <w:rsid w:val="00F62EB0"/>
    <w:rsid w:val="00F62FBF"/>
    <w:rsid w:val="00F6375B"/>
    <w:rsid w:val="00F6388D"/>
    <w:rsid w:val="00F63D4D"/>
    <w:rsid w:val="00F63D8E"/>
    <w:rsid w:val="00F63FB7"/>
    <w:rsid w:val="00F64AF5"/>
    <w:rsid w:val="00F64B8A"/>
    <w:rsid w:val="00F65080"/>
    <w:rsid w:val="00F654A4"/>
    <w:rsid w:val="00F65D52"/>
    <w:rsid w:val="00F65ED6"/>
    <w:rsid w:val="00F660C5"/>
    <w:rsid w:val="00F666A5"/>
    <w:rsid w:val="00F66798"/>
    <w:rsid w:val="00F66D4E"/>
    <w:rsid w:val="00F66EB6"/>
    <w:rsid w:val="00F672BE"/>
    <w:rsid w:val="00F67C06"/>
    <w:rsid w:val="00F67F80"/>
    <w:rsid w:val="00F7049D"/>
    <w:rsid w:val="00F70D11"/>
    <w:rsid w:val="00F71059"/>
    <w:rsid w:val="00F711DA"/>
    <w:rsid w:val="00F715BA"/>
    <w:rsid w:val="00F716D9"/>
    <w:rsid w:val="00F717AE"/>
    <w:rsid w:val="00F71E5A"/>
    <w:rsid w:val="00F71F1C"/>
    <w:rsid w:val="00F71F5B"/>
    <w:rsid w:val="00F72480"/>
    <w:rsid w:val="00F724A3"/>
    <w:rsid w:val="00F724C5"/>
    <w:rsid w:val="00F72B40"/>
    <w:rsid w:val="00F72EF3"/>
    <w:rsid w:val="00F73200"/>
    <w:rsid w:val="00F73360"/>
    <w:rsid w:val="00F73508"/>
    <w:rsid w:val="00F73517"/>
    <w:rsid w:val="00F736D1"/>
    <w:rsid w:val="00F73B9E"/>
    <w:rsid w:val="00F73D7F"/>
    <w:rsid w:val="00F73E5B"/>
    <w:rsid w:val="00F7423B"/>
    <w:rsid w:val="00F74FA2"/>
    <w:rsid w:val="00F75088"/>
    <w:rsid w:val="00F7541A"/>
    <w:rsid w:val="00F75429"/>
    <w:rsid w:val="00F75692"/>
    <w:rsid w:val="00F75888"/>
    <w:rsid w:val="00F75952"/>
    <w:rsid w:val="00F75A7C"/>
    <w:rsid w:val="00F75BD3"/>
    <w:rsid w:val="00F75C69"/>
    <w:rsid w:val="00F75F86"/>
    <w:rsid w:val="00F766CC"/>
    <w:rsid w:val="00F768BD"/>
    <w:rsid w:val="00F76CA6"/>
    <w:rsid w:val="00F76CF4"/>
    <w:rsid w:val="00F77419"/>
    <w:rsid w:val="00F77C6D"/>
    <w:rsid w:val="00F77EBE"/>
    <w:rsid w:val="00F802AF"/>
    <w:rsid w:val="00F803B5"/>
    <w:rsid w:val="00F80654"/>
    <w:rsid w:val="00F81A9C"/>
    <w:rsid w:val="00F8226F"/>
    <w:rsid w:val="00F822C8"/>
    <w:rsid w:val="00F825C7"/>
    <w:rsid w:val="00F83035"/>
    <w:rsid w:val="00F836B6"/>
    <w:rsid w:val="00F83A54"/>
    <w:rsid w:val="00F83B1A"/>
    <w:rsid w:val="00F83FDB"/>
    <w:rsid w:val="00F844E2"/>
    <w:rsid w:val="00F84FBE"/>
    <w:rsid w:val="00F850E2"/>
    <w:rsid w:val="00F8516B"/>
    <w:rsid w:val="00F8539B"/>
    <w:rsid w:val="00F85717"/>
    <w:rsid w:val="00F85B3B"/>
    <w:rsid w:val="00F85EE4"/>
    <w:rsid w:val="00F86068"/>
    <w:rsid w:val="00F860C1"/>
    <w:rsid w:val="00F86544"/>
    <w:rsid w:val="00F8658B"/>
    <w:rsid w:val="00F86D9F"/>
    <w:rsid w:val="00F87945"/>
    <w:rsid w:val="00F87D38"/>
    <w:rsid w:val="00F900D1"/>
    <w:rsid w:val="00F9029C"/>
    <w:rsid w:val="00F90BA7"/>
    <w:rsid w:val="00F913FC"/>
    <w:rsid w:val="00F91D78"/>
    <w:rsid w:val="00F91E15"/>
    <w:rsid w:val="00F92194"/>
    <w:rsid w:val="00F92225"/>
    <w:rsid w:val="00F924A8"/>
    <w:rsid w:val="00F92755"/>
    <w:rsid w:val="00F927B6"/>
    <w:rsid w:val="00F927F7"/>
    <w:rsid w:val="00F92A78"/>
    <w:rsid w:val="00F92B43"/>
    <w:rsid w:val="00F9328A"/>
    <w:rsid w:val="00F935CC"/>
    <w:rsid w:val="00F93995"/>
    <w:rsid w:val="00F9487F"/>
    <w:rsid w:val="00F94BA8"/>
    <w:rsid w:val="00F94E5A"/>
    <w:rsid w:val="00F94FF5"/>
    <w:rsid w:val="00F95076"/>
    <w:rsid w:val="00F95169"/>
    <w:rsid w:val="00F954C5"/>
    <w:rsid w:val="00F956BD"/>
    <w:rsid w:val="00F957CB"/>
    <w:rsid w:val="00F95AF9"/>
    <w:rsid w:val="00F96323"/>
    <w:rsid w:val="00F966B0"/>
    <w:rsid w:val="00F96811"/>
    <w:rsid w:val="00F9684E"/>
    <w:rsid w:val="00F96A06"/>
    <w:rsid w:val="00F97527"/>
    <w:rsid w:val="00F977FD"/>
    <w:rsid w:val="00F979E9"/>
    <w:rsid w:val="00F97B09"/>
    <w:rsid w:val="00F97D53"/>
    <w:rsid w:val="00FA01DF"/>
    <w:rsid w:val="00FA0414"/>
    <w:rsid w:val="00FA0580"/>
    <w:rsid w:val="00FA0BB7"/>
    <w:rsid w:val="00FA0CF4"/>
    <w:rsid w:val="00FA15A4"/>
    <w:rsid w:val="00FA19E0"/>
    <w:rsid w:val="00FA21EF"/>
    <w:rsid w:val="00FA23E5"/>
    <w:rsid w:val="00FA2428"/>
    <w:rsid w:val="00FA2F14"/>
    <w:rsid w:val="00FA46E9"/>
    <w:rsid w:val="00FA5026"/>
    <w:rsid w:val="00FA556C"/>
    <w:rsid w:val="00FA5AE3"/>
    <w:rsid w:val="00FA5D0A"/>
    <w:rsid w:val="00FA5D89"/>
    <w:rsid w:val="00FA5E10"/>
    <w:rsid w:val="00FA60CE"/>
    <w:rsid w:val="00FA7601"/>
    <w:rsid w:val="00FA7742"/>
    <w:rsid w:val="00FB0162"/>
    <w:rsid w:val="00FB0538"/>
    <w:rsid w:val="00FB0B78"/>
    <w:rsid w:val="00FB18F7"/>
    <w:rsid w:val="00FB1E53"/>
    <w:rsid w:val="00FB21C2"/>
    <w:rsid w:val="00FB2448"/>
    <w:rsid w:val="00FB29EC"/>
    <w:rsid w:val="00FB3283"/>
    <w:rsid w:val="00FB3646"/>
    <w:rsid w:val="00FB3967"/>
    <w:rsid w:val="00FB39DF"/>
    <w:rsid w:val="00FB4351"/>
    <w:rsid w:val="00FB47BF"/>
    <w:rsid w:val="00FB51BD"/>
    <w:rsid w:val="00FB541A"/>
    <w:rsid w:val="00FB5A3A"/>
    <w:rsid w:val="00FB5B53"/>
    <w:rsid w:val="00FB5C26"/>
    <w:rsid w:val="00FB65C8"/>
    <w:rsid w:val="00FB6627"/>
    <w:rsid w:val="00FB67C4"/>
    <w:rsid w:val="00FB7368"/>
    <w:rsid w:val="00FB7427"/>
    <w:rsid w:val="00FB75C0"/>
    <w:rsid w:val="00FB7EAC"/>
    <w:rsid w:val="00FC014C"/>
    <w:rsid w:val="00FC015D"/>
    <w:rsid w:val="00FC04BD"/>
    <w:rsid w:val="00FC0574"/>
    <w:rsid w:val="00FC0971"/>
    <w:rsid w:val="00FC0CA4"/>
    <w:rsid w:val="00FC1491"/>
    <w:rsid w:val="00FC172E"/>
    <w:rsid w:val="00FC18FD"/>
    <w:rsid w:val="00FC1C6C"/>
    <w:rsid w:val="00FC225C"/>
    <w:rsid w:val="00FC25BE"/>
    <w:rsid w:val="00FC34C5"/>
    <w:rsid w:val="00FC38EE"/>
    <w:rsid w:val="00FC3D55"/>
    <w:rsid w:val="00FC52EC"/>
    <w:rsid w:val="00FC54FE"/>
    <w:rsid w:val="00FC5829"/>
    <w:rsid w:val="00FC5850"/>
    <w:rsid w:val="00FC5CE4"/>
    <w:rsid w:val="00FC5EF2"/>
    <w:rsid w:val="00FC6258"/>
    <w:rsid w:val="00FC6387"/>
    <w:rsid w:val="00FC680E"/>
    <w:rsid w:val="00FC695C"/>
    <w:rsid w:val="00FC6B68"/>
    <w:rsid w:val="00FC6D2D"/>
    <w:rsid w:val="00FC6E2C"/>
    <w:rsid w:val="00FC714B"/>
    <w:rsid w:val="00FC72B3"/>
    <w:rsid w:val="00FC76C1"/>
    <w:rsid w:val="00FD0607"/>
    <w:rsid w:val="00FD0648"/>
    <w:rsid w:val="00FD0C14"/>
    <w:rsid w:val="00FD0D7E"/>
    <w:rsid w:val="00FD0FD9"/>
    <w:rsid w:val="00FD13E1"/>
    <w:rsid w:val="00FD14A5"/>
    <w:rsid w:val="00FD157A"/>
    <w:rsid w:val="00FD1F9A"/>
    <w:rsid w:val="00FD1FCE"/>
    <w:rsid w:val="00FD2217"/>
    <w:rsid w:val="00FD2341"/>
    <w:rsid w:val="00FD27B1"/>
    <w:rsid w:val="00FD2C46"/>
    <w:rsid w:val="00FD2EBF"/>
    <w:rsid w:val="00FD3441"/>
    <w:rsid w:val="00FD3D62"/>
    <w:rsid w:val="00FD4B23"/>
    <w:rsid w:val="00FD4B56"/>
    <w:rsid w:val="00FD56BE"/>
    <w:rsid w:val="00FD63A4"/>
    <w:rsid w:val="00FD6819"/>
    <w:rsid w:val="00FD6B6F"/>
    <w:rsid w:val="00FD7280"/>
    <w:rsid w:val="00FD7A2A"/>
    <w:rsid w:val="00FD7AD6"/>
    <w:rsid w:val="00FD7F37"/>
    <w:rsid w:val="00FE000F"/>
    <w:rsid w:val="00FE06DD"/>
    <w:rsid w:val="00FE1222"/>
    <w:rsid w:val="00FE1384"/>
    <w:rsid w:val="00FE15C8"/>
    <w:rsid w:val="00FE17E9"/>
    <w:rsid w:val="00FE1813"/>
    <w:rsid w:val="00FE1882"/>
    <w:rsid w:val="00FE1C69"/>
    <w:rsid w:val="00FE1EF8"/>
    <w:rsid w:val="00FE20C6"/>
    <w:rsid w:val="00FE273B"/>
    <w:rsid w:val="00FE2D0B"/>
    <w:rsid w:val="00FE2E9A"/>
    <w:rsid w:val="00FE30AD"/>
    <w:rsid w:val="00FE32EE"/>
    <w:rsid w:val="00FE3314"/>
    <w:rsid w:val="00FE3932"/>
    <w:rsid w:val="00FE43D0"/>
    <w:rsid w:val="00FE4867"/>
    <w:rsid w:val="00FE4ECE"/>
    <w:rsid w:val="00FE54E4"/>
    <w:rsid w:val="00FE55E4"/>
    <w:rsid w:val="00FE5B26"/>
    <w:rsid w:val="00FE5D42"/>
    <w:rsid w:val="00FE5E8B"/>
    <w:rsid w:val="00FE6451"/>
    <w:rsid w:val="00FE6529"/>
    <w:rsid w:val="00FE655E"/>
    <w:rsid w:val="00FE691B"/>
    <w:rsid w:val="00FE693D"/>
    <w:rsid w:val="00FE6A1B"/>
    <w:rsid w:val="00FE6DAE"/>
    <w:rsid w:val="00FE744C"/>
    <w:rsid w:val="00FE7978"/>
    <w:rsid w:val="00FF001D"/>
    <w:rsid w:val="00FF00BE"/>
    <w:rsid w:val="00FF16DD"/>
    <w:rsid w:val="00FF177A"/>
    <w:rsid w:val="00FF1E13"/>
    <w:rsid w:val="00FF2359"/>
    <w:rsid w:val="00FF2519"/>
    <w:rsid w:val="00FF2628"/>
    <w:rsid w:val="00FF2BA5"/>
    <w:rsid w:val="00FF2F92"/>
    <w:rsid w:val="00FF3030"/>
    <w:rsid w:val="00FF3268"/>
    <w:rsid w:val="00FF3311"/>
    <w:rsid w:val="00FF3325"/>
    <w:rsid w:val="00FF3AFB"/>
    <w:rsid w:val="00FF3D41"/>
    <w:rsid w:val="00FF4678"/>
    <w:rsid w:val="00FF4E17"/>
    <w:rsid w:val="00FF4FCC"/>
    <w:rsid w:val="00FF5728"/>
    <w:rsid w:val="00FF5B19"/>
    <w:rsid w:val="00FF5C96"/>
    <w:rsid w:val="00FF5C9C"/>
    <w:rsid w:val="00FF5E49"/>
    <w:rsid w:val="00FF6102"/>
    <w:rsid w:val="00FF70A3"/>
    <w:rsid w:val="00FF76B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3CE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4D8"/>
  </w:style>
  <w:style w:type="paragraph" w:styleId="Heading1">
    <w:name w:val="heading 1"/>
    <w:basedOn w:val="Normal"/>
    <w:next w:val="Normal"/>
    <w:link w:val="Heading1Char"/>
    <w:uiPriority w:val="9"/>
    <w:qFormat/>
    <w:rsid w:val="006C01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58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34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31B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1B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C01BC"/>
    <w:pPr>
      <w:spacing w:after="0" w:line="480" w:lineRule="auto"/>
      <w:ind w:left="720" w:hanging="720"/>
    </w:pPr>
  </w:style>
  <w:style w:type="paragraph" w:styleId="NoSpacing">
    <w:name w:val="No Spacing"/>
    <w:link w:val="NoSpacingChar"/>
    <w:uiPriority w:val="1"/>
    <w:qFormat/>
    <w:rsid w:val="00EC58F2"/>
    <w:pPr>
      <w:spacing w:after="0" w:line="240" w:lineRule="auto"/>
    </w:pPr>
    <w:rPr>
      <w:rFonts w:eastAsiaTheme="minorEastAsia"/>
    </w:rPr>
  </w:style>
  <w:style w:type="character" w:customStyle="1" w:styleId="NoSpacingChar">
    <w:name w:val="No Spacing Char"/>
    <w:basedOn w:val="DefaultParagraphFont"/>
    <w:link w:val="NoSpacing"/>
    <w:uiPriority w:val="1"/>
    <w:rsid w:val="00EC58F2"/>
    <w:rPr>
      <w:rFonts w:eastAsiaTheme="minorEastAsia"/>
    </w:rPr>
  </w:style>
  <w:style w:type="paragraph" w:styleId="Footer">
    <w:name w:val="footer"/>
    <w:basedOn w:val="Normal"/>
    <w:link w:val="FooterChar"/>
    <w:uiPriority w:val="99"/>
    <w:unhideWhenUsed/>
    <w:rsid w:val="00EC58F2"/>
    <w:pPr>
      <w:tabs>
        <w:tab w:val="center" w:pos="4513"/>
        <w:tab w:val="right" w:pos="9026"/>
      </w:tabs>
      <w:spacing w:after="0" w:line="240" w:lineRule="auto"/>
    </w:pPr>
    <w:rPr>
      <w:rFonts w:ascii="Times New Roman" w:eastAsia="Calibri" w:hAnsi="Times New Roman" w:cs="Times New Roman"/>
      <w:sz w:val="24"/>
      <w:lang w:val="en-GB"/>
    </w:rPr>
  </w:style>
  <w:style w:type="character" w:customStyle="1" w:styleId="FooterChar">
    <w:name w:val="Footer Char"/>
    <w:basedOn w:val="DefaultParagraphFont"/>
    <w:link w:val="Footer"/>
    <w:uiPriority w:val="99"/>
    <w:rsid w:val="00EC58F2"/>
    <w:rPr>
      <w:rFonts w:ascii="Times New Roman" w:eastAsia="Calibri" w:hAnsi="Times New Roman" w:cs="Times New Roman"/>
      <w:sz w:val="24"/>
      <w:lang w:val="en-GB"/>
    </w:rPr>
  </w:style>
  <w:style w:type="paragraph" w:styleId="Header">
    <w:name w:val="header"/>
    <w:basedOn w:val="Normal"/>
    <w:link w:val="HeaderChar"/>
    <w:uiPriority w:val="99"/>
    <w:unhideWhenUsed/>
    <w:rsid w:val="00EC5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F2"/>
  </w:style>
  <w:style w:type="paragraph" w:styleId="ListParagraph">
    <w:name w:val="List Paragraph"/>
    <w:basedOn w:val="Normal"/>
    <w:uiPriority w:val="34"/>
    <w:qFormat/>
    <w:rsid w:val="006B4618"/>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D26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F61"/>
    <w:rPr>
      <w:rFonts w:ascii="Segoe UI" w:hAnsi="Segoe UI" w:cs="Segoe UI"/>
      <w:sz w:val="18"/>
      <w:szCs w:val="18"/>
    </w:rPr>
  </w:style>
  <w:style w:type="paragraph" w:styleId="NormalWeb">
    <w:name w:val="Normal (Web)"/>
    <w:basedOn w:val="Normal"/>
    <w:uiPriority w:val="99"/>
    <w:unhideWhenUsed/>
    <w:rsid w:val="001E0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0F8D"/>
    <w:rPr>
      <w:color w:val="0000FF"/>
      <w:u w:val="single"/>
    </w:rPr>
  </w:style>
  <w:style w:type="character" w:styleId="Emphasis">
    <w:name w:val="Emphasis"/>
    <w:basedOn w:val="DefaultParagraphFont"/>
    <w:uiPriority w:val="20"/>
    <w:qFormat/>
    <w:rsid w:val="0039006C"/>
    <w:rPr>
      <w:i/>
      <w:iCs/>
    </w:rPr>
  </w:style>
  <w:style w:type="character" w:customStyle="1" w:styleId="Heading2Char">
    <w:name w:val="Heading 2 Char"/>
    <w:basedOn w:val="DefaultParagraphFont"/>
    <w:link w:val="Heading2"/>
    <w:uiPriority w:val="9"/>
    <w:rsid w:val="00585842"/>
    <w:rPr>
      <w:rFonts w:asciiTheme="majorHAnsi" w:eastAsiaTheme="majorEastAsia" w:hAnsiTheme="majorHAnsi" w:cstheme="majorBidi"/>
      <w:color w:val="2E74B5" w:themeColor="accent1" w:themeShade="BF"/>
      <w:sz w:val="26"/>
      <w:szCs w:val="26"/>
    </w:rPr>
  </w:style>
  <w:style w:type="paragraph" w:customStyle="1" w:styleId="Default">
    <w:name w:val="Default"/>
    <w:rsid w:val="004348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6343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03338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768D"/>
    <w:rPr>
      <w:b/>
      <w:bCs/>
    </w:rPr>
  </w:style>
  <w:style w:type="paragraph" w:customStyle="1" w:styleId="graf">
    <w:name w:val="graf"/>
    <w:basedOn w:val="Normal"/>
    <w:rsid w:val="00203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31B88"/>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0763D1"/>
    <w:pPr>
      <w:outlineLvl w:val="9"/>
    </w:pPr>
  </w:style>
  <w:style w:type="paragraph" w:styleId="TOC1">
    <w:name w:val="toc 1"/>
    <w:basedOn w:val="Normal"/>
    <w:next w:val="Normal"/>
    <w:autoRedefine/>
    <w:uiPriority w:val="39"/>
    <w:unhideWhenUsed/>
    <w:rsid w:val="00986B00"/>
    <w:pPr>
      <w:tabs>
        <w:tab w:val="right" w:leader="dot" w:pos="9350"/>
      </w:tabs>
      <w:spacing w:after="100" w:line="480" w:lineRule="auto"/>
    </w:pPr>
  </w:style>
  <w:style w:type="paragraph" w:styleId="TOC2">
    <w:name w:val="toc 2"/>
    <w:basedOn w:val="Normal"/>
    <w:next w:val="Normal"/>
    <w:autoRedefine/>
    <w:uiPriority w:val="39"/>
    <w:unhideWhenUsed/>
    <w:rsid w:val="000763D1"/>
    <w:pPr>
      <w:spacing w:after="100"/>
      <w:ind w:left="220"/>
    </w:pPr>
  </w:style>
  <w:style w:type="character" w:customStyle="1" w:styleId="UnresolvedMention1">
    <w:name w:val="Unresolved Mention1"/>
    <w:basedOn w:val="DefaultParagraphFont"/>
    <w:uiPriority w:val="99"/>
    <w:semiHidden/>
    <w:unhideWhenUsed/>
    <w:rsid w:val="00461022"/>
    <w:rPr>
      <w:color w:val="605E5C"/>
      <w:shd w:val="clear" w:color="auto" w:fill="E1DFDD"/>
    </w:rPr>
  </w:style>
  <w:style w:type="paragraph" w:styleId="FootnoteText">
    <w:name w:val="footnote text"/>
    <w:basedOn w:val="Normal"/>
    <w:link w:val="FootnoteTextChar"/>
    <w:uiPriority w:val="99"/>
    <w:semiHidden/>
    <w:unhideWhenUsed/>
    <w:rsid w:val="00DE7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252"/>
    <w:rPr>
      <w:sz w:val="20"/>
      <w:szCs w:val="20"/>
    </w:rPr>
  </w:style>
  <w:style w:type="character" w:styleId="FootnoteReference">
    <w:name w:val="footnote reference"/>
    <w:basedOn w:val="DefaultParagraphFont"/>
    <w:uiPriority w:val="99"/>
    <w:semiHidden/>
    <w:unhideWhenUsed/>
    <w:rsid w:val="00DE7252"/>
    <w:rPr>
      <w:vertAlign w:val="superscript"/>
    </w:rPr>
  </w:style>
  <w:style w:type="paragraph" w:styleId="TOC3">
    <w:name w:val="toc 3"/>
    <w:basedOn w:val="Normal"/>
    <w:next w:val="Normal"/>
    <w:autoRedefine/>
    <w:uiPriority w:val="39"/>
    <w:unhideWhenUsed/>
    <w:rsid w:val="00B5470A"/>
    <w:pPr>
      <w:spacing w:after="100"/>
      <w:ind w:left="440"/>
    </w:pPr>
  </w:style>
  <w:style w:type="character" w:styleId="EndnoteReference">
    <w:name w:val="endnote reference"/>
    <w:basedOn w:val="DefaultParagraphFont"/>
    <w:uiPriority w:val="99"/>
    <w:semiHidden/>
    <w:unhideWhenUsed/>
    <w:rsid w:val="00ED54A6"/>
    <w:rPr>
      <w:vertAlign w:val="superscript"/>
    </w:rPr>
  </w:style>
  <w:style w:type="character" w:styleId="PlaceholderText">
    <w:name w:val="Placeholder Text"/>
    <w:basedOn w:val="DefaultParagraphFont"/>
    <w:uiPriority w:val="99"/>
    <w:semiHidden/>
    <w:rsid w:val="00651253"/>
    <w:rPr>
      <w:color w:val="808080"/>
    </w:rPr>
  </w:style>
  <w:style w:type="character" w:styleId="UnresolvedMention">
    <w:name w:val="Unresolved Mention"/>
    <w:basedOn w:val="DefaultParagraphFont"/>
    <w:uiPriority w:val="99"/>
    <w:semiHidden/>
    <w:unhideWhenUsed/>
    <w:rsid w:val="001A05F5"/>
    <w:rPr>
      <w:color w:val="605E5C"/>
      <w:shd w:val="clear" w:color="auto" w:fill="E1DFDD"/>
    </w:rPr>
  </w:style>
  <w:style w:type="paragraph" w:styleId="TableofFigures">
    <w:name w:val="table of figures"/>
    <w:basedOn w:val="Normal"/>
    <w:next w:val="Normal"/>
    <w:link w:val="TableofFiguresChar"/>
    <w:uiPriority w:val="99"/>
    <w:unhideWhenUsed/>
    <w:rsid w:val="00E820D0"/>
    <w:pPr>
      <w:spacing w:after="120" w:line="480" w:lineRule="auto"/>
      <w:ind w:firstLine="420"/>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E820D0"/>
    <w:rPr>
      <w:color w:val="954F72" w:themeColor="followedHyperlink"/>
      <w:u w:val="single"/>
    </w:rPr>
  </w:style>
  <w:style w:type="paragraph" w:customStyle="1" w:styleId="Tables">
    <w:name w:val="Tables"/>
    <w:basedOn w:val="Normal"/>
    <w:link w:val="TablesChar"/>
    <w:qFormat/>
    <w:rsid w:val="00E820D0"/>
    <w:pPr>
      <w:spacing w:after="0" w:line="360" w:lineRule="auto"/>
      <w:jc w:val="both"/>
    </w:pPr>
    <w:rPr>
      <w:rFonts w:ascii="Times New Roman" w:hAnsi="Times New Roman" w:cs="Times New Roman"/>
      <w:b/>
      <w:bCs/>
      <w:sz w:val="24"/>
      <w:szCs w:val="24"/>
    </w:rPr>
  </w:style>
  <w:style w:type="paragraph" w:styleId="Caption">
    <w:name w:val="caption"/>
    <w:aliases w:val="Table"/>
    <w:basedOn w:val="Normal"/>
    <w:next w:val="Normal"/>
    <w:uiPriority w:val="35"/>
    <w:unhideWhenUsed/>
    <w:qFormat/>
    <w:rsid w:val="00250DAE"/>
    <w:pPr>
      <w:spacing w:after="200" w:line="240" w:lineRule="auto"/>
    </w:pPr>
    <w:rPr>
      <w:i/>
      <w:iCs/>
      <w:color w:val="44546A" w:themeColor="text2"/>
      <w:sz w:val="18"/>
      <w:szCs w:val="18"/>
    </w:rPr>
  </w:style>
  <w:style w:type="character" w:customStyle="1" w:styleId="TablesChar">
    <w:name w:val="Tables Char"/>
    <w:basedOn w:val="DefaultParagraphFont"/>
    <w:link w:val="Tables"/>
    <w:rsid w:val="00E820D0"/>
    <w:rPr>
      <w:rFonts w:ascii="Times New Roman" w:hAnsi="Times New Roman" w:cs="Times New Roman"/>
      <w:b/>
      <w:bCs/>
      <w:sz w:val="24"/>
      <w:szCs w:val="24"/>
    </w:rPr>
  </w:style>
  <w:style w:type="paragraph" w:customStyle="1" w:styleId="Figures">
    <w:name w:val="Figures"/>
    <w:basedOn w:val="TableofFigures"/>
    <w:link w:val="FiguresChar"/>
    <w:qFormat/>
    <w:rsid w:val="00FD157A"/>
    <w:pPr>
      <w:spacing w:after="0" w:line="360" w:lineRule="auto"/>
      <w:ind w:firstLine="0"/>
      <w:jc w:val="both"/>
    </w:pPr>
    <w:rPr>
      <w:b/>
      <w:bCs/>
      <w:szCs w:val="24"/>
    </w:rPr>
  </w:style>
  <w:style w:type="character" w:customStyle="1" w:styleId="TableofFiguresChar">
    <w:name w:val="Table of Figures Char"/>
    <w:basedOn w:val="DefaultParagraphFont"/>
    <w:link w:val="TableofFigures"/>
    <w:uiPriority w:val="99"/>
    <w:rsid w:val="00997029"/>
    <w:rPr>
      <w:rFonts w:ascii="Times New Roman" w:eastAsia="Calibri" w:hAnsi="Times New Roman" w:cs="Times New Roman"/>
      <w:sz w:val="24"/>
    </w:rPr>
  </w:style>
  <w:style w:type="character" w:customStyle="1" w:styleId="FiguresChar">
    <w:name w:val="Figures Char"/>
    <w:basedOn w:val="TableofFiguresChar"/>
    <w:link w:val="Figures"/>
    <w:rsid w:val="00FD157A"/>
    <w:rPr>
      <w:rFonts w:ascii="Times New Roman" w:eastAsia="Calibri" w:hAnsi="Times New Roman" w:cs="Times New Roman"/>
      <w:b/>
      <w:bCs/>
      <w:sz w:val="24"/>
      <w:szCs w:val="24"/>
    </w:rPr>
  </w:style>
  <w:style w:type="paragraph" w:customStyle="1" w:styleId="MyTables">
    <w:name w:val="My Tables"/>
    <w:basedOn w:val="Caption"/>
    <w:next w:val="Caption"/>
    <w:qFormat/>
    <w:rsid w:val="009F1A63"/>
    <w:pPr>
      <w:keepNext/>
      <w:spacing w:after="120"/>
    </w:pPr>
    <w:rPr>
      <w:rFonts w:ascii="Times New Roman" w:hAnsi="Times New Roman"/>
      <w:b/>
      <w:bCs/>
      <w:i w:val="0"/>
      <w:color w:val="000000" w:themeColor="text1"/>
      <w:sz w:val="24"/>
    </w:rPr>
  </w:style>
  <w:style w:type="paragraph" w:styleId="HTMLPreformatted">
    <w:name w:val="HTML Preformatted"/>
    <w:basedOn w:val="Normal"/>
    <w:link w:val="HTMLPreformattedChar"/>
    <w:uiPriority w:val="99"/>
    <w:semiHidden/>
    <w:unhideWhenUsed/>
    <w:rsid w:val="0046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2BBF"/>
    <w:rPr>
      <w:rFonts w:ascii="Courier New" w:eastAsia="Times New Roman" w:hAnsi="Courier New" w:cs="Courier New"/>
      <w:sz w:val="20"/>
      <w:szCs w:val="20"/>
    </w:rPr>
  </w:style>
  <w:style w:type="character" w:customStyle="1" w:styleId="y2iqfc">
    <w:name w:val="y2iqfc"/>
    <w:basedOn w:val="DefaultParagraphFont"/>
    <w:rsid w:val="00462BBF"/>
  </w:style>
  <w:style w:type="paragraph" w:styleId="Revision">
    <w:name w:val="Revision"/>
    <w:hidden/>
    <w:uiPriority w:val="99"/>
    <w:semiHidden/>
    <w:rsid w:val="006A6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5601">
      <w:bodyDiv w:val="1"/>
      <w:marLeft w:val="0"/>
      <w:marRight w:val="0"/>
      <w:marTop w:val="0"/>
      <w:marBottom w:val="0"/>
      <w:divBdr>
        <w:top w:val="none" w:sz="0" w:space="0" w:color="auto"/>
        <w:left w:val="none" w:sz="0" w:space="0" w:color="auto"/>
        <w:bottom w:val="none" w:sz="0" w:space="0" w:color="auto"/>
        <w:right w:val="none" w:sz="0" w:space="0" w:color="auto"/>
      </w:divBdr>
    </w:div>
    <w:div w:id="1011300075">
      <w:bodyDiv w:val="1"/>
      <w:marLeft w:val="0"/>
      <w:marRight w:val="0"/>
      <w:marTop w:val="0"/>
      <w:marBottom w:val="0"/>
      <w:divBdr>
        <w:top w:val="none" w:sz="0" w:space="0" w:color="auto"/>
        <w:left w:val="none" w:sz="0" w:space="0" w:color="auto"/>
        <w:bottom w:val="none" w:sz="0" w:space="0" w:color="auto"/>
        <w:right w:val="none" w:sz="0" w:space="0" w:color="auto"/>
      </w:divBdr>
    </w:div>
    <w:div w:id="18304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Cha10</b:Tag>
    <b:SourceType>Report</b:SourceType>
    <b:Guid>{9D8F2280-1FC7-4E4A-9109-926AA4904752}</b:Guid>
    <b:Author>
      <b:Author>
        <b:NameList>
          <b:Person>
            <b:Last>Charles</b:Last>
            <b:First>Doyle</b:First>
          </b:Person>
        </b:NameList>
      </b:Author>
    </b:Author>
    <b:Title>Cybercrime: A Sketch of 18 U.S.C. 1030 and Related Federal Criminal Laws</b:Title>
    <b:Year>2010</b:Year>
    <b:Publisher>Congressional Research Service, Library of Congress</b:Publisher>
    <b:RefOrder>1</b:RefOrder>
  </b:Source>
  <b:Source>
    <b:Tag>Mer49</b:Tag>
    <b:SourceType>BookSection</b:SourceType>
    <b:Guid>{AD2738A1-0D16-4A99-922E-3761F2BE7583}</b:Guid>
    <b:Title>On sociological theories of the middle range</b:Title>
    <b:Year>1949</b:Year>
    <b:Pages>39-53</b:Pages>
    <b:City>New York</b:City>
    <b:Publisher>SImon &amp; Schuster</b:Publisher>
    <b:Author>
      <b:Author>
        <b:NameList>
          <b:Person>
            <b:Last>Merton</b:Last>
            <b:First>R</b:First>
          </b:Person>
        </b:NameList>
      </b:Author>
      <b:BookAuthor>
        <b:NameList>
          <b:Person>
            <b:Last>Merton</b:Last>
            <b:First>R</b:First>
          </b:Person>
        </b:NameList>
      </b:BookAuthor>
    </b:Author>
    <b:BookTitle>Social Theory and Social Structure</b:BookTitle>
    <b:RefOrder>1</b:RefOrder>
  </b:Source>
  <b:Source>
    <b:Tag>But15</b:Tag>
    <b:SourceType>Book</b:SourceType>
    <b:Guid>{7EC09935-CDA3-4893-8D6E-7BAB52705B09}</b:Guid>
    <b:Title>Philosophoes and Theories for Advanced Nursing Practice</b:Title>
    <b:Year>2015</b:Year>
    <b:City>Burlington, MA</b:City>
    <b:Publisher>Jones &amp; Bartless Learning</b:Publisher>
    <b:Author>
      <b:Author>
        <b:NameList>
          <b:Person>
            <b:Last>Butts</b:Last>
            <b:First>Janie</b:First>
          </b:Person>
          <b:Person>
            <b:Last>Rich</b:Last>
            <b:First>Karen</b:First>
          </b:Person>
        </b:NameList>
      </b:Author>
    </b:Author>
    <b:Edition>2nd</b:Edition>
    <b:RefOrder>2</b:RefOrder>
  </b:Source>
  <b:Source>
    <b:Tag>Cop13</b:Tag>
    <b:SourceType>Book</b:SourceType>
    <b:Guid>{E108D909-4088-45EC-892A-97F6376D891E}</b:Guid>
    <b:Title>Pathophysiology</b:Title>
    <b:Year>2013</b:Year>
    <b:City>St. Louis, MO</b:City>
    <b:Publisher>Elsevier</b:Publisher>
    <b:Author>
      <b:Author>
        <b:NameList>
          <b:Person>
            <b:Last>Copstead </b:Last>
            <b:First>L</b:First>
          </b:Person>
          <b:Person>
            <b:Last>Banasik</b:Last>
            <b:First>J</b:First>
          </b:Person>
        </b:NameList>
      </b:Author>
    </b:Author>
    <b:Edition>5th</b:Edition>
    <b:RefOrder>3</b:RefOrder>
  </b:Source>
</b:Sources>
</file>

<file path=customXml/itemProps1.xml><?xml version="1.0" encoding="utf-8"?>
<ds:datastoreItem xmlns:ds="http://schemas.openxmlformats.org/officeDocument/2006/customXml" ds:itemID="{16AE2E6A-F07D-4C04-BD09-9F31CD95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15832</Words>
  <Characters>90246</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2022-05-07T23:50:00Z</dcterms:created>
  <dcterms:modified xsi:type="dcterms:W3CDTF">2022-07-03T21:49:00Z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id="c5TlEjqj"/&gt;&lt;style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name="delayCitationUpdates" value="true"/&gt;&lt;/prefs&gt;&lt;/data&gt;</vt:lpwstr>
  </property>
</Properties>
</file>